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bookmarkStart w:id="6" w:name="_GoBack"/>
      <w:bookmarkEnd w:id="6"/>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718A72B1" wp14:editId="675EDC45">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E754FA" w:rsidP="00286866">
      <w:pPr>
        <w:pStyle w:val="Heading2"/>
        <w:rPr>
          <w:i/>
        </w:rPr>
      </w:pPr>
      <w:r>
        <w:rPr>
          <w:sz w:val="36"/>
          <w:szCs w:val="36"/>
        </w:rPr>
        <w:t>25 September – 1 October 2016</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9442D7" w:rsidRDefault="001611A7" w:rsidP="009442D7">
      <w:pPr>
        <w:jc w:val="both"/>
      </w:pPr>
      <w:r>
        <w:t>The market overview shows</w:t>
      </w:r>
      <w:r w:rsidR="009442D7">
        <w:t xml:space="preserve"> gas prices were higher this week in Victoria and the STTM compared to the pr</w:t>
      </w:r>
      <w:r w:rsidR="00A67206">
        <w:t>evious</w:t>
      </w:r>
      <w:r w:rsidR="009442D7">
        <w:t xml:space="preserve"> </w:t>
      </w:r>
      <w:r w:rsidR="00EE6B6A">
        <w:t>week</w:t>
      </w:r>
      <w:r w:rsidR="009442D7">
        <w:t xml:space="preserve">, however this </w:t>
      </w:r>
      <w:r w:rsidR="0003646A">
        <w:t>did not equate to</w:t>
      </w:r>
      <w:r w:rsidR="009442D7">
        <w:t xml:space="preserve"> increased demand. </w:t>
      </w:r>
    </w:p>
    <w:p w:rsidR="00ED5EB9" w:rsidRDefault="00AC36C5" w:rsidP="00F26128">
      <w:pPr>
        <w:jc w:val="both"/>
      </w:pPr>
      <w:r w:rsidRPr="00AC36C5">
        <w:t xml:space="preserve">Longford’s capacity to inject into the </w:t>
      </w:r>
      <w:r w:rsidR="003B0EAF">
        <w:t xml:space="preserve">Victorian market </w:t>
      </w:r>
      <w:r w:rsidRPr="00AC36C5">
        <w:t>was constrained on 29</w:t>
      </w:r>
      <w:r w:rsidR="003B0EAF">
        <w:t> </w:t>
      </w:r>
      <w:r w:rsidRPr="00AC36C5">
        <w:t>September</w:t>
      </w:r>
      <w:r w:rsidR="003B0EAF">
        <w:t>. This was</w:t>
      </w:r>
      <w:r>
        <w:t xml:space="preserve"> followed by an</w:t>
      </w:r>
      <w:r w:rsidR="00CA5770">
        <w:t xml:space="preserve"> all </w:t>
      </w:r>
      <w:r>
        <w:t xml:space="preserve">plant power outage </w:t>
      </w:r>
      <w:r w:rsidR="00387E4A">
        <w:t>on the morning of 1</w:t>
      </w:r>
      <w:r w:rsidR="003B0EAF">
        <w:t> </w:t>
      </w:r>
      <w:r w:rsidR="00387E4A">
        <w:t>October</w:t>
      </w:r>
      <w:r w:rsidR="0003646A">
        <w:t xml:space="preserve"> that</w:t>
      </w:r>
      <w:r w:rsidR="00387E4A">
        <w:t xml:space="preserve"> </w:t>
      </w:r>
      <w:r w:rsidR="00791AD3">
        <w:t xml:space="preserve">triggered an </w:t>
      </w:r>
      <w:r w:rsidR="00791AD3" w:rsidRPr="00791AD3">
        <w:t>STTM Contingency Gas event</w:t>
      </w:r>
      <w:r w:rsidR="005A76DA">
        <w:t xml:space="preserve"> for Sydney</w:t>
      </w:r>
      <w:r w:rsidR="003B0EAF">
        <w:t>,</w:t>
      </w:r>
      <w:r w:rsidR="00791AD3" w:rsidRPr="00791AD3">
        <w:t xml:space="preserve"> </w:t>
      </w:r>
      <w:r w:rsidR="005A76DA">
        <w:t xml:space="preserve">as well as impacting the Victorian market </w:t>
      </w:r>
      <w:r>
        <w:t>w</w:t>
      </w:r>
      <w:r w:rsidR="00A67206">
        <w:t>ith</w:t>
      </w:r>
      <w:r>
        <w:t xml:space="preserve"> </w:t>
      </w:r>
      <w:r w:rsidR="003B0EAF">
        <w:t xml:space="preserve">the facility’s </w:t>
      </w:r>
      <w:r>
        <w:t>flows reduced to zero</w:t>
      </w:r>
      <w:r w:rsidR="00A67206">
        <w:t xml:space="preserve"> into the </w:t>
      </w:r>
      <w:r w:rsidR="003B0EAF">
        <w:t>declared transmission system (</w:t>
      </w:r>
      <w:r w:rsidR="00A67206">
        <w:t>DTS</w:t>
      </w:r>
      <w:r w:rsidR="003B0EAF">
        <w:t>)</w:t>
      </w:r>
      <w:r w:rsidR="00CA5770">
        <w:t xml:space="preserve"> for several hours</w:t>
      </w:r>
      <w:r>
        <w:t>.</w:t>
      </w:r>
      <w:r w:rsidR="006C446E">
        <w:t xml:space="preserve"> </w:t>
      </w:r>
      <w:r w:rsidR="00ED5EB9">
        <w:t xml:space="preserve">As shown below the impact of the reduced supply from Longford into the Victorian market was a consequent increased supply from other sources.  </w:t>
      </w:r>
    </w:p>
    <w:p w:rsidR="00CF193D" w:rsidRDefault="00CF193D" w:rsidP="00CF193D">
      <w:pPr>
        <w:pStyle w:val="Heading2"/>
        <w:ind w:left="2127" w:hanging="2127"/>
        <w:rPr>
          <w:color w:val="2272A3"/>
          <w:sz w:val="24"/>
          <w:szCs w:val="24"/>
        </w:rPr>
      </w:pPr>
      <w:r>
        <w:rPr>
          <w:color w:val="2272A3"/>
          <w:sz w:val="24"/>
          <w:szCs w:val="24"/>
        </w:rPr>
        <w:t xml:space="preserve">Weekly Summary: </w:t>
      </w:r>
      <w:r w:rsidR="00DC7E8E">
        <w:rPr>
          <w:color w:val="2272A3"/>
          <w:sz w:val="24"/>
          <w:szCs w:val="24"/>
        </w:rPr>
        <w:t>Victorian Gas Market - Hourly metered i</w:t>
      </w:r>
      <w:r w:rsidRPr="00CF193D">
        <w:rPr>
          <w:color w:val="2272A3"/>
          <w:sz w:val="24"/>
          <w:szCs w:val="24"/>
        </w:rPr>
        <w:t>njections by System Injection Point (TJ)</w:t>
      </w:r>
      <w:r w:rsidR="00DC7E8E" w:rsidRPr="00552F68">
        <w:rPr>
          <w:color w:val="2272A3"/>
          <w:szCs w:val="24"/>
        </w:rPr>
        <w:t>*</w:t>
      </w:r>
      <w:r>
        <w:rPr>
          <w:color w:val="2272A3"/>
          <w:sz w:val="24"/>
          <w:szCs w:val="24"/>
        </w:rPr>
        <w:t xml:space="preserve"> </w:t>
      </w:r>
    </w:p>
    <w:p w:rsidR="00DC7E8E" w:rsidRPr="00DC7E8E" w:rsidRDefault="00210423" w:rsidP="00210423">
      <w:pPr>
        <w:rPr>
          <w:sz w:val="16"/>
          <w:szCs w:val="16"/>
        </w:rPr>
      </w:pPr>
      <w:r w:rsidRPr="00210423">
        <w:rPr>
          <w:noProof/>
          <w:lang w:eastAsia="en-AU"/>
        </w:rPr>
        <w:drawing>
          <wp:inline distT="0" distB="0" distL="0" distR="0" wp14:anchorId="6BA3AF8C" wp14:editId="0192768A">
            <wp:extent cx="5731510" cy="2143651"/>
            <wp:effectExtent l="0" t="0" r="2540" b="9525"/>
            <wp:docPr id="25" name="Picture 25" descr="The weekly summary figure shows the metered injections sorted by facility for each hour across the gas days in Victoria this week (from 6 am each day). This figure shows similar information to fig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143651"/>
                    </a:xfrm>
                    <a:prstGeom prst="rect">
                      <a:avLst/>
                    </a:prstGeom>
                    <a:noFill/>
                    <a:ln>
                      <a:noFill/>
                    </a:ln>
                  </pic:spPr>
                </pic:pic>
              </a:graphicData>
            </a:graphic>
          </wp:inline>
        </w:drawing>
      </w:r>
      <w:r w:rsidRPr="00210423">
        <w:t xml:space="preserve"> </w:t>
      </w:r>
      <w:r w:rsidR="00DC7E8E" w:rsidRPr="00552F68">
        <w:rPr>
          <w:sz w:val="16"/>
        </w:rPr>
        <w:t xml:space="preserve">* </w:t>
      </w:r>
      <w:r w:rsidR="00DC7E8E">
        <w:rPr>
          <w:sz w:val="16"/>
        </w:rPr>
        <w:t xml:space="preserve">Hourly LNG injections are included (these are not </w:t>
      </w:r>
      <w:r w:rsidR="00FE5B62">
        <w:rPr>
          <w:sz w:val="16"/>
        </w:rPr>
        <w:t xml:space="preserve">generally </w:t>
      </w:r>
      <w:r w:rsidR="00DC7E8E">
        <w:rPr>
          <w:sz w:val="16"/>
        </w:rPr>
        <w:t xml:space="preserve">displayed </w:t>
      </w:r>
      <w:r w:rsidR="00DC7E8E" w:rsidRPr="00DC7E8E">
        <w:rPr>
          <w:sz w:val="16"/>
          <w:szCs w:val="16"/>
        </w:rPr>
        <w:t xml:space="preserve">in figure 1.5, as </w:t>
      </w:r>
      <w:r w:rsidR="00DC7E8E">
        <w:rPr>
          <w:sz w:val="16"/>
          <w:szCs w:val="16"/>
        </w:rPr>
        <w:t>outlined</w:t>
      </w:r>
      <w:r w:rsidR="00DC7E8E" w:rsidRPr="00DC7E8E">
        <w:rPr>
          <w:sz w:val="16"/>
          <w:szCs w:val="16"/>
        </w:rPr>
        <w:t xml:space="preserve"> in the </w:t>
      </w:r>
      <w:hyperlink r:id="rId12" w:history="1">
        <w:r w:rsidR="00DC7E8E" w:rsidRPr="00DC7E8E">
          <w:rPr>
            <w:rStyle w:val="Hyperlink"/>
            <w:sz w:val="16"/>
            <w:szCs w:val="16"/>
          </w:rPr>
          <w:t>user guide</w:t>
        </w:r>
      </w:hyperlink>
      <w:r w:rsidR="00DC7E8E" w:rsidRPr="00DC7E8E">
        <w:rPr>
          <w:sz w:val="16"/>
          <w:szCs w:val="16"/>
        </w:rPr>
        <w:t>)</w:t>
      </w:r>
    </w:p>
    <w:p w:rsidR="00CA5770" w:rsidRDefault="00CA5770" w:rsidP="00F26128">
      <w:pPr>
        <w:jc w:val="both"/>
      </w:pPr>
      <w:r>
        <w:t xml:space="preserve">LNG injections from Dandenong </w:t>
      </w:r>
      <w:r w:rsidR="00222E55">
        <w:t xml:space="preserve">into the market </w:t>
      </w:r>
      <w:r>
        <w:t>are shown</w:t>
      </w:r>
      <w:r w:rsidR="00222E55">
        <w:t xml:space="preserve"> in this figure</w:t>
      </w:r>
      <w:r w:rsidR="00ED5EB9">
        <w:t>. O</w:t>
      </w:r>
      <w:r>
        <w:t xml:space="preserve">n this </w:t>
      </w:r>
      <w:r w:rsidRPr="00933FB8">
        <w:t xml:space="preserve">day </w:t>
      </w:r>
      <w:r w:rsidR="005200EC" w:rsidRPr="00933FB8">
        <w:t xml:space="preserve">65 </w:t>
      </w:r>
      <w:r w:rsidRPr="00933FB8">
        <w:t xml:space="preserve">TJ </w:t>
      </w:r>
      <w:r w:rsidR="00222E55" w:rsidRPr="00933FB8">
        <w:t>of</w:t>
      </w:r>
      <w:r w:rsidR="00222E55">
        <w:t xml:space="preserve"> LNG </w:t>
      </w:r>
      <w:r w:rsidR="00805148">
        <w:t xml:space="preserve">was </w:t>
      </w:r>
      <w:r>
        <w:t xml:space="preserve">required across the day which is the largest quantity since </w:t>
      </w:r>
      <w:r w:rsidR="00933FB8" w:rsidRPr="00933FB8">
        <w:t>2</w:t>
      </w:r>
      <w:r w:rsidR="00805148">
        <w:t>2</w:t>
      </w:r>
      <w:r w:rsidR="00933FB8">
        <w:t> </w:t>
      </w:r>
      <w:r w:rsidR="00933FB8" w:rsidRPr="00933FB8">
        <w:t>November 2008</w:t>
      </w:r>
      <w:r w:rsidRPr="00933FB8">
        <w:t>.</w:t>
      </w:r>
    </w:p>
    <w:p w:rsidR="009442D7" w:rsidRDefault="00845D27" w:rsidP="00F26128">
      <w:pPr>
        <w:jc w:val="both"/>
      </w:pPr>
      <w:r>
        <w:t xml:space="preserve">Figure 2.3 </w:t>
      </w:r>
      <w:r w:rsidR="00CA5770">
        <w:t xml:space="preserve">also </w:t>
      </w:r>
      <w:r>
        <w:t>shows that b</w:t>
      </w:r>
      <w:r w:rsidR="006C446E">
        <w:t xml:space="preserve">oth days </w:t>
      </w:r>
      <w:r w:rsidR="00CA5770">
        <w:t xml:space="preserve">(29 September and 1 October) </w:t>
      </w:r>
      <w:r w:rsidR="006C446E">
        <w:t xml:space="preserve">had reduced supply along the EGP from Victoria to Sydney and </w:t>
      </w:r>
      <w:r w:rsidR="00CA5770">
        <w:t xml:space="preserve">there were </w:t>
      </w:r>
      <w:r w:rsidR="006C446E">
        <w:t>injections from the Newcastle Gas Storage Facility supply</w:t>
      </w:r>
      <w:r w:rsidR="001944DC">
        <w:t xml:space="preserve"> into</w:t>
      </w:r>
      <w:r w:rsidR="006C446E">
        <w:t xml:space="preserve"> the Sydney STTM.</w:t>
      </w:r>
    </w:p>
    <w:p w:rsidR="00070B39" w:rsidRDefault="003804DF" w:rsidP="00F26128">
      <w:pPr>
        <w:jc w:val="both"/>
      </w:pPr>
      <w:r>
        <w:t xml:space="preserve">There </w:t>
      </w:r>
      <w:r w:rsidR="0011609D">
        <w:t>were</w:t>
      </w:r>
      <w:r w:rsidR="00CA5770">
        <w:t xml:space="preserve"> </w:t>
      </w:r>
      <w:r>
        <w:t xml:space="preserve">further increases in </w:t>
      </w:r>
      <w:r w:rsidR="00070B39">
        <w:t>MOS</w:t>
      </w:r>
      <w:r>
        <w:t xml:space="preserve"> payments</w:t>
      </w:r>
      <w:r w:rsidR="00070B39">
        <w:t xml:space="preserve"> for the financial year to date in the Adelaide and Sydney STTM hubs. As stated in the prior report the AER </w:t>
      </w:r>
      <w:r w:rsidR="005378BF">
        <w:t>continues</w:t>
      </w:r>
      <w:r w:rsidR="00070B39">
        <w:t xml:space="preserve"> to investigate the key drivers of higher MOS payments</w:t>
      </w:r>
      <w:r w:rsidR="001944DC">
        <w:t>.</w:t>
      </w:r>
    </w:p>
    <w:p w:rsidR="001611A7" w:rsidRDefault="001611A7" w:rsidP="001611A7">
      <w:pPr>
        <w:jc w:val="both"/>
      </w:pPr>
      <w:r>
        <w:t>Gas used for GPG</w:t>
      </w:r>
      <w:r w:rsidR="00FE5B62">
        <w:rPr>
          <w:rStyle w:val="FootnoteReference"/>
        </w:rPr>
        <w:footnoteReference w:id="1"/>
      </w:r>
      <w:r>
        <w:t xml:space="preserve"> was down on the pr</w:t>
      </w:r>
      <w:r w:rsidR="00CC1DD2">
        <w:t>evious</w:t>
      </w:r>
      <w:r>
        <w:t xml:space="preserve"> week </w:t>
      </w:r>
      <w:r w:rsidR="0003646A">
        <w:t>with the exception of</w:t>
      </w:r>
      <w:r>
        <w:t xml:space="preserve"> SA </w:t>
      </w:r>
      <w:r w:rsidR="0003646A">
        <w:t>with</w:t>
      </w:r>
      <w:r>
        <w:t xml:space="preserve"> an increase in use against the wider NEM</w:t>
      </w:r>
      <w:r w:rsidR="00FE5B62">
        <w:rPr>
          <w:rStyle w:val="FootnoteReference"/>
        </w:rPr>
        <w:footnoteReference w:id="2"/>
      </w:r>
      <w:r w:rsidR="00CC1DD2">
        <w:t xml:space="preserve"> decrease</w:t>
      </w:r>
      <w:r>
        <w:t>.</w:t>
      </w:r>
    </w:p>
    <w:p w:rsidR="00173451" w:rsidRPr="00173451" w:rsidRDefault="00173451" w:rsidP="00E949FF"/>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fldSimple w:instr=" SEQ Figure \* ARABIC ">
        <w:r w:rsidR="001521CB">
          <w:rPr>
            <w:noProof/>
          </w:rPr>
          <w:t>1</w:t>
        </w:r>
      </w:fldSimple>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3"/>
      </w:r>
    </w:p>
    <w:tbl>
      <w:tblPr>
        <w:tblStyle w:val="AERTable-Text"/>
        <w:tblW w:w="4991" w:type="pct"/>
        <w:tblLayout w:type="fixed"/>
        <w:tblLook w:val="04A0" w:firstRow="1" w:lastRow="0" w:firstColumn="1" w:lastColumn="0" w:noHBand="0" w:noVBand="1"/>
      </w:tblPr>
      <w:tblGrid>
        <w:gridCol w:w="1382"/>
        <w:gridCol w:w="607"/>
        <w:gridCol w:w="814"/>
        <w:gridCol w:w="607"/>
        <w:gridCol w:w="769"/>
        <w:gridCol w:w="607"/>
        <w:gridCol w:w="572"/>
        <w:gridCol w:w="607"/>
        <w:gridCol w:w="670"/>
        <w:gridCol w:w="609"/>
        <w:gridCol w:w="662"/>
        <w:gridCol w:w="79"/>
        <w:gridCol w:w="480"/>
        <w:gridCol w:w="760"/>
      </w:tblGrid>
      <w:tr w:rsidR="00546B16" w:rsidRPr="002861A9" w:rsidTr="00C5766F">
        <w:trPr>
          <w:cnfStyle w:val="100000000000" w:firstRow="1" w:lastRow="0" w:firstColumn="0" w:lastColumn="0" w:oddVBand="0" w:evenVBand="0" w:oddHBand="0" w:evenHBand="0" w:firstRowFirstColumn="0" w:firstRowLastColumn="0" w:lastRowFirstColumn="0" w:lastRowLastColumn="0"/>
          <w:trHeight w:val="404"/>
          <w:tblHeader/>
        </w:trPr>
        <w:tc>
          <w:tcPr>
            <w:tcW w:w="749" w:type="pct"/>
            <w:tcBorders>
              <w:bottom w:val="nil"/>
            </w:tcBorders>
            <w:vAlign w:val="center"/>
          </w:tcPr>
          <w:p w:rsidR="00546B16" w:rsidRPr="00E16EDC" w:rsidRDefault="00546B16" w:rsidP="00546B16">
            <w:pPr>
              <w:pStyle w:val="TableHeading"/>
              <w:spacing w:before="120" w:after="0" w:line="240" w:lineRule="auto"/>
              <w:jc w:val="center"/>
              <w:rPr>
                <w:rFonts w:cs="Arial"/>
                <w:sz w:val="20"/>
                <w:szCs w:val="20"/>
              </w:rPr>
            </w:pPr>
          </w:p>
        </w:tc>
        <w:tc>
          <w:tcPr>
            <w:tcW w:w="770"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39"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9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32" w:type="pct"/>
            <w:gridSpan w:val="3"/>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7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534DD9" w:rsidRPr="002861A9" w:rsidTr="00534DD9">
        <w:trPr>
          <w:cnfStyle w:val="100000000000" w:firstRow="1" w:lastRow="0" w:firstColumn="0" w:lastColumn="0" w:oddVBand="0" w:evenVBand="0" w:oddHBand="0" w:evenHBand="0" w:firstRowFirstColumn="0" w:firstRowLastColumn="0" w:lastRowFirstColumn="0" w:lastRowLastColumn="0"/>
          <w:tblHeader/>
        </w:trPr>
        <w:tc>
          <w:tcPr>
            <w:tcW w:w="749" w:type="pct"/>
            <w:tcBorders>
              <w:bottom w:val="nil"/>
            </w:tcBorders>
            <w:vAlign w:val="center"/>
            <w:hideMark/>
          </w:tcPr>
          <w:p w:rsidR="00546B16" w:rsidRPr="00A226E9" w:rsidRDefault="00546B16" w:rsidP="00546B16">
            <w:pPr>
              <w:spacing w:before="0" w:line="240" w:lineRule="auto"/>
              <w:rPr>
                <w:rFonts w:cs="Arial"/>
                <w:sz w:val="20"/>
                <w:szCs w:val="20"/>
                <w:highlight w:val="yellow"/>
              </w:rPr>
            </w:pP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41"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3"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9"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303" w:type="pct"/>
            <w:gridSpan w:val="2"/>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2"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034935" w:rsidRPr="006A7228" w:rsidTr="00534DD9">
        <w:trPr>
          <w:trHeight w:val="510"/>
        </w:trPr>
        <w:tc>
          <w:tcPr>
            <w:tcW w:w="749" w:type="pct"/>
            <w:tcBorders>
              <w:top w:val="nil"/>
              <w:bottom w:val="nil"/>
            </w:tcBorders>
            <w:vAlign w:val="center"/>
          </w:tcPr>
          <w:p w:rsidR="00034935" w:rsidRDefault="00034935">
            <w:pPr>
              <w:rPr>
                <w:rFonts w:cs="Arial"/>
                <w:sz w:val="16"/>
                <w:szCs w:val="16"/>
              </w:rPr>
            </w:pPr>
            <w:r>
              <w:rPr>
                <w:rFonts w:cs="Arial"/>
                <w:sz w:val="16"/>
                <w:szCs w:val="16"/>
              </w:rPr>
              <w:t>25 Sep - 01 Oct 2016</w:t>
            </w:r>
          </w:p>
        </w:tc>
        <w:tc>
          <w:tcPr>
            <w:tcW w:w="329" w:type="pct"/>
            <w:tcBorders>
              <w:top w:val="nil"/>
              <w:bottom w:val="nil"/>
            </w:tcBorders>
            <w:vAlign w:val="center"/>
          </w:tcPr>
          <w:p w:rsidR="00034935" w:rsidRDefault="00034935">
            <w:pPr>
              <w:jc w:val="center"/>
              <w:rPr>
                <w:rFonts w:cs="Arial"/>
                <w:sz w:val="20"/>
                <w:szCs w:val="20"/>
              </w:rPr>
            </w:pPr>
            <w:r>
              <w:rPr>
                <w:rFonts w:cs="Arial"/>
                <w:sz w:val="20"/>
                <w:szCs w:val="20"/>
              </w:rPr>
              <w:t>8.28</w:t>
            </w:r>
          </w:p>
        </w:tc>
        <w:tc>
          <w:tcPr>
            <w:tcW w:w="441" w:type="pct"/>
            <w:tcBorders>
              <w:top w:val="nil"/>
              <w:bottom w:val="nil"/>
            </w:tcBorders>
            <w:vAlign w:val="center"/>
          </w:tcPr>
          <w:p w:rsidR="00034935" w:rsidRDefault="00034935">
            <w:pPr>
              <w:jc w:val="center"/>
              <w:rPr>
                <w:rFonts w:cs="Arial"/>
                <w:sz w:val="20"/>
                <w:szCs w:val="20"/>
              </w:rPr>
            </w:pPr>
            <w:r>
              <w:rPr>
                <w:rFonts w:cs="Arial"/>
                <w:sz w:val="20"/>
                <w:szCs w:val="20"/>
              </w:rPr>
              <w:t>643</w:t>
            </w:r>
          </w:p>
        </w:tc>
        <w:tc>
          <w:tcPr>
            <w:tcW w:w="329" w:type="pct"/>
            <w:tcBorders>
              <w:top w:val="nil"/>
              <w:bottom w:val="nil"/>
            </w:tcBorders>
            <w:vAlign w:val="center"/>
          </w:tcPr>
          <w:p w:rsidR="00034935" w:rsidRDefault="00034935">
            <w:pPr>
              <w:jc w:val="center"/>
              <w:rPr>
                <w:rFonts w:cs="Arial"/>
                <w:sz w:val="20"/>
                <w:szCs w:val="20"/>
              </w:rPr>
            </w:pPr>
            <w:r>
              <w:rPr>
                <w:rFonts w:cs="Arial"/>
                <w:sz w:val="20"/>
                <w:szCs w:val="20"/>
              </w:rPr>
              <w:t>6.48</w:t>
            </w:r>
          </w:p>
        </w:tc>
        <w:tc>
          <w:tcPr>
            <w:tcW w:w="417" w:type="pct"/>
            <w:tcBorders>
              <w:top w:val="nil"/>
              <w:bottom w:val="nil"/>
            </w:tcBorders>
            <w:vAlign w:val="center"/>
          </w:tcPr>
          <w:p w:rsidR="00034935" w:rsidRDefault="00034935">
            <w:pPr>
              <w:jc w:val="center"/>
              <w:rPr>
                <w:rFonts w:cs="Arial"/>
                <w:sz w:val="20"/>
                <w:szCs w:val="20"/>
              </w:rPr>
            </w:pPr>
            <w:r>
              <w:rPr>
                <w:rFonts w:cs="Arial"/>
                <w:sz w:val="20"/>
                <w:szCs w:val="20"/>
              </w:rPr>
              <w:t>243</w:t>
            </w:r>
          </w:p>
        </w:tc>
        <w:tc>
          <w:tcPr>
            <w:tcW w:w="329" w:type="pct"/>
            <w:tcBorders>
              <w:top w:val="nil"/>
              <w:bottom w:val="nil"/>
            </w:tcBorders>
            <w:vAlign w:val="center"/>
          </w:tcPr>
          <w:p w:rsidR="00034935" w:rsidRDefault="00034935">
            <w:pPr>
              <w:jc w:val="center"/>
              <w:rPr>
                <w:rFonts w:cs="Arial"/>
                <w:sz w:val="20"/>
                <w:szCs w:val="20"/>
              </w:rPr>
            </w:pPr>
            <w:r>
              <w:rPr>
                <w:rFonts w:cs="Arial"/>
                <w:sz w:val="20"/>
                <w:szCs w:val="20"/>
              </w:rPr>
              <w:t>6.22</w:t>
            </w:r>
          </w:p>
        </w:tc>
        <w:tc>
          <w:tcPr>
            <w:tcW w:w="310" w:type="pct"/>
            <w:tcBorders>
              <w:top w:val="nil"/>
              <w:bottom w:val="nil"/>
            </w:tcBorders>
            <w:vAlign w:val="center"/>
          </w:tcPr>
          <w:p w:rsidR="00034935" w:rsidRDefault="00034935">
            <w:pPr>
              <w:jc w:val="center"/>
              <w:rPr>
                <w:rFonts w:cs="Arial"/>
                <w:sz w:val="20"/>
                <w:szCs w:val="20"/>
              </w:rPr>
            </w:pPr>
            <w:r>
              <w:rPr>
                <w:rFonts w:cs="Arial"/>
                <w:sz w:val="20"/>
                <w:szCs w:val="20"/>
              </w:rPr>
              <w:t>76</w:t>
            </w:r>
          </w:p>
        </w:tc>
        <w:tc>
          <w:tcPr>
            <w:tcW w:w="329" w:type="pct"/>
            <w:tcBorders>
              <w:top w:val="nil"/>
              <w:bottom w:val="nil"/>
            </w:tcBorders>
            <w:vAlign w:val="center"/>
          </w:tcPr>
          <w:p w:rsidR="00034935" w:rsidRDefault="00034935">
            <w:pPr>
              <w:jc w:val="center"/>
              <w:rPr>
                <w:rFonts w:cs="Arial"/>
                <w:sz w:val="20"/>
                <w:szCs w:val="20"/>
              </w:rPr>
            </w:pPr>
            <w:r>
              <w:rPr>
                <w:rFonts w:cs="Arial"/>
                <w:sz w:val="20"/>
                <w:szCs w:val="20"/>
              </w:rPr>
              <w:t>4.42</w:t>
            </w:r>
          </w:p>
        </w:tc>
        <w:tc>
          <w:tcPr>
            <w:tcW w:w="363" w:type="pct"/>
            <w:tcBorders>
              <w:top w:val="nil"/>
              <w:bottom w:val="nil"/>
            </w:tcBorders>
            <w:vAlign w:val="center"/>
          </w:tcPr>
          <w:p w:rsidR="00034935" w:rsidRDefault="00034935">
            <w:pPr>
              <w:jc w:val="center"/>
              <w:rPr>
                <w:rFonts w:cs="Arial"/>
                <w:sz w:val="20"/>
                <w:szCs w:val="20"/>
              </w:rPr>
            </w:pPr>
            <w:r>
              <w:rPr>
                <w:rFonts w:cs="Arial"/>
                <w:sz w:val="20"/>
                <w:szCs w:val="20"/>
              </w:rPr>
              <w:t>87</w:t>
            </w:r>
          </w:p>
        </w:tc>
        <w:tc>
          <w:tcPr>
            <w:tcW w:w="330" w:type="pct"/>
            <w:tcBorders>
              <w:top w:val="nil"/>
              <w:bottom w:val="nil"/>
            </w:tcBorders>
            <w:vAlign w:val="center"/>
          </w:tcPr>
          <w:p w:rsidR="00034935" w:rsidRDefault="00034935">
            <w:pPr>
              <w:jc w:val="center"/>
              <w:rPr>
                <w:rFonts w:cs="Arial"/>
                <w:sz w:val="20"/>
                <w:szCs w:val="20"/>
              </w:rPr>
            </w:pPr>
            <w:r>
              <w:rPr>
                <w:rFonts w:cs="Arial"/>
                <w:sz w:val="20"/>
                <w:szCs w:val="20"/>
              </w:rPr>
              <w:t>3.85</w:t>
            </w:r>
          </w:p>
        </w:tc>
        <w:tc>
          <w:tcPr>
            <w:tcW w:w="359" w:type="pct"/>
            <w:tcBorders>
              <w:top w:val="nil"/>
              <w:bottom w:val="nil"/>
            </w:tcBorders>
            <w:vAlign w:val="center"/>
          </w:tcPr>
          <w:p w:rsidR="00034935" w:rsidRDefault="00034935">
            <w:pPr>
              <w:jc w:val="center"/>
              <w:rPr>
                <w:rFonts w:cs="Arial"/>
                <w:sz w:val="20"/>
                <w:szCs w:val="20"/>
              </w:rPr>
            </w:pPr>
            <w:r>
              <w:rPr>
                <w:rFonts w:cs="Arial"/>
                <w:sz w:val="20"/>
                <w:szCs w:val="20"/>
              </w:rPr>
              <w:t>60</w:t>
            </w:r>
          </w:p>
        </w:tc>
        <w:tc>
          <w:tcPr>
            <w:tcW w:w="303" w:type="pct"/>
            <w:gridSpan w:val="2"/>
            <w:tcBorders>
              <w:top w:val="nil"/>
              <w:bottom w:val="nil"/>
            </w:tcBorders>
            <w:vAlign w:val="center"/>
          </w:tcPr>
          <w:p w:rsidR="00034935" w:rsidRDefault="00034935">
            <w:pPr>
              <w:jc w:val="center"/>
              <w:rPr>
                <w:rFonts w:cs="Arial"/>
                <w:sz w:val="20"/>
                <w:szCs w:val="20"/>
              </w:rPr>
            </w:pPr>
            <w:r>
              <w:rPr>
                <w:rFonts w:cs="Arial"/>
                <w:sz w:val="20"/>
                <w:szCs w:val="20"/>
              </w:rPr>
              <w:t>-</w:t>
            </w:r>
          </w:p>
        </w:tc>
        <w:tc>
          <w:tcPr>
            <w:tcW w:w="412" w:type="pct"/>
            <w:tcBorders>
              <w:top w:val="nil"/>
              <w:bottom w:val="nil"/>
            </w:tcBorders>
            <w:vAlign w:val="center"/>
          </w:tcPr>
          <w:p w:rsidR="00034935" w:rsidRDefault="00034935">
            <w:pPr>
              <w:jc w:val="center"/>
              <w:rPr>
                <w:rFonts w:cs="Arial"/>
                <w:sz w:val="20"/>
                <w:szCs w:val="20"/>
              </w:rPr>
            </w:pPr>
            <w:r>
              <w:rPr>
                <w:rFonts w:cs="Arial"/>
                <w:sz w:val="20"/>
                <w:szCs w:val="20"/>
              </w:rPr>
              <w:t>-</w:t>
            </w:r>
          </w:p>
        </w:tc>
      </w:tr>
      <w:tr w:rsidR="00034935"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nil"/>
            </w:tcBorders>
            <w:vAlign w:val="center"/>
          </w:tcPr>
          <w:p w:rsidR="00034935" w:rsidRDefault="00034935">
            <w:pPr>
              <w:rPr>
                <w:rFonts w:cs="Arial"/>
                <w:sz w:val="16"/>
                <w:szCs w:val="16"/>
              </w:rPr>
            </w:pPr>
            <w:r>
              <w:rPr>
                <w:rFonts w:cs="Arial"/>
                <w:sz w:val="16"/>
                <w:szCs w:val="16"/>
              </w:rPr>
              <w:t>% change from previous week</w:t>
            </w:r>
          </w:p>
        </w:tc>
        <w:tc>
          <w:tcPr>
            <w:tcW w:w="329" w:type="pct"/>
            <w:tcBorders>
              <w:top w:val="nil"/>
              <w:bottom w:val="nil"/>
            </w:tcBorders>
            <w:vAlign w:val="center"/>
          </w:tcPr>
          <w:p w:rsidR="00034935" w:rsidRDefault="00034935">
            <w:pPr>
              <w:jc w:val="center"/>
              <w:rPr>
                <w:rFonts w:cs="Arial"/>
                <w:szCs w:val="20"/>
              </w:rPr>
            </w:pPr>
            <w:r>
              <w:rPr>
                <w:rFonts w:cs="Arial"/>
                <w:szCs w:val="20"/>
              </w:rPr>
              <w:t>35</w:t>
            </w:r>
          </w:p>
        </w:tc>
        <w:tc>
          <w:tcPr>
            <w:tcW w:w="441" w:type="pct"/>
            <w:tcBorders>
              <w:top w:val="nil"/>
              <w:bottom w:val="nil"/>
            </w:tcBorders>
            <w:vAlign w:val="center"/>
          </w:tcPr>
          <w:p w:rsidR="00034935" w:rsidRDefault="00034935">
            <w:pPr>
              <w:jc w:val="center"/>
              <w:rPr>
                <w:rFonts w:cs="Arial"/>
                <w:szCs w:val="20"/>
              </w:rPr>
            </w:pPr>
            <w:r>
              <w:rPr>
                <w:rFonts w:cs="Arial"/>
                <w:szCs w:val="20"/>
              </w:rPr>
              <w:t>-3</w:t>
            </w:r>
          </w:p>
        </w:tc>
        <w:tc>
          <w:tcPr>
            <w:tcW w:w="329" w:type="pct"/>
            <w:tcBorders>
              <w:top w:val="nil"/>
              <w:bottom w:val="nil"/>
            </w:tcBorders>
            <w:vAlign w:val="center"/>
          </w:tcPr>
          <w:p w:rsidR="00034935" w:rsidRDefault="00034935">
            <w:pPr>
              <w:jc w:val="center"/>
              <w:rPr>
                <w:rFonts w:cs="Arial"/>
                <w:szCs w:val="20"/>
              </w:rPr>
            </w:pPr>
            <w:r>
              <w:rPr>
                <w:rFonts w:cs="Arial"/>
                <w:szCs w:val="20"/>
              </w:rPr>
              <w:t>12</w:t>
            </w:r>
          </w:p>
        </w:tc>
        <w:tc>
          <w:tcPr>
            <w:tcW w:w="417" w:type="pct"/>
            <w:tcBorders>
              <w:top w:val="nil"/>
              <w:bottom w:val="nil"/>
            </w:tcBorders>
            <w:vAlign w:val="center"/>
          </w:tcPr>
          <w:p w:rsidR="00034935" w:rsidRDefault="00034935">
            <w:pPr>
              <w:jc w:val="center"/>
              <w:rPr>
                <w:rFonts w:cs="Arial"/>
                <w:szCs w:val="20"/>
              </w:rPr>
            </w:pPr>
            <w:r>
              <w:rPr>
                <w:rFonts w:cs="Arial"/>
                <w:szCs w:val="20"/>
              </w:rPr>
              <w:t>0</w:t>
            </w:r>
          </w:p>
        </w:tc>
        <w:tc>
          <w:tcPr>
            <w:tcW w:w="329" w:type="pct"/>
            <w:tcBorders>
              <w:top w:val="nil"/>
              <w:bottom w:val="nil"/>
            </w:tcBorders>
            <w:vAlign w:val="center"/>
          </w:tcPr>
          <w:p w:rsidR="00034935" w:rsidRDefault="00034935">
            <w:pPr>
              <w:jc w:val="center"/>
              <w:rPr>
                <w:rFonts w:cs="Arial"/>
                <w:szCs w:val="20"/>
              </w:rPr>
            </w:pPr>
            <w:r>
              <w:rPr>
                <w:rFonts w:cs="Arial"/>
                <w:szCs w:val="20"/>
              </w:rPr>
              <w:t>6</w:t>
            </w:r>
          </w:p>
        </w:tc>
        <w:tc>
          <w:tcPr>
            <w:tcW w:w="310" w:type="pct"/>
            <w:tcBorders>
              <w:top w:val="nil"/>
              <w:bottom w:val="nil"/>
            </w:tcBorders>
            <w:vAlign w:val="center"/>
          </w:tcPr>
          <w:p w:rsidR="00034935" w:rsidRDefault="00034935">
            <w:pPr>
              <w:jc w:val="center"/>
              <w:rPr>
                <w:rFonts w:cs="Arial"/>
                <w:szCs w:val="20"/>
              </w:rPr>
            </w:pPr>
            <w:r>
              <w:rPr>
                <w:rFonts w:cs="Arial"/>
                <w:szCs w:val="20"/>
              </w:rPr>
              <w:t>-1</w:t>
            </w:r>
          </w:p>
        </w:tc>
        <w:tc>
          <w:tcPr>
            <w:tcW w:w="329" w:type="pct"/>
            <w:tcBorders>
              <w:top w:val="nil"/>
              <w:bottom w:val="nil"/>
            </w:tcBorders>
            <w:vAlign w:val="center"/>
          </w:tcPr>
          <w:p w:rsidR="00034935" w:rsidRDefault="00034935">
            <w:pPr>
              <w:jc w:val="center"/>
              <w:rPr>
                <w:rFonts w:cs="Arial"/>
                <w:szCs w:val="20"/>
              </w:rPr>
            </w:pPr>
            <w:r>
              <w:rPr>
                <w:rFonts w:cs="Arial"/>
                <w:szCs w:val="20"/>
              </w:rPr>
              <w:t>8</w:t>
            </w:r>
          </w:p>
        </w:tc>
        <w:tc>
          <w:tcPr>
            <w:tcW w:w="363" w:type="pct"/>
            <w:tcBorders>
              <w:top w:val="nil"/>
              <w:bottom w:val="nil"/>
            </w:tcBorders>
            <w:vAlign w:val="center"/>
          </w:tcPr>
          <w:p w:rsidR="00034935" w:rsidRDefault="00034935">
            <w:pPr>
              <w:jc w:val="center"/>
              <w:rPr>
                <w:rFonts w:cs="Arial"/>
                <w:szCs w:val="20"/>
              </w:rPr>
            </w:pPr>
            <w:r>
              <w:rPr>
                <w:rFonts w:cs="Arial"/>
                <w:szCs w:val="20"/>
              </w:rPr>
              <w:t>1</w:t>
            </w:r>
          </w:p>
        </w:tc>
        <w:tc>
          <w:tcPr>
            <w:tcW w:w="330" w:type="pct"/>
            <w:tcBorders>
              <w:top w:val="nil"/>
              <w:bottom w:val="nil"/>
            </w:tcBorders>
            <w:vAlign w:val="center"/>
          </w:tcPr>
          <w:p w:rsidR="00034935" w:rsidRDefault="00034935">
            <w:pPr>
              <w:jc w:val="center"/>
              <w:rPr>
                <w:rFonts w:cs="Arial"/>
                <w:szCs w:val="20"/>
              </w:rPr>
            </w:pPr>
            <w:r>
              <w:rPr>
                <w:rFonts w:cs="Arial"/>
                <w:szCs w:val="20"/>
              </w:rPr>
              <w:t>18</w:t>
            </w:r>
          </w:p>
        </w:tc>
        <w:tc>
          <w:tcPr>
            <w:tcW w:w="359" w:type="pct"/>
            <w:tcBorders>
              <w:top w:val="nil"/>
              <w:bottom w:val="nil"/>
            </w:tcBorders>
            <w:vAlign w:val="center"/>
          </w:tcPr>
          <w:p w:rsidR="00034935" w:rsidRDefault="00034935">
            <w:pPr>
              <w:jc w:val="center"/>
              <w:rPr>
                <w:rFonts w:cs="Arial"/>
                <w:szCs w:val="20"/>
              </w:rPr>
            </w:pPr>
            <w:r>
              <w:rPr>
                <w:rFonts w:cs="Arial"/>
                <w:szCs w:val="20"/>
              </w:rPr>
              <w:t>-49</w:t>
            </w:r>
          </w:p>
        </w:tc>
        <w:tc>
          <w:tcPr>
            <w:tcW w:w="303" w:type="pct"/>
            <w:gridSpan w:val="2"/>
            <w:tcBorders>
              <w:top w:val="nil"/>
              <w:bottom w:val="nil"/>
            </w:tcBorders>
            <w:vAlign w:val="center"/>
          </w:tcPr>
          <w:p w:rsidR="00034935" w:rsidRDefault="00034935">
            <w:pPr>
              <w:jc w:val="center"/>
              <w:rPr>
                <w:rFonts w:cs="Arial"/>
                <w:szCs w:val="20"/>
              </w:rPr>
            </w:pPr>
            <w:r>
              <w:rPr>
                <w:rFonts w:cs="Arial"/>
                <w:szCs w:val="20"/>
              </w:rPr>
              <w:t>-</w:t>
            </w:r>
          </w:p>
        </w:tc>
        <w:tc>
          <w:tcPr>
            <w:tcW w:w="412" w:type="pct"/>
            <w:tcBorders>
              <w:top w:val="nil"/>
              <w:bottom w:val="nil"/>
            </w:tcBorders>
            <w:vAlign w:val="center"/>
          </w:tcPr>
          <w:p w:rsidR="00034935" w:rsidRDefault="00034935">
            <w:pPr>
              <w:jc w:val="center"/>
              <w:rPr>
                <w:rFonts w:cs="Arial"/>
                <w:szCs w:val="20"/>
              </w:rPr>
            </w:pPr>
            <w:r>
              <w:rPr>
                <w:rFonts w:cs="Arial"/>
                <w:szCs w:val="20"/>
              </w:rPr>
              <w:t>-</w:t>
            </w:r>
          </w:p>
        </w:tc>
      </w:tr>
      <w:tr w:rsidR="00034935" w:rsidRPr="006A7228" w:rsidTr="00534DD9">
        <w:trPr>
          <w:trHeight w:val="510"/>
        </w:trPr>
        <w:tc>
          <w:tcPr>
            <w:tcW w:w="749" w:type="pct"/>
            <w:tcBorders>
              <w:top w:val="nil"/>
              <w:bottom w:val="nil"/>
            </w:tcBorders>
            <w:vAlign w:val="center"/>
          </w:tcPr>
          <w:p w:rsidR="00034935" w:rsidRDefault="00034935">
            <w:pPr>
              <w:rPr>
                <w:rFonts w:cs="Arial"/>
                <w:sz w:val="16"/>
                <w:szCs w:val="16"/>
              </w:rPr>
            </w:pPr>
            <w:r>
              <w:rPr>
                <w:rFonts w:cs="Arial"/>
                <w:sz w:val="16"/>
                <w:szCs w:val="16"/>
              </w:rPr>
              <w:t>16-17 financial YTD</w:t>
            </w:r>
          </w:p>
        </w:tc>
        <w:tc>
          <w:tcPr>
            <w:tcW w:w="329" w:type="pct"/>
            <w:tcBorders>
              <w:top w:val="nil"/>
              <w:bottom w:val="nil"/>
            </w:tcBorders>
            <w:vAlign w:val="center"/>
          </w:tcPr>
          <w:p w:rsidR="00034935" w:rsidRDefault="00034935">
            <w:pPr>
              <w:jc w:val="center"/>
              <w:rPr>
                <w:rFonts w:cs="Arial"/>
                <w:sz w:val="20"/>
                <w:szCs w:val="20"/>
              </w:rPr>
            </w:pPr>
            <w:r>
              <w:rPr>
                <w:rFonts w:cs="Arial"/>
                <w:sz w:val="20"/>
                <w:szCs w:val="20"/>
              </w:rPr>
              <w:t>8.88</w:t>
            </w:r>
          </w:p>
        </w:tc>
        <w:tc>
          <w:tcPr>
            <w:tcW w:w="441" w:type="pct"/>
            <w:tcBorders>
              <w:top w:val="nil"/>
              <w:bottom w:val="nil"/>
            </w:tcBorders>
            <w:vAlign w:val="center"/>
          </w:tcPr>
          <w:p w:rsidR="00034935" w:rsidRDefault="00034935">
            <w:pPr>
              <w:jc w:val="center"/>
              <w:rPr>
                <w:rFonts w:cs="Arial"/>
                <w:sz w:val="20"/>
                <w:szCs w:val="20"/>
              </w:rPr>
            </w:pPr>
            <w:r>
              <w:rPr>
                <w:rFonts w:cs="Arial"/>
                <w:sz w:val="20"/>
                <w:szCs w:val="20"/>
              </w:rPr>
              <w:t>795</w:t>
            </w:r>
          </w:p>
        </w:tc>
        <w:tc>
          <w:tcPr>
            <w:tcW w:w="329" w:type="pct"/>
            <w:tcBorders>
              <w:top w:val="nil"/>
              <w:bottom w:val="nil"/>
            </w:tcBorders>
            <w:vAlign w:val="center"/>
          </w:tcPr>
          <w:p w:rsidR="00034935" w:rsidRDefault="00034935">
            <w:pPr>
              <w:jc w:val="center"/>
              <w:rPr>
                <w:rFonts w:cs="Arial"/>
                <w:sz w:val="20"/>
                <w:szCs w:val="20"/>
              </w:rPr>
            </w:pPr>
            <w:r>
              <w:rPr>
                <w:rFonts w:cs="Arial"/>
                <w:sz w:val="20"/>
                <w:szCs w:val="20"/>
              </w:rPr>
              <w:t>7.84</w:t>
            </w:r>
          </w:p>
        </w:tc>
        <w:tc>
          <w:tcPr>
            <w:tcW w:w="417" w:type="pct"/>
            <w:tcBorders>
              <w:top w:val="nil"/>
              <w:bottom w:val="nil"/>
            </w:tcBorders>
            <w:vAlign w:val="center"/>
          </w:tcPr>
          <w:p w:rsidR="00034935" w:rsidRDefault="00034935">
            <w:pPr>
              <w:jc w:val="center"/>
              <w:rPr>
                <w:rFonts w:cs="Arial"/>
                <w:sz w:val="20"/>
                <w:szCs w:val="20"/>
              </w:rPr>
            </w:pPr>
            <w:r>
              <w:rPr>
                <w:rFonts w:cs="Arial"/>
                <w:sz w:val="20"/>
                <w:szCs w:val="20"/>
              </w:rPr>
              <w:t>275</w:t>
            </w:r>
          </w:p>
        </w:tc>
        <w:tc>
          <w:tcPr>
            <w:tcW w:w="329" w:type="pct"/>
            <w:tcBorders>
              <w:top w:val="nil"/>
              <w:bottom w:val="nil"/>
            </w:tcBorders>
            <w:vAlign w:val="center"/>
          </w:tcPr>
          <w:p w:rsidR="00034935" w:rsidRDefault="00034935">
            <w:pPr>
              <w:jc w:val="center"/>
              <w:rPr>
                <w:rFonts w:cs="Arial"/>
                <w:sz w:val="20"/>
                <w:szCs w:val="20"/>
              </w:rPr>
            </w:pPr>
            <w:r>
              <w:rPr>
                <w:rFonts w:cs="Arial"/>
                <w:sz w:val="20"/>
                <w:szCs w:val="20"/>
              </w:rPr>
              <w:t>9.54</w:t>
            </w:r>
          </w:p>
        </w:tc>
        <w:tc>
          <w:tcPr>
            <w:tcW w:w="310" w:type="pct"/>
            <w:tcBorders>
              <w:top w:val="nil"/>
              <w:bottom w:val="nil"/>
            </w:tcBorders>
            <w:vAlign w:val="center"/>
          </w:tcPr>
          <w:p w:rsidR="00034935" w:rsidRDefault="00034935">
            <w:pPr>
              <w:jc w:val="center"/>
              <w:rPr>
                <w:rFonts w:cs="Arial"/>
                <w:sz w:val="20"/>
                <w:szCs w:val="20"/>
              </w:rPr>
            </w:pPr>
            <w:r>
              <w:rPr>
                <w:rFonts w:cs="Arial"/>
                <w:sz w:val="20"/>
                <w:szCs w:val="20"/>
              </w:rPr>
              <w:t>82</w:t>
            </w:r>
          </w:p>
        </w:tc>
        <w:tc>
          <w:tcPr>
            <w:tcW w:w="329" w:type="pct"/>
            <w:tcBorders>
              <w:top w:val="nil"/>
              <w:bottom w:val="nil"/>
            </w:tcBorders>
            <w:vAlign w:val="center"/>
          </w:tcPr>
          <w:p w:rsidR="00034935" w:rsidRDefault="00034935">
            <w:pPr>
              <w:jc w:val="center"/>
              <w:rPr>
                <w:rFonts w:cs="Arial"/>
                <w:sz w:val="20"/>
                <w:szCs w:val="20"/>
              </w:rPr>
            </w:pPr>
            <w:r>
              <w:rPr>
                <w:rFonts w:cs="Arial"/>
                <w:sz w:val="20"/>
                <w:szCs w:val="20"/>
              </w:rPr>
              <w:t>7.20</w:t>
            </w:r>
          </w:p>
        </w:tc>
        <w:tc>
          <w:tcPr>
            <w:tcW w:w="363" w:type="pct"/>
            <w:tcBorders>
              <w:top w:val="nil"/>
              <w:bottom w:val="nil"/>
            </w:tcBorders>
            <w:vAlign w:val="center"/>
          </w:tcPr>
          <w:p w:rsidR="00034935" w:rsidRDefault="00034935">
            <w:pPr>
              <w:jc w:val="center"/>
              <w:rPr>
                <w:rFonts w:cs="Arial"/>
                <w:sz w:val="20"/>
                <w:szCs w:val="20"/>
              </w:rPr>
            </w:pPr>
            <w:r>
              <w:rPr>
                <w:rFonts w:cs="Arial"/>
                <w:sz w:val="20"/>
                <w:szCs w:val="20"/>
              </w:rPr>
              <w:t>92</w:t>
            </w:r>
          </w:p>
        </w:tc>
        <w:tc>
          <w:tcPr>
            <w:tcW w:w="330" w:type="pct"/>
            <w:tcBorders>
              <w:top w:val="nil"/>
              <w:bottom w:val="nil"/>
            </w:tcBorders>
            <w:vAlign w:val="center"/>
          </w:tcPr>
          <w:p w:rsidR="00034935" w:rsidRDefault="00034935">
            <w:pPr>
              <w:jc w:val="center"/>
              <w:rPr>
                <w:rFonts w:cs="Arial"/>
                <w:sz w:val="20"/>
                <w:szCs w:val="20"/>
              </w:rPr>
            </w:pPr>
            <w:r>
              <w:rPr>
                <w:rFonts w:cs="Arial"/>
                <w:sz w:val="20"/>
                <w:szCs w:val="20"/>
              </w:rPr>
              <w:t>8.08</w:t>
            </w:r>
          </w:p>
        </w:tc>
        <w:tc>
          <w:tcPr>
            <w:tcW w:w="359" w:type="pct"/>
            <w:tcBorders>
              <w:top w:val="nil"/>
              <w:bottom w:val="nil"/>
            </w:tcBorders>
            <w:vAlign w:val="center"/>
          </w:tcPr>
          <w:p w:rsidR="00034935" w:rsidRDefault="00034935">
            <w:pPr>
              <w:jc w:val="center"/>
              <w:rPr>
                <w:rFonts w:cs="Arial"/>
                <w:sz w:val="20"/>
                <w:szCs w:val="20"/>
              </w:rPr>
            </w:pPr>
            <w:r>
              <w:rPr>
                <w:rFonts w:cs="Arial"/>
                <w:sz w:val="20"/>
                <w:szCs w:val="20"/>
              </w:rPr>
              <w:t>3957</w:t>
            </w:r>
          </w:p>
        </w:tc>
        <w:tc>
          <w:tcPr>
            <w:tcW w:w="303" w:type="pct"/>
            <w:gridSpan w:val="2"/>
            <w:tcBorders>
              <w:top w:val="nil"/>
              <w:bottom w:val="nil"/>
            </w:tcBorders>
            <w:vAlign w:val="center"/>
          </w:tcPr>
          <w:p w:rsidR="00034935" w:rsidRDefault="00034935">
            <w:pPr>
              <w:jc w:val="center"/>
              <w:rPr>
                <w:rFonts w:cs="Arial"/>
                <w:sz w:val="20"/>
                <w:szCs w:val="20"/>
              </w:rPr>
            </w:pPr>
            <w:r>
              <w:rPr>
                <w:rFonts w:cs="Arial"/>
                <w:sz w:val="20"/>
                <w:szCs w:val="20"/>
              </w:rPr>
              <w:t>-</w:t>
            </w:r>
          </w:p>
        </w:tc>
        <w:tc>
          <w:tcPr>
            <w:tcW w:w="412" w:type="pct"/>
            <w:tcBorders>
              <w:top w:val="nil"/>
              <w:bottom w:val="nil"/>
            </w:tcBorders>
            <w:vAlign w:val="center"/>
          </w:tcPr>
          <w:p w:rsidR="00034935" w:rsidRDefault="00034935">
            <w:pPr>
              <w:jc w:val="center"/>
              <w:rPr>
                <w:rFonts w:cs="Arial"/>
                <w:sz w:val="20"/>
                <w:szCs w:val="20"/>
              </w:rPr>
            </w:pPr>
            <w:r>
              <w:rPr>
                <w:rFonts w:cs="Arial"/>
                <w:sz w:val="20"/>
                <w:szCs w:val="20"/>
              </w:rPr>
              <w:t>-</w:t>
            </w:r>
          </w:p>
        </w:tc>
      </w:tr>
      <w:tr w:rsidR="00034935"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single" w:sz="4" w:space="0" w:color="auto"/>
            </w:tcBorders>
            <w:vAlign w:val="center"/>
          </w:tcPr>
          <w:p w:rsidR="00034935" w:rsidRDefault="00034935">
            <w:pPr>
              <w:rPr>
                <w:rFonts w:cs="Arial"/>
                <w:sz w:val="16"/>
                <w:szCs w:val="16"/>
              </w:rPr>
            </w:pPr>
            <w:r>
              <w:rPr>
                <w:rFonts w:cs="Arial"/>
                <w:sz w:val="16"/>
                <w:szCs w:val="16"/>
              </w:rPr>
              <w:t>% change from previous financial YTD</w:t>
            </w:r>
          </w:p>
        </w:tc>
        <w:tc>
          <w:tcPr>
            <w:tcW w:w="329" w:type="pct"/>
            <w:tcBorders>
              <w:top w:val="nil"/>
              <w:bottom w:val="single" w:sz="4" w:space="0" w:color="auto"/>
            </w:tcBorders>
            <w:vAlign w:val="center"/>
          </w:tcPr>
          <w:p w:rsidR="00034935" w:rsidRDefault="00034935">
            <w:pPr>
              <w:jc w:val="center"/>
              <w:rPr>
                <w:rFonts w:cs="Arial"/>
                <w:szCs w:val="20"/>
              </w:rPr>
            </w:pPr>
            <w:r>
              <w:rPr>
                <w:rFonts w:cs="Arial"/>
                <w:szCs w:val="20"/>
              </w:rPr>
              <w:t>90</w:t>
            </w:r>
          </w:p>
        </w:tc>
        <w:tc>
          <w:tcPr>
            <w:tcW w:w="441" w:type="pct"/>
            <w:tcBorders>
              <w:top w:val="nil"/>
              <w:bottom w:val="single" w:sz="4" w:space="0" w:color="auto"/>
            </w:tcBorders>
            <w:vAlign w:val="center"/>
          </w:tcPr>
          <w:p w:rsidR="00034935" w:rsidRDefault="00034935">
            <w:pPr>
              <w:jc w:val="center"/>
              <w:rPr>
                <w:rFonts w:cs="Arial"/>
                <w:szCs w:val="20"/>
              </w:rPr>
            </w:pPr>
            <w:r>
              <w:rPr>
                <w:rFonts w:cs="Arial"/>
                <w:szCs w:val="20"/>
              </w:rPr>
              <w:t>-10</w:t>
            </w:r>
          </w:p>
        </w:tc>
        <w:tc>
          <w:tcPr>
            <w:tcW w:w="329" w:type="pct"/>
            <w:tcBorders>
              <w:top w:val="nil"/>
              <w:bottom w:val="single" w:sz="4" w:space="0" w:color="auto"/>
            </w:tcBorders>
            <w:vAlign w:val="center"/>
          </w:tcPr>
          <w:p w:rsidR="00034935" w:rsidRDefault="00034935">
            <w:pPr>
              <w:jc w:val="center"/>
              <w:rPr>
                <w:rFonts w:cs="Arial"/>
                <w:szCs w:val="20"/>
              </w:rPr>
            </w:pPr>
            <w:r>
              <w:rPr>
                <w:rFonts w:cs="Arial"/>
                <w:szCs w:val="20"/>
              </w:rPr>
              <w:t>55</w:t>
            </w:r>
          </w:p>
        </w:tc>
        <w:tc>
          <w:tcPr>
            <w:tcW w:w="417" w:type="pct"/>
            <w:tcBorders>
              <w:top w:val="nil"/>
              <w:bottom w:val="single" w:sz="4" w:space="0" w:color="auto"/>
            </w:tcBorders>
            <w:vAlign w:val="center"/>
          </w:tcPr>
          <w:p w:rsidR="00034935" w:rsidRDefault="00034935">
            <w:pPr>
              <w:jc w:val="center"/>
              <w:rPr>
                <w:rFonts w:cs="Arial"/>
                <w:szCs w:val="20"/>
              </w:rPr>
            </w:pPr>
            <w:r>
              <w:rPr>
                <w:rFonts w:cs="Arial"/>
                <w:szCs w:val="20"/>
              </w:rPr>
              <w:t>1</w:t>
            </w:r>
          </w:p>
        </w:tc>
        <w:tc>
          <w:tcPr>
            <w:tcW w:w="329" w:type="pct"/>
            <w:tcBorders>
              <w:top w:val="nil"/>
              <w:bottom w:val="single" w:sz="4" w:space="0" w:color="auto"/>
            </w:tcBorders>
            <w:vAlign w:val="center"/>
          </w:tcPr>
          <w:p w:rsidR="00034935" w:rsidRDefault="00034935">
            <w:pPr>
              <w:jc w:val="center"/>
              <w:rPr>
                <w:rFonts w:cs="Arial"/>
                <w:szCs w:val="20"/>
              </w:rPr>
            </w:pPr>
            <w:r>
              <w:rPr>
                <w:rFonts w:cs="Arial"/>
                <w:szCs w:val="20"/>
              </w:rPr>
              <w:t>68</w:t>
            </w:r>
          </w:p>
        </w:tc>
        <w:tc>
          <w:tcPr>
            <w:tcW w:w="310" w:type="pct"/>
            <w:tcBorders>
              <w:top w:val="nil"/>
              <w:bottom w:val="single" w:sz="4" w:space="0" w:color="auto"/>
            </w:tcBorders>
            <w:vAlign w:val="center"/>
          </w:tcPr>
          <w:p w:rsidR="00034935" w:rsidRDefault="00034935">
            <w:pPr>
              <w:jc w:val="center"/>
              <w:rPr>
                <w:rFonts w:cs="Arial"/>
                <w:szCs w:val="20"/>
              </w:rPr>
            </w:pPr>
            <w:r>
              <w:rPr>
                <w:rFonts w:cs="Arial"/>
                <w:szCs w:val="20"/>
              </w:rPr>
              <w:t>-2</w:t>
            </w:r>
          </w:p>
        </w:tc>
        <w:tc>
          <w:tcPr>
            <w:tcW w:w="329" w:type="pct"/>
            <w:tcBorders>
              <w:top w:val="nil"/>
              <w:bottom w:val="single" w:sz="4" w:space="0" w:color="auto"/>
            </w:tcBorders>
            <w:vAlign w:val="center"/>
          </w:tcPr>
          <w:p w:rsidR="00034935" w:rsidRDefault="00034935">
            <w:pPr>
              <w:jc w:val="center"/>
              <w:rPr>
                <w:rFonts w:cs="Arial"/>
                <w:szCs w:val="20"/>
              </w:rPr>
            </w:pPr>
            <w:r>
              <w:rPr>
                <w:rFonts w:cs="Arial"/>
                <w:szCs w:val="20"/>
              </w:rPr>
              <w:t>70</w:t>
            </w:r>
          </w:p>
        </w:tc>
        <w:tc>
          <w:tcPr>
            <w:tcW w:w="363" w:type="pct"/>
            <w:tcBorders>
              <w:top w:val="nil"/>
              <w:bottom w:val="single" w:sz="4" w:space="0" w:color="auto"/>
            </w:tcBorders>
            <w:vAlign w:val="center"/>
          </w:tcPr>
          <w:p w:rsidR="00034935" w:rsidRDefault="00034935">
            <w:pPr>
              <w:jc w:val="center"/>
              <w:rPr>
                <w:rFonts w:cs="Arial"/>
                <w:szCs w:val="20"/>
              </w:rPr>
            </w:pPr>
            <w:r>
              <w:rPr>
                <w:rFonts w:cs="Arial"/>
                <w:szCs w:val="20"/>
              </w:rPr>
              <w:t>-4</w:t>
            </w:r>
          </w:p>
        </w:tc>
        <w:tc>
          <w:tcPr>
            <w:tcW w:w="330" w:type="pct"/>
            <w:tcBorders>
              <w:top w:val="nil"/>
              <w:bottom w:val="single" w:sz="4" w:space="0" w:color="auto"/>
            </w:tcBorders>
            <w:vAlign w:val="center"/>
          </w:tcPr>
          <w:p w:rsidR="00034935" w:rsidRDefault="00034935">
            <w:pPr>
              <w:jc w:val="center"/>
              <w:rPr>
                <w:rFonts w:cs="Arial"/>
                <w:szCs w:val="20"/>
              </w:rPr>
            </w:pPr>
            <w:r>
              <w:rPr>
                <w:rFonts w:cs="Arial"/>
                <w:szCs w:val="20"/>
              </w:rPr>
              <w:t>107</w:t>
            </w:r>
          </w:p>
        </w:tc>
        <w:tc>
          <w:tcPr>
            <w:tcW w:w="359" w:type="pct"/>
            <w:tcBorders>
              <w:top w:val="nil"/>
              <w:bottom w:val="single" w:sz="4" w:space="0" w:color="auto"/>
            </w:tcBorders>
            <w:vAlign w:val="center"/>
          </w:tcPr>
          <w:p w:rsidR="00034935" w:rsidRDefault="00034935">
            <w:pPr>
              <w:jc w:val="center"/>
              <w:rPr>
                <w:rFonts w:cs="Arial"/>
                <w:szCs w:val="20"/>
              </w:rPr>
            </w:pPr>
            <w:r>
              <w:rPr>
                <w:rFonts w:cs="Arial"/>
                <w:szCs w:val="20"/>
              </w:rPr>
              <w:t>47</w:t>
            </w:r>
          </w:p>
        </w:tc>
        <w:tc>
          <w:tcPr>
            <w:tcW w:w="303" w:type="pct"/>
            <w:gridSpan w:val="2"/>
            <w:tcBorders>
              <w:top w:val="nil"/>
              <w:bottom w:val="single" w:sz="4" w:space="0" w:color="auto"/>
            </w:tcBorders>
            <w:vAlign w:val="center"/>
          </w:tcPr>
          <w:p w:rsidR="00034935" w:rsidRDefault="00034935">
            <w:pPr>
              <w:jc w:val="center"/>
              <w:rPr>
                <w:rFonts w:cs="Arial"/>
                <w:szCs w:val="20"/>
              </w:rPr>
            </w:pPr>
            <w:r>
              <w:rPr>
                <w:rFonts w:cs="Arial"/>
                <w:szCs w:val="20"/>
              </w:rPr>
              <w:t>-</w:t>
            </w:r>
          </w:p>
        </w:tc>
        <w:tc>
          <w:tcPr>
            <w:tcW w:w="412" w:type="pct"/>
            <w:tcBorders>
              <w:top w:val="nil"/>
              <w:bottom w:val="single" w:sz="4" w:space="0" w:color="auto"/>
            </w:tcBorders>
            <w:vAlign w:val="center"/>
          </w:tcPr>
          <w:p w:rsidR="00034935" w:rsidRDefault="00034935">
            <w:pPr>
              <w:jc w:val="center"/>
              <w:rPr>
                <w:rFonts w:cs="Arial"/>
                <w:szCs w:val="20"/>
              </w:rPr>
            </w:pPr>
            <w:r>
              <w:rPr>
                <w:rFonts w:cs="Arial"/>
                <w:szCs w:val="20"/>
              </w:rPr>
              <w:t>-</w:t>
            </w:r>
          </w:p>
        </w:tc>
      </w:tr>
    </w:tbl>
    <w:p w:rsidR="001521CB" w:rsidRPr="008D4DAB" w:rsidRDefault="001521CB" w:rsidP="00A226E9">
      <w:pPr>
        <w:pStyle w:val="AERbodytext"/>
        <w:keepNext/>
      </w:pPr>
      <w:r w:rsidRPr="00EC137F">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fldSimple w:instr=" SEQ Figure \* ARABIC ">
        <w:r>
          <w:rPr>
            <w:noProof/>
          </w:rPr>
          <w:t>2</w:t>
        </w:r>
      </w:fldSimple>
      <w:r w:rsidRPr="001521CB">
        <w:t xml:space="preserve">: </w:t>
      </w:r>
      <w:r w:rsidRPr="001521CB">
        <w:rPr>
          <w:color w:val="2272A3"/>
          <w:szCs w:val="24"/>
        </w:rPr>
        <w:t>Daily gas market prices</w:t>
      </w:r>
      <w:r w:rsidR="00A84149">
        <w:rPr>
          <w:color w:val="2272A3"/>
          <w:szCs w:val="24"/>
        </w:rPr>
        <w:t xml:space="preserve"> ($/GJ)</w:t>
      </w:r>
    </w:p>
    <w:p w:rsidR="001521CB" w:rsidRDefault="00034935" w:rsidP="001521CB">
      <w:r w:rsidRPr="00034935">
        <w:rPr>
          <w:noProof/>
          <w:lang w:eastAsia="en-AU"/>
        </w:rPr>
        <w:drawing>
          <wp:inline distT="0" distB="0" distL="0" distR="0" wp14:anchorId="7819673A" wp14:editId="019A0FB0">
            <wp:extent cx="5731510" cy="3547765"/>
            <wp:effectExtent l="0" t="0" r="2540" b="0"/>
            <wp:docPr id="2" name="Picture 2"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47765"/>
                    </a:xfrm>
                    <a:prstGeom prst="rect">
                      <a:avLst/>
                    </a:prstGeom>
                    <a:noFill/>
                    <a:ln>
                      <a:noFill/>
                    </a:ln>
                  </pic:spPr>
                </pic:pic>
              </a:graphicData>
            </a:graphic>
          </wp:inline>
        </w:drawing>
      </w:r>
    </w:p>
    <w:p w:rsidR="001521CB" w:rsidRPr="00F61AE6" w:rsidRDefault="00CC65B2" w:rsidP="00F61AE6">
      <w:pPr>
        <w:spacing w:line="240" w:lineRule="auto"/>
        <w:rPr>
          <w:rFonts w:eastAsia="Times New Roman" w:cs="Arial"/>
          <w:bCs/>
          <w:lang w:eastAsia="en-AU"/>
        </w:rPr>
      </w:pPr>
      <w:r>
        <w:br w:type="page"/>
      </w:r>
      <w:r w:rsidR="001521CB" w:rsidRPr="00EC137F">
        <w:lastRenderedPageBreak/>
        <w:t xml:space="preserve">Figure 3 compares average ancillary market payments </w:t>
      </w:r>
      <w:r w:rsidR="006621AB" w:rsidRPr="00EC137F">
        <w:t xml:space="preserve">(VGM) </w:t>
      </w:r>
      <w:r w:rsidR="001521CB" w:rsidRPr="00EC137F">
        <w:t xml:space="preserve">and </w:t>
      </w:r>
      <w:r w:rsidR="006621AB" w:rsidRPr="00EC137F">
        <w:t xml:space="preserve">balancing gas service payments (STTM) </w:t>
      </w:r>
      <w:r w:rsidR="001521CB" w:rsidRPr="00EC137F">
        <w:t>against historical averages.</w:t>
      </w:r>
    </w:p>
    <w:p w:rsidR="001521CB" w:rsidRPr="001521CB" w:rsidRDefault="001521CB" w:rsidP="001521CB">
      <w:pPr>
        <w:pStyle w:val="Caption"/>
      </w:pPr>
      <w:r w:rsidRPr="001521CB">
        <w:t xml:space="preserve">Figure </w:t>
      </w:r>
      <w:fldSimple w:instr=" SEQ Figure \* ARABIC ">
        <w:r>
          <w:rPr>
            <w:noProof/>
          </w:rPr>
          <w:t>3</w:t>
        </w:r>
      </w:fldSimple>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034935" w:rsidRPr="00405CDE" w:rsidTr="00534DD9">
        <w:trPr>
          <w:trHeight w:val="510"/>
        </w:trPr>
        <w:tc>
          <w:tcPr>
            <w:tcW w:w="1585" w:type="pct"/>
            <w:tcBorders>
              <w:top w:val="nil"/>
              <w:bottom w:val="nil"/>
            </w:tcBorders>
            <w:vAlign w:val="center"/>
          </w:tcPr>
          <w:p w:rsidR="00034935" w:rsidRDefault="00034935">
            <w:pPr>
              <w:rPr>
                <w:rFonts w:cs="Arial"/>
                <w:sz w:val="16"/>
                <w:szCs w:val="16"/>
              </w:rPr>
            </w:pPr>
            <w:r>
              <w:rPr>
                <w:rFonts w:cs="Arial"/>
                <w:sz w:val="16"/>
                <w:szCs w:val="16"/>
              </w:rPr>
              <w:t>25 Sep - 01 Oct 2016</w:t>
            </w:r>
          </w:p>
        </w:tc>
        <w:tc>
          <w:tcPr>
            <w:tcW w:w="993" w:type="pct"/>
            <w:tcBorders>
              <w:top w:val="nil"/>
              <w:bottom w:val="nil"/>
            </w:tcBorders>
            <w:vAlign w:val="center"/>
          </w:tcPr>
          <w:p w:rsidR="00034935" w:rsidRDefault="00034935">
            <w:pPr>
              <w:jc w:val="center"/>
              <w:rPr>
                <w:rFonts w:cs="Arial"/>
                <w:sz w:val="20"/>
                <w:szCs w:val="20"/>
              </w:rPr>
            </w:pPr>
            <w:r>
              <w:rPr>
                <w:rFonts w:cs="Arial"/>
                <w:sz w:val="20"/>
                <w:szCs w:val="20"/>
              </w:rPr>
              <w:t>443.31</w:t>
            </w:r>
          </w:p>
        </w:tc>
        <w:tc>
          <w:tcPr>
            <w:tcW w:w="758" w:type="pct"/>
            <w:tcBorders>
              <w:top w:val="nil"/>
              <w:bottom w:val="nil"/>
            </w:tcBorders>
            <w:vAlign w:val="center"/>
          </w:tcPr>
          <w:p w:rsidR="00034935" w:rsidRDefault="00034935">
            <w:pPr>
              <w:jc w:val="center"/>
              <w:rPr>
                <w:rFonts w:cs="Arial"/>
                <w:sz w:val="20"/>
                <w:szCs w:val="20"/>
              </w:rPr>
            </w:pPr>
            <w:r>
              <w:rPr>
                <w:rFonts w:cs="Arial"/>
                <w:sz w:val="20"/>
                <w:szCs w:val="20"/>
              </w:rPr>
              <w:t>47.20</w:t>
            </w:r>
          </w:p>
        </w:tc>
        <w:tc>
          <w:tcPr>
            <w:tcW w:w="831" w:type="pct"/>
            <w:tcBorders>
              <w:top w:val="nil"/>
              <w:bottom w:val="nil"/>
            </w:tcBorders>
            <w:vAlign w:val="center"/>
          </w:tcPr>
          <w:p w:rsidR="00034935" w:rsidRDefault="00034935">
            <w:pPr>
              <w:jc w:val="center"/>
              <w:rPr>
                <w:rFonts w:cs="Arial"/>
                <w:sz w:val="20"/>
                <w:szCs w:val="20"/>
              </w:rPr>
            </w:pPr>
            <w:r>
              <w:rPr>
                <w:rFonts w:cs="Arial"/>
                <w:sz w:val="20"/>
                <w:szCs w:val="20"/>
              </w:rPr>
              <w:t>61.60</w:t>
            </w:r>
          </w:p>
        </w:tc>
        <w:tc>
          <w:tcPr>
            <w:tcW w:w="833" w:type="pct"/>
            <w:tcBorders>
              <w:top w:val="nil"/>
              <w:bottom w:val="nil"/>
            </w:tcBorders>
            <w:vAlign w:val="center"/>
          </w:tcPr>
          <w:p w:rsidR="00034935" w:rsidRDefault="00034935">
            <w:pPr>
              <w:jc w:val="center"/>
              <w:rPr>
                <w:rFonts w:cs="Arial"/>
                <w:sz w:val="20"/>
                <w:szCs w:val="20"/>
              </w:rPr>
            </w:pPr>
            <w:r>
              <w:rPr>
                <w:rFonts w:cs="Arial"/>
                <w:sz w:val="20"/>
                <w:szCs w:val="20"/>
              </w:rPr>
              <w:t>1.17</w:t>
            </w:r>
          </w:p>
        </w:tc>
      </w:tr>
      <w:tr w:rsidR="00034935"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034935" w:rsidRDefault="00034935">
            <w:pPr>
              <w:rPr>
                <w:rFonts w:cs="Arial"/>
                <w:sz w:val="16"/>
                <w:szCs w:val="16"/>
              </w:rPr>
            </w:pPr>
            <w:r>
              <w:rPr>
                <w:rFonts w:cs="Arial"/>
                <w:sz w:val="16"/>
                <w:szCs w:val="16"/>
              </w:rPr>
              <w:t>% change from previous week</w:t>
            </w:r>
          </w:p>
        </w:tc>
        <w:tc>
          <w:tcPr>
            <w:tcW w:w="993" w:type="pct"/>
            <w:tcBorders>
              <w:top w:val="nil"/>
              <w:bottom w:val="nil"/>
            </w:tcBorders>
            <w:vAlign w:val="center"/>
          </w:tcPr>
          <w:p w:rsidR="00034935" w:rsidRDefault="00034935">
            <w:pPr>
              <w:jc w:val="center"/>
              <w:rPr>
                <w:rFonts w:cs="Arial"/>
                <w:szCs w:val="20"/>
              </w:rPr>
            </w:pPr>
            <w:r>
              <w:rPr>
                <w:rFonts w:cs="Arial"/>
                <w:szCs w:val="20"/>
              </w:rPr>
              <w:t>-</w:t>
            </w:r>
          </w:p>
        </w:tc>
        <w:tc>
          <w:tcPr>
            <w:tcW w:w="758" w:type="pct"/>
            <w:tcBorders>
              <w:top w:val="nil"/>
              <w:bottom w:val="nil"/>
            </w:tcBorders>
            <w:vAlign w:val="center"/>
          </w:tcPr>
          <w:p w:rsidR="00034935" w:rsidRDefault="00034935">
            <w:pPr>
              <w:jc w:val="center"/>
              <w:rPr>
                <w:rFonts w:cs="Arial"/>
                <w:szCs w:val="20"/>
              </w:rPr>
            </w:pPr>
            <w:r>
              <w:rPr>
                <w:rFonts w:cs="Arial"/>
                <w:szCs w:val="20"/>
              </w:rPr>
              <w:t>-28</w:t>
            </w:r>
          </w:p>
        </w:tc>
        <w:tc>
          <w:tcPr>
            <w:tcW w:w="831" w:type="pct"/>
            <w:tcBorders>
              <w:top w:val="nil"/>
              <w:bottom w:val="nil"/>
            </w:tcBorders>
            <w:vAlign w:val="center"/>
          </w:tcPr>
          <w:p w:rsidR="00034935" w:rsidRDefault="00034935">
            <w:pPr>
              <w:jc w:val="center"/>
              <w:rPr>
                <w:rFonts w:cs="Arial"/>
                <w:szCs w:val="20"/>
              </w:rPr>
            </w:pPr>
            <w:r>
              <w:rPr>
                <w:rFonts w:cs="Arial"/>
                <w:szCs w:val="20"/>
              </w:rPr>
              <w:t>116</w:t>
            </w:r>
          </w:p>
        </w:tc>
        <w:tc>
          <w:tcPr>
            <w:tcW w:w="833" w:type="pct"/>
            <w:tcBorders>
              <w:top w:val="nil"/>
              <w:bottom w:val="nil"/>
            </w:tcBorders>
            <w:vAlign w:val="center"/>
          </w:tcPr>
          <w:p w:rsidR="00034935" w:rsidRDefault="00034935">
            <w:pPr>
              <w:jc w:val="center"/>
              <w:rPr>
                <w:rFonts w:cs="Arial"/>
                <w:szCs w:val="20"/>
              </w:rPr>
            </w:pPr>
            <w:r>
              <w:rPr>
                <w:rFonts w:cs="Arial"/>
                <w:szCs w:val="20"/>
              </w:rPr>
              <w:t>5</w:t>
            </w:r>
          </w:p>
        </w:tc>
      </w:tr>
      <w:tr w:rsidR="00034935" w:rsidRPr="00405CDE" w:rsidTr="00534DD9">
        <w:trPr>
          <w:trHeight w:val="510"/>
        </w:trPr>
        <w:tc>
          <w:tcPr>
            <w:tcW w:w="1585" w:type="pct"/>
            <w:tcBorders>
              <w:top w:val="nil"/>
              <w:bottom w:val="nil"/>
            </w:tcBorders>
            <w:vAlign w:val="center"/>
          </w:tcPr>
          <w:p w:rsidR="00034935" w:rsidRDefault="00034935">
            <w:pPr>
              <w:rPr>
                <w:rFonts w:cs="Arial"/>
                <w:sz w:val="16"/>
                <w:szCs w:val="16"/>
              </w:rPr>
            </w:pPr>
            <w:r>
              <w:rPr>
                <w:rFonts w:cs="Arial"/>
                <w:sz w:val="16"/>
                <w:szCs w:val="16"/>
              </w:rPr>
              <w:t>16-17 financial YTD</w:t>
            </w:r>
          </w:p>
        </w:tc>
        <w:tc>
          <w:tcPr>
            <w:tcW w:w="993" w:type="pct"/>
            <w:tcBorders>
              <w:top w:val="nil"/>
              <w:bottom w:val="nil"/>
            </w:tcBorders>
            <w:vAlign w:val="center"/>
          </w:tcPr>
          <w:p w:rsidR="00034935" w:rsidRDefault="00034935">
            <w:pPr>
              <w:jc w:val="center"/>
              <w:rPr>
                <w:rFonts w:cs="Arial"/>
                <w:sz w:val="20"/>
                <w:szCs w:val="20"/>
              </w:rPr>
            </w:pPr>
            <w:r>
              <w:rPr>
                <w:rFonts w:cs="Arial"/>
                <w:sz w:val="20"/>
                <w:szCs w:val="20"/>
              </w:rPr>
              <w:t> 33.67</w:t>
            </w:r>
          </w:p>
        </w:tc>
        <w:tc>
          <w:tcPr>
            <w:tcW w:w="758" w:type="pct"/>
            <w:tcBorders>
              <w:top w:val="nil"/>
              <w:bottom w:val="nil"/>
            </w:tcBorders>
            <w:vAlign w:val="center"/>
          </w:tcPr>
          <w:p w:rsidR="00034935" w:rsidRDefault="00034935">
            <w:pPr>
              <w:jc w:val="center"/>
              <w:rPr>
                <w:rFonts w:cs="Arial"/>
                <w:sz w:val="20"/>
                <w:szCs w:val="20"/>
              </w:rPr>
            </w:pPr>
            <w:r>
              <w:rPr>
                <w:rFonts w:cs="Arial"/>
                <w:sz w:val="20"/>
                <w:szCs w:val="20"/>
              </w:rPr>
              <w:t>68.36</w:t>
            </w:r>
          </w:p>
        </w:tc>
        <w:tc>
          <w:tcPr>
            <w:tcW w:w="831" w:type="pct"/>
            <w:tcBorders>
              <w:top w:val="nil"/>
              <w:bottom w:val="nil"/>
            </w:tcBorders>
            <w:vAlign w:val="center"/>
          </w:tcPr>
          <w:p w:rsidR="00034935" w:rsidRDefault="00034935">
            <w:pPr>
              <w:jc w:val="center"/>
              <w:rPr>
                <w:rFonts w:cs="Arial"/>
                <w:sz w:val="20"/>
                <w:szCs w:val="20"/>
              </w:rPr>
            </w:pPr>
            <w:r>
              <w:rPr>
                <w:rFonts w:cs="Arial"/>
                <w:sz w:val="20"/>
                <w:szCs w:val="20"/>
              </w:rPr>
              <w:t>27.58</w:t>
            </w:r>
          </w:p>
        </w:tc>
        <w:tc>
          <w:tcPr>
            <w:tcW w:w="833" w:type="pct"/>
            <w:tcBorders>
              <w:top w:val="nil"/>
              <w:bottom w:val="nil"/>
            </w:tcBorders>
            <w:vAlign w:val="center"/>
          </w:tcPr>
          <w:p w:rsidR="00034935" w:rsidRDefault="00034935">
            <w:pPr>
              <w:jc w:val="center"/>
              <w:rPr>
                <w:rFonts w:cs="Arial"/>
                <w:sz w:val="20"/>
                <w:szCs w:val="20"/>
              </w:rPr>
            </w:pPr>
            <w:r>
              <w:rPr>
                <w:rFonts w:cs="Arial"/>
                <w:sz w:val="20"/>
                <w:szCs w:val="20"/>
              </w:rPr>
              <w:t>1.35</w:t>
            </w:r>
          </w:p>
        </w:tc>
      </w:tr>
      <w:tr w:rsidR="00034935"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034935" w:rsidRDefault="00034935">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034935" w:rsidRDefault="00034935">
            <w:pPr>
              <w:jc w:val="center"/>
              <w:rPr>
                <w:rFonts w:cs="Arial"/>
                <w:szCs w:val="20"/>
              </w:rPr>
            </w:pPr>
            <w:r>
              <w:rPr>
                <w:rFonts w:cs="Arial"/>
                <w:szCs w:val="20"/>
              </w:rPr>
              <w:t> -</w:t>
            </w:r>
          </w:p>
        </w:tc>
        <w:tc>
          <w:tcPr>
            <w:tcW w:w="758" w:type="pct"/>
            <w:tcBorders>
              <w:top w:val="nil"/>
              <w:bottom w:val="single" w:sz="4" w:space="0" w:color="auto"/>
            </w:tcBorders>
            <w:vAlign w:val="center"/>
          </w:tcPr>
          <w:p w:rsidR="00034935" w:rsidRDefault="00034935">
            <w:pPr>
              <w:jc w:val="center"/>
              <w:rPr>
                <w:rFonts w:cs="Arial"/>
                <w:szCs w:val="20"/>
              </w:rPr>
            </w:pPr>
            <w:r>
              <w:rPr>
                <w:rFonts w:cs="Arial"/>
                <w:szCs w:val="20"/>
              </w:rPr>
              <w:t>163</w:t>
            </w:r>
          </w:p>
        </w:tc>
        <w:tc>
          <w:tcPr>
            <w:tcW w:w="831" w:type="pct"/>
            <w:tcBorders>
              <w:top w:val="nil"/>
              <w:bottom w:val="single" w:sz="4" w:space="0" w:color="auto"/>
            </w:tcBorders>
            <w:vAlign w:val="center"/>
          </w:tcPr>
          <w:p w:rsidR="00034935" w:rsidRDefault="00034935">
            <w:pPr>
              <w:jc w:val="center"/>
              <w:rPr>
                <w:rFonts w:cs="Arial"/>
                <w:szCs w:val="20"/>
              </w:rPr>
            </w:pPr>
            <w:r>
              <w:rPr>
                <w:rFonts w:cs="Arial"/>
                <w:szCs w:val="20"/>
              </w:rPr>
              <w:t>109</w:t>
            </w:r>
          </w:p>
        </w:tc>
        <w:tc>
          <w:tcPr>
            <w:tcW w:w="833" w:type="pct"/>
            <w:tcBorders>
              <w:top w:val="nil"/>
              <w:bottom w:val="single" w:sz="4" w:space="0" w:color="auto"/>
            </w:tcBorders>
            <w:vAlign w:val="center"/>
          </w:tcPr>
          <w:p w:rsidR="00034935" w:rsidRDefault="00034935">
            <w:pPr>
              <w:jc w:val="center"/>
              <w:rPr>
                <w:rFonts w:cs="Arial"/>
                <w:szCs w:val="20"/>
              </w:rPr>
            </w:pPr>
            <w:r>
              <w:rPr>
                <w:rFonts w:cs="Arial"/>
                <w:szCs w:val="20"/>
              </w:rPr>
              <w:t>-5</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F26128" w:rsidRDefault="00F26128" w:rsidP="001521CB">
      <w:pPr>
        <w:pStyle w:val="AERbodytext"/>
      </w:pPr>
    </w:p>
    <w:p w:rsidR="004C571B" w:rsidRPr="00552F68" w:rsidRDefault="004C571B" w:rsidP="00F26128">
      <w:pPr>
        <w:keepNext/>
      </w:pPr>
      <w:r w:rsidRPr="00552F68">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fldSimple w:instr=" SEQ Figure \* ARABIC ">
        <w:r w:rsidR="00587CFB" w:rsidRPr="00552F68">
          <w:rPr>
            <w:noProof/>
          </w:rPr>
          <w:t>4</w:t>
        </w:r>
      </w:fldSimple>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r w:rsidR="00410584" w:rsidRPr="00552F68">
        <w:rPr>
          <w:color w:val="2272A3"/>
          <w:szCs w:val="24"/>
        </w:rPr>
        <w:t>*</w:t>
      </w:r>
    </w:p>
    <w:tbl>
      <w:tblPr>
        <w:tblStyle w:val="AERTable-Text"/>
        <w:tblW w:w="4830" w:type="pct"/>
        <w:tblLayout w:type="fixed"/>
        <w:tblLook w:val="04A0" w:firstRow="1" w:lastRow="0" w:firstColumn="1" w:lastColumn="0" w:noHBand="0" w:noVBand="1"/>
      </w:tblPr>
      <w:tblGrid>
        <w:gridCol w:w="1665"/>
        <w:gridCol w:w="625"/>
        <w:gridCol w:w="795"/>
        <w:gridCol w:w="714"/>
        <w:gridCol w:w="787"/>
        <w:gridCol w:w="634"/>
        <w:gridCol w:w="789"/>
        <w:gridCol w:w="723"/>
        <w:gridCol w:w="787"/>
        <w:gridCol w:w="623"/>
        <w:gridCol w:w="786"/>
      </w:tblGrid>
      <w:tr w:rsidR="00B302BF" w:rsidRPr="002861A9" w:rsidTr="00B302BF">
        <w:trPr>
          <w:cnfStyle w:val="100000000000" w:firstRow="1" w:lastRow="0" w:firstColumn="0" w:lastColumn="0" w:oddVBand="0" w:evenVBand="0" w:oddHBand="0" w:evenHBand="0" w:firstRowFirstColumn="0" w:firstRowLastColumn="0" w:lastRowFirstColumn="0" w:lastRowLastColumn="0"/>
          <w:trHeight w:val="404"/>
          <w:tblHeader/>
        </w:trPr>
        <w:tc>
          <w:tcPr>
            <w:tcW w:w="932" w:type="pct"/>
            <w:tcBorders>
              <w:bottom w:val="nil"/>
            </w:tcBorders>
            <w:vAlign w:val="center"/>
          </w:tcPr>
          <w:p w:rsidR="00A226E9" w:rsidRPr="00E16EDC" w:rsidRDefault="00A226E9" w:rsidP="00A226E9">
            <w:pPr>
              <w:pStyle w:val="TableHeading"/>
              <w:spacing w:before="120" w:after="0" w:line="240" w:lineRule="auto"/>
              <w:jc w:val="center"/>
              <w:rPr>
                <w:rFonts w:cs="Arial"/>
                <w:sz w:val="20"/>
                <w:szCs w:val="20"/>
              </w:rPr>
            </w:pPr>
          </w:p>
        </w:tc>
        <w:tc>
          <w:tcPr>
            <w:tcW w:w="795"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841"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Pr>
                <w:rFonts w:cs="Arial"/>
                <w:bCs/>
                <w:color w:val="FFFFFF"/>
                <w:sz w:val="20"/>
                <w:szCs w:val="20"/>
              </w:rPr>
              <w:t>SWQP</w:t>
            </w:r>
          </w:p>
        </w:tc>
        <w:tc>
          <w:tcPr>
            <w:tcW w:w="797"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846"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89"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QGP</w:t>
            </w:r>
          </w:p>
        </w:tc>
      </w:tr>
      <w:tr w:rsidR="00B302BF" w:rsidRPr="002861A9" w:rsidTr="00B302BF">
        <w:trPr>
          <w:cnfStyle w:val="100000000000" w:firstRow="1" w:lastRow="0" w:firstColumn="0" w:lastColumn="0" w:oddVBand="0" w:evenVBand="0" w:oddHBand="0" w:evenHBand="0" w:firstRowFirstColumn="0" w:firstRowLastColumn="0" w:lastRowFirstColumn="0" w:lastRowLastColumn="0"/>
          <w:tblHeader/>
        </w:trPr>
        <w:tc>
          <w:tcPr>
            <w:tcW w:w="932" w:type="pct"/>
            <w:tcBorders>
              <w:bottom w:val="nil"/>
            </w:tcBorders>
            <w:vAlign w:val="center"/>
          </w:tcPr>
          <w:p w:rsidR="00B302BF" w:rsidRPr="00587CFB" w:rsidRDefault="00B302BF" w:rsidP="00A226E9">
            <w:pPr>
              <w:pStyle w:val="TableHeading"/>
              <w:jc w:val="center"/>
              <w:rPr>
                <w:rFonts w:cs="Arial"/>
                <w:sz w:val="20"/>
                <w:szCs w:val="20"/>
              </w:rPr>
            </w:pPr>
          </w:p>
        </w:tc>
        <w:tc>
          <w:tcPr>
            <w:tcW w:w="350" w:type="pct"/>
            <w:tcBorders>
              <w:bottom w:val="nil"/>
            </w:tcBorders>
            <w:vAlign w:val="center"/>
            <w:hideMark/>
          </w:tcPr>
          <w:p w:rsidR="00B302BF" w:rsidRPr="00587CFB" w:rsidRDefault="00B302BF" w:rsidP="00A226E9">
            <w:pPr>
              <w:jc w:val="center"/>
              <w:rPr>
                <w:rFonts w:cs="Arial"/>
                <w:bCs/>
                <w:color w:val="FFFFFF"/>
                <w:sz w:val="14"/>
                <w:szCs w:val="20"/>
                <w:highlight w:val="cyan"/>
              </w:rPr>
            </w:pPr>
            <w:r w:rsidRPr="00587CFB">
              <w:rPr>
                <w:rFonts w:cs="Arial"/>
                <w:bCs/>
                <w:color w:val="FFFFFF"/>
                <w:sz w:val="14"/>
                <w:szCs w:val="20"/>
              </w:rPr>
              <w:t>VWA price</w:t>
            </w:r>
          </w:p>
        </w:tc>
        <w:tc>
          <w:tcPr>
            <w:tcW w:w="445" w:type="pct"/>
            <w:tcBorders>
              <w:bottom w:val="nil"/>
            </w:tcBorders>
            <w:vAlign w:val="center"/>
            <w:hideMark/>
          </w:tcPr>
          <w:p w:rsidR="00B302BF" w:rsidRPr="00587CFB" w:rsidRDefault="00B302BF" w:rsidP="00A226E9">
            <w:pPr>
              <w:jc w:val="center"/>
              <w:rPr>
                <w:rFonts w:cs="Arial"/>
                <w:bCs/>
                <w:color w:val="FFFFFF"/>
                <w:sz w:val="14"/>
                <w:szCs w:val="20"/>
                <w:highlight w:val="cyan"/>
              </w:rPr>
            </w:pPr>
            <w:r>
              <w:rPr>
                <w:rFonts w:cs="Arial"/>
                <w:bCs/>
                <w:color w:val="FFFFFF"/>
                <w:sz w:val="14"/>
                <w:szCs w:val="20"/>
              </w:rPr>
              <w:t>Quantity</w:t>
            </w:r>
          </w:p>
        </w:tc>
        <w:tc>
          <w:tcPr>
            <w:tcW w:w="400" w:type="pct"/>
            <w:tcBorders>
              <w:bottom w:val="nil"/>
            </w:tcBorders>
            <w:vAlign w:val="center"/>
            <w:hideMark/>
          </w:tcPr>
          <w:p w:rsidR="00B302BF" w:rsidRPr="00587CFB" w:rsidRDefault="00B302BF" w:rsidP="0043796B">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43796B">
            <w:pPr>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vAlign w:val="center"/>
          </w:tcPr>
          <w:p w:rsidR="00B302BF" w:rsidRPr="00587CFB" w:rsidRDefault="00B302BF" w:rsidP="0043796B">
            <w:pPr>
              <w:jc w:val="center"/>
              <w:rPr>
                <w:rFonts w:cs="Arial"/>
                <w:bCs/>
                <w:color w:val="FFFFFF"/>
                <w:sz w:val="14"/>
                <w:szCs w:val="20"/>
                <w:highlight w:val="cyan"/>
              </w:rPr>
            </w:pPr>
            <w:r w:rsidRPr="00587CFB">
              <w:rPr>
                <w:rFonts w:cs="Arial"/>
                <w:bCs/>
                <w:color w:val="FFFFFF"/>
                <w:sz w:val="14"/>
                <w:szCs w:val="20"/>
              </w:rPr>
              <w:t>VWA price</w:t>
            </w:r>
          </w:p>
        </w:tc>
        <w:tc>
          <w:tcPr>
            <w:tcW w:w="442" w:type="pct"/>
            <w:tcBorders>
              <w:bottom w:val="nil"/>
            </w:tcBorders>
            <w:vAlign w:val="center"/>
          </w:tcPr>
          <w:p w:rsidR="00B302BF" w:rsidRPr="00587CFB" w:rsidRDefault="00B302BF" w:rsidP="0043796B">
            <w:pPr>
              <w:jc w:val="center"/>
              <w:rPr>
                <w:rFonts w:cs="Arial"/>
                <w:bCs/>
                <w:color w:val="FFFFFF"/>
                <w:sz w:val="14"/>
                <w:szCs w:val="20"/>
                <w:highlight w:val="cyan"/>
              </w:rPr>
            </w:pPr>
            <w:r>
              <w:rPr>
                <w:rFonts w:cs="Arial"/>
                <w:bCs/>
                <w:color w:val="FFFFFF"/>
                <w:sz w:val="14"/>
                <w:szCs w:val="20"/>
              </w:rPr>
              <w:t>Quantity</w:t>
            </w:r>
          </w:p>
        </w:tc>
        <w:tc>
          <w:tcPr>
            <w:tcW w:w="405" w:type="pct"/>
            <w:tcBorders>
              <w:bottom w:val="nil"/>
            </w:tcBorders>
            <w:vAlign w:val="center"/>
          </w:tcPr>
          <w:p w:rsidR="00B302BF" w:rsidRPr="00587CFB" w:rsidRDefault="00B302BF" w:rsidP="0043796B">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43796B">
            <w:pPr>
              <w:jc w:val="center"/>
              <w:rPr>
                <w:rFonts w:cs="Arial"/>
                <w:bCs/>
                <w:color w:val="FFFFFF"/>
                <w:sz w:val="14"/>
                <w:szCs w:val="20"/>
                <w:highlight w:val="cyan"/>
              </w:rPr>
            </w:pPr>
            <w:r>
              <w:rPr>
                <w:rFonts w:cs="Arial"/>
                <w:bCs/>
                <w:color w:val="FFFFFF"/>
                <w:sz w:val="14"/>
                <w:szCs w:val="20"/>
              </w:rPr>
              <w:t>Quantity</w:t>
            </w:r>
          </w:p>
        </w:tc>
        <w:tc>
          <w:tcPr>
            <w:tcW w:w="349" w:type="pct"/>
            <w:tcBorders>
              <w:bottom w:val="nil"/>
            </w:tcBorders>
            <w:vAlign w:val="center"/>
          </w:tcPr>
          <w:p w:rsidR="00B302BF" w:rsidRPr="00587CFB" w:rsidRDefault="00B302BF" w:rsidP="0043796B">
            <w:pPr>
              <w:jc w:val="center"/>
              <w:rPr>
                <w:rFonts w:cs="Arial"/>
                <w:bCs/>
                <w:color w:val="FFFFFF"/>
                <w:sz w:val="14"/>
                <w:szCs w:val="20"/>
                <w:highlight w:val="cyan"/>
              </w:rPr>
            </w:pPr>
            <w:r w:rsidRPr="00587CFB">
              <w:rPr>
                <w:rFonts w:cs="Arial"/>
                <w:bCs/>
                <w:color w:val="FFFFFF"/>
                <w:sz w:val="14"/>
                <w:szCs w:val="20"/>
              </w:rPr>
              <w:t>VWA price</w:t>
            </w:r>
          </w:p>
        </w:tc>
        <w:tc>
          <w:tcPr>
            <w:tcW w:w="440" w:type="pct"/>
            <w:tcBorders>
              <w:bottom w:val="nil"/>
            </w:tcBorders>
            <w:vAlign w:val="center"/>
          </w:tcPr>
          <w:p w:rsidR="00B302BF" w:rsidRPr="00587CFB" w:rsidRDefault="00B302BF" w:rsidP="0043796B">
            <w:pPr>
              <w:jc w:val="center"/>
              <w:rPr>
                <w:rFonts w:cs="Arial"/>
                <w:bCs/>
                <w:color w:val="FFFFFF"/>
                <w:sz w:val="14"/>
                <w:szCs w:val="20"/>
                <w:highlight w:val="cyan"/>
              </w:rPr>
            </w:pPr>
            <w:r>
              <w:rPr>
                <w:rFonts w:cs="Arial"/>
                <w:bCs/>
                <w:color w:val="FFFFFF"/>
                <w:sz w:val="14"/>
                <w:szCs w:val="20"/>
              </w:rPr>
              <w:t>Quantity</w:t>
            </w:r>
          </w:p>
        </w:tc>
      </w:tr>
      <w:tr w:rsidR="00032753" w:rsidRPr="006A7228" w:rsidTr="00B302BF">
        <w:trPr>
          <w:trHeight w:val="510"/>
        </w:trPr>
        <w:tc>
          <w:tcPr>
            <w:tcW w:w="932" w:type="pct"/>
            <w:tcBorders>
              <w:top w:val="nil"/>
              <w:bottom w:val="nil"/>
            </w:tcBorders>
            <w:vAlign w:val="center"/>
          </w:tcPr>
          <w:p w:rsidR="00032753" w:rsidRDefault="00032753">
            <w:pPr>
              <w:rPr>
                <w:rFonts w:cs="Arial"/>
                <w:b/>
                <w:bCs/>
                <w:sz w:val="20"/>
                <w:szCs w:val="20"/>
              </w:rPr>
            </w:pPr>
            <w:r>
              <w:rPr>
                <w:rFonts w:cs="Arial"/>
                <w:b/>
                <w:bCs/>
                <w:sz w:val="20"/>
                <w:szCs w:val="20"/>
              </w:rPr>
              <w:t>Balance of day</w:t>
            </w:r>
          </w:p>
        </w:tc>
        <w:tc>
          <w:tcPr>
            <w:tcW w:w="350" w:type="pct"/>
            <w:tcBorders>
              <w:top w:val="nil"/>
              <w:bottom w:val="nil"/>
            </w:tcBorders>
            <w:vAlign w:val="center"/>
          </w:tcPr>
          <w:p w:rsidR="00032753" w:rsidRDefault="00032753">
            <w:pPr>
              <w:jc w:val="center"/>
              <w:rPr>
                <w:rFonts w:cs="Arial"/>
                <w:sz w:val="20"/>
                <w:szCs w:val="20"/>
              </w:rPr>
            </w:pPr>
            <w:r>
              <w:rPr>
                <w:rFonts w:cs="Arial"/>
                <w:sz w:val="20"/>
                <w:szCs w:val="20"/>
              </w:rPr>
              <w:t>3.99</w:t>
            </w:r>
          </w:p>
        </w:tc>
        <w:tc>
          <w:tcPr>
            <w:tcW w:w="445" w:type="pct"/>
            <w:tcBorders>
              <w:top w:val="nil"/>
              <w:bottom w:val="nil"/>
            </w:tcBorders>
            <w:vAlign w:val="center"/>
          </w:tcPr>
          <w:p w:rsidR="00032753" w:rsidRDefault="00032753">
            <w:pPr>
              <w:jc w:val="center"/>
              <w:rPr>
                <w:rFonts w:cs="Arial"/>
                <w:sz w:val="20"/>
                <w:szCs w:val="20"/>
              </w:rPr>
            </w:pPr>
            <w:r>
              <w:rPr>
                <w:rFonts w:cs="Arial"/>
                <w:sz w:val="20"/>
                <w:szCs w:val="20"/>
              </w:rPr>
              <w:t>3.8</w:t>
            </w:r>
          </w:p>
        </w:tc>
        <w:tc>
          <w:tcPr>
            <w:tcW w:w="400" w:type="pct"/>
            <w:tcBorders>
              <w:top w:val="nil"/>
              <w:bottom w:val="nil"/>
            </w:tcBorders>
            <w:vAlign w:val="center"/>
          </w:tcPr>
          <w:p w:rsidR="00032753" w:rsidRDefault="00032753">
            <w:pPr>
              <w:jc w:val="center"/>
              <w:rPr>
                <w:rFonts w:cs="Arial"/>
                <w:sz w:val="20"/>
                <w:szCs w:val="20"/>
              </w:rPr>
            </w:pPr>
            <w:r>
              <w:rPr>
                <w:rFonts w:cs="Arial"/>
                <w:sz w:val="20"/>
                <w:szCs w:val="20"/>
              </w:rPr>
              <w:t>3.38</w:t>
            </w:r>
          </w:p>
        </w:tc>
        <w:tc>
          <w:tcPr>
            <w:tcW w:w="441" w:type="pct"/>
            <w:tcBorders>
              <w:top w:val="nil"/>
              <w:bottom w:val="nil"/>
            </w:tcBorders>
            <w:vAlign w:val="center"/>
          </w:tcPr>
          <w:p w:rsidR="00032753" w:rsidRDefault="00032753">
            <w:pPr>
              <w:jc w:val="center"/>
              <w:rPr>
                <w:rFonts w:cs="Arial"/>
                <w:sz w:val="20"/>
                <w:szCs w:val="20"/>
              </w:rPr>
            </w:pPr>
            <w:r>
              <w:rPr>
                <w:rFonts w:cs="Arial"/>
                <w:sz w:val="20"/>
                <w:szCs w:val="20"/>
              </w:rPr>
              <w:t>8.0</w:t>
            </w:r>
          </w:p>
        </w:tc>
        <w:tc>
          <w:tcPr>
            <w:tcW w:w="355" w:type="pct"/>
            <w:tcBorders>
              <w:top w:val="nil"/>
              <w:bottom w:val="nil"/>
            </w:tcBorders>
            <w:vAlign w:val="center"/>
          </w:tcPr>
          <w:p w:rsidR="00032753" w:rsidRDefault="00032753">
            <w:pPr>
              <w:jc w:val="center"/>
              <w:rPr>
                <w:rFonts w:cs="Arial"/>
                <w:sz w:val="20"/>
                <w:szCs w:val="20"/>
              </w:rPr>
            </w:pPr>
            <w:r>
              <w:rPr>
                <w:rFonts w:cs="Arial"/>
                <w:sz w:val="20"/>
                <w:szCs w:val="20"/>
              </w:rPr>
              <w:t>-</w:t>
            </w:r>
          </w:p>
        </w:tc>
        <w:tc>
          <w:tcPr>
            <w:tcW w:w="442" w:type="pct"/>
            <w:tcBorders>
              <w:top w:val="nil"/>
              <w:bottom w:val="nil"/>
            </w:tcBorders>
            <w:vAlign w:val="center"/>
          </w:tcPr>
          <w:p w:rsidR="00032753" w:rsidRDefault="00032753">
            <w:pPr>
              <w:jc w:val="center"/>
              <w:rPr>
                <w:rFonts w:cs="Arial"/>
                <w:sz w:val="20"/>
                <w:szCs w:val="20"/>
              </w:rPr>
            </w:pPr>
            <w:r>
              <w:rPr>
                <w:rFonts w:cs="Arial"/>
                <w:sz w:val="20"/>
                <w:szCs w:val="20"/>
              </w:rPr>
              <w:t>-</w:t>
            </w:r>
          </w:p>
        </w:tc>
        <w:tc>
          <w:tcPr>
            <w:tcW w:w="405" w:type="pct"/>
            <w:tcBorders>
              <w:top w:val="nil"/>
              <w:bottom w:val="nil"/>
            </w:tcBorders>
            <w:vAlign w:val="center"/>
          </w:tcPr>
          <w:p w:rsidR="00032753" w:rsidRDefault="00032753">
            <w:pPr>
              <w:jc w:val="center"/>
              <w:rPr>
                <w:rFonts w:cs="Arial"/>
                <w:sz w:val="20"/>
                <w:szCs w:val="20"/>
              </w:rPr>
            </w:pPr>
            <w:r>
              <w:rPr>
                <w:rFonts w:cs="Arial"/>
                <w:sz w:val="20"/>
                <w:szCs w:val="20"/>
              </w:rPr>
              <w:t>-</w:t>
            </w:r>
          </w:p>
        </w:tc>
        <w:tc>
          <w:tcPr>
            <w:tcW w:w="441" w:type="pct"/>
            <w:tcBorders>
              <w:top w:val="nil"/>
              <w:bottom w:val="nil"/>
            </w:tcBorders>
            <w:vAlign w:val="center"/>
          </w:tcPr>
          <w:p w:rsidR="00032753" w:rsidRDefault="00032753">
            <w:pPr>
              <w:jc w:val="center"/>
              <w:rPr>
                <w:rFonts w:cs="Arial"/>
                <w:sz w:val="20"/>
                <w:szCs w:val="20"/>
              </w:rPr>
            </w:pPr>
            <w:r>
              <w:rPr>
                <w:rFonts w:cs="Arial"/>
                <w:sz w:val="20"/>
                <w:szCs w:val="20"/>
              </w:rPr>
              <w:t>-</w:t>
            </w:r>
          </w:p>
        </w:tc>
        <w:tc>
          <w:tcPr>
            <w:tcW w:w="349" w:type="pct"/>
            <w:tcBorders>
              <w:top w:val="nil"/>
              <w:bottom w:val="nil"/>
            </w:tcBorders>
            <w:vAlign w:val="center"/>
          </w:tcPr>
          <w:p w:rsidR="00032753" w:rsidRDefault="00032753">
            <w:pPr>
              <w:jc w:val="center"/>
              <w:rPr>
                <w:rFonts w:cs="Arial"/>
                <w:sz w:val="20"/>
                <w:szCs w:val="20"/>
              </w:rPr>
            </w:pPr>
            <w:r>
              <w:rPr>
                <w:rFonts w:cs="Arial"/>
                <w:sz w:val="20"/>
                <w:szCs w:val="20"/>
              </w:rPr>
              <w:t>-</w:t>
            </w:r>
          </w:p>
        </w:tc>
        <w:tc>
          <w:tcPr>
            <w:tcW w:w="440" w:type="pct"/>
            <w:tcBorders>
              <w:top w:val="nil"/>
              <w:bottom w:val="nil"/>
            </w:tcBorders>
            <w:vAlign w:val="center"/>
          </w:tcPr>
          <w:p w:rsidR="00032753" w:rsidRDefault="00032753">
            <w:pPr>
              <w:jc w:val="center"/>
              <w:rPr>
                <w:rFonts w:cs="Arial"/>
                <w:sz w:val="20"/>
                <w:szCs w:val="20"/>
              </w:rPr>
            </w:pPr>
            <w:r>
              <w:rPr>
                <w:rFonts w:cs="Arial"/>
                <w:sz w:val="20"/>
                <w:szCs w:val="20"/>
              </w:rPr>
              <w:t>-</w:t>
            </w:r>
          </w:p>
        </w:tc>
      </w:tr>
      <w:tr w:rsidR="00032753"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032753" w:rsidRDefault="00032753">
            <w:pPr>
              <w:rPr>
                <w:rFonts w:cs="Arial"/>
                <w:b/>
                <w:bCs/>
                <w:szCs w:val="20"/>
              </w:rPr>
            </w:pPr>
            <w:r>
              <w:rPr>
                <w:rFonts w:cs="Arial"/>
                <w:b/>
                <w:bCs/>
                <w:szCs w:val="20"/>
              </w:rPr>
              <w:t>Daily</w:t>
            </w:r>
          </w:p>
        </w:tc>
        <w:tc>
          <w:tcPr>
            <w:tcW w:w="350" w:type="pct"/>
            <w:tcBorders>
              <w:top w:val="nil"/>
              <w:bottom w:val="nil"/>
            </w:tcBorders>
            <w:vAlign w:val="center"/>
          </w:tcPr>
          <w:p w:rsidR="00032753" w:rsidRDefault="00032753">
            <w:pPr>
              <w:jc w:val="center"/>
              <w:rPr>
                <w:rFonts w:cs="Arial"/>
                <w:szCs w:val="20"/>
              </w:rPr>
            </w:pPr>
            <w:r>
              <w:rPr>
                <w:rFonts w:cs="Arial"/>
                <w:szCs w:val="20"/>
              </w:rPr>
              <w:t>-</w:t>
            </w:r>
          </w:p>
        </w:tc>
        <w:tc>
          <w:tcPr>
            <w:tcW w:w="445" w:type="pct"/>
            <w:tcBorders>
              <w:top w:val="nil"/>
              <w:bottom w:val="nil"/>
            </w:tcBorders>
            <w:vAlign w:val="center"/>
          </w:tcPr>
          <w:p w:rsidR="00032753" w:rsidRDefault="00032753">
            <w:pPr>
              <w:jc w:val="center"/>
              <w:rPr>
                <w:rFonts w:cs="Arial"/>
                <w:szCs w:val="20"/>
              </w:rPr>
            </w:pPr>
            <w:r>
              <w:rPr>
                <w:rFonts w:cs="Arial"/>
                <w:szCs w:val="20"/>
              </w:rPr>
              <w:t>-</w:t>
            </w:r>
          </w:p>
        </w:tc>
        <w:tc>
          <w:tcPr>
            <w:tcW w:w="400" w:type="pct"/>
            <w:tcBorders>
              <w:top w:val="nil"/>
              <w:bottom w:val="nil"/>
            </w:tcBorders>
            <w:vAlign w:val="center"/>
          </w:tcPr>
          <w:p w:rsidR="00032753" w:rsidRDefault="00032753">
            <w:pPr>
              <w:jc w:val="center"/>
              <w:rPr>
                <w:rFonts w:cs="Arial"/>
                <w:szCs w:val="20"/>
              </w:rPr>
            </w:pPr>
            <w:r>
              <w:rPr>
                <w:rFonts w:cs="Arial"/>
                <w:szCs w:val="20"/>
              </w:rPr>
              <w:t>-</w:t>
            </w:r>
          </w:p>
        </w:tc>
        <w:tc>
          <w:tcPr>
            <w:tcW w:w="441" w:type="pct"/>
            <w:tcBorders>
              <w:top w:val="nil"/>
              <w:bottom w:val="nil"/>
            </w:tcBorders>
            <w:vAlign w:val="center"/>
          </w:tcPr>
          <w:p w:rsidR="00032753" w:rsidRDefault="00032753">
            <w:pPr>
              <w:jc w:val="center"/>
              <w:rPr>
                <w:rFonts w:cs="Arial"/>
                <w:szCs w:val="20"/>
              </w:rPr>
            </w:pPr>
            <w:r>
              <w:rPr>
                <w:rFonts w:cs="Arial"/>
                <w:szCs w:val="20"/>
              </w:rPr>
              <w:t>-</w:t>
            </w:r>
          </w:p>
        </w:tc>
        <w:tc>
          <w:tcPr>
            <w:tcW w:w="355" w:type="pct"/>
            <w:tcBorders>
              <w:top w:val="nil"/>
              <w:bottom w:val="nil"/>
            </w:tcBorders>
            <w:vAlign w:val="center"/>
          </w:tcPr>
          <w:p w:rsidR="00032753" w:rsidRDefault="00032753">
            <w:pPr>
              <w:jc w:val="center"/>
              <w:rPr>
                <w:rFonts w:cs="Arial"/>
                <w:szCs w:val="20"/>
              </w:rPr>
            </w:pPr>
            <w:r>
              <w:rPr>
                <w:rFonts w:cs="Arial"/>
                <w:szCs w:val="20"/>
              </w:rPr>
              <w:t>-</w:t>
            </w:r>
          </w:p>
        </w:tc>
        <w:tc>
          <w:tcPr>
            <w:tcW w:w="442" w:type="pct"/>
            <w:tcBorders>
              <w:top w:val="nil"/>
              <w:bottom w:val="nil"/>
            </w:tcBorders>
            <w:vAlign w:val="center"/>
          </w:tcPr>
          <w:p w:rsidR="00032753" w:rsidRDefault="00032753">
            <w:pPr>
              <w:jc w:val="center"/>
              <w:rPr>
                <w:rFonts w:cs="Arial"/>
                <w:szCs w:val="20"/>
              </w:rPr>
            </w:pPr>
            <w:r>
              <w:rPr>
                <w:rFonts w:cs="Arial"/>
                <w:szCs w:val="20"/>
              </w:rPr>
              <w:t>-</w:t>
            </w:r>
          </w:p>
        </w:tc>
        <w:tc>
          <w:tcPr>
            <w:tcW w:w="405" w:type="pct"/>
            <w:tcBorders>
              <w:top w:val="nil"/>
              <w:bottom w:val="nil"/>
            </w:tcBorders>
            <w:vAlign w:val="center"/>
          </w:tcPr>
          <w:p w:rsidR="00032753" w:rsidRDefault="00032753">
            <w:pPr>
              <w:jc w:val="center"/>
              <w:rPr>
                <w:rFonts w:cs="Arial"/>
                <w:szCs w:val="20"/>
              </w:rPr>
            </w:pPr>
            <w:r>
              <w:rPr>
                <w:rFonts w:cs="Arial"/>
                <w:szCs w:val="20"/>
              </w:rPr>
              <w:t>-</w:t>
            </w:r>
          </w:p>
        </w:tc>
        <w:tc>
          <w:tcPr>
            <w:tcW w:w="441" w:type="pct"/>
            <w:tcBorders>
              <w:top w:val="nil"/>
              <w:bottom w:val="nil"/>
            </w:tcBorders>
            <w:vAlign w:val="center"/>
          </w:tcPr>
          <w:p w:rsidR="00032753" w:rsidRDefault="00032753">
            <w:pPr>
              <w:jc w:val="center"/>
              <w:rPr>
                <w:rFonts w:cs="Arial"/>
                <w:szCs w:val="20"/>
              </w:rPr>
            </w:pPr>
            <w:r>
              <w:rPr>
                <w:rFonts w:cs="Arial"/>
                <w:szCs w:val="20"/>
              </w:rPr>
              <w:t>-</w:t>
            </w:r>
          </w:p>
        </w:tc>
        <w:tc>
          <w:tcPr>
            <w:tcW w:w="349" w:type="pct"/>
            <w:tcBorders>
              <w:top w:val="nil"/>
              <w:bottom w:val="nil"/>
            </w:tcBorders>
            <w:vAlign w:val="center"/>
          </w:tcPr>
          <w:p w:rsidR="00032753" w:rsidRDefault="00032753">
            <w:pPr>
              <w:jc w:val="center"/>
              <w:rPr>
                <w:rFonts w:cs="Arial"/>
                <w:szCs w:val="20"/>
              </w:rPr>
            </w:pPr>
            <w:r>
              <w:rPr>
                <w:rFonts w:cs="Arial"/>
                <w:szCs w:val="20"/>
              </w:rPr>
              <w:t>-</w:t>
            </w:r>
          </w:p>
        </w:tc>
        <w:tc>
          <w:tcPr>
            <w:tcW w:w="440" w:type="pct"/>
            <w:tcBorders>
              <w:top w:val="nil"/>
              <w:bottom w:val="nil"/>
            </w:tcBorders>
            <w:vAlign w:val="center"/>
          </w:tcPr>
          <w:p w:rsidR="00032753" w:rsidRDefault="00032753">
            <w:pPr>
              <w:jc w:val="center"/>
              <w:rPr>
                <w:rFonts w:cs="Arial"/>
                <w:szCs w:val="20"/>
              </w:rPr>
            </w:pPr>
            <w:r>
              <w:rPr>
                <w:rFonts w:cs="Arial"/>
                <w:szCs w:val="20"/>
              </w:rPr>
              <w:t>-</w:t>
            </w:r>
          </w:p>
        </w:tc>
      </w:tr>
      <w:tr w:rsidR="00032753" w:rsidRPr="006A7228" w:rsidTr="00B302BF">
        <w:trPr>
          <w:trHeight w:val="510"/>
        </w:trPr>
        <w:tc>
          <w:tcPr>
            <w:tcW w:w="932" w:type="pct"/>
            <w:tcBorders>
              <w:top w:val="nil"/>
              <w:bottom w:val="nil"/>
            </w:tcBorders>
            <w:vAlign w:val="center"/>
          </w:tcPr>
          <w:p w:rsidR="00032753" w:rsidRDefault="00032753">
            <w:pPr>
              <w:rPr>
                <w:rFonts w:cs="Arial"/>
                <w:b/>
                <w:bCs/>
                <w:sz w:val="20"/>
                <w:szCs w:val="20"/>
              </w:rPr>
            </w:pPr>
            <w:r>
              <w:rPr>
                <w:rFonts w:cs="Arial"/>
                <w:b/>
                <w:bCs/>
                <w:sz w:val="20"/>
                <w:szCs w:val="20"/>
              </w:rPr>
              <w:t>Day ahead</w:t>
            </w:r>
          </w:p>
        </w:tc>
        <w:tc>
          <w:tcPr>
            <w:tcW w:w="350" w:type="pct"/>
            <w:tcBorders>
              <w:top w:val="nil"/>
              <w:bottom w:val="nil"/>
            </w:tcBorders>
            <w:vAlign w:val="center"/>
          </w:tcPr>
          <w:p w:rsidR="00032753" w:rsidRDefault="00032753">
            <w:pPr>
              <w:jc w:val="center"/>
              <w:rPr>
                <w:rFonts w:cs="Arial"/>
                <w:sz w:val="20"/>
                <w:szCs w:val="20"/>
              </w:rPr>
            </w:pPr>
            <w:r>
              <w:rPr>
                <w:rFonts w:cs="Arial"/>
                <w:sz w:val="20"/>
                <w:szCs w:val="20"/>
              </w:rPr>
              <w:t>3.78</w:t>
            </w:r>
          </w:p>
        </w:tc>
        <w:tc>
          <w:tcPr>
            <w:tcW w:w="445" w:type="pct"/>
            <w:tcBorders>
              <w:top w:val="nil"/>
              <w:bottom w:val="nil"/>
            </w:tcBorders>
            <w:vAlign w:val="center"/>
          </w:tcPr>
          <w:p w:rsidR="00032753" w:rsidRDefault="00032753">
            <w:pPr>
              <w:jc w:val="center"/>
              <w:rPr>
                <w:rFonts w:cs="Arial"/>
                <w:sz w:val="20"/>
                <w:szCs w:val="20"/>
              </w:rPr>
            </w:pPr>
            <w:r>
              <w:rPr>
                <w:rFonts w:cs="Arial"/>
                <w:sz w:val="20"/>
                <w:szCs w:val="20"/>
              </w:rPr>
              <w:t>18.0</w:t>
            </w:r>
          </w:p>
        </w:tc>
        <w:tc>
          <w:tcPr>
            <w:tcW w:w="400" w:type="pct"/>
            <w:tcBorders>
              <w:top w:val="nil"/>
              <w:bottom w:val="nil"/>
            </w:tcBorders>
            <w:vAlign w:val="center"/>
          </w:tcPr>
          <w:p w:rsidR="00032753" w:rsidRDefault="00032753">
            <w:pPr>
              <w:jc w:val="center"/>
              <w:rPr>
                <w:rFonts w:cs="Arial"/>
                <w:sz w:val="20"/>
                <w:szCs w:val="20"/>
              </w:rPr>
            </w:pPr>
            <w:r>
              <w:rPr>
                <w:rFonts w:cs="Arial"/>
                <w:sz w:val="20"/>
                <w:szCs w:val="20"/>
              </w:rPr>
              <w:t>4.00</w:t>
            </w:r>
          </w:p>
        </w:tc>
        <w:tc>
          <w:tcPr>
            <w:tcW w:w="441" w:type="pct"/>
            <w:tcBorders>
              <w:top w:val="nil"/>
              <w:bottom w:val="nil"/>
            </w:tcBorders>
            <w:vAlign w:val="center"/>
          </w:tcPr>
          <w:p w:rsidR="00032753" w:rsidRDefault="00032753">
            <w:pPr>
              <w:jc w:val="center"/>
              <w:rPr>
                <w:rFonts w:cs="Arial"/>
                <w:sz w:val="20"/>
                <w:szCs w:val="20"/>
              </w:rPr>
            </w:pPr>
            <w:r>
              <w:rPr>
                <w:rFonts w:cs="Arial"/>
                <w:sz w:val="20"/>
                <w:szCs w:val="20"/>
              </w:rPr>
              <w:t>30.0</w:t>
            </w:r>
          </w:p>
        </w:tc>
        <w:tc>
          <w:tcPr>
            <w:tcW w:w="355" w:type="pct"/>
            <w:tcBorders>
              <w:top w:val="nil"/>
              <w:bottom w:val="nil"/>
            </w:tcBorders>
            <w:vAlign w:val="center"/>
          </w:tcPr>
          <w:p w:rsidR="00032753" w:rsidRDefault="00032753">
            <w:pPr>
              <w:jc w:val="center"/>
              <w:rPr>
                <w:rFonts w:cs="Arial"/>
                <w:sz w:val="20"/>
                <w:szCs w:val="20"/>
              </w:rPr>
            </w:pPr>
            <w:r>
              <w:rPr>
                <w:rFonts w:cs="Arial"/>
                <w:sz w:val="20"/>
                <w:szCs w:val="20"/>
              </w:rPr>
              <w:t>-</w:t>
            </w:r>
          </w:p>
        </w:tc>
        <w:tc>
          <w:tcPr>
            <w:tcW w:w="442" w:type="pct"/>
            <w:tcBorders>
              <w:top w:val="nil"/>
              <w:bottom w:val="nil"/>
            </w:tcBorders>
            <w:vAlign w:val="center"/>
          </w:tcPr>
          <w:p w:rsidR="00032753" w:rsidRDefault="00032753">
            <w:pPr>
              <w:jc w:val="center"/>
              <w:rPr>
                <w:rFonts w:cs="Arial"/>
                <w:sz w:val="20"/>
                <w:szCs w:val="20"/>
              </w:rPr>
            </w:pPr>
            <w:r>
              <w:rPr>
                <w:rFonts w:cs="Arial"/>
                <w:sz w:val="20"/>
                <w:szCs w:val="20"/>
              </w:rPr>
              <w:t>-</w:t>
            </w:r>
          </w:p>
        </w:tc>
        <w:tc>
          <w:tcPr>
            <w:tcW w:w="405" w:type="pct"/>
            <w:tcBorders>
              <w:top w:val="nil"/>
              <w:bottom w:val="nil"/>
            </w:tcBorders>
            <w:vAlign w:val="center"/>
          </w:tcPr>
          <w:p w:rsidR="00032753" w:rsidRDefault="00032753">
            <w:pPr>
              <w:jc w:val="center"/>
              <w:rPr>
                <w:rFonts w:cs="Arial"/>
                <w:sz w:val="20"/>
                <w:szCs w:val="20"/>
              </w:rPr>
            </w:pPr>
            <w:r>
              <w:rPr>
                <w:rFonts w:cs="Arial"/>
                <w:sz w:val="20"/>
                <w:szCs w:val="20"/>
              </w:rPr>
              <w:t>-</w:t>
            </w:r>
          </w:p>
        </w:tc>
        <w:tc>
          <w:tcPr>
            <w:tcW w:w="441" w:type="pct"/>
            <w:tcBorders>
              <w:top w:val="nil"/>
              <w:bottom w:val="nil"/>
            </w:tcBorders>
            <w:vAlign w:val="center"/>
          </w:tcPr>
          <w:p w:rsidR="00032753" w:rsidRDefault="00032753">
            <w:pPr>
              <w:jc w:val="center"/>
              <w:rPr>
                <w:rFonts w:cs="Arial"/>
                <w:sz w:val="20"/>
                <w:szCs w:val="20"/>
              </w:rPr>
            </w:pPr>
            <w:r>
              <w:rPr>
                <w:rFonts w:cs="Arial"/>
                <w:sz w:val="20"/>
                <w:szCs w:val="20"/>
              </w:rPr>
              <w:t>-</w:t>
            </w:r>
          </w:p>
        </w:tc>
        <w:tc>
          <w:tcPr>
            <w:tcW w:w="349" w:type="pct"/>
            <w:tcBorders>
              <w:top w:val="nil"/>
              <w:bottom w:val="nil"/>
            </w:tcBorders>
            <w:vAlign w:val="center"/>
          </w:tcPr>
          <w:p w:rsidR="00032753" w:rsidRDefault="00032753">
            <w:pPr>
              <w:jc w:val="center"/>
              <w:rPr>
                <w:rFonts w:cs="Arial"/>
                <w:sz w:val="20"/>
                <w:szCs w:val="20"/>
              </w:rPr>
            </w:pPr>
            <w:r>
              <w:rPr>
                <w:rFonts w:cs="Arial"/>
                <w:sz w:val="20"/>
                <w:szCs w:val="20"/>
              </w:rPr>
              <w:t>-</w:t>
            </w:r>
          </w:p>
        </w:tc>
        <w:tc>
          <w:tcPr>
            <w:tcW w:w="440" w:type="pct"/>
            <w:tcBorders>
              <w:top w:val="nil"/>
              <w:bottom w:val="nil"/>
            </w:tcBorders>
            <w:vAlign w:val="center"/>
          </w:tcPr>
          <w:p w:rsidR="00032753" w:rsidRDefault="00032753">
            <w:pPr>
              <w:jc w:val="center"/>
              <w:rPr>
                <w:rFonts w:cs="Arial"/>
                <w:sz w:val="20"/>
                <w:szCs w:val="20"/>
              </w:rPr>
            </w:pPr>
            <w:r>
              <w:rPr>
                <w:rFonts w:cs="Arial"/>
                <w:sz w:val="20"/>
                <w:szCs w:val="20"/>
              </w:rPr>
              <w:t>-</w:t>
            </w:r>
          </w:p>
        </w:tc>
      </w:tr>
      <w:tr w:rsidR="00032753"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032753" w:rsidRDefault="00032753">
            <w:pPr>
              <w:rPr>
                <w:rFonts w:cs="Arial"/>
                <w:b/>
                <w:bCs/>
                <w:szCs w:val="20"/>
              </w:rPr>
            </w:pPr>
            <w:r>
              <w:rPr>
                <w:rFonts w:cs="Arial"/>
                <w:b/>
                <w:bCs/>
                <w:szCs w:val="20"/>
              </w:rPr>
              <w:t>Weekly</w:t>
            </w:r>
          </w:p>
        </w:tc>
        <w:tc>
          <w:tcPr>
            <w:tcW w:w="350" w:type="pct"/>
            <w:tcBorders>
              <w:top w:val="nil"/>
              <w:bottom w:val="nil"/>
            </w:tcBorders>
            <w:vAlign w:val="center"/>
          </w:tcPr>
          <w:p w:rsidR="00032753" w:rsidRDefault="00032753">
            <w:pPr>
              <w:jc w:val="center"/>
              <w:rPr>
                <w:rFonts w:cs="Arial"/>
                <w:szCs w:val="20"/>
              </w:rPr>
            </w:pPr>
            <w:r>
              <w:rPr>
                <w:rFonts w:cs="Arial"/>
                <w:szCs w:val="20"/>
              </w:rPr>
              <w:t>-</w:t>
            </w:r>
          </w:p>
        </w:tc>
        <w:tc>
          <w:tcPr>
            <w:tcW w:w="445" w:type="pct"/>
            <w:tcBorders>
              <w:top w:val="nil"/>
              <w:bottom w:val="nil"/>
            </w:tcBorders>
            <w:vAlign w:val="center"/>
          </w:tcPr>
          <w:p w:rsidR="00032753" w:rsidRDefault="00032753">
            <w:pPr>
              <w:jc w:val="center"/>
              <w:rPr>
                <w:rFonts w:cs="Arial"/>
                <w:szCs w:val="20"/>
              </w:rPr>
            </w:pPr>
            <w:r>
              <w:rPr>
                <w:rFonts w:cs="Arial"/>
                <w:szCs w:val="20"/>
              </w:rPr>
              <w:t>-</w:t>
            </w:r>
          </w:p>
        </w:tc>
        <w:tc>
          <w:tcPr>
            <w:tcW w:w="400" w:type="pct"/>
            <w:tcBorders>
              <w:top w:val="nil"/>
              <w:bottom w:val="nil"/>
            </w:tcBorders>
            <w:vAlign w:val="center"/>
          </w:tcPr>
          <w:p w:rsidR="00032753" w:rsidRDefault="00032753">
            <w:pPr>
              <w:jc w:val="center"/>
              <w:rPr>
                <w:rFonts w:cs="Arial"/>
                <w:szCs w:val="20"/>
              </w:rPr>
            </w:pPr>
            <w:r>
              <w:rPr>
                <w:rFonts w:cs="Arial"/>
                <w:szCs w:val="20"/>
              </w:rPr>
              <w:t>-</w:t>
            </w:r>
          </w:p>
        </w:tc>
        <w:tc>
          <w:tcPr>
            <w:tcW w:w="441" w:type="pct"/>
            <w:tcBorders>
              <w:top w:val="nil"/>
              <w:bottom w:val="nil"/>
            </w:tcBorders>
            <w:vAlign w:val="center"/>
          </w:tcPr>
          <w:p w:rsidR="00032753" w:rsidRDefault="00032753">
            <w:pPr>
              <w:jc w:val="center"/>
              <w:rPr>
                <w:rFonts w:cs="Arial"/>
                <w:szCs w:val="20"/>
              </w:rPr>
            </w:pPr>
            <w:r>
              <w:rPr>
                <w:rFonts w:cs="Arial"/>
                <w:szCs w:val="20"/>
              </w:rPr>
              <w:t>-</w:t>
            </w:r>
          </w:p>
        </w:tc>
        <w:tc>
          <w:tcPr>
            <w:tcW w:w="355" w:type="pct"/>
            <w:tcBorders>
              <w:top w:val="nil"/>
              <w:bottom w:val="nil"/>
            </w:tcBorders>
            <w:vAlign w:val="center"/>
          </w:tcPr>
          <w:p w:rsidR="00032753" w:rsidRDefault="00032753">
            <w:pPr>
              <w:jc w:val="center"/>
              <w:rPr>
                <w:rFonts w:cs="Arial"/>
                <w:szCs w:val="20"/>
              </w:rPr>
            </w:pPr>
            <w:r>
              <w:rPr>
                <w:rFonts w:cs="Arial"/>
                <w:szCs w:val="20"/>
              </w:rPr>
              <w:t>-</w:t>
            </w:r>
          </w:p>
        </w:tc>
        <w:tc>
          <w:tcPr>
            <w:tcW w:w="442" w:type="pct"/>
            <w:tcBorders>
              <w:top w:val="nil"/>
              <w:bottom w:val="nil"/>
            </w:tcBorders>
            <w:vAlign w:val="center"/>
          </w:tcPr>
          <w:p w:rsidR="00032753" w:rsidRDefault="00032753">
            <w:pPr>
              <w:jc w:val="center"/>
              <w:rPr>
                <w:rFonts w:cs="Arial"/>
                <w:szCs w:val="20"/>
              </w:rPr>
            </w:pPr>
            <w:r>
              <w:rPr>
                <w:rFonts w:cs="Arial"/>
                <w:szCs w:val="20"/>
              </w:rPr>
              <w:t>-</w:t>
            </w:r>
          </w:p>
        </w:tc>
        <w:tc>
          <w:tcPr>
            <w:tcW w:w="405" w:type="pct"/>
            <w:tcBorders>
              <w:top w:val="nil"/>
              <w:bottom w:val="nil"/>
            </w:tcBorders>
            <w:vAlign w:val="center"/>
          </w:tcPr>
          <w:p w:rsidR="00032753" w:rsidRDefault="00032753">
            <w:pPr>
              <w:jc w:val="center"/>
              <w:rPr>
                <w:rFonts w:cs="Arial"/>
                <w:szCs w:val="20"/>
              </w:rPr>
            </w:pPr>
            <w:r>
              <w:rPr>
                <w:rFonts w:cs="Arial"/>
                <w:szCs w:val="20"/>
              </w:rPr>
              <w:t>-</w:t>
            </w:r>
          </w:p>
        </w:tc>
        <w:tc>
          <w:tcPr>
            <w:tcW w:w="441" w:type="pct"/>
            <w:tcBorders>
              <w:top w:val="nil"/>
              <w:bottom w:val="nil"/>
            </w:tcBorders>
            <w:vAlign w:val="center"/>
          </w:tcPr>
          <w:p w:rsidR="00032753" w:rsidRDefault="00032753">
            <w:pPr>
              <w:jc w:val="center"/>
              <w:rPr>
                <w:rFonts w:cs="Arial"/>
                <w:szCs w:val="20"/>
              </w:rPr>
            </w:pPr>
            <w:r>
              <w:rPr>
                <w:rFonts w:cs="Arial"/>
                <w:szCs w:val="20"/>
              </w:rPr>
              <w:t>-</w:t>
            </w:r>
          </w:p>
        </w:tc>
        <w:tc>
          <w:tcPr>
            <w:tcW w:w="349" w:type="pct"/>
            <w:tcBorders>
              <w:top w:val="nil"/>
              <w:bottom w:val="nil"/>
            </w:tcBorders>
            <w:vAlign w:val="center"/>
          </w:tcPr>
          <w:p w:rsidR="00032753" w:rsidRDefault="00032753">
            <w:pPr>
              <w:jc w:val="center"/>
              <w:rPr>
                <w:rFonts w:cs="Arial"/>
                <w:szCs w:val="20"/>
              </w:rPr>
            </w:pPr>
            <w:r>
              <w:rPr>
                <w:rFonts w:cs="Arial"/>
                <w:szCs w:val="20"/>
              </w:rPr>
              <w:t>-</w:t>
            </w:r>
          </w:p>
        </w:tc>
        <w:tc>
          <w:tcPr>
            <w:tcW w:w="440" w:type="pct"/>
            <w:tcBorders>
              <w:top w:val="nil"/>
              <w:bottom w:val="nil"/>
            </w:tcBorders>
            <w:vAlign w:val="center"/>
          </w:tcPr>
          <w:p w:rsidR="00032753" w:rsidRDefault="00032753">
            <w:pPr>
              <w:jc w:val="center"/>
              <w:rPr>
                <w:rFonts w:cs="Arial"/>
                <w:szCs w:val="20"/>
              </w:rPr>
            </w:pPr>
            <w:r>
              <w:rPr>
                <w:rFonts w:cs="Arial"/>
                <w:szCs w:val="20"/>
              </w:rPr>
              <w:t>-</w:t>
            </w:r>
          </w:p>
        </w:tc>
      </w:tr>
      <w:tr w:rsidR="00032753" w:rsidRPr="006A7228" w:rsidTr="00B302BF">
        <w:trPr>
          <w:trHeight w:val="510"/>
        </w:trPr>
        <w:tc>
          <w:tcPr>
            <w:tcW w:w="932" w:type="pct"/>
            <w:tcBorders>
              <w:top w:val="nil"/>
              <w:bottom w:val="single" w:sz="4" w:space="0" w:color="auto"/>
            </w:tcBorders>
            <w:vAlign w:val="center"/>
          </w:tcPr>
          <w:p w:rsidR="00032753" w:rsidRDefault="00032753">
            <w:pPr>
              <w:rPr>
                <w:rFonts w:cs="Arial"/>
                <w:b/>
                <w:bCs/>
                <w:sz w:val="20"/>
                <w:szCs w:val="20"/>
              </w:rPr>
            </w:pPr>
            <w:r>
              <w:rPr>
                <w:rFonts w:cs="Arial"/>
                <w:b/>
                <w:bCs/>
                <w:sz w:val="20"/>
                <w:szCs w:val="20"/>
              </w:rPr>
              <w:t>Monthly</w:t>
            </w:r>
          </w:p>
        </w:tc>
        <w:tc>
          <w:tcPr>
            <w:tcW w:w="350" w:type="pct"/>
            <w:tcBorders>
              <w:top w:val="nil"/>
              <w:bottom w:val="single" w:sz="4" w:space="0" w:color="auto"/>
            </w:tcBorders>
            <w:vAlign w:val="center"/>
          </w:tcPr>
          <w:p w:rsidR="00032753" w:rsidRDefault="00032753">
            <w:pPr>
              <w:jc w:val="center"/>
              <w:rPr>
                <w:rFonts w:cs="Arial"/>
                <w:sz w:val="20"/>
                <w:szCs w:val="20"/>
              </w:rPr>
            </w:pPr>
            <w:r>
              <w:rPr>
                <w:rFonts w:cs="Arial"/>
                <w:sz w:val="20"/>
                <w:szCs w:val="20"/>
              </w:rPr>
              <w:t>-</w:t>
            </w:r>
          </w:p>
        </w:tc>
        <w:tc>
          <w:tcPr>
            <w:tcW w:w="445" w:type="pct"/>
            <w:tcBorders>
              <w:top w:val="nil"/>
              <w:bottom w:val="single" w:sz="4" w:space="0" w:color="auto"/>
            </w:tcBorders>
            <w:vAlign w:val="center"/>
          </w:tcPr>
          <w:p w:rsidR="00032753" w:rsidRDefault="00032753">
            <w:pPr>
              <w:jc w:val="center"/>
              <w:rPr>
                <w:rFonts w:cs="Arial"/>
                <w:sz w:val="20"/>
                <w:szCs w:val="20"/>
              </w:rPr>
            </w:pPr>
            <w:r>
              <w:rPr>
                <w:rFonts w:cs="Arial"/>
                <w:sz w:val="20"/>
                <w:szCs w:val="20"/>
              </w:rPr>
              <w:t>-</w:t>
            </w:r>
          </w:p>
        </w:tc>
        <w:tc>
          <w:tcPr>
            <w:tcW w:w="400" w:type="pct"/>
            <w:tcBorders>
              <w:top w:val="nil"/>
              <w:bottom w:val="single" w:sz="4" w:space="0" w:color="auto"/>
            </w:tcBorders>
            <w:vAlign w:val="center"/>
          </w:tcPr>
          <w:p w:rsidR="00032753" w:rsidRDefault="00032753">
            <w:pPr>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032753" w:rsidRDefault="00032753">
            <w:pPr>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032753" w:rsidRDefault="00032753">
            <w:pPr>
              <w:jc w:val="center"/>
              <w:rPr>
                <w:rFonts w:cs="Arial"/>
                <w:sz w:val="20"/>
                <w:szCs w:val="20"/>
              </w:rPr>
            </w:pPr>
            <w:r>
              <w:rPr>
                <w:rFonts w:cs="Arial"/>
                <w:sz w:val="20"/>
                <w:szCs w:val="20"/>
              </w:rPr>
              <w:t>-</w:t>
            </w:r>
          </w:p>
        </w:tc>
        <w:tc>
          <w:tcPr>
            <w:tcW w:w="442" w:type="pct"/>
            <w:tcBorders>
              <w:top w:val="nil"/>
              <w:bottom w:val="single" w:sz="4" w:space="0" w:color="auto"/>
            </w:tcBorders>
            <w:vAlign w:val="center"/>
          </w:tcPr>
          <w:p w:rsidR="00032753" w:rsidRDefault="00032753">
            <w:pPr>
              <w:jc w:val="center"/>
              <w:rPr>
                <w:rFonts w:cs="Arial"/>
                <w:sz w:val="20"/>
                <w:szCs w:val="20"/>
              </w:rPr>
            </w:pPr>
            <w:r>
              <w:rPr>
                <w:rFonts w:cs="Arial"/>
                <w:sz w:val="20"/>
                <w:szCs w:val="20"/>
              </w:rPr>
              <w:t>-</w:t>
            </w:r>
          </w:p>
        </w:tc>
        <w:tc>
          <w:tcPr>
            <w:tcW w:w="405" w:type="pct"/>
            <w:tcBorders>
              <w:top w:val="nil"/>
              <w:bottom w:val="single" w:sz="4" w:space="0" w:color="auto"/>
            </w:tcBorders>
            <w:vAlign w:val="center"/>
          </w:tcPr>
          <w:p w:rsidR="00032753" w:rsidRDefault="00032753">
            <w:pPr>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032753" w:rsidRDefault="00032753">
            <w:pPr>
              <w:jc w:val="center"/>
              <w:rPr>
                <w:rFonts w:cs="Arial"/>
                <w:sz w:val="20"/>
                <w:szCs w:val="20"/>
              </w:rPr>
            </w:pPr>
            <w:r>
              <w:rPr>
                <w:rFonts w:cs="Arial"/>
                <w:sz w:val="20"/>
                <w:szCs w:val="20"/>
              </w:rPr>
              <w:t>-</w:t>
            </w:r>
          </w:p>
        </w:tc>
        <w:tc>
          <w:tcPr>
            <w:tcW w:w="349" w:type="pct"/>
            <w:tcBorders>
              <w:top w:val="nil"/>
              <w:bottom w:val="single" w:sz="4" w:space="0" w:color="auto"/>
            </w:tcBorders>
            <w:vAlign w:val="center"/>
          </w:tcPr>
          <w:p w:rsidR="00032753" w:rsidRDefault="00032753">
            <w:pPr>
              <w:jc w:val="center"/>
              <w:rPr>
                <w:rFonts w:cs="Arial"/>
                <w:sz w:val="20"/>
                <w:szCs w:val="20"/>
              </w:rPr>
            </w:pPr>
            <w:r>
              <w:rPr>
                <w:rFonts w:cs="Arial"/>
                <w:sz w:val="20"/>
                <w:szCs w:val="20"/>
              </w:rPr>
              <w:t>-</w:t>
            </w:r>
          </w:p>
        </w:tc>
        <w:tc>
          <w:tcPr>
            <w:tcW w:w="440" w:type="pct"/>
            <w:tcBorders>
              <w:top w:val="nil"/>
              <w:bottom w:val="single" w:sz="4" w:space="0" w:color="auto"/>
            </w:tcBorders>
            <w:vAlign w:val="center"/>
          </w:tcPr>
          <w:p w:rsidR="00032753" w:rsidRDefault="00032753">
            <w:pPr>
              <w:jc w:val="center"/>
              <w:rPr>
                <w:rFonts w:cs="Arial"/>
                <w:sz w:val="20"/>
                <w:szCs w:val="20"/>
              </w:rPr>
            </w:pPr>
            <w:r>
              <w:rPr>
                <w:rFonts w:cs="Arial"/>
                <w:sz w:val="20"/>
                <w:szCs w:val="20"/>
              </w:rPr>
              <w:t>-</w:t>
            </w:r>
          </w:p>
        </w:tc>
      </w:tr>
    </w:tbl>
    <w:p w:rsidR="00410584" w:rsidRPr="00552F68" w:rsidRDefault="00410584" w:rsidP="00410584">
      <w:pPr>
        <w:pStyle w:val="AERbodytext"/>
        <w:rPr>
          <w:sz w:val="16"/>
        </w:rPr>
      </w:pPr>
      <w:r w:rsidRPr="00552F68">
        <w:rPr>
          <w:sz w:val="16"/>
        </w:rPr>
        <w:t>* Non-netted products are not shown here. For information about these products, refer to figure 6.1.</w:t>
      </w:r>
    </w:p>
    <w:p w:rsidR="001934E9" w:rsidRDefault="001934E9" w:rsidP="00A226E9">
      <w:pPr>
        <w:keepNext/>
      </w:pPr>
      <w:r w:rsidRPr="00552F68">
        <w:lastRenderedPageBreak/>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fldSimple w:instr=" SEQ Figure \* ARABIC ">
        <w:r w:rsidR="00587CFB">
          <w:rPr>
            <w:noProof/>
          </w:rPr>
          <w:t>5</w:t>
        </w:r>
      </w:fldSimple>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032753" w:rsidP="00E16EDC">
      <w:r w:rsidRPr="00032753">
        <w:rPr>
          <w:noProof/>
          <w:lang w:eastAsia="en-AU"/>
        </w:rPr>
        <w:drawing>
          <wp:inline distT="0" distB="0" distL="0" distR="0" wp14:anchorId="0E5890E8" wp14:editId="76BBD012">
            <wp:extent cx="5731510" cy="3179062"/>
            <wp:effectExtent l="0" t="0" r="2540" b="2540"/>
            <wp:docPr id="10" name="Picture 10"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2406ED" w:rsidRDefault="002406ED" w:rsidP="002406ED">
      <w:pPr>
        <w:jc w:val="both"/>
        <w:rPr>
          <w:lang w:val="en-US"/>
        </w:rPr>
      </w:pPr>
      <w:r w:rsidRPr="0009660F">
        <w:t xml:space="preserve">On </w:t>
      </w:r>
      <w:r>
        <w:t>Saturday 1 October</w:t>
      </w:r>
      <w:r w:rsidRPr="0009660F">
        <w:t xml:space="preserve">, </w:t>
      </w:r>
      <w:r>
        <w:t>a significant price variation (SPV) trigger was exceeded in the Victorian gas market w</w:t>
      </w:r>
      <w:r w:rsidR="00604D85">
        <w:rPr>
          <w:lang w:val="en-US"/>
        </w:rPr>
        <w:t>when</w:t>
      </w:r>
      <w:r>
        <w:rPr>
          <w:lang w:val="en-US"/>
        </w:rPr>
        <w:t xml:space="preserve"> the ancillary payment amount for the gas day exceeded $250</w:t>
      </w:r>
      <w:r w:rsidR="00FE5B62">
        <w:rPr>
          <w:lang w:val="en-US"/>
        </w:rPr>
        <w:t> </w:t>
      </w:r>
      <w:r>
        <w:rPr>
          <w:lang w:val="en-US"/>
        </w:rPr>
        <w:t>000 (the ancillary payment amount for 1 October was $3</w:t>
      </w:r>
      <w:r w:rsidR="00FE5B62">
        <w:rPr>
          <w:lang w:val="en-US"/>
        </w:rPr>
        <w:t> </w:t>
      </w:r>
      <w:r>
        <w:rPr>
          <w:lang w:val="en-US"/>
        </w:rPr>
        <w:t>103</w:t>
      </w:r>
      <w:r w:rsidR="00FE5B62">
        <w:rPr>
          <w:lang w:val="en-US"/>
        </w:rPr>
        <w:t> </w:t>
      </w:r>
      <w:r>
        <w:rPr>
          <w:lang w:val="en-US"/>
        </w:rPr>
        <w:t>145).</w:t>
      </w:r>
    </w:p>
    <w:p w:rsidR="002406ED" w:rsidRDefault="002406ED" w:rsidP="002406ED">
      <w:pPr>
        <w:jc w:val="both"/>
      </w:pPr>
      <w:r w:rsidRPr="0009660F">
        <w:rPr>
          <w:rFonts w:cs="Arial"/>
        </w:rPr>
        <w:t>Under Rule</w:t>
      </w:r>
      <w:r>
        <w:rPr>
          <w:rFonts w:cs="Arial"/>
        </w:rPr>
        <w:t xml:space="preserve"> </w:t>
      </w:r>
      <w:r w:rsidRPr="00C27D75">
        <w:rPr>
          <w:rFonts w:cs="Arial"/>
        </w:rPr>
        <w:t>355 of the Gas Rules, the AER is required to identify and report on any significant price variations (</w:t>
      </w:r>
      <w:r w:rsidRPr="00C27D75">
        <w:rPr>
          <w:rFonts w:cs="Arial"/>
          <w:bCs/>
        </w:rPr>
        <w:t>SPV</w:t>
      </w:r>
      <w:r w:rsidRPr="00C27D75">
        <w:rPr>
          <w:rFonts w:cs="Arial"/>
        </w:rPr>
        <w:t>s) in the Victorian gas market</w:t>
      </w:r>
      <w:r>
        <w:rPr>
          <w:rFonts w:cs="Arial"/>
        </w:rPr>
        <w:t>.</w:t>
      </w:r>
      <w:r w:rsidRPr="002406ED">
        <w:t xml:space="preserve"> </w:t>
      </w:r>
      <w:r w:rsidRPr="0009660F">
        <w:t xml:space="preserve">In accordance with the Gas Rules, we will publish a separate detailed report into the events leading to the </w:t>
      </w:r>
      <w:r>
        <w:t>significant price variation on 1 October</w:t>
      </w:r>
      <w:r w:rsidRPr="0009660F">
        <w:t>.</w:t>
      </w:r>
    </w:p>
    <w:p w:rsidR="00264AE3" w:rsidRPr="00264AE3" w:rsidRDefault="00264AE3" w:rsidP="00CC65B2">
      <w:pPr>
        <w:jc w:val="both"/>
      </w:pPr>
      <w:r w:rsidRPr="00264AE3">
        <w:t xml:space="preserve">The daily injection capacity at Longford Gas Plant had reduced from 28 September due to a </w:t>
      </w:r>
      <w:r w:rsidR="005A4EA5">
        <w:t xml:space="preserve">reported </w:t>
      </w:r>
      <w:r w:rsidRPr="00264AE3">
        <w:t>gas leak at the facility</w:t>
      </w:r>
      <w:r w:rsidR="00CC65B2">
        <w:t>,</w:t>
      </w:r>
      <w:r w:rsidR="0076073D">
        <w:t xml:space="preserve"> </w:t>
      </w:r>
      <w:r w:rsidR="0076073D" w:rsidRPr="0076073D">
        <w:t xml:space="preserve">reducing their capacity to inject into the </w:t>
      </w:r>
      <w:r w:rsidR="00CC65B2">
        <w:t>Victorian market</w:t>
      </w:r>
      <w:r w:rsidR="00CC65B2" w:rsidRPr="0076073D">
        <w:t xml:space="preserve"> </w:t>
      </w:r>
      <w:r w:rsidR="008400B8">
        <w:t xml:space="preserve">down </w:t>
      </w:r>
      <w:r w:rsidR="0076073D" w:rsidRPr="0076073D">
        <w:t xml:space="preserve">to </w:t>
      </w:r>
      <w:r w:rsidR="0076073D">
        <w:t>489</w:t>
      </w:r>
      <w:r w:rsidR="00CC65B2">
        <w:t> </w:t>
      </w:r>
      <w:r w:rsidR="0076073D" w:rsidRPr="0076073D">
        <w:t>TJ/day</w:t>
      </w:r>
      <w:r w:rsidR="0076073D">
        <w:t xml:space="preserve"> on</w:t>
      </w:r>
      <w:r w:rsidR="00CC65B2">
        <w:t xml:space="preserve"> </w:t>
      </w:r>
      <w:r w:rsidR="003B0EAF">
        <w:t>29 </w:t>
      </w:r>
      <w:r w:rsidR="008400B8">
        <w:t>September</w:t>
      </w:r>
      <w:r w:rsidR="005A4EA5">
        <w:t>.</w:t>
      </w:r>
      <w:r w:rsidR="001944DC">
        <w:rPr>
          <w:rStyle w:val="FootnoteReference"/>
        </w:rPr>
        <w:footnoteReference w:id="4"/>
      </w:r>
      <w:r w:rsidR="0076073D">
        <w:t xml:space="preserve"> Nominations on the Eastern Gas Pipeline reduced </w:t>
      </w:r>
      <w:r w:rsidR="00E1489E">
        <w:t>by 40</w:t>
      </w:r>
      <w:r w:rsidR="00CC65B2">
        <w:t> </w:t>
      </w:r>
      <w:r w:rsidR="0076073D">
        <w:t>TJ</w:t>
      </w:r>
      <w:r w:rsidR="00E1489E">
        <w:rPr>
          <w:rStyle w:val="FootnoteReference"/>
        </w:rPr>
        <w:footnoteReference w:id="5"/>
      </w:r>
      <w:r w:rsidR="0076073D">
        <w:t xml:space="preserve"> on 28 September</w:t>
      </w:r>
      <w:r w:rsidR="00CC65B2">
        <w:t>, and</w:t>
      </w:r>
      <w:r w:rsidR="0076073D">
        <w:t xml:space="preserve"> </w:t>
      </w:r>
      <w:r w:rsidR="00E1489E">
        <w:t>by 56</w:t>
      </w:r>
      <w:r w:rsidR="00CC65B2">
        <w:t> </w:t>
      </w:r>
      <w:r w:rsidR="0076073D">
        <w:t>TJ</w:t>
      </w:r>
      <w:r w:rsidR="00E1489E">
        <w:rPr>
          <w:rStyle w:val="FootnoteReference"/>
        </w:rPr>
        <w:footnoteReference w:id="6"/>
      </w:r>
      <w:r w:rsidR="0076073D">
        <w:t xml:space="preserve"> on 29</w:t>
      </w:r>
      <w:r w:rsidR="00CC65B2">
        <w:t> </w:t>
      </w:r>
      <w:r w:rsidR="0076073D">
        <w:t>September with Newcastle Gas Storage injecting 62.7</w:t>
      </w:r>
      <w:r w:rsidR="00E1489E">
        <w:t> </w:t>
      </w:r>
      <w:r w:rsidR="0076073D">
        <w:t>TJ.</w:t>
      </w:r>
    </w:p>
    <w:p w:rsidR="00264AE3" w:rsidRPr="00264AE3" w:rsidRDefault="00264AE3" w:rsidP="00CC65B2">
      <w:pPr>
        <w:jc w:val="both"/>
      </w:pPr>
      <w:r w:rsidRPr="00264AE3">
        <w:t xml:space="preserve">The Longford plant tripped </w:t>
      </w:r>
      <w:r w:rsidR="003C65D6">
        <w:t xml:space="preserve">at </w:t>
      </w:r>
      <w:r w:rsidR="00FE5B62">
        <w:t>4.</w:t>
      </w:r>
      <w:r w:rsidR="005A4EA5">
        <w:t>26</w:t>
      </w:r>
      <w:r w:rsidR="00FE5B62">
        <w:t> </w:t>
      </w:r>
      <w:r w:rsidR="003C65D6">
        <w:t xml:space="preserve">am </w:t>
      </w:r>
      <w:r w:rsidR="008400B8">
        <w:t xml:space="preserve">due to a </w:t>
      </w:r>
      <w:r w:rsidR="005A4EA5">
        <w:t xml:space="preserve">reported </w:t>
      </w:r>
      <w:r w:rsidR="008400B8">
        <w:t xml:space="preserve">power outage </w:t>
      </w:r>
      <w:r w:rsidRPr="00264AE3">
        <w:t>on 1</w:t>
      </w:r>
      <w:r w:rsidR="00FE5B62">
        <w:t> </w:t>
      </w:r>
      <w:r w:rsidRPr="00264AE3">
        <w:t>October</w:t>
      </w:r>
      <w:r w:rsidR="001944DC">
        <w:rPr>
          <w:rStyle w:val="FootnoteReference"/>
        </w:rPr>
        <w:footnoteReference w:id="7"/>
      </w:r>
      <w:r w:rsidRPr="00264AE3">
        <w:t xml:space="preserve">, and an ad-hoc schedule was published at </w:t>
      </w:r>
      <w:r w:rsidR="003C65D6">
        <w:t xml:space="preserve">around </w:t>
      </w:r>
      <w:r w:rsidRPr="00264AE3">
        <w:t>9</w:t>
      </w:r>
      <w:r w:rsidR="00E1489E">
        <w:t> am</w:t>
      </w:r>
      <w:r w:rsidRPr="00264AE3">
        <w:t xml:space="preserve"> to address a threat to system security. Approximately $3.1</w:t>
      </w:r>
      <w:r w:rsidR="00E1489E">
        <w:t> </w:t>
      </w:r>
      <w:r w:rsidRPr="00264AE3">
        <w:t>million in ancillary payments were generated across the market</w:t>
      </w:r>
      <w:r w:rsidR="00DF3832">
        <w:t xml:space="preserve"> as gas was scheduled out of merit order including from Dandenong LNG.</w:t>
      </w:r>
      <w:r w:rsidRPr="00264AE3">
        <w:t xml:space="preserve"> Subsequent schedul</w:t>
      </w:r>
      <w:r w:rsidR="00726D94">
        <w:t>ing intervals</w:t>
      </w:r>
      <w:r w:rsidRPr="00264AE3">
        <w:t xml:space="preserve"> saw increased prices as gas was scheduled from </w:t>
      </w:r>
      <w:r w:rsidR="00726D94">
        <w:t>alternative</w:t>
      </w:r>
      <w:r w:rsidRPr="00264AE3">
        <w:t xml:space="preserve"> supply sources.</w:t>
      </w:r>
      <w:r w:rsidR="006353F1">
        <w:t xml:space="preserve"> </w:t>
      </w:r>
      <w:r w:rsidR="0043796B">
        <w:lastRenderedPageBreak/>
        <w:t>Figure 1.1 shows schedule</w:t>
      </w:r>
      <w:r w:rsidR="0043796B" w:rsidRPr="00264AE3">
        <w:t xml:space="preserve"> </w:t>
      </w:r>
      <w:r w:rsidR="00C24FEE">
        <w:t>p</w:t>
      </w:r>
      <w:r w:rsidR="00C24FEE" w:rsidRPr="00264AE3">
        <w:t xml:space="preserve">rices </w:t>
      </w:r>
      <w:r w:rsidR="006353F1">
        <w:t xml:space="preserve">ranged </w:t>
      </w:r>
      <w:r w:rsidR="006353F1" w:rsidRPr="00264AE3">
        <w:t>between $9.99/GJ and $33.75/GJ</w:t>
      </w:r>
      <w:r w:rsidR="006353F1">
        <w:t xml:space="preserve"> </w:t>
      </w:r>
      <w:r w:rsidR="00726D94">
        <w:t>over the gas day</w:t>
      </w:r>
      <w:r w:rsidR="006353F1">
        <w:t>.</w:t>
      </w:r>
    </w:p>
    <w:p w:rsidR="00264AE3" w:rsidRDefault="0043796B" w:rsidP="00CC65B2">
      <w:pPr>
        <w:jc w:val="both"/>
      </w:pPr>
      <w:r>
        <w:t>A</w:t>
      </w:r>
      <w:r w:rsidRPr="00264AE3">
        <w:t xml:space="preserve"> </w:t>
      </w:r>
      <w:r w:rsidR="00264AE3" w:rsidRPr="00264AE3">
        <w:t>Contingency Gas</w:t>
      </w:r>
      <w:r w:rsidR="006265AA">
        <w:t xml:space="preserve"> Trigger</w:t>
      </w:r>
      <w:r w:rsidR="00264AE3" w:rsidRPr="00264AE3">
        <w:t xml:space="preserve"> event </w:t>
      </w:r>
      <w:r w:rsidR="006265AA">
        <w:t>also occurred for</w:t>
      </w:r>
      <w:r w:rsidR="002247BF">
        <w:t xml:space="preserve"> </w:t>
      </w:r>
      <w:r>
        <w:t xml:space="preserve">the Sydney STTM </w:t>
      </w:r>
      <w:r w:rsidR="00264AE3" w:rsidRPr="00264AE3">
        <w:t>on 1</w:t>
      </w:r>
      <w:r w:rsidR="00FE5B62">
        <w:t> </w:t>
      </w:r>
      <w:r w:rsidR="00264AE3" w:rsidRPr="00264AE3">
        <w:t xml:space="preserve">October. </w:t>
      </w:r>
      <w:r w:rsidR="00726D94">
        <w:t xml:space="preserve">The </w:t>
      </w:r>
      <w:r w:rsidR="00264AE3" w:rsidRPr="00264AE3">
        <w:t xml:space="preserve">Longford gas plant shut down </w:t>
      </w:r>
      <w:r w:rsidR="001944DC">
        <w:t xml:space="preserve">also </w:t>
      </w:r>
      <w:r w:rsidR="00264AE3" w:rsidRPr="00264AE3">
        <w:t>caused a potential</w:t>
      </w:r>
      <w:r>
        <w:t xml:space="preserve"> supply</w:t>
      </w:r>
      <w:r w:rsidR="00264AE3" w:rsidRPr="00264AE3">
        <w:t xml:space="preserve"> shortfall in the Sydney hub</w:t>
      </w:r>
      <w:r w:rsidR="001944DC">
        <w:t xml:space="preserve"> (</w:t>
      </w:r>
      <w:r w:rsidR="00CA5770">
        <w:t xml:space="preserve">Longford </w:t>
      </w:r>
      <w:r w:rsidR="001944DC">
        <w:t>supplies Sydney via the Eastern Gas Pipeline)</w:t>
      </w:r>
      <w:r w:rsidR="00662111">
        <w:t xml:space="preserve"> which was r</w:t>
      </w:r>
      <w:r w:rsidR="00264AE3" w:rsidRPr="00264AE3">
        <w:t xml:space="preserve">esolved </w:t>
      </w:r>
      <w:r w:rsidR="006265AA">
        <w:t xml:space="preserve">following industry conferences </w:t>
      </w:r>
      <w:r w:rsidR="00CA5770">
        <w:t xml:space="preserve">in part </w:t>
      </w:r>
      <w:r w:rsidR="00264AE3" w:rsidRPr="00264AE3">
        <w:t>through participants’ renominations</w:t>
      </w:r>
      <w:r w:rsidR="001944DC">
        <w:t xml:space="preserve"> on to the Moomba Sydney Pipeline and balancing</w:t>
      </w:r>
      <w:r w:rsidR="00264AE3" w:rsidRPr="00264AE3">
        <w:t xml:space="preserve"> </w:t>
      </w:r>
      <w:r w:rsidR="001944DC">
        <w:t>gas (MOS). As a result</w:t>
      </w:r>
      <w:r w:rsidR="00CA5770">
        <w:t>,</w:t>
      </w:r>
      <w:r w:rsidR="001944DC">
        <w:t xml:space="preserve"> and also because Longford </w:t>
      </w:r>
      <w:r w:rsidR="00CA5770">
        <w:t>started producing greater volumes later in the day</w:t>
      </w:r>
      <w:r w:rsidR="00ED5EB9">
        <w:t xml:space="preserve">, </w:t>
      </w:r>
      <w:r w:rsidR="00264AE3" w:rsidRPr="00264AE3">
        <w:t>contingency gas was not required.</w:t>
      </w:r>
    </w:p>
    <w:p w:rsidR="00933567" w:rsidRDefault="00933567" w:rsidP="00CC65B2">
      <w:pPr>
        <w:jc w:val="both"/>
      </w:pPr>
      <w:r w:rsidRPr="00933567">
        <w:t xml:space="preserve">The </w:t>
      </w:r>
      <w:r w:rsidR="005F77E2">
        <w:t>South Australia</w:t>
      </w:r>
      <w:r w:rsidR="005F77E2" w:rsidRPr="00933567">
        <w:t xml:space="preserve"> </w:t>
      </w:r>
      <w:r w:rsidRPr="00933567">
        <w:t xml:space="preserve">system black event </w:t>
      </w:r>
      <w:r w:rsidR="005F77E2">
        <w:t xml:space="preserve">in the electricity market </w:t>
      </w:r>
      <w:r w:rsidRPr="00933567">
        <w:t>on 28 September had a</w:t>
      </w:r>
      <w:r w:rsidR="001944DC">
        <w:t>n apparent</w:t>
      </w:r>
      <w:r w:rsidRPr="00933567">
        <w:t xml:space="preserve"> notable impact on the Adelaide STTM with consistently high MOS </w:t>
      </w:r>
      <w:r w:rsidR="005F77E2">
        <w:t xml:space="preserve">requirements towards the end </w:t>
      </w:r>
      <w:r w:rsidRPr="00933567">
        <w:t>of the week.</w:t>
      </w:r>
      <w:r w:rsidR="005F77E2">
        <w:t xml:space="preserve"> Figure 3.4 shows service costs ranged between $78 500 and $188 300 over three days.</w:t>
      </w:r>
    </w:p>
    <w:p w:rsidR="001D52DC" w:rsidRDefault="001D52DC" w:rsidP="00CC65B2">
      <w:pPr>
        <w:jc w:val="both"/>
      </w:pPr>
      <w:r>
        <w:t xml:space="preserve">On 28 September, the large net decrease MOS requirement in Adelaide was largely driven by over forecasting inside the hub, while further counteracting MOS requirements on the day may have been influenced by renominations to supply throughout the gas day. Around 1.6 TJ of gas supply scheduled on the MAP was shifted onto the SEAGas pipeline, likely to free up supply to gas generators </w:t>
      </w:r>
      <w:r w:rsidR="00557C57">
        <w:t>sourcing gas from the</w:t>
      </w:r>
      <w:r>
        <w:t xml:space="preserve"> MAP</w:t>
      </w:r>
      <w:r w:rsidR="00B15358">
        <w:t>,</w:t>
      </w:r>
      <w:r>
        <w:t xml:space="preserve"> which were dispatched above forecast levels in the electricity market. </w:t>
      </w:r>
    </w:p>
    <w:p w:rsidR="00C21513" w:rsidRDefault="00C21513" w:rsidP="00CC65B2">
      <w:pPr>
        <w:jc w:val="both"/>
      </w:pPr>
      <w:r>
        <w:t>On 29 September, under forecast demand was the main contributor to net increase MOS requirements, with pipeline renominations not appearing to amplify counteracting MOS allocations on the day. Over supply on 30 September reduced the MOS requirement which resulted from under forecasting.</w:t>
      </w:r>
    </w:p>
    <w:p w:rsidR="00815E76" w:rsidRPr="00264AE3" w:rsidRDefault="00815E76" w:rsidP="00CC65B2">
      <w:pPr>
        <w:jc w:val="both"/>
      </w:pPr>
      <w:r>
        <w:t>In Sydney, MOS payments exceeded $50 000 on two occasions. On 26 September</w:t>
      </w:r>
      <w:r w:rsidR="009E1219">
        <w:t>, over forecast demand</w:t>
      </w:r>
      <w:r>
        <w:t xml:space="preserve"> in the hub resulted in decrease MOS requirements and led to MOS </w:t>
      </w:r>
      <w:r w:rsidR="009E1219">
        <w:t>costs of $62 170. On 1 October, over supply drove significantly higher decease requirements on the day, alongside just under 6 TJ of over forecast demand in the hub. MOS payments on the day reached $186 281.</w:t>
      </w:r>
    </w:p>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38B71249" wp14:editId="62455B8D">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8"/>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9"/>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10"/>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032753" w:rsidP="003171C6">
      <w:r w:rsidRPr="00032753">
        <w:rPr>
          <w:noProof/>
          <w:lang w:eastAsia="en-AU"/>
        </w:rPr>
        <w:drawing>
          <wp:inline distT="0" distB="0" distL="0" distR="0" wp14:anchorId="19D612AE" wp14:editId="44976A9D">
            <wp:extent cx="5731510" cy="1650203"/>
            <wp:effectExtent l="0" t="0" r="2540" b="7620"/>
            <wp:docPr id="7" name="Picture 7" descr="Figure 1.1 shows the five Victorian schedule prices for each day this week. The marker indicates the daily imbalance weighted average price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032753" w:rsidP="003171C6">
      <w:r w:rsidRPr="00032753">
        <w:rPr>
          <w:noProof/>
          <w:lang w:eastAsia="en-AU"/>
        </w:rPr>
        <w:drawing>
          <wp:inline distT="0" distB="0" distL="0" distR="0" wp14:anchorId="7FE1D4DC" wp14:editId="15AFF53C">
            <wp:extent cx="5731510" cy="2132322"/>
            <wp:effectExtent l="0" t="0" r="2540" b="1905"/>
            <wp:docPr id="9" name="Picture 9"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5D73E5" w:rsidP="003171C6">
      <w:r w:rsidRPr="005D73E5">
        <w:rPr>
          <w:noProof/>
          <w:lang w:eastAsia="en-AU"/>
        </w:rPr>
        <w:drawing>
          <wp:inline distT="0" distB="0" distL="0" distR="0" wp14:anchorId="1A5FB546" wp14:editId="64B9F3ED">
            <wp:extent cx="5731510" cy="2486687"/>
            <wp:effectExtent l="0" t="0" r="2540" b="8890"/>
            <wp:docPr id="3" name="Picture 3"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726D94" w:rsidRPr="00726D94" w:rsidRDefault="00726D94" w:rsidP="00726D94">
      <w:pPr>
        <w:ind w:left="720"/>
        <w:jc w:val="both"/>
        <w:rPr>
          <w:sz w:val="18"/>
          <w:szCs w:val="18"/>
        </w:rPr>
      </w:pPr>
      <w:r w:rsidRPr="00EF58A8">
        <w:rPr>
          <w:sz w:val="18"/>
          <w:szCs w:val="18"/>
        </w:rPr>
        <w:t>Note that in figure 1.</w:t>
      </w:r>
      <w:r>
        <w:rPr>
          <w:sz w:val="18"/>
          <w:szCs w:val="18"/>
        </w:rPr>
        <w:t>3</w:t>
      </w:r>
      <w:r w:rsidRPr="00EF58A8">
        <w:rPr>
          <w:sz w:val="18"/>
          <w:szCs w:val="18"/>
        </w:rPr>
        <w:t xml:space="preserve">, </w:t>
      </w:r>
      <w:r>
        <w:rPr>
          <w:sz w:val="18"/>
          <w:szCs w:val="18"/>
        </w:rPr>
        <w:t xml:space="preserve">an additional schedule at 9 am has been included to demonstrate the offers available in the 6 am schedule with Longford injection bids removed. This reduction </w:t>
      </w:r>
      <w:r w:rsidR="00863A74">
        <w:rPr>
          <w:sz w:val="18"/>
          <w:szCs w:val="18"/>
        </w:rPr>
        <w:t>illustrates</w:t>
      </w:r>
      <w:r>
        <w:rPr>
          <w:sz w:val="18"/>
          <w:szCs w:val="18"/>
        </w:rPr>
        <w:t xml:space="preserve"> the change in the relative cost of gas </w:t>
      </w:r>
      <w:r w:rsidR="00315460">
        <w:rPr>
          <w:sz w:val="18"/>
          <w:szCs w:val="18"/>
        </w:rPr>
        <w:t xml:space="preserve">offers </w:t>
      </w:r>
      <w:r>
        <w:rPr>
          <w:sz w:val="18"/>
          <w:szCs w:val="18"/>
        </w:rPr>
        <w:t xml:space="preserve">at 6 am which </w:t>
      </w:r>
      <w:r w:rsidR="00315460">
        <w:rPr>
          <w:sz w:val="18"/>
          <w:szCs w:val="18"/>
        </w:rPr>
        <w:t>contributed to</w:t>
      </w:r>
      <w:r>
        <w:rPr>
          <w:sz w:val="18"/>
          <w:szCs w:val="18"/>
        </w:rPr>
        <w:t xml:space="preserve"> large ancillary payments on the day</w:t>
      </w:r>
      <w:r w:rsidRPr="00EF58A8">
        <w:rPr>
          <w:sz w:val="18"/>
          <w:szCs w:val="18"/>
        </w:rPr>
        <w:t>.</w:t>
      </w:r>
      <w:r>
        <w:rPr>
          <w:sz w:val="18"/>
          <w:szCs w:val="18"/>
        </w:rPr>
        <w:t xml:space="preserve"> </w:t>
      </w:r>
      <w:r w:rsidR="00315460">
        <w:rPr>
          <w:sz w:val="18"/>
          <w:szCs w:val="18"/>
        </w:rPr>
        <w:t>Out of merit order gas was also required to mitigate a threat to system security.</w:t>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5D73E5" w:rsidP="003171C6">
      <w:r w:rsidRPr="005D73E5">
        <w:rPr>
          <w:noProof/>
          <w:lang w:eastAsia="en-AU"/>
        </w:rPr>
        <w:drawing>
          <wp:inline distT="0" distB="0" distL="0" distR="0" wp14:anchorId="0BFF8148" wp14:editId="640F53D0">
            <wp:extent cx="5731510" cy="1958582"/>
            <wp:effectExtent l="0" t="0" r="2540" b="3810"/>
            <wp:docPr id="5" name="Picture 5"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210423" w:rsidP="003171C6">
      <w:r w:rsidRPr="00210423">
        <w:rPr>
          <w:noProof/>
          <w:lang w:eastAsia="en-AU"/>
        </w:rPr>
        <w:drawing>
          <wp:inline distT="0" distB="0" distL="0" distR="0" wp14:anchorId="7C1BC08E" wp14:editId="4FB714D3">
            <wp:extent cx="5731510" cy="2143651"/>
            <wp:effectExtent l="0" t="0" r="2540" b="9525"/>
            <wp:docPr id="19" name="Picture 19"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3651"/>
                    </a:xfrm>
                    <a:prstGeom prst="rect">
                      <a:avLst/>
                    </a:prstGeom>
                    <a:noFill/>
                    <a:ln>
                      <a:noFill/>
                    </a:ln>
                  </pic:spPr>
                </pic:pic>
              </a:graphicData>
            </a:graphic>
          </wp:inline>
        </w:drawing>
      </w:r>
    </w:p>
    <w:p w:rsidR="00EC2CB1" w:rsidRPr="00413200" w:rsidRDefault="00EC2CB1" w:rsidP="00FE5B62">
      <w:pPr>
        <w:ind w:left="720"/>
        <w:jc w:val="both"/>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r w:rsidR="005A4EA5">
        <w:rPr>
          <w:sz w:val="18"/>
          <w:szCs w:val="18"/>
        </w:rPr>
        <w:t xml:space="preserve"> </w:t>
      </w:r>
      <w:r w:rsidR="00FE5B62">
        <w:rPr>
          <w:sz w:val="18"/>
          <w:szCs w:val="18"/>
        </w:rPr>
        <w:t>This figure has been adjusted to include LNG injections.</w:t>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11"/>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12"/>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0110F2" w:rsidRPr="00405CDE" w:rsidTr="00A226E9">
        <w:trPr>
          <w:trHeight w:val="510"/>
        </w:trPr>
        <w:tc>
          <w:tcPr>
            <w:tcW w:w="1211" w:type="pct"/>
            <w:tcBorders>
              <w:top w:val="nil"/>
              <w:bottom w:val="nil"/>
            </w:tcBorders>
            <w:vAlign w:val="center"/>
          </w:tcPr>
          <w:p w:rsidR="000110F2" w:rsidRDefault="000110F2">
            <w:pPr>
              <w:rPr>
                <w:rFonts w:cs="Arial"/>
                <w:sz w:val="20"/>
                <w:szCs w:val="20"/>
              </w:rPr>
            </w:pPr>
            <w:r>
              <w:rPr>
                <w:rFonts w:cs="Arial"/>
                <w:sz w:val="20"/>
                <w:szCs w:val="20"/>
              </w:rPr>
              <w:t>Ex ante price ($/GJ)</w:t>
            </w:r>
          </w:p>
        </w:tc>
        <w:tc>
          <w:tcPr>
            <w:tcW w:w="580" w:type="pct"/>
            <w:tcBorders>
              <w:top w:val="nil"/>
              <w:bottom w:val="nil"/>
            </w:tcBorders>
            <w:vAlign w:val="center"/>
          </w:tcPr>
          <w:p w:rsidR="000110F2" w:rsidRDefault="000110F2">
            <w:pPr>
              <w:jc w:val="center"/>
              <w:rPr>
                <w:rFonts w:cs="Arial"/>
                <w:sz w:val="20"/>
                <w:szCs w:val="20"/>
              </w:rPr>
            </w:pPr>
            <w:r>
              <w:rPr>
                <w:rFonts w:cs="Arial"/>
                <w:sz w:val="20"/>
                <w:szCs w:val="20"/>
              </w:rPr>
              <w:t>6.99</w:t>
            </w:r>
          </w:p>
        </w:tc>
        <w:tc>
          <w:tcPr>
            <w:tcW w:w="508" w:type="pct"/>
            <w:tcBorders>
              <w:top w:val="nil"/>
              <w:bottom w:val="nil"/>
            </w:tcBorders>
            <w:vAlign w:val="center"/>
          </w:tcPr>
          <w:p w:rsidR="000110F2" w:rsidRDefault="000110F2">
            <w:pPr>
              <w:jc w:val="center"/>
              <w:rPr>
                <w:rFonts w:cs="Arial"/>
                <w:sz w:val="20"/>
                <w:szCs w:val="20"/>
              </w:rPr>
            </w:pPr>
            <w:r>
              <w:rPr>
                <w:rFonts w:cs="Arial"/>
                <w:sz w:val="20"/>
                <w:szCs w:val="20"/>
              </w:rPr>
              <w:t>6.15</w:t>
            </w:r>
          </w:p>
        </w:tc>
        <w:tc>
          <w:tcPr>
            <w:tcW w:w="589" w:type="pct"/>
            <w:tcBorders>
              <w:top w:val="nil"/>
              <w:bottom w:val="nil"/>
            </w:tcBorders>
            <w:vAlign w:val="center"/>
          </w:tcPr>
          <w:p w:rsidR="000110F2" w:rsidRDefault="000110F2">
            <w:pPr>
              <w:jc w:val="center"/>
              <w:rPr>
                <w:rFonts w:cs="Arial"/>
                <w:sz w:val="20"/>
                <w:szCs w:val="20"/>
              </w:rPr>
            </w:pPr>
            <w:r>
              <w:rPr>
                <w:rFonts w:cs="Arial"/>
                <w:sz w:val="20"/>
                <w:szCs w:val="20"/>
              </w:rPr>
              <w:t>6.15</w:t>
            </w:r>
          </w:p>
        </w:tc>
        <w:tc>
          <w:tcPr>
            <w:tcW w:w="517" w:type="pct"/>
            <w:tcBorders>
              <w:top w:val="nil"/>
              <w:bottom w:val="nil"/>
            </w:tcBorders>
            <w:vAlign w:val="center"/>
          </w:tcPr>
          <w:p w:rsidR="000110F2" w:rsidRDefault="000110F2">
            <w:pPr>
              <w:jc w:val="center"/>
              <w:rPr>
                <w:rFonts w:cs="Arial"/>
                <w:sz w:val="20"/>
                <w:szCs w:val="20"/>
              </w:rPr>
            </w:pPr>
            <w:r>
              <w:rPr>
                <w:rFonts w:cs="Arial"/>
                <w:sz w:val="20"/>
                <w:szCs w:val="20"/>
              </w:rPr>
              <w:t>5.75</w:t>
            </w:r>
          </w:p>
        </w:tc>
        <w:tc>
          <w:tcPr>
            <w:tcW w:w="510" w:type="pct"/>
            <w:tcBorders>
              <w:top w:val="nil"/>
              <w:bottom w:val="nil"/>
            </w:tcBorders>
            <w:vAlign w:val="center"/>
          </w:tcPr>
          <w:p w:rsidR="000110F2" w:rsidRDefault="000110F2">
            <w:pPr>
              <w:jc w:val="center"/>
              <w:rPr>
                <w:rFonts w:cs="Arial"/>
                <w:sz w:val="20"/>
                <w:szCs w:val="20"/>
              </w:rPr>
            </w:pPr>
            <w:r>
              <w:rPr>
                <w:rFonts w:cs="Arial"/>
                <w:sz w:val="20"/>
                <w:szCs w:val="20"/>
              </w:rPr>
              <w:t>6.37</w:t>
            </w:r>
          </w:p>
        </w:tc>
        <w:tc>
          <w:tcPr>
            <w:tcW w:w="507" w:type="pct"/>
            <w:tcBorders>
              <w:top w:val="nil"/>
              <w:bottom w:val="nil"/>
            </w:tcBorders>
            <w:vAlign w:val="center"/>
          </w:tcPr>
          <w:p w:rsidR="000110F2" w:rsidRDefault="000110F2">
            <w:pPr>
              <w:jc w:val="center"/>
              <w:rPr>
                <w:rFonts w:cs="Arial"/>
                <w:sz w:val="20"/>
                <w:szCs w:val="20"/>
              </w:rPr>
            </w:pPr>
            <w:r>
              <w:rPr>
                <w:rFonts w:cs="Arial"/>
                <w:sz w:val="20"/>
                <w:szCs w:val="20"/>
              </w:rPr>
              <w:t>6.99</w:t>
            </w:r>
          </w:p>
        </w:tc>
        <w:tc>
          <w:tcPr>
            <w:tcW w:w="578" w:type="pct"/>
            <w:tcBorders>
              <w:top w:val="nil"/>
              <w:bottom w:val="nil"/>
            </w:tcBorders>
            <w:vAlign w:val="center"/>
          </w:tcPr>
          <w:p w:rsidR="000110F2" w:rsidRDefault="000110F2">
            <w:pPr>
              <w:jc w:val="center"/>
              <w:rPr>
                <w:rFonts w:cs="Arial"/>
                <w:sz w:val="20"/>
                <w:szCs w:val="20"/>
              </w:rPr>
            </w:pPr>
            <w:r>
              <w:rPr>
                <w:rFonts w:cs="Arial"/>
                <w:sz w:val="20"/>
                <w:szCs w:val="20"/>
              </w:rPr>
              <w:t>6.99</w:t>
            </w:r>
          </w:p>
        </w:tc>
      </w:tr>
      <w:tr w:rsidR="000110F2"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0110F2" w:rsidRDefault="000110F2">
            <w:pPr>
              <w:rPr>
                <w:rFonts w:cs="Arial"/>
                <w:szCs w:val="20"/>
              </w:rPr>
            </w:pPr>
            <w:r>
              <w:rPr>
                <w:rFonts w:cs="Arial"/>
                <w:szCs w:val="20"/>
              </w:rPr>
              <w:t>Ex ante quantity (TJ)</w:t>
            </w:r>
          </w:p>
        </w:tc>
        <w:tc>
          <w:tcPr>
            <w:tcW w:w="580" w:type="pct"/>
            <w:tcBorders>
              <w:top w:val="nil"/>
              <w:bottom w:val="nil"/>
            </w:tcBorders>
            <w:vAlign w:val="center"/>
          </w:tcPr>
          <w:p w:rsidR="000110F2" w:rsidRDefault="000110F2">
            <w:pPr>
              <w:jc w:val="center"/>
              <w:rPr>
                <w:rFonts w:cs="Arial"/>
                <w:szCs w:val="20"/>
              </w:rPr>
            </w:pPr>
            <w:r>
              <w:rPr>
                <w:rFonts w:cs="Arial"/>
                <w:szCs w:val="20"/>
              </w:rPr>
              <w:t>204</w:t>
            </w:r>
          </w:p>
        </w:tc>
        <w:tc>
          <w:tcPr>
            <w:tcW w:w="508" w:type="pct"/>
            <w:tcBorders>
              <w:top w:val="nil"/>
              <w:bottom w:val="nil"/>
            </w:tcBorders>
            <w:vAlign w:val="center"/>
          </w:tcPr>
          <w:p w:rsidR="000110F2" w:rsidRDefault="000110F2">
            <w:pPr>
              <w:jc w:val="center"/>
              <w:rPr>
                <w:rFonts w:cs="Arial"/>
                <w:szCs w:val="20"/>
              </w:rPr>
            </w:pPr>
            <w:r>
              <w:rPr>
                <w:rFonts w:cs="Arial"/>
                <w:szCs w:val="20"/>
              </w:rPr>
              <w:t>250</w:t>
            </w:r>
          </w:p>
        </w:tc>
        <w:tc>
          <w:tcPr>
            <w:tcW w:w="589" w:type="pct"/>
            <w:tcBorders>
              <w:top w:val="nil"/>
              <w:bottom w:val="nil"/>
            </w:tcBorders>
            <w:vAlign w:val="center"/>
          </w:tcPr>
          <w:p w:rsidR="000110F2" w:rsidRDefault="000110F2">
            <w:pPr>
              <w:jc w:val="center"/>
              <w:rPr>
                <w:rFonts w:cs="Arial"/>
                <w:szCs w:val="20"/>
              </w:rPr>
            </w:pPr>
            <w:r>
              <w:rPr>
                <w:rFonts w:cs="Arial"/>
                <w:szCs w:val="20"/>
              </w:rPr>
              <w:t>260</w:t>
            </w:r>
          </w:p>
        </w:tc>
        <w:tc>
          <w:tcPr>
            <w:tcW w:w="517" w:type="pct"/>
            <w:tcBorders>
              <w:top w:val="nil"/>
              <w:bottom w:val="nil"/>
            </w:tcBorders>
            <w:vAlign w:val="center"/>
          </w:tcPr>
          <w:p w:rsidR="000110F2" w:rsidRDefault="000110F2">
            <w:pPr>
              <w:jc w:val="center"/>
              <w:rPr>
                <w:rFonts w:cs="Arial"/>
                <w:szCs w:val="20"/>
              </w:rPr>
            </w:pPr>
            <w:r>
              <w:rPr>
                <w:rFonts w:cs="Arial"/>
                <w:szCs w:val="20"/>
              </w:rPr>
              <w:t>254</w:t>
            </w:r>
          </w:p>
        </w:tc>
        <w:tc>
          <w:tcPr>
            <w:tcW w:w="510" w:type="pct"/>
            <w:tcBorders>
              <w:top w:val="nil"/>
              <w:bottom w:val="nil"/>
            </w:tcBorders>
            <w:vAlign w:val="center"/>
          </w:tcPr>
          <w:p w:rsidR="000110F2" w:rsidRDefault="000110F2">
            <w:pPr>
              <w:jc w:val="center"/>
              <w:rPr>
                <w:rFonts w:cs="Arial"/>
                <w:szCs w:val="20"/>
              </w:rPr>
            </w:pPr>
            <w:r>
              <w:rPr>
                <w:rFonts w:cs="Arial"/>
                <w:szCs w:val="20"/>
              </w:rPr>
              <w:t>250</w:t>
            </w:r>
          </w:p>
        </w:tc>
        <w:tc>
          <w:tcPr>
            <w:tcW w:w="507" w:type="pct"/>
            <w:tcBorders>
              <w:top w:val="nil"/>
              <w:bottom w:val="nil"/>
            </w:tcBorders>
            <w:vAlign w:val="center"/>
          </w:tcPr>
          <w:p w:rsidR="000110F2" w:rsidRDefault="000110F2">
            <w:pPr>
              <w:jc w:val="center"/>
              <w:rPr>
                <w:rFonts w:cs="Arial"/>
                <w:szCs w:val="20"/>
              </w:rPr>
            </w:pPr>
            <w:r>
              <w:rPr>
                <w:rFonts w:cs="Arial"/>
                <w:szCs w:val="20"/>
              </w:rPr>
              <w:t>265</w:t>
            </w:r>
          </w:p>
        </w:tc>
        <w:tc>
          <w:tcPr>
            <w:tcW w:w="578" w:type="pct"/>
            <w:tcBorders>
              <w:top w:val="nil"/>
              <w:bottom w:val="nil"/>
            </w:tcBorders>
            <w:vAlign w:val="center"/>
          </w:tcPr>
          <w:p w:rsidR="000110F2" w:rsidRDefault="000110F2">
            <w:pPr>
              <w:jc w:val="center"/>
              <w:rPr>
                <w:rFonts w:cs="Arial"/>
                <w:szCs w:val="20"/>
              </w:rPr>
            </w:pPr>
            <w:r>
              <w:rPr>
                <w:rFonts w:cs="Arial"/>
                <w:szCs w:val="20"/>
              </w:rPr>
              <w:t>217</w:t>
            </w:r>
          </w:p>
        </w:tc>
      </w:tr>
      <w:tr w:rsidR="000110F2" w:rsidRPr="00405CDE" w:rsidTr="00A226E9">
        <w:trPr>
          <w:trHeight w:val="510"/>
        </w:trPr>
        <w:tc>
          <w:tcPr>
            <w:tcW w:w="1211" w:type="pct"/>
            <w:tcBorders>
              <w:top w:val="nil"/>
              <w:bottom w:val="nil"/>
            </w:tcBorders>
            <w:vAlign w:val="center"/>
          </w:tcPr>
          <w:p w:rsidR="000110F2" w:rsidRDefault="000110F2">
            <w:pPr>
              <w:rPr>
                <w:rFonts w:cs="Arial"/>
                <w:sz w:val="20"/>
                <w:szCs w:val="20"/>
              </w:rPr>
            </w:pPr>
            <w:r>
              <w:rPr>
                <w:rFonts w:cs="Arial"/>
                <w:sz w:val="20"/>
                <w:szCs w:val="20"/>
              </w:rPr>
              <w:t>Ex post price ($/GJ)</w:t>
            </w:r>
          </w:p>
        </w:tc>
        <w:tc>
          <w:tcPr>
            <w:tcW w:w="580" w:type="pct"/>
            <w:tcBorders>
              <w:top w:val="nil"/>
              <w:bottom w:val="nil"/>
            </w:tcBorders>
            <w:vAlign w:val="center"/>
          </w:tcPr>
          <w:p w:rsidR="000110F2" w:rsidRDefault="000110F2">
            <w:pPr>
              <w:jc w:val="center"/>
              <w:rPr>
                <w:rFonts w:cs="Arial"/>
                <w:sz w:val="20"/>
                <w:szCs w:val="20"/>
              </w:rPr>
            </w:pPr>
            <w:r>
              <w:rPr>
                <w:rFonts w:cs="Arial"/>
                <w:sz w:val="20"/>
                <w:szCs w:val="20"/>
              </w:rPr>
              <w:t>6.99</w:t>
            </w:r>
          </w:p>
        </w:tc>
        <w:tc>
          <w:tcPr>
            <w:tcW w:w="508" w:type="pct"/>
            <w:tcBorders>
              <w:top w:val="nil"/>
              <w:bottom w:val="nil"/>
            </w:tcBorders>
            <w:vAlign w:val="center"/>
          </w:tcPr>
          <w:p w:rsidR="000110F2" w:rsidRDefault="000110F2">
            <w:pPr>
              <w:jc w:val="center"/>
              <w:rPr>
                <w:rFonts w:cs="Arial"/>
                <w:sz w:val="20"/>
                <w:szCs w:val="20"/>
              </w:rPr>
            </w:pPr>
            <w:r>
              <w:rPr>
                <w:rFonts w:cs="Arial"/>
                <w:sz w:val="20"/>
                <w:szCs w:val="20"/>
              </w:rPr>
              <w:t>5.75</w:t>
            </w:r>
          </w:p>
        </w:tc>
        <w:tc>
          <w:tcPr>
            <w:tcW w:w="589" w:type="pct"/>
            <w:tcBorders>
              <w:top w:val="nil"/>
              <w:bottom w:val="nil"/>
            </w:tcBorders>
            <w:vAlign w:val="center"/>
          </w:tcPr>
          <w:p w:rsidR="000110F2" w:rsidRDefault="000110F2">
            <w:pPr>
              <w:jc w:val="center"/>
              <w:rPr>
                <w:rFonts w:cs="Arial"/>
                <w:sz w:val="20"/>
                <w:szCs w:val="20"/>
              </w:rPr>
            </w:pPr>
            <w:r>
              <w:rPr>
                <w:rFonts w:cs="Arial"/>
                <w:sz w:val="20"/>
                <w:szCs w:val="20"/>
              </w:rPr>
              <w:t>6.15</w:t>
            </w:r>
          </w:p>
        </w:tc>
        <w:tc>
          <w:tcPr>
            <w:tcW w:w="517" w:type="pct"/>
            <w:tcBorders>
              <w:top w:val="nil"/>
              <w:bottom w:val="nil"/>
            </w:tcBorders>
            <w:vAlign w:val="center"/>
          </w:tcPr>
          <w:p w:rsidR="000110F2" w:rsidRDefault="000110F2">
            <w:pPr>
              <w:jc w:val="center"/>
              <w:rPr>
                <w:rFonts w:cs="Arial"/>
                <w:sz w:val="20"/>
                <w:szCs w:val="20"/>
              </w:rPr>
            </w:pPr>
            <w:r>
              <w:rPr>
                <w:rFonts w:cs="Arial"/>
                <w:sz w:val="20"/>
                <w:szCs w:val="20"/>
              </w:rPr>
              <w:t>4.04</w:t>
            </w:r>
          </w:p>
        </w:tc>
        <w:tc>
          <w:tcPr>
            <w:tcW w:w="510" w:type="pct"/>
            <w:tcBorders>
              <w:top w:val="nil"/>
              <w:bottom w:val="nil"/>
            </w:tcBorders>
            <w:vAlign w:val="center"/>
          </w:tcPr>
          <w:p w:rsidR="000110F2" w:rsidRDefault="000110F2">
            <w:pPr>
              <w:jc w:val="center"/>
              <w:rPr>
                <w:rFonts w:cs="Arial"/>
                <w:sz w:val="20"/>
                <w:szCs w:val="20"/>
              </w:rPr>
            </w:pPr>
            <w:r>
              <w:rPr>
                <w:rFonts w:cs="Arial"/>
                <w:sz w:val="20"/>
                <w:szCs w:val="20"/>
              </w:rPr>
              <w:t>6.00</w:t>
            </w:r>
          </w:p>
        </w:tc>
        <w:tc>
          <w:tcPr>
            <w:tcW w:w="507" w:type="pct"/>
            <w:tcBorders>
              <w:top w:val="nil"/>
              <w:bottom w:val="nil"/>
            </w:tcBorders>
            <w:vAlign w:val="center"/>
          </w:tcPr>
          <w:p w:rsidR="000110F2" w:rsidRDefault="000110F2">
            <w:pPr>
              <w:jc w:val="center"/>
              <w:rPr>
                <w:rFonts w:cs="Arial"/>
                <w:sz w:val="20"/>
                <w:szCs w:val="20"/>
              </w:rPr>
            </w:pPr>
            <w:r>
              <w:rPr>
                <w:rFonts w:cs="Arial"/>
                <w:sz w:val="20"/>
                <w:szCs w:val="20"/>
              </w:rPr>
              <w:t>6.01</w:t>
            </w:r>
          </w:p>
        </w:tc>
        <w:tc>
          <w:tcPr>
            <w:tcW w:w="578" w:type="pct"/>
            <w:tcBorders>
              <w:top w:val="nil"/>
              <w:bottom w:val="nil"/>
            </w:tcBorders>
            <w:vAlign w:val="center"/>
          </w:tcPr>
          <w:p w:rsidR="000110F2" w:rsidRDefault="000110F2">
            <w:pPr>
              <w:jc w:val="center"/>
              <w:rPr>
                <w:rFonts w:cs="Arial"/>
                <w:sz w:val="20"/>
                <w:szCs w:val="20"/>
              </w:rPr>
            </w:pPr>
            <w:r>
              <w:rPr>
                <w:rFonts w:cs="Arial"/>
                <w:sz w:val="20"/>
                <w:szCs w:val="20"/>
              </w:rPr>
              <w:t>6.37</w:t>
            </w:r>
          </w:p>
        </w:tc>
      </w:tr>
      <w:tr w:rsidR="000110F2"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0110F2" w:rsidRDefault="000110F2">
            <w:pPr>
              <w:rPr>
                <w:rFonts w:cs="Arial"/>
                <w:szCs w:val="20"/>
              </w:rPr>
            </w:pPr>
            <w:r>
              <w:rPr>
                <w:rFonts w:cs="Arial"/>
                <w:szCs w:val="20"/>
              </w:rPr>
              <w:t>Ex post quantity (TJ)</w:t>
            </w:r>
          </w:p>
        </w:tc>
        <w:tc>
          <w:tcPr>
            <w:tcW w:w="580" w:type="pct"/>
            <w:tcBorders>
              <w:top w:val="nil"/>
              <w:bottom w:val="single" w:sz="4" w:space="0" w:color="auto"/>
            </w:tcBorders>
            <w:vAlign w:val="center"/>
          </w:tcPr>
          <w:p w:rsidR="000110F2" w:rsidRDefault="000110F2">
            <w:pPr>
              <w:jc w:val="center"/>
              <w:rPr>
                <w:rFonts w:cs="Arial"/>
                <w:szCs w:val="20"/>
              </w:rPr>
            </w:pPr>
            <w:r>
              <w:rPr>
                <w:rFonts w:cs="Arial"/>
                <w:szCs w:val="20"/>
              </w:rPr>
              <w:t>206</w:t>
            </w:r>
          </w:p>
        </w:tc>
        <w:tc>
          <w:tcPr>
            <w:tcW w:w="508" w:type="pct"/>
            <w:tcBorders>
              <w:top w:val="nil"/>
              <w:bottom w:val="single" w:sz="4" w:space="0" w:color="auto"/>
            </w:tcBorders>
            <w:vAlign w:val="center"/>
          </w:tcPr>
          <w:p w:rsidR="000110F2" w:rsidRDefault="000110F2">
            <w:pPr>
              <w:jc w:val="center"/>
              <w:rPr>
                <w:rFonts w:cs="Arial"/>
                <w:szCs w:val="20"/>
              </w:rPr>
            </w:pPr>
            <w:r>
              <w:rPr>
                <w:rFonts w:cs="Arial"/>
                <w:szCs w:val="20"/>
              </w:rPr>
              <w:t>238</w:t>
            </w:r>
          </w:p>
        </w:tc>
        <w:tc>
          <w:tcPr>
            <w:tcW w:w="589" w:type="pct"/>
            <w:tcBorders>
              <w:top w:val="nil"/>
              <w:bottom w:val="single" w:sz="4" w:space="0" w:color="auto"/>
            </w:tcBorders>
            <w:vAlign w:val="center"/>
          </w:tcPr>
          <w:p w:rsidR="000110F2" w:rsidRDefault="000110F2">
            <w:pPr>
              <w:jc w:val="center"/>
              <w:rPr>
                <w:rFonts w:cs="Arial"/>
                <w:szCs w:val="20"/>
              </w:rPr>
            </w:pPr>
            <w:r>
              <w:rPr>
                <w:rFonts w:cs="Arial"/>
                <w:szCs w:val="20"/>
              </w:rPr>
              <w:t>258</w:t>
            </w:r>
          </w:p>
        </w:tc>
        <w:tc>
          <w:tcPr>
            <w:tcW w:w="517" w:type="pct"/>
            <w:tcBorders>
              <w:top w:val="nil"/>
              <w:bottom w:val="single" w:sz="4" w:space="0" w:color="auto"/>
            </w:tcBorders>
            <w:vAlign w:val="center"/>
          </w:tcPr>
          <w:p w:rsidR="000110F2" w:rsidRDefault="000110F2">
            <w:pPr>
              <w:jc w:val="center"/>
              <w:rPr>
                <w:rFonts w:cs="Arial"/>
                <w:szCs w:val="20"/>
              </w:rPr>
            </w:pPr>
            <w:r>
              <w:rPr>
                <w:rFonts w:cs="Arial"/>
                <w:szCs w:val="20"/>
              </w:rPr>
              <w:t>240</w:t>
            </w:r>
          </w:p>
        </w:tc>
        <w:tc>
          <w:tcPr>
            <w:tcW w:w="510" w:type="pct"/>
            <w:tcBorders>
              <w:top w:val="nil"/>
              <w:bottom w:val="single" w:sz="4" w:space="0" w:color="auto"/>
            </w:tcBorders>
            <w:vAlign w:val="center"/>
          </w:tcPr>
          <w:p w:rsidR="000110F2" w:rsidRDefault="000110F2">
            <w:pPr>
              <w:jc w:val="center"/>
              <w:rPr>
                <w:rFonts w:cs="Arial"/>
                <w:szCs w:val="20"/>
              </w:rPr>
            </w:pPr>
            <w:r>
              <w:rPr>
                <w:rFonts w:cs="Arial"/>
                <w:szCs w:val="20"/>
              </w:rPr>
              <w:t>246</w:t>
            </w:r>
          </w:p>
        </w:tc>
        <w:tc>
          <w:tcPr>
            <w:tcW w:w="507" w:type="pct"/>
            <w:tcBorders>
              <w:top w:val="nil"/>
              <w:bottom w:val="single" w:sz="4" w:space="0" w:color="auto"/>
            </w:tcBorders>
            <w:vAlign w:val="center"/>
          </w:tcPr>
          <w:p w:rsidR="000110F2" w:rsidRDefault="000110F2">
            <w:pPr>
              <w:jc w:val="center"/>
              <w:rPr>
                <w:rFonts w:cs="Arial"/>
                <w:szCs w:val="20"/>
              </w:rPr>
            </w:pPr>
            <w:r>
              <w:rPr>
                <w:rFonts w:cs="Arial"/>
                <w:szCs w:val="20"/>
              </w:rPr>
              <w:t>253</w:t>
            </w:r>
          </w:p>
        </w:tc>
        <w:tc>
          <w:tcPr>
            <w:tcW w:w="578" w:type="pct"/>
            <w:tcBorders>
              <w:top w:val="nil"/>
              <w:bottom w:val="single" w:sz="4" w:space="0" w:color="auto"/>
            </w:tcBorders>
            <w:vAlign w:val="center"/>
          </w:tcPr>
          <w:p w:rsidR="000110F2" w:rsidRDefault="000110F2">
            <w:pPr>
              <w:jc w:val="center"/>
              <w:rPr>
                <w:rFonts w:cs="Arial"/>
                <w:szCs w:val="20"/>
              </w:rPr>
            </w:pPr>
            <w:r>
              <w:rPr>
                <w:rFonts w:cs="Arial"/>
                <w:szCs w:val="20"/>
              </w:rPr>
              <w:t>208</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0110F2" w:rsidP="00EC2CB1">
      <w:r w:rsidRPr="000110F2">
        <w:rPr>
          <w:noProof/>
          <w:lang w:eastAsia="en-AU"/>
        </w:rPr>
        <w:drawing>
          <wp:inline distT="0" distB="0" distL="0" distR="0" wp14:anchorId="3A10103D" wp14:editId="154BD126">
            <wp:extent cx="5731510" cy="2046203"/>
            <wp:effectExtent l="0" t="0" r="0" b="0"/>
            <wp:docPr id="21" name="Picture 21"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0110F2" w:rsidP="00EC2CB1">
      <w:r w:rsidRPr="000110F2">
        <w:rPr>
          <w:noProof/>
          <w:lang w:eastAsia="en-AU"/>
        </w:rPr>
        <w:drawing>
          <wp:inline distT="0" distB="0" distL="0" distR="0" wp14:anchorId="18A3623E" wp14:editId="4EFCAA48">
            <wp:extent cx="5731510" cy="2555336"/>
            <wp:effectExtent l="0" t="0" r="2540" b="0"/>
            <wp:docPr id="22" name="Picture 22" descr="Figure 2.3 shows the daily scheduled and allocated quantities sorted by facility for Sydney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13"/>
      </w:r>
    </w:p>
    <w:p w:rsidR="00EC2CB1" w:rsidRDefault="000110F2" w:rsidP="00EC2CB1">
      <w:r w:rsidRPr="000110F2">
        <w:rPr>
          <w:noProof/>
          <w:lang w:eastAsia="en-AU"/>
        </w:rPr>
        <w:drawing>
          <wp:inline distT="0" distB="0" distL="0" distR="0" wp14:anchorId="4E1D6A1E" wp14:editId="597CD232">
            <wp:extent cx="5731510" cy="2175613"/>
            <wp:effectExtent l="0" t="0" r="2540" b="0"/>
            <wp:docPr id="23" name="Picture 23"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0110F2" w:rsidRPr="00405CDE" w:rsidTr="00A226E9">
        <w:trPr>
          <w:trHeight w:val="389"/>
        </w:trPr>
        <w:tc>
          <w:tcPr>
            <w:tcW w:w="1152" w:type="pct"/>
            <w:tcBorders>
              <w:top w:val="nil"/>
              <w:bottom w:val="nil"/>
            </w:tcBorders>
            <w:vAlign w:val="center"/>
          </w:tcPr>
          <w:p w:rsidR="000110F2" w:rsidRDefault="000110F2">
            <w:pPr>
              <w:rPr>
                <w:rFonts w:cs="Arial"/>
                <w:sz w:val="20"/>
                <w:szCs w:val="20"/>
              </w:rPr>
            </w:pPr>
            <w:r>
              <w:rPr>
                <w:rFonts w:cs="Arial"/>
                <w:sz w:val="20"/>
                <w:szCs w:val="20"/>
              </w:rPr>
              <w:t>Ex ante price ($/GJ)</w:t>
            </w:r>
          </w:p>
        </w:tc>
        <w:tc>
          <w:tcPr>
            <w:tcW w:w="589" w:type="pct"/>
            <w:tcBorders>
              <w:top w:val="nil"/>
              <w:bottom w:val="nil"/>
            </w:tcBorders>
            <w:vAlign w:val="center"/>
          </w:tcPr>
          <w:p w:rsidR="000110F2" w:rsidRDefault="000110F2">
            <w:pPr>
              <w:jc w:val="center"/>
              <w:rPr>
                <w:rFonts w:cs="Arial"/>
                <w:sz w:val="20"/>
                <w:szCs w:val="20"/>
              </w:rPr>
            </w:pPr>
            <w:r>
              <w:rPr>
                <w:rFonts w:cs="Arial"/>
                <w:sz w:val="20"/>
                <w:szCs w:val="20"/>
              </w:rPr>
              <w:t>6.09</w:t>
            </w:r>
          </w:p>
        </w:tc>
        <w:tc>
          <w:tcPr>
            <w:tcW w:w="516" w:type="pct"/>
            <w:tcBorders>
              <w:top w:val="nil"/>
              <w:bottom w:val="nil"/>
            </w:tcBorders>
            <w:vAlign w:val="center"/>
          </w:tcPr>
          <w:p w:rsidR="000110F2" w:rsidRDefault="000110F2">
            <w:pPr>
              <w:jc w:val="center"/>
              <w:rPr>
                <w:rFonts w:cs="Arial"/>
                <w:sz w:val="20"/>
                <w:szCs w:val="20"/>
              </w:rPr>
            </w:pPr>
            <w:r>
              <w:rPr>
                <w:rFonts w:cs="Arial"/>
                <w:sz w:val="20"/>
                <w:szCs w:val="20"/>
              </w:rPr>
              <w:t>5.74</w:t>
            </w:r>
          </w:p>
        </w:tc>
        <w:tc>
          <w:tcPr>
            <w:tcW w:w="598" w:type="pct"/>
            <w:tcBorders>
              <w:top w:val="nil"/>
              <w:bottom w:val="nil"/>
            </w:tcBorders>
            <w:vAlign w:val="center"/>
          </w:tcPr>
          <w:p w:rsidR="000110F2" w:rsidRDefault="000110F2">
            <w:pPr>
              <w:jc w:val="center"/>
              <w:rPr>
                <w:rFonts w:cs="Arial"/>
                <w:sz w:val="20"/>
                <w:szCs w:val="20"/>
              </w:rPr>
            </w:pPr>
            <w:r>
              <w:rPr>
                <w:rFonts w:cs="Arial"/>
                <w:sz w:val="20"/>
                <w:szCs w:val="20"/>
              </w:rPr>
              <w:t>6.08</w:t>
            </w:r>
          </w:p>
        </w:tc>
        <w:tc>
          <w:tcPr>
            <w:tcW w:w="525" w:type="pct"/>
            <w:tcBorders>
              <w:top w:val="nil"/>
              <w:bottom w:val="nil"/>
            </w:tcBorders>
            <w:vAlign w:val="center"/>
          </w:tcPr>
          <w:p w:rsidR="000110F2" w:rsidRDefault="000110F2">
            <w:pPr>
              <w:jc w:val="center"/>
              <w:rPr>
                <w:rFonts w:cs="Arial"/>
                <w:sz w:val="20"/>
                <w:szCs w:val="20"/>
              </w:rPr>
            </w:pPr>
            <w:r>
              <w:rPr>
                <w:rFonts w:cs="Arial"/>
                <w:sz w:val="20"/>
                <w:szCs w:val="20"/>
              </w:rPr>
              <w:t>6.08</w:t>
            </w:r>
          </w:p>
        </w:tc>
        <w:tc>
          <w:tcPr>
            <w:tcW w:w="518" w:type="pct"/>
            <w:tcBorders>
              <w:top w:val="nil"/>
              <w:bottom w:val="nil"/>
            </w:tcBorders>
            <w:vAlign w:val="center"/>
          </w:tcPr>
          <w:p w:rsidR="000110F2" w:rsidRDefault="000110F2">
            <w:pPr>
              <w:jc w:val="center"/>
              <w:rPr>
                <w:rFonts w:cs="Arial"/>
                <w:sz w:val="20"/>
                <w:szCs w:val="20"/>
              </w:rPr>
            </w:pPr>
            <w:r>
              <w:rPr>
                <w:rFonts w:cs="Arial"/>
                <w:sz w:val="20"/>
                <w:szCs w:val="20"/>
              </w:rPr>
              <w:t>5.75</w:t>
            </w:r>
          </w:p>
        </w:tc>
        <w:tc>
          <w:tcPr>
            <w:tcW w:w="515" w:type="pct"/>
            <w:tcBorders>
              <w:top w:val="nil"/>
              <w:bottom w:val="nil"/>
            </w:tcBorders>
            <w:vAlign w:val="center"/>
          </w:tcPr>
          <w:p w:rsidR="000110F2" w:rsidRDefault="000110F2">
            <w:pPr>
              <w:jc w:val="center"/>
              <w:rPr>
                <w:rFonts w:cs="Arial"/>
                <w:sz w:val="20"/>
                <w:szCs w:val="20"/>
              </w:rPr>
            </w:pPr>
            <w:r>
              <w:rPr>
                <w:rFonts w:cs="Arial"/>
                <w:sz w:val="20"/>
                <w:szCs w:val="20"/>
              </w:rPr>
              <w:t>7.00</w:t>
            </w:r>
          </w:p>
        </w:tc>
        <w:tc>
          <w:tcPr>
            <w:tcW w:w="587" w:type="pct"/>
            <w:tcBorders>
              <w:top w:val="nil"/>
              <w:bottom w:val="nil"/>
            </w:tcBorders>
            <w:vAlign w:val="center"/>
          </w:tcPr>
          <w:p w:rsidR="000110F2" w:rsidRDefault="000110F2">
            <w:pPr>
              <w:jc w:val="center"/>
              <w:rPr>
                <w:rFonts w:cs="Arial"/>
                <w:sz w:val="20"/>
                <w:szCs w:val="20"/>
              </w:rPr>
            </w:pPr>
            <w:r>
              <w:rPr>
                <w:rFonts w:cs="Arial"/>
                <w:sz w:val="20"/>
                <w:szCs w:val="20"/>
              </w:rPr>
              <w:t>6.81</w:t>
            </w:r>
          </w:p>
        </w:tc>
      </w:tr>
      <w:tr w:rsidR="000110F2"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0110F2" w:rsidRDefault="000110F2">
            <w:pPr>
              <w:rPr>
                <w:rFonts w:cs="Arial"/>
                <w:szCs w:val="20"/>
              </w:rPr>
            </w:pPr>
            <w:r>
              <w:rPr>
                <w:rFonts w:cs="Arial"/>
                <w:szCs w:val="20"/>
              </w:rPr>
              <w:t>Ex ante quantity (TJ)</w:t>
            </w:r>
          </w:p>
        </w:tc>
        <w:tc>
          <w:tcPr>
            <w:tcW w:w="589" w:type="pct"/>
            <w:tcBorders>
              <w:top w:val="nil"/>
              <w:bottom w:val="nil"/>
            </w:tcBorders>
            <w:vAlign w:val="center"/>
          </w:tcPr>
          <w:p w:rsidR="000110F2" w:rsidRDefault="000110F2">
            <w:pPr>
              <w:jc w:val="center"/>
              <w:rPr>
                <w:rFonts w:cs="Arial"/>
                <w:szCs w:val="20"/>
              </w:rPr>
            </w:pPr>
            <w:r>
              <w:rPr>
                <w:rFonts w:cs="Arial"/>
                <w:szCs w:val="20"/>
              </w:rPr>
              <w:t>68</w:t>
            </w:r>
          </w:p>
        </w:tc>
        <w:tc>
          <w:tcPr>
            <w:tcW w:w="516" w:type="pct"/>
            <w:tcBorders>
              <w:top w:val="nil"/>
              <w:bottom w:val="nil"/>
            </w:tcBorders>
            <w:vAlign w:val="center"/>
          </w:tcPr>
          <w:p w:rsidR="000110F2" w:rsidRDefault="000110F2">
            <w:pPr>
              <w:jc w:val="center"/>
              <w:rPr>
                <w:rFonts w:cs="Arial"/>
                <w:szCs w:val="20"/>
              </w:rPr>
            </w:pPr>
            <w:r>
              <w:rPr>
                <w:rFonts w:cs="Arial"/>
                <w:szCs w:val="20"/>
              </w:rPr>
              <w:t>81</w:t>
            </w:r>
          </w:p>
        </w:tc>
        <w:tc>
          <w:tcPr>
            <w:tcW w:w="598" w:type="pct"/>
            <w:tcBorders>
              <w:top w:val="nil"/>
              <w:bottom w:val="nil"/>
            </w:tcBorders>
            <w:vAlign w:val="center"/>
          </w:tcPr>
          <w:p w:rsidR="000110F2" w:rsidRDefault="000110F2">
            <w:pPr>
              <w:jc w:val="center"/>
              <w:rPr>
                <w:rFonts w:cs="Arial"/>
                <w:szCs w:val="20"/>
              </w:rPr>
            </w:pPr>
            <w:r>
              <w:rPr>
                <w:rFonts w:cs="Arial"/>
                <w:szCs w:val="20"/>
              </w:rPr>
              <w:t>80</w:t>
            </w:r>
          </w:p>
        </w:tc>
        <w:tc>
          <w:tcPr>
            <w:tcW w:w="525" w:type="pct"/>
            <w:tcBorders>
              <w:top w:val="nil"/>
              <w:bottom w:val="nil"/>
            </w:tcBorders>
            <w:vAlign w:val="center"/>
          </w:tcPr>
          <w:p w:rsidR="000110F2" w:rsidRDefault="000110F2">
            <w:pPr>
              <w:jc w:val="center"/>
              <w:rPr>
                <w:rFonts w:cs="Arial"/>
                <w:szCs w:val="20"/>
              </w:rPr>
            </w:pPr>
            <w:r>
              <w:rPr>
                <w:rFonts w:cs="Arial"/>
                <w:szCs w:val="20"/>
              </w:rPr>
              <w:t>78</w:t>
            </w:r>
          </w:p>
        </w:tc>
        <w:tc>
          <w:tcPr>
            <w:tcW w:w="518" w:type="pct"/>
            <w:tcBorders>
              <w:top w:val="nil"/>
              <w:bottom w:val="nil"/>
            </w:tcBorders>
            <w:vAlign w:val="center"/>
          </w:tcPr>
          <w:p w:rsidR="000110F2" w:rsidRDefault="000110F2">
            <w:pPr>
              <w:jc w:val="center"/>
              <w:rPr>
                <w:rFonts w:cs="Arial"/>
                <w:szCs w:val="20"/>
              </w:rPr>
            </w:pPr>
            <w:r>
              <w:rPr>
                <w:rFonts w:cs="Arial"/>
                <w:szCs w:val="20"/>
              </w:rPr>
              <w:t>87</w:t>
            </w:r>
          </w:p>
        </w:tc>
        <w:tc>
          <w:tcPr>
            <w:tcW w:w="515" w:type="pct"/>
            <w:tcBorders>
              <w:top w:val="nil"/>
              <w:bottom w:val="nil"/>
            </w:tcBorders>
            <w:vAlign w:val="center"/>
          </w:tcPr>
          <w:p w:rsidR="000110F2" w:rsidRDefault="000110F2">
            <w:pPr>
              <w:jc w:val="center"/>
              <w:rPr>
                <w:rFonts w:cs="Arial"/>
                <w:szCs w:val="20"/>
              </w:rPr>
            </w:pPr>
            <w:r>
              <w:rPr>
                <w:rFonts w:cs="Arial"/>
                <w:szCs w:val="20"/>
              </w:rPr>
              <w:t>81</w:t>
            </w:r>
          </w:p>
        </w:tc>
        <w:tc>
          <w:tcPr>
            <w:tcW w:w="587" w:type="pct"/>
            <w:tcBorders>
              <w:top w:val="nil"/>
              <w:bottom w:val="nil"/>
            </w:tcBorders>
            <w:vAlign w:val="center"/>
          </w:tcPr>
          <w:p w:rsidR="000110F2" w:rsidRDefault="000110F2">
            <w:pPr>
              <w:jc w:val="center"/>
              <w:rPr>
                <w:rFonts w:cs="Arial"/>
                <w:szCs w:val="20"/>
              </w:rPr>
            </w:pPr>
            <w:r>
              <w:rPr>
                <w:rFonts w:cs="Arial"/>
                <w:szCs w:val="20"/>
              </w:rPr>
              <w:t>55</w:t>
            </w:r>
          </w:p>
        </w:tc>
      </w:tr>
      <w:tr w:rsidR="000110F2" w:rsidRPr="00405CDE" w:rsidTr="00A226E9">
        <w:trPr>
          <w:trHeight w:val="87"/>
        </w:trPr>
        <w:tc>
          <w:tcPr>
            <w:tcW w:w="1152" w:type="pct"/>
            <w:tcBorders>
              <w:top w:val="nil"/>
              <w:bottom w:val="nil"/>
            </w:tcBorders>
            <w:vAlign w:val="center"/>
          </w:tcPr>
          <w:p w:rsidR="000110F2" w:rsidRDefault="000110F2">
            <w:pPr>
              <w:rPr>
                <w:rFonts w:cs="Arial"/>
                <w:sz w:val="20"/>
                <w:szCs w:val="20"/>
              </w:rPr>
            </w:pPr>
            <w:r>
              <w:rPr>
                <w:rFonts w:cs="Arial"/>
                <w:sz w:val="20"/>
                <w:szCs w:val="20"/>
              </w:rPr>
              <w:t>Ex post price ($/GJ)</w:t>
            </w:r>
          </w:p>
        </w:tc>
        <w:tc>
          <w:tcPr>
            <w:tcW w:w="589" w:type="pct"/>
            <w:tcBorders>
              <w:top w:val="nil"/>
              <w:bottom w:val="nil"/>
            </w:tcBorders>
            <w:vAlign w:val="center"/>
          </w:tcPr>
          <w:p w:rsidR="000110F2" w:rsidRDefault="000110F2">
            <w:pPr>
              <w:jc w:val="center"/>
              <w:rPr>
                <w:rFonts w:cs="Arial"/>
                <w:sz w:val="20"/>
                <w:szCs w:val="20"/>
              </w:rPr>
            </w:pPr>
            <w:r>
              <w:rPr>
                <w:rFonts w:cs="Arial"/>
                <w:sz w:val="20"/>
                <w:szCs w:val="20"/>
              </w:rPr>
              <w:t>6.09</w:t>
            </w:r>
          </w:p>
        </w:tc>
        <w:tc>
          <w:tcPr>
            <w:tcW w:w="516" w:type="pct"/>
            <w:tcBorders>
              <w:top w:val="nil"/>
              <w:bottom w:val="nil"/>
            </w:tcBorders>
            <w:vAlign w:val="center"/>
          </w:tcPr>
          <w:p w:rsidR="000110F2" w:rsidRDefault="000110F2">
            <w:pPr>
              <w:jc w:val="center"/>
              <w:rPr>
                <w:rFonts w:cs="Arial"/>
                <w:sz w:val="20"/>
                <w:szCs w:val="20"/>
              </w:rPr>
            </w:pPr>
            <w:r>
              <w:rPr>
                <w:rFonts w:cs="Arial"/>
                <w:sz w:val="20"/>
                <w:szCs w:val="20"/>
              </w:rPr>
              <w:t>5.75</w:t>
            </w:r>
          </w:p>
        </w:tc>
        <w:tc>
          <w:tcPr>
            <w:tcW w:w="598" w:type="pct"/>
            <w:tcBorders>
              <w:top w:val="nil"/>
              <w:bottom w:val="nil"/>
            </w:tcBorders>
            <w:vAlign w:val="center"/>
          </w:tcPr>
          <w:p w:rsidR="000110F2" w:rsidRDefault="000110F2">
            <w:pPr>
              <w:jc w:val="center"/>
              <w:rPr>
                <w:rFonts w:cs="Arial"/>
                <w:sz w:val="20"/>
                <w:szCs w:val="20"/>
              </w:rPr>
            </w:pPr>
            <w:r>
              <w:rPr>
                <w:rFonts w:cs="Arial"/>
                <w:sz w:val="20"/>
                <w:szCs w:val="20"/>
              </w:rPr>
              <w:t>5.75</w:t>
            </w:r>
          </w:p>
        </w:tc>
        <w:tc>
          <w:tcPr>
            <w:tcW w:w="525" w:type="pct"/>
            <w:tcBorders>
              <w:top w:val="nil"/>
              <w:bottom w:val="nil"/>
            </w:tcBorders>
            <w:vAlign w:val="center"/>
          </w:tcPr>
          <w:p w:rsidR="000110F2" w:rsidRDefault="000110F2">
            <w:pPr>
              <w:jc w:val="center"/>
              <w:rPr>
                <w:rFonts w:cs="Arial"/>
                <w:sz w:val="20"/>
                <w:szCs w:val="20"/>
              </w:rPr>
            </w:pPr>
            <w:r>
              <w:rPr>
                <w:rFonts w:cs="Arial"/>
                <w:sz w:val="20"/>
                <w:szCs w:val="20"/>
              </w:rPr>
              <w:t>3.44</w:t>
            </w:r>
          </w:p>
        </w:tc>
        <w:tc>
          <w:tcPr>
            <w:tcW w:w="518" w:type="pct"/>
            <w:tcBorders>
              <w:top w:val="nil"/>
              <w:bottom w:val="nil"/>
            </w:tcBorders>
            <w:vAlign w:val="center"/>
          </w:tcPr>
          <w:p w:rsidR="000110F2" w:rsidRDefault="000110F2">
            <w:pPr>
              <w:jc w:val="center"/>
              <w:rPr>
                <w:rFonts w:cs="Arial"/>
                <w:sz w:val="20"/>
                <w:szCs w:val="20"/>
              </w:rPr>
            </w:pPr>
            <w:r>
              <w:rPr>
                <w:rFonts w:cs="Arial"/>
                <w:sz w:val="20"/>
                <w:szCs w:val="20"/>
              </w:rPr>
              <w:t>5.75</w:t>
            </w:r>
          </w:p>
        </w:tc>
        <w:tc>
          <w:tcPr>
            <w:tcW w:w="515" w:type="pct"/>
            <w:tcBorders>
              <w:top w:val="nil"/>
              <w:bottom w:val="nil"/>
            </w:tcBorders>
            <w:vAlign w:val="center"/>
          </w:tcPr>
          <w:p w:rsidR="000110F2" w:rsidRDefault="000110F2">
            <w:pPr>
              <w:jc w:val="center"/>
              <w:rPr>
                <w:rFonts w:cs="Arial"/>
                <w:sz w:val="20"/>
                <w:szCs w:val="20"/>
              </w:rPr>
            </w:pPr>
            <w:r>
              <w:rPr>
                <w:rFonts w:cs="Arial"/>
                <w:sz w:val="20"/>
                <w:szCs w:val="20"/>
              </w:rPr>
              <w:t>7.84</w:t>
            </w:r>
          </w:p>
        </w:tc>
        <w:tc>
          <w:tcPr>
            <w:tcW w:w="587" w:type="pct"/>
            <w:tcBorders>
              <w:top w:val="nil"/>
              <w:bottom w:val="nil"/>
            </w:tcBorders>
            <w:vAlign w:val="center"/>
          </w:tcPr>
          <w:p w:rsidR="000110F2" w:rsidRDefault="000110F2">
            <w:pPr>
              <w:jc w:val="center"/>
              <w:rPr>
                <w:rFonts w:cs="Arial"/>
                <w:sz w:val="20"/>
                <w:szCs w:val="20"/>
              </w:rPr>
            </w:pPr>
            <w:r>
              <w:rPr>
                <w:rFonts w:cs="Arial"/>
                <w:sz w:val="20"/>
                <w:szCs w:val="20"/>
              </w:rPr>
              <w:t>7.19</w:t>
            </w:r>
          </w:p>
        </w:tc>
      </w:tr>
      <w:tr w:rsidR="000110F2"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0110F2" w:rsidRDefault="000110F2">
            <w:pPr>
              <w:rPr>
                <w:rFonts w:cs="Arial"/>
                <w:szCs w:val="20"/>
              </w:rPr>
            </w:pPr>
            <w:r>
              <w:rPr>
                <w:rFonts w:cs="Arial"/>
                <w:szCs w:val="20"/>
              </w:rPr>
              <w:t>Ex post quantity (TJ)</w:t>
            </w:r>
          </w:p>
        </w:tc>
        <w:tc>
          <w:tcPr>
            <w:tcW w:w="589" w:type="pct"/>
            <w:tcBorders>
              <w:top w:val="nil"/>
              <w:bottom w:val="single" w:sz="4" w:space="0" w:color="auto"/>
            </w:tcBorders>
            <w:vAlign w:val="center"/>
          </w:tcPr>
          <w:p w:rsidR="000110F2" w:rsidRDefault="000110F2">
            <w:pPr>
              <w:jc w:val="center"/>
              <w:rPr>
                <w:rFonts w:cs="Arial"/>
                <w:szCs w:val="20"/>
              </w:rPr>
            </w:pPr>
            <w:r>
              <w:rPr>
                <w:rFonts w:cs="Arial"/>
                <w:szCs w:val="20"/>
              </w:rPr>
              <w:t>71</w:t>
            </w:r>
          </w:p>
        </w:tc>
        <w:tc>
          <w:tcPr>
            <w:tcW w:w="516" w:type="pct"/>
            <w:tcBorders>
              <w:top w:val="nil"/>
              <w:bottom w:val="single" w:sz="4" w:space="0" w:color="auto"/>
            </w:tcBorders>
            <w:vAlign w:val="center"/>
          </w:tcPr>
          <w:p w:rsidR="000110F2" w:rsidRDefault="000110F2">
            <w:pPr>
              <w:jc w:val="center"/>
              <w:rPr>
                <w:rFonts w:cs="Arial"/>
                <w:szCs w:val="20"/>
              </w:rPr>
            </w:pPr>
            <w:r>
              <w:rPr>
                <w:rFonts w:cs="Arial"/>
                <w:szCs w:val="20"/>
              </w:rPr>
              <w:t>82</w:t>
            </w:r>
          </w:p>
        </w:tc>
        <w:tc>
          <w:tcPr>
            <w:tcW w:w="598" w:type="pct"/>
            <w:tcBorders>
              <w:top w:val="nil"/>
              <w:bottom w:val="single" w:sz="4" w:space="0" w:color="auto"/>
            </w:tcBorders>
            <w:vAlign w:val="center"/>
          </w:tcPr>
          <w:p w:rsidR="000110F2" w:rsidRDefault="000110F2">
            <w:pPr>
              <w:jc w:val="center"/>
              <w:rPr>
                <w:rFonts w:cs="Arial"/>
                <w:szCs w:val="20"/>
              </w:rPr>
            </w:pPr>
            <w:r>
              <w:rPr>
                <w:rFonts w:cs="Arial"/>
                <w:szCs w:val="20"/>
              </w:rPr>
              <w:t>76</w:t>
            </w:r>
          </w:p>
        </w:tc>
        <w:tc>
          <w:tcPr>
            <w:tcW w:w="525" w:type="pct"/>
            <w:tcBorders>
              <w:top w:val="nil"/>
              <w:bottom w:val="single" w:sz="4" w:space="0" w:color="auto"/>
            </w:tcBorders>
            <w:vAlign w:val="center"/>
          </w:tcPr>
          <w:p w:rsidR="000110F2" w:rsidRDefault="000110F2">
            <w:pPr>
              <w:jc w:val="center"/>
              <w:rPr>
                <w:rFonts w:cs="Arial"/>
                <w:szCs w:val="20"/>
              </w:rPr>
            </w:pPr>
            <w:r>
              <w:rPr>
                <w:rFonts w:cs="Arial"/>
                <w:szCs w:val="20"/>
              </w:rPr>
              <w:t>61</w:t>
            </w:r>
          </w:p>
        </w:tc>
        <w:tc>
          <w:tcPr>
            <w:tcW w:w="518" w:type="pct"/>
            <w:tcBorders>
              <w:top w:val="nil"/>
              <w:bottom w:val="single" w:sz="4" w:space="0" w:color="auto"/>
            </w:tcBorders>
            <w:vAlign w:val="center"/>
          </w:tcPr>
          <w:p w:rsidR="000110F2" w:rsidRDefault="000110F2">
            <w:pPr>
              <w:jc w:val="center"/>
              <w:rPr>
                <w:rFonts w:cs="Arial"/>
                <w:szCs w:val="20"/>
              </w:rPr>
            </w:pPr>
            <w:r>
              <w:rPr>
                <w:rFonts w:cs="Arial"/>
                <w:szCs w:val="20"/>
              </w:rPr>
              <w:t>91</w:t>
            </w:r>
          </w:p>
        </w:tc>
        <w:tc>
          <w:tcPr>
            <w:tcW w:w="515" w:type="pct"/>
            <w:tcBorders>
              <w:top w:val="nil"/>
              <w:bottom w:val="single" w:sz="4" w:space="0" w:color="auto"/>
            </w:tcBorders>
            <w:vAlign w:val="center"/>
          </w:tcPr>
          <w:p w:rsidR="000110F2" w:rsidRDefault="000110F2">
            <w:pPr>
              <w:jc w:val="center"/>
              <w:rPr>
                <w:rFonts w:cs="Arial"/>
                <w:szCs w:val="20"/>
              </w:rPr>
            </w:pPr>
            <w:r>
              <w:rPr>
                <w:rFonts w:cs="Arial"/>
                <w:szCs w:val="20"/>
              </w:rPr>
              <w:t>89</w:t>
            </w:r>
          </w:p>
        </w:tc>
        <w:tc>
          <w:tcPr>
            <w:tcW w:w="587" w:type="pct"/>
            <w:tcBorders>
              <w:top w:val="nil"/>
              <w:bottom w:val="single" w:sz="4" w:space="0" w:color="auto"/>
            </w:tcBorders>
            <w:vAlign w:val="center"/>
          </w:tcPr>
          <w:p w:rsidR="000110F2" w:rsidRDefault="000110F2">
            <w:pPr>
              <w:jc w:val="center"/>
              <w:rPr>
                <w:rFonts w:cs="Arial"/>
                <w:szCs w:val="20"/>
              </w:rPr>
            </w:pPr>
            <w:r>
              <w:rPr>
                <w:rFonts w:cs="Arial"/>
                <w:szCs w:val="20"/>
              </w:rPr>
              <w:t>62</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0110F2" w:rsidP="00EC2CB1">
      <w:r w:rsidRPr="000110F2">
        <w:rPr>
          <w:noProof/>
          <w:lang w:eastAsia="en-AU"/>
        </w:rPr>
        <w:drawing>
          <wp:inline distT="0" distB="0" distL="0" distR="0" wp14:anchorId="2498A514" wp14:editId="0F01ACBC">
            <wp:extent cx="5731510" cy="1739923"/>
            <wp:effectExtent l="0" t="0" r="2540" b="0"/>
            <wp:docPr id="24" name="Picture 24"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0110F2" w:rsidP="00EC2CB1">
      <w:r w:rsidRPr="000110F2">
        <w:rPr>
          <w:noProof/>
          <w:lang w:eastAsia="en-AU"/>
        </w:rPr>
        <w:drawing>
          <wp:inline distT="0" distB="0" distL="0" distR="0" wp14:anchorId="4E4C722D" wp14:editId="65C505EE">
            <wp:extent cx="5731510" cy="1511607"/>
            <wp:effectExtent l="0" t="0" r="2540" b="0"/>
            <wp:docPr id="27" name="Picture 27"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0110F2" w:rsidP="00A226E9">
      <w:r w:rsidRPr="000110F2">
        <w:rPr>
          <w:noProof/>
          <w:lang w:eastAsia="en-AU"/>
        </w:rPr>
        <w:drawing>
          <wp:inline distT="0" distB="0" distL="0" distR="0" wp14:anchorId="528176A4" wp14:editId="4BB16318">
            <wp:extent cx="5731510" cy="1802652"/>
            <wp:effectExtent l="0" t="0" r="2540" b="7620"/>
            <wp:docPr id="28" name="Picture 28"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0110F2" w:rsidRPr="00405CDE" w:rsidTr="00A226E9">
        <w:trPr>
          <w:trHeight w:val="510"/>
        </w:trPr>
        <w:tc>
          <w:tcPr>
            <w:tcW w:w="1152" w:type="pct"/>
            <w:tcBorders>
              <w:top w:val="nil"/>
              <w:bottom w:val="nil"/>
            </w:tcBorders>
            <w:vAlign w:val="center"/>
          </w:tcPr>
          <w:p w:rsidR="000110F2" w:rsidRDefault="000110F2">
            <w:pPr>
              <w:rPr>
                <w:rFonts w:cs="Arial"/>
                <w:sz w:val="20"/>
                <w:szCs w:val="20"/>
              </w:rPr>
            </w:pPr>
            <w:r>
              <w:rPr>
                <w:rFonts w:cs="Arial"/>
                <w:sz w:val="20"/>
                <w:szCs w:val="20"/>
              </w:rPr>
              <w:t>Ex ante price ($/GJ)</w:t>
            </w:r>
          </w:p>
        </w:tc>
        <w:tc>
          <w:tcPr>
            <w:tcW w:w="589" w:type="pct"/>
            <w:tcBorders>
              <w:top w:val="nil"/>
              <w:bottom w:val="nil"/>
            </w:tcBorders>
            <w:vAlign w:val="center"/>
          </w:tcPr>
          <w:p w:rsidR="000110F2" w:rsidRDefault="000110F2">
            <w:pPr>
              <w:jc w:val="center"/>
              <w:rPr>
                <w:rFonts w:cs="Arial"/>
                <w:sz w:val="20"/>
                <w:szCs w:val="20"/>
              </w:rPr>
            </w:pPr>
            <w:r>
              <w:rPr>
                <w:rFonts w:cs="Arial"/>
                <w:sz w:val="20"/>
                <w:szCs w:val="20"/>
              </w:rPr>
              <w:t>3.99</w:t>
            </w:r>
          </w:p>
        </w:tc>
        <w:tc>
          <w:tcPr>
            <w:tcW w:w="516" w:type="pct"/>
            <w:tcBorders>
              <w:top w:val="nil"/>
              <w:bottom w:val="nil"/>
            </w:tcBorders>
            <w:vAlign w:val="center"/>
          </w:tcPr>
          <w:p w:rsidR="000110F2" w:rsidRDefault="000110F2">
            <w:pPr>
              <w:jc w:val="center"/>
              <w:rPr>
                <w:rFonts w:cs="Arial"/>
                <w:sz w:val="20"/>
                <w:szCs w:val="20"/>
              </w:rPr>
            </w:pPr>
            <w:r>
              <w:rPr>
                <w:rFonts w:cs="Arial"/>
                <w:sz w:val="20"/>
                <w:szCs w:val="20"/>
              </w:rPr>
              <w:t>3.99</w:t>
            </w:r>
          </w:p>
        </w:tc>
        <w:tc>
          <w:tcPr>
            <w:tcW w:w="598" w:type="pct"/>
            <w:tcBorders>
              <w:top w:val="nil"/>
              <w:bottom w:val="nil"/>
            </w:tcBorders>
            <w:vAlign w:val="center"/>
          </w:tcPr>
          <w:p w:rsidR="000110F2" w:rsidRDefault="000110F2">
            <w:pPr>
              <w:jc w:val="center"/>
              <w:rPr>
                <w:rFonts w:cs="Arial"/>
                <w:sz w:val="20"/>
                <w:szCs w:val="20"/>
              </w:rPr>
            </w:pPr>
            <w:r>
              <w:rPr>
                <w:rFonts w:cs="Arial"/>
                <w:sz w:val="20"/>
                <w:szCs w:val="20"/>
              </w:rPr>
              <w:t>3.91</w:t>
            </w:r>
          </w:p>
        </w:tc>
        <w:tc>
          <w:tcPr>
            <w:tcW w:w="525" w:type="pct"/>
            <w:tcBorders>
              <w:top w:val="nil"/>
              <w:bottom w:val="nil"/>
            </w:tcBorders>
            <w:vAlign w:val="center"/>
          </w:tcPr>
          <w:p w:rsidR="000110F2" w:rsidRDefault="000110F2">
            <w:pPr>
              <w:jc w:val="center"/>
              <w:rPr>
                <w:rFonts w:cs="Arial"/>
                <w:sz w:val="20"/>
                <w:szCs w:val="20"/>
              </w:rPr>
            </w:pPr>
            <w:r>
              <w:rPr>
                <w:rFonts w:cs="Arial"/>
                <w:sz w:val="20"/>
                <w:szCs w:val="20"/>
              </w:rPr>
              <w:t>3.90</w:t>
            </w:r>
          </w:p>
        </w:tc>
        <w:tc>
          <w:tcPr>
            <w:tcW w:w="518" w:type="pct"/>
            <w:tcBorders>
              <w:top w:val="nil"/>
              <w:bottom w:val="nil"/>
            </w:tcBorders>
            <w:vAlign w:val="center"/>
          </w:tcPr>
          <w:p w:rsidR="000110F2" w:rsidRDefault="000110F2">
            <w:pPr>
              <w:jc w:val="center"/>
              <w:rPr>
                <w:rFonts w:cs="Arial"/>
                <w:sz w:val="20"/>
                <w:szCs w:val="20"/>
              </w:rPr>
            </w:pPr>
            <w:r>
              <w:rPr>
                <w:rFonts w:cs="Arial"/>
                <w:sz w:val="20"/>
                <w:szCs w:val="20"/>
              </w:rPr>
              <w:t>4.43</w:t>
            </w:r>
          </w:p>
        </w:tc>
        <w:tc>
          <w:tcPr>
            <w:tcW w:w="515" w:type="pct"/>
            <w:tcBorders>
              <w:top w:val="nil"/>
              <w:bottom w:val="nil"/>
            </w:tcBorders>
            <w:vAlign w:val="center"/>
          </w:tcPr>
          <w:p w:rsidR="000110F2" w:rsidRDefault="000110F2">
            <w:pPr>
              <w:jc w:val="center"/>
              <w:rPr>
                <w:rFonts w:cs="Arial"/>
                <w:sz w:val="20"/>
                <w:szCs w:val="20"/>
              </w:rPr>
            </w:pPr>
            <w:r>
              <w:rPr>
                <w:rFonts w:cs="Arial"/>
                <w:sz w:val="20"/>
                <w:szCs w:val="20"/>
              </w:rPr>
              <w:t>5.69</w:t>
            </w:r>
          </w:p>
        </w:tc>
        <w:tc>
          <w:tcPr>
            <w:tcW w:w="587" w:type="pct"/>
            <w:tcBorders>
              <w:top w:val="nil"/>
              <w:bottom w:val="nil"/>
            </w:tcBorders>
            <w:vAlign w:val="center"/>
          </w:tcPr>
          <w:p w:rsidR="000110F2" w:rsidRDefault="000110F2">
            <w:pPr>
              <w:jc w:val="center"/>
              <w:rPr>
                <w:rFonts w:cs="Arial"/>
                <w:sz w:val="20"/>
                <w:szCs w:val="20"/>
              </w:rPr>
            </w:pPr>
            <w:r>
              <w:rPr>
                <w:rFonts w:cs="Arial"/>
                <w:sz w:val="20"/>
                <w:szCs w:val="20"/>
              </w:rPr>
              <w:t>5.03</w:t>
            </w:r>
          </w:p>
        </w:tc>
      </w:tr>
      <w:tr w:rsidR="000110F2"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0110F2" w:rsidRDefault="000110F2">
            <w:pPr>
              <w:rPr>
                <w:rFonts w:cs="Arial"/>
                <w:szCs w:val="20"/>
              </w:rPr>
            </w:pPr>
            <w:r>
              <w:rPr>
                <w:rFonts w:cs="Arial"/>
                <w:szCs w:val="20"/>
              </w:rPr>
              <w:t>Ex ante quantity (TJ)</w:t>
            </w:r>
          </w:p>
        </w:tc>
        <w:tc>
          <w:tcPr>
            <w:tcW w:w="589" w:type="pct"/>
            <w:tcBorders>
              <w:top w:val="nil"/>
              <w:bottom w:val="nil"/>
            </w:tcBorders>
            <w:vAlign w:val="center"/>
          </w:tcPr>
          <w:p w:rsidR="000110F2" w:rsidRDefault="000110F2">
            <w:pPr>
              <w:jc w:val="center"/>
              <w:rPr>
                <w:rFonts w:cs="Arial"/>
                <w:szCs w:val="20"/>
              </w:rPr>
            </w:pPr>
            <w:r>
              <w:rPr>
                <w:rFonts w:cs="Arial"/>
                <w:szCs w:val="20"/>
              </w:rPr>
              <w:t>75</w:t>
            </w:r>
          </w:p>
        </w:tc>
        <w:tc>
          <w:tcPr>
            <w:tcW w:w="516" w:type="pct"/>
            <w:tcBorders>
              <w:top w:val="nil"/>
              <w:bottom w:val="nil"/>
            </w:tcBorders>
            <w:vAlign w:val="center"/>
          </w:tcPr>
          <w:p w:rsidR="000110F2" w:rsidRDefault="000110F2">
            <w:pPr>
              <w:jc w:val="center"/>
              <w:rPr>
                <w:rFonts w:cs="Arial"/>
                <w:szCs w:val="20"/>
              </w:rPr>
            </w:pPr>
            <w:r>
              <w:rPr>
                <w:rFonts w:cs="Arial"/>
                <w:szCs w:val="20"/>
              </w:rPr>
              <w:t>92</w:t>
            </w:r>
          </w:p>
        </w:tc>
        <w:tc>
          <w:tcPr>
            <w:tcW w:w="598" w:type="pct"/>
            <w:tcBorders>
              <w:top w:val="nil"/>
              <w:bottom w:val="nil"/>
            </w:tcBorders>
            <w:vAlign w:val="center"/>
          </w:tcPr>
          <w:p w:rsidR="000110F2" w:rsidRDefault="000110F2">
            <w:pPr>
              <w:jc w:val="center"/>
              <w:rPr>
                <w:rFonts w:cs="Arial"/>
                <w:szCs w:val="20"/>
              </w:rPr>
            </w:pPr>
            <w:r>
              <w:rPr>
                <w:rFonts w:cs="Arial"/>
                <w:szCs w:val="20"/>
              </w:rPr>
              <w:t>94</w:t>
            </w:r>
          </w:p>
        </w:tc>
        <w:tc>
          <w:tcPr>
            <w:tcW w:w="525" w:type="pct"/>
            <w:tcBorders>
              <w:top w:val="nil"/>
              <w:bottom w:val="nil"/>
            </w:tcBorders>
            <w:vAlign w:val="center"/>
          </w:tcPr>
          <w:p w:rsidR="000110F2" w:rsidRDefault="000110F2">
            <w:pPr>
              <w:jc w:val="center"/>
              <w:rPr>
                <w:rFonts w:cs="Arial"/>
                <w:szCs w:val="20"/>
              </w:rPr>
            </w:pPr>
            <w:r>
              <w:rPr>
                <w:rFonts w:cs="Arial"/>
                <w:szCs w:val="20"/>
              </w:rPr>
              <w:t>92</w:t>
            </w:r>
          </w:p>
        </w:tc>
        <w:tc>
          <w:tcPr>
            <w:tcW w:w="518" w:type="pct"/>
            <w:tcBorders>
              <w:top w:val="nil"/>
              <w:bottom w:val="nil"/>
            </w:tcBorders>
            <w:vAlign w:val="center"/>
          </w:tcPr>
          <w:p w:rsidR="000110F2" w:rsidRDefault="000110F2">
            <w:pPr>
              <w:jc w:val="center"/>
              <w:rPr>
                <w:rFonts w:cs="Arial"/>
                <w:szCs w:val="20"/>
              </w:rPr>
            </w:pPr>
            <w:r>
              <w:rPr>
                <w:rFonts w:cs="Arial"/>
                <w:szCs w:val="20"/>
              </w:rPr>
              <w:t>92</w:t>
            </w:r>
          </w:p>
        </w:tc>
        <w:tc>
          <w:tcPr>
            <w:tcW w:w="515" w:type="pct"/>
            <w:tcBorders>
              <w:top w:val="nil"/>
              <w:bottom w:val="nil"/>
            </w:tcBorders>
            <w:vAlign w:val="center"/>
          </w:tcPr>
          <w:p w:rsidR="000110F2" w:rsidRDefault="000110F2">
            <w:pPr>
              <w:jc w:val="center"/>
              <w:rPr>
                <w:rFonts w:cs="Arial"/>
                <w:szCs w:val="20"/>
              </w:rPr>
            </w:pPr>
            <w:r>
              <w:rPr>
                <w:rFonts w:cs="Arial"/>
                <w:szCs w:val="20"/>
              </w:rPr>
              <w:t>87</w:t>
            </w:r>
          </w:p>
        </w:tc>
        <w:tc>
          <w:tcPr>
            <w:tcW w:w="587" w:type="pct"/>
            <w:tcBorders>
              <w:top w:val="nil"/>
              <w:bottom w:val="nil"/>
            </w:tcBorders>
            <w:vAlign w:val="center"/>
          </w:tcPr>
          <w:p w:rsidR="000110F2" w:rsidRDefault="000110F2">
            <w:pPr>
              <w:jc w:val="center"/>
              <w:rPr>
                <w:rFonts w:cs="Arial"/>
                <w:szCs w:val="20"/>
              </w:rPr>
            </w:pPr>
            <w:r>
              <w:rPr>
                <w:rFonts w:cs="Arial"/>
                <w:szCs w:val="20"/>
              </w:rPr>
              <w:t>74</w:t>
            </w:r>
          </w:p>
        </w:tc>
      </w:tr>
      <w:tr w:rsidR="000110F2" w:rsidRPr="00405CDE" w:rsidTr="00A226E9">
        <w:trPr>
          <w:trHeight w:val="510"/>
        </w:trPr>
        <w:tc>
          <w:tcPr>
            <w:tcW w:w="1152" w:type="pct"/>
            <w:tcBorders>
              <w:top w:val="nil"/>
              <w:bottom w:val="nil"/>
            </w:tcBorders>
            <w:vAlign w:val="center"/>
          </w:tcPr>
          <w:p w:rsidR="000110F2" w:rsidRDefault="000110F2">
            <w:pPr>
              <w:rPr>
                <w:rFonts w:cs="Arial"/>
                <w:sz w:val="20"/>
                <w:szCs w:val="20"/>
              </w:rPr>
            </w:pPr>
            <w:r>
              <w:rPr>
                <w:rFonts w:cs="Arial"/>
                <w:sz w:val="20"/>
                <w:szCs w:val="20"/>
              </w:rPr>
              <w:t>Ex post price ($/GJ)</w:t>
            </w:r>
          </w:p>
        </w:tc>
        <w:tc>
          <w:tcPr>
            <w:tcW w:w="589" w:type="pct"/>
            <w:tcBorders>
              <w:top w:val="nil"/>
              <w:bottom w:val="nil"/>
            </w:tcBorders>
            <w:vAlign w:val="center"/>
          </w:tcPr>
          <w:p w:rsidR="000110F2" w:rsidRDefault="000110F2">
            <w:pPr>
              <w:jc w:val="center"/>
              <w:rPr>
                <w:rFonts w:cs="Arial"/>
                <w:sz w:val="20"/>
                <w:szCs w:val="20"/>
              </w:rPr>
            </w:pPr>
            <w:r>
              <w:rPr>
                <w:rFonts w:cs="Arial"/>
                <w:sz w:val="20"/>
                <w:szCs w:val="20"/>
              </w:rPr>
              <w:t>4.45</w:t>
            </w:r>
          </w:p>
        </w:tc>
        <w:tc>
          <w:tcPr>
            <w:tcW w:w="516" w:type="pct"/>
            <w:tcBorders>
              <w:top w:val="nil"/>
              <w:bottom w:val="nil"/>
            </w:tcBorders>
            <w:vAlign w:val="center"/>
          </w:tcPr>
          <w:p w:rsidR="000110F2" w:rsidRDefault="000110F2">
            <w:pPr>
              <w:jc w:val="center"/>
              <w:rPr>
                <w:rFonts w:cs="Arial"/>
                <w:sz w:val="20"/>
                <w:szCs w:val="20"/>
              </w:rPr>
            </w:pPr>
            <w:r>
              <w:rPr>
                <w:rFonts w:cs="Arial"/>
                <w:sz w:val="20"/>
                <w:szCs w:val="20"/>
              </w:rPr>
              <w:t>3.99</w:t>
            </w:r>
          </w:p>
        </w:tc>
        <w:tc>
          <w:tcPr>
            <w:tcW w:w="598" w:type="pct"/>
            <w:tcBorders>
              <w:top w:val="nil"/>
              <w:bottom w:val="nil"/>
            </w:tcBorders>
            <w:vAlign w:val="center"/>
          </w:tcPr>
          <w:p w:rsidR="000110F2" w:rsidRDefault="000110F2">
            <w:pPr>
              <w:jc w:val="center"/>
              <w:rPr>
                <w:rFonts w:cs="Arial"/>
                <w:sz w:val="20"/>
                <w:szCs w:val="20"/>
              </w:rPr>
            </w:pPr>
            <w:r>
              <w:rPr>
                <w:rFonts w:cs="Arial"/>
                <w:sz w:val="20"/>
                <w:szCs w:val="20"/>
              </w:rPr>
              <w:t>3.40</w:t>
            </w:r>
          </w:p>
        </w:tc>
        <w:tc>
          <w:tcPr>
            <w:tcW w:w="525" w:type="pct"/>
            <w:tcBorders>
              <w:top w:val="nil"/>
              <w:bottom w:val="nil"/>
            </w:tcBorders>
            <w:vAlign w:val="center"/>
          </w:tcPr>
          <w:p w:rsidR="000110F2" w:rsidRDefault="000110F2">
            <w:pPr>
              <w:jc w:val="center"/>
              <w:rPr>
                <w:rFonts w:cs="Arial"/>
                <w:sz w:val="20"/>
                <w:szCs w:val="20"/>
              </w:rPr>
            </w:pPr>
            <w:r>
              <w:rPr>
                <w:rFonts w:cs="Arial"/>
                <w:sz w:val="20"/>
                <w:szCs w:val="20"/>
              </w:rPr>
              <w:t>3.05</w:t>
            </w:r>
          </w:p>
        </w:tc>
        <w:tc>
          <w:tcPr>
            <w:tcW w:w="518" w:type="pct"/>
            <w:tcBorders>
              <w:top w:val="nil"/>
              <w:bottom w:val="nil"/>
            </w:tcBorders>
            <w:vAlign w:val="center"/>
          </w:tcPr>
          <w:p w:rsidR="000110F2" w:rsidRDefault="000110F2">
            <w:pPr>
              <w:jc w:val="center"/>
              <w:rPr>
                <w:rFonts w:cs="Arial"/>
                <w:sz w:val="20"/>
                <w:szCs w:val="20"/>
              </w:rPr>
            </w:pPr>
            <w:r>
              <w:rPr>
                <w:rFonts w:cs="Arial"/>
                <w:sz w:val="20"/>
                <w:szCs w:val="20"/>
              </w:rPr>
              <w:t>4.99</w:t>
            </w:r>
          </w:p>
        </w:tc>
        <w:tc>
          <w:tcPr>
            <w:tcW w:w="515" w:type="pct"/>
            <w:tcBorders>
              <w:top w:val="nil"/>
              <w:bottom w:val="nil"/>
            </w:tcBorders>
            <w:vAlign w:val="center"/>
          </w:tcPr>
          <w:p w:rsidR="000110F2" w:rsidRDefault="000110F2">
            <w:pPr>
              <w:jc w:val="center"/>
              <w:rPr>
                <w:rFonts w:cs="Arial"/>
                <w:sz w:val="20"/>
                <w:szCs w:val="20"/>
              </w:rPr>
            </w:pPr>
            <w:r>
              <w:rPr>
                <w:rFonts w:cs="Arial"/>
                <w:sz w:val="20"/>
                <w:szCs w:val="20"/>
              </w:rPr>
              <w:t>5.69</w:t>
            </w:r>
          </w:p>
        </w:tc>
        <w:tc>
          <w:tcPr>
            <w:tcW w:w="587" w:type="pct"/>
            <w:tcBorders>
              <w:top w:val="nil"/>
              <w:bottom w:val="nil"/>
            </w:tcBorders>
            <w:vAlign w:val="center"/>
          </w:tcPr>
          <w:p w:rsidR="000110F2" w:rsidRDefault="000110F2">
            <w:pPr>
              <w:jc w:val="center"/>
              <w:rPr>
                <w:rFonts w:cs="Arial"/>
                <w:sz w:val="20"/>
                <w:szCs w:val="20"/>
              </w:rPr>
            </w:pPr>
            <w:r>
              <w:rPr>
                <w:rFonts w:cs="Arial"/>
                <w:sz w:val="20"/>
                <w:szCs w:val="20"/>
              </w:rPr>
              <w:t>5.03</w:t>
            </w:r>
          </w:p>
        </w:tc>
      </w:tr>
      <w:tr w:rsidR="000110F2"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0110F2" w:rsidRDefault="000110F2">
            <w:pPr>
              <w:rPr>
                <w:rFonts w:cs="Arial"/>
                <w:szCs w:val="20"/>
              </w:rPr>
            </w:pPr>
            <w:r>
              <w:rPr>
                <w:rFonts w:cs="Arial"/>
                <w:szCs w:val="20"/>
              </w:rPr>
              <w:t>Ex post quantity (TJ)</w:t>
            </w:r>
          </w:p>
        </w:tc>
        <w:tc>
          <w:tcPr>
            <w:tcW w:w="589" w:type="pct"/>
            <w:tcBorders>
              <w:top w:val="nil"/>
              <w:bottom w:val="single" w:sz="4" w:space="0" w:color="auto"/>
            </w:tcBorders>
            <w:vAlign w:val="center"/>
          </w:tcPr>
          <w:p w:rsidR="000110F2" w:rsidRDefault="000110F2">
            <w:pPr>
              <w:jc w:val="center"/>
              <w:rPr>
                <w:rFonts w:cs="Arial"/>
                <w:szCs w:val="20"/>
              </w:rPr>
            </w:pPr>
            <w:r>
              <w:rPr>
                <w:rFonts w:cs="Arial"/>
                <w:szCs w:val="20"/>
              </w:rPr>
              <w:t>78</w:t>
            </w:r>
          </w:p>
        </w:tc>
        <w:tc>
          <w:tcPr>
            <w:tcW w:w="516" w:type="pct"/>
            <w:tcBorders>
              <w:top w:val="nil"/>
              <w:bottom w:val="single" w:sz="4" w:space="0" w:color="auto"/>
            </w:tcBorders>
            <w:vAlign w:val="center"/>
          </w:tcPr>
          <w:p w:rsidR="000110F2" w:rsidRDefault="000110F2">
            <w:pPr>
              <w:jc w:val="center"/>
              <w:rPr>
                <w:rFonts w:cs="Arial"/>
                <w:szCs w:val="20"/>
              </w:rPr>
            </w:pPr>
            <w:r>
              <w:rPr>
                <w:rFonts w:cs="Arial"/>
                <w:szCs w:val="20"/>
              </w:rPr>
              <w:t>92</w:t>
            </w:r>
          </w:p>
        </w:tc>
        <w:tc>
          <w:tcPr>
            <w:tcW w:w="598" w:type="pct"/>
            <w:tcBorders>
              <w:top w:val="nil"/>
              <w:bottom w:val="single" w:sz="4" w:space="0" w:color="auto"/>
            </w:tcBorders>
            <w:vAlign w:val="center"/>
          </w:tcPr>
          <w:p w:rsidR="000110F2" w:rsidRDefault="000110F2">
            <w:pPr>
              <w:jc w:val="center"/>
              <w:rPr>
                <w:rFonts w:cs="Arial"/>
                <w:szCs w:val="20"/>
              </w:rPr>
            </w:pPr>
            <w:r>
              <w:rPr>
                <w:rFonts w:cs="Arial"/>
                <w:szCs w:val="20"/>
              </w:rPr>
              <w:t>90</w:t>
            </w:r>
          </w:p>
        </w:tc>
        <w:tc>
          <w:tcPr>
            <w:tcW w:w="525" w:type="pct"/>
            <w:tcBorders>
              <w:top w:val="nil"/>
              <w:bottom w:val="single" w:sz="4" w:space="0" w:color="auto"/>
            </w:tcBorders>
            <w:vAlign w:val="center"/>
          </w:tcPr>
          <w:p w:rsidR="000110F2" w:rsidRDefault="000110F2">
            <w:pPr>
              <w:jc w:val="center"/>
              <w:rPr>
                <w:rFonts w:cs="Arial"/>
                <w:szCs w:val="20"/>
              </w:rPr>
            </w:pPr>
            <w:r>
              <w:rPr>
                <w:rFonts w:cs="Arial"/>
                <w:szCs w:val="20"/>
              </w:rPr>
              <w:t>90</w:t>
            </w:r>
          </w:p>
        </w:tc>
        <w:tc>
          <w:tcPr>
            <w:tcW w:w="518" w:type="pct"/>
            <w:tcBorders>
              <w:top w:val="nil"/>
              <w:bottom w:val="single" w:sz="4" w:space="0" w:color="auto"/>
            </w:tcBorders>
            <w:vAlign w:val="center"/>
          </w:tcPr>
          <w:p w:rsidR="000110F2" w:rsidRDefault="000110F2">
            <w:pPr>
              <w:jc w:val="center"/>
              <w:rPr>
                <w:rFonts w:cs="Arial"/>
                <w:szCs w:val="20"/>
              </w:rPr>
            </w:pPr>
            <w:r>
              <w:rPr>
                <w:rFonts w:cs="Arial"/>
                <w:szCs w:val="20"/>
              </w:rPr>
              <w:t>94</w:t>
            </w:r>
          </w:p>
        </w:tc>
        <w:tc>
          <w:tcPr>
            <w:tcW w:w="515" w:type="pct"/>
            <w:tcBorders>
              <w:top w:val="nil"/>
              <w:bottom w:val="single" w:sz="4" w:space="0" w:color="auto"/>
            </w:tcBorders>
            <w:vAlign w:val="center"/>
          </w:tcPr>
          <w:p w:rsidR="000110F2" w:rsidRDefault="000110F2">
            <w:pPr>
              <w:jc w:val="center"/>
              <w:rPr>
                <w:rFonts w:cs="Arial"/>
                <w:szCs w:val="20"/>
              </w:rPr>
            </w:pPr>
            <w:r>
              <w:rPr>
                <w:rFonts w:cs="Arial"/>
                <w:szCs w:val="20"/>
              </w:rPr>
              <w:t>88</w:t>
            </w:r>
          </w:p>
        </w:tc>
        <w:tc>
          <w:tcPr>
            <w:tcW w:w="587" w:type="pct"/>
            <w:tcBorders>
              <w:top w:val="nil"/>
              <w:bottom w:val="single" w:sz="4" w:space="0" w:color="auto"/>
            </w:tcBorders>
            <w:vAlign w:val="center"/>
          </w:tcPr>
          <w:p w:rsidR="000110F2" w:rsidRDefault="000110F2">
            <w:pPr>
              <w:jc w:val="center"/>
              <w:rPr>
                <w:rFonts w:cs="Arial"/>
                <w:szCs w:val="20"/>
              </w:rPr>
            </w:pPr>
            <w:r>
              <w:rPr>
                <w:rFonts w:cs="Arial"/>
                <w:szCs w:val="20"/>
              </w:rPr>
              <w:t>75</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0110F2" w:rsidP="00EC2CB1">
      <w:r w:rsidRPr="000110F2">
        <w:rPr>
          <w:noProof/>
          <w:lang w:eastAsia="en-AU"/>
        </w:rPr>
        <w:drawing>
          <wp:inline distT="0" distB="0" distL="0" distR="0" wp14:anchorId="6F3370AC" wp14:editId="23767856">
            <wp:extent cx="5731510" cy="1725905"/>
            <wp:effectExtent l="0" t="0" r="2540" b="0"/>
            <wp:docPr id="29" name="Picture 29"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0110F2" w:rsidP="00EC2CB1">
      <w:r w:rsidRPr="000110F2">
        <w:rPr>
          <w:noProof/>
          <w:lang w:eastAsia="en-AU"/>
        </w:rPr>
        <w:drawing>
          <wp:inline distT="0" distB="0" distL="0" distR="0" wp14:anchorId="12F34CD8" wp14:editId="1AD7A687">
            <wp:extent cx="5731510" cy="1475616"/>
            <wp:effectExtent l="0" t="0" r="2540" b="0"/>
            <wp:docPr id="30" name="Picture 30"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0110F2" w:rsidP="00A226E9">
      <w:r w:rsidRPr="000110F2">
        <w:rPr>
          <w:noProof/>
          <w:lang w:eastAsia="en-AU"/>
        </w:rPr>
        <w:drawing>
          <wp:inline distT="0" distB="0" distL="0" distR="0" wp14:anchorId="5E1C5B63" wp14:editId="00EAD6B6">
            <wp:extent cx="5731510" cy="1883137"/>
            <wp:effectExtent l="0" t="0" r="2540" b="3175"/>
            <wp:docPr id="31" name="Picture 31"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4C571B" w:rsidRDefault="00551D6B" w:rsidP="00551D6B">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4"/>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5"/>
      </w:r>
      <w:r>
        <w:t xml:space="preserve"> are provided for gas markets </w:t>
      </w:r>
      <w:r w:rsidR="00817724">
        <w:t>and gas supply hubs. Average daily quantities are provided for</w:t>
      </w:r>
      <w:r>
        <w:t xml:space="preserve"> gas powered generation for each region.</w:t>
      </w:r>
    </w:p>
    <w:p w:rsidR="004C571B" w:rsidRDefault="00551D6B" w:rsidP="00551D6B">
      <w:pPr>
        <w:pStyle w:val="Caption"/>
        <w:numPr>
          <w:ilvl w:val="0"/>
          <w:numId w:val="33"/>
        </w:numPr>
        <w:ind w:left="1418" w:hanging="1418"/>
        <w:rPr>
          <w:color w:val="2272A3"/>
          <w:szCs w:val="24"/>
        </w:rPr>
      </w:pPr>
      <w:r w:rsidRPr="00DD0358">
        <w:rPr>
          <w:color w:val="2272A3"/>
          <w:szCs w:val="24"/>
        </w:rPr>
        <w:t>Gas market data ($/GJ, TJ); Production and Pipeline flows (TJ)</w:t>
      </w:r>
    </w:p>
    <w:p w:rsidR="00665C0C" w:rsidRDefault="000110F2">
      <w:pPr>
        <w:spacing w:line="240" w:lineRule="auto"/>
      </w:pPr>
      <w:r w:rsidRPr="000110F2">
        <w:rPr>
          <w:noProof/>
          <w:lang w:eastAsia="en-AU"/>
        </w:rPr>
        <w:drawing>
          <wp:inline distT="0" distB="0" distL="0" distR="0" wp14:anchorId="4C3BAD41" wp14:editId="287265BE">
            <wp:extent cx="5731510" cy="6142275"/>
            <wp:effectExtent l="0" t="0" r="2540" b="0"/>
            <wp:docPr id="32" name="Picture 32"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142275"/>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E16EDC" w:rsidRDefault="00551D6B" w:rsidP="00551D6B">
      <w:pPr>
        <w:jc w:val="both"/>
      </w:pPr>
      <w:r>
        <w:t xml:space="preserve">The Gas Supply </w:t>
      </w:r>
      <w:r w:rsidRPr="00552F68">
        <w:t xml:space="preserve">Hub </w:t>
      </w:r>
      <w:r w:rsidRPr="00552F68">
        <w:rPr>
          <w:b/>
          <w:bCs/>
        </w:rPr>
        <w:t>(GSH)</w:t>
      </w:r>
      <w:r w:rsidRPr="00552F68">
        <w:t xml:space="preserve"> was established</w:t>
      </w:r>
      <w:r w:rsidR="00E06937" w:rsidRPr="00552F68">
        <w:t xml:space="preserve"> in March 2014</w:t>
      </w:r>
      <w:r w:rsidRPr="00552F68">
        <w:t xml:space="preserve"> for the trading of gas at Wallumbilla. The GSH is a voluntary market</w:t>
      </w:r>
      <w:r w:rsidRPr="00552F68">
        <w:rPr>
          <w:rStyle w:val="FootnoteReference"/>
        </w:rPr>
        <w:footnoteReference w:id="16"/>
      </w:r>
      <w:r w:rsidRPr="00552F68">
        <w:t xml:space="preserve"> for the supply of gas traded</w:t>
      </w:r>
      <w:r w:rsidR="006A1226">
        <w:rPr>
          <w:rStyle w:val="FootnoteReference"/>
        </w:rPr>
        <w:footnoteReference w:id="17"/>
      </w:r>
      <w:r w:rsidRPr="00552F68">
        <w:t xml:space="preserve"> between separate participants, with products listed for sale and purchase at delivery points on three major connecting pipelines at Wallumbilla – the </w:t>
      </w:r>
      <w:r w:rsidRPr="00552F68">
        <w:rPr>
          <w:b/>
        </w:rPr>
        <w:t>QGP</w:t>
      </w:r>
      <w:r w:rsidRPr="00552F68">
        <w:t xml:space="preserve">, the </w:t>
      </w:r>
      <w:r w:rsidRPr="00552F68">
        <w:rPr>
          <w:b/>
        </w:rPr>
        <w:t>SWQP</w:t>
      </w:r>
      <w:r w:rsidRPr="00552F68">
        <w:t xml:space="preserve"> and the </w:t>
      </w:r>
      <w:r w:rsidRPr="00552F68">
        <w:rPr>
          <w:b/>
        </w:rPr>
        <w:t>RBP</w:t>
      </w:r>
      <w:r w:rsidRPr="00552F68">
        <w:t>. There are separate products for each pipeline (each pipeline is considered a trading location, and each has a number of delivery points) and delivery period (daily, day-ahead, balance-of-day</w:t>
      </w:r>
      <w:r w:rsidR="00E06937" w:rsidRPr="00552F68">
        <w:t>,</w:t>
      </w:r>
      <w:r w:rsidRPr="00552F68">
        <w:t xml:space="preserve"> weekly</w:t>
      </w:r>
      <w:r w:rsidR="00E06937" w:rsidRPr="00552F68">
        <w:t xml:space="preserve"> and monthly products</w:t>
      </w:r>
      <w:r w:rsidRPr="00552F68">
        <w:t>).</w:t>
      </w:r>
      <w:r w:rsidR="00E06937" w:rsidRPr="00552F68">
        <w:rPr>
          <w:color w:val="FF0000"/>
        </w:rPr>
        <w:t xml:space="preserve"> </w:t>
      </w:r>
      <w:r w:rsidR="00E06937" w:rsidRPr="00552F68">
        <w:t xml:space="preserve">In June 2016, a new supply hub at Moomba was created to facilitate trade on the </w:t>
      </w:r>
      <w:r w:rsidR="00E06937" w:rsidRPr="000E7D8C">
        <w:rPr>
          <w:b/>
        </w:rPr>
        <w:t>MAP</w:t>
      </w:r>
      <w:r w:rsidR="00E06937" w:rsidRPr="00552F68">
        <w:t xml:space="preserve"> and </w:t>
      </w:r>
      <w:r w:rsidR="00E06937" w:rsidRPr="000E7D8C">
        <w:rPr>
          <w:b/>
        </w:rPr>
        <w:t>MSP</w:t>
      </w:r>
      <w:r w:rsidR="00E06937" w:rsidRPr="00552F68">
        <w:t>, and also allow for trading between the Wallumbilla and Moomba markets on the SWQP through a spread product</w:t>
      </w:r>
      <w:r w:rsidR="001C3452" w:rsidRPr="00552F68">
        <w:t xml:space="preserve"> (representing the price differential between the two hubs)</w:t>
      </w:r>
      <w:r w:rsidR="00E06937" w:rsidRPr="00552F68">
        <w:t>.</w:t>
      </w:r>
      <w:r w:rsidR="00337F4F" w:rsidRPr="00552F68">
        <w:t xml:space="preserve"> </w:t>
      </w:r>
    </w:p>
    <w:p w:rsidR="00AC4BF5" w:rsidRPr="005F77E2" w:rsidRDefault="00AC4BF5" w:rsidP="00551D6B">
      <w:pPr>
        <w:jc w:val="both"/>
      </w:pPr>
      <w:r w:rsidRPr="005F77E2">
        <w:t xml:space="preserve">There were </w:t>
      </w:r>
      <w:r w:rsidR="00BB0DE0" w:rsidRPr="005F77E2">
        <w:t>9</w:t>
      </w:r>
      <w:r w:rsidRPr="005F77E2">
        <w:t xml:space="preserve"> trades this week for </w:t>
      </w:r>
      <w:r w:rsidR="00BB0DE0" w:rsidRPr="005F77E2">
        <w:t>59.8</w:t>
      </w:r>
      <w:r w:rsidR="005F77E2">
        <w:t> </w:t>
      </w:r>
      <w:r w:rsidRPr="005F77E2">
        <w:t>TJ of gas at a volume weighted price of $</w:t>
      </w:r>
      <w:r w:rsidR="00BB0DE0" w:rsidRPr="005F77E2">
        <w:t>3.85</w:t>
      </w:r>
      <w:r w:rsidRPr="005F77E2">
        <w:t xml:space="preserve">/GJ in the Wallumbilla hub. Trades </w:t>
      </w:r>
      <w:r w:rsidR="0009699F" w:rsidRPr="005F77E2">
        <w:t>on the RBP consisted of four day-ahead and two balance-of-day products</w:t>
      </w:r>
      <w:r w:rsidR="005F77E2">
        <w:t xml:space="preserve"> (21.8 TJ at $3.81/GJ)</w:t>
      </w:r>
      <w:r w:rsidR="0009699F" w:rsidRPr="005F77E2">
        <w:t>, with one day-ahead and two balance-of-day products on the SWQP</w:t>
      </w:r>
      <w:r w:rsidR="005F77E2">
        <w:t xml:space="preserve"> (38 TJ at $3.87/GJ)</w:t>
      </w:r>
      <w:r w:rsidR="00070EAB" w:rsidRPr="005F77E2">
        <w:t>.</w:t>
      </w:r>
    </w:p>
    <w:p w:rsidR="000C1A94" w:rsidRPr="00E06937" w:rsidRDefault="000C1A94" w:rsidP="00551D6B">
      <w:pPr>
        <w:jc w:val="both"/>
      </w:pPr>
      <w:r w:rsidRPr="00552F68">
        <w:t xml:space="preserve">Figure 6.1 shows the </w:t>
      </w:r>
      <w:r w:rsidR="00F65699" w:rsidRPr="00552F68">
        <w:t>quantity of gas</w:t>
      </w:r>
      <w:r w:rsidRPr="00552F68">
        <w:t xml:space="preserve"> traded </w:t>
      </w:r>
      <w:r w:rsidR="001934E9" w:rsidRPr="00552F68">
        <w:t>by product type for each trading day on pipeline trading locations in the Wallumbilla and Moomba Gas Supply Hubs.</w:t>
      </w:r>
      <w:r w:rsidR="001934E9">
        <w:t xml:space="preserve"> </w:t>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9B2664" w:rsidP="00E16EDC">
      <w:r w:rsidRPr="009B2664">
        <w:rPr>
          <w:noProof/>
          <w:lang w:eastAsia="en-AU"/>
        </w:rPr>
        <w:drawing>
          <wp:inline distT="0" distB="0" distL="0" distR="0" wp14:anchorId="47B5E1C5" wp14:editId="27A321CD">
            <wp:extent cx="5731510" cy="3126794"/>
            <wp:effectExtent l="0" t="0" r="2540" b="0"/>
            <wp:docPr id="6" name="Picture 6"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F71B42">
        <w:t xml:space="preserve">October </w:t>
      </w:r>
      <w:r w:rsidR="00BB0DE0">
        <w:t>2016</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E76" w:rsidRDefault="00815E76" w:rsidP="004B4412">
      <w:pPr>
        <w:spacing w:before="0"/>
      </w:pPr>
      <w:r>
        <w:separator/>
      </w:r>
    </w:p>
  </w:endnote>
  <w:endnote w:type="continuationSeparator" w:id="0">
    <w:p w:rsidR="00815E76" w:rsidRDefault="00815E76"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E76" w:rsidRPr="00A91A9E" w:rsidRDefault="00815E76"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815E76" w:rsidRDefault="00815E76"/>
  <w:p w:rsidR="00815E76" w:rsidRDefault="00815E7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E76" w:rsidRPr="00A94D89" w:rsidRDefault="00815E76"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1B4C49">
      <w:rPr>
        <w:rFonts w:cs="Arial"/>
        <w:i/>
        <w:noProof/>
      </w:rPr>
      <w:t>13</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E76" w:rsidRPr="00A94D89" w:rsidRDefault="00815E76"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1B4C49">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D16/</w:t>
    </w:r>
    <w:r>
      <w:rPr>
        <w:rFonts w:cs="Arial"/>
        <w:i/>
        <w:szCs w:val="18"/>
      </w:rPr>
      <w:t>138943</w:t>
    </w:r>
  </w:p>
  <w:p w:rsidR="00815E76" w:rsidRDefault="00815E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E76" w:rsidRDefault="00815E76" w:rsidP="004B4412">
      <w:pPr>
        <w:spacing w:before="0"/>
      </w:pPr>
      <w:r>
        <w:separator/>
      </w:r>
    </w:p>
  </w:footnote>
  <w:footnote w:type="continuationSeparator" w:id="0">
    <w:p w:rsidR="00815E76" w:rsidRDefault="00815E76" w:rsidP="004B4412">
      <w:pPr>
        <w:spacing w:before="0"/>
      </w:pPr>
      <w:r>
        <w:continuationSeparator/>
      </w:r>
    </w:p>
  </w:footnote>
  <w:footnote w:id="1">
    <w:p w:rsidR="00FE5B62" w:rsidRDefault="00FE5B62" w:rsidP="00FE5B62">
      <w:pPr>
        <w:pStyle w:val="FootnoteText"/>
        <w:jc w:val="both"/>
      </w:pPr>
      <w:r>
        <w:rPr>
          <w:rStyle w:val="FootnoteReference"/>
        </w:rPr>
        <w:footnoteRef/>
      </w:r>
      <w:r>
        <w:t xml:space="preserve"> </w:t>
      </w:r>
      <w:r>
        <w:tab/>
        <w:t>Gas Powered Generation</w:t>
      </w:r>
    </w:p>
  </w:footnote>
  <w:footnote w:id="2">
    <w:p w:rsidR="00FE5B62" w:rsidRDefault="00FE5B62" w:rsidP="00FE5B62">
      <w:pPr>
        <w:pStyle w:val="FootnoteText"/>
        <w:jc w:val="both"/>
      </w:pPr>
      <w:r>
        <w:rPr>
          <w:rStyle w:val="FootnoteReference"/>
        </w:rPr>
        <w:footnoteRef/>
      </w:r>
      <w:r>
        <w:t xml:space="preserve"> </w:t>
      </w:r>
      <w:r>
        <w:tab/>
        <w:t>National Electricity Market</w:t>
      </w:r>
    </w:p>
  </w:footnote>
  <w:footnote w:id="3">
    <w:p w:rsidR="00815E76" w:rsidRPr="000835F4" w:rsidRDefault="00815E76"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with the exception of Gas Supply Hubs (GSH). </w:t>
      </w:r>
      <w:r w:rsidRPr="00EC137F">
        <w:rPr>
          <w:szCs w:val="16"/>
        </w:rPr>
        <w:t>The weighted average daily imbalance price applies for Victoria. The prices shown for the GSH in Wallumbilla and Moomba are volume weighted average prices for all products traded across the period. The total quantity contributing to the weighted price is displayed for these GSH.</w:t>
      </w:r>
    </w:p>
  </w:footnote>
  <w:footnote w:id="4">
    <w:p w:rsidR="00815E76" w:rsidRDefault="00815E76">
      <w:pPr>
        <w:pStyle w:val="FootnoteText"/>
      </w:pPr>
      <w:r>
        <w:rPr>
          <w:rStyle w:val="FootnoteReference"/>
        </w:rPr>
        <w:footnoteRef/>
      </w:r>
      <w:r>
        <w:t xml:space="preserve"> </w:t>
      </w:r>
      <w:r>
        <w:tab/>
      </w:r>
      <w:hyperlink r:id="rId1" w:history="1">
        <w:r w:rsidR="005A4EA5" w:rsidRPr="005A4EA5">
          <w:rPr>
            <w:rStyle w:val="Hyperlink"/>
            <w:sz w:val="16"/>
          </w:rPr>
          <w:t>http://www.gippslandtimes.com.au/story/4203138/longford-gas-plants-evacuated/</w:t>
        </w:r>
      </w:hyperlink>
      <w:r>
        <w:t xml:space="preserve"> </w:t>
      </w:r>
    </w:p>
    <w:p w:rsidR="005A4EA5" w:rsidRDefault="005A4EA5">
      <w:pPr>
        <w:pStyle w:val="FootnoteText"/>
      </w:pPr>
      <w:r>
        <w:tab/>
        <w:t xml:space="preserve">AEMO DWGM Intervention Report – 1 October 2016, </w:t>
      </w:r>
    </w:p>
    <w:p w:rsidR="005A4EA5" w:rsidRDefault="001B4C49" w:rsidP="00E949FF">
      <w:pPr>
        <w:pStyle w:val="FootnoteText"/>
        <w:ind w:left="709"/>
      </w:pPr>
      <w:hyperlink r:id="rId2" w:history="1">
        <w:r w:rsidR="005A4EA5" w:rsidRPr="006265AA">
          <w:rPr>
            <w:rStyle w:val="Hyperlink"/>
            <w:sz w:val="14"/>
            <w:szCs w:val="14"/>
          </w:rPr>
          <w:t>https://www.aemo.com.au/Gas/Declared-Wholesale-Gas-Market-DWGM/-/media/FE72B18E72A04D9DBCC25E9D31124AA8.ashx</w:t>
        </w:r>
      </w:hyperlink>
      <w:r w:rsidR="005A4EA5" w:rsidRPr="006265AA">
        <w:rPr>
          <w:sz w:val="14"/>
          <w:szCs w:val="14"/>
        </w:rPr>
        <w:t xml:space="preserve"> </w:t>
      </w:r>
    </w:p>
  </w:footnote>
  <w:footnote w:id="5">
    <w:p w:rsidR="00815E76" w:rsidRDefault="00815E76" w:rsidP="00E1489E">
      <w:pPr>
        <w:pStyle w:val="FootnoteText"/>
        <w:jc w:val="both"/>
      </w:pPr>
      <w:r>
        <w:rPr>
          <w:rStyle w:val="FootnoteReference"/>
        </w:rPr>
        <w:footnoteRef/>
      </w:r>
      <w:r>
        <w:t xml:space="preserve">  </w:t>
      </w:r>
      <w:r>
        <w:tab/>
        <w:t>Reduction from 210.5 TJ in the ex ante schedule to 170.2 TJ in the ex post schedule for 28 September.</w:t>
      </w:r>
    </w:p>
  </w:footnote>
  <w:footnote w:id="6">
    <w:p w:rsidR="00815E76" w:rsidRDefault="00815E76" w:rsidP="00E1489E">
      <w:pPr>
        <w:pStyle w:val="FootnoteText"/>
        <w:jc w:val="both"/>
      </w:pPr>
      <w:r>
        <w:rPr>
          <w:rStyle w:val="FootnoteReference"/>
        </w:rPr>
        <w:footnoteRef/>
      </w:r>
      <w:r>
        <w:t xml:space="preserve">  </w:t>
      </w:r>
      <w:r>
        <w:tab/>
        <w:t>Reduction from 154 TJ in the ex ante schedule to 98.2 TJ in the ex post schedule for 29 September.</w:t>
      </w:r>
    </w:p>
  </w:footnote>
  <w:footnote w:id="7">
    <w:p w:rsidR="00815E76" w:rsidRDefault="00815E76">
      <w:pPr>
        <w:pStyle w:val="FootnoteText"/>
      </w:pPr>
      <w:r>
        <w:rPr>
          <w:rStyle w:val="FootnoteReference"/>
        </w:rPr>
        <w:footnoteRef/>
      </w:r>
      <w:r>
        <w:t xml:space="preserve"> </w:t>
      </w:r>
      <w:r>
        <w:tab/>
      </w:r>
      <w:hyperlink r:id="rId3" w:history="1">
        <w:r w:rsidR="00FE5B62" w:rsidRPr="00D1550D">
          <w:rPr>
            <w:rStyle w:val="Hyperlink"/>
            <w:sz w:val="16"/>
          </w:rPr>
          <w:t>http://www.gippslandtimes.com.au/story/4203138/longford-gas-plants-evacuated/</w:t>
        </w:r>
      </w:hyperlink>
      <w:r w:rsidR="00FE5B62">
        <w:t xml:space="preserve"> </w:t>
      </w:r>
    </w:p>
  </w:footnote>
  <w:footnote w:id="8">
    <w:p w:rsidR="00815E76" w:rsidRPr="00EC2CB1" w:rsidRDefault="00815E7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9">
    <w:p w:rsidR="00815E76" w:rsidRPr="00EC2CB1" w:rsidRDefault="00815E7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10">
    <w:p w:rsidR="00815E76" w:rsidRPr="00EC2CB1" w:rsidRDefault="00815E7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11">
    <w:p w:rsidR="00815E76" w:rsidRPr="00551D6B" w:rsidRDefault="00815E76"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12">
    <w:p w:rsidR="00815E76" w:rsidRPr="00551D6B" w:rsidRDefault="00815E76"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3">
    <w:p w:rsidR="00815E76" w:rsidRPr="00552F68" w:rsidRDefault="00815E76"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14">
    <w:p w:rsidR="00815E76" w:rsidRDefault="00815E76" w:rsidP="00034A40">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r>
      <w:r w:rsidRPr="00552F68">
        <w:rPr>
          <w:b/>
          <w:sz w:val="20"/>
          <w:szCs w:val="16"/>
        </w:rPr>
        <w:t>Domestic gas flows</w:t>
      </w:r>
      <w:r w:rsidRPr="00552F68">
        <w:rPr>
          <w:sz w:val="20"/>
          <w:szCs w:val="16"/>
        </w:rPr>
        <w:t xml:space="preserve"> are calculated as the total of:  </w:t>
      </w:r>
      <w:r w:rsidRPr="00552F68">
        <w:rPr>
          <w:b/>
          <w:sz w:val="20"/>
          <w:szCs w:val="16"/>
        </w:rPr>
        <w:t>SA</w:t>
      </w:r>
      <w:r w:rsidRPr="00552F68">
        <w:rPr>
          <w:sz w:val="20"/>
          <w:szCs w:val="16"/>
        </w:rPr>
        <w:t xml:space="preserve"> = MAP + SEAGAS</w:t>
      </w:r>
      <w:r>
        <w:rPr>
          <w:sz w:val="20"/>
          <w:szCs w:val="16"/>
        </w:rPr>
        <w:t>;</w:t>
      </w:r>
      <w:r w:rsidRPr="00552F68">
        <w:rPr>
          <w:sz w:val="20"/>
          <w:szCs w:val="16"/>
        </w:rPr>
        <w:t xml:space="preserve"> </w:t>
      </w:r>
      <w:r w:rsidRPr="00552F68">
        <w:rPr>
          <w:b/>
          <w:sz w:val="20"/>
          <w:szCs w:val="16"/>
        </w:rPr>
        <w:t>VIC</w:t>
      </w:r>
      <w:r w:rsidRPr="00552F68">
        <w:rPr>
          <w:sz w:val="20"/>
          <w:szCs w:val="16"/>
        </w:rPr>
        <w:t xml:space="preserve"> = SWP + LMP </w:t>
      </w:r>
      <w:r>
        <w:rPr>
          <w:sz w:val="20"/>
          <w:szCs w:val="16"/>
        </w:rPr>
        <w:t>+ (absolute quantity of</w:t>
      </w:r>
      <w:r w:rsidRPr="00552F68">
        <w:rPr>
          <w:sz w:val="20"/>
          <w:szCs w:val="16"/>
        </w:rPr>
        <w:t xml:space="preserve"> negative</w:t>
      </w:r>
      <w:r>
        <w:rPr>
          <w:sz w:val="20"/>
          <w:szCs w:val="16"/>
        </w:rPr>
        <w:t xml:space="preserve"> flows only on the ‘</w:t>
      </w:r>
      <w:r w:rsidRPr="00552F68">
        <w:rPr>
          <w:sz w:val="20"/>
          <w:szCs w:val="16"/>
        </w:rPr>
        <w:t>NSW-VIC</w:t>
      </w:r>
      <w:r>
        <w:rPr>
          <w:sz w:val="20"/>
          <w:szCs w:val="16"/>
        </w:rPr>
        <w:t> interconnect’</w:t>
      </w:r>
      <w:r w:rsidRPr="00552F68">
        <w:rPr>
          <w:sz w:val="20"/>
          <w:szCs w:val="16"/>
        </w:rPr>
        <w:t>)</w:t>
      </w:r>
      <w:r>
        <w:rPr>
          <w:sz w:val="20"/>
          <w:szCs w:val="16"/>
        </w:rPr>
        <w:t>;</w:t>
      </w:r>
      <w:r w:rsidRPr="00552F68">
        <w:rPr>
          <w:sz w:val="20"/>
          <w:szCs w:val="16"/>
        </w:rPr>
        <w:t xml:space="preserve"> </w:t>
      </w:r>
      <w:r w:rsidRPr="00552F68">
        <w:rPr>
          <w:b/>
          <w:sz w:val="20"/>
          <w:szCs w:val="16"/>
        </w:rPr>
        <w:t>NSW/ACT</w:t>
      </w:r>
      <w:r w:rsidRPr="00552F68">
        <w:rPr>
          <w:sz w:val="20"/>
          <w:szCs w:val="16"/>
        </w:rPr>
        <w:t xml:space="preserve"> = EGP + MSP</w:t>
      </w:r>
      <w:r>
        <w:rPr>
          <w:sz w:val="20"/>
          <w:szCs w:val="16"/>
        </w:rPr>
        <w:t>;</w:t>
      </w:r>
      <w:r w:rsidRPr="00552F68">
        <w:rPr>
          <w:sz w:val="20"/>
          <w:szCs w:val="16"/>
        </w:rPr>
        <w:t xml:space="preserve"> </w:t>
      </w:r>
      <w:r w:rsidRPr="00552F68">
        <w:rPr>
          <w:b/>
          <w:sz w:val="20"/>
          <w:szCs w:val="16"/>
        </w:rPr>
        <w:t>TAS</w:t>
      </w:r>
      <w:r w:rsidRPr="00552F68">
        <w:rPr>
          <w:sz w:val="20"/>
          <w:szCs w:val="16"/>
        </w:rPr>
        <w:t xml:space="preserve"> = TGP</w:t>
      </w:r>
      <w:r>
        <w:rPr>
          <w:sz w:val="20"/>
          <w:szCs w:val="16"/>
        </w:rPr>
        <w:t>;</w:t>
      </w:r>
      <w:r w:rsidRPr="00552F68">
        <w:rPr>
          <w:sz w:val="20"/>
          <w:szCs w:val="16"/>
        </w:rPr>
        <w:t xml:space="preserve"> </w:t>
      </w:r>
      <w:r w:rsidRPr="00552F68">
        <w:rPr>
          <w:b/>
          <w:sz w:val="20"/>
          <w:szCs w:val="16"/>
        </w:rPr>
        <w:t>QLD (Brisbane)</w:t>
      </w:r>
      <w:r w:rsidRPr="00552F68">
        <w:rPr>
          <w:sz w:val="20"/>
          <w:szCs w:val="16"/>
        </w:rPr>
        <w:t xml:space="preserve"> = RBP</w:t>
      </w:r>
      <w:r>
        <w:rPr>
          <w:sz w:val="20"/>
          <w:szCs w:val="16"/>
        </w:rPr>
        <w:t>;</w:t>
      </w:r>
      <w:r w:rsidRPr="00552F68">
        <w:rPr>
          <w:sz w:val="20"/>
          <w:szCs w:val="16"/>
        </w:rPr>
        <w:t xml:space="preserve"> </w:t>
      </w:r>
      <w:r w:rsidRPr="00552F68">
        <w:rPr>
          <w:b/>
          <w:sz w:val="20"/>
          <w:szCs w:val="16"/>
        </w:rPr>
        <w:t>QLD (Mt Isa)</w:t>
      </w:r>
      <w:r w:rsidRPr="00552F68">
        <w:rPr>
          <w:sz w:val="20"/>
          <w:szCs w:val="16"/>
        </w:rPr>
        <w:t xml:space="preserve"> = CGP</w:t>
      </w:r>
      <w:r>
        <w:rPr>
          <w:sz w:val="20"/>
          <w:szCs w:val="16"/>
        </w:rPr>
        <w:t>;</w:t>
      </w:r>
      <w:r w:rsidRPr="00552F68">
        <w:rPr>
          <w:sz w:val="20"/>
          <w:szCs w:val="16"/>
        </w:rPr>
        <w:t xml:space="preserve"> </w:t>
      </w:r>
      <w:r>
        <w:rPr>
          <w:sz w:val="20"/>
          <w:szCs w:val="16"/>
        </w:rPr>
        <w:t xml:space="preserve">and </w:t>
      </w:r>
      <w:r w:rsidRPr="00552F68">
        <w:rPr>
          <w:b/>
          <w:sz w:val="20"/>
          <w:szCs w:val="16"/>
        </w:rPr>
        <w:t>QLD (Gladstone)</w:t>
      </w:r>
      <w:r w:rsidRPr="00552F68">
        <w:rPr>
          <w:sz w:val="20"/>
          <w:szCs w:val="16"/>
        </w:rPr>
        <w:t xml:space="preserve"> = QGP. </w:t>
      </w:r>
    </w:p>
    <w:p w:rsidR="00815E76" w:rsidRPr="00552F68" w:rsidRDefault="00815E76" w:rsidP="003D30EE">
      <w:pPr>
        <w:pStyle w:val="FootnoteText"/>
        <w:spacing w:before="0"/>
        <w:ind w:left="709"/>
        <w:jc w:val="both"/>
        <w:rPr>
          <w:sz w:val="20"/>
          <w:szCs w:val="16"/>
        </w:rPr>
      </w:pPr>
      <w:r w:rsidRPr="00552F68">
        <w:rPr>
          <w:b/>
          <w:sz w:val="20"/>
          <w:szCs w:val="16"/>
        </w:rPr>
        <w:t xml:space="preserve">Export gas flows </w:t>
      </w:r>
      <w:r w:rsidRPr="00552F68">
        <w:rPr>
          <w:sz w:val="20"/>
          <w:szCs w:val="16"/>
        </w:rPr>
        <w:t xml:space="preserve">are calculated as the total of: </w:t>
      </w:r>
      <w:r>
        <w:rPr>
          <w:sz w:val="20"/>
          <w:szCs w:val="16"/>
        </w:rPr>
        <w:t xml:space="preserve">the </w:t>
      </w:r>
      <w:r w:rsidRPr="00552F68">
        <w:rPr>
          <w:sz w:val="20"/>
          <w:szCs w:val="16"/>
        </w:rPr>
        <w:t>APLNG pipeline</w:t>
      </w:r>
      <w:r>
        <w:rPr>
          <w:sz w:val="20"/>
          <w:szCs w:val="16"/>
        </w:rPr>
        <w:t>;</w:t>
      </w:r>
      <w:r w:rsidRPr="00552F68">
        <w:rPr>
          <w:sz w:val="20"/>
          <w:szCs w:val="16"/>
        </w:rPr>
        <w:t xml:space="preserve"> </w:t>
      </w:r>
      <w:r>
        <w:rPr>
          <w:sz w:val="20"/>
          <w:szCs w:val="16"/>
        </w:rPr>
        <w:t xml:space="preserve">the </w:t>
      </w:r>
      <w:r w:rsidRPr="00552F68">
        <w:rPr>
          <w:sz w:val="20"/>
          <w:szCs w:val="16"/>
        </w:rPr>
        <w:t>GLNG pipeline</w:t>
      </w:r>
      <w:r>
        <w:rPr>
          <w:sz w:val="20"/>
          <w:szCs w:val="16"/>
        </w:rPr>
        <w:t>;</w:t>
      </w:r>
      <w:r w:rsidRPr="00552F68">
        <w:rPr>
          <w:sz w:val="20"/>
          <w:szCs w:val="16"/>
        </w:rPr>
        <w:t xml:space="preserve"> </w:t>
      </w:r>
      <w:r>
        <w:rPr>
          <w:sz w:val="20"/>
          <w:szCs w:val="16"/>
        </w:rPr>
        <w:t xml:space="preserve">and the </w:t>
      </w:r>
      <w:r w:rsidRPr="00552F68">
        <w:rPr>
          <w:sz w:val="20"/>
          <w:szCs w:val="16"/>
        </w:rPr>
        <w:t>Wallumbilla to Gladstone pipeline.</w:t>
      </w:r>
    </w:p>
    <w:p w:rsidR="00815E76" w:rsidRPr="00552F68" w:rsidRDefault="00815E76" w:rsidP="00551D6B">
      <w:pPr>
        <w:pStyle w:val="FootnoteText"/>
        <w:spacing w:before="0"/>
        <w:ind w:left="709"/>
        <w:jc w:val="both"/>
        <w:rPr>
          <w:sz w:val="20"/>
          <w:szCs w:val="16"/>
        </w:rPr>
      </w:pPr>
      <w:r w:rsidRPr="00552F68">
        <w:rPr>
          <w:b/>
          <w:sz w:val="20"/>
          <w:szCs w:val="16"/>
        </w:rPr>
        <w:t>GPG volumes</w:t>
      </w:r>
      <w:r w:rsidRPr="00552F68">
        <w:rPr>
          <w:sz w:val="20"/>
          <w:szCs w:val="16"/>
        </w:rPr>
        <w:t xml:space="preserve"> may include gas usage that does not show up on Bulletin Board pipeline flows.</w:t>
      </w:r>
    </w:p>
  </w:footnote>
  <w:footnote w:id="15">
    <w:p w:rsidR="00815E76" w:rsidRPr="003C7B5B" w:rsidRDefault="00815E76" w:rsidP="001C3452">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t>GSH supply is the average daily volume of gas ‘traded’, while price is a volume weighted</w:t>
      </w:r>
      <w:r w:rsidRPr="003C7B5B">
        <w:rPr>
          <w:sz w:val="20"/>
          <w:szCs w:val="16"/>
        </w:rPr>
        <w:t xml:space="preserve"> average.</w:t>
      </w:r>
    </w:p>
  </w:footnote>
  <w:footnote w:id="16">
    <w:p w:rsidR="00815E76" w:rsidRPr="001C3452" w:rsidRDefault="00815E76" w:rsidP="001C3452">
      <w:pPr>
        <w:pStyle w:val="FootnoteText"/>
        <w:spacing w:before="0"/>
        <w:ind w:left="709" w:hanging="709"/>
        <w:jc w:val="both"/>
        <w:rPr>
          <w:szCs w:val="16"/>
        </w:rPr>
      </w:pPr>
      <w:r w:rsidRPr="001C3452">
        <w:rPr>
          <w:rStyle w:val="FootnoteReference"/>
          <w:szCs w:val="16"/>
        </w:rPr>
        <w:footnoteRef/>
      </w:r>
      <w:r w:rsidRPr="001C3452">
        <w:rPr>
          <w:szCs w:val="16"/>
        </w:rPr>
        <w:t xml:space="preserve"> </w:t>
      </w:r>
      <w:r w:rsidRPr="001C3452">
        <w:rPr>
          <w:szCs w:val="16"/>
        </w:rPr>
        <w:tab/>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7">
    <w:p w:rsidR="00815E76" w:rsidRDefault="00815E76" w:rsidP="006E0523">
      <w:pPr>
        <w:pStyle w:val="FootnoteText"/>
        <w:ind w:left="709" w:hanging="709"/>
        <w:jc w:val="both"/>
      </w:pPr>
      <w:r>
        <w:rPr>
          <w:rStyle w:val="FootnoteReference"/>
        </w:rPr>
        <w:footnoteRef/>
      </w:r>
      <w:r>
        <w:t xml:space="preserve"> </w:t>
      </w:r>
      <w:r>
        <w:tab/>
        <w:t>Volume weighted average prices and traded quantities provided in this report may include off-market trades, which are not included in AEMO’s reference price calculations.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79734C"/>
    <w:multiLevelType w:val="hybridMultilevel"/>
    <w:tmpl w:val="EA28A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1">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8">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9">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4">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4"/>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8"/>
  </w:num>
  <w:num w:numId="13">
    <w:abstractNumId w:val="22"/>
  </w:num>
  <w:num w:numId="14">
    <w:abstractNumId w:val="11"/>
  </w:num>
  <w:num w:numId="15">
    <w:abstractNumId w:val="16"/>
  </w:num>
  <w:num w:numId="16">
    <w:abstractNumId w:val="24"/>
  </w:num>
  <w:num w:numId="17">
    <w:abstractNumId w:val="20"/>
  </w:num>
  <w:num w:numId="18">
    <w:abstractNumId w:val="25"/>
  </w:num>
  <w:num w:numId="19">
    <w:abstractNumId w:val="32"/>
  </w:num>
  <w:num w:numId="20">
    <w:abstractNumId w:val="27"/>
  </w:num>
  <w:num w:numId="21">
    <w:abstractNumId w:val="15"/>
  </w:num>
  <w:num w:numId="22">
    <w:abstractNumId w:val="18"/>
  </w:num>
  <w:num w:numId="23">
    <w:abstractNumId w:val="23"/>
  </w:num>
  <w:num w:numId="24">
    <w:abstractNumId w:val="17"/>
  </w:num>
  <w:num w:numId="25">
    <w:abstractNumId w:val="33"/>
  </w:num>
  <w:num w:numId="26">
    <w:abstractNumId w:val="21"/>
  </w:num>
  <w:num w:numId="27">
    <w:abstractNumId w:val="9"/>
  </w:num>
  <w:num w:numId="28">
    <w:abstractNumId w:val="12"/>
  </w:num>
  <w:num w:numId="29">
    <w:abstractNumId w:val="14"/>
  </w:num>
  <w:num w:numId="30">
    <w:abstractNumId w:val="29"/>
  </w:num>
  <w:num w:numId="31">
    <w:abstractNumId w:val="30"/>
  </w:num>
  <w:num w:numId="32">
    <w:abstractNumId w:val="26"/>
  </w:num>
  <w:num w:numId="33">
    <w:abstractNumId w:val="31"/>
  </w:num>
  <w:num w:numId="34">
    <w:abstractNumId w:val="10"/>
  </w:num>
  <w:num w:numId="35">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46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8580\D16 138943  20160925 - 20161001 gas weekly report.DOCX"/>
  </w:docVars>
  <w:rsids>
    <w:rsidRoot w:val="00275002"/>
    <w:rsid w:val="00000817"/>
    <w:rsid w:val="00000BFE"/>
    <w:rsid w:val="00000CC3"/>
    <w:rsid w:val="00003169"/>
    <w:rsid w:val="00005D12"/>
    <w:rsid w:val="0000728F"/>
    <w:rsid w:val="00007624"/>
    <w:rsid w:val="000110F2"/>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2753"/>
    <w:rsid w:val="00033902"/>
    <w:rsid w:val="00033BE8"/>
    <w:rsid w:val="00034935"/>
    <w:rsid w:val="00034A40"/>
    <w:rsid w:val="0003564D"/>
    <w:rsid w:val="0003578C"/>
    <w:rsid w:val="00035A9A"/>
    <w:rsid w:val="0003646A"/>
    <w:rsid w:val="00037A6F"/>
    <w:rsid w:val="00037EB9"/>
    <w:rsid w:val="00040E4C"/>
    <w:rsid w:val="00041A89"/>
    <w:rsid w:val="000422AB"/>
    <w:rsid w:val="00043FA7"/>
    <w:rsid w:val="000440C0"/>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B39"/>
    <w:rsid w:val="00070EAB"/>
    <w:rsid w:val="00070F9F"/>
    <w:rsid w:val="0007137B"/>
    <w:rsid w:val="000738F4"/>
    <w:rsid w:val="00074A4E"/>
    <w:rsid w:val="000758D3"/>
    <w:rsid w:val="000766E2"/>
    <w:rsid w:val="00077616"/>
    <w:rsid w:val="00077819"/>
    <w:rsid w:val="000835F4"/>
    <w:rsid w:val="00084B73"/>
    <w:rsid w:val="00085663"/>
    <w:rsid w:val="00085EBF"/>
    <w:rsid w:val="00086CF3"/>
    <w:rsid w:val="00087C4A"/>
    <w:rsid w:val="00087CDC"/>
    <w:rsid w:val="00091FB4"/>
    <w:rsid w:val="0009584C"/>
    <w:rsid w:val="000961FA"/>
    <w:rsid w:val="0009653D"/>
    <w:rsid w:val="0009699F"/>
    <w:rsid w:val="000A241B"/>
    <w:rsid w:val="000A29ED"/>
    <w:rsid w:val="000A4529"/>
    <w:rsid w:val="000A62B4"/>
    <w:rsid w:val="000A62D6"/>
    <w:rsid w:val="000A6F14"/>
    <w:rsid w:val="000B0311"/>
    <w:rsid w:val="000B364C"/>
    <w:rsid w:val="000B3C8A"/>
    <w:rsid w:val="000C0472"/>
    <w:rsid w:val="000C1A94"/>
    <w:rsid w:val="000C52E2"/>
    <w:rsid w:val="000D122C"/>
    <w:rsid w:val="000D1343"/>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23DD"/>
    <w:rsid w:val="000F56F6"/>
    <w:rsid w:val="000F5855"/>
    <w:rsid w:val="000F6FA7"/>
    <w:rsid w:val="000F77D6"/>
    <w:rsid w:val="00100142"/>
    <w:rsid w:val="00102B64"/>
    <w:rsid w:val="00105281"/>
    <w:rsid w:val="00105AF3"/>
    <w:rsid w:val="001107FF"/>
    <w:rsid w:val="00113430"/>
    <w:rsid w:val="00113AE0"/>
    <w:rsid w:val="001158FE"/>
    <w:rsid w:val="00115CCB"/>
    <w:rsid w:val="0011609D"/>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11A7"/>
    <w:rsid w:val="00162584"/>
    <w:rsid w:val="00164658"/>
    <w:rsid w:val="00164FB1"/>
    <w:rsid w:val="00165247"/>
    <w:rsid w:val="001653F3"/>
    <w:rsid w:val="00165C87"/>
    <w:rsid w:val="001666AA"/>
    <w:rsid w:val="00166BD2"/>
    <w:rsid w:val="001711CC"/>
    <w:rsid w:val="0017232E"/>
    <w:rsid w:val="00173451"/>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44DC"/>
    <w:rsid w:val="001968BD"/>
    <w:rsid w:val="001A2C0A"/>
    <w:rsid w:val="001A3CDA"/>
    <w:rsid w:val="001A6790"/>
    <w:rsid w:val="001B0C3B"/>
    <w:rsid w:val="001B2363"/>
    <w:rsid w:val="001B3ABC"/>
    <w:rsid w:val="001B45A0"/>
    <w:rsid w:val="001B4A7D"/>
    <w:rsid w:val="001B4C49"/>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2DC"/>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5F9D"/>
    <w:rsid w:val="002062A9"/>
    <w:rsid w:val="002065C6"/>
    <w:rsid w:val="002072A2"/>
    <w:rsid w:val="00207D5B"/>
    <w:rsid w:val="0021027A"/>
    <w:rsid w:val="00210423"/>
    <w:rsid w:val="0021147E"/>
    <w:rsid w:val="00212D2F"/>
    <w:rsid w:val="00213CF6"/>
    <w:rsid w:val="00214FBA"/>
    <w:rsid w:val="0021500B"/>
    <w:rsid w:val="00215E19"/>
    <w:rsid w:val="002164FB"/>
    <w:rsid w:val="00216865"/>
    <w:rsid w:val="00217C29"/>
    <w:rsid w:val="00217E35"/>
    <w:rsid w:val="002214D9"/>
    <w:rsid w:val="002216F5"/>
    <w:rsid w:val="00222E55"/>
    <w:rsid w:val="00222F04"/>
    <w:rsid w:val="002247BF"/>
    <w:rsid w:val="00224DB9"/>
    <w:rsid w:val="00224EE7"/>
    <w:rsid w:val="002276F0"/>
    <w:rsid w:val="00227C97"/>
    <w:rsid w:val="00230D26"/>
    <w:rsid w:val="00231C73"/>
    <w:rsid w:val="00232A71"/>
    <w:rsid w:val="00232FBD"/>
    <w:rsid w:val="002338A0"/>
    <w:rsid w:val="00237048"/>
    <w:rsid w:val="002406ED"/>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4AE3"/>
    <w:rsid w:val="00265486"/>
    <w:rsid w:val="0026772D"/>
    <w:rsid w:val="00270A51"/>
    <w:rsid w:val="00270AF4"/>
    <w:rsid w:val="0027318A"/>
    <w:rsid w:val="00275002"/>
    <w:rsid w:val="00275541"/>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5E33"/>
    <w:rsid w:val="002E6254"/>
    <w:rsid w:val="002E64AB"/>
    <w:rsid w:val="002F02A4"/>
    <w:rsid w:val="002F22FD"/>
    <w:rsid w:val="002F2481"/>
    <w:rsid w:val="002F3D02"/>
    <w:rsid w:val="002F4F34"/>
    <w:rsid w:val="002F7986"/>
    <w:rsid w:val="00300C0B"/>
    <w:rsid w:val="00302D83"/>
    <w:rsid w:val="003061FA"/>
    <w:rsid w:val="003062C2"/>
    <w:rsid w:val="00306DD8"/>
    <w:rsid w:val="00307F6D"/>
    <w:rsid w:val="003105F5"/>
    <w:rsid w:val="003106BC"/>
    <w:rsid w:val="0031318F"/>
    <w:rsid w:val="003152BD"/>
    <w:rsid w:val="003153EB"/>
    <w:rsid w:val="00315460"/>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715C8"/>
    <w:rsid w:val="00371F3A"/>
    <w:rsid w:val="003749F7"/>
    <w:rsid w:val="00375E24"/>
    <w:rsid w:val="00376373"/>
    <w:rsid w:val="003804DF"/>
    <w:rsid w:val="00383C6B"/>
    <w:rsid w:val="003846F1"/>
    <w:rsid w:val="00384A55"/>
    <w:rsid w:val="00384B54"/>
    <w:rsid w:val="00386C86"/>
    <w:rsid w:val="003874F8"/>
    <w:rsid w:val="00387E4A"/>
    <w:rsid w:val="003904D2"/>
    <w:rsid w:val="00395B4C"/>
    <w:rsid w:val="00397EB2"/>
    <w:rsid w:val="003A0810"/>
    <w:rsid w:val="003A0CB8"/>
    <w:rsid w:val="003A1F17"/>
    <w:rsid w:val="003A3E2D"/>
    <w:rsid w:val="003A41E0"/>
    <w:rsid w:val="003A431D"/>
    <w:rsid w:val="003A4B6B"/>
    <w:rsid w:val="003A7DC0"/>
    <w:rsid w:val="003B0D56"/>
    <w:rsid w:val="003B0EAF"/>
    <w:rsid w:val="003B282E"/>
    <w:rsid w:val="003B40ED"/>
    <w:rsid w:val="003B4804"/>
    <w:rsid w:val="003B4D9B"/>
    <w:rsid w:val="003B6F90"/>
    <w:rsid w:val="003C0710"/>
    <w:rsid w:val="003C24A9"/>
    <w:rsid w:val="003C2B22"/>
    <w:rsid w:val="003C2BC1"/>
    <w:rsid w:val="003C30E5"/>
    <w:rsid w:val="003C3C98"/>
    <w:rsid w:val="003C3D77"/>
    <w:rsid w:val="003C62E9"/>
    <w:rsid w:val="003C65D6"/>
    <w:rsid w:val="003C7164"/>
    <w:rsid w:val="003C7B5B"/>
    <w:rsid w:val="003C7EFA"/>
    <w:rsid w:val="003D30EE"/>
    <w:rsid w:val="003D5258"/>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2BEF"/>
    <w:rsid w:val="00403473"/>
    <w:rsid w:val="004034C5"/>
    <w:rsid w:val="00404492"/>
    <w:rsid w:val="00404504"/>
    <w:rsid w:val="00405B42"/>
    <w:rsid w:val="00407337"/>
    <w:rsid w:val="00410584"/>
    <w:rsid w:val="00411897"/>
    <w:rsid w:val="00412176"/>
    <w:rsid w:val="00413200"/>
    <w:rsid w:val="00414488"/>
    <w:rsid w:val="00414EA6"/>
    <w:rsid w:val="00415788"/>
    <w:rsid w:val="004157C0"/>
    <w:rsid w:val="00416641"/>
    <w:rsid w:val="004176E8"/>
    <w:rsid w:val="00421154"/>
    <w:rsid w:val="0042429B"/>
    <w:rsid w:val="00424809"/>
    <w:rsid w:val="004253D6"/>
    <w:rsid w:val="004303EE"/>
    <w:rsid w:val="00436F76"/>
    <w:rsid w:val="0043796B"/>
    <w:rsid w:val="00440D85"/>
    <w:rsid w:val="00441A99"/>
    <w:rsid w:val="00442767"/>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00EC"/>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378BF"/>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57C57"/>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A1287"/>
    <w:rsid w:val="005A1339"/>
    <w:rsid w:val="005A3B2C"/>
    <w:rsid w:val="005A3F7E"/>
    <w:rsid w:val="005A404D"/>
    <w:rsid w:val="005A42D5"/>
    <w:rsid w:val="005A4EA5"/>
    <w:rsid w:val="005A5657"/>
    <w:rsid w:val="005A6CB0"/>
    <w:rsid w:val="005A6F22"/>
    <w:rsid w:val="005A731B"/>
    <w:rsid w:val="005A76DA"/>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D73E5"/>
    <w:rsid w:val="005E0B7E"/>
    <w:rsid w:val="005E2086"/>
    <w:rsid w:val="005E6FFA"/>
    <w:rsid w:val="005E7718"/>
    <w:rsid w:val="005F0661"/>
    <w:rsid w:val="005F0CD5"/>
    <w:rsid w:val="005F69C4"/>
    <w:rsid w:val="005F6ADE"/>
    <w:rsid w:val="005F702C"/>
    <w:rsid w:val="005F7247"/>
    <w:rsid w:val="005F77E2"/>
    <w:rsid w:val="00600B2D"/>
    <w:rsid w:val="00602A58"/>
    <w:rsid w:val="00603914"/>
    <w:rsid w:val="00604D85"/>
    <w:rsid w:val="00604DB6"/>
    <w:rsid w:val="006057DD"/>
    <w:rsid w:val="00607BA0"/>
    <w:rsid w:val="00610304"/>
    <w:rsid w:val="00612006"/>
    <w:rsid w:val="00613324"/>
    <w:rsid w:val="00613DEC"/>
    <w:rsid w:val="00615619"/>
    <w:rsid w:val="00615C6B"/>
    <w:rsid w:val="00616CEC"/>
    <w:rsid w:val="00620B1B"/>
    <w:rsid w:val="00621545"/>
    <w:rsid w:val="0062525D"/>
    <w:rsid w:val="006265AA"/>
    <w:rsid w:val="00626A3A"/>
    <w:rsid w:val="00626E1A"/>
    <w:rsid w:val="00627B2D"/>
    <w:rsid w:val="0063066D"/>
    <w:rsid w:val="006309A2"/>
    <w:rsid w:val="00630A15"/>
    <w:rsid w:val="00631560"/>
    <w:rsid w:val="006319C1"/>
    <w:rsid w:val="00632D6D"/>
    <w:rsid w:val="00634D01"/>
    <w:rsid w:val="006353F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11"/>
    <w:rsid w:val="006621AB"/>
    <w:rsid w:val="00663DAD"/>
    <w:rsid w:val="00665ACC"/>
    <w:rsid w:val="00665C0C"/>
    <w:rsid w:val="00666226"/>
    <w:rsid w:val="0067180B"/>
    <w:rsid w:val="00673D15"/>
    <w:rsid w:val="006741D4"/>
    <w:rsid w:val="00675E21"/>
    <w:rsid w:val="00676679"/>
    <w:rsid w:val="00677233"/>
    <w:rsid w:val="006777D7"/>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6E"/>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6D94"/>
    <w:rsid w:val="00727D4D"/>
    <w:rsid w:val="007303C3"/>
    <w:rsid w:val="00731F13"/>
    <w:rsid w:val="0073214E"/>
    <w:rsid w:val="0073561F"/>
    <w:rsid w:val="007356A7"/>
    <w:rsid w:val="00741247"/>
    <w:rsid w:val="00741D03"/>
    <w:rsid w:val="007426D5"/>
    <w:rsid w:val="00743223"/>
    <w:rsid w:val="00746063"/>
    <w:rsid w:val="00746E01"/>
    <w:rsid w:val="00747D2F"/>
    <w:rsid w:val="00751821"/>
    <w:rsid w:val="007532DD"/>
    <w:rsid w:val="00753ADA"/>
    <w:rsid w:val="0076073D"/>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1AD3"/>
    <w:rsid w:val="0079277A"/>
    <w:rsid w:val="0079310A"/>
    <w:rsid w:val="007959E7"/>
    <w:rsid w:val="00796C78"/>
    <w:rsid w:val="00796D6A"/>
    <w:rsid w:val="007A1135"/>
    <w:rsid w:val="007A1428"/>
    <w:rsid w:val="007A1AB0"/>
    <w:rsid w:val="007A33E8"/>
    <w:rsid w:val="007A6656"/>
    <w:rsid w:val="007A6AE3"/>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3B5"/>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5148"/>
    <w:rsid w:val="00806C88"/>
    <w:rsid w:val="00807112"/>
    <w:rsid w:val="00807A5C"/>
    <w:rsid w:val="0081034E"/>
    <w:rsid w:val="0081253D"/>
    <w:rsid w:val="00812E7B"/>
    <w:rsid w:val="0081351D"/>
    <w:rsid w:val="00813CE4"/>
    <w:rsid w:val="0081592A"/>
    <w:rsid w:val="00815E76"/>
    <w:rsid w:val="00817724"/>
    <w:rsid w:val="008238B2"/>
    <w:rsid w:val="00823F66"/>
    <w:rsid w:val="008245E2"/>
    <w:rsid w:val="008257CA"/>
    <w:rsid w:val="008301E7"/>
    <w:rsid w:val="00831483"/>
    <w:rsid w:val="008344B4"/>
    <w:rsid w:val="008344F6"/>
    <w:rsid w:val="0083510F"/>
    <w:rsid w:val="008366CD"/>
    <w:rsid w:val="00836890"/>
    <w:rsid w:val="008400B8"/>
    <w:rsid w:val="00840C6C"/>
    <w:rsid w:val="00840FCC"/>
    <w:rsid w:val="008445D3"/>
    <w:rsid w:val="00845396"/>
    <w:rsid w:val="00845D27"/>
    <w:rsid w:val="00847ED9"/>
    <w:rsid w:val="00851209"/>
    <w:rsid w:val="0085188E"/>
    <w:rsid w:val="00851B46"/>
    <w:rsid w:val="00852B3D"/>
    <w:rsid w:val="008556A5"/>
    <w:rsid w:val="00856965"/>
    <w:rsid w:val="00857917"/>
    <w:rsid w:val="00861AED"/>
    <w:rsid w:val="00863A74"/>
    <w:rsid w:val="00864A9F"/>
    <w:rsid w:val="00867506"/>
    <w:rsid w:val="008707C1"/>
    <w:rsid w:val="00870903"/>
    <w:rsid w:val="0087280A"/>
    <w:rsid w:val="0087308C"/>
    <w:rsid w:val="00873B1F"/>
    <w:rsid w:val="0087479D"/>
    <w:rsid w:val="008837AC"/>
    <w:rsid w:val="00884D30"/>
    <w:rsid w:val="0088604D"/>
    <w:rsid w:val="00886662"/>
    <w:rsid w:val="00886BAB"/>
    <w:rsid w:val="00886CEC"/>
    <w:rsid w:val="00886FA8"/>
    <w:rsid w:val="00887EBF"/>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67"/>
    <w:rsid w:val="009335AE"/>
    <w:rsid w:val="00933B55"/>
    <w:rsid w:val="00933FB8"/>
    <w:rsid w:val="00936740"/>
    <w:rsid w:val="009377D8"/>
    <w:rsid w:val="00940393"/>
    <w:rsid w:val="0094150C"/>
    <w:rsid w:val="00941935"/>
    <w:rsid w:val="00942863"/>
    <w:rsid w:val="009442D7"/>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2664"/>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1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8B2"/>
    <w:rsid w:val="00A16975"/>
    <w:rsid w:val="00A16DAF"/>
    <w:rsid w:val="00A16F26"/>
    <w:rsid w:val="00A21F54"/>
    <w:rsid w:val="00A226E9"/>
    <w:rsid w:val="00A2302C"/>
    <w:rsid w:val="00A25353"/>
    <w:rsid w:val="00A26739"/>
    <w:rsid w:val="00A26C2F"/>
    <w:rsid w:val="00A30B76"/>
    <w:rsid w:val="00A32A41"/>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06"/>
    <w:rsid w:val="00A672B8"/>
    <w:rsid w:val="00A6730F"/>
    <w:rsid w:val="00A679F2"/>
    <w:rsid w:val="00A70908"/>
    <w:rsid w:val="00A71AA6"/>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36C5"/>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E58CE"/>
    <w:rsid w:val="00AF0CA1"/>
    <w:rsid w:val="00AF0DD2"/>
    <w:rsid w:val="00AF0ED5"/>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5358"/>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52C5"/>
    <w:rsid w:val="00B8080B"/>
    <w:rsid w:val="00B82845"/>
    <w:rsid w:val="00B85D8A"/>
    <w:rsid w:val="00B87600"/>
    <w:rsid w:val="00B87C39"/>
    <w:rsid w:val="00B87DD6"/>
    <w:rsid w:val="00B904FF"/>
    <w:rsid w:val="00B91BE8"/>
    <w:rsid w:val="00B92CD5"/>
    <w:rsid w:val="00B956D7"/>
    <w:rsid w:val="00BA05DD"/>
    <w:rsid w:val="00BA1F27"/>
    <w:rsid w:val="00BA2E61"/>
    <w:rsid w:val="00BA390A"/>
    <w:rsid w:val="00BA3992"/>
    <w:rsid w:val="00BA4665"/>
    <w:rsid w:val="00BB0DE0"/>
    <w:rsid w:val="00BB20BA"/>
    <w:rsid w:val="00BB2FB2"/>
    <w:rsid w:val="00BB3304"/>
    <w:rsid w:val="00BB4732"/>
    <w:rsid w:val="00BB51C2"/>
    <w:rsid w:val="00BB6815"/>
    <w:rsid w:val="00BB7780"/>
    <w:rsid w:val="00BC03BC"/>
    <w:rsid w:val="00BC1B6B"/>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513"/>
    <w:rsid w:val="00C21CBD"/>
    <w:rsid w:val="00C238EB"/>
    <w:rsid w:val="00C24398"/>
    <w:rsid w:val="00C248B1"/>
    <w:rsid w:val="00C24FEE"/>
    <w:rsid w:val="00C25A9A"/>
    <w:rsid w:val="00C273A6"/>
    <w:rsid w:val="00C30BBE"/>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67859"/>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5770"/>
    <w:rsid w:val="00CA6B3A"/>
    <w:rsid w:val="00CA771A"/>
    <w:rsid w:val="00CA7D3F"/>
    <w:rsid w:val="00CB0FA5"/>
    <w:rsid w:val="00CB41BA"/>
    <w:rsid w:val="00CB45EC"/>
    <w:rsid w:val="00CB666B"/>
    <w:rsid w:val="00CB695E"/>
    <w:rsid w:val="00CC1AC0"/>
    <w:rsid w:val="00CC1D64"/>
    <w:rsid w:val="00CC1DD2"/>
    <w:rsid w:val="00CC2C03"/>
    <w:rsid w:val="00CC2CA1"/>
    <w:rsid w:val="00CC3B19"/>
    <w:rsid w:val="00CC6516"/>
    <w:rsid w:val="00CC656F"/>
    <w:rsid w:val="00CC65B2"/>
    <w:rsid w:val="00CC6738"/>
    <w:rsid w:val="00CD2754"/>
    <w:rsid w:val="00CD40AD"/>
    <w:rsid w:val="00CD4E7F"/>
    <w:rsid w:val="00CE0A5F"/>
    <w:rsid w:val="00CE15A5"/>
    <w:rsid w:val="00CE1831"/>
    <w:rsid w:val="00CE1B68"/>
    <w:rsid w:val="00CE6345"/>
    <w:rsid w:val="00CE661E"/>
    <w:rsid w:val="00CE695E"/>
    <w:rsid w:val="00CE6F6D"/>
    <w:rsid w:val="00CE71BC"/>
    <w:rsid w:val="00CF0B65"/>
    <w:rsid w:val="00CF0E01"/>
    <w:rsid w:val="00CF0E07"/>
    <w:rsid w:val="00CF193D"/>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767"/>
    <w:rsid w:val="00D33489"/>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C7E8E"/>
    <w:rsid w:val="00DD15C2"/>
    <w:rsid w:val="00DD27EA"/>
    <w:rsid w:val="00DD33DE"/>
    <w:rsid w:val="00DD79F4"/>
    <w:rsid w:val="00DE45B5"/>
    <w:rsid w:val="00DE4EFA"/>
    <w:rsid w:val="00DE5104"/>
    <w:rsid w:val="00DE5520"/>
    <w:rsid w:val="00DE5AB1"/>
    <w:rsid w:val="00DE6AA6"/>
    <w:rsid w:val="00DE7345"/>
    <w:rsid w:val="00DF02A4"/>
    <w:rsid w:val="00DF0714"/>
    <w:rsid w:val="00DF1C55"/>
    <w:rsid w:val="00DF2298"/>
    <w:rsid w:val="00DF2D42"/>
    <w:rsid w:val="00DF383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489E"/>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F0B"/>
    <w:rsid w:val="00E40426"/>
    <w:rsid w:val="00E40B9C"/>
    <w:rsid w:val="00E42976"/>
    <w:rsid w:val="00E42DF3"/>
    <w:rsid w:val="00E43848"/>
    <w:rsid w:val="00E438D4"/>
    <w:rsid w:val="00E43BBA"/>
    <w:rsid w:val="00E4482C"/>
    <w:rsid w:val="00E45DDD"/>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4FA"/>
    <w:rsid w:val="00E755EC"/>
    <w:rsid w:val="00E761D6"/>
    <w:rsid w:val="00E7624D"/>
    <w:rsid w:val="00E8137D"/>
    <w:rsid w:val="00E823D9"/>
    <w:rsid w:val="00E8569F"/>
    <w:rsid w:val="00E86851"/>
    <w:rsid w:val="00E91678"/>
    <w:rsid w:val="00E91BED"/>
    <w:rsid w:val="00E926FC"/>
    <w:rsid w:val="00E949FF"/>
    <w:rsid w:val="00E95390"/>
    <w:rsid w:val="00E95CA7"/>
    <w:rsid w:val="00E96EFF"/>
    <w:rsid w:val="00EA1DEE"/>
    <w:rsid w:val="00EA3D42"/>
    <w:rsid w:val="00EA4DD9"/>
    <w:rsid w:val="00EA6B1B"/>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5EB9"/>
    <w:rsid w:val="00ED6E24"/>
    <w:rsid w:val="00EE164B"/>
    <w:rsid w:val="00EE28F3"/>
    <w:rsid w:val="00EE347F"/>
    <w:rsid w:val="00EE42C2"/>
    <w:rsid w:val="00EE46CE"/>
    <w:rsid w:val="00EE575A"/>
    <w:rsid w:val="00EE6B6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B2F"/>
    <w:rsid w:val="00F47559"/>
    <w:rsid w:val="00F5112C"/>
    <w:rsid w:val="00F55548"/>
    <w:rsid w:val="00F55859"/>
    <w:rsid w:val="00F6043C"/>
    <w:rsid w:val="00F60561"/>
    <w:rsid w:val="00F61055"/>
    <w:rsid w:val="00F61AA8"/>
    <w:rsid w:val="00F61AE6"/>
    <w:rsid w:val="00F61EEA"/>
    <w:rsid w:val="00F64A21"/>
    <w:rsid w:val="00F64C7B"/>
    <w:rsid w:val="00F64F82"/>
    <w:rsid w:val="00F65699"/>
    <w:rsid w:val="00F662F1"/>
    <w:rsid w:val="00F66967"/>
    <w:rsid w:val="00F676DD"/>
    <w:rsid w:val="00F70811"/>
    <w:rsid w:val="00F70D8D"/>
    <w:rsid w:val="00F71486"/>
    <w:rsid w:val="00F71B42"/>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5B62"/>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node/451"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emf"/><Relationship Id="rId31" Type="http://schemas.openxmlformats.org/officeDocument/2006/relationships/image" Target="media/image20.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gippslandtimes.com.au/story/4203138/longford-gas-plants-evacuated/" TargetMode="External"/><Relationship Id="rId2" Type="http://schemas.openxmlformats.org/officeDocument/2006/relationships/hyperlink" Target="https://www.aemo.com.au/Gas/Declared-Wholesale-Gas-Market-DWGM/-/media/FE72B18E72A04D9DBCC25E9D31124AA8.ashx" TargetMode="External"/><Relationship Id="rId1" Type="http://schemas.openxmlformats.org/officeDocument/2006/relationships/hyperlink" Target="http://www.gippslandtimes.com.au/story/4203138/longford-gas-plants-evacuated/"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C64346-85B4-46ED-9192-23E58F216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98187018.dotm</Template>
  <TotalTime>0</TotalTime>
  <Pages>13</Pages>
  <Words>2191</Words>
  <Characters>12495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2016-10-18T06:39:00Z</dcterms:created>
  <dcterms:modified xsi:type="dcterms:W3CDTF">2016-10-18T06:39:00Z</dcterms:modified>
</cp:coreProperties>
</file>