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824D9"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9C782A" w:rsidP="004420C4">
      <w:pPr>
        <w:pStyle w:val="Heading2"/>
        <w:numPr>
          <w:ilvl w:val="0"/>
          <w:numId w:val="0"/>
        </w:numPr>
        <w:rPr>
          <w:i w:val="0"/>
        </w:rPr>
      </w:pPr>
      <w:r>
        <w:rPr>
          <w:i w:val="0"/>
          <w:sz w:val="36"/>
          <w:szCs w:val="36"/>
        </w:rPr>
        <w:t>25 – 31 October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BB767F" w:rsidRDefault="00487152" w:rsidP="004B68EB">
      <w:pPr>
        <w:pStyle w:val="AERbodytext"/>
        <w:spacing w:before="120" w:after="120" w:line="240" w:lineRule="auto"/>
        <w:jc w:val="both"/>
      </w:pPr>
      <w:r>
        <w:t>On 16</w:t>
      </w:r>
      <w:r w:rsidR="00971F53">
        <w:t> </w:t>
      </w:r>
      <w:r>
        <w:t>October Gladstone LNG (GLNG)</w:t>
      </w:r>
      <w:r w:rsidRPr="00D25C6E">
        <w:t xml:space="preserve"> </w:t>
      </w:r>
      <w:r>
        <w:t>commenced export</w:t>
      </w:r>
      <w:r w:rsidR="00971F53">
        <w:t xml:space="preserve">ing, </w:t>
      </w:r>
      <w:r w:rsidR="00BB767F">
        <w:t xml:space="preserve">the second LNG project in Queensland to </w:t>
      </w:r>
      <w:r w:rsidR="00971F53">
        <w:t xml:space="preserve">do so after </w:t>
      </w:r>
      <w:r w:rsidR="00BB767F">
        <w:t xml:space="preserve">Queensland Curtis LNG (QCLNG) </w:t>
      </w:r>
      <w:r w:rsidR="00971F53">
        <w:t xml:space="preserve">began exporting </w:t>
      </w:r>
      <w:r w:rsidR="00BB767F">
        <w:t>on 5</w:t>
      </w:r>
      <w:r w:rsidR="00971F53">
        <w:t> </w:t>
      </w:r>
      <w:r w:rsidR="00BB767F">
        <w:t xml:space="preserve">January this year. </w:t>
      </w:r>
    </w:p>
    <w:p w:rsidR="00487152" w:rsidRDefault="00971F53" w:rsidP="004B68EB">
      <w:pPr>
        <w:pStyle w:val="AERbodytext"/>
        <w:spacing w:before="120" w:after="120" w:line="240" w:lineRule="auto"/>
        <w:jc w:val="both"/>
      </w:pPr>
      <w:r>
        <w:t xml:space="preserve">AEMO recently implemented the Curtis Island LNG demand zone. The zone was designed to become effective once </w:t>
      </w:r>
      <w:r w:rsidR="00BB767F">
        <w:t xml:space="preserve">two </w:t>
      </w:r>
      <w:r w:rsidR="00E25A4F">
        <w:t>or more</w:t>
      </w:r>
      <w:r>
        <w:t xml:space="preserve"> </w:t>
      </w:r>
      <w:r w:rsidR="00BB767F">
        <w:t xml:space="preserve">LNG projects in Queensland </w:t>
      </w:r>
      <w:r>
        <w:t>began exporting</w:t>
      </w:r>
      <w:r w:rsidR="00E25A4F">
        <w:t xml:space="preserve">. As a result, the zone </w:t>
      </w:r>
      <w:r w:rsidR="00940545">
        <w:t>be</w:t>
      </w:r>
      <w:r w:rsidR="00BB767F">
        <w:t>came</w:t>
      </w:r>
      <w:r w:rsidR="00940545">
        <w:t xml:space="preserve"> effective </w:t>
      </w:r>
      <w:bookmarkStart w:id="2" w:name="_GoBack"/>
      <w:bookmarkEnd w:id="2"/>
      <w:r w:rsidR="00940545">
        <w:t xml:space="preserve">on the Gas Bulletin Board from Monday 26 October. </w:t>
      </w:r>
    </w:p>
    <w:p w:rsidR="007B00E8" w:rsidRDefault="004C501E" w:rsidP="004B68EB">
      <w:pPr>
        <w:pStyle w:val="AERbodytext"/>
        <w:spacing w:before="120" w:after="120" w:line="240" w:lineRule="auto"/>
        <w:jc w:val="both"/>
      </w:pPr>
      <w:r w:rsidRPr="00D25C6E">
        <w:t xml:space="preserve">The new zone </w:t>
      </w:r>
      <w:r w:rsidR="00940545">
        <w:t>captures</w:t>
      </w:r>
      <w:r w:rsidRPr="00D25C6E">
        <w:t xml:space="preserve"> gas deliveries </w:t>
      </w:r>
      <w:r w:rsidR="00940545">
        <w:t>in</w:t>
      </w:r>
      <w:r w:rsidRPr="00D25C6E">
        <w:t>to the LNG export facilities on Curtis Island near Gladstone.</w:t>
      </w:r>
      <w:r w:rsidR="00A514B8" w:rsidRPr="00D63F5C">
        <w:rPr>
          <w:rStyle w:val="FootnoteReference"/>
        </w:rPr>
        <w:footnoteReference w:id="1"/>
      </w:r>
      <w:r w:rsidRPr="00D25C6E">
        <w:t xml:space="preserve"> </w:t>
      </w:r>
      <w:r w:rsidR="007B00E8" w:rsidRPr="007B00E8">
        <w:t>This means pipelines</w:t>
      </w:r>
      <w:r w:rsidR="00BE3A41">
        <w:t>’</w:t>
      </w:r>
      <w:r w:rsidR="007B00E8" w:rsidRPr="007B00E8">
        <w:t xml:space="preserve"> </w:t>
      </w:r>
      <w:r w:rsidR="00E25A4F">
        <w:t xml:space="preserve">operators </w:t>
      </w:r>
      <w:r w:rsidR="007B00E8" w:rsidRPr="007B00E8">
        <w:t>for the three export projects</w:t>
      </w:r>
      <w:r w:rsidR="00E25A4F">
        <w:t xml:space="preserve"> (GLNG, QCLNG and APLNG) are now subject to </w:t>
      </w:r>
      <w:r w:rsidR="007B00E8" w:rsidRPr="007B00E8">
        <w:t xml:space="preserve">Bulletin Board reporting </w:t>
      </w:r>
      <w:r w:rsidR="00E25A4F">
        <w:t xml:space="preserve">requirements </w:t>
      </w:r>
      <w:r w:rsidR="007B00E8" w:rsidRPr="007B00E8">
        <w:t>and</w:t>
      </w:r>
      <w:r w:rsidR="00E25A4F">
        <w:t>, as such,</w:t>
      </w:r>
      <w:r w:rsidR="007B00E8" w:rsidRPr="007B00E8">
        <w:t xml:space="preserve"> will </w:t>
      </w:r>
      <w:r w:rsidR="00E25A4F">
        <w:t>required to submit</w:t>
      </w:r>
      <w:r w:rsidR="00BE3A41">
        <w:t xml:space="preserve"> information such as</w:t>
      </w:r>
      <w:r w:rsidR="00E25A4F">
        <w:t xml:space="preserve"> </w:t>
      </w:r>
      <w:r w:rsidR="007B00E8" w:rsidRPr="007B00E8">
        <w:t>actual flow data, delivery nominations, and capacity outlook</w:t>
      </w:r>
      <w:r w:rsidR="007B00E8">
        <w:t>.</w:t>
      </w:r>
      <w:r w:rsidR="007B00E8" w:rsidRPr="007B00E8">
        <w:t xml:space="preserve"> </w:t>
      </w:r>
      <w:r w:rsidR="007B00E8">
        <w:t xml:space="preserve">The </w:t>
      </w:r>
      <w:r w:rsidR="00E25A4F">
        <w:t xml:space="preserve">relevant </w:t>
      </w:r>
      <w:r w:rsidR="007B00E8">
        <w:t>pipelines are:</w:t>
      </w:r>
    </w:p>
    <w:p w:rsidR="002F76B6" w:rsidRPr="00D25C6E" w:rsidRDefault="00BE0043" w:rsidP="002F76B6">
      <w:pPr>
        <w:pStyle w:val="AERbodytext"/>
        <w:numPr>
          <w:ilvl w:val="0"/>
          <w:numId w:val="31"/>
        </w:numPr>
        <w:spacing w:line="240" w:lineRule="auto"/>
        <w:jc w:val="both"/>
      </w:pPr>
      <w:r w:rsidRPr="00D25C6E">
        <w:t>Wallumbilla to Gladstone</w:t>
      </w:r>
      <w:r w:rsidR="00415CD8" w:rsidRPr="00D25C6E">
        <w:t xml:space="preserve"> Pipeline</w:t>
      </w:r>
      <w:r w:rsidR="00A514B8" w:rsidRPr="00D25C6E">
        <w:rPr>
          <w:rStyle w:val="FootnoteReference"/>
        </w:rPr>
        <w:footnoteReference w:id="2"/>
      </w:r>
      <w:r w:rsidR="00415CD8" w:rsidRPr="00D25C6E">
        <w:t xml:space="preserve"> (</w:t>
      </w:r>
      <w:r w:rsidR="00DC1154" w:rsidRPr="00D25C6E">
        <w:t xml:space="preserve">1530 TJ/day </w:t>
      </w:r>
      <w:r w:rsidR="003831F7">
        <w:t>maximum daily quantity</w:t>
      </w:r>
      <w:r w:rsidR="00DC1154" w:rsidRPr="00D25C6E">
        <w:t xml:space="preserve"> capacity</w:t>
      </w:r>
      <w:r w:rsidR="00415CD8" w:rsidRPr="00D25C6E">
        <w:t>)</w:t>
      </w:r>
      <w:r w:rsidR="00971F53">
        <w:t>.</w:t>
      </w:r>
    </w:p>
    <w:p w:rsidR="002F76B6" w:rsidRPr="00D25C6E" w:rsidRDefault="00BE0043" w:rsidP="002F76B6">
      <w:pPr>
        <w:pStyle w:val="AERbodytext"/>
        <w:numPr>
          <w:ilvl w:val="0"/>
          <w:numId w:val="31"/>
        </w:numPr>
        <w:spacing w:line="240" w:lineRule="auto"/>
        <w:jc w:val="both"/>
      </w:pPr>
      <w:r w:rsidRPr="00D25C6E">
        <w:t xml:space="preserve">GLNG </w:t>
      </w:r>
      <w:r w:rsidR="00415CD8" w:rsidRPr="00D25C6E">
        <w:t xml:space="preserve">Gas Transmission </w:t>
      </w:r>
      <w:r w:rsidRPr="00D25C6E">
        <w:t>Pipeline</w:t>
      </w:r>
      <w:r w:rsidR="00A514B8" w:rsidRPr="00D25C6E">
        <w:rPr>
          <w:rStyle w:val="FootnoteReference"/>
        </w:rPr>
        <w:footnoteReference w:id="3"/>
      </w:r>
      <w:r w:rsidR="00415CD8" w:rsidRPr="00D25C6E">
        <w:t xml:space="preserve"> (</w:t>
      </w:r>
      <w:r w:rsidR="00DC1154" w:rsidRPr="00D25C6E">
        <w:t>1430 TJ/day MDQ capacity)</w:t>
      </w:r>
      <w:r w:rsidR="00971F53">
        <w:t>.</w:t>
      </w:r>
    </w:p>
    <w:p w:rsidR="002F76B6" w:rsidRDefault="00BE0043" w:rsidP="002F76B6">
      <w:pPr>
        <w:pStyle w:val="AERbodytext"/>
        <w:numPr>
          <w:ilvl w:val="0"/>
          <w:numId w:val="31"/>
        </w:numPr>
        <w:spacing w:line="240" w:lineRule="auto"/>
        <w:jc w:val="both"/>
      </w:pPr>
      <w:r w:rsidRPr="00D25C6E">
        <w:t>APLNG Pipeline</w:t>
      </w:r>
      <w:r w:rsidR="00DC1154" w:rsidRPr="00D25C6E">
        <w:rPr>
          <w:rStyle w:val="FootnoteReference"/>
        </w:rPr>
        <w:footnoteReference w:id="4"/>
      </w:r>
      <w:r w:rsidR="00415CD8" w:rsidRPr="00D25C6E">
        <w:t xml:space="preserve"> (</w:t>
      </w:r>
      <w:r w:rsidR="00DC1154" w:rsidRPr="00D25C6E">
        <w:t>1560 TJ/day MDQ capacity)</w:t>
      </w:r>
      <w:r w:rsidR="00971F53">
        <w:t>.</w:t>
      </w:r>
    </w:p>
    <w:p w:rsidR="002F76B6" w:rsidRDefault="00BE3A41" w:rsidP="004B68EB">
      <w:pPr>
        <w:pStyle w:val="AERbodytext"/>
        <w:spacing w:before="120" w:after="120" w:line="240" w:lineRule="auto"/>
        <w:jc w:val="both"/>
        <w:rPr>
          <w:szCs w:val="22"/>
        </w:rPr>
      </w:pPr>
      <w:r>
        <w:br/>
      </w:r>
      <w:r w:rsidR="00FF64D3">
        <w:t>O</w:t>
      </w:r>
      <w:r w:rsidR="00FF64D3" w:rsidRPr="007B00E8">
        <w:t>ther Bulletin Board facilities (storage, production, pipelines) connected to these pipelines will also be required to provide in</w:t>
      </w:r>
      <w:r w:rsidR="00FF64D3">
        <w:t xml:space="preserve">formation to the Bulletin Board. </w:t>
      </w:r>
    </w:p>
    <w:p w:rsidR="00FF64D3" w:rsidRDefault="00FF64D3" w:rsidP="004B68EB">
      <w:pPr>
        <w:pStyle w:val="AERbodytext"/>
        <w:spacing w:before="120" w:after="120" w:line="240" w:lineRule="auto"/>
        <w:jc w:val="both"/>
        <w:rPr>
          <w:szCs w:val="22"/>
        </w:rPr>
      </w:pPr>
      <w:r>
        <w:t>We have updated our Bulletin Board map (Figure 5.1)</w:t>
      </w:r>
      <w:r w:rsidDel="00E25A4F">
        <w:t xml:space="preserve"> </w:t>
      </w:r>
      <w:r>
        <w:t>to accommodate the new demand zone and the relevant pipelines.</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704FF" w:rsidP="006E7E57">
      <w:pPr>
        <w:pStyle w:val="Heading1"/>
        <w:numPr>
          <w:ilvl w:val="0"/>
          <w:numId w:val="0"/>
        </w:numPr>
        <w:spacing w:before="180"/>
        <w:rPr>
          <w:rFonts w:cs="Times New Roman"/>
          <w:noProof/>
          <w:color w:val="2272A3"/>
          <w:kern w:val="0"/>
          <w:szCs w:val="20"/>
          <w:lang w:eastAsia="en-US"/>
        </w:rPr>
      </w:pPr>
      <w:r>
        <w:rPr>
          <w:rFonts w:cs="Times New Roman"/>
          <w:noProof/>
          <w:color w:val="2272A3"/>
          <w:kern w:val="0"/>
          <w:szCs w:val="20"/>
          <w:lang w:eastAsia="en-US"/>
        </w:rPr>
        <w:br w:type="page"/>
      </w:r>
      <w:r w:rsidR="00AF2164"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5"/>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862033">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vAlign w:val="center"/>
            <w:hideMark/>
          </w:tcPr>
          <w:p w:rsidR="003F44B7" w:rsidRPr="00862033" w:rsidRDefault="003F44B7" w:rsidP="00862033">
            <w:pPr>
              <w:jc w:val="center"/>
              <w:rPr>
                <w:sz w:val="20"/>
              </w:rPr>
            </w:pPr>
            <w:r w:rsidRPr="00862033">
              <w:rPr>
                <w:sz w:val="20"/>
              </w:rPr>
              <w:t>Region</w:t>
            </w:r>
          </w:p>
        </w:tc>
        <w:tc>
          <w:tcPr>
            <w:tcW w:w="750" w:type="pct"/>
            <w:tcBorders>
              <w:bottom w:val="nil"/>
            </w:tcBorders>
          </w:tcPr>
          <w:p w:rsidR="003F44B7" w:rsidRPr="00936A7B" w:rsidRDefault="003F44B7" w:rsidP="00260F88">
            <w:pPr>
              <w:jc w:val="center"/>
              <w:rPr>
                <w:sz w:val="20"/>
              </w:rPr>
            </w:pPr>
            <w:r w:rsidRPr="00936A7B">
              <w:rPr>
                <w:sz w:val="20"/>
              </w:rPr>
              <w:t>Victoria</w:t>
            </w:r>
          </w:p>
        </w:tc>
        <w:tc>
          <w:tcPr>
            <w:tcW w:w="749" w:type="pct"/>
            <w:tcBorders>
              <w:bottom w:val="nil"/>
            </w:tcBorders>
            <w:hideMark/>
          </w:tcPr>
          <w:p w:rsidR="003F44B7" w:rsidRPr="00936A7B" w:rsidRDefault="003F44B7" w:rsidP="00260F88">
            <w:pPr>
              <w:jc w:val="center"/>
              <w:rPr>
                <w:sz w:val="20"/>
              </w:rPr>
            </w:pPr>
            <w:r w:rsidRPr="00936A7B">
              <w:rPr>
                <w:sz w:val="20"/>
              </w:rPr>
              <w:t>Sydney</w:t>
            </w:r>
          </w:p>
        </w:tc>
        <w:tc>
          <w:tcPr>
            <w:tcW w:w="749" w:type="pct"/>
            <w:tcBorders>
              <w:bottom w:val="nil"/>
            </w:tcBorders>
            <w:hideMark/>
          </w:tcPr>
          <w:p w:rsidR="003F44B7" w:rsidRPr="00936A7B" w:rsidRDefault="003F44B7" w:rsidP="00260F88">
            <w:pPr>
              <w:jc w:val="center"/>
              <w:rPr>
                <w:sz w:val="20"/>
              </w:rPr>
            </w:pPr>
            <w:r w:rsidRPr="00936A7B">
              <w:rPr>
                <w:sz w:val="20"/>
              </w:rPr>
              <w:t>Adelaide</w:t>
            </w:r>
          </w:p>
        </w:tc>
        <w:tc>
          <w:tcPr>
            <w:tcW w:w="823" w:type="pct"/>
            <w:tcBorders>
              <w:bottom w:val="nil"/>
            </w:tcBorders>
            <w:hideMark/>
          </w:tcPr>
          <w:p w:rsidR="003F44B7" w:rsidRPr="00936A7B" w:rsidRDefault="003F44B7" w:rsidP="00260F88">
            <w:pPr>
              <w:jc w:val="center"/>
              <w:rPr>
                <w:sz w:val="20"/>
              </w:rPr>
            </w:pPr>
            <w:r w:rsidRPr="00936A7B">
              <w:rPr>
                <w:sz w:val="20"/>
              </w:rPr>
              <w:t>Brisbane</w:t>
            </w:r>
          </w:p>
        </w:tc>
      </w:tr>
      <w:tr w:rsidR="009C782A" w:rsidRPr="0091453B" w:rsidTr="00260F88">
        <w:trPr>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25 Oct - 31 Oct 2015</w:t>
            </w:r>
          </w:p>
        </w:tc>
        <w:tc>
          <w:tcPr>
            <w:tcW w:w="750" w:type="pct"/>
            <w:tcBorders>
              <w:top w:val="nil"/>
              <w:bottom w:val="nil"/>
            </w:tcBorders>
            <w:vAlign w:val="center"/>
          </w:tcPr>
          <w:p w:rsidR="009C782A" w:rsidRDefault="009C782A">
            <w:pPr>
              <w:jc w:val="center"/>
              <w:rPr>
                <w:rFonts w:cs="Arial"/>
                <w:sz w:val="20"/>
                <w:szCs w:val="20"/>
              </w:rPr>
            </w:pPr>
            <w:r>
              <w:rPr>
                <w:rFonts w:cs="Arial"/>
                <w:sz w:val="20"/>
                <w:szCs w:val="20"/>
              </w:rPr>
              <w:t>4.29</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3.96</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4.34</w:t>
            </w:r>
          </w:p>
        </w:tc>
        <w:tc>
          <w:tcPr>
            <w:tcW w:w="823" w:type="pct"/>
            <w:tcBorders>
              <w:top w:val="nil"/>
              <w:bottom w:val="nil"/>
            </w:tcBorders>
            <w:vAlign w:val="center"/>
          </w:tcPr>
          <w:p w:rsidR="009C782A" w:rsidRDefault="009C782A">
            <w:pPr>
              <w:jc w:val="center"/>
              <w:rPr>
                <w:rFonts w:cs="Arial"/>
                <w:sz w:val="20"/>
                <w:szCs w:val="20"/>
              </w:rPr>
            </w:pPr>
            <w:r>
              <w:rPr>
                <w:rFonts w:cs="Arial"/>
                <w:sz w:val="20"/>
                <w:szCs w:val="20"/>
              </w:rPr>
              <w:t>3.14</w:t>
            </w:r>
          </w:p>
        </w:tc>
      </w:tr>
      <w:tr w:rsidR="009C782A" w:rsidRPr="0091453B" w:rsidTr="00260F8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 change from previous week</w:t>
            </w:r>
          </w:p>
        </w:tc>
        <w:tc>
          <w:tcPr>
            <w:tcW w:w="750" w:type="pct"/>
            <w:tcBorders>
              <w:top w:val="nil"/>
              <w:bottom w:val="nil"/>
            </w:tcBorders>
            <w:vAlign w:val="center"/>
          </w:tcPr>
          <w:p w:rsidR="009C782A" w:rsidRDefault="009C782A">
            <w:pPr>
              <w:jc w:val="center"/>
              <w:rPr>
                <w:rFonts w:cs="Arial"/>
                <w:sz w:val="20"/>
                <w:szCs w:val="20"/>
              </w:rPr>
            </w:pPr>
            <w:r>
              <w:rPr>
                <w:rFonts w:cs="Arial"/>
                <w:sz w:val="20"/>
                <w:szCs w:val="20"/>
              </w:rPr>
              <w:t>0</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2</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9</w:t>
            </w:r>
          </w:p>
        </w:tc>
        <w:tc>
          <w:tcPr>
            <w:tcW w:w="823" w:type="pct"/>
            <w:tcBorders>
              <w:top w:val="nil"/>
              <w:bottom w:val="nil"/>
            </w:tcBorders>
            <w:vAlign w:val="center"/>
          </w:tcPr>
          <w:p w:rsidR="009C782A" w:rsidRDefault="009C782A">
            <w:pPr>
              <w:jc w:val="center"/>
              <w:rPr>
                <w:rFonts w:cs="Arial"/>
                <w:sz w:val="20"/>
                <w:szCs w:val="20"/>
              </w:rPr>
            </w:pPr>
            <w:r>
              <w:rPr>
                <w:rFonts w:cs="Arial"/>
                <w:sz w:val="20"/>
                <w:szCs w:val="20"/>
              </w:rPr>
              <w:t>-3</w:t>
            </w:r>
          </w:p>
        </w:tc>
      </w:tr>
      <w:tr w:rsidR="009C782A" w:rsidRPr="0091453B" w:rsidTr="00260F88">
        <w:trPr>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15-16 financial YTD</w:t>
            </w:r>
          </w:p>
        </w:tc>
        <w:tc>
          <w:tcPr>
            <w:tcW w:w="750" w:type="pct"/>
            <w:tcBorders>
              <w:top w:val="nil"/>
              <w:bottom w:val="nil"/>
            </w:tcBorders>
            <w:vAlign w:val="center"/>
          </w:tcPr>
          <w:p w:rsidR="009C782A" w:rsidRDefault="009C782A">
            <w:pPr>
              <w:jc w:val="center"/>
              <w:rPr>
                <w:rFonts w:cs="Arial"/>
                <w:sz w:val="20"/>
                <w:szCs w:val="20"/>
              </w:rPr>
            </w:pPr>
            <w:r>
              <w:rPr>
                <w:rFonts w:cs="Arial"/>
                <w:sz w:val="20"/>
                <w:szCs w:val="20"/>
              </w:rPr>
              <w:t>4.47</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4.79</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5.25</w:t>
            </w:r>
          </w:p>
        </w:tc>
        <w:tc>
          <w:tcPr>
            <w:tcW w:w="823" w:type="pct"/>
            <w:tcBorders>
              <w:top w:val="nil"/>
              <w:bottom w:val="nil"/>
            </w:tcBorders>
            <w:vAlign w:val="center"/>
          </w:tcPr>
          <w:p w:rsidR="009C782A" w:rsidRDefault="009C782A">
            <w:pPr>
              <w:jc w:val="center"/>
              <w:rPr>
                <w:rFonts w:cs="Arial"/>
                <w:sz w:val="20"/>
                <w:szCs w:val="20"/>
              </w:rPr>
            </w:pPr>
            <w:r>
              <w:rPr>
                <w:rFonts w:cs="Arial"/>
                <w:sz w:val="20"/>
                <w:szCs w:val="20"/>
              </w:rPr>
              <w:t>3.93</w:t>
            </w:r>
          </w:p>
        </w:tc>
      </w:tr>
      <w:tr w:rsidR="009C782A" w:rsidRPr="0091453B" w:rsidTr="00260F8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C782A" w:rsidRDefault="009C782A">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39</w:t>
            </w:r>
          </w:p>
        </w:tc>
        <w:tc>
          <w:tcPr>
            <w:tcW w:w="74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45</w:t>
            </w:r>
          </w:p>
        </w:tc>
        <w:tc>
          <w:tcPr>
            <w:tcW w:w="823"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81</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260F88">
            <w:pPr>
              <w:pStyle w:val="TableHeading"/>
              <w:jc w:val="center"/>
              <w:rPr>
                <w:rFonts w:cs="Arial"/>
                <w:sz w:val="20"/>
                <w:szCs w:val="20"/>
              </w:rPr>
            </w:pPr>
          </w:p>
        </w:tc>
        <w:tc>
          <w:tcPr>
            <w:tcW w:w="749"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BOD forecast demand quantity (TJ)</w:t>
            </w:r>
          </w:p>
        </w:tc>
      </w:tr>
      <w:tr w:rsidR="009C782A" w:rsidRPr="0091453B" w:rsidTr="00260F88">
        <w:trPr>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25 Oct - 31 Oct 2015</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4.29</w:t>
            </w:r>
          </w:p>
        </w:tc>
        <w:tc>
          <w:tcPr>
            <w:tcW w:w="1124" w:type="pct"/>
            <w:tcBorders>
              <w:top w:val="nil"/>
              <w:bottom w:val="nil"/>
            </w:tcBorders>
            <w:vAlign w:val="center"/>
          </w:tcPr>
          <w:p w:rsidR="009C782A" w:rsidRDefault="009C782A">
            <w:pPr>
              <w:jc w:val="center"/>
              <w:rPr>
                <w:rFonts w:cs="Arial"/>
                <w:sz w:val="20"/>
                <w:szCs w:val="20"/>
              </w:rPr>
            </w:pPr>
            <w:r>
              <w:rPr>
                <w:rFonts w:cs="Arial"/>
                <w:sz w:val="20"/>
                <w:szCs w:val="20"/>
              </w:rPr>
              <w:t>-</w:t>
            </w:r>
          </w:p>
        </w:tc>
        <w:tc>
          <w:tcPr>
            <w:tcW w:w="1199" w:type="pct"/>
            <w:tcBorders>
              <w:top w:val="nil"/>
              <w:bottom w:val="nil"/>
            </w:tcBorders>
            <w:vAlign w:val="center"/>
          </w:tcPr>
          <w:p w:rsidR="009C782A" w:rsidRDefault="009C782A">
            <w:pPr>
              <w:jc w:val="center"/>
              <w:rPr>
                <w:rFonts w:cs="Arial"/>
                <w:sz w:val="20"/>
                <w:szCs w:val="20"/>
              </w:rPr>
            </w:pPr>
            <w:r>
              <w:rPr>
                <w:rFonts w:cs="Arial"/>
                <w:sz w:val="20"/>
                <w:szCs w:val="20"/>
              </w:rPr>
              <w:t>373</w:t>
            </w:r>
          </w:p>
        </w:tc>
      </w:tr>
      <w:tr w:rsidR="009C782A" w:rsidRPr="0091453B" w:rsidTr="00260F8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 change from previous week</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0</w:t>
            </w:r>
          </w:p>
        </w:tc>
        <w:tc>
          <w:tcPr>
            <w:tcW w:w="1124" w:type="pct"/>
            <w:tcBorders>
              <w:top w:val="nil"/>
              <w:bottom w:val="nil"/>
            </w:tcBorders>
            <w:vAlign w:val="center"/>
          </w:tcPr>
          <w:p w:rsidR="009C782A" w:rsidRDefault="009C782A">
            <w:pPr>
              <w:jc w:val="center"/>
              <w:rPr>
                <w:rFonts w:cs="Arial"/>
                <w:sz w:val="20"/>
                <w:szCs w:val="20"/>
              </w:rPr>
            </w:pPr>
            <w:r>
              <w:rPr>
                <w:rFonts w:cs="Arial"/>
                <w:sz w:val="20"/>
                <w:szCs w:val="20"/>
              </w:rPr>
              <w:t>-</w:t>
            </w:r>
          </w:p>
        </w:tc>
        <w:tc>
          <w:tcPr>
            <w:tcW w:w="1199" w:type="pct"/>
            <w:tcBorders>
              <w:top w:val="nil"/>
              <w:bottom w:val="nil"/>
            </w:tcBorders>
            <w:vAlign w:val="center"/>
          </w:tcPr>
          <w:p w:rsidR="009C782A" w:rsidRDefault="009C782A">
            <w:pPr>
              <w:jc w:val="center"/>
              <w:rPr>
                <w:rFonts w:cs="Arial"/>
                <w:sz w:val="20"/>
                <w:szCs w:val="20"/>
              </w:rPr>
            </w:pPr>
            <w:r>
              <w:rPr>
                <w:rFonts w:cs="Arial"/>
                <w:sz w:val="20"/>
                <w:szCs w:val="20"/>
              </w:rPr>
              <w:t>-17</w:t>
            </w:r>
          </w:p>
        </w:tc>
      </w:tr>
      <w:tr w:rsidR="009C782A" w:rsidRPr="0091453B" w:rsidTr="00260F88">
        <w:trPr>
          <w:trHeight w:val="510"/>
        </w:trPr>
        <w:tc>
          <w:tcPr>
            <w:tcW w:w="1928" w:type="pct"/>
            <w:tcBorders>
              <w:top w:val="nil"/>
              <w:bottom w:val="nil"/>
            </w:tcBorders>
            <w:vAlign w:val="center"/>
          </w:tcPr>
          <w:p w:rsidR="009C782A" w:rsidRDefault="009C782A">
            <w:pPr>
              <w:rPr>
                <w:rFonts w:cs="Arial"/>
                <w:sz w:val="20"/>
                <w:szCs w:val="20"/>
              </w:rPr>
            </w:pPr>
            <w:r>
              <w:rPr>
                <w:rFonts w:cs="Arial"/>
                <w:sz w:val="20"/>
                <w:szCs w:val="20"/>
              </w:rPr>
              <w:t>15-16 financial YTD</w:t>
            </w:r>
          </w:p>
        </w:tc>
        <w:tc>
          <w:tcPr>
            <w:tcW w:w="749" w:type="pct"/>
            <w:tcBorders>
              <w:top w:val="nil"/>
              <w:bottom w:val="nil"/>
            </w:tcBorders>
            <w:vAlign w:val="center"/>
          </w:tcPr>
          <w:p w:rsidR="009C782A" w:rsidRDefault="009C782A">
            <w:pPr>
              <w:jc w:val="center"/>
              <w:rPr>
                <w:rFonts w:cs="Arial"/>
                <w:sz w:val="20"/>
                <w:szCs w:val="20"/>
              </w:rPr>
            </w:pPr>
            <w:r>
              <w:rPr>
                <w:rFonts w:cs="Arial"/>
                <w:sz w:val="20"/>
                <w:szCs w:val="20"/>
              </w:rPr>
              <w:t>4.47</w:t>
            </w:r>
          </w:p>
        </w:tc>
        <w:tc>
          <w:tcPr>
            <w:tcW w:w="1124" w:type="pct"/>
            <w:tcBorders>
              <w:top w:val="nil"/>
              <w:bottom w:val="nil"/>
            </w:tcBorders>
            <w:vAlign w:val="center"/>
          </w:tcPr>
          <w:p w:rsidR="009C782A" w:rsidRDefault="009C782A">
            <w:pPr>
              <w:jc w:val="center"/>
              <w:rPr>
                <w:rFonts w:cs="Arial"/>
                <w:sz w:val="20"/>
                <w:szCs w:val="20"/>
              </w:rPr>
            </w:pPr>
            <w:r>
              <w:rPr>
                <w:rFonts w:cs="Arial"/>
                <w:sz w:val="20"/>
                <w:szCs w:val="20"/>
              </w:rPr>
              <w:t>-</w:t>
            </w:r>
          </w:p>
        </w:tc>
        <w:tc>
          <w:tcPr>
            <w:tcW w:w="1199" w:type="pct"/>
            <w:tcBorders>
              <w:top w:val="nil"/>
              <w:bottom w:val="nil"/>
            </w:tcBorders>
            <w:vAlign w:val="center"/>
          </w:tcPr>
          <w:p w:rsidR="009C782A" w:rsidRDefault="009C782A">
            <w:pPr>
              <w:jc w:val="center"/>
              <w:rPr>
                <w:rFonts w:cs="Arial"/>
                <w:sz w:val="20"/>
                <w:szCs w:val="20"/>
              </w:rPr>
            </w:pPr>
            <w:r>
              <w:rPr>
                <w:rFonts w:cs="Arial"/>
                <w:sz w:val="20"/>
                <w:szCs w:val="20"/>
              </w:rPr>
              <w:t>763</w:t>
            </w:r>
          </w:p>
        </w:tc>
      </w:tr>
      <w:tr w:rsidR="009C782A" w:rsidRPr="0091453B" w:rsidTr="00260F8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9C782A" w:rsidRDefault="009C782A">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8</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260F88">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260F88">
            <w:pPr>
              <w:pStyle w:val="TableHeading"/>
              <w:jc w:val="center"/>
              <w:rPr>
                <w:rFonts w:cs="Arial"/>
                <w:sz w:val="20"/>
                <w:szCs w:val="20"/>
              </w:rPr>
            </w:pPr>
          </w:p>
        </w:tc>
        <w:tc>
          <w:tcPr>
            <w:tcW w:w="759"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quantity (TJ)</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25 Oct - 31 Oct 2015</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3.96</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3.93</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12.88</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205</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203</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 change from previous week</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2</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6</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-7</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-1</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0</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15-16 financial YTD</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4.79</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4.57</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23.78</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258</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254</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C782A" w:rsidRDefault="009C782A">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39</w:t>
            </w:r>
          </w:p>
        </w:tc>
        <w:tc>
          <w:tcPr>
            <w:tcW w:w="75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30</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46</w:t>
            </w:r>
          </w:p>
        </w:tc>
        <w:tc>
          <w:tcPr>
            <w:tcW w:w="68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-5</w:t>
            </w:r>
          </w:p>
        </w:tc>
        <w:tc>
          <w:tcPr>
            <w:tcW w:w="60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-7</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260F88">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260F88">
            <w:pPr>
              <w:pStyle w:val="TableHeading"/>
              <w:jc w:val="center"/>
              <w:rPr>
                <w:rFonts w:cs="Arial"/>
                <w:sz w:val="20"/>
                <w:szCs w:val="20"/>
              </w:rPr>
            </w:pPr>
          </w:p>
        </w:tc>
        <w:tc>
          <w:tcPr>
            <w:tcW w:w="759"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quantity (TJ)</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25 Oct - 31 Oct 2015</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4.34</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4.59</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2.88</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51</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57</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 change from previous week</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9</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10</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5</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-6</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-2</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15-16 financial YTD</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5.25</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5.28</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11.08</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76</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75</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C782A" w:rsidRDefault="009C782A">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47</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-22</w:t>
            </w:r>
          </w:p>
        </w:tc>
        <w:tc>
          <w:tcPr>
            <w:tcW w:w="68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0</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260F88">
            <w:pPr>
              <w:keepNext/>
              <w:spacing w:before="40" w:after="40"/>
              <w:jc w:val="center"/>
              <w:rPr>
                <w:rFonts w:cs="Arial"/>
                <w:b w:val="0"/>
                <w:bCs/>
                <w:sz w:val="20"/>
                <w:szCs w:val="20"/>
              </w:rPr>
            </w:pPr>
            <w:r w:rsidRPr="002861A9">
              <w:rPr>
                <w:rFonts w:cs="Arial"/>
                <w:bCs/>
                <w:sz w:val="20"/>
                <w:szCs w:val="20"/>
              </w:rPr>
              <w:t>Ex post quantity (TJ)</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25 Oct - 31 Oct 2015</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3.14</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3.39</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1.10</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89</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90</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 change from previous week</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-3</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2</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11</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20</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21</w:t>
            </w:r>
          </w:p>
        </w:tc>
      </w:tr>
      <w:tr w:rsidR="009C782A" w:rsidRPr="00405CDE" w:rsidTr="00260F88">
        <w:trPr>
          <w:trHeight w:val="510"/>
        </w:trPr>
        <w:tc>
          <w:tcPr>
            <w:tcW w:w="1430" w:type="pct"/>
            <w:tcBorders>
              <w:top w:val="nil"/>
              <w:bottom w:val="nil"/>
            </w:tcBorders>
            <w:vAlign w:val="center"/>
          </w:tcPr>
          <w:p w:rsidR="009C782A" w:rsidRDefault="009C782A">
            <w:pPr>
              <w:rPr>
                <w:rFonts w:cs="Arial"/>
                <w:sz w:val="20"/>
                <w:szCs w:val="20"/>
              </w:rPr>
            </w:pPr>
            <w:r>
              <w:rPr>
                <w:rFonts w:cs="Arial"/>
                <w:sz w:val="20"/>
                <w:szCs w:val="20"/>
              </w:rPr>
              <w:t>15-16 financial YTD</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3.93</w:t>
            </w:r>
          </w:p>
        </w:tc>
        <w:tc>
          <w:tcPr>
            <w:tcW w:w="758" w:type="pct"/>
            <w:tcBorders>
              <w:top w:val="nil"/>
              <w:bottom w:val="nil"/>
            </w:tcBorders>
            <w:vAlign w:val="center"/>
          </w:tcPr>
          <w:p w:rsidR="009C782A" w:rsidRDefault="009C782A">
            <w:pPr>
              <w:jc w:val="center"/>
              <w:rPr>
                <w:rFonts w:cs="Arial"/>
                <w:sz w:val="20"/>
                <w:szCs w:val="20"/>
              </w:rPr>
            </w:pPr>
            <w:r>
              <w:rPr>
                <w:rFonts w:cs="Arial"/>
                <w:sz w:val="20"/>
                <w:szCs w:val="20"/>
              </w:rPr>
              <w:t>3.88</w:t>
            </w:r>
          </w:p>
        </w:tc>
        <w:tc>
          <w:tcPr>
            <w:tcW w:w="759" w:type="pct"/>
            <w:tcBorders>
              <w:top w:val="nil"/>
              <w:bottom w:val="nil"/>
            </w:tcBorders>
            <w:vAlign w:val="center"/>
          </w:tcPr>
          <w:p w:rsidR="009C782A" w:rsidRDefault="009C782A">
            <w:pPr>
              <w:jc w:val="center"/>
              <w:rPr>
                <w:rFonts w:cs="Arial"/>
                <w:sz w:val="20"/>
                <w:szCs w:val="20"/>
              </w:rPr>
            </w:pPr>
            <w:r>
              <w:rPr>
                <w:rFonts w:cs="Arial"/>
                <w:sz w:val="20"/>
                <w:szCs w:val="20"/>
              </w:rPr>
              <w:t>1.37</w:t>
            </w:r>
          </w:p>
        </w:tc>
        <w:tc>
          <w:tcPr>
            <w:tcW w:w="685" w:type="pct"/>
            <w:tcBorders>
              <w:top w:val="nil"/>
              <w:bottom w:val="nil"/>
            </w:tcBorders>
            <w:vAlign w:val="center"/>
          </w:tcPr>
          <w:p w:rsidR="009C782A" w:rsidRDefault="009C782A">
            <w:pPr>
              <w:jc w:val="center"/>
              <w:rPr>
                <w:rFonts w:cs="Arial"/>
                <w:sz w:val="20"/>
                <w:szCs w:val="20"/>
              </w:rPr>
            </w:pPr>
            <w:r>
              <w:rPr>
                <w:rFonts w:cs="Arial"/>
                <w:sz w:val="20"/>
                <w:szCs w:val="20"/>
              </w:rPr>
              <w:t>93</w:t>
            </w:r>
          </w:p>
        </w:tc>
        <w:tc>
          <w:tcPr>
            <w:tcW w:w="608" w:type="pct"/>
            <w:tcBorders>
              <w:top w:val="nil"/>
              <w:bottom w:val="nil"/>
            </w:tcBorders>
            <w:vAlign w:val="center"/>
          </w:tcPr>
          <w:p w:rsidR="009C782A" w:rsidRDefault="009C782A">
            <w:pPr>
              <w:jc w:val="center"/>
              <w:rPr>
                <w:rFonts w:cs="Arial"/>
                <w:sz w:val="20"/>
                <w:szCs w:val="20"/>
              </w:rPr>
            </w:pPr>
            <w:r>
              <w:rPr>
                <w:rFonts w:cs="Arial"/>
                <w:sz w:val="20"/>
                <w:szCs w:val="20"/>
              </w:rPr>
              <w:t>92</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C782A" w:rsidRDefault="009C782A">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81</w:t>
            </w:r>
          </w:p>
        </w:tc>
        <w:tc>
          <w:tcPr>
            <w:tcW w:w="75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107</w:t>
            </w:r>
          </w:p>
        </w:tc>
        <w:tc>
          <w:tcPr>
            <w:tcW w:w="759"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22</w:t>
            </w:r>
          </w:p>
        </w:tc>
        <w:tc>
          <w:tcPr>
            <w:tcW w:w="68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996E96" w:rsidRPr="006E7E57" w:rsidRDefault="00996E96" w:rsidP="00996E96">
      <w:pPr>
        <w:pStyle w:val="Heading1"/>
        <w:numPr>
          <w:ilvl w:val="0"/>
          <w:numId w:val="0"/>
        </w:numPr>
        <w:rPr>
          <w:color w:val="2272A3"/>
        </w:rPr>
      </w:pPr>
      <w:r w:rsidRPr="006E7E57">
        <w:rPr>
          <w:color w:val="2272A3"/>
        </w:rPr>
        <w:t>Significant</w:t>
      </w:r>
      <w:r>
        <w:rPr>
          <w:color w:val="2272A3"/>
        </w:rPr>
        <w:t xml:space="preserve"> Market Events or Issues this week</w:t>
      </w:r>
    </w:p>
    <w:p w:rsidR="00996E96" w:rsidRDefault="00996E96" w:rsidP="00996E96">
      <w:pPr>
        <w:jc w:val="both"/>
        <w:rPr>
          <w:rFonts w:cs="Arial"/>
        </w:rPr>
      </w:pPr>
      <w:r>
        <w:rPr>
          <w:rFonts w:cs="Arial"/>
        </w:rPr>
        <w:t>On Tuesday 27 October, over forecast demand in the Brisbane hub combined with 4 TJ of over-supply led to a decrease MOS requirement of 6.2 TJ (see figure 4.4).</w:t>
      </w:r>
    </w:p>
    <w:p w:rsidR="00360AAB" w:rsidRPr="009A3BBA" w:rsidRDefault="00360AAB" w:rsidP="00360AAB">
      <w:pPr>
        <w:pStyle w:val="AERbodytext"/>
        <w:spacing w:line="240" w:lineRule="auto"/>
        <w:jc w:val="both"/>
        <w:rPr>
          <w:color w:val="FF0000"/>
          <w:szCs w:val="22"/>
        </w:rPr>
      </w:pPr>
      <w:r>
        <w:rPr>
          <w:szCs w:val="22"/>
        </w:rPr>
        <w:t xml:space="preserve">Over the past year </w:t>
      </w:r>
      <w:r w:rsidR="00A704FF">
        <w:rPr>
          <w:szCs w:val="22"/>
        </w:rPr>
        <w:t xml:space="preserve">production </w:t>
      </w:r>
      <w:r>
        <w:rPr>
          <w:szCs w:val="22"/>
        </w:rPr>
        <w:t>output at Roma has increased significantly to supply the LNG export market, with average production levels rising from just over 700 TJ per day in October 2014 to more than 2000 TJ per day in October 2015 (see figure 6).</w:t>
      </w:r>
    </w:p>
    <w:p w:rsidR="00360AAB" w:rsidRDefault="00360AAB" w:rsidP="00360AAB">
      <w:pPr>
        <w:pStyle w:val="Heading2"/>
        <w:ind w:firstLine="0"/>
        <w:rPr>
          <w:i w:val="0"/>
          <w:color w:val="2272A3"/>
          <w:sz w:val="24"/>
          <w:szCs w:val="24"/>
        </w:rPr>
      </w:pPr>
      <w:r>
        <w:rPr>
          <w:i w:val="0"/>
          <w:color w:val="2272A3"/>
          <w:sz w:val="24"/>
          <w:szCs w:val="24"/>
        </w:rPr>
        <w:t>Production in the Roma region</w:t>
      </w:r>
    </w:p>
    <w:p w:rsidR="00360AAB" w:rsidRPr="00360AAB" w:rsidRDefault="00BE3A41" w:rsidP="00360AAB">
      <w:r>
        <w:pict>
          <v:shape id="_x0000_i1090" type="#_x0000_t75" alt="Figure 6 shows the daily average supply (by month) from Bulletin Board production facilities in the Roma region. The chart highlights new facilities which have come online since 2014." style="width:475.2pt;height:329.3pt">
            <v:imagedata r:id="rId13" o:title=""/>
          </v:shape>
        </w:pict>
      </w:r>
    </w:p>
    <w:p w:rsidR="00996E96" w:rsidRPr="00D1641C" w:rsidRDefault="00996E96" w:rsidP="009962A0">
      <w:pPr>
        <w:jc w:val="both"/>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824D9">
        <w:rPr>
          <w:color w:val="FFFFFF"/>
          <w:sz w:val="36"/>
        </w:rPr>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C824D9">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9C782A" w:rsidP="004420C4">
      <w:pPr>
        <w:pStyle w:val="Heading2"/>
        <w:numPr>
          <w:ilvl w:val="0"/>
          <w:numId w:val="0"/>
        </w:numPr>
        <w:rPr>
          <w:i w:val="0"/>
        </w:rPr>
      </w:pPr>
      <w:r>
        <w:rPr>
          <w:i w:val="0"/>
          <w:sz w:val="36"/>
          <w:szCs w:val="36"/>
        </w:rPr>
        <w:t>25 – 31 October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BE3A41" w:rsidP="00362B9A">
      <w:r>
        <w:pict>
          <v:shape id="_x0000_i1091" type="#_x0000_t75" alt="Figure 1.1 shows the five Victorian schedule prices for each day this week. The marker indicates the daily imbalance weighted average price for each day. For a more detailed description of this figure, please refer to the user guide." style="width:476.45pt;height:137.1pt">
            <v:imagedata r:id="rId14"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E3A41" w:rsidP="00362B9A">
      <w:r>
        <w:pict>
          <v:shape id="_x0000_i1092" type="#_x0000_t75" alt="Figure 1.2 shows the demand forecast used to calculate the five daily schedule prices for this week. For a more detailed description of this figure, please refer to the user guide." style="width:475.85pt;height:177.2pt">
            <v:imagedata r:id="rId15"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BE3A41" w:rsidP="00362B9A">
      <w:r>
        <w:pict>
          <v:shape id="_x0000_i1093" type="#_x0000_t75" alt="Figure 1.3 shows the injection bids within certain price bands for each trading interval in Victoria this week. For a more detailed description of this figure, please refer to the user guide." style="width:475.85pt;height:206pt">
            <v:imagedata r:id="rId16"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BE3A41" w:rsidP="00362B9A">
      <w:r>
        <w:pict>
          <v:shape id="_x0000_i1094" type="#_x0000_t75" alt="Figure 1.4 shows the withdrawal bids within certain price bands for each trading interval in Victoria this week. For a more detailed description of this figure, please refer to the user guide." style="width:477.1pt;height:162.8pt">
            <v:imagedata r:id="rId17"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BE3A41" w:rsidP="00BC18FB">
      <w:r>
        <w:pict>
          <v:shape id="_x0000_i1095" type="#_x0000_t75" alt="Figure 1.5 shows the metered injections sorted by facility for each 4 hour interval in Victoria this week. For a more detailed description of this figure, please refer to the user guide." style="width:475.85pt;height:177.8pt">
            <v:imagedata r:id="rId18"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19"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862033">
        <w:trPr>
          <w:cnfStyle w:val="100000000000" w:firstRow="1" w:lastRow="0" w:firstColumn="0" w:lastColumn="0" w:oddVBand="0" w:evenVBand="0" w:oddHBand="0" w:evenHBand="0" w:firstRowFirstColumn="0" w:firstRowLastColumn="0" w:lastRowFirstColumn="0" w:lastRowLastColumn="0"/>
          <w:trHeight w:val="567"/>
          <w:tblHeader/>
        </w:trPr>
        <w:tc>
          <w:tcPr>
            <w:tcW w:w="1100" w:type="pct"/>
            <w:tcBorders>
              <w:bottom w:val="nil"/>
            </w:tcBorders>
            <w:vAlign w:val="center"/>
            <w:hideMark/>
          </w:tcPr>
          <w:p w:rsidR="00F114D5" w:rsidRPr="00DC24BF" w:rsidRDefault="00F114D5" w:rsidP="00862033">
            <w:pPr>
              <w:pStyle w:val="TableHeading"/>
              <w:spacing w:before="0" w:after="0"/>
              <w:jc w:val="center"/>
              <w:rPr>
                <w:rFonts w:cs="Arial"/>
                <w:sz w:val="20"/>
                <w:szCs w:val="20"/>
              </w:rPr>
            </w:pPr>
          </w:p>
        </w:tc>
        <w:tc>
          <w:tcPr>
            <w:tcW w:w="597" w:type="pct"/>
            <w:tcBorders>
              <w:bottom w:val="nil"/>
            </w:tcBorders>
            <w:vAlign w:val="center"/>
            <w:hideMark/>
          </w:tcPr>
          <w:p w:rsidR="00F114D5" w:rsidRPr="00862033" w:rsidRDefault="00F114D5" w:rsidP="00862033">
            <w:pPr>
              <w:spacing w:before="0" w:after="0"/>
              <w:jc w:val="center"/>
              <w:rPr>
                <w:rFonts w:cs="Arial"/>
                <w:b w:val="0"/>
                <w:bCs/>
                <w:sz w:val="20"/>
                <w:szCs w:val="20"/>
              </w:rPr>
            </w:pPr>
            <w:r w:rsidRPr="00862033">
              <w:rPr>
                <w:rFonts w:cs="Arial"/>
                <w:bCs/>
                <w:sz w:val="20"/>
                <w:szCs w:val="20"/>
              </w:rPr>
              <w:t>Sun</w:t>
            </w:r>
          </w:p>
        </w:tc>
        <w:tc>
          <w:tcPr>
            <w:tcW w:w="523" w:type="pct"/>
            <w:tcBorders>
              <w:bottom w:val="nil"/>
            </w:tcBorders>
            <w:vAlign w:val="center"/>
          </w:tcPr>
          <w:p w:rsidR="00F114D5" w:rsidRPr="00862033" w:rsidRDefault="00F114D5" w:rsidP="00862033">
            <w:pPr>
              <w:spacing w:before="0" w:after="0"/>
              <w:jc w:val="center"/>
              <w:rPr>
                <w:rFonts w:cs="Arial"/>
                <w:b w:val="0"/>
                <w:bCs/>
                <w:sz w:val="20"/>
                <w:szCs w:val="20"/>
              </w:rPr>
            </w:pPr>
            <w:r w:rsidRPr="00862033">
              <w:rPr>
                <w:rFonts w:cs="Arial"/>
                <w:bCs/>
                <w:sz w:val="20"/>
                <w:szCs w:val="20"/>
              </w:rPr>
              <w:t>Mon</w:t>
            </w:r>
          </w:p>
        </w:tc>
        <w:tc>
          <w:tcPr>
            <w:tcW w:w="606" w:type="pct"/>
            <w:tcBorders>
              <w:bottom w:val="nil"/>
            </w:tcBorders>
            <w:vAlign w:val="center"/>
          </w:tcPr>
          <w:p w:rsidR="00F114D5" w:rsidRPr="00862033" w:rsidRDefault="00F114D5" w:rsidP="00862033">
            <w:pPr>
              <w:spacing w:before="0" w:after="0"/>
              <w:jc w:val="center"/>
              <w:rPr>
                <w:rFonts w:cs="Arial"/>
                <w:b w:val="0"/>
                <w:bCs/>
                <w:sz w:val="20"/>
                <w:szCs w:val="20"/>
              </w:rPr>
            </w:pPr>
            <w:r w:rsidRPr="00862033">
              <w:rPr>
                <w:rFonts w:cs="Arial"/>
                <w:bCs/>
                <w:sz w:val="20"/>
                <w:szCs w:val="20"/>
              </w:rPr>
              <w:t>Tue</w:t>
            </w:r>
          </w:p>
        </w:tc>
        <w:tc>
          <w:tcPr>
            <w:tcW w:w="532" w:type="pct"/>
            <w:tcBorders>
              <w:bottom w:val="nil"/>
            </w:tcBorders>
            <w:vAlign w:val="center"/>
          </w:tcPr>
          <w:p w:rsidR="00F114D5" w:rsidRPr="00862033" w:rsidRDefault="00F114D5" w:rsidP="00862033">
            <w:pPr>
              <w:spacing w:before="0" w:after="0"/>
              <w:jc w:val="center"/>
              <w:rPr>
                <w:rFonts w:cs="Arial"/>
                <w:b w:val="0"/>
                <w:bCs/>
                <w:sz w:val="20"/>
                <w:szCs w:val="20"/>
              </w:rPr>
            </w:pPr>
            <w:r w:rsidRPr="00862033">
              <w:rPr>
                <w:rFonts w:cs="Arial"/>
                <w:bCs/>
                <w:sz w:val="20"/>
                <w:szCs w:val="20"/>
              </w:rPr>
              <w:t>Wed</w:t>
            </w:r>
          </w:p>
        </w:tc>
        <w:tc>
          <w:tcPr>
            <w:tcW w:w="525" w:type="pct"/>
            <w:tcBorders>
              <w:bottom w:val="nil"/>
            </w:tcBorders>
            <w:vAlign w:val="center"/>
          </w:tcPr>
          <w:p w:rsidR="00F114D5" w:rsidRPr="00862033" w:rsidRDefault="00F114D5" w:rsidP="00862033">
            <w:pPr>
              <w:spacing w:before="0" w:after="0"/>
              <w:jc w:val="center"/>
              <w:rPr>
                <w:rFonts w:cs="Arial"/>
                <w:b w:val="0"/>
                <w:bCs/>
                <w:sz w:val="20"/>
                <w:szCs w:val="20"/>
              </w:rPr>
            </w:pPr>
            <w:r w:rsidRPr="00862033">
              <w:rPr>
                <w:rFonts w:cs="Arial"/>
                <w:bCs/>
                <w:sz w:val="20"/>
                <w:szCs w:val="20"/>
              </w:rPr>
              <w:t>Thu</w:t>
            </w:r>
          </w:p>
        </w:tc>
        <w:tc>
          <w:tcPr>
            <w:tcW w:w="522" w:type="pct"/>
            <w:tcBorders>
              <w:bottom w:val="nil"/>
            </w:tcBorders>
            <w:vAlign w:val="center"/>
            <w:hideMark/>
          </w:tcPr>
          <w:p w:rsidR="00F114D5" w:rsidRPr="00862033" w:rsidRDefault="00F114D5" w:rsidP="00862033">
            <w:pPr>
              <w:spacing w:before="0" w:after="0"/>
              <w:jc w:val="center"/>
              <w:rPr>
                <w:rFonts w:cs="Arial"/>
                <w:b w:val="0"/>
                <w:bCs/>
                <w:sz w:val="20"/>
                <w:szCs w:val="20"/>
              </w:rPr>
            </w:pPr>
            <w:r w:rsidRPr="00862033">
              <w:rPr>
                <w:rFonts w:cs="Arial"/>
                <w:bCs/>
                <w:sz w:val="20"/>
                <w:szCs w:val="20"/>
              </w:rPr>
              <w:t>Fri</w:t>
            </w:r>
          </w:p>
        </w:tc>
        <w:tc>
          <w:tcPr>
            <w:tcW w:w="595" w:type="pct"/>
            <w:tcBorders>
              <w:bottom w:val="nil"/>
            </w:tcBorders>
            <w:vAlign w:val="center"/>
            <w:hideMark/>
          </w:tcPr>
          <w:p w:rsidR="00F114D5" w:rsidRPr="00862033" w:rsidRDefault="00F114D5" w:rsidP="00862033">
            <w:pPr>
              <w:spacing w:before="0" w:after="0"/>
              <w:jc w:val="center"/>
              <w:rPr>
                <w:rFonts w:cs="Arial"/>
                <w:b w:val="0"/>
                <w:bCs/>
                <w:sz w:val="20"/>
                <w:szCs w:val="20"/>
              </w:rPr>
            </w:pPr>
            <w:r w:rsidRPr="00862033">
              <w:rPr>
                <w:rFonts w:cs="Arial"/>
                <w:bCs/>
                <w:sz w:val="20"/>
                <w:szCs w:val="20"/>
              </w:rPr>
              <w:t>Sat</w:t>
            </w:r>
          </w:p>
        </w:tc>
      </w:tr>
      <w:tr w:rsidR="009C782A" w:rsidRPr="00405CDE" w:rsidTr="00F114D5">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3.99</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4.15</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4.31</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4.00</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3.82</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3.50</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3.97</w:t>
            </w:r>
          </w:p>
        </w:tc>
      </w:tr>
      <w:tr w:rsidR="009C782A"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quantity (TJ)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175</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207</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224</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222</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220</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209</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178</w:t>
            </w:r>
          </w:p>
        </w:tc>
      </w:tr>
      <w:tr w:rsidR="009C782A" w:rsidRPr="00405CDE" w:rsidTr="00F114D5">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post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4.00</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4.15</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4.70</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4.00</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3.26</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3.42</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3.97</w:t>
            </w:r>
          </w:p>
        </w:tc>
      </w:tr>
      <w:tr w:rsidR="009C782A"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C782A" w:rsidRDefault="009C782A">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177</w:t>
            </w:r>
          </w:p>
        </w:tc>
        <w:tc>
          <w:tcPr>
            <w:tcW w:w="523"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205</w:t>
            </w:r>
          </w:p>
        </w:tc>
        <w:tc>
          <w:tcPr>
            <w:tcW w:w="606"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225</w:t>
            </w:r>
          </w:p>
        </w:tc>
        <w:tc>
          <w:tcPr>
            <w:tcW w:w="53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225</w:t>
            </w:r>
          </w:p>
        </w:tc>
        <w:tc>
          <w:tcPr>
            <w:tcW w:w="52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213</w:t>
            </w:r>
          </w:p>
        </w:tc>
        <w:tc>
          <w:tcPr>
            <w:tcW w:w="52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200</w:t>
            </w:r>
          </w:p>
        </w:tc>
        <w:tc>
          <w:tcPr>
            <w:tcW w:w="59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177</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BE3A41" w:rsidP="00362B9A">
      <w:r>
        <w:pict>
          <v:shape id="_x0000_i1096" type="#_x0000_t75" alt="Figure 2.2 shows the daily hub offers and bid in within certain price bands in Sydney this week. The line indicates the scheduled quantity for each day. For a more detailed description of this figure, please refer to the user guide." style="width:475.85pt;height:170.9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BE3A41" w:rsidP="00362B9A">
      <w:r>
        <w:pict>
          <v:shape id="_x0000_i1097" type="#_x0000_t75" alt="Figure 2.3 shows the daily scheduled and allocated quantities sorted by facility for Sydney this week. For a more detailed description of this figure, please refer to the user guide." style="width:477.7pt;height:213.5pt">
            <v:imagedata r:id="rId21"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BE3A41" w:rsidP="00362B9A">
      <w:r>
        <w:pict>
          <v:shape id="_x0000_i1098"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85pt;height:180.3pt">
            <v:imagedata r:id="rId22"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862033">
        <w:trPr>
          <w:cnfStyle w:val="100000000000" w:firstRow="1" w:lastRow="0" w:firstColumn="0" w:lastColumn="0" w:oddVBand="0" w:evenVBand="0" w:oddHBand="0" w:evenHBand="0" w:firstRowFirstColumn="0" w:firstRowLastColumn="0" w:lastRowFirstColumn="0" w:lastRowLastColumn="0"/>
          <w:trHeight w:val="567"/>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Sat</w:t>
            </w:r>
          </w:p>
        </w:tc>
      </w:tr>
      <w:tr w:rsidR="009C782A" w:rsidRPr="00405CDE" w:rsidTr="00260F88">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5.18</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4.23</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4.16</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4.16</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4.27</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4.12</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4.27</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quantity (TJ)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41</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57</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57</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55</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53</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53</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43</w:t>
            </w:r>
          </w:p>
        </w:tc>
      </w:tr>
      <w:tr w:rsidR="009C782A" w:rsidRPr="00405CDE" w:rsidTr="00260F88">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post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5.20</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4.23</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4.20</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4.42</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4.80</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5.03</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4.27</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C782A" w:rsidRDefault="009C782A">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45</w:t>
            </w:r>
          </w:p>
        </w:tc>
        <w:tc>
          <w:tcPr>
            <w:tcW w:w="523"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57</w:t>
            </w:r>
          </w:p>
        </w:tc>
        <w:tc>
          <w:tcPr>
            <w:tcW w:w="606"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61</w:t>
            </w:r>
          </w:p>
        </w:tc>
        <w:tc>
          <w:tcPr>
            <w:tcW w:w="53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62</w:t>
            </w:r>
          </w:p>
        </w:tc>
        <w:tc>
          <w:tcPr>
            <w:tcW w:w="52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64</w:t>
            </w:r>
          </w:p>
        </w:tc>
        <w:tc>
          <w:tcPr>
            <w:tcW w:w="52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66</w:t>
            </w:r>
          </w:p>
        </w:tc>
        <w:tc>
          <w:tcPr>
            <w:tcW w:w="59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44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BE3A41" w:rsidP="00362B9A">
      <w:r>
        <w:pict>
          <v:shape id="_x0000_i1099" type="#_x0000_t75" alt="Figure 3.2 shows the daily hub offers and bid in within certain price bands in Adelaide this week. The line indicates the scheduled quantity for each day. For a more detailed description of this figure, please refer to the user guide." style="width:475.85pt;height:170.3pt;mso-position-vertical:absolute">
            <v:imagedata r:id="rId23"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Default="00BE3A41" w:rsidP="00362B9A">
      <w:r>
        <w:pict>
          <v:shape id="_x0000_i1100" type="#_x0000_t75" alt="Figure 3.3 shows the daily scheduled and allocated quantities sorted by facility for Adelaide this week. For a more detailed description of this figure, please refer to the user guide." style="width:477.7pt;height:105.2pt">
            <v:imagedata r:id="rId24" o:title=""/>
          </v:shape>
        </w:pict>
      </w:r>
    </w:p>
    <w:p w:rsidR="00BC18FB" w:rsidRPr="00DD0358" w:rsidRDefault="004560B0" w:rsidP="004B68EB">
      <w:pPr>
        <w:pStyle w:val="Heading4"/>
        <w:ind w:left="0" w:firstLine="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BE3A41" w:rsidP="004B68EB">
      <w:pPr>
        <w:keepNext/>
      </w:pPr>
      <w:r>
        <w:pict>
          <v:shape id="_x0000_i1101"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45pt;height:150.25pt">
            <v:imagedata r:id="rId25" o:title=""/>
          </v:shape>
        </w:pict>
      </w:r>
    </w:p>
    <w:p w:rsidR="00BC18FB" w:rsidRDefault="00BC18FB" w:rsidP="003625A6">
      <w:pPr>
        <w:pStyle w:val="Heading3"/>
        <w:ind w:firstLine="0"/>
        <w:rPr>
          <w:color w:val="2272A3"/>
          <w:sz w:val="32"/>
          <w:szCs w:val="32"/>
        </w:rPr>
      </w:pPr>
      <w:r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862033">
        <w:trPr>
          <w:cnfStyle w:val="100000000000" w:firstRow="1" w:lastRow="0" w:firstColumn="0" w:lastColumn="0" w:oddVBand="0" w:evenVBand="0" w:oddHBand="0" w:evenHBand="0" w:firstRowFirstColumn="0" w:firstRowLastColumn="0" w:lastRowFirstColumn="0" w:lastRowLastColumn="0"/>
          <w:trHeight w:val="567"/>
          <w:tblHeader/>
        </w:trPr>
        <w:tc>
          <w:tcPr>
            <w:tcW w:w="1100" w:type="pct"/>
            <w:tcBorders>
              <w:bottom w:val="nil"/>
            </w:tcBorders>
            <w:vAlign w:val="center"/>
            <w:hideMark/>
          </w:tcPr>
          <w:p w:rsidR="00F114D5" w:rsidRPr="00DC24BF" w:rsidRDefault="00F114D5" w:rsidP="00862033">
            <w:pPr>
              <w:pStyle w:val="TableHeading"/>
              <w:spacing w:before="0" w:after="0"/>
              <w:jc w:val="center"/>
              <w:rPr>
                <w:rFonts w:cs="Arial"/>
                <w:sz w:val="20"/>
                <w:szCs w:val="20"/>
              </w:rPr>
            </w:pPr>
          </w:p>
        </w:tc>
        <w:tc>
          <w:tcPr>
            <w:tcW w:w="597"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vAlign w:val="center"/>
          </w:tcPr>
          <w:p w:rsidR="00F114D5" w:rsidRPr="00442756" w:rsidRDefault="00F114D5" w:rsidP="00862033">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vAlign w:val="center"/>
            <w:hideMark/>
          </w:tcPr>
          <w:p w:rsidR="00F114D5" w:rsidRPr="00442756" w:rsidRDefault="00F114D5" w:rsidP="00862033">
            <w:pPr>
              <w:spacing w:before="0" w:after="0"/>
              <w:jc w:val="center"/>
              <w:rPr>
                <w:rFonts w:cs="Arial"/>
                <w:b w:val="0"/>
                <w:bCs/>
                <w:sz w:val="20"/>
                <w:szCs w:val="20"/>
              </w:rPr>
            </w:pPr>
            <w:r w:rsidRPr="00442756">
              <w:rPr>
                <w:rFonts w:cs="Arial"/>
                <w:bCs/>
                <w:sz w:val="20"/>
                <w:szCs w:val="20"/>
              </w:rPr>
              <w:t>Sat</w:t>
            </w:r>
          </w:p>
        </w:tc>
      </w:tr>
      <w:tr w:rsidR="009C782A" w:rsidRPr="00405CDE" w:rsidTr="00260F88">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3.10</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4.10</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3.90</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3.44</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2.60</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2.20</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2.61</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ante quantity (TJ)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76</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92</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94</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96</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96</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90</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78</w:t>
            </w:r>
          </w:p>
        </w:tc>
      </w:tr>
      <w:tr w:rsidR="009C782A" w:rsidRPr="00405CDE" w:rsidTr="00260F88">
        <w:trPr>
          <w:trHeight w:val="510"/>
        </w:trPr>
        <w:tc>
          <w:tcPr>
            <w:tcW w:w="1100" w:type="pct"/>
            <w:tcBorders>
              <w:top w:val="nil"/>
              <w:bottom w:val="nil"/>
            </w:tcBorders>
            <w:vAlign w:val="center"/>
          </w:tcPr>
          <w:p w:rsidR="009C782A" w:rsidRDefault="009C782A">
            <w:pPr>
              <w:rPr>
                <w:rFonts w:cs="Arial"/>
                <w:sz w:val="20"/>
                <w:szCs w:val="20"/>
              </w:rPr>
            </w:pPr>
            <w:r>
              <w:rPr>
                <w:rFonts w:cs="Arial"/>
                <w:sz w:val="20"/>
                <w:szCs w:val="20"/>
              </w:rPr>
              <w:t>Ex post price ($/GJ)</w:t>
            </w:r>
          </w:p>
        </w:tc>
        <w:tc>
          <w:tcPr>
            <w:tcW w:w="597" w:type="pct"/>
            <w:tcBorders>
              <w:top w:val="nil"/>
              <w:bottom w:val="nil"/>
            </w:tcBorders>
            <w:vAlign w:val="center"/>
          </w:tcPr>
          <w:p w:rsidR="009C782A" w:rsidRDefault="009C782A">
            <w:pPr>
              <w:jc w:val="center"/>
              <w:rPr>
                <w:rFonts w:cs="Arial"/>
                <w:sz w:val="20"/>
                <w:szCs w:val="20"/>
              </w:rPr>
            </w:pPr>
            <w:r>
              <w:rPr>
                <w:rFonts w:cs="Arial"/>
                <w:sz w:val="20"/>
                <w:szCs w:val="20"/>
              </w:rPr>
              <w:t>3.43</w:t>
            </w:r>
          </w:p>
        </w:tc>
        <w:tc>
          <w:tcPr>
            <w:tcW w:w="523" w:type="pct"/>
            <w:tcBorders>
              <w:top w:val="nil"/>
              <w:bottom w:val="nil"/>
            </w:tcBorders>
            <w:vAlign w:val="center"/>
          </w:tcPr>
          <w:p w:rsidR="009C782A" w:rsidRDefault="009C782A">
            <w:pPr>
              <w:jc w:val="center"/>
              <w:rPr>
                <w:rFonts w:cs="Arial"/>
                <w:sz w:val="20"/>
                <w:szCs w:val="20"/>
              </w:rPr>
            </w:pPr>
            <w:r>
              <w:rPr>
                <w:rFonts w:cs="Arial"/>
                <w:sz w:val="20"/>
                <w:szCs w:val="20"/>
              </w:rPr>
              <w:t>4.59</w:t>
            </w:r>
          </w:p>
        </w:tc>
        <w:tc>
          <w:tcPr>
            <w:tcW w:w="606" w:type="pct"/>
            <w:tcBorders>
              <w:top w:val="nil"/>
              <w:bottom w:val="nil"/>
            </w:tcBorders>
            <w:vAlign w:val="center"/>
          </w:tcPr>
          <w:p w:rsidR="009C782A" w:rsidRDefault="009C782A">
            <w:pPr>
              <w:jc w:val="center"/>
              <w:rPr>
                <w:rFonts w:cs="Arial"/>
                <w:sz w:val="20"/>
                <w:szCs w:val="20"/>
              </w:rPr>
            </w:pPr>
            <w:r>
              <w:rPr>
                <w:rFonts w:cs="Arial"/>
                <w:sz w:val="20"/>
                <w:szCs w:val="20"/>
              </w:rPr>
              <w:t>3.74</w:t>
            </w:r>
          </w:p>
        </w:tc>
        <w:tc>
          <w:tcPr>
            <w:tcW w:w="532" w:type="pct"/>
            <w:tcBorders>
              <w:top w:val="nil"/>
              <w:bottom w:val="nil"/>
            </w:tcBorders>
            <w:vAlign w:val="center"/>
          </w:tcPr>
          <w:p w:rsidR="009C782A" w:rsidRDefault="009C782A">
            <w:pPr>
              <w:jc w:val="center"/>
              <w:rPr>
                <w:rFonts w:cs="Arial"/>
                <w:sz w:val="20"/>
                <w:szCs w:val="20"/>
              </w:rPr>
            </w:pPr>
            <w:r>
              <w:rPr>
                <w:rFonts w:cs="Arial"/>
                <w:sz w:val="20"/>
                <w:szCs w:val="20"/>
              </w:rPr>
              <w:t>3.44</w:t>
            </w:r>
          </w:p>
        </w:tc>
        <w:tc>
          <w:tcPr>
            <w:tcW w:w="525" w:type="pct"/>
            <w:tcBorders>
              <w:top w:val="nil"/>
              <w:bottom w:val="nil"/>
            </w:tcBorders>
            <w:vAlign w:val="center"/>
          </w:tcPr>
          <w:p w:rsidR="009C782A" w:rsidRDefault="009C782A">
            <w:pPr>
              <w:jc w:val="center"/>
              <w:rPr>
                <w:rFonts w:cs="Arial"/>
                <w:sz w:val="20"/>
                <w:szCs w:val="20"/>
              </w:rPr>
            </w:pPr>
            <w:r>
              <w:rPr>
                <w:rFonts w:cs="Arial"/>
                <w:sz w:val="20"/>
                <w:szCs w:val="20"/>
              </w:rPr>
              <w:t>3.40</w:t>
            </w:r>
          </w:p>
        </w:tc>
        <w:tc>
          <w:tcPr>
            <w:tcW w:w="522" w:type="pct"/>
            <w:tcBorders>
              <w:top w:val="nil"/>
              <w:bottom w:val="nil"/>
            </w:tcBorders>
            <w:vAlign w:val="center"/>
          </w:tcPr>
          <w:p w:rsidR="009C782A" w:rsidRDefault="009C782A">
            <w:pPr>
              <w:jc w:val="center"/>
              <w:rPr>
                <w:rFonts w:cs="Arial"/>
                <w:sz w:val="20"/>
                <w:szCs w:val="20"/>
              </w:rPr>
            </w:pPr>
            <w:r>
              <w:rPr>
                <w:rFonts w:cs="Arial"/>
                <w:sz w:val="20"/>
                <w:szCs w:val="20"/>
              </w:rPr>
              <w:t>2.50</w:t>
            </w:r>
          </w:p>
        </w:tc>
        <w:tc>
          <w:tcPr>
            <w:tcW w:w="595" w:type="pct"/>
            <w:tcBorders>
              <w:top w:val="nil"/>
              <w:bottom w:val="nil"/>
            </w:tcBorders>
            <w:vAlign w:val="center"/>
          </w:tcPr>
          <w:p w:rsidR="009C782A" w:rsidRDefault="009C782A">
            <w:pPr>
              <w:jc w:val="center"/>
              <w:rPr>
                <w:rFonts w:cs="Arial"/>
                <w:sz w:val="20"/>
                <w:szCs w:val="20"/>
              </w:rPr>
            </w:pPr>
            <w:r>
              <w:rPr>
                <w:rFonts w:cs="Arial"/>
                <w:sz w:val="20"/>
                <w:szCs w:val="20"/>
              </w:rPr>
              <w:t>2.61</w:t>
            </w:r>
          </w:p>
        </w:tc>
      </w:tr>
      <w:tr w:rsidR="009C782A" w:rsidRPr="00405CDE" w:rsidTr="00260F88">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9C782A" w:rsidRDefault="009C782A">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78</w:t>
            </w:r>
          </w:p>
        </w:tc>
        <w:tc>
          <w:tcPr>
            <w:tcW w:w="523"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93</w:t>
            </w:r>
          </w:p>
        </w:tc>
        <w:tc>
          <w:tcPr>
            <w:tcW w:w="606"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92</w:t>
            </w:r>
          </w:p>
        </w:tc>
        <w:tc>
          <w:tcPr>
            <w:tcW w:w="53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96</w:t>
            </w:r>
          </w:p>
        </w:tc>
        <w:tc>
          <w:tcPr>
            <w:tcW w:w="52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99</w:t>
            </w:r>
          </w:p>
        </w:tc>
        <w:tc>
          <w:tcPr>
            <w:tcW w:w="522"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93</w:t>
            </w:r>
          </w:p>
        </w:tc>
        <w:tc>
          <w:tcPr>
            <w:tcW w:w="595" w:type="pct"/>
            <w:tcBorders>
              <w:top w:val="nil"/>
              <w:bottom w:val="single" w:sz="4" w:space="0" w:color="auto"/>
            </w:tcBorders>
            <w:vAlign w:val="center"/>
          </w:tcPr>
          <w:p w:rsidR="009C782A" w:rsidRDefault="009C782A">
            <w:pPr>
              <w:jc w:val="center"/>
              <w:rPr>
                <w:rFonts w:cs="Arial"/>
                <w:sz w:val="20"/>
                <w:szCs w:val="20"/>
              </w:rPr>
            </w:pPr>
            <w:r>
              <w:rPr>
                <w:rFonts w:cs="Arial"/>
                <w:sz w:val="20"/>
                <w:szCs w:val="20"/>
              </w:rPr>
              <w:t>79</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BE3A41" w:rsidP="00362B9A">
      <w:r>
        <w:pict>
          <v:shape id="_x0000_i1102" type="#_x0000_t75" alt="Figure 4.2 shows the daily hub offers and bid in within certain price bands in Brisbane this week. The line indicates the scheduled quantity for each day. For a more detailed description of this figure, please refer to the user guide." style="width:475.85pt;height:170.9pt;mso-position-vertical:absolute">
            <v:imagedata r:id="rId26"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Default="00BE3A41" w:rsidP="00362B9A">
      <w:r>
        <w:pict>
          <v:shape id="_x0000_i1103" type="#_x0000_t75" alt="Figure 4.3 shows the daily scheduled and allocated quantities sorted by facility for Brisbane this week. For a more detailed description of this figure, please refer to the user guide." style="width:477.1pt;height:98.9pt">
            <v:imagedata r:id="rId27"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BE3A41" w:rsidP="00362B9A">
      <w:r>
        <w:pict>
          <v:shape id="_x0000_i1104"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85pt;height:156.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2"/>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BE3A41" w:rsidP="00FB3934">
      <w:r>
        <w:rPr>
          <w:noProof/>
        </w:rPr>
        <w:pict>
          <v:shape id="_x0000_i1105"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8.15pt;height:548.45pt;visibility:visible;mso-wrap-style:square">
            <v:imagedata r:id="rId29"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3"/>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9C782A" w:rsidRDefault="009C782A" w:rsidP="00345444">
      <w:pPr>
        <w:jc w:val="both"/>
        <w:rPr>
          <w:rFonts w:eastAsia="MS Mincho"/>
        </w:rPr>
      </w:pPr>
      <w:r w:rsidRPr="009C782A">
        <w:rPr>
          <w:rFonts w:eastAsia="MS Mincho"/>
        </w:rPr>
        <w:t>There were 8 trades this week at a volume weighted price of $2.40/GJ</w:t>
      </w:r>
      <w:r w:rsidR="00D63F5C">
        <w:rPr>
          <w:rFonts w:eastAsia="MS Mincho"/>
        </w:rPr>
        <w:t>. These trades were</w:t>
      </w:r>
      <w:r w:rsidRPr="009C782A">
        <w:rPr>
          <w:rFonts w:eastAsia="MS Mincho"/>
        </w:rPr>
        <w:t xml:space="preserve"> split evenly </w:t>
      </w:r>
      <w:r w:rsidR="00A704FF">
        <w:rPr>
          <w:rFonts w:eastAsia="MS Mincho"/>
        </w:rPr>
        <w:t xml:space="preserve">across </w:t>
      </w:r>
      <w:r w:rsidR="00862033">
        <w:rPr>
          <w:rFonts w:eastAsia="MS Mincho"/>
        </w:rPr>
        <w:t>the RBP and the SWQP</w:t>
      </w:r>
      <w:r w:rsidR="00D63F5C">
        <w:rPr>
          <w:rFonts w:eastAsia="MS Mincho"/>
        </w:rPr>
        <w:t xml:space="preserve"> and </w:t>
      </w:r>
      <w:r w:rsidRPr="009C782A">
        <w:rPr>
          <w:rFonts w:eastAsia="MS Mincho"/>
        </w:rPr>
        <w:t>between daily and day-ahead products. Volumes weighted prices for the RBP and SWQP were $2.69/GJ and $2.35/GJ respectively.</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4"/>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BE3A41" w:rsidP="00E37A86">
      <w:r>
        <w:rPr>
          <w:rFonts w:eastAsia="MS Mincho"/>
        </w:rPr>
        <w:pict>
          <v:shape id="_x0000_i1041" type="#_x0000_t75" alt="Figure 6.1 shows the daily volume of gas traded on each pipeline in the Wallumbilla Gas Supply Hub. The quantities displayed are shown for both the day the gas is traded over the current week and the gas day on which gas has been shipped." style="width:475.85pt;height:200.95pt">
            <v:imagedata r:id="rId30" o:title=""/>
          </v:shape>
        </w:pict>
      </w:r>
      <w:r w:rsidR="00E37A86" w:rsidRPr="006520EE">
        <w:t xml:space="preserve"> </w:t>
      </w:r>
    </w:p>
    <w:sectPr w:rsidR="009E74E3" w:rsidRPr="006520EE" w:rsidSect="00D635F1">
      <w:headerReference w:type="even" r:id="rId31"/>
      <w:headerReference w:type="default" r:id="rId32"/>
      <w:footerReference w:type="even" r:id="rId33"/>
      <w:footerReference w:type="default" r:id="rId34"/>
      <w:headerReference w:type="first" r:id="rId35"/>
      <w:footerReference w:type="first" r:id="rId36"/>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F88" w:rsidRDefault="00260F88">
      <w:r>
        <w:separator/>
      </w:r>
    </w:p>
  </w:endnote>
  <w:endnote w:type="continuationSeparator" w:id="0">
    <w:p w:rsidR="00260F88" w:rsidRDefault="00260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EB" w:rsidRDefault="004B68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F88" w:rsidRDefault="00260F88" w:rsidP="00D22793">
    <w:pPr>
      <w:pBdr>
        <w:top w:val="single" w:sz="4" w:space="0" w:color="auto"/>
      </w:pBdr>
      <w:ind w:left="-284" w:right="-329" w:firstLine="284"/>
      <w:jc w:val="center"/>
      <w:rPr>
        <w:i/>
        <w:sz w:val="16"/>
        <w:szCs w:val="16"/>
      </w:rPr>
    </w:pPr>
    <w:r>
      <w:rPr>
        <w:i/>
        <w:sz w:val="20"/>
      </w:rPr>
      <w:t>© Commonwealth of Australia.</w:t>
    </w:r>
  </w:p>
  <w:p w:rsidR="00260F88" w:rsidRDefault="00260F88" w:rsidP="005A77AC">
    <w:pPr>
      <w:jc w:val="center"/>
    </w:pPr>
    <w:r>
      <w:fldChar w:fldCharType="begin"/>
    </w:r>
    <w:r>
      <w:instrText xml:space="preserve"> PAGE  \* MERGEFORMAT </w:instrText>
    </w:r>
    <w:r>
      <w:fldChar w:fldCharType="separate"/>
    </w:r>
    <w:r w:rsidR="00C824D9">
      <w:rPr>
        <w:noProof/>
      </w:rPr>
      <w:t>11</w:t>
    </w:r>
    <w:r>
      <w:fldChar w:fldCharType="end"/>
    </w:r>
  </w:p>
  <w:p w:rsidR="00260F88" w:rsidRDefault="00260F88" w:rsidP="0035758F">
    <w:pPr>
      <w:pStyle w:val="Footer"/>
      <w:pBdr>
        <w:top w:val="none" w:sz="0" w:space="0"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F88" w:rsidRDefault="00260F88" w:rsidP="00491029">
    <w:pPr>
      <w:pBdr>
        <w:top w:val="single" w:sz="4" w:space="0" w:color="auto"/>
      </w:pBdr>
      <w:ind w:left="-284" w:right="-329" w:firstLine="284"/>
      <w:jc w:val="center"/>
      <w:rPr>
        <w:i/>
        <w:sz w:val="20"/>
      </w:rPr>
    </w:pPr>
    <w:r>
      <w:rPr>
        <w:i/>
        <w:sz w:val="20"/>
      </w:rPr>
      <w:t>© Commonwealth of Australia.</w:t>
    </w:r>
  </w:p>
  <w:p w:rsidR="00260F88" w:rsidRPr="002D773A" w:rsidRDefault="00260F88" w:rsidP="00491029">
    <w:pPr>
      <w:jc w:val="center"/>
    </w:pPr>
    <w:r>
      <w:fldChar w:fldCharType="begin"/>
    </w:r>
    <w:r>
      <w:instrText xml:space="preserve"> PAGE  \* MERGEFORMAT </w:instrText>
    </w:r>
    <w:r>
      <w:fldChar w:fldCharType="separate"/>
    </w:r>
    <w:r w:rsidR="004B68EB">
      <w:rPr>
        <w:noProof/>
      </w:rPr>
      <w:t>1</w:t>
    </w:r>
    <w:r>
      <w:fldChar w:fldCharType="end"/>
    </w:r>
  </w:p>
  <w:p w:rsidR="00260F88" w:rsidRDefault="00260F88" w:rsidP="00491029">
    <w:pPr>
      <w:pStyle w:val="Footer"/>
      <w:jc w:val="right"/>
    </w:pPr>
    <w:r w:rsidRPr="00F52F00">
      <w:rPr>
        <w:rFonts w:cs="Arial"/>
        <w:i/>
      </w:rPr>
      <w:t>AER reference: 392</w:t>
    </w:r>
    <w:r>
      <w:rPr>
        <w:rFonts w:cs="Arial"/>
        <w:i/>
      </w:rPr>
      <w:t>7</w:t>
    </w:r>
    <w:r w:rsidRPr="00F52F00">
      <w:rPr>
        <w:rFonts w:cs="Arial"/>
        <w:i/>
      </w:rPr>
      <w:t xml:space="preserve">0 </w:t>
    </w:r>
    <w:r w:rsidRPr="00B07872">
      <w:rPr>
        <w:rFonts w:cs="Arial"/>
        <w:i/>
      </w:rPr>
      <w:t>– D15/167795</w:t>
    </w:r>
  </w:p>
  <w:p w:rsidR="00260F88" w:rsidRDefault="00260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F88" w:rsidRDefault="00260F88">
      <w:r>
        <w:separator/>
      </w:r>
    </w:p>
  </w:footnote>
  <w:footnote w:type="continuationSeparator" w:id="0">
    <w:p w:rsidR="00260F88" w:rsidRDefault="00260F88">
      <w:r>
        <w:continuationSeparator/>
      </w:r>
    </w:p>
  </w:footnote>
  <w:footnote w:id="1">
    <w:p w:rsidR="00260F88" w:rsidRPr="00A514B8" w:rsidRDefault="00260F88" w:rsidP="00DC1154">
      <w:pPr>
        <w:pStyle w:val="FootnoteText"/>
        <w:jc w:val="both"/>
        <w:rPr>
          <w:sz w:val="18"/>
        </w:rPr>
      </w:pPr>
      <w:r>
        <w:rPr>
          <w:rStyle w:val="FootnoteReference"/>
        </w:rPr>
        <w:footnoteRef/>
      </w:r>
      <w:r>
        <w:t xml:space="preserve"> </w:t>
      </w:r>
      <w:r>
        <w:tab/>
      </w:r>
      <w:r w:rsidRPr="00A514B8">
        <w:rPr>
          <w:sz w:val="18"/>
        </w:rPr>
        <w:t xml:space="preserve">This addition now requires submission of data for the relevant facilities, including Standing Capacities, </w:t>
      </w:r>
      <w:proofErr w:type="spellStart"/>
      <w:r w:rsidRPr="00A514B8">
        <w:rPr>
          <w:sz w:val="18"/>
        </w:rPr>
        <w:t>Linepack</w:t>
      </w:r>
      <w:proofErr w:type="spellEnd"/>
      <w:r w:rsidRPr="00A514B8">
        <w:rPr>
          <w:sz w:val="18"/>
        </w:rPr>
        <w:t xml:space="preserve"> Capacity Adequacy (LCA) flags, Capacity Outlooks, Delivery Nominations and Actual Flow data.</w:t>
      </w:r>
    </w:p>
  </w:footnote>
  <w:footnote w:id="2">
    <w:p w:rsidR="00260F88" w:rsidRPr="00A514B8" w:rsidRDefault="00260F88" w:rsidP="00DC1154">
      <w:pPr>
        <w:pStyle w:val="FootnoteText"/>
        <w:jc w:val="both"/>
        <w:rPr>
          <w:sz w:val="18"/>
        </w:rPr>
      </w:pPr>
      <w:r>
        <w:rPr>
          <w:rStyle w:val="FootnoteReference"/>
        </w:rPr>
        <w:footnoteRef/>
      </w:r>
      <w:r>
        <w:t xml:space="preserve"> </w:t>
      </w:r>
      <w:r>
        <w:tab/>
      </w:r>
      <w:r w:rsidRPr="00A514B8">
        <w:rPr>
          <w:sz w:val="18"/>
        </w:rPr>
        <w:t xml:space="preserve">QCLNG </w:t>
      </w:r>
      <w:r w:rsidR="003831F7">
        <w:rPr>
          <w:sz w:val="18"/>
        </w:rPr>
        <w:t>– (Queensland Gas Company/BG, Tokyo Gas, China National Offshore Corporation)</w:t>
      </w:r>
    </w:p>
  </w:footnote>
  <w:footnote w:id="3">
    <w:p w:rsidR="00260F88" w:rsidRPr="00DC1154" w:rsidRDefault="00260F88" w:rsidP="00DC1154">
      <w:pPr>
        <w:pStyle w:val="FootnoteText"/>
        <w:jc w:val="both"/>
        <w:rPr>
          <w:sz w:val="18"/>
        </w:rPr>
      </w:pPr>
      <w:r>
        <w:rPr>
          <w:rStyle w:val="FootnoteReference"/>
        </w:rPr>
        <w:footnoteRef/>
      </w:r>
      <w:r>
        <w:t xml:space="preserve"> </w:t>
      </w:r>
      <w:r>
        <w:tab/>
      </w:r>
      <w:proofErr w:type="gramStart"/>
      <w:r w:rsidRPr="003831F7">
        <w:rPr>
          <w:sz w:val="18"/>
        </w:rPr>
        <w:t>GLNG</w:t>
      </w:r>
      <w:r w:rsidR="003831F7" w:rsidRPr="003831F7">
        <w:rPr>
          <w:sz w:val="18"/>
        </w:rPr>
        <w:t xml:space="preserve"> </w:t>
      </w:r>
      <w:r w:rsidR="003831F7">
        <w:rPr>
          <w:sz w:val="18"/>
        </w:rPr>
        <w:t xml:space="preserve">– </w:t>
      </w:r>
      <w:r w:rsidR="003831F7" w:rsidRPr="003831F7">
        <w:rPr>
          <w:sz w:val="18"/>
        </w:rPr>
        <w:t>(</w:t>
      </w:r>
      <w:r w:rsidR="00964D32" w:rsidRPr="003831F7">
        <w:rPr>
          <w:sz w:val="18"/>
        </w:rPr>
        <w:t>Santos, Total</w:t>
      </w:r>
      <w:r w:rsidRPr="003831F7">
        <w:rPr>
          <w:sz w:val="18"/>
        </w:rPr>
        <w:t>, PETRONAS and KOGAS</w:t>
      </w:r>
      <w:r>
        <w:rPr>
          <w:sz w:val="18"/>
        </w:rPr>
        <w:t>)</w:t>
      </w:r>
      <w:r w:rsidR="003831F7">
        <w:rPr>
          <w:sz w:val="18"/>
        </w:rPr>
        <w:t>.</w:t>
      </w:r>
      <w:proofErr w:type="gramEnd"/>
    </w:p>
  </w:footnote>
  <w:footnote w:id="4">
    <w:p w:rsidR="00260F88" w:rsidRPr="00DC1154" w:rsidRDefault="00260F88" w:rsidP="00DC1154">
      <w:pPr>
        <w:pStyle w:val="FootnoteText"/>
        <w:jc w:val="both"/>
        <w:rPr>
          <w:sz w:val="18"/>
        </w:rPr>
      </w:pPr>
      <w:r>
        <w:rPr>
          <w:rStyle w:val="FootnoteReference"/>
        </w:rPr>
        <w:footnoteRef/>
      </w:r>
      <w:r>
        <w:t xml:space="preserve"> </w:t>
      </w:r>
      <w:r>
        <w:tab/>
      </w:r>
      <w:proofErr w:type="gramStart"/>
      <w:r w:rsidR="003831F7" w:rsidRPr="003831F7">
        <w:rPr>
          <w:sz w:val="18"/>
        </w:rPr>
        <w:t>Australia Pacific LNG</w:t>
      </w:r>
      <w:r w:rsidR="003831F7" w:rsidRPr="003831F7">
        <w:rPr>
          <w:sz w:val="18"/>
          <w:szCs w:val="18"/>
        </w:rPr>
        <w:t xml:space="preserve"> (</w:t>
      </w:r>
      <w:r>
        <w:rPr>
          <w:sz w:val="18"/>
        </w:rPr>
        <w:t>APLNG</w:t>
      </w:r>
      <w:r w:rsidR="003831F7">
        <w:rPr>
          <w:sz w:val="18"/>
        </w:rPr>
        <w:t>)</w:t>
      </w:r>
      <w:r>
        <w:rPr>
          <w:sz w:val="18"/>
        </w:rPr>
        <w:t xml:space="preserve"> </w:t>
      </w:r>
      <w:r w:rsidR="003831F7">
        <w:rPr>
          <w:sz w:val="18"/>
        </w:rPr>
        <w:t xml:space="preserve">– </w:t>
      </w:r>
      <w:r w:rsidR="003831F7" w:rsidRPr="003831F7">
        <w:rPr>
          <w:sz w:val="18"/>
        </w:rPr>
        <w:t>(</w:t>
      </w:r>
      <w:r w:rsidRPr="003831F7">
        <w:rPr>
          <w:sz w:val="18"/>
        </w:rPr>
        <w:t>Origin, Conoco Phillips, Sinopec).</w:t>
      </w:r>
      <w:proofErr w:type="gramEnd"/>
    </w:p>
  </w:footnote>
  <w:footnote w:id="5">
    <w:p w:rsidR="00260F88" w:rsidRPr="00942640" w:rsidRDefault="00260F88"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6">
    <w:p w:rsidR="00260F88" w:rsidRPr="00EF58A8" w:rsidRDefault="00260F8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7">
    <w:p w:rsidR="00260F88" w:rsidRPr="00EF58A8" w:rsidRDefault="00260F8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8">
    <w:p w:rsidR="00260F88" w:rsidRPr="00EF58A8" w:rsidRDefault="00260F8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9">
    <w:p w:rsidR="00260F88" w:rsidRPr="00362B9A" w:rsidRDefault="00260F8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0">
    <w:p w:rsidR="00260F88" w:rsidRDefault="00260F8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260F88" w:rsidRPr="002E7E9E" w:rsidRDefault="00260F88"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260F88" w:rsidRDefault="00260F88"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260F88" w:rsidRDefault="00260F88"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60F88" w:rsidRPr="002E7E9E" w:rsidRDefault="00260F88"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2">
    <w:p w:rsidR="00260F88" w:rsidRDefault="00260F88"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3">
    <w:p w:rsidR="00260F88" w:rsidRPr="009E74E3" w:rsidRDefault="00260F88"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4">
    <w:p w:rsidR="00260F88" w:rsidRPr="007300C3" w:rsidRDefault="00260F88"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EB" w:rsidRDefault="004B68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EB" w:rsidRDefault="004B68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EB" w:rsidRDefault="004B6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1334B27"/>
    <w:multiLevelType w:val="hybridMultilevel"/>
    <w:tmpl w:val="A1B63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42B3717"/>
    <w:multiLevelType w:val="hybridMultilevel"/>
    <w:tmpl w:val="7206F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7">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9">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10"/>
  </w:num>
  <w:num w:numId="4">
    <w:abstractNumId w:val="19"/>
  </w:num>
  <w:num w:numId="5">
    <w:abstractNumId w:val="2"/>
  </w:num>
  <w:num w:numId="6">
    <w:abstractNumId w:val="16"/>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7"/>
  </w:num>
  <w:num w:numId="20">
    <w:abstractNumId w:val="18"/>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 w:numId="31">
    <w:abstractNumId w:val="14"/>
  </w:num>
  <w:num w:numId="3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1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51025 - 20151031 gas weekly report - new map (D2015-00167795).docx"/>
  </w:docVars>
  <w:rsids>
    <w:rsidRoot w:val="005F18AD"/>
    <w:rsid w:val="000013C1"/>
    <w:rsid w:val="00001BFB"/>
    <w:rsid w:val="00001D97"/>
    <w:rsid w:val="00002313"/>
    <w:rsid w:val="00004A63"/>
    <w:rsid w:val="00010025"/>
    <w:rsid w:val="000123CA"/>
    <w:rsid w:val="00013062"/>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1E9F"/>
    <w:rsid w:val="000F2287"/>
    <w:rsid w:val="000F3B46"/>
    <w:rsid w:val="000F59F8"/>
    <w:rsid w:val="000F5F5E"/>
    <w:rsid w:val="000F6D05"/>
    <w:rsid w:val="00106DB0"/>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0F88"/>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2F76B6"/>
    <w:rsid w:val="0030240F"/>
    <w:rsid w:val="00311A09"/>
    <w:rsid w:val="00314A8B"/>
    <w:rsid w:val="0032174C"/>
    <w:rsid w:val="00323327"/>
    <w:rsid w:val="003262D7"/>
    <w:rsid w:val="00330B70"/>
    <w:rsid w:val="003348F7"/>
    <w:rsid w:val="00336E8E"/>
    <w:rsid w:val="003410C4"/>
    <w:rsid w:val="00345444"/>
    <w:rsid w:val="00347FBB"/>
    <w:rsid w:val="003548AA"/>
    <w:rsid w:val="0035758F"/>
    <w:rsid w:val="00357C72"/>
    <w:rsid w:val="00360AAB"/>
    <w:rsid w:val="003625A6"/>
    <w:rsid w:val="00362B9A"/>
    <w:rsid w:val="003632A4"/>
    <w:rsid w:val="003664D0"/>
    <w:rsid w:val="00366BDF"/>
    <w:rsid w:val="00372976"/>
    <w:rsid w:val="00374CF9"/>
    <w:rsid w:val="003800B4"/>
    <w:rsid w:val="003831F7"/>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15CD8"/>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87152"/>
    <w:rsid w:val="00491029"/>
    <w:rsid w:val="00492501"/>
    <w:rsid w:val="00496CEF"/>
    <w:rsid w:val="004A09D6"/>
    <w:rsid w:val="004A10A7"/>
    <w:rsid w:val="004B068E"/>
    <w:rsid w:val="004B18D8"/>
    <w:rsid w:val="004B2256"/>
    <w:rsid w:val="004B2A1A"/>
    <w:rsid w:val="004B68EB"/>
    <w:rsid w:val="004B6D60"/>
    <w:rsid w:val="004C501E"/>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74FA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77F80"/>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1B16"/>
    <w:rsid w:val="00712ACA"/>
    <w:rsid w:val="00714595"/>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84B18"/>
    <w:rsid w:val="00791198"/>
    <w:rsid w:val="007941C2"/>
    <w:rsid w:val="00795966"/>
    <w:rsid w:val="007966A5"/>
    <w:rsid w:val="007A12DE"/>
    <w:rsid w:val="007A24B5"/>
    <w:rsid w:val="007A51E1"/>
    <w:rsid w:val="007A7E7A"/>
    <w:rsid w:val="007B00E8"/>
    <w:rsid w:val="007B7771"/>
    <w:rsid w:val="007D470C"/>
    <w:rsid w:val="007D4B14"/>
    <w:rsid w:val="007D4F53"/>
    <w:rsid w:val="007E52F7"/>
    <w:rsid w:val="007E5F68"/>
    <w:rsid w:val="007F2C7B"/>
    <w:rsid w:val="0080456D"/>
    <w:rsid w:val="00811D1C"/>
    <w:rsid w:val="008133CF"/>
    <w:rsid w:val="008170C0"/>
    <w:rsid w:val="008344A6"/>
    <w:rsid w:val="0084084A"/>
    <w:rsid w:val="00862033"/>
    <w:rsid w:val="0087252F"/>
    <w:rsid w:val="00875D0C"/>
    <w:rsid w:val="008776EF"/>
    <w:rsid w:val="00882958"/>
    <w:rsid w:val="008936C5"/>
    <w:rsid w:val="00895965"/>
    <w:rsid w:val="008A1040"/>
    <w:rsid w:val="008A6DB5"/>
    <w:rsid w:val="008B4A16"/>
    <w:rsid w:val="008B7161"/>
    <w:rsid w:val="008C0EC8"/>
    <w:rsid w:val="008C268E"/>
    <w:rsid w:val="008C7F3A"/>
    <w:rsid w:val="008D39F4"/>
    <w:rsid w:val="008D4DAB"/>
    <w:rsid w:val="008D70A4"/>
    <w:rsid w:val="008E2239"/>
    <w:rsid w:val="008E24DA"/>
    <w:rsid w:val="008F4BF5"/>
    <w:rsid w:val="008F4D74"/>
    <w:rsid w:val="008F4EAE"/>
    <w:rsid w:val="008F5409"/>
    <w:rsid w:val="00900CEB"/>
    <w:rsid w:val="0090321D"/>
    <w:rsid w:val="00903620"/>
    <w:rsid w:val="009136B3"/>
    <w:rsid w:val="009143E0"/>
    <w:rsid w:val="0091453B"/>
    <w:rsid w:val="00936A7B"/>
    <w:rsid w:val="00937543"/>
    <w:rsid w:val="00940545"/>
    <w:rsid w:val="00942622"/>
    <w:rsid w:val="00942640"/>
    <w:rsid w:val="00950C55"/>
    <w:rsid w:val="00951926"/>
    <w:rsid w:val="00956CE9"/>
    <w:rsid w:val="009629B5"/>
    <w:rsid w:val="00964D32"/>
    <w:rsid w:val="00971F53"/>
    <w:rsid w:val="00976584"/>
    <w:rsid w:val="00987973"/>
    <w:rsid w:val="00990F83"/>
    <w:rsid w:val="009962A0"/>
    <w:rsid w:val="00996E96"/>
    <w:rsid w:val="009A04DD"/>
    <w:rsid w:val="009A3BBA"/>
    <w:rsid w:val="009A4045"/>
    <w:rsid w:val="009B2F99"/>
    <w:rsid w:val="009B323C"/>
    <w:rsid w:val="009B4053"/>
    <w:rsid w:val="009B48FB"/>
    <w:rsid w:val="009B6259"/>
    <w:rsid w:val="009B77E9"/>
    <w:rsid w:val="009B7937"/>
    <w:rsid w:val="009C2C0E"/>
    <w:rsid w:val="009C30E2"/>
    <w:rsid w:val="009C4CBD"/>
    <w:rsid w:val="009C782A"/>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4B8"/>
    <w:rsid w:val="00A51DDD"/>
    <w:rsid w:val="00A55660"/>
    <w:rsid w:val="00A55C96"/>
    <w:rsid w:val="00A642B8"/>
    <w:rsid w:val="00A66FD2"/>
    <w:rsid w:val="00A67716"/>
    <w:rsid w:val="00A677D8"/>
    <w:rsid w:val="00A704FF"/>
    <w:rsid w:val="00A834DF"/>
    <w:rsid w:val="00A90788"/>
    <w:rsid w:val="00A91C53"/>
    <w:rsid w:val="00A936AE"/>
    <w:rsid w:val="00AA1D87"/>
    <w:rsid w:val="00AD0B25"/>
    <w:rsid w:val="00AD3EBD"/>
    <w:rsid w:val="00AE03A4"/>
    <w:rsid w:val="00AE309F"/>
    <w:rsid w:val="00AE4633"/>
    <w:rsid w:val="00AE748C"/>
    <w:rsid w:val="00AF2164"/>
    <w:rsid w:val="00AF2281"/>
    <w:rsid w:val="00B00058"/>
    <w:rsid w:val="00B07872"/>
    <w:rsid w:val="00B1081E"/>
    <w:rsid w:val="00B16118"/>
    <w:rsid w:val="00B17A8A"/>
    <w:rsid w:val="00B24A61"/>
    <w:rsid w:val="00B254F8"/>
    <w:rsid w:val="00B30EB3"/>
    <w:rsid w:val="00B3322A"/>
    <w:rsid w:val="00B33F8C"/>
    <w:rsid w:val="00B42343"/>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B767F"/>
    <w:rsid w:val="00BC18FB"/>
    <w:rsid w:val="00BC21AB"/>
    <w:rsid w:val="00BC254C"/>
    <w:rsid w:val="00BC4C5B"/>
    <w:rsid w:val="00BC77F9"/>
    <w:rsid w:val="00BD3A40"/>
    <w:rsid w:val="00BD60AA"/>
    <w:rsid w:val="00BE0043"/>
    <w:rsid w:val="00BE18D0"/>
    <w:rsid w:val="00BE240C"/>
    <w:rsid w:val="00BE3A41"/>
    <w:rsid w:val="00BE4577"/>
    <w:rsid w:val="00BF1D01"/>
    <w:rsid w:val="00BF3080"/>
    <w:rsid w:val="00C21D81"/>
    <w:rsid w:val="00C26B1D"/>
    <w:rsid w:val="00C26E38"/>
    <w:rsid w:val="00C3163F"/>
    <w:rsid w:val="00C5472E"/>
    <w:rsid w:val="00C560C2"/>
    <w:rsid w:val="00C60857"/>
    <w:rsid w:val="00C75920"/>
    <w:rsid w:val="00C80FD8"/>
    <w:rsid w:val="00C824D9"/>
    <w:rsid w:val="00C83657"/>
    <w:rsid w:val="00C859CC"/>
    <w:rsid w:val="00C94431"/>
    <w:rsid w:val="00C9498F"/>
    <w:rsid w:val="00CA0EE1"/>
    <w:rsid w:val="00CB0C0E"/>
    <w:rsid w:val="00CC300D"/>
    <w:rsid w:val="00CC385B"/>
    <w:rsid w:val="00CC4A35"/>
    <w:rsid w:val="00CD3544"/>
    <w:rsid w:val="00CE48FC"/>
    <w:rsid w:val="00CE5DB6"/>
    <w:rsid w:val="00CE75EF"/>
    <w:rsid w:val="00CF2CA9"/>
    <w:rsid w:val="00CF32A8"/>
    <w:rsid w:val="00CF53CA"/>
    <w:rsid w:val="00CF5471"/>
    <w:rsid w:val="00D10FA6"/>
    <w:rsid w:val="00D11DDB"/>
    <w:rsid w:val="00D161D7"/>
    <w:rsid w:val="00D1641C"/>
    <w:rsid w:val="00D16FE8"/>
    <w:rsid w:val="00D22793"/>
    <w:rsid w:val="00D25C6E"/>
    <w:rsid w:val="00D329E0"/>
    <w:rsid w:val="00D40430"/>
    <w:rsid w:val="00D41D64"/>
    <w:rsid w:val="00D50980"/>
    <w:rsid w:val="00D60D45"/>
    <w:rsid w:val="00D635F1"/>
    <w:rsid w:val="00D63F5C"/>
    <w:rsid w:val="00D67440"/>
    <w:rsid w:val="00D71951"/>
    <w:rsid w:val="00D725C6"/>
    <w:rsid w:val="00D76436"/>
    <w:rsid w:val="00D81A7A"/>
    <w:rsid w:val="00D84A8C"/>
    <w:rsid w:val="00DA0113"/>
    <w:rsid w:val="00DA37EC"/>
    <w:rsid w:val="00DA38A8"/>
    <w:rsid w:val="00DA3AAA"/>
    <w:rsid w:val="00DB0182"/>
    <w:rsid w:val="00DB12E4"/>
    <w:rsid w:val="00DB3B79"/>
    <w:rsid w:val="00DB3D7F"/>
    <w:rsid w:val="00DB5A3A"/>
    <w:rsid w:val="00DC0A52"/>
    <w:rsid w:val="00DC1154"/>
    <w:rsid w:val="00DC12FF"/>
    <w:rsid w:val="00DC154F"/>
    <w:rsid w:val="00DC158D"/>
    <w:rsid w:val="00DD0358"/>
    <w:rsid w:val="00DD5ACD"/>
    <w:rsid w:val="00E01475"/>
    <w:rsid w:val="00E032F3"/>
    <w:rsid w:val="00E16C03"/>
    <w:rsid w:val="00E2040E"/>
    <w:rsid w:val="00E2256B"/>
    <w:rsid w:val="00E25A4F"/>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167D"/>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0B32"/>
    <w:rsid w:val="00FF0D8A"/>
    <w:rsid w:val="00FF2760"/>
    <w:rsid w:val="00FF328C"/>
    <w:rsid w:val="00FF442C"/>
    <w:rsid w:val="00FF64D3"/>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573273015">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http://www.aer.gov.au/node/45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B155D-C580-420A-871A-548BD871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50E07A61</Template>
  <TotalTime>0</TotalTime>
  <Pages>15</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2015-11-17T06:30:00Z</dcterms:created>
  <dcterms:modified xsi:type="dcterms:W3CDTF">2015-11-17T06:30:00Z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\\cdchnas-evs02\home$\wvosp\20151025 - 20151031 gas weekly report - new map (D2015-00167795).docx</vt:lpwstr>
  </property>
</Properties>
</file>