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0C4" w:rsidRPr="004420C4" w:rsidRDefault="007145B2" w:rsidP="004420C4">
      <w:pPr>
        <w:pStyle w:val="Heading1"/>
        <w:numPr>
          <w:ilvl w:val="0"/>
          <w:numId w:val="0"/>
        </w:numPr>
        <w:spacing w:before="120" w:after="0"/>
        <w:ind w:left="142"/>
        <w:rPr>
          <w:color w:val="FFFFFF"/>
          <w:sz w:val="36"/>
        </w:rPr>
      </w:pPr>
      <w:bookmarkStart w:id="0" w:name="OLE_LINK66"/>
      <w:bookmarkStart w:id="1" w:name="OLE_LINK67"/>
      <w:r>
        <w:rPr>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alt="Australian Energy Regulator logo" style="position:absolute;left:0;text-align:left;margin-left:-.55pt;margin-top:5.5pt;width:476.25pt;height:77.25pt;z-index:-251649024;mso-position-horizontal-relative:text;mso-position-vertical-relative:text">
            <v:imagedata r:id="rId8" o:title="AER-header for report templates"/>
          </v:shape>
        </w:pict>
      </w:r>
      <w:r>
        <w:rPr>
          <w:noProof/>
          <w:color w:val="FFFFFF"/>
          <w:sz w:val="36"/>
        </w:rPr>
        <w:pict>
          <v:shape id="_x0000_s1093" type="#_x0000_t75" style="position:absolute;left:0;text-align:left;margin-left:720.75pt;margin-top:282.05pt;width:386.3pt;height:299.3pt;z-index:251666432;mso-position-horizontal-relative:text;mso-position-vertical-relative:text" fillcolor="black" strokecolor="white" strokeweight="3e-5mm">
            <v:imagedata r:id="rId9" o:title=""/>
            <o:lock v:ext="edit" rotation="t"/>
          </v:shape>
        </w:pict>
      </w:r>
      <w:r w:rsidR="004420C4" w:rsidRPr="004420C4">
        <w:rPr>
          <w:color w:val="FFFFFF"/>
          <w:sz w:val="36"/>
        </w:rPr>
        <w:t>Gas Market Report</w:t>
      </w:r>
    </w:p>
    <w:p w:rsidR="004420C4" w:rsidRDefault="004420C4" w:rsidP="004420C4"/>
    <w:p w:rsidR="004420C4" w:rsidRDefault="004420C4" w:rsidP="004420C4"/>
    <w:p w:rsidR="004420C4" w:rsidRDefault="004420C4" w:rsidP="004420C4"/>
    <w:p w:rsidR="004420C4" w:rsidRPr="00AC3047" w:rsidRDefault="00EC5464" w:rsidP="004420C4">
      <w:pPr>
        <w:pStyle w:val="Heading2"/>
        <w:numPr>
          <w:ilvl w:val="0"/>
          <w:numId w:val="0"/>
        </w:numPr>
        <w:rPr>
          <w:i w:val="0"/>
        </w:rPr>
      </w:pPr>
      <w:r>
        <w:rPr>
          <w:i w:val="0"/>
          <w:sz w:val="36"/>
          <w:szCs w:val="36"/>
        </w:rPr>
        <w:t>24 – 30 April 2016</w: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AF2164" w:rsidRPr="006C4D31" w:rsidRDefault="006C4D31" w:rsidP="00345444">
      <w:pPr>
        <w:pStyle w:val="AERbodytext"/>
        <w:spacing w:line="240" w:lineRule="auto"/>
        <w:jc w:val="both"/>
      </w:pPr>
      <w:r w:rsidRPr="006C4D31">
        <w:t>Average prices increased in most region</w:t>
      </w:r>
      <w:bookmarkStart w:id="2" w:name="_GoBack"/>
      <w:bookmarkEnd w:id="2"/>
      <w:r w:rsidRPr="006C4D31">
        <w:t>s, while declining in Adelaide following high prices over the previous fortnight.</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1"/>
      </w:r>
    </w:p>
    <w:tbl>
      <w:tblPr>
        <w:tblStyle w:val="AERTable-Text0"/>
        <w:tblW w:w="4858" w:type="pct"/>
        <w:tblLook w:val="04A0" w:firstRow="1" w:lastRow="0" w:firstColumn="1" w:lastColumn="0" w:noHBand="0" w:noVBand="1"/>
      </w:tblPr>
      <w:tblGrid>
        <w:gridCol w:w="3650"/>
        <w:gridCol w:w="1420"/>
        <w:gridCol w:w="1418"/>
        <w:gridCol w:w="1418"/>
        <w:gridCol w:w="1558"/>
      </w:tblGrid>
      <w:tr w:rsidR="003F44B7" w:rsidRPr="00DC24BF" w:rsidTr="003F44B7">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3F44B7" w:rsidRPr="00DC24BF" w:rsidRDefault="003F44B7" w:rsidP="006C5082">
            <w:pPr>
              <w:pStyle w:val="TableHeading"/>
              <w:jc w:val="center"/>
              <w:rPr>
                <w:rFonts w:cs="Arial"/>
                <w:sz w:val="20"/>
                <w:szCs w:val="20"/>
              </w:rPr>
            </w:pPr>
            <w:r>
              <w:rPr>
                <w:rFonts w:cs="Arial"/>
                <w:sz w:val="20"/>
                <w:szCs w:val="20"/>
              </w:rPr>
              <w:t>Region</w:t>
            </w:r>
          </w:p>
        </w:tc>
        <w:tc>
          <w:tcPr>
            <w:tcW w:w="750" w:type="pct"/>
            <w:tcBorders>
              <w:bottom w:val="nil"/>
            </w:tcBorders>
          </w:tcPr>
          <w:p w:rsidR="003F44B7" w:rsidRPr="00936A7B" w:rsidRDefault="003F44B7" w:rsidP="006C5082">
            <w:pPr>
              <w:jc w:val="center"/>
              <w:rPr>
                <w:sz w:val="20"/>
              </w:rPr>
            </w:pPr>
            <w:r w:rsidRPr="00936A7B">
              <w:rPr>
                <w:sz w:val="20"/>
              </w:rPr>
              <w:t>Victoria</w:t>
            </w:r>
          </w:p>
        </w:tc>
        <w:tc>
          <w:tcPr>
            <w:tcW w:w="749" w:type="pct"/>
            <w:tcBorders>
              <w:bottom w:val="nil"/>
            </w:tcBorders>
            <w:hideMark/>
          </w:tcPr>
          <w:p w:rsidR="003F44B7" w:rsidRPr="00936A7B" w:rsidRDefault="003F44B7" w:rsidP="006C5082">
            <w:pPr>
              <w:jc w:val="center"/>
              <w:rPr>
                <w:sz w:val="20"/>
              </w:rPr>
            </w:pPr>
            <w:r w:rsidRPr="00936A7B">
              <w:rPr>
                <w:sz w:val="20"/>
              </w:rPr>
              <w:t>Sydney</w:t>
            </w:r>
          </w:p>
        </w:tc>
        <w:tc>
          <w:tcPr>
            <w:tcW w:w="749" w:type="pct"/>
            <w:tcBorders>
              <w:bottom w:val="nil"/>
            </w:tcBorders>
            <w:hideMark/>
          </w:tcPr>
          <w:p w:rsidR="003F44B7" w:rsidRPr="00936A7B" w:rsidRDefault="003F44B7" w:rsidP="006C5082">
            <w:pPr>
              <w:jc w:val="center"/>
              <w:rPr>
                <w:sz w:val="20"/>
              </w:rPr>
            </w:pPr>
            <w:r w:rsidRPr="00936A7B">
              <w:rPr>
                <w:sz w:val="20"/>
              </w:rPr>
              <w:t>Adelaide</w:t>
            </w:r>
          </w:p>
        </w:tc>
        <w:tc>
          <w:tcPr>
            <w:tcW w:w="823" w:type="pct"/>
            <w:tcBorders>
              <w:bottom w:val="nil"/>
            </w:tcBorders>
            <w:hideMark/>
          </w:tcPr>
          <w:p w:rsidR="003F44B7" w:rsidRPr="00936A7B" w:rsidRDefault="003F44B7" w:rsidP="006C5082">
            <w:pPr>
              <w:jc w:val="center"/>
              <w:rPr>
                <w:sz w:val="20"/>
              </w:rPr>
            </w:pPr>
            <w:r w:rsidRPr="00936A7B">
              <w:rPr>
                <w:sz w:val="20"/>
              </w:rPr>
              <w:t>Brisbane</w:t>
            </w:r>
          </w:p>
        </w:tc>
      </w:tr>
      <w:tr w:rsidR="002D53EF" w:rsidRPr="0091453B" w:rsidTr="00502FB8">
        <w:trPr>
          <w:trHeight w:val="510"/>
        </w:trPr>
        <w:tc>
          <w:tcPr>
            <w:tcW w:w="1928" w:type="pct"/>
            <w:tcBorders>
              <w:top w:val="nil"/>
              <w:bottom w:val="nil"/>
            </w:tcBorders>
            <w:vAlign w:val="center"/>
          </w:tcPr>
          <w:p w:rsidR="002D53EF" w:rsidRDefault="002D53EF">
            <w:pPr>
              <w:rPr>
                <w:rFonts w:cs="Arial"/>
                <w:sz w:val="20"/>
                <w:szCs w:val="20"/>
              </w:rPr>
            </w:pPr>
            <w:r>
              <w:rPr>
                <w:rFonts w:cs="Arial"/>
                <w:sz w:val="20"/>
                <w:szCs w:val="20"/>
              </w:rPr>
              <w:t>24 Apr - 30 Apr 2016</w:t>
            </w:r>
          </w:p>
        </w:tc>
        <w:tc>
          <w:tcPr>
            <w:tcW w:w="750" w:type="pct"/>
            <w:tcBorders>
              <w:top w:val="nil"/>
              <w:bottom w:val="nil"/>
            </w:tcBorders>
            <w:vAlign w:val="center"/>
          </w:tcPr>
          <w:p w:rsidR="002D53EF" w:rsidRDefault="002D53EF">
            <w:pPr>
              <w:jc w:val="center"/>
              <w:rPr>
                <w:rFonts w:cs="Arial"/>
                <w:sz w:val="20"/>
                <w:szCs w:val="20"/>
              </w:rPr>
            </w:pPr>
            <w:r>
              <w:rPr>
                <w:rFonts w:cs="Arial"/>
                <w:sz w:val="20"/>
                <w:szCs w:val="20"/>
              </w:rPr>
              <w:t>4.61</w:t>
            </w:r>
          </w:p>
        </w:tc>
        <w:tc>
          <w:tcPr>
            <w:tcW w:w="749" w:type="pct"/>
            <w:tcBorders>
              <w:top w:val="nil"/>
              <w:bottom w:val="nil"/>
            </w:tcBorders>
            <w:vAlign w:val="center"/>
          </w:tcPr>
          <w:p w:rsidR="002D53EF" w:rsidRDefault="002D53EF">
            <w:pPr>
              <w:jc w:val="center"/>
              <w:rPr>
                <w:rFonts w:cs="Arial"/>
                <w:sz w:val="20"/>
                <w:szCs w:val="20"/>
              </w:rPr>
            </w:pPr>
            <w:r>
              <w:rPr>
                <w:rFonts w:cs="Arial"/>
                <w:sz w:val="20"/>
                <w:szCs w:val="20"/>
              </w:rPr>
              <w:t>4.88</w:t>
            </w:r>
          </w:p>
        </w:tc>
        <w:tc>
          <w:tcPr>
            <w:tcW w:w="749" w:type="pct"/>
            <w:tcBorders>
              <w:top w:val="nil"/>
              <w:bottom w:val="nil"/>
            </w:tcBorders>
            <w:vAlign w:val="center"/>
          </w:tcPr>
          <w:p w:rsidR="002D53EF" w:rsidRDefault="002D53EF">
            <w:pPr>
              <w:jc w:val="center"/>
              <w:rPr>
                <w:rFonts w:cs="Arial"/>
                <w:sz w:val="20"/>
                <w:szCs w:val="20"/>
              </w:rPr>
            </w:pPr>
            <w:r>
              <w:rPr>
                <w:rFonts w:cs="Arial"/>
                <w:sz w:val="20"/>
                <w:szCs w:val="20"/>
              </w:rPr>
              <w:t>5.88</w:t>
            </w:r>
          </w:p>
        </w:tc>
        <w:tc>
          <w:tcPr>
            <w:tcW w:w="823" w:type="pct"/>
            <w:tcBorders>
              <w:top w:val="nil"/>
              <w:bottom w:val="nil"/>
            </w:tcBorders>
            <w:vAlign w:val="center"/>
          </w:tcPr>
          <w:p w:rsidR="002D53EF" w:rsidRDefault="002D53EF">
            <w:pPr>
              <w:jc w:val="center"/>
              <w:rPr>
                <w:rFonts w:cs="Arial"/>
                <w:sz w:val="20"/>
                <w:szCs w:val="20"/>
              </w:rPr>
            </w:pPr>
            <w:r>
              <w:rPr>
                <w:rFonts w:cs="Arial"/>
                <w:sz w:val="20"/>
                <w:szCs w:val="20"/>
              </w:rPr>
              <w:t>5.29</w:t>
            </w:r>
          </w:p>
        </w:tc>
      </w:tr>
      <w:tr w:rsidR="002D53EF" w:rsidRPr="0091453B" w:rsidTr="00502FB8">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2D53EF" w:rsidRDefault="002D53EF">
            <w:pPr>
              <w:rPr>
                <w:rFonts w:cs="Arial"/>
                <w:sz w:val="20"/>
                <w:szCs w:val="20"/>
              </w:rPr>
            </w:pPr>
            <w:r>
              <w:rPr>
                <w:rFonts w:cs="Arial"/>
                <w:sz w:val="20"/>
                <w:szCs w:val="20"/>
              </w:rPr>
              <w:t>% change from previous week</w:t>
            </w:r>
          </w:p>
        </w:tc>
        <w:tc>
          <w:tcPr>
            <w:tcW w:w="750" w:type="pct"/>
            <w:tcBorders>
              <w:top w:val="nil"/>
              <w:bottom w:val="nil"/>
            </w:tcBorders>
            <w:vAlign w:val="center"/>
          </w:tcPr>
          <w:p w:rsidR="002D53EF" w:rsidRDefault="002D53EF">
            <w:pPr>
              <w:jc w:val="center"/>
              <w:rPr>
                <w:rFonts w:cs="Arial"/>
                <w:sz w:val="20"/>
                <w:szCs w:val="20"/>
              </w:rPr>
            </w:pPr>
            <w:r>
              <w:rPr>
                <w:rFonts w:cs="Arial"/>
                <w:sz w:val="20"/>
                <w:szCs w:val="20"/>
              </w:rPr>
              <w:t>10</w:t>
            </w:r>
          </w:p>
        </w:tc>
        <w:tc>
          <w:tcPr>
            <w:tcW w:w="749" w:type="pct"/>
            <w:tcBorders>
              <w:top w:val="nil"/>
              <w:bottom w:val="nil"/>
            </w:tcBorders>
            <w:vAlign w:val="center"/>
          </w:tcPr>
          <w:p w:rsidR="002D53EF" w:rsidRDefault="002D53EF">
            <w:pPr>
              <w:jc w:val="center"/>
              <w:rPr>
                <w:rFonts w:cs="Arial"/>
                <w:sz w:val="20"/>
                <w:szCs w:val="20"/>
              </w:rPr>
            </w:pPr>
            <w:r>
              <w:rPr>
                <w:rFonts w:cs="Arial"/>
                <w:sz w:val="20"/>
                <w:szCs w:val="20"/>
              </w:rPr>
              <w:t>7</w:t>
            </w:r>
          </w:p>
        </w:tc>
        <w:tc>
          <w:tcPr>
            <w:tcW w:w="749" w:type="pct"/>
            <w:tcBorders>
              <w:top w:val="nil"/>
              <w:bottom w:val="nil"/>
            </w:tcBorders>
            <w:vAlign w:val="center"/>
          </w:tcPr>
          <w:p w:rsidR="002D53EF" w:rsidRDefault="002D53EF">
            <w:pPr>
              <w:jc w:val="center"/>
              <w:rPr>
                <w:rFonts w:cs="Arial"/>
                <w:sz w:val="20"/>
                <w:szCs w:val="20"/>
              </w:rPr>
            </w:pPr>
            <w:r>
              <w:rPr>
                <w:rFonts w:cs="Arial"/>
                <w:sz w:val="20"/>
                <w:szCs w:val="20"/>
              </w:rPr>
              <w:t>-19</w:t>
            </w:r>
          </w:p>
        </w:tc>
        <w:tc>
          <w:tcPr>
            <w:tcW w:w="823" w:type="pct"/>
            <w:tcBorders>
              <w:top w:val="nil"/>
              <w:bottom w:val="nil"/>
            </w:tcBorders>
            <w:vAlign w:val="center"/>
          </w:tcPr>
          <w:p w:rsidR="002D53EF" w:rsidRDefault="002D53EF">
            <w:pPr>
              <w:jc w:val="center"/>
              <w:rPr>
                <w:rFonts w:cs="Arial"/>
                <w:sz w:val="20"/>
                <w:szCs w:val="20"/>
              </w:rPr>
            </w:pPr>
            <w:r>
              <w:rPr>
                <w:rFonts w:cs="Arial"/>
                <w:sz w:val="20"/>
                <w:szCs w:val="20"/>
              </w:rPr>
              <w:t>7</w:t>
            </w:r>
          </w:p>
        </w:tc>
      </w:tr>
      <w:tr w:rsidR="002D53EF" w:rsidRPr="0091453B" w:rsidTr="00502FB8">
        <w:trPr>
          <w:trHeight w:val="510"/>
        </w:trPr>
        <w:tc>
          <w:tcPr>
            <w:tcW w:w="1928" w:type="pct"/>
            <w:tcBorders>
              <w:top w:val="nil"/>
              <w:bottom w:val="nil"/>
            </w:tcBorders>
            <w:vAlign w:val="center"/>
          </w:tcPr>
          <w:p w:rsidR="002D53EF" w:rsidRDefault="002D53EF">
            <w:pPr>
              <w:rPr>
                <w:rFonts w:cs="Arial"/>
                <w:sz w:val="20"/>
                <w:szCs w:val="20"/>
              </w:rPr>
            </w:pPr>
            <w:r>
              <w:rPr>
                <w:rFonts w:cs="Arial"/>
                <w:sz w:val="20"/>
                <w:szCs w:val="20"/>
              </w:rPr>
              <w:t>15-16 financial YTD</w:t>
            </w:r>
          </w:p>
        </w:tc>
        <w:tc>
          <w:tcPr>
            <w:tcW w:w="750" w:type="pct"/>
            <w:tcBorders>
              <w:top w:val="nil"/>
              <w:bottom w:val="nil"/>
            </w:tcBorders>
            <w:vAlign w:val="center"/>
          </w:tcPr>
          <w:p w:rsidR="002D53EF" w:rsidRDefault="002D53EF">
            <w:pPr>
              <w:jc w:val="center"/>
              <w:rPr>
                <w:rFonts w:cs="Arial"/>
                <w:sz w:val="20"/>
                <w:szCs w:val="20"/>
              </w:rPr>
            </w:pPr>
            <w:r>
              <w:rPr>
                <w:rFonts w:cs="Arial"/>
                <w:sz w:val="20"/>
                <w:szCs w:val="20"/>
              </w:rPr>
              <w:t>4.46</w:t>
            </w:r>
          </w:p>
        </w:tc>
        <w:tc>
          <w:tcPr>
            <w:tcW w:w="749" w:type="pct"/>
            <w:tcBorders>
              <w:top w:val="nil"/>
              <w:bottom w:val="nil"/>
            </w:tcBorders>
            <w:vAlign w:val="center"/>
          </w:tcPr>
          <w:p w:rsidR="002D53EF" w:rsidRDefault="002D53EF">
            <w:pPr>
              <w:jc w:val="center"/>
              <w:rPr>
                <w:rFonts w:cs="Arial"/>
                <w:sz w:val="20"/>
                <w:szCs w:val="20"/>
              </w:rPr>
            </w:pPr>
            <w:r>
              <w:rPr>
                <w:rFonts w:cs="Arial"/>
                <w:sz w:val="20"/>
                <w:szCs w:val="20"/>
              </w:rPr>
              <w:t>4.61</w:t>
            </w:r>
          </w:p>
        </w:tc>
        <w:tc>
          <w:tcPr>
            <w:tcW w:w="749" w:type="pct"/>
            <w:tcBorders>
              <w:top w:val="nil"/>
              <w:bottom w:val="nil"/>
            </w:tcBorders>
            <w:vAlign w:val="center"/>
          </w:tcPr>
          <w:p w:rsidR="002D53EF" w:rsidRDefault="002D53EF">
            <w:pPr>
              <w:jc w:val="center"/>
              <w:rPr>
                <w:rFonts w:cs="Arial"/>
                <w:sz w:val="20"/>
                <w:szCs w:val="20"/>
              </w:rPr>
            </w:pPr>
            <w:r>
              <w:rPr>
                <w:rFonts w:cs="Arial"/>
                <w:sz w:val="20"/>
                <w:szCs w:val="20"/>
              </w:rPr>
              <w:t>5.28</w:t>
            </w:r>
          </w:p>
        </w:tc>
        <w:tc>
          <w:tcPr>
            <w:tcW w:w="823" w:type="pct"/>
            <w:tcBorders>
              <w:top w:val="nil"/>
              <w:bottom w:val="nil"/>
            </w:tcBorders>
            <w:vAlign w:val="center"/>
          </w:tcPr>
          <w:p w:rsidR="002D53EF" w:rsidRDefault="002D53EF">
            <w:pPr>
              <w:jc w:val="center"/>
              <w:rPr>
                <w:rFonts w:cs="Arial"/>
                <w:sz w:val="20"/>
                <w:szCs w:val="20"/>
              </w:rPr>
            </w:pPr>
            <w:r>
              <w:rPr>
                <w:rFonts w:cs="Arial"/>
                <w:sz w:val="20"/>
                <w:szCs w:val="20"/>
              </w:rPr>
              <w:t>4.23</w:t>
            </w:r>
          </w:p>
        </w:tc>
      </w:tr>
      <w:tr w:rsidR="002D53EF" w:rsidRPr="0091453B" w:rsidTr="00502FB8">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2D53EF" w:rsidRDefault="002D53EF">
            <w:pPr>
              <w:rPr>
                <w:rFonts w:cs="Arial"/>
                <w:sz w:val="20"/>
                <w:szCs w:val="20"/>
              </w:rPr>
            </w:pPr>
            <w:r>
              <w:rPr>
                <w:rFonts w:cs="Arial"/>
                <w:sz w:val="20"/>
                <w:szCs w:val="20"/>
              </w:rPr>
              <w:t>% change from previous financial YTD</w:t>
            </w:r>
          </w:p>
        </w:tc>
        <w:tc>
          <w:tcPr>
            <w:tcW w:w="750"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27</w:t>
            </w:r>
          </w:p>
        </w:tc>
        <w:tc>
          <w:tcPr>
            <w:tcW w:w="749"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38</w:t>
            </w:r>
          </w:p>
        </w:tc>
        <w:tc>
          <w:tcPr>
            <w:tcW w:w="749"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45</w:t>
            </w:r>
          </w:p>
        </w:tc>
        <w:tc>
          <w:tcPr>
            <w:tcW w:w="823"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78</w:t>
            </w:r>
          </w:p>
        </w:tc>
      </w:tr>
    </w:tbl>
    <w:p w:rsidR="00FF0D8A" w:rsidRPr="008D4DAB" w:rsidRDefault="00FF0D8A" w:rsidP="00FF0D8A">
      <w:pPr>
        <w:pStyle w:val="AERbodytext"/>
        <w:spacing w:before="120" w:after="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D1641C" w:rsidRDefault="00FF0D8A" w:rsidP="00D1641C">
      <w:pPr>
        <w:pStyle w:val="Heading2"/>
        <w:ind w:firstLine="0"/>
        <w:rPr>
          <w:i w:val="0"/>
          <w:color w:val="2272A3"/>
          <w:sz w:val="24"/>
          <w:szCs w:val="24"/>
        </w:rPr>
      </w:pPr>
      <w:r w:rsidRPr="006E7E57">
        <w:rPr>
          <w:i w:val="0"/>
          <w:color w:val="2272A3"/>
          <w:sz w:val="24"/>
          <w:szCs w:val="24"/>
        </w:rPr>
        <w:t>Victorian Gas Market</w:t>
      </w:r>
    </w:p>
    <w:tbl>
      <w:tblPr>
        <w:tblStyle w:val="AERTable-Text0"/>
        <w:tblW w:w="4858" w:type="pct"/>
        <w:tblLook w:val="04A0" w:firstRow="1" w:lastRow="0" w:firstColumn="1" w:lastColumn="0" w:noHBand="0" w:noVBand="1"/>
      </w:tblPr>
      <w:tblGrid>
        <w:gridCol w:w="3649"/>
        <w:gridCol w:w="1418"/>
        <w:gridCol w:w="2128"/>
        <w:gridCol w:w="2269"/>
      </w:tblGrid>
      <w:tr w:rsidR="00F114D5" w:rsidRPr="00DC24BF" w:rsidTr="00F114D5">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F114D5" w:rsidRPr="00DC24BF" w:rsidRDefault="00F114D5" w:rsidP="006C5082">
            <w:pPr>
              <w:pStyle w:val="TableHeading"/>
              <w:jc w:val="center"/>
              <w:rPr>
                <w:rFonts w:cs="Arial"/>
                <w:sz w:val="20"/>
                <w:szCs w:val="20"/>
              </w:rPr>
            </w:pPr>
          </w:p>
        </w:tc>
        <w:tc>
          <w:tcPr>
            <w:tcW w:w="74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Price ($/GJ)</w:t>
            </w:r>
          </w:p>
        </w:tc>
        <w:tc>
          <w:tcPr>
            <w:tcW w:w="1124"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119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BOD forecast demand quantity (TJ)</w:t>
            </w:r>
          </w:p>
        </w:tc>
      </w:tr>
      <w:tr w:rsidR="002D53EF" w:rsidRPr="0091453B" w:rsidTr="00C4357B">
        <w:trPr>
          <w:trHeight w:val="510"/>
        </w:trPr>
        <w:tc>
          <w:tcPr>
            <w:tcW w:w="1928" w:type="pct"/>
            <w:tcBorders>
              <w:top w:val="nil"/>
              <w:bottom w:val="nil"/>
            </w:tcBorders>
            <w:vAlign w:val="center"/>
          </w:tcPr>
          <w:p w:rsidR="002D53EF" w:rsidRDefault="002D53EF">
            <w:pPr>
              <w:rPr>
                <w:rFonts w:cs="Arial"/>
                <w:sz w:val="20"/>
                <w:szCs w:val="20"/>
              </w:rPr>
            </w:pPr>
            <w:r>
              <w:rPr>
                <w:rFonts w:cs="Arial"/>
                <w:sz w:val="20"/>
                <w:szCs w:val="20"/>
              </w:rPr>
              <w:t>24 Apr - 30 Apr 2016</w:t>
            </w:r>
          </w:p>
        </w:tc>
        <w:tc>
          <w:tcPr>
            <w:tcW w:w="749" w:type="pct"/>
            <w:tcBorders>
              <w:top w:val="nil"/>
              <w:bottom w:val="nil"/>
            </w:tcBorders>
            <w:vAlign w:val="center"/>
          </w:tcPr>
          <w:p w:rsidR="002D53EF" w:rsidRDefault="002D53EF">
            <w:pPr>
              <w:jc w:val="center"/>
              <w:rPr>
                <w:rFonts w:cs="Arial"/>
                <w:sz w:val="20"/>
                <w:szCs w:val="20"/>
              </w:rPr>
            </w:pPr>
            <w:r>
              <w:rPr>
                <w:rFonts w:cs="Arial"/>
                <w:sz w:val="20"/>
                <w:szCs w:val="20"/>
              </w:rPr>
              <w:t>4.61</w:t>
            </w:r>
          </w:p>
        </w:tc>
        <w:tc>
          <w:tcPr>
            <w:tcW w:w="1124" w:type="pct"/>
            <w:tcBorders>
              <w:top w:val="nil"/>
              <w:bottom w:val="nil"/>
            </w:tcBorders>
            <w:vAlign w:val="center"/>
          </w:tcPr>
          <w:p w:rsidR="002D53EF" w:rsidRDefault="002D53EF">
            <w:pPr>
              <w:jc w:val="center"/>
              <w:rPr>
                <w:rFonts w:cs="Arial"/>
                <w:sz w:val="20"/>
                <w:szCs w:val="20"/>
              </w:rPr>
            </w:pPr>
            <w:r>
              <w:rPr>
                <w:rFonts w:cs="Arial"/>
                <w:sz w:val="20"/>
                <w:szCs w:val="20"/>
              </w:rPr>
              <w:t>16.54</w:t>
            </w:r>
          </w:p>
        </w:tc>
        <w:tc>
          <w:tcPr>
            <w:tcW w:w="1199" w:type="pct"/>
            <w:tcBorders>
              <w:top w:val="nil"/>
              <w:bottom w:val="nil"/>
            </w:tcBorders>
            <w:vAlign w:val="center"/>
          </w:tcPr>
          <w:p w:rsidR="002D53EF" w:rsidRDefault="002D53EF">
            <w:pPr>
              <w:jc w:val="center"/>
              <w:rPr>
                <w:rFonts w:cs="Arial"/>
                <w:sz w:val="20"/>
                <w:szCs w:val="20"/>
              </w:rPr>
            </w:pPr>
            <w:r>
              <w:rPr>
                <w:rFonts w:cs="Arial"/>
                <w:sz w:val="20"/>
                <w:szCs w:val="20"/>
              </w:rPr>
              <w:t>365</w:t>
            </w:r>
          </w:p>
        </w:tc>
      </w:tr>
      <w:tr w:rsidR="002D53EF" w:rsidRPr="0091453B" w:rsidTr="00C4357B">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2D53EF" w:rsidRDefault="002D53EF">
            <w:pPr>
              <w:rPr>
                <w:rFonts w:cs="Arial"/>
                <w:sz w:val="20"/>
                <w:szCs w:val="20"/>
              </w:rPr>
            </w:pPr>
            <w:r>
              <w:rPr>
                <w:rFonts w:cs="Arial"/>
                <w:sz w:val="20"/>
                <w:szCs w:val="20"/>
              </w:rPr>
              <w:t>% change from previous week</w:t>
            </w:r>
          </w:p>
        </w:tc>
        <w:tc>
          <w:tcPr>
            <w:tcW w:w="749" w:type="pct"/>
            <w:tcBorders>
              <w:top w:val="nil"/>
              <w:bottom w:val="nil"/>
            </w:tcBorders>
            <w:vAlign w:val="center"/>
          </w:tcPr>
          <w:p w:rsidR="002D53EF" w:rsidRDefault="002D53EF">
            <w:pPr>
              <w:jc w:val="center"/>
              <w:rPr>
                <w:rFonts w:cs="Arial"/>
                <w:sz w:val="20"/>
                <w:szCs w:val="20"/>
              </w:rPr>
            </w:pPr>
            <w:r>
              <w:rPr>
                <w:rFonts w:cs="Arial"/>
                <w:sz w:val="20"/>
                <w:szCs w:val="20"/>
              </w:rPr>
              <w:t>10</w:t>
            </w:r>
          </w:p>
        </w:tc>
        <w:tc>
          <w:tcPr>
            <w:tcW w:w="1124" w:type="pct"/>
            <w:tcBorders>
              <w:top w:val="nil"/>
              <w:bottom w:val="nil"/>
            </w:tcBorders>
            <w:vAlign w:val="center"/>
          </w:tcPr>
          <w:p w:rsidR="002D53EF" w:rsidRDefault="002D53EF">
            <w:pPr>
              <w:jc w:val="center"/>
              <w:rPr>
                <w:rFonts w:cs="Arial"/>
                <w:sz w:val="20"/>
                <w:szCs w:val="20"/>
              </w:rPr>
            </w:pPr>
            <w:r>
              <w:rPr>
                <w:rFonts w:cs="Arial"/>
                <w:sz w:val="20"/>
                <w:szCs w:val="20"/>
              </w:rPr>
              <w:t>-83</w:t>
            </w:r>
          </w:p>
        </w:tc>
        <w:tc>
          <w:tcPr>
            <w:tcW w:w="1199" w:type="pct"/>
            <w:tcBorders>
              <w:top w:val="nil"/>
              <w:bottom w:val="nil"/>
            </w:tcBorders>
            <w:vAlign w:val="center"/>
          </w:tcPr>
          <w:p w:rsidR="002D53EF" w:rsidRDefault="002D53EF">
            <w:pPr>
              <w:jc w:val="center"/>
              <w:rPr>
                <w:rFonts w:cs="Arial"/>
                <w:sz w:val="20"/>
                <w:szCs w:val="20"/>
              </w:rPr>
            </w:pPr>
            <w:r>
              <w:rPr>
                <w:rFonts w:cs="Arial"/>
                <w:sz w:val="20"/>
                <w:szCs w:val="20"/>
              </w:rPr>
              <w:t>-11</w:t>
            </w:r>
          </w:p>
        </w:tc>
      </w:tr>
      <w:tr w:rsidR="002D53EF" w:rsidRPr="0091453B" w:rsidTr="00C4357B">
        <w:trPr>
          <w:trHeight w:val="510"/>
        </w:trPr>
        <w:tc>
          <w:tcPr>
            <w:tcW w:w="1928" w:type="pct"/>
            <w:tcBorders>
              <w:top w:val="nil"/>
              <w:bottom w:val="nil"/>
            </w:tcBorders>
            <w:vAlign w:val="center"/>
          </w:tcPr>
          <w:p w:rsidR="002D53EF" w:rsidRDefault="002D53EF">
            <w:pPr>
              <w:rPr>
                <w:rFonts w:cs="Arial"/>
                <w:sz w:val="20"/>
                <w:szCs w:val="20"/>
              </w:rPr>
            </w:pPr>
            <w:r>
              <w:rPr>
                <w:rFonts w:cs="Arial"/>
                <w:sz w:val="20"/>
                <w:szCs w:val="20"/>
              </w:rPr>
              <w:t>15-16 financial YTD</w:t>
            </w:r>
          </w:p>
        </w:tc>
        <w:tc>
          <w:tcPr>
            <w:tcW w:w="749" w:type="pct"/>
            <w:tcBorders>
              <w:top w:val="nil"/>
              <w:bottom w:val="nil"/>
            </w:tcBorders>
            <w:vAlign w:val="center"/>
          </w:tcPr>
          <w:p w:rsidR="002D53EF" w:rsidRDefault="002D53EF">
            <w:pPr>
              <w:jc w:val="center"/>
              <w:rPr>
                <w:rFonts w:cs="Arial"/>
                <w:sz w:val="20"/>
                <w:szCs w:val="20"/>
              </w:rPr>
            </w:pPr>
            <w:r>
              <w:rPr>
                <w:rFonts w:cs="Arial"/>
                <w:sz w:val="20"/>
                <w:szCs w:val="20"/>
              </w:rPr>
              <w:t>4.46</w:t>
            </w:r>
          </w:p>
        </w:tc>
        <w:tc>
          <w:tcPr>
            <w:tcW w:w="1124" w:type="pct"/>
            <w:tcBorders>
              <w:top w:val="nil"/>
              <w:bottom w:val="nil"/>
            </w:tcBorders>
            <w:vAlign w:val="center"/>
          </w:tcPr>
          <w:p w:rsidR="002D53EF" w:rsidRDefault="002D53EF">
            <w:pPr>
              <w:jc w:val="center"/>
              <w:rPr>
                <w:rFonts w:cs="Arial"/>
                <w:sz w:val="20"/>
                <w:szCs w:val="20"/>
              </w:rPr>
            </w:pPr>
            <w:r>
              <w:rPr>
                <w:rFonts w:cs="Arial"/>
                <w:sz w:val="20"/>
                <w:szCs w:val="20"/>
              </w:rPr>
              <w:t>-</w:t>
            </w:r>
          </w:p>
        </w:tc>
        <w:tc>
          <w:tcPr>
            <w:tcW w:w="1199" w:type="pct"/>
            <w:tcBorders>
              <w:top w:val="nil"/>
              <w:bottom w:val="nil"/>
            </w:tcBorders>
            <w:vAlign w:val="center"/>
          </w:tcPr>
          <w:p w:rsidR="002D53EF" w:rsidRDefault="002D53EF">
            <w:pPr>
              <w:jc w:val="center"/>
              <w:rPr>
                <w:rFonts w:cs="Arial"/>
                <w:sz w:val="20"/>
                <w:szCs w:val="20"/>
              </w:rPr>
            </w:pPr>
            <w:r>
              <w:rPr>
                <w:rFonts w:cs="Arial"/>
                <w:sz w:val="20"/>
                <w:szCs w:val="20"/>
              </w:rPr>
              <w:t>520</w:t>
            </w:r>
          </w:p>
        </w:tc>
      </w:tr>
      <w:tr w:rsidR="002D53EF" w:rsidRPr="0091453B" w:rsidTr="00C4357B">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2D53EF" w:rsidRDefault="002D53EF">
            <w:pPr>
              <w:rPr>
                <w:rFonts w:cs="Arial"/>
                <w:sz w:val="20"/>
                <w:szCs w:val="20"/>
              </w:rPr>
            </w:pPr>
            <w:r>
              <w:rPr>
                <w:rFonts w:cs="Arial"/>
                <w:sz w:val="20"/>
                <w:szCs w:val="20"/>
              </w:rPr>
              <w:t xml:space="preserve">% change from previous financial YTD </w:t>
            </w:r>
          </w:p>
        </w:tc>
        <w:tc>
          <w:tcPr>
            <w:tcW w:w="749"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27</w:t>
            </w:r>
          </w:p>
        </w:tc>
        <w:tc>
          <w:tcPr>
            <w:tcW w:w="1124"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w:t>
            </w:r>
          </w:p>
        </w:tc>
        <w:tc>
          <w:tcPr>
            <w:tcW w:w="1199"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2</w:t>
            </w:r>
          </w:p>
        </w:tc>
      </w:tr>
    </w:tbl>
    <w:p w:rsidR="00FF0D8A" w:rsidRDefault="00FF0D8A" w:rsidP="00FF0D8A">
      <w:pPr>
        <w:pStyle w:val="AERbodytext"/>
        <w:spacing w:before="120" w:after="120"/>
        <w:jc w:val="both"/>
      </w:pPr>
      <w:r w:rsidRPr="006619E5">
        <w:rPr>
          <w:sz w:val="20"/>
        </w:rPr>
        <w:lastRenderedPageBreak/>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FF0D8A">
      <w:pPr>
        <w:pStyle w:val="AERbodytext"/>
        <w:spacing w:before="120" w:after="120"/>
        <w:jc w:val="both"/>
      </w:pPr>
      <w:r>
        <w:t>More</w:t>
      </w:r>
      <w:r w:rsidRPr="00D329E0">
        <w:t xml:space="preserve"> </w:t>
      </w:r>
      <w:r>
        <w:t xml:space="preserve">detailed </w:t>
      </w:r>
      <w:r w:rsidRPr="00D329E0">
        <w:t xml:space="preserve">analysis on the </w:t>
      </w:r>
      <w:r>
        <w:t>VGM is provided in section 1</w:t>
      </w:r>
      <w:r w:rsidRPr="00D329E0">
        <w:t xml:space="preserve">. </w:t>
      </w:r>
    </w:p>
    <w:p w:rsidR="00FF0D8A" w:rsidRPr="008D4DAB"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Default="006E7E57" w:rsidP="00D1641C">
      <w:pPr>
        <w:pStyle w:val="Heading2"/>
        <w:ind w:firstLine="0"/>
        <w:rPr>
          <w:i w:val="0"/>
          <w:color w:val="2272A3"/>
          <w:sz w:val="24"/>
          <w:szCs w:val="24"/>
        </w:rPr>
      </w:pPr>
      <w:r>
        <w:rPr>
          <w:i w:val="0"/>
          <w:color w:val="2272A3"/>
          <w:sz w:val="24"/>
          <w:szCs w:val="24"/>
        </w:rPr>
        <w:t>Sydney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6C5082">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2D53EF" w:rsidRPr="00405CDE" w:rsidTr="00B608F2">
        <w:trPr>
          <w:trHeight w:val="510"/>
        </w:trPr>
        <w:tc>
          <w:tcPr>
            <w:tcW w:w="1430" w:type="pct"/>
            <w:tcBorders>
              <w:top w:val="nil"/>
              <w:bottom w:val="nil"/>
            </w:tcBorders>
            <w:vAlign w:val="center"/>
          </w:tcPr>
          <w:p w:rsidR="002D53EF" w:rsidRDefault="002D53EF">
            <w:pPr>
              <w:rPr>
                <w:rFonts w:cs="Arial"/>
                <w:sz w:val="20"/>
                <w:szCs w:val="20"/>
              </w:rPr>
            </w:pPr>
            <w:r>
              <w:rPr>
                <w:rFonts w:cs="Arial"/>
                <w:sz w:val="20"/>
                <w:szCs w:val="20"/>
              </w:rPr>
              <w:t>24 Apr - 30 Apr 2016</w:t>
            </w:r>
          </w:p>
        </w:tc>
        <w:tc>
          <w:tcPr>
            <w:tcW w:w="759" w:type="pct"/>
            <w:tcBorders>
              <w:top w:val="nil"/>
              <w:bottom w:val="nil"/>
            </w:tcBorders>
            <w:vAlign w:val="center"/>
          </w:tcPr>
          <w:p w:rsidR="002D53EF" w:rsidRDefault="002D53EF">
            <w:pPr>
              <w:jc w:val="center"/>
              <w:rPr>
                <w:rFonts w:cs="Arial"/>
                <w:sz w:val="20"/>
                <w:szCs w:val="20"/>
              </w:rPr>
            </w:pPr>
            <w:r>
              <w:rPr>
                <w:rFonts w:cs="Arial"/>
                <w:sz w:val="20"/>
                <w:szCs w:val="20"/>
              </w:rPr>
              <w:t>4.88</w:t>
            </w:r>
          </w:p>
        </w:tc>
        <w:tc>
          <w:tcPr>
            <w:tcW w:w="758" w:type="pct"/>
            <w:tcBorders>
              <w:top w:val="nil"/>
              <w:bottom w:val="nil"/>
            </w:tcBorders>
            <w:vAlign w:val="center"/>
          </w:tcPr>
          <w:p w:rsidR="002D53EF" w:rsidRDefault="002D53EF">
            <w:pPr>
              <w:jc w:val="center"/>
              <w:rPr>
                <w:rFonts w:cs="Arial"/>
                <w:sz w:val="20"/>
                <w:szCs w:val="20"/>
              </w:rPr>
            </w:pPr>
            <w:r>
              <w:rPr>
                <w:rFonts w:cs="Arial"/>
                <w:sz w:val="20"/>
                <w:szCs w:val="20"/>
              </w:rPr>
              <w:t>4.55</w:t>
            </w:r>
          </w:p>
        </w:tc>
        <w:tc>
          <w:tcPr>
            <w:tcW w:w="759" w:type="pct"/>
            <w:tcBorders>
              <w:top w:val="nil"/>
              <w:bottom w:val="nil"/>
            </w:tcBorders>
            <w:vAlign w:val="center"/>
          </w:tcPr>
          <w:p w:rsidR="002D53EF" w:rsidRDefault="002D53EF">
            <w:pPr>
              <w:jc w:val="center"/>
              <w:rPr>
                <w:rFonts w:cs="Arial"/>
                <w:sz w:val="20"/>
                <w:szCs w:val="20"/>
              </w:rPr>
            </w:pPr>
            <w:r>
              <w:rPr>
                <w:rFonts w:cs="Arial"/>
                <w:sz w:val="20"/>
                <w:szCs w:val="20"/>
              </w:rPr>
              <w:t>9.92</w:t>
            </w:r>
          </w:p>
        </w:tc>
        <w:tc>
          <w:tcPr>
            <w:tcW w:w="685" w:type="pct"/>
            <w:tcBorders>
              <w:top w:val="nil"/>
              <w:bottom w:val="nil"/>
            </w:tcBorders>
            <w:vAlign w:val="center"/>
          </w:tcPr>
          <w:p w:rsidR="002D53EF" w:rsidRDefault="002D53EF">
            <w:pPr>
              <w:jc w:val="center"/>
              <w:rPr>
                <w:rFonts w:cs="Arial"/>
                <w:sz w:val="20"/>
                <w:szCs w:val="20"/>
              </w:rPr>
            </w:pPr>
            <w:r>
              <w:rPr>
                <w:rFonts w:cs="Arial"/>
                <w:sz w:val="20"/>
                <w:szCs w:val="20"/>
              </w:rPr>
              <w:t>233</w:t>
            </w:r>
          </w:p>
        </w:tc>
        <w:tc>
          <w:tcPr>
            <w:tcW w:w="608" w:type="pct"/>
            <w:tcBorders>
              <w:top w:val="nil"/>
              <w:bottom w:val="nil"/>
            </w:tcBorders>
            <w:vAlign w:val="center"/>
          </w:tcPr>
          <w:p w:rsidR="002D53EF" w:rsidRDefault="002D53EF">
            <w:pPr>
              <w:jc w:val="center"/>
              <w:rPr>
                <w:rFonts w:cs="Arial"/>
                <w:sz w:val="20"/>
                <w:szCs w:val="20"/>
              </w:rPr>
            </w:pPr>
            <w:r>
              <w:rPr>
                <w:rFonts w:cs="Arial"/>
                <w:sz w:val="20"/>
                <w:szCs w:val="20"/>
              </w:rPr>
              <w:t>229</w:t>
            </w:r>
          </w:p>
        </w:tc>
      </w:tr>
      <w:tr w:rsidR="002D53EF" w:rsidRPr="00405CDE" w:rsidTr="00B608F2">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2D53EF" w:rsidRDefault="002D53EF">
            <w:pPr>
              <w:rPr>
                <w:rFonts w:cs="Arial"/>
                <w:sz w:val="20"/>
                <w:szCs w:val="20"/>
              </w:rPr>
            </w:pPr>
            <w:r>
              <w:rPr>
                <w:rFonts w:cs="Arial"/>
                <w:sz w:val="20"/>
                <w:szCs w:val="20"/>
              </w:rPr>
              <w:t>% change from previous week</w:t>
            </w:r>
          </w:p>
        </w:tc>
        <w:tc>
          <w:tcPr>
            <w:tcW w:w="759" w:type="pct"/>
            <w:tcBorders>
              <w:top w:val="nil"/>
              <w:bottom w:val="nil"/>
            </w:tcBorders>
            <w:vAlign w:val="center"/>
          </w:tcPr>
          <w:p w:rsidR="002D53EF" w:rsidRDefault="002D53EF">
            <w:pPr>
              <w:jc w:val="center"/>
              <w:rPr>
                <w:rFonts w:cs="Arial"/>
                <w:sz w:val="20"/>
                <w:szCs w:val="20"/>
              </w:rPr>
            </w:pPr>
            <w:r>
              <w:rPr>
                <w:rFonts w:cs="Arial"/>
                <w:sz w:val="20"/>
                <w:szCs w:val="20"/>
              </w:rPr>
              <w:t>7</w:t>
            </w:r>
          </w:p>
        </w:tc>
        <w:tc>
          <w:tcPr>
            <w:tcW w:w="758" w:type="pct"/>
            <w:tcBorders>
              <w:top w:val="nil"/>
              <w:bottom w:val="nil"/>
            </w:tcBorders>
            <w:vAlign w:val="center"/>
          </w:tcPr>
          <w:p w:rsidR="002D53EF" w:rsidRDefault="002D53EF">
            <w:pPr>
              <w:jc w:val="center"/>
              <w:rPr>
                <w:rFonts w:cs="Arial"/>
                <w:sz w:val="20"/>
                <w:szCs w:val="20"/>
              </w:rPr>
            </w:pPr>
            <w:r>
              <w:rPr>
                <w:rFonts w:cs="Arial"/>
                <w:sz w:val="20"/>
                <w:szCs w:val="20"/>
              </w:rPr>
              <w:t>0</w:t>
            </w:r>
          </w:p>
        </w:tc>
        <w:tc>
          <w:tcPr>
            <w:tcW w:w="759" w:type="pct"/>
            <w:tcBorders>
              <w:top w:val="nil"/>
              <w:bottom w:val="nil"/>
            </w:tcBorders>
            <w:vAlign w:val="center"/>
          </w:tcPr>
          <w:p w:rsidR="002D53EF" w:rsidRDefault="002D53EF">
            <w:pPr>
              <w:jc w:val="center"/>
              <w:rPr>
                <w:rFonts w:cs="Arial"/>
                <w:sz w:val="20"/>
                <w:szCs w:val="20"/>
              </w:rPr>
            </w:pPr>
            <w:r>
              <w:rPr>
                <w:rFonts w:cs="Arial"/>
                <w:sz w:val="20"/>
                <w:szCs w:val="20"/>
              </w:rPr>
              <w:t>-25</w:t>
            </w:r>
          </w:p>
        </w:tc>
        <w:tc>
          <w:tcPr>
            <w:tcW w:w="685" w:type="pct"/>
            <w:tcBorders>
              <w:top w:val="nil"/>
              <w:bottom w:val="nil"/>
            </w:tcBorders>
            <w:vAlign w:val="center"/>
          </w:tcPr>
          <w:p w:rsidR="002D53EF" w:rsidRDefault="002D53EF">
            <w:pPr>
              <w:jc w:val="center"/>
              <w:rPr>
                <w:rFonts w:cs="Arial"/>
                <w:sz w:val="20"/>
                <w:szCs w:val="20"/>
              </w:rPr>
            </w:pPr>
            <w:r>
              <w:rPr>
                <w:rFonts w:cs="Arial"/>
                <w:sz w:val="20"/>
                <w:szCs w:val="20"/>
              </w:rPr>
              <w:t>1</w:t>
            </w:r>
          </w:p>
        </w:tc>
        <w:tc>
          <w:tcPr>
            <w:tcW w:w="608" w:type="pct"/>
            <w:tcBorders>
              <w:top w:val="nil"/>
              <w:bottom w:val="nil"/>
            </w:tcBorders>
            <w:vAlign w:val="center"/>
          </w:tcPr>
          <w:p w:rsidR="002D53EF" w:rsidRDefault="002D53EF">
            <w:pPr>
              <w:jc w:val="center"/>
              <w:rPr>
                <w:rFonts w:cs="Arial"/>
                <w:sz w:val="20"/>
                <w:szCs w:val="20"/>
              </w:rPr>
            </w:pPr>
            <w:r>
              <w:rPr>
                <w:rFonts w:cs="Arial"/>
                <w:sz w:val="20"/>
                <w:szCs w:val="20"/>
              </w:rPr>
              <w:t>-1</w:t>
            </w:r>
          </w:p>
        </w:tc>
      </w:tr>
      <w:tr w:rsidR="002D53EF" w:rsidRPr="00405CDE" w:rsidTr="00B608F2">
        <w:trPr>
          <w:trHeight w:val="510"/>
        </w:trPr>
        <w:tc>
          <w:tcPr>
            <w:tcW w:w="1430" w:type="pct"/>
            <w:tcBorders>
              <w:top w:val="nil"/>
              <w:bottom w:val="nil"/>
            </w:tcBorders>
            <w:vAlign w:val="center"/>
          </w:tcPr>
          <w:p w:rsidR="002D53EF" w:rsidRDefault="002D53EF">
            <w:pPr>
              <w:rPr>
                <w:rFonts w:cs="Arial"/>
                <w:sz w:val="20"/>
                <w:szCs w:val="20"/>
              </w:rPr>
            </w:pPr>
            <w:r>
              <w:rPr>
                <w:rFonts w:cs="Arial"/>
                <w:sz w:val="20"/>
                <w:szCs w:val="20"/>
              </w:rPr>
              <w:t>15-16 financial YTD</w:t>
            </w:r>
          </w:p>
        </w:tc>
        <w:tc>
          <w:tcPr>
            <w:tcW w:w="759" w:type="pct"/>
            <w:tcBorders>
              <w:top w:val="nil"/>
              <w:bottom w:val="nil"/>
            </w:tcBorders>
            <w:vAlign w:val="center"/>
          </w:tcPr>
          <w:p w:rsidR="002D53EF" w:rsidRDefault="002D53EF">
            <w:pPr>
              <w:jc w:val="center"/>
              <w:rPr>
                <w:rFonts w:cs="Arial"/>
                <w:sz w:val="20"/>
                <w:szCs w:val="20"/>
              </w:rPr>
            </w:pPr>
            <w:r>
              <w:rPr>
                <w:rFonts w:cs="Arial"/>
                <w:sz w:val="20"/>
                <w:szCs w:val="20"/>
              </w:rPr>
              <w:t>4.61</w:t>
            </w:r>
          </w:p>
        </w:tc>
        <w:tc>
          <w:tcPr>
            <w:tcW w:w="758" w:type="pct"/>
            <w:tcBorders>
              <w:top w:val="nil"/>
              <w:bottom w:val="nil"/>
            </w:tcBorders>
            <w:vAlign w:val="center"/>
          </w:tcPr>
          <w:p w:rsidR="002D53EF" w:rsidRDefault="002D53EF">
            <w:pPr>
              <w:jc w:val="center"/>
              <w:rPr>
                <w:rFonts w:cs="Arial"/>
                <w:sz w:val="20"/>
                <w:szCs w:val="20"/>
              </w:rPr>
            </w:pPr>
            <w:r>
              <w:rPr>
                <w:rFonts w:cs="Arial"/>
                <w:sz w:val="20"/>
                <w:szCs w:val="20"/>
              </w:rPr>
              <w:t>4.26</w:t>
            </w:r>
          </w:p>
        </w:tc>
        <w:tc>
          <w:tcPr>
            <w:tcW w:w="759" w:type="pct"/>
            <w:tcBorders>
              <w:top w:val="nil"/>
              <w:bottom w:val="nil"/>
            </w:tcBorders>
            <w:vAlign w:val="center"/>
          </w:tcPr>
          <w:p w:rsidR="002D53EF" w:rsidRDefault="002D53EF">
            <w:pPr>
              <w:jc w:val="center"/>
              <w:rPr>
                <w:rFonts w:cs="Arial"/>
                <w:sz w:val="20"/>
                <w:szCs w:val="20"/>
              </w:rPr>
            </w:pPr>
            <w:r>
              <w:rPr>
                <w:rFonts w:cs="Arial"/>
                <w:sz w:val="20"/>
                <w:szCs w:val="20"/>
              </w:rPr>
              <w:t>28.28</w:t>
            </w:r>
          </w:p>
        </w:tc>
        <w:tc>
          <w:tcPr>
            <w:tcW w:w="685" w:type="pct"/>
            <w:tcBorders>
              <w:top w:val="nil"/>
              <w:bottom w:val="nil"/>
            </w:tcBorders>
            <w:vAlign w:val="center"/>
          </w:tcPr>
          <w:p w:rsidR="002D53EF" w:rsidRDefault="002D53EF">
            <w:pPr>
              <w:jc w:val="center"/>
              <w:rPr>
                <w:rFonts w:cs="Arial"/>
                <w:sz w:val="20"/>
                <w:szCs w:val="20"/>
              </w:rPr>
            </w:pPr>
            <w:r>
              <w:rPr>
                <w:rFonts w:cs="Arial"/>
                <w:sz w:val="20"/>
                <w:szCs w:val="20"/>
              </w:rPr>
              <w:t>233</w:t>
            </w:r>
          </w:p>
        </w:tc>
        <w:tc>
          <w:tcPr>
            <w:tcW w:w="608" w:type="pct"/>
            <w:tcBorders>
              <w:top w:val="nil"/>
              <w:bottom w:val="nil"/>
            </w:tcBorders>
            <w:vAlign w:val="center"/>
          </w:tcPr>
          <w:p w:rsidR="002D53EF" w:rsidRDefault="002D53EF">
            <w:pPr>
              <w:jc w:val="center"/>
              <w:rPr>
                <w:rFonts w:cs="Arial"/>
                <w:sz w:val="20"/>
                <w:szCs w:val="20"/>
              </w:rPr>
            </w:pPr>
            <w:r>
              <w:rPr>
                <w:rFonts w:cs="Arial"/>
                <w:sz w:val="20"/>
                <w:szCs w:val="20"/>
              </w:rPr>
              <w:t>227</w:t>
            </w:r>
          </w:p>
        </w:tc>
      </w:tr>
      <w:tr w:rsidR="002D53EF" w:rsidRPr="00405CDE" w:rsidTr="00B608F2">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2D53EF" w:rsidRDefault="002D53EF">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38</w:t>
            </w:r>
          </w:p>
        </w:tc>
        <w:tc>
          <w:tcPr>
            <w:tcW w:w="758"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28</w:t>
            </w:r>
          </w:p>
        </w:tc>
        <w:tc>
          <w:tcPr>
            <w:tcW w:w="759"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103</w:t>
            </w:r>
          </w:p>
        </w:tc>
        <w:tc>
          <w:tcPr>
            <w:tcW w:w="685"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-2</w:t>
            </w:r>
          </w:p>
        </w:tc>
        <w:tc>
          <w:tcPr>
            <w:tcW w:w="608"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-4</w:t>
            </w:r>
          </w:p>
        </w:tc>
      </w:tr>
    </w:tbl>
    <w:p w:rsidR="00D1641C"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6C5082">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2D53EF" w:rsidRPr="00405CDE" w:rsidTr="0044181F">
        <w:trPr>
          <w:trHeight w:val="510"/>
        </w:trPr>
        <w:tc>
          <w:tcPr>
            <w:tcW w:w="1430" w:type="pct"/>
            <w:tcBorders>
              <w:top w:val="nil"/>
              <w:bottom w:val="nil"/>
            </w:tcBorders>
            <w:vAlign w:val="center"/>
          </w:tcPr>
          <w:p w:rsidR="002D53EF" w:rsidRDefault="002D53EF">
            <w:pPr>
              <w:rPr>
                <w:rFonts w:cs="Arial"/>
                <w:sz w:val="20"/>
                <w:szCs w:val="20"/>
              </w:rPr>
            </w:pPr>
            <w:r>
              <w:rPr>
                <w:rFonts w:cs="Arial"/>
                <w:sz w:val="20"/>
                <w:szCs w:val="20"/>
              </w:rPr>
              <w:t>24 Apr - 30 Apr 2016</w:t>
            </w:r>
          </w:p>
        </w:tc>
        <w:tc>
          <w:tcPr>
            <w:tcW w:w="759" w:type="pct"/>
            <w:tcBorders>
              <w:top w:val="nil"/>
              <w:bottom w:val="nil"/>
            </w:tcBorders>
            <w:vAlign w:val="center"/>
          </w:tcPr>
          <w:p w:rsidR="002D53EF" w:rsidRDefault="002D53EF">
            <w:pPr>
              <w:jc w:val="center"/>
              <w:rPr>
                <w:rFonts w:cs="Arial"/>
                <w:sz w:val="20"/>
                <w:szCs w:val="20"/>
              </w:rPr>
            </w:pPr>
            <w:r>
              <w:rPr>
                <w:rFonts w:cs="Arial"/>
                <w:sz w:val="20"/>
                <w:szCs w:val="20"/>
              </w:rPr>
              <w:t>5.88</w:t>
            </w:r>
          </w:p>
        </w:tc>
        <w:tc>
          <w:tcPr>
            <w:tcW w:w="758" w:type="pct"/>
            <w:tcBorders>
              <w:top w:val="nil"/>
              <w:bottom w:val="nil"/>
            </w:tcBorders>
            <w:vAlign w:val="center"/>
          </w:tcPr>
          <w:p w:rsidR="002D53EF" w:rsidRDefault="002D53EF">
            <w:pPr>
              <w:jc w:val="center"/>
              <w:rPr>
                <w:rFonts w:cs="Arial"/>
                <w:sz w:val="20"/>
                <w:szCs w:val="20"/>
              </w:rPr>
            </w:pPr>
            <w:r>
              <w:rPr>
                <w:rFonts w:cs="Arial"/>
                <w:sz w:val="20"/>
                <w:szCs w:val="20"/>
              </w:rPr>
              <w:t>5.51</w:t>
            </w:r>
          </w:p>
        </w:tc>
        <w:tc>
          <w:tcPr>
            <w:tcW w:w="759" w:type="pct"/>
            <w:tcBorders>
              <w:top w:val="nil"/>
              <w:bottom w:val="nil"/>
            </w:tcBorders>
            <w:vAlign w:val="center"/>
          </w:tcPr>
          <w:p w:rsidR="002D53EF" w:rsidRDefault="002D53EF">
            <w:pPr>
              <w:jc w:val="center"/>
              <w:rPr>
                <w:rFonts w:cs="Arial"/>
                <w:sz w:val="20"/>
                <w:szCs w:val="20"/>
              </w:rPr>
            </w:pPr>
            <w:r>
              <w:rPr>
                <w:rFonts w:cs="Arial"/>
                <w:sz w:val="20"/>
                <w:szCs w:val="20"/>
              </w:rPr>
              <w:t>23.51</w:t>
            </w:r>
          </w:p>
        </w:tc>
        <w:tc>
          <w:tcPr>
            <w:tcW w:w="685" w:type="pct"/>
            <w:tcBorders>
              <w:top w:val="nil"/>
              <w:bottom w:val="nil"/>
            </w:tcBorders>
            <w:vAlign w:val="center"/>
          </w:tcPr>
          <w:p w:rsidR="002D53EF" w:rsidRDefault="002D53EF">
            <w:pPr>
              <w:jc w:val="center"/>
              <w:rPr>
                <w:rFonts w:cs="Arial"/>
                <w:sz w:val="20"/>
                <w:szCs w:val="20"/>
              </w:rPr>
            </w:pPr>
            <w:r>
              <w:rPr>
                <w:rFonts w:cs="Arial"/>
                <w:sz w:val="20"/>
                <w:szCs w:val="20"/>
              </w:rPr>
              <w:t>55</w:t>
            </w:r>
          </w:p>
        </w:tc>
        <w:tc>
          <w:tcPr>
            <w:tcW w:w="608" w:type="pct"/>
            <w:tcBorders>
              <w:top w:val="nil"/>
              <w:bottom w:val="nil"/>
            </w:tcBorders>
            <w:vAlign w:val="center"/>
          </w:tcPr>
          <w:p w:rsidR="002D53EF" w:rsidRDefault="002D53EF">
            <w:pPr>
              <w:jc w:val="center"/>
              <w:rPr>
                <w:rFonts w:cs="Arial"/>
                <w:sz w:val="20"/>
                <w:szCs w:val="20"/>
              </w:rPr>
            </w:pPr>
            <w:r>
              <w:rPr>
                <w:rFonts w:cs="Arial"/>
                <w:sz w:val="20"/>
                <w:szCs w:val="20"/>
              </w:rPr>
              <w:t>51</w:t>
            </w:r>
          </w:p>
        </w:tc>
      </w:tr>
      <w:tr w:rsidR="002D53EF" w:rsidRPr="00405CDE" w:rsidTr="0044181F">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2D53EF" w:rsidRDefault="002D53EF">
            <w:pPr>
              <w:rPr>
                <w:rFonts w:cs="Arial"/>
                <w:sz w:val="20"/>
                <w:szCs w:val="20"/>
              </w:rPr>
            </w:pPr>
            <w:r>
              <w:rPr>
                <w:rFonts w:cs="Arial"/>
                <w:sz w:val="20"/>
                <w:szCs w:val="20"/>
              </w:rPr>
              <w:t>% change from previous week</w:t>
            </w:r>
          </w:p>
        </w:tc>
        <w:tc>
          <w:tcPr>
            <w:tcW w:w="759" w:type="pct"/>
            <w:tcBorders>
              <w:top w:val="nil"/>
              <w:bottom w:val="nil"/>
            </w:tcBorders>
            <w:vAlign w:val="center"/>
          </w:tcPr>
          <w:p w:rsidR="002D53EF" w:rsidRDefault="002D53EF">
            <w:pPr>
              <w:jc w:val="center"/>
              <w:rPr>
                <w:rFonts w:cs="Arial"/>
                <w:sz w:val="20"/>
                <w:szCs w:val="20"/>
              </w:rPr>
            </w:pPr>
            <w:r>
              <w:rPr>
                <w:rFonts w:cs="Arial"/>
                <w:sz w:val="20"/>
                <w:szCs w:val="20"/>
              </w:rPr>
              <w:t>-19</w:t>
            </w:r>
          </w:p>
        </w:tc>
        <w:tc>
          <w:tcPr>
            <w:tcW w:w="758" w:type="pct"/>
            <w:tcBorders>
              <w:top w:val="nil"/>
              <w:bottom w:val="nil"/>
            </w:tcBorders>
            <w:vAlign w:val="center"/>
          </w:tcPr>
          <w:p w:rsidR="002D53EF" w:rsidRDefault="002D53EF">
            <w:pPr>
              <w:jc w:val="center"/>
              <w:rPr>
                <w:rFonts w:cs="Arial"/>
                <w:sz w:val="20"/>
                <w:szCs w:val="20"/>
              </w:rPr>
            </w:pPr>
            <w:r>
              <w:rPr>
                <w:rFonts w:cs="Arial"/>
                <w:sz w:val="20"/>
                <w:szCs w:val="20"/>
              </w:rPr>
              <w:t>-16</w:t>
            </w:r>
          </w:p>
        </w:tc>
        <w:tc>
          <w:tcPr>
            <w:tcW w:w="759" w:type="pct"/>
            <w:tcBorders>
              <w:top w:val="nil"/>
              <w:bottom w:val="nil"/>
            </w:tcBorders>
            <w:vAlign w:val="center"/>
          </w:tcPr>
          <w:p w:rsidR="002D53EF" w:rsidRDefault="002D53EF">
            <w:pPr>
              <w:jc w:val="center"/>
              <w:rPr>
                <w:rFonts w:cs="Arial"/>
                <w:sz w:val="20"/>
                <w:szCs w:val="20"/>
              </w:rPr>
            </w:pPr>
            <w:r>
              <w:rPr>
                <w:rFonts w:cs="Arial"/>
                <w:sz w:val="20"/>
                <w:szCs w:val="20"/>
              </w:rPr>
              <w:t>696</w:t>
            </w:r>
          </w:p>
        </w:tc>
        <w:tc>
          <w:tcPr>
            <w:tcW w:w="685" w:type="pct"/>
            <w:tcBorders>
              <w:top w:val="nil"/>
              <w:bottom w:val="nil"/>
            </w:tcBorders>
            <w:vAlign w:val="center"/>
          </w:tcPr>
          <w:p w:rsidR="002D53EF" w:rsidRDefault="002D53EF">
            <w:pPr>
              <w:jc w:val="center"/>
              <w:rPr>
                <w:rFonts w:cs="Arial"/>
                <w:sz w:val="20"/>
                <w:szCs w:val="20"/>
              </w:rPr>
            </w:pPr>
            <w:r>
              <w:rPr>
                <w:rFonts w:cs="Arial"/>
                <w:sz w:val="20"/>
                <w:szCs w:val="20"/>
              </w:rPr>
              <w:t>-2</w:t>
            </w:r>
          </w:p>
        </w:tc>
        <w:tc>
          <w:tcPr>
            <w:tcW w:w="608" w:type="pct"/>
            <w:tcBorders>
              <w:top w:val="nil"/>
              <w:bottom w:val="nil"/>
            </w:tcBorders>
            <w:vAlign w:val="center"/>
          </w:tcPr>
          <w:p w:rsidR="002D53EF" w:rsidRDefault="002D53EF">
            <w:pPr>
              <w:jc w:val="center"/>
              <w:rPr>
                <w:rFonts w:cs="Arial"/>
                <w:sz w:val="20"/>
                <w:szCs w:val="20"/>
              </w:rPr>
            </w:pPr>
            <w:r>
              <w:rPr>
                <w:rFonts w:cs="Arial"/>
                <w:sz w:val="20"/>
                <w:szCs w:val="20"/>
              </w:rPr>
              <w:t>-4</w:t>
            </w:r>
          </w:p>
        </w:tc>
      </w:tr>
      <w:tr w:rsidR="002D53EF" w:rsidRPr="00405CDE" w:rsidTr="0044181F">
        <w:trPr>
          <w:trHeight w:val="510"/>
        </w:trPr>
        <w:tc>
          <w:tcPr>
            <w:tcW w:w="1430" w:type="pct"/>
            <w:tcBorders>
              <w:top w:val="nil"/>
              <w:bottom w:val="nil"/>
            </w:tcBorders>
            <w:vAlign w:val="center"/>
          </w:tcPr>
          <w:p w:rsidR="002D53EF" w:rsidRDefault="002D53EF">
            <w:pPr>
              <w:rPr>
                <w:rFonts w:cs="Arial"/>
                <w:sz w:val="20"/>
                <w:szCs w:val="20"/>
              </w:rPr>
            </w:pPr>
            <w:r>
              <w:rPr>
                <w:rFonts w:cs="Arial"/>
                <w:sz w:val="20"/>
                <w:szCs w:val="20"/>
              </w:rPr>
              <w:t>15-16 financial YTD</w:t>
            </w:r>
          </w:p>
        </w:tc>
        <w:tc>
          <w:tcPr>
            <w:tcW w:w="759" w:type="pct"/>
            <w:tcBorders>
              <w:top w:val="nil"/>
              <w:bottom w:val="nil"/>
            </w:tcBorders>
            <w:vAlign w:val="center"/>
          </w:tcPr>
          <w:p w:rsidR="002D53EF" w:rsidRDefault="002D53EF">
            <w:pPr>
              <w:jc w:val="center"/>
              <w:rPr>
                <w:rFonts w:cs="Arial"/>
                <w:sz w:val="20"/>
                <w:szCs w:val="20"/>
              </w:rPr>
            </w:pPr>
            <w:r>
              <w:rPr>
                <w:rFonts w:cs="Arial"/>
                <w:sz w:val="20"/>
                <w:szCs w:val="20"/>
              </w:rPr>
              <w:t>5.28</w:t>
            </w:r>
          </w:p>
        </w:tc>
        <w:tc>
          <w:tcPr>
            <w:tcW w:w="758" w:type="pct"/>
            <w:tcBorders>
              <w:top w:val="nil"/>
              <w:bottom w:val="nil"/>
            </w:tcBorders>
            <w:vAlign w:val="center"/>
          </w:tcPr>
          <w:p w:rsidR="002D53EF" w:rsidRDefault="002D53EF">
            <w:pPr>
              <w:jc w:val="center"/>
              <w:rPr>
                <w:rFonts w:cs="Arial"/>
                <w:sz w:val="20"/>
                <w:szCs w:val="20"/>
              </w:rPr>
            </w:pPr>
            <w:r>
              <w:rPr>
                <w:rFonts w:cs="Arial"/>
                <w:sz w:val="20"/>
                <w:szCs w:val="20"/>
              </w:rPr>
              <w:t>5.36</w:t>
            </w:r>
          </w:p>
        </w:tc>
        <w:tc>
          <w:tcPr>
            <w:tcW w:w="759" w:type="pct"/>
            <w:tcBorders>
              <w:top w:val="nil"/>
              <w:bottom w:val="nil"/>
            </w:tcBorders>
            <w:vAlign w:val="center"/>
          </w:tcPr>
          <w:p w:rsidR="002D53EF" w:rsidRDefault="002D53EF">
            <w:pPr>
              <w:jc w:val="center"/>
              <w:rPr>
                <w:rFonts w:cs="Arial"/>
                <w:sz w:val="20"/>
                <w:szCs w:val="20"/>
              </w:rPr>
            </w:pPr>
            <w:r>
              <w:rPr>
                <w:rFonts w:cs="Arial"/>
                <w:sz w:val="20"/>
                <w:szCs w:val="20"/>
              </w:rPr>
              <w:t>8.62</w:t>
            </w:r>
          </w:p>
        </w:tc>
        <w:tc>
          <w:tcPr>
            <w:tcW w:w="685" w:type="pct"/>
            <w:tcBorders>
              <w:top w:val="nil"/>
              <w:bottom w:val="nil"/>
            </w:tcBorders>
            <w:vAlign w:val="center"/>
          </w:tcPr>
          <w:p w:rsidR="002D53EF" w:rsidRDefault="002D53EF">
            <w:pPr>
              <w:jc w:val="center"/>
              <w:rPr>
                <w:rFonts w:cs="Arial"/>
                <w:sz w:val="20"/>
                <w:szCs w:val="20"/>
              </w:rPr>
            </w:pPr>
            <w:r>
              <w:rPr>
                <w:rFonts w:cs="Arial"/>
                <w:sz w:val="20"/>
                <w:szCs w:val="20"/>
              </w:rPr>
              <w:t>58</w:t>
            </w:r>
          </w:p>
        </w:tc>
        <w:tc>
          <w:tcPr>
            <w:tcW w:w="608" w:type="pct"/>
            <w:tcBorders>
              <w:top w:val="nil"/>
              <w:bottom w:val="nil"/>
            </w:tcBorders>
            <w:vAlign w:val="center"/>
          </w:tcPr>
          <w:p w:rsidR="002D53EF" w:rsidRDefault="002D53EF">
            <w:pPr>
              <w:jc w:val="center"/>
              <w:rPr>
                <w:rFonts w:cs="Arial"/>
                <w:sz w:val="20"/>
                <w:szCs w:val="20"/>
              </w:rPr>
            </w:pPr>
            <w:r>
              <w:rPr>
                <w:rFonts w:cs="Arial"/>
                <w:sz w:val="20"/>
                <w:szCs w:val="20"/>
              </w:rPr>
              <w:t>59</w:t>
            </w:r>
          </w:p>
        </w:tc>
      </w:tr>
      <w:tr w:rsidR="002D53EF" w:rsidRPr="00405CDE" w:rsidTr="0044181F">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2D53EF" w:rsidRDefault="002D53EF">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45</w:t>
            </w:r>
          </w:p>
        </w:tc>
        <w:tc>
          <w:tcPr>
            <w:tcW w:w="758"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50</w:t>
            </w:r>
          </w:p>
        </w:tc>
        <w:tc>
          <w:tcPr>
            <w:tcW w:w="759"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-34</w:t>
            </w:r>
          </w:p>
        </w:tc>
        <w:tc>
          <w:tcPr>
            <w:tcW w:w="685"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-4</w:t>
            </w:r>
          </w:p>
        </w:tc>
        <w:tc>
          <w:tcPr>
            <w:tcW w:w="608"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-2</w:t>
            </w:r>
          </w:p>
        </w:tc>
      </w:tr>
    </w:tbl>
    <w:p w:rsidR="00D1641C" w:rsidRDefault="006E7E57" w:rsidP="00D1641C">
      <w:pPr>
        <w:pStyle w:val="Heading2"/>
        <w:ind w:firstLine="0"/>
        <w:rPr>
          <w:i w:val="0"/>
          <w:color w:val="2272A3"/>
          <w:sz w:val="24"/>
          <w:szCs w:val="24"/>
        </w:rPr>
      </w:pPr>
      <w:r>
        <w:rPr>
          <w:i w:val="0"/>
          <w:color w:val="2272A3"/>
          <w:sz w:val="24"/>
          <w:szCs w:val="24"/>
        </w:rPr>
        <w:t>Brisbane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91453B">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2D53EF" w:rsidRPr="00405CDE" w:rsidTr="00D569BF">
        <w:trPr>
          <w:trHeight w:val="510"/>
        </w:trPr>
        <w:tc>
          <w:tcPr>
            <w:tcW w:w="1430" w:type="pct"/>
            <w:tcBorders>
              <w:top w:val="nil"/>
              <w:bottom w:val="nil"/>
            </w:tcBorders>
            <w:vAlign w:val="center"/>
          </w:tcPr>
          <w:p w:rsidR="002D53EF" w:rsidRDefault="002D53EF">
            <w:pPr>
              <w:rPr>
                <w:rFonts w:cs="Arial"/>
                <w:sz w:val="20"/>
                <w:szCs w:val="20"/>
              </w:rPr>
            </w:pPr>
            <w:r>
              <w:rPr>
                <w:rFonts w:cs="Arial"/>
                <w:sz w:val="20"/>
                <w:szCs w:val="20"/>
              </w:rPr>
              <w:t>24 Apr - 30 Apr 2016</w:t>
            </w:r>
          </w:p>
        </w:tc>
        <w:tc>
          <w:tcPr>
            <w:tcW w:w="759" w:type="pct"/>
            <w:tcBorders>
              <w:top w:val="nil"/>
              <w:bottom w:val="nil"/>
            </w:tcBorders>
            <w:vAlign w:val="center"/>
          </w:tcPr>
          <w:p w:rsidR="002D53EF" w:rsidRDefault="002D53EF">
            <w:pPr>
              <w:jc w:val="center"/>
              <w:rPr>
                <w:rFonts w:cs="Arial"/>
                <w:sz w:val="20"/>
                <w:szCs w:val="20"/>
              </w:rPr>
            </w:pPr>
            <w:r>
              <w:rPr>
                <w:rFonts w:cs="Arial"/>
                <w:sz w:val="20"/>
                <w:szCs w:val="20"/>
              </w:rPr>
              <w:t>5.29</w:t>
            </w:r>
          </w:p>
        </w:tc>
        <w:tc>
          <w:tcPr>
            <w:tcW w:w="758" w:type="pct"/>
            <w:tcBorders>
              <w:top w:val="nil"/>
              <w:bottom w:val="nil"/>
            </w:tcBorders>
            <w:vAlign w:val="center"/>
          </w:tcPr>
          <w:p w:rsidR="002D53EF" w:rsidRDefault="002D53EF">
            <w:pPr>
              <w:jc w:val="center"/>
              <w:rPr>
                <w:rFonts w:cs="Arial"/>
                <w:sz w:val="20"/>
                <w:szCs w:val="20"/>
              </w:rPr>
            </w:pPr>
            <w:r>
              <w:rPr>
                <w:rFonts w:cs="Arial"/>
                <w:sz w:val="20"/>
                <w:szCs w:val="20"/>
              </w:rPr>
              <w:t>5.32</w:t>
            </w:r>
          </w:p>
        </w:tc>
        <w:tc>
          <w:tcPr>
            <w:tcW w:w="759" w:type="pct"/>
            <w:tcBorders>
              <w:top w:val="nil"/>
              <w:bottom w:val="nil"/>
            </w:tcBorders>
            <w:vAlign w:val="center"/>
          </w:tcPr>
          <w:p w:rsidR="002D53EF" w:rsidRDefault="002D53EF">
            <w:pPr>
              <w:jc w:val="center"/>
              <w:rPr>
                <w:rFonts w:cs="Arial"/>
                <w:sz w:val="20"/>
                <w:szCs w:val="20"/>
              </w:rPr>
            </w:pPr>
            <w:r>
              <w:rPr>
                <w:rFonts w:cs="Arial"/>
                <w:sz w:val="20"/>
                <w:szCs w:val="20"/>
              </w:rPr>
              <w:t>1.76</w:t>
            </w:r>
          </w:p>
        </w:tc>
        <w:tc>
          <w:tcPr>
            <w:tcW w:w="685" w:type="pct"/>
            <w:tcBorders>
              <w:top w:val="nil"/>
              <w:bottom w:val="nil"/>
            </w:tcBorders>
            <w:vAlign w:val="center"/>
          </w:tcPr>
          <w:p w:rsidR="002D53EF" w:rsidRDefault="002D53EF">
            <w:pPr>
              <w:jc w:val="center"/>
              <w:rPr>
                <w:rFonts w:cs="Arial"/>
                <w:sz w:val="20"/>
                <w:szCs w:val="20"/>
              </w:rPr>
            </w:pPr>
            <w:r>
              <w:rPr>
                <w:rFonts w:cs="Arial"/>
                <w:sz w:val="20"/>
                <w:szCs w:val="20"/>
              </w:rPr>
              <w:t>87</w:t>
            </w:r>
          </w:p>
        </w:tc>
        <w:tc>
          <w:tcPr>
            <w:tcW w:w="608" w:type="pct"/>
            <w:tcBorders>
              <w:top w:val="nil"/>
              <w:bottom w:val="nil"/>
            </w:tcBorders>
            <w:vAlign w:val="center"/>
          </w:tcPr>
          <w:p w:rsidR="002D53EF" w:rsidRDefault="002D53EF">
            <w:pPr>
              <w:jc w:val="center"/>
              <w:rPr>
                <w:rFonts w:cs="Arial"/>
                <w:sz w:val="20"/>
                <w:szCs w:val="20"/>
              </w:rPr>
            </w:pPr>
            <w:r>
              <w:rPr>
                <w:rFonts w:cs="Arial"/>
                <w:sz w:val="20"/>
                <w:szCs w:val="20"/>
              </w:rPr>
              <w:t>88</w:t>
            </w:r>
          </w:p>
        </w:tc>
      </w:tr>
      <w:tr w:rsidR="002D53EF" w:rsidRPr="00405CDE" w:rsidTr="00D569BF">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2D53EF" w:rsidRDefault="002D53EF">
            <w:pPr>
              <w:rPr>
                <w:rFonts w:cs="Arial"/>
                <w:sz w:val="20"/>
                <w:szCs w:val="20"/>
              </w:rPr>
            </w:pPr>
            <w:r>
              <w:rPr>
                <w:rFonts w:cs="Arial"/>
                <w:sz w:val="20"/>
                <w:szCs w:val="20"/>
              </w:rPr>
              <w:t>% change from previous week</w:t>
            </w:r>
          </w:p>
        </w:tc>
        <w:tc>
          <w:tcPr>
            <w:tcW w:w="759" w:type="pct"/>
            <w:tcBorders>
              <w:top w:val="nil"/>
              <w:bottom w:val="nil"/>
            </w:tcBorders>
            <w:vAlign w:val="center"/>
          </w:tcPr>
          <w:p w:rsidR="002D53EF" w:rsidRDefault="002D53EF">
            <w:pPr>
              <w:jc w:val="center"/>
              <w:rPr>
                <w:rFonts w:cs="Arial"/>
                <w:sz w:val="20"/>
                <w:szCs w:val="20"/>
              </w:rPr>
            </w:pPr>
            <w:r>
              <w:rPr>
                <w:rFonts w:cs="Arial"/>
                <w:sz w:val="20"/>
                <w:szCs w:val="20"/>
              </w:rPr>
              <w:t>7</w:t>
            </w:r>
          </w:p>
        </w:tc>
        <w:tc>
          <w:tcPr>
            <w:tcW w:w="758" w:type="pct"/>
            <w:tcBorders>
              <w:top w:val="nil"/>
              <w:bottom w:val="nil"/>
            </w:tcBorders>
            <w:vAlign w:val="center"/>
          </w:tcPr>
          <w:p w:rsidR="002D53EF" w:rsidRDefault="002D53EF">
            <w:pPr>
              <w:jc w:val="center"/>
              <w:rPr>
                <w:rFonts w:cs="Arial"/>
                <w:sz w:val="20"/>
                <w:szCs w:val="20"/>
              </w:rPr>
            </w:pPr>
            <w:r>
              <w:rPr>
                <w:rFonts w:cs="Arial"/>
                <w:sz w:val="20"/>
                <w:szCs w:val="20"/>
              </w:rPr>
              <w:t>8</w:t>
            </w:r>
          </w:p>
        </w:tc>
        <w:tc>
          <w:tcPr>
            <w:tcW w:w="759" w:type="pct"/>
            <w:tcBorders>
              <w:top w:val="nil"/>
              <w:bottom w:val="nil"/>
            </w:tcBorders>
            <w:vAlign w:val="center"/>
          </w:tcPr>
          <w:p w:rsidR="002D53EF" w:rsidRDefault="002D53EF">
            <w:pPr>
              <w:jc w:val="center"/>
              <w:rPr>
                <w:rFonts w:cs="Arial"/>
                <w:sz w:val="20"/>
                <w:szCs w:val="20"/>
              </w:rPr>
            </w:pPr>
            <w:r>
              <w:rPr>
                <w:rFonts w:cs="Arial"/>
                <w:sz w:val="20"/>
                <w:szCs w:val="20"/>
              </w:rPr>
              <w:t>115</w:t>
            </w:r>
          </w:p>
        </w:tc>
        <w:tc>
          <w:tcPr>
            <w:tcW w:w="685" w:type="pct"/>
            <w:tcBorders>
              <w:top w:val="nil"/>
              <w:bottom w:val="nil"/>
            </w:tcBorders>
            <w:vAlign w:val="center"/>
          </w:tcPr>
          <w:p w:rsidR="002D53EF" w:rsidRDefault="002D53EF">
            <w:pPr>
              <w:jc w:val="center"/>
              <w:rPr>
                <w:rFonts w:cs="Arial"/>
                <w:sz w:val="20"/>
                <w:szCs w:val="20"/>
              </w:rPr>
            </w:pPr>
            <w:r>
              <w:rPr>
                <w:rFonts w:cs="Arial"/>
                <w:sz w:val="20"/>
                <w:szCs w:val="20"/>
              </w:rPr>
              <w:t>-3</w:t>
            </w:r>
          </w:p>
        </w:tc>
        <w:tc>
          <w:tcPr>
            <w:tcW w:w="608" w:type="pct"/>
            <w:tcBorders>
              <w:top w:val="nil"/>
              <w:bottom w:val="nil"/>
            </w:tcBorders>
            <w:vAlign w:val="center"/>
          </w:tcPr>
          <w:p w:rsidR="002D53EF" w:rsidRDefault="002D53EF">
            <w:pPr>
              <w:jc w:val="center"/>
              <w:rPr>
                <w:rFonts w:cs="Arial"/>
                <w:sz w:val="20"/>
                <w:szCs w:val="20"/>
              </w:rPr>
            </w:pPr>
            <w:r>
              <w:rPr>
                <w:rFonts w:cs="Arial"/>
                <w:sz w:val="20"/>
                <w:szCs w:val="20"/>
              </w:rPr>
              <w:t>-2</w:t>
            </w:r>
          </w:p>
        </w:tc>
      </w:tr>
      <w:tr w:rsidR="002D53EF" w:rsidRPr="00405CDE" w:rsidTr="00D569BF">
        <w:trPr>
          <w:trHeight w:val="510"/>
        </w:trPr>
        <w:tc>
          <w:tcPr>
            <w:tcW w:w="1430" w:type="pct"/>
            <w:tcBorders>
              <w:top w:val="nil"/>
              <w:bottom w:val="nil"/>
            </w:tcBorders>
            <w:vAlign w:val="center"/>
          </w:tcPr>
          <w:p w:rsidR="002D53EF" w:rsidRDefault="002D53EF">
            <w:pPr>
              <w:rPr>
                <w:rFonts w:cs="Arial"/>
                <w:sz w:val="20"/>
                <w:szCs w:val="20"/>
              </w:rPr>
            </w:pPr>
            <w:r>
              <w:rPr>
                <w:rFonts w:cs="Arial"/>
                <w:sz w:val="20"/>
                <w:szCs w:val="20"/>
              </w:rPr>
              <w:t>15-16 financial YTD</w:t>
            </w:r>
          </w:p>
        </w:tc>
        <w:tc>
          <w:tcPr>
            <w:tcW w:w="759" w:type="pct"/>
            <w:tcBorders>
              <w:top w:val="nil"/>
              <w:bottom w:val="nil"/>
            </w:tcBorders>
            <w:vAlign w:val="center"/>
          </w:tcPr>
          <w:p w:rsidR="002D53EF" w:rsidRDefault="002D53EF">
            <w:pPr>
              <w:jc w:val="center"/>
              <w:rPr>
                <w:rFonts w:cs="Arial"/>
                <w:sz w:val="20"/>
                <w:szCs w:val="20"/>
              </w:rPr>
            </w:pPr>
            <w:r>
              <w:rPr>
                <w:rFonts w:cs="Arial"/>
                <w:sz w:val="20"/>
                <w:szCs w:val="20"/>
              </w:rPr>
              <w:t>4.23</w:t>
            </w:r>
          </w:p>
        </w:tc>
        <w:tc>
          <w:tcPr>
            <w:tcW w:w="758" w:type="pct"/>
            <w:tcBorders>
              <w:top w:val="nil"/>
              <w:bottom w:val="nil"/>
            </w:tcBorders>
            <w:vAlign w:val="center"/>
          </w:tcPr>
          <w:p w:rsidR="002D53EF" w:rsidRDefault="002D53EF">
            <w:pPr>
              <w:jc w:val="center"/>
              <w:rPr>
                <w:rFonts w:cs="Arial"/>
                <w:sz w:val="20"/>
                <w:szCs w:val="20"/>
              </w:rPr>
            </w:pPr>
            <w:r>
              <w:rPr>
                <w:rFonts w:cs="Arial"/>
                <w:sz w:val="20"/>
                <w:szCs w:val="20"/>
              </w:rPr>
              <w:t>4.23</w:t>
            </w:r>
          </w:p>
        </w:tc>
        <w:tc>
          <w:tcPr>
            <w:tcW w:w="759" w:type="pct"/>
            <w:tcBorders>
              <w:top w:val="nil"/>
              <w:bottom w:val="nil"/>
            </w:tcBorders>
            <w:vAlign w:val="center"/>
          </w:tcPr>
          <w:p w:rsidR="002D53EF" w:rsidRDefault="002D53EF">
            <w:pPr>
              <w:jc w:val="center"/>
              <w:rPr>
                <w:rFonts w:cs="Arial"/>
                <w:sz w:val="20"/>
                <w:szCs w:val="20"/>
              </w:rPr>
            </w:pPr>
            <w:r>
              <w:rPr>
                <w:rFonts w:cs="Arial"/>
                <w:sz w:val="20"/>
                <w:szCs w:val="20"/>
              </w:rPr>
              <w:t>1.54</w:t>
            </w:r>
          </w:p>
        </w:tc>
        <w:tc>
          <w:tcPr>
            <w:tcW w:w="685" w:type="pct"/>
            <w:tcBorders>
              <w:top w:val="nil"/>
              <w:bottom w:val="nil"/>
            </w:tcBorders>
            <w:vAlign w:val="center"/>
          </w:tcPr>
          <w:p w:rsidR="002D53EF" w:rsidRDefault="002D53EF">
            <w:pPr>
              <w:jc w:val="center"/>
              <w:rPr>
                <w:rFonts w:cs="Arial"/>
                <w:sz w:val="20"/>
                <w:szCs w:val="20"/>
              </w:rPr>
            </w:pPr>
            <w:r>
              <w:rPr>
                <w:rFonts w:cs="Arial"/>
                <w:sz w:val="20"/>
                <w:szCs w:val="20"/>
              </w:rPr>
              <w:t>83</w:t>
            </w:r>
          </w:p>
        </w:tc>
        <w:tc>
          <w:tcPr>
            <w:tcW w:w="608" w:type="pct"/>
            <w:tcBorders>
              <w:top w:val="nil"/>
              <w:bottom w:val="nil"/>
            </w:tcBorders>
            <w:vAlign w:val="center"/>
          </w:tcPr>
          <w:p w:rsidR="002D53EF" w:rsidRDefault="002D53EF">
            <w:pPr>
              <w:jc w:val="center"/>
              <w:rPr>
                <w:rFonts w:cs="Arial"/>
                <w:sz w:val="20"/>
                <w:szCs w:val="20"/>
              </w:rPr>
            </w:pPr>
            <w:r>
              <w:rPr>
                <w:rFonts w:cs="Arial"/>
                <w:sz w:val="20"/>
                <w:szCs w:val="20"/>
              </w:rPr>
              <w:t>83</w:t>
            </w:r>
          </w:p>
        </w:tc>
      </w:tr>
      <w:tr w:rsidR="002D53EF" w:rsidRPr="00405CDE" w:rsidTr="00D569BF">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2D53EF" w:rsidRDefault="002D53EF">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78</w:t>
            </w:r>
          </w:p>
        </w:tc>
        <w:tc>
          <w:tcPr>
            <w:tcW w:w="758"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87</w:t>
            </w:r>
          </w:p>
        </w:tc>
        <w:tc>
          <w:tcPr>
            <w:tcW w:w="759"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-6</w:t>
            </w:r>
          </w:p>
        </w:tc>
        <w:tc>
          <w:tcPr>
            <w:tcW w:w="685"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-39</w:t>
            </w:r>
          </w:p>
        </w:tc>
        <w:tc>
          <w:tcPr>
            <w:tcW w:w="608"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-39</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BC18FB" w:rsidRPr="006E7E57" w:rsidRDefault="00FE30E3" w:rsidP="00BC18FB">
      <w:pPr>
        <w:pStyle w:val="Heading1"/>
        <w:numPr>
          <w:ilvl w:val="0"/>
          <w:numId w:val="0"/>
        </w:numPr>
        <w:rPr>
          <w:color w:val="2272A3"/>
        </w:rPr>
      </w:pPr>
      <w:r>
        <w:rPr>
          <w:color w:val="2272A3"/>
        </w:rPr>
        <w:lastRenderedPageBreak/>
        <w:t>Detailed market analysis</w:t>
      </w:r>
    </w:p>
    <w:p w:rsidR="00016981" w:rsidRPr="00A30237" w:rsidRDefault="00016981" w:rsidP="00016981">
      <w:pPr>
        <w:jc w:val="both"/>
        <w:rPr>
          <w:i/>
        </w:rPr>
      </w:pPr>
      <w:r w:rsidRPr="00A30237">
        <w:rPr>
          <w:i/>
        </w:rPr>
        <w:t>Victoria</w:t>
      </w:r>
    </w:p>
    <w:p w:rsidR="001E6A78" w:rsidRPr="00A30237" w:rsidRDefault="001E6A78" w:rsidP="00016981">
      <w:pPr>
        <w:jc w:val="both"/>
      </w:pPr>
      <w:r w:rsidRPr="00A30237">
        <w:t>Continuing from the previous week, an outage for planned maintenance at the Brooklyn Compressor Station in Victoria led to participants’ responding to a potential threat to system security. Injections were scheduled out of merit order across the week and resulted in ancillary payments of between $5640 and $35 127 on gas days from 25 April.</w:t>
      </w:r>
    </w:p>
    <w:p w:rsidR="00016981" w:rsidRPr="00A30237" w:rsidRDefault="00016981" w:rsidP="001B3823">
      <w:pPr>
        <w:jc w:val="both"/>
        <w:rPr>
          <w:rFonts w:eastAsia="MS Mincho"/>
          <w:i/>
        </w:rPr>
      </w:pPr>
      <w:r w:rsidRPr="00A30237">
        <w:rPr>
          <w:rFonts w:eastAsia="MS Mincho"/>
          <w:i/>
        </w:rPr>
        <w:t>Adelaide</w:t>
      </w:r>
    </w:p>
    <w:p w:rsidR="00044C2D" w:rsidRPr="00A30237" w:rsidRDefault="00044C2D" w:rsidP="00016981">
      <w:pPr>
        <w:jc w:val="both"/>
      </w:pPr>
      <w:r w:rsidRPr="00A30237">
        <w:t>Figure 3.4 on page 8 shows the decrease MOS requirements which occurred as a result of over forecasting across the week. On 27 April, service payments accrued to $117 565 resulting from a 10.4 TJ decrease requirement on the Moomba to Adelaide Pipeline (of which 2.8 TJ was allocated as overrun).</w:t>
      </w:r>
      <w:r w:rsidR="006D2750" w:rsidRPr="00A30237">
        <w:rPr>
          <w:rStyle w:val="FootnoteReference"/>
        </w:rPr>
        <w:footnoteReference w:id="2"/>
      </w:r>
      <w:r w:rsidR="006D2750" w:rsidRPr="00A30237">
        <w:t xml:space="preserve"> This was further influenced by the over delivery of 2.9 TJ on the pipeline.</w:t>
      </w:r>
      <w:r w:rsidR="006D2750" w:rsidRPr="00A30237">
        <w:rPr>
          <w:rStyle w:val="FootnoteReference"/>
        </w:rPr>
        <w:footnoteReference w:id="3"/>
      </w:r>
    </w:p>
    <w:p w:rsidR="00016981" w:rsidRPr="00A30237" w:rsidRDefault="001E6A78" w:rsidP="00016981">
      <w:pPr>
        <w:jc w:val="both"/>
        <w:rPr>
          <w:i/>
        </w:rPr>
      </w:pPr>
      <w:r w:rsidRPr="00A30237">
        <w:rPr>
          <w:i/>
        </w:rPr>
        <w:t>Sydney</w:t>
      </w:r>
    </w:p>
    <w:p w:rsidR="00016981" w:rsidRPr="00A30237" w:rsidRDefault="001E6A78" w:rsidP="00016981">
      <w:pPr>
        <w:jc w:val="both"/>
      </w:pPr>
      <w:r w:rsidRPr="00A30237">
        <w:t xml:space="preserve">In Sydney, pipeline flow direction constraint prices were set on the MSP for </w:t>
      </w:r>
      <w:r w:rsidR="00016981" w:rsidRPr="00A30237">
        <w:t>29 April ($0.92/GJ)</w:t>
      </w:r>
      <w:r w:rsidRPr="00A30237">
        <w:t xml:space="preserve"> and </w:t>
      </w:r>
      <w:r w:rsidR="00016981" w:rsidRPr="00A30237">
        <w:t>30 April ($2.17/GJ)</w:t>
      </w:r>
      <w:r w:rsidRPr="00A30237">
        <w:t>.</w:t>
      </w:r>
      <w:r w:rsidRPr="00A30237">
        <w:rPr>
          <w:rStyle w:val="FootnoteReference"/>
        </w:rPr>
        <w:footnoteReference w:id="4"/>
      </w:r>
    </w:p>
    <w:p w:rsidR="00016981" w:rsidRPr="00A30237" w:rsidRDefault="00016981" w:rsidP="00016981">
      <w:pPr>
        <w:jc w:val="both"/>
      </w:pPr>
    </w:p>
    <w:p w:rsidR="004420C4" w:rsidRPr="004420C4" w:rsidRDefault="0008491C" w:rsidP="004420C4">
      <w:pPr>
        <w:pStyle w:val="Heading1"/>
        <w:numPr>
          <w:ilvl w:val="0"/>
          <w:numId w:val="0"/>
        </w:numPr>
        <w:spacing w:before="120" w:after="0"/>
        <w:ind w:left="142"/>
        <w:rPr>
          <w:color w:val="FFFFFF"/>
          <w:sz w:val="36"/>
        </w:rPr>
      </w:pPr>
      <w:r>
        <w:rPr>
          <w:color w:val="FFFFFF" w:themeColor="background1"/>
          <w:sz w:val="36"/>
          <w:szCs w:val="36"/>
        </w:rPr>
        <w:br w:type="page"/>
      </w:r>
      <w:r w:rsidR="007145B2">
        <w:rPr>
          <w:color w:val="FFFFFF"/>
          <w:sz w:val="36"/>
        </w:rPr>
        <w:lastRenderedPageBreak/>
        <w:pict>
          <v:shape id="_x0000_s1075" type="#_x0000_t75" alt="Australian Energy Regulator logo" style="position:absolute;left:0;text-align:left;margin-left:.95pt;margin-top:-.3pt;width:476.25pt;height:77.25pt;z-index:-251652096;mso-position-horizontal-relative:text;mso-position-vertical-relative:text">
            <v:imagedata r:id="rId8" o:title="AER-header for report templates"/>
          </v:shape>
        </w:pict>
      </w:r>
      <w:r w:rsidR="007145B2">
        <w:rPr>
          <w:color w:val="FFFFFF"/>
          <w:sz w:val="36"/>
        </w:rPr>
        <w:pict>
          <v:shape id="_x0000_s1097" type="#_x0000_t75" style="position:absolute;left:0;text-align:left;margin-left:720.75pt;margin-top:282.05pt;width:386.3pt;height:299.3pt;z-index:251669504;mso-position-horizontal-relative:text;mso-position-vertical-relative:text" fillcolor="black" strokecolor="white" strokeweight="3e-5mm">
            <v:imagedata r:id="rId9" o:title=""/>
            <o:lock v:ext="edit" rotation="t"/>
          </v:shape>
        </w:pict>
      </w:r>
      <w:r w:rsidR="004420C4" w:rsidRPr="004420C4">
        <w:rPr>
          <w:color w:val="FFFFFF"/>
          <w:sz w:val="36"/>
        </w:rPr>
        <w:t>Detailed Market Figures</w:t>
      </w:r>
    </w:p>
    <w:p w:rsidR="004420C4" w:rsidRDefault="004420C4" w:rsidP="004420C4"/>
    <w:p w:rsidR="004420C4" w:rsidRDefault="004420C4" w:rsidP="004420C4"/>
    <w:p w:rsidR="004420C4" w:rsidRDefault="004420C4" w:rsidP="004420C4"/>
    <w:p w:rsidR="004420C4" w:rsidRPr="00AC3047" w:rsidRDefault="00EC5464" w:rsidP="004420C4">
      <w:pPr>
        <w:pStyle w:val="Heading2"/>
        <w:numPr>
          <w:ilvl w:val="0"/>
          <w:numId w:val="0"/>
        </w:numPr>
        <w:rPr>
          <w:i w:val="0"/>
        </w:rPr>
      </w:pPr>
      <w:r>
        <w:rPr>
          <w:i w:val="0"/>
          <w:sz w:val="36"/>
          <w:szCs w:val="36"/>
        </w:rPr>
        <w:t>24 – 30 April 2016</w:t>
      </w:r>
    </w:p>
    <w:p w:rsidR="004420C4" w:rsidRDefault="004420C4" w:rsidP="004420C4">
      <w:pPr>
        <w:pStyle w:val="Heading3"/>
        <w:ind w:firstLine="0"/>
      </w:pPr>
      <w:r w:rsidRPr="00004A63">
        <w:rPr>
          <w:color w:val="2272A3"/>
          <w:sz w:val="32"/>
          <w:szCs w:val="32"/>
        </w:rPr>
        <w:t>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5"/>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6"/>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7"/>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745D02" w:rsidP="00362B9A">
      <w:r>
        <w:pict>
          <v:shape id="_x0000_i1025" type="#_x0000_t75" alt="Figure 1.1 shows the five Victorian schedule prices for each day this week. The marker indicates the daily imbalance weighted average price for each day. For a more detailed description of this figure, please refer to the user guide." style="width:476.15pt;height:137.2pt">
            <v:imagedata r:id="rId12"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745D02" w:rsidP="00362B9A">
      <w:r>
        <w:pict>
          <v:shape id="_x0000_i1026" type="#_x0000_t75" alt="Figure 1.2 shows the demand forecast used to calculate the five daily schedule prices for this week. For a more detailed description of this figure, please refer to the user guide." style="width:476.15pt;height:177.3pt">
            <v:imagedata r:id="rId13" o:title=""/>
          </v:shape>
        </w:pict>
      </w:r>
    </w:p>
    <w:p w:rsidR="00BC18FB" w:rsidRPr="00DD0358" w:rsidRDefault="00004A63" w:rsidP="00FF0D8A">
      <w:pPr>
        <w:pStyle w:val="Heading4"/>
        <w:ind w:hanging="338"/>
        <w:rPr>
          <w:color w:val="2272A3"/>
          <w:sz w:val="24"/>
        </w:rPr>
      </w:pPr>
      <w:r w:rsidRPr="00DD0358">
        <w:rPr>
          <w:color w:val="2272A3"/>
          <w:sz w:val="24"/>
        </w:rPr>
        <w:lastRenderedPageBreak/>
        <w:t>Injection bids by price bands</w:t>
      </w:r>
    </w:p>
    <w:p w:rsidR="00362B9A" w:rsidRPr="00362B9A" w:rsidRDefault="00745D02" w:rsidP="00362B9A">
      <w:r>
        <w:pict>
          <v:shape id="_x0000_i1027" type="#_x0000_t75" alt="Figure 1.3 shows the injection bids within certain price bands for each trading interval in Victoria this week. For a more detailed description of this figure, please refer to the user guide." style="width:476.15pt;height:205.8pt">
            <v:imagedata r:id="rId14"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r w:rsidR="00205F4E">
        <w:rPr>
          <w:rStyle w:val="FootnoteReference"/>
          <w:color w:val="2272A3"/>
          <w:sz w:val="24"/>
        </w:rPr>
        <w:footnoteReference w:id="8"/>
      </w:r>
    </w:p>
    <w:p w:rsidR="00362B9A" w:rsidRPr="00362B9A" w:rsidRDefault="00745D02" w:rsidP="00362B9A">
      <w:r>
        <w:pict>
          <v:shape id="_x0000_i1028" type="#_x0000_t75" alt="Figure 1.4 shows the withdrawal bids within certain price bands for each trading interval in Victoria this week. For a more detailed description of this figure, please refer to the user guide." style="width:476.15pt;height:161pt">
            <v:imagedata r:id="rId15"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745D02" w:rsidP="00BC18FB">
      <w:r>
        <w:pict>
          <v:shape id="_x0000_i1029" type="#_x0000_t75" alt="Figure 1.5 shows the metered injections sorted by facility for each 4 hour interval in Victoria this week. For a more detailed description of this figure, please refer to the user guide." style="width:476.15pt;height:177.95pt">
            <v:imagedata r:id="rId16"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t>S</w:t>
      </w:r>
      <w:r w:rsidR="00362B9A">
        <w:rPr>
          <w:color w:val="2272A3"/>
          <w:sz w:val="32"/>
          <w:szCs w:val="32"/>
        </w:rPr>
        <w:t>ydney STTM</w:t>
      </w:r>
    </w:p>
    <w:p w:rsidR="00EF58A8" w:rsidRPr="00EF58A8" w:rsidRDefault="00EF58A8" w:rsidP="00EF58A8">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9"/>
      </w:r>
      <w:r w:rsidRPr="00EF58A8">
        <w:t xml:space="preserve"> Divergences in ex ante and ex post prices for a gas day may occur due to differences in scheduled (forecast) and allocated (actual) quantities.</w:t>
      </w:r>
      <w:r>
        <w:t xml:space="preserve"> Pipeline acronyms are defined in the </w:t>
      </w:r>
      <w:hyperlink r:id="rId17"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10"/>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2D53EF" w:rsidRPr="00405CDE" w:rsidTr="00F114D5">
        <w:trPr>
          <w:trHeight w:val="510"/>
        </w:trPr>
        <w:tc>
          <w:tcPr>
            <w:tcW w:w="1100" w:type="pct"/>
            <w:tcBorders>
              <w:top w:val="nil"/>
              <w:bottom w:val="nil"/>
            </w:tcBorders>
            <w:vAlign w:val="center"/>
          </w:tcPr>
          <w:p w:rsidR="002D53EF" w:rsidRDefault="002D53EF">
            <w:pPr>
              <w:rPr>
                <w:rFonts w:cs="Arial"/>
                <w:sz w:val="20"/>
                <w:szCs w:val="20"/>
              </w:rPr>
            </w:pPr>
            <w:r>
              <w:rPr>
                <w:rFonts w:cs="Arial"/>
                <w:sz w:val="20"/>
                <w:szCs w:val="20"/>
              </w:rPr>
              <w:t>Ex ante price ($/GJ)</w:t>
            </w:r>
          </w:p>
        </w:tc>
        <w:tc>
          <w:tcPr>
            <w:tcW w:w="597" w:type="pct"/>
            <w:tcBorders>
              <w:top w:val="nil"/>
              <w:bottom w:val="nil"/>
            </w:tcBorders>
            <w:vAlign w:val="center"/>
          </w:tcPr>
          <w:p w:rsidR="002D53EF" w:rsidRDefault="002D53EF">
            <w:pPr>
              <w:jc w:val="center"/>
              <w:rPr>
                <w:rFonts w:cs="Arial"/>
                <w:sz w:val="20"/>
                <w:szCs w:val="20"/>
              </w:rPr>
            </w:pPr>
            <w:r>
              <w:rPr>
                <w:rFonts w:cs="Arial"/>
                <w:sz w:val="20"/>
                <w:szCs w:val="20"/>
              </w:rPr>
              <w:t>4.52</w:t>
            </w:r>
          </w:p>
        </w:tc>
        <w:tc>
          <w:tcPr>
            <w:tcW w:w="523" w:type="pct"/>
            <w:tcBorders>
              <w:top w:val="nil"/>
              <w:bottom w:val="nil"/>
            </w:tcBorders>
            <w:vAlign w:val="center"/>
          </w:tcPr>
          <w:p w:rsidR="002D53EF" w:rsidRDefault="002D53EF">
            <w:pPr>
              <w:jc w:val="center"/>
              <w:rPr>
                <w:rFonts w:cs="Arial"/>
                <w:sz w:val="20"/>
                <w:szCs w:val="20"/>
              </w:rPr>
            </w:pPr>
            <w:r>
              <w:rPr>
                <w:rFonts w:cs="Arial"/>
                <w:sz w:val="20"/>
                <w:szCs w:val="20"/>
              </w:rPr>
              <w:t>5.03</w:t>
            </w:r>
          </w:p>
        </w:tc>
        <w:tc>
          <w:tcPr>
            <w:tcW w:w="606" w:type="pct"/>
            <w:tcBorders>
              <w:top w:val="nil"/>
              <w:bottom w:val="nil"/>
            </w:tcBorders>
            <w:vAlign w:val="center"/>
          </w:tcPr>
          <w:p w:rsidR="002D53EF" w:rsidRDefault="002D53EF">
            <w:pPr>
              <w:jc w:val="center"/>
              <w:rPr>
                <w:rFonts w:cs="Arial"/>
                <w:sz w:val="20"/>
                <w:szCs w:val="20"/>
              </w:rPr>
            </w:pPr>
            <w:r>
              <w:rPr>
                <w:rFonts w:cs="Arial"/>
                <w:sz w:val="20"/>
                <w:szCs w:val="20"/>
              </w:rPr>
              <w:t>4.70</w:t>
            </w:r>
          </w:p>
        </w:tc>
        <w:tc>
          <w:tcPr>
            <w:tcW w:w="532" w:type="pct"/>
            <w:tcBorders>
              <w:top w:val="nil"/>
              <w:bottom w:val="nil"/>
            </w:tcBorders>
            <w:vAlign w:val="center"/>
          </w:tcPr>
          <w:p w:rsidR="002D53EF" w:rsidRDefault="002D53EF">
            <w:pPr>
              <w:jc w:val="center"/>
              <w:rPr>
                <w:rFonts w:cs="Arial"/>
                <w:sz w:val="20"/>
                <w:szCs w:val="20"/>
              </w:rPr>
            </w:pPr>
            <w:r>
              <w:rPr>
                <w:rFonts w:cs="Arial"/>
                <w:sz w:val="20"/>
                <w:szCs w:val="20"/>
              </w:rPr>
              <w:t>5.08</w:t>
            </w:r>
          </w:p>
        </w:tc>
        <w:tc>
          <w:tcPr>
            <w:tcW w:w="525" w:type="pct"/>
            <w:tcBorders>
              <w:top w:val="nil"/>
              <w:bottom w:val="nil"/>
            </w:tcBorders>
            <w:vAlign w:val="center"/>
          </w:tcPr>
          <w:p w:rsidR="002D53EF" w:rsidRDefault="002D53EF">
            <w:pPr>
              <w:jc w:val="center"/>
              <w:rPr>
                <w:rFonts w:cs="Arial"/>
                <w:sz w:val="20"/>
                <w:szCs w:val="20"/>
              </w:rPr>
            </w:pPr>
            <w:r>
              <w:rPr>
                <w:rFonts w:cs="Arial"/>
                <w:sz w:val="20"/>
                <w:szCs w:val="20"/>
              </w:rPr>
              <w:t>5.05</w:t>
            </w:r>
          </w:p>
        </w:tc>
        <w:tc>
          <w:tcPr>
            <w:tcW w:w="522" w:type="pct"/>
            <w:tcBorders>
              <w:top w:val="nil"/>
              <w:bottom w:val="nil"/>
            </w:tcBorders>
            <w:vAlign w:val="center"/>
          </w:tcPr>
          <w:p w:rsidR="002D53EF" w:rsidRDefault="002D53EF">
            <w:pPr>
              <w:jc w:val="center"/>
              <w:rPr>
                <w:rFonts w:cs="Arial"/>
                <w:sz w:val="20"/>
                <w:szCs w:val="20"/>
              </w:rPr>
            </w:pPr>
            <w:r>
              <w:rPr>
                <w:rFonts w:cs="Arial"/>
                <w:sz w:val="20"/>
                <w:szCs w:val="20"/>
              </w:rPr>
              <w:t>5.08</w:t>
            </w:r>
          </w:p>
        </w:tc>
        <w:tc>
          <w:tcPr>
            <w:tcW w:w="595" w:type="pct"/>
            <w:tcBorders>
              <w:top w:val="nil"/>
              <w:bottom w:val="nil"/>
            </w:tcBorders>
            <w:vAlign w:val="center"/>
          </w:tcPr>
          <w:p w:rsidR="002D53EF" w:rsidRDefault="002D53EF">
            <w:pPr>
              <w:jc w:val="center"/>
              <w:rPr>
                <w:rFonts w:cs="Arial"/>
                <w:sz w:val="20"/>
                <w:szCs w:val="20"/>
              </w:rPr>
            </w:pPr>
            <w:r>
              <w:rPr>
                <w:rFonts w:cs="Arial"/>
                <w:sz w:val="20"/>
                <w:szCs w:val="20"/>
              </w:rPr>
              <w:t>4.70</w:t>
            </w:r>
          </w:p>
        </w:tc>
      </w:tr>
      <w:tr w:rsidR="002D53EF"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2D53EF" w:rsidRDefault="002D53EF">
            <w:pPr>
              <w:rPr>
                <w:rFonts w:cs="Arial"/>
                <w:sz w:val="20"/>
                <w:szCs w:val="20"/>
              </w:rPr>
            </w:pPr>
            <w:r>
              <w:rPr>
                <w:rFonts w:cs="Arial"/>
                <w:sz w:val="20"/>
                <w:szCs w:val="20"/>
              </w:rPr>
              <w:t>Ex ante quantity (TJ)</w:t>
            </w:r>
          </w:p>
        </w:tc>
        <w:tc>
          <w:tcPr>
            <w:tcW w:w="597" w:type="pct"/>
            <w:tcBorders>
              <w:top w:val="nil"/>
              <w:bottom w:val="nil"/>
            </w:tcBorders>
            <w:vAlign w:val="center"/>
          </w:tcPr>
          <w:p w:rsidR="002D53EF" w:rsidRDefault="002D53EF">
            <w:pPr>
              <w:jc w:val="center"/>
              <w:rPr>
                <w:rFonts w:cs="Arial"/>
                <w:sz w:val="20"/>
                <w:szCs w:val="20"/>
              </w:rPr>
            </w:pPr>
            <w:r>
              <w:rPr>
                <w:rFonts w:cs="Arial"/>
                <w:sz w:val="20"/>
                <w:szCs w:val="20"/>
              </w:rPr>
              <w:t>212</w:t>
            </w:r>
          </w:p>
        </w:tc>
        <w:tc>
          <w:tcPr>
            <w:tcW w:w="523" w:type="pct"/>
            <w:tcBorders>
              <w:top w:val="nil"/>
              <w:bottom w:val="nil"/>
            </w:tcBorders>
            <w:vAlign w:val="center"/>
          </w:tcPr>
          <w:p w:rsidR="002D53EF" w:rsidRDefault="002D53EF">
            <w:pPr>
              <w:jc w:val="center"/>
              <w:rPr>
                <w:rFonts w:cs="Arial"/>
                <w:sz w:val="20"/>
                <w:szCs w:val="20"/>
              </w:rPr>
            </w:pPr>
            <w:r>
              <w:rPr>
                <w:rFonts w:cs="Arial"/>
                <w:sz w:val="20"/>
                <w:szCs w:val="20"/>
              </w:rPr>
              <w:t>215</w:t>
            </w:r>
          </w:p>
        </w:tc>
        <w:tc>
          <w:tcPr>
            <w:tcW w:w="606" w:type="pct"/>
            <w:tcBorders>
              <w:top w:val="nil"/>
              <w:bottom w:val="nil"/>
            </w:tcBorders>
            <w:vAlign w:val="center"/>
          </w:tcPr>
          <w:p w:rsidR="002D53EF" w:rsidRDefault="002D53EF">
            <w:pPr>
              <w:jc w:val="center"/>
              <w:rPr>
                <w:rFonts w:cs="Arial"/>
                <w:sz w:val="20"/>
                <w:szCs w:val="20"/>
              </w:rPr>
            </w:pPr>
            <w:r>
              <w:rPr>
                <w:rFonts w:cs="Arial"/>
                <w:sz w:val="20"/>
                <w:szCs w:val="20"/>
              </w:rPr>
              <w:t>237</w:t>
            </w:r>
          </w:p>
        </w:tc>
        <w:tc>
          <w:tcPr>
            <w:tcW w:w="532" w:type="pct"/>
            <w:tcBorders>
              <w:top w:val="nil"/>
              <w:bottom w:val="nil"/>
            </w:tcBorders>
            <w:vAlign w:val="center"/>
          </w:tcPr>
          <w:p w:rsidR="002D53EF" w:rsidRDefault="002D53EF">
            <w:pPr>
              <w:jc w:val="center"/>
              <w:rPr>
                <w:rFonts w:cs="Arial"/>
                <w:sz w:val="20"/>
                <w:szCs w:val="20"/>
              </w:rPr>
            </w:pPr>
            <w:r>
              <w:rPr>
                <w:rFonts w:cs="Arial"/>
                <w:sz w:val="20"/>
                <w:szCs w:val="20"/>
              </w:rPr>
              <w:t>253</w:t>
            </w:r>
          </w:p>
        </w:tc>
        <w:tc>
          <w:tcPr>
            <w:tcW w:w="525" w:type="pct"/>
            <w:tcBorders>
              <w:top w:val="nil"/>
              <w:bottom w:val="nil"/>
            </w:tcBorders>
            <w:vAlign w:val="center"/>
          </w:tcPr>
          <w:p w:rsidR="002D53EF" w:rsidRDefault="002D53EF">
            <w:pPr>
              <w:jc w:val="center"/>
              <w:rPr>
                <w:rFonts w:cs="Arial"/>
                <w:sz w:val="20"/>
                <w:szCs w:val="20"/>
              </w:rPr>
            </w:pPr>
            <w:r>
              <w:rPr>
                <w:rFonts w:cs="Arial"/>
                <w:sz w:val="20"/>
                <w:szCs w:val="20"/>
              </w:rPr>
              <w:t>245</w:t>
            </w:r>
          </w:p>
        </w:tc>
        <w:tc>
          <w:tcPr>
            <w:tcW w:w="522" w:type="pct"/>
            <w:tcBorders>
              <w:top w:val="nil"/>
              <w:bottom w:val="nil"/>
            </w:tcBorders>
            <w:vAlign w:val="center"/>
          </w:tcPr>
          <w:p w:rsidR="002D53EF" w:rsidRDefault="002D53EF">
            <w:pPr>
              <w:jc w:val="center"/>
              <w:rPr>
                <w:rFonts w:cs="Arial"/>
                <w:sz w:val="20"/>
                <w:szCs w:val="20"/>
              </w:rPr>
            </w:pPr>
            <w:r>
              <w:rPr>
                <w:rFonts w:cs="Arial"/>
                <w:sz w:val="20"/>
                <w:szCs w:val="20"/>
              </w:rPr>
              <w:t>254</w:t>
            </w:r>
          </w:p>
        </w:tc>
        <w:tc>
          <w:tcPr>
            <w:tcW w:w="595" w:type="pct"/>
            <w:tcBorders>
              <w:top w:val="nil"/>
              <w:bottom w:val="nil"/>
            </w:tcBorders>
            <w:vAlign w:val="center"/>
          </w:tcPr>
          <w:p w:rsidR="002D53EF" w:rsidRDefault="002D53EF">
            <w:pPr>
              <w:jc w:val="center"/>
              <w:rPr>
                <w:rFonts w:cs="Arial"/>
                <w:sz w:val="20"/>
                <w:szCs w:val="20"/>
              </w:rPr>
            </w:pPr>
            <w:r>
              <w:rPr>
                <w:rFonts w:cs="Arial"/>
                <w:sz w:val="20"/>
                <w:szCs w:val="20"/>
              </w:rPr>
              <w:t>213</w:t>
            </w:r>
          </w:p>
        </w:tc>
      </w:tr>
      <w:tr w:rsidR="002D53EF" w:rsidRPr="00405CDE" w:rsidTr="00F114D5">
        <w:trPr>
          <w:trHeight w:val="510"/>
        </w:trPr>
        <w:tc>
          <w:tcPr>
            <w:tcW w:w="1100" w:type="pct"/>
            <w:tcBorders>
              <w:top w:val="nil"/>
              <w:bottom w:val="nil"/>
            </w:tcBorders>
            <w:vAlign w:val="center"/>
          </w:tcPr>
          <w:p w:rsidR="002D53EF" w:rsidRDefault="002D53EF">
            <w:pPr>
              <w:rPr>
                <w:rFonts w:cs="Arial"/>
                <w:sz w:val="20"/>
                <w:szCs w:val="20"/>
              </w:rPr>
            </w:pPr>
            <w:r>
              <w:rPr>
                <w:rFonts w:cs="Arial"/>
                <w:sz w:val="20"/>
                <w:szCs w:val="20"/>
              </w:rPr>
              <w:t>Ex post price ($/GJ)</w:t>
            </w:r>
          </w:p>
        </w:tc>
        <w:tc>
          <w:tcPr>
            <w:tcW w:w="597" w:type="pct"/>
            <w:tcBorders>
              <w:top w:val="nil"/>
              <w:bottom w:val="nil"/>
            </w:tcBorders>
            <w:vAlign w:val="center"/>
          </w:tcPr>
          <w:p w:rsidR="002D53EF" w:rsidRDefault="002D53EF">
            <w:pPr>
              <w:jc w:val="center"/>
              <w:rPr>
                <w:rFonts w:cs="Arial"/>
                <w:sz w:val="20"/>
                <w:szCs w:val="20"/>
              </w:rPr>
            </w:pPr>
            <w:r>
              <w:rPr>
                <w:rFonts w:cs="Arial"/>
                <w:sz w:val="20"/>
                <w:szCs w:val="20"/>
              </w:rPr>
              <w:t>4.52</w:t>
            </w:r>
          </w:p>
        </w:tc>
        <w:tc>
          <w:tcPr>
            <w:tcW w:w="523" w:type="pct"/>
            <w:tcBorders>
              <w:top w:val="nil"/>
              <w:bottom w:val="nil"/>
            </w:tcBorders>
            <w:vAlign w:val="center"/>
          </w:tcPr>
          <w:p w:rsidR="002D53EF" w:rsidRDefault="002D53EF">
            <w:pPr>
              <w:jc w:val="center"/>
              <w:rPr>
                <w:rFonts w:cs="Arial"/>
                <w:sz w:val="20"/>
                <w:szCs w:val="20"/>
              </w:rPr>
            </w:pPr>
            <w:r>
              <w:rPr>
                <w:rFonts w:cs="Arial"/>
                <w:sz w:val="20"/>
                <w:szCs w:val="20"/>
              </w:rPr>
              <w:t>4.75</w:t>
            </w:r>
          </w:p>
        </w:tc>
        <w:tc>
          <w:tcPr>
            <w:tcW w:w="606" w:type="pct"/>
            <w:tcBorders>
              <w:top w:val="nil"/>
              <w:bottom w:val="nil"/>
            </w:tcBorders>
            <w:vAlign w:val="center"/>
          </w:tcPr>
          <w:p w:rsidR="002D53EF" w:rsidRDefault="002D53EF">
            <w:pPr>
              <w:jc w:val="center"/>
              <w:rPr>
                <w:rFonts w:cs="Arial"/>
                <w:sz w:val="20"/>
                <w:szCs w:val="20"/>
              </w:rPr>
            </w:pPr>
            <w:r>
              <w:rPr>
                <w:rFonts w:cs="Arial"/>
                <w:sz w:val="20"/>
                <w:szCs w:val="20"/>
              </w:rPr>
              <w:t>4.70</w:t>
            </w:r>
          </w:p>
        </w:tc>
        <w:tc>
          <w:tcPr>
            <w:tcW w:w="532" w:type="pct"/>
            <w:tcBorders>
              <w:top w:val="nil"/>
              <w:bottom w:val="nil"/>
            </w:tcBorders>
            <w:vAlign w:val="center"/>
          </w:tcPr>
          <w:p w:rsidR="002D53EF" w:rsidRDefault="002D53EF">
            <w:pPr>
              <w:jc w:val="center"/>
              <w:rPr>
                <w:rFonts w:cs="Arial"/>
                <w:sz w:val="20"/>
                <w:szCs w:val="20"/>
              </w:rPr>
            </w:pPr>
            <w:r>
              <w:rPr>
                <w:rFonts w:cs="Arial"/>
                <w:sz w:val="20"/>
                <w:szCs w:val="20"/>
              </w:rPr>
              <w:t>3.65</w:t>
            </w:r>
          </w:p>
        </w:tc>
        <w:tc>
          <w:tcPr>
            <w:tcW w:w="525" w:type="pct"/>
            <w:tcBorders>
              <w:top w:val="nil"/>
              <w:bottom w:val="nil"/>
            </w:tcBorders>
            <w:vAlign w:val="center"/>
          </w:tcPr>
          <w:p w:rsidR="002D53EF" w:rsidRDefault="002D53EF">
            <w:pPr>
              <w:jc w:val="center"/>
              <w:rPr>
                <w:rFonts w:cs="Arial"/>
                <w:sz w:val="20"/>
                <w:szCs w:val="20"/>
              </w:rPr>
            </w:pPr>
            <w:r>
              <w:rPr>
                <w:rFonts w:cs="Arial"/>
                <w:sz w:val="20"/>
                <w:szCs w:val="20"/>
              </w:rPr>
              <w:t>4.76</w:t>
            </w:r>
          </w:p>
        </w:tc>
        <w:tc>
          <w:tcPr>
            <w:tcW w:w="522" w:type="pct"/>
            <w:tcBorders>
              <w:top w:val="nil"/>
              <w:bottom w:val="nil"/>
            </w:tcBorders>
            <w:vAlign w:val="center"/>
          </w:tcPr>
          <w:p w:rsidR="002D53EF" w:rsidRDefault="002D53EF">
            <w:pPr>
              <w:jc w:val="center"/>
              <w:rPr>
                <w:rFonts w:cs="Arial"/>
                <w:sz w:val="20"/>
                <w:szCs w:val="20"/>
              </w:rPr>
            </w:pPr>
            <w:r>
              <w:rPr>
                <w:rFonts w:cs="Arial"/>
                <w:sz w:val="20"/>
                <w:szCs w:val="20"/>
              </w:rPr>
              <w:t>4.45</w:t>
            </w:r>
          </w:p>
        </w:tc>
        <w:tc>
          <w:tcPr>
            <w:tcW w:w="595" w:type="pct"/>
            <w:tcBorders>
              <w:top w:val="nil"/>
              <w:bottom w:val="nil"/>
            </w:tcBorders>
            <w:vAlign w:val="center"/>
          </w:tcPr>
          <w:p w:rsidR="002D53EF" w:rsidRDefault="002D53EF">
            <w:pPr>
              <w:jc w:val="center"/>
              <w:rPr>
                <w:rFonts w:cs="Arial"/>
                <w:sz w:val="20"/>
                <w:szCs w:val="20"/>
              </w:rPr>
            </w:pPr>
            <w:r>
              <w:rPr>
                <w:rFonts w:cs="Arial"/>
                <w:sz w:val="20"/>
                <w:szCs w:val="20"/>
              </w:rPr>
              <w:t>4.99</w:t>
            </w:r>
          </w:p>
        </w:tc>
      </w:tr>
      <w:tr w:rsidR="002D53EF"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2D53EF" w:rsidRDefault="002D53EF">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210</w:t>
            </w:r>
          </w:p>
        </w:tc>
        <w:tc>
          <w:tcPr>
            <w:tcW w:w="523"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209</w:t>
            </w:r>
          </w:p>
        </w:tc>
        <w:tc>
          <w:tcPr>
            <w:tcW w:w="606"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236</w:t>
            </w:r>
          </w:p>
        </w:tc>
        <w:tc>
          <w:tcPr>
            <w:tcW w:w="532"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241</w:t>
            </w:r>
          </w:p>
        </w:tc>
        <w:tc>
          <w:tcPr>
            <w:tcW w:w="525"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243</w:t>
            </w:r>
          </w:p>
        </w:tc>
        <w:tc>
          <w:tcPr>
            <w:tcW w:w="522"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244</w:t>
            </w:r>
          </w:p>
        </w:tc>
        <w:tc>
          <w:tcPr>
            <w:tcW w:w="595"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218</w:t>
            </w:r>
          </w:p>
        </w:tc>
      </w:tr>
    </w:tbl>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362B9A" w:rsidRPr="00362B9A" w:rsidRDefault="00745D02" w:rsidP="00362B9A">
      <w:r>
        <w:pict>
          <v:shape id="_x0000_i1030" type="#_x0000_t75" alt="Figure 2.2 shows the daily hub offers and bid in within certain price bands in Sydney this week. The line indicates the scheduled quantity for each day. For a more detailed description of this figure, please refer to the user guide." style="width:476.15pt;height:170.5pt">
            <v:imagedata r:id="rId18" o:title=""/>
          </v:shape>
        </w:pict>
      </w:r>
    </w:p>
    <w:p w:rsidR="00BC18FB" w:rsidRPr="00DD0358" w:rsidRDefault="00362B9A" w:rsidP="00FF0D8A">
      <w:pPr>
        <w:pStyle w:val="Heading4"/>
        <w:ind w:hanging="338"/>
        <w:rPr>
          <w:color w:val="2272A3"/>
          <w:sz w:val="24"/>
          <w:szCs w:val="24"/>
        </w:rPr>
      </w:pPr>
      <w:r w:rsidRPr="00DD0358">
        <w:rPr>
          <w:color w:val="2272A3"/>
          <w:sz w:val="24"/>
          <w:szCs w:val="24"/>
        </w:rPr>
        <w:lastRenderedPageBreak/>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745D02" w:rsidP="00362B9A">
      <w:r>
        <w:pict>
          <v:shape id="_x0000_i1031" type="#_x0000_t75" alt="Figure 2.3 shows the daily scheduled and allocated quantities sorted by facility for Sydney this week. For a more detailed description of this figure, please refer to the user guide." style="width:477.5pt;height:213.3pt">
            <v:imagedata r:id="rId19" o:title=""/>
          </v:shape>
        </w:pict>
      </w:r>
    </w:p>
    <w:p w:rsidR="00BC18FB" w:rsidRPr="00DD0358" w:rsidRDefault="00362B9A" w:rsidP="00560F2D">
      <w:pPr>
        <w:pStyle w:val="Heading4"/>
        <w:ind w:left="1440" w:hanging="1440"/>
        <w:rPr>
          <w:color w:val="2272A3"/>
          <w:sz w:val="24"/>
          <w:szCs w:val="24"/>
        </w:rPr>
      </w:pPr>
      <w:r w:rsidRPr="00DD0358">
        <w:rPr>
          <w:color w:val="2272A3"/>
          <w:sz w:val="24"/>
          <w:szCs w:val="24"/>
        </w:rPr>
        <w:t>SYD MOS allocations (TJ), service payments and commodity payments/charges ($000)</w:t>
      </w:r>
    </w:p>
    <w:p w:rsidR="00362B9A" w:rsidRDefault="00745D02" w:rsidP="00362B9A">
      <w:r>
        <w:pict>
          <v:shape id="_x0000_i1032" type="#_x0000_t75" alt="Figure 2.4 shows the daily MOS allocations sorted by facility for each facility in Sydney this week. The figure also shows the daily breakdown of costs associated with the MOS provided. For a more detailed description of this figure, please refer to the user guide." style="width:476.15pt;height:180.7pt">
            <v:imagedata r:id="rId20" o:title=""/>
          </v:shape>
        </w:pict>
      </w:r>
    </w:p>
    <w:p w:rsidR="00BC18FB" w:rsidRDefault="00AE309F"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szCs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7A51E1"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2D53EF" w:rsidRPr="00405CDE" w:rsidTr="006C5082">
        <w:trPr>
          <w:trHeight w:val="510"/>
        </w:trPr>
        <w:tc>
          <w:tcPr>
            <w:tcW w:w="1100" w:type="pct"/>
            <w:tcBorders>
              <w:top w:val="nil"/>
              <w:bottom w:val="nil"/>
            </w:tcBorders>
            <w:vAlign w:val="center"/>
          </w:tcPr>
          <w:p w:rsidR="002D53EF" w:rsidRDefault="002D53EF">
            <w:pPr>
              <w:rPr>
                <w:rFonts w:cs="Arial"/>
                <w:sz w:val="20"/>
                <w:szCs w:val="20"/>
              </w:rPr>
            </w:pPr>
            <w:r>
              <w:rPr>
                <w:rFonts w:cs="Arial"/>
                <w:sz w:val="20"/>
                <w:szCs w:val="20"/>
              </w:rPr>
              <w:t>Ex ante price ($/GJ)</w:t>
            </w:r>
          </w:p>
        </w:tc>
        <w:tc>
          <w:tcPr>
            <w:tcW w:w="597" w:type="pct"/>
            <w:tcBorders>
              <w:top w:val="nil"/>
              <w:bottom w:val="nil"/>
            </w:tcBorders>
            <w:vAlign w:val="center"/>
          </w:tcPr>
          <w:p w:rsidR="002D53EF" w:rsidRDefault="002D53EF">
            <w:pPr>
              <w:jc w:val="center"/>
              <w:rPr>
                <w:rFonts w:cs="Arial"/>
                <w:sz w:val="20"/>
                <w:szCs w:val="20"/>
              </w:rPr>
            </w:pPr>
            <w:r>
              <w:rPr>
                <w:rFonts w:cs="Arial"/>
                <w:sz w:val="20"/>
                <w:szCs w:val="20"/>
              </w:rPr>
              <w:t>6.36</w:t>
            </w:r>
          </w:p>
        </w:tc>
        <w:tc>
          <w:tcPr>
            <w:tcW w:w="523" w:type="pct"/>
            <w:tcBorders>
              <w:top w:val="nil"/>
              <w:bottom w:val="nil"/>
            </w:tcBorders>
            <w:vAlign w:val="center"/>
          </w:tcPr>
          <w:p w:rsidR="002D53EF" w:rsidRDefault="002D53EF">
            <w:pPr>
              <w:jc w:val="center"/>
              <w:rPr>
                <w:rFonts w:cs="Arial"/>
                <w:sz w:val="20"/>
                <w:szCs w:val="20"/>
              </w:rPr>
            </w:pPr>
            <w:r>
              <w:rPr>
                <w:rFonts w:cs="Arial"/>
                <w:sz w:val="20"/>
                <w:szCs w:val="20"/>
              </w:rPr>
              <w:t>6.32</w:t>
            </w:r>
          </w:p>
        </w:tc>
        <w:tc>
          <w:tcPr>
            <w:tcW w:w="606" w:type="pct"/>
            <w:tcBorders>
              <w:top w:val="nil"/>
              <w:bottom w:val="nil"/>
            </w:tcBorders>
            <w:vAlign w:val="center"/>
          </w:tcPr>
          <w:p w:rsidR="002D53EF" w:rsidRDefault="002D53EF">
            <w:pPr>
              <w:jc w:val="center"/>
              <w:rPr>
                <w:rFonts w:cs="Arial"/>
                <w:sz w:val="20"/>
                <w:szCs w:val="20"/>
              </w:rPr>
            </w:pPr>
            <w:r>
              <w:rPr>
                <w:rFonts w:cs="Arial"/>
                <w:sz w:val="20"/>
                <w:szCs w:val="20"/>
              </w:rPr>
              <w:t>6.05</w:t>
            </w:r>
          </w:p>
        </w:tc>
        <w:tc>
          <w:tcPr>
            <w:tcW w:w="532" w:type="pct"/>
            <w:tcBorders>
              <w:top w:val="nil"/>
              <w:bottom w:val="nil"/>
            </w:tcBorders>
            <w:vAlign w:val="center"/>
          </w:tcPr>
          <w:p w:rsidR="002D53EF" w:rsidRDefault="002D53EF">
            <w:pPr>
              <w:jc w:val="center"/>
              <w:rPr>
                <w:rFonts w:cs="Arial"/>
                <w:sz w:val="20"/>
                <w:szCs w:val="20"/>
              </w:rPr>
            </w:pPr>
            <w:r>
              <w:rPr>
                <w:rFonts w:cs="Arial"/>
                <w:sz w:val="20"/>
                <w:szCs w:val="20"/>
              </w:rPr>
              <w:t>5.90</w:t>
            </w:r>
          </w:p>
        </w:tc>
        <w:tc>
          <w:tcPr>
            <w:tcW w:w="525" w:type="pct"/>
            <w:tcBorders>
              <w:top w:val="nil"/>
              <w:bottom w:val="nil"/>
            </w:tcBorders>
            <w:vAlign w:val="center"/>
          </w:tcPr>
          <w:p w:rsidR="002D53EF" w:rsidRDefault="002D53EF">
            <w:pPr>
              <w:jc w:val="center"/>
              <w:rPr>
                <w:rFonts w:cs="Arial"/>
                <w:sz w:val="20"/>
                <w:szCs w:val="20"/>
              </w:rPr>
            </w:pPr>
            <w:r>
              <w:rPr>
                <w:rFonts w:cs="Arial"/>
                <w:sz w:val="20"/>
                <w:szCs w:val="20"/>
              </w:rPr>
              <w:t>5.25</w:t>
            </w:r>
          </w:p>
        </w:tc>
        <w:tc>
          <w:tcPr>
            <w:tcW w:w="522" w:type="pct"/>
            <w:tcBorders>
              <w:top w:val="nil"/>
              <w:bottom w:val="nil"/>
            </w:tcBorders>
            <w:vAlign w:val="center"/>
          </w:tcPr>
          <w:p w:rsidR="002D53EF" w:rsidRDefault="002D53EF">
            <w:pPr>
              <w:jc w:val="center"/>
              <w:rPr>
                <w:rFonts w:cs="Arial"/>
                <w:sz w:val="20"/>
                <w:szCs w:val="20"/>
              </w:rPr>
            </w:pPr>
            <w:r>
              <w:rPr>
                <w:rFonts w:cs="Arial"/>
                <w:sz w:val="20"/>
                <w:szCs w:val="20"/>
              </w:rPr>
              <w:t>5.50</w:t>
            </w:r>
          </w:p>
        </w:tc>
        <w:tc>
          <w:tcPr>
            <w:tcW w:w="595" w:type="pct"/>
            <w:tcBorders>
              <w:top w:val="nil"/>
              <w:bottom w:val="nil"/>
            </w:tcBorders>
            <w:vAlign w:val="center"/>
          </w:tcPr>
          <w:p w:rsidR="002D53EF" w:rsidRDefault="002D53EF">
            <w:pPr>
              <w:jc w:val="center"/>
              <w:rPr>
                <w:rFonts w:cs="Arial"/>
                <w:sz w:val="20"/>
                <w:szCs w:val="20"/>
              </w:rPr>
            </w:pPr>
            <w:r>
              <w:rPr>
                <w:rFonts w:cs="Arial"/>
                <w:sz w:val="20"/>
                <w:szCs w:val="20"/>
              </w:rPr>
              <w:t>5.75</w:t>
            </w:r>
          </w:p>
        </w:tc>
      </w:tr>
      <w:tr w:rsidR="002D53EF"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2D53EF" w:rsidRDefault="002D53EF">
            <w:pPr>
              <w:rPr>
                <w:rFonts w:cs="Arial"/>
                <w:sz w:val="20"/>
                <w:szCs w:val="20"/>
              </w:rPr>
            </w:pPr>
            <w:r>
              <w:rPr>
                <w:rFonts w:cs="Arial"/>
                <w:sz w:val="20"/>
                <w:szCs w:val="20"/>
              </w:rPr>
              <w:t>Ex ante quantity (TJ)</w:t>
            </w:r>
          </w:p>
        </w:tc>
        <w:tc>
          <w:tcPr>
            <w:tcW w:w="597" w:type="pct"/>
            <w:tcBorders>
              <w:top w:val="nil"/>
              <w:bottom w:val="nil"/>
            </w:tcBorders>
            <w:vAlign w:val="center"/>
          </w:tcPr>
          <w:p w:rsidR="002D53EF" w:rsidRDefault="002D53EF">
            <w:pPr>
              <w:jc w:val="center"/>
              <w:rPr>
                <w:rFonts w:cs="Arial"/>
                <w:sz w:val="20"/>
                <w:szCs w:val="20"/>
              </w:rPr>
            </w:pPr>
            <w:r>
              <w:rPr>
                <w:rFonts w:cs="Arial"/>
                <w:sz w:val="20"/>
                <w:szCs w:val="20"/>
              </w:rPr>
              <w:t>49</w:t>
            </w:r>
          </w:p>
        </w:tc>
        <w:tc>
          <w:tcPr>
            <w:tcW w:w="523" w:type="pct"/>
            <w:tcBorders>
              <w:top w:val="nil"/>
              <w:bottom w:val="nil"/>
            </w:tcBorders>
            <w:vAlign w:val="center"/>
          </w:tcPr>
          <w:p w:rsidR="002D53EF" w:rsidRDefault="002D53EF">
            <w:pPr>
              <w:jc w:val="center"/>
              <w:rPr>
                <w:rFonts w:cs="Arial"/>
                <w:sz w:val="20"/>
                <w:szCs w:val="20"/>
              </w:rPr>
            </w:pPr>
            <w:r>
              <w:rPr>
                <w:rFonts w:cs="Arial"/>
                <w:sz w:val="20"/>
                <w:szCs w:val="20"/>
              </w:rPr>
              <w:t>47</w:t>
            </w:r>
          </w:p>
        </w:tc>
        <w:tc>
          <w:tcPr>
            <w:tcW w:w="606" w:type="pct"/>
            <w:tcBorders>
              <w:top w:val="nil"/>
              <w:bottom w:val="nil"/>
            </w:tcBorders>
            <w:vAlign w:val="center"/>
          </w:tcPr>
          <w:p w:rsidR="002D53EF" w:rsidRDefault="002D53EF">
            <w:pPr>
              <w:jc w:val="center"/>
              <w:rPr>
                <w:rFonts w:cs="Arial"/>
                <w:sz w:val="20"/>
                <w:szCs w:val="20"/>
              </w:rPr>
            </w:pPr>
            <w:r>
              <w:rPr>
                <w:rFonts w:cs="Arial"/>
                <w:sz w:val="20"/>
                <w:szCs w:val="20"/>
              </w:rPr>
              <w:t>58</w:t>
            </w:r>
          </w:p>
        </w:tc>
        <w:tc>
          <w:tcPr>
            <w:tcW w:w="532" w:type="pct"/>
            <w:tcBorders>
              <w:top w:val="nil"/>
              <w:bottom w:val="nil"/>
            </w:tcBorders>
            <w:vAlign w:val="center"/>
          </w:tcPr>
          <w:p w:rsidR="002D53EF" w:rsidRDefault="002D53EF">
            <w:pPr>
              <w:jc w:val="center"/>
              <w:rPr>
                <w:rFonts w:cs="Arial"/>
                <w:sz w:val="20"/>
                <w:szCs w:val="20"/>
              </w:rPr>
            </w:pPr>
            <w:r>
              <w:rPr>
                <w:rFonts w:cs="Arial"/>
                <w:sz w:val="20"/>
                <w:szCs w:val="20"/>
              </w:rPr>
              <w:t>56</w:t>
            </w:r>
          </w:p>
        </w:tc>
        <w:tc>
          <w:tcPr>
            <w:tcW w:w="525" w:type="pct"/>
            <w:tcBorders>
              <w:top w:val="nil"/>
              <w:bottom w:val="nil"/>
            </w:tcBorders>
            <w:vAlign w:val="center"/>
          </w:tcPr>
          <w:p w:rsidR="002D53EF" w:rsidRDefault="002D53EF">
            <w:pPr>
              <w:jc w:val="center"/>
              <w:rPr>
                <w:rFonts w:cs="Arial"/>
                <w:sz w:val="20"/>
                <w:szCs w:val="20"/>
              </w:rPr>
            </w:pPr>
            <w:r>
              <w:rPr>
                <w:rFonts w:cs="Arial"/>
                <w:sz w:val="20"/>
                <w:szCs w:val="20"/>
              </w:rPr>
              <w:t>62</w:t>
            </w:r>
          </w:p>
        </w:tc>
        <w:tc>
          <w:tcPr>
            <w:tcW w:w="522" w:type="pct"/>
            <w:tcBorders>
              <w:top w:val="nil"/>
              <w:bottom w:val="nil"/>
            </w:tcBorders>
            <w:vAlign w:val="center"/>
          </w:tcPr>
          <w:p w:rsidR="002D53EF" w:rsidRDefault="002D53EF">
            <w:pPr>
              <w:jc w:val="center"/>
              <w:rPr>
                <w:rFonts w:cs="Arial"/>
                <w:sz w:val="20"/>
                <w:szCs w:val="20"/>
              </w:rPr>
            </w:pPr>
            <w:r>
              <w:rPr>
                <w:rFonts w:cs="Arial"/>
                <w:sz w:val="20"/>
                <w:szCs w:val="20"/>
              </w:rPr>
              <w:t>62</w:t>
            </w:r>
          </w:p>
        </w:tc>
        <w:tc>
          <w:tcPr>
            <w:tcW w:w="595" w:type="pct"/>
            <w:tcBorders>
              <w:top w:val="nil"/>
              <w:bottom w:val="nil"/>
            </w:tcBorders>
            <w:vAlign w:val="center"/>
          </w:tcPr>
          <w:p w:rsidR="002D53EF" w:rsidRDefault="002D53EF">
            <w:pPr>
              <w:jc w:val="center"/>
              <w:rPr>
                <w:rFonts w:cs="Arial"/>
                <w:sz w:val="20"/>
                <w:szCs w:val="20"/>
              </w:rPr>
            </w:pPr>
            <w:r>
              <w:rPr>
                <w:rFonts w:cs="Arial"/>
                <w:sz w:val="20"/>
                <w:szCs w:val="20"/>
              </w:rPr>
              <w:t>48</w:t>
            </w:r>
          </w:p>
        </w:tc>
      </w:tr>
      <w:tr w:rsidR="002D53EF" w:rsidRPr="00405CDE" w:rsidTr="006C5082">
        <w:trPr>
          <w:trHeight w:val="510"/>
        </w:trPr>
        <w:tc>
          <w:tcPr>
            <w:tcW w:w="1100" w:type="pct"/>
            <w:tcBorders>
              <w:top w:val="nil"/>
              <w:bottom w:val="nil"/>
            </w:tcBorders>
            <w:vAlign w:val="center"/>
          </w:tcPr>
          <w:p w:rsidR="002D53EF" w:rsidRDefault="002D53EF">
            <w:pPr>
              <w:rPr>
                <w:rFonts w:cs="Arial"/>
                <w:sz w:val="20"/>
                <w:szCs w:val="20"/>
              </w:rPr>
            </w:pPr>
            <w:r>
              <w:rPr>
                <w:rFonts w:cs="Arial"/>
                <w:sz w:val="20"/>
                <w:szCs w:val="20"/>
              </w:rPr>
              <w:t>Ex post price ($/GJ)</w:t>
            </w:r>
          </w:p>
        </w:tc>
        <w:tc>
          <w:tcPr>
            <w:tcW w:w="597" w:type="pct"/>
            <w:tcBorders>
              <w:top w:val="nil"/>
              <w:bottom w:val="nil"/>
            </w:tcBorders>
            <w:vAlign w:val="center"/>
          </w:tcPr>
          <w:p w:rsidR="002D53EF" w:rsidRDefault="002D53EF">
            <w:pPr>
              <w:jc w:val="center"/>
              <w:rPr>
                <w:rFonts w:cs="Arial"/>
                <w:sz w:val="20"/>
                <w:szCs w:val="20"/>
              </w:rPr>
            </w:pPr>
            <w:r>
              <w:rPr>
                <w:rFonts w:cs="Arial"/>
                <w:sz w:val="20"/>
                <w:szCs w:val="20"/>
              </w:rPr>
              <w:t>6.34</w:t>
            </w:r>
          </w:p>
        </w:tc>
        <w:tc>
          <w:tcPr>
            <w:tcW w:w="523" w:type="pct"/>
            <w:tcBorders>
              <w:top w:val="nil"/>
              <w:bottom w:val="nil"/>
            </w:tcBorders>
            <w:vAlign w:val="center"/>
          </w:tcPr>
          <w:p w:rsidR="002D53EF" w:rsidRDefault="002D53EF">
            <w:pPr>
              <w:jc w:val="center"/>
              <w:rPr>
                <w:rFonts w:cs="Arial"/>
                <w:sz w:val="20"/>
                <w:szCs w:val="20"/>
              </w:rPr>
            </w:pPr>
            <w:r>
              <w:rPr>
                <w:rFonts w:cs="Arial"/>
                <w:sz w:val="20"/>
                <w:szCs w:val="20"/>
              </w:rPr>
              <w:t>5.89</w:t>
            </w:r>
          </w:p>
        </w:tc>
        <w:tc>
          <w:tcPr>
            <w:tcW w:w="606" w:type="pct"/>
            <w:tcBorders>
              <w:top w:val="nil"/>
              <w:bottom w:val="nil"/>
            </w:tcBorders>
            <w:vAlign w:val="center"/>
          </w:tcPr>
          <w:p w:rsidR="002D53EF" w:rsidRDefault="002D53EF">
            <w:pPr>
              <w:jc w:val="center"/>
              <w:rPr>
                <w:rFonts w:cs="Arial"/>
                <w:sz w:val="20"/>
                <w:szCs w:val="20"/>
              </w:rPr>
            </w:pPr>
            <w:r>
              <w:rPr>
                <w:rFonts w:cs="Arial"/>
                <w:sz w:val="20"/>
                <w:szCs w:val="20"/>
              </w:rPr>
              <w:t>4.72</w:t>
            </w:r>
          </w:p>
        </w:tc>
        <w:tc>
          <w:tcPr>
            <w:tcW w:w="532" w:type="pct"/>
            <w:tcBorders>
              <w:top w:val="nil"/>
              <w:bottom w:val="nil"/>
            </w:tcBorders>
            <w:vAlign w:val="center"/>
          </w:tcPr>
          <w:p w:rsidR="002D53EF" w:rsidRDefault="002D53EF">
            <w:pPr>
              <w:jc w:val="center"/>
              <w:rPr>
                <w:rFonts w:cs="Arial"/>
                <w:sz w:val="20"/>
                <w:szCs w:val="20"/>
              </w:rPr>
            </w:pPr>
            <w:r>
              <w:rPr>
                <w:rFonts w:cs="Arial"/>
                <w:sz w:val="20"/>
                <w:szCs w:val="20"/>
              </w:rPr>
              <w:t>5.84</w:t>
            </w:r>
          </w:p>
        </w:tc>
        <w:tc>
          <w:tcPr>
            <w:tcW w:w="525" w:type="pct"/>
            <w:tcBorders>
              <w:top w:val="nil"/>
              <w:bottom w:val="nil"/>
            </w:tcBorders>
            <w:vAlign w:val="center"/>
          </w:tcPr>
          <w:p w:rsidR="002D53EF" w:rsidRDefault="002D53EF">
            <w:pPr>
              <w:jc w:val="center"/>
              <w:rPr>
                <w:rFonts w:cs="Arial"/>
                <w:sz w:val="20"/>
                <w:szCs w:val="20"/>
              </w:rPr>
            </w:pPr>
            <w:r>
              <w:rPr>
                <w:rFonts w:cs="Arial"/>
                <w:sz w:val="20"/>
                <w:szCs w:val="20"/>
              </w:rPr>
              <w:t>4.75</w:t>
            </w:r>
          </w:p>
        </w:tc>
        <w:tc>
          <w:tcPr>
            <w:tcW w:w="522" w:type="pct"/>
            <w:tcBorders>
              <w:top w:val="nil"/>
              <w:bottom w:val="nil"/>
            </w:tcBorders>
            <w:vAlign w:val="center"/>
          </w:tcPr>
          <w:p w:rsidR="002D53EF" w:rsidRDefault="002D53EF">
            <w:pPr>
              <w:jc w:val="center"/>
              <w:rPr>
                <w:rFonts w:cs="Arial"/>
                <w:sz w:val="20"/>
                <w:szCs w:val="20"/>
              </w:rPr>
            </w:pPr>
            <w:r>
              <w:rPr>
                <w:rFonts w:cs="Arial"/>
                <w:sz w:val="20"/>
                <w:szCs w:val="20"/>
              </w:rPr>
              <w:t>5.20</w:t>
            </w:r>
          </w:p>
        </w:tc>
        <w:tc>
          <w:tcPr>
            <w:tcW w:w="595" w:type="pct"/>
            <w:tcBorders>
              <w:top w:val="nil"/>
              <w:bottom w:val="nil"/>
            </w:tcBorders>
            <w:vAlign w:val="center"/>
          </w:tcPr>
          <w:p w:rsidR="002D53EF" w:rsidRDefault="002D53EF">
            <w:pPr>
              <w:jc w:val="center"/>
              <w:rPr>
                <w:rFonts w:cs="Arial"/>
                <w:sz w:val="20"/>
                <w:szCs w:val="20"/>
              </w:rPr>
            </w:pPr>
            <w:r>
              <w:rPr>
                <w:rFonts w:cs="Arial"/>
                <w:sz w:val="20"/>
                <w:szCs w:val="20"/>
              </w:rPr>
              <w:t>5.84</w:t>
            </w:r>
          </w:p>
        </w:tc>
      </w:tr>
      <w:tr w:rsidR="002D53EF"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2D53EF" w:rsidRDefault="002D53EF">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48</w:t>
            </w:r>
          </w:p>
        </w:tc>
        <w:tc>
          <w:tcPr>
            <w:tcW w:w="523"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44</w:t>
            </w:r>
          </w:p>
        </w:tc>
        <w:tc>
          <w:tcPr>
            <w:tcW w:w="606"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51</w:t>
            </w:r>
          </w:p>
        </w:tc>
        <w:tc>
          <w:tcPr>
            <w:tcW w:w="532"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49</w:t>
            </w:r>
          </w:p>
        </w:tc>
        <w:tc>
          <w:tcPr>
            <w:tcW w:w="525"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56</w:t>
            </w:r>
          </w:p>
        </w:tc>
        <w:tc>
          <w:tcPr>
            <w:tcW w:w="522"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58</w:t>
            </w:r>
          </w:p>
        </w:tc>
        <w:tc>
          <w:tcPr>
            <w:tcW w:w="595"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49</w:t>
            </w:r>
          </w:p>
        </w:tc>
      </w:tr>
    </w:tbl>
    <w:p w:rsidR="00BC18FB" w:rsidRPr="00DD0358" w:rsidRDefault="003625A6" w:rsidP="00FF0D8A">
      <w:pPr>
        <w:pStyle w:val="Heading4"/>
        <w:ind w:hanging="338"/>
        <w:rPr>
          <w:color w:val="2272A3"/>
          <w:sz w:val="24"/>
        </w:rPr>
      </w:pPr>
      <w:r w:rsidRPr="00DD0358">
        <w:rPr>
          <w:color w:val="2272A3"/>
          <w:sz w:val="24"/>
          <w:szCs w:val="24"/>
        </w:rPr>
        <w:t>ADL daily hub offers and daily hub bids in price bands ($/GJ)</w:t>
      </w:r>
    </w:p>
    <w:p w:rsidR="00362B9A" w:rsidRPr="00362B9A" w:rsidRDefault="00745D02" w:rsidP="00362B9A">
      <w:r>
        <w:pict>
          <v:shape id="_x0000_i1033" type="#_x0000_t75" alt="Figure 3.2 shows the daily hub offers and bid in within certain price bands in Adelaide this week. The line indicates the scheduled quantity for each day. For a more detailed description of this figure, please refer to the user guide." style="width:475.45pt;height:170.5pt;mso-position-vertical:absolute">
            <v:imagedata r:id="rId21"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Pr="00362B9A" w:rsidRDefault="00745D02" w:rsidP="00362B9A">
      <w:r>
        <w:pict>
          <v:shape id="_x0000_i1034" type="#_x0000_t75" alt="Figure 3.3 shows the daily scheduled and allocated quantities sorted by facility for Adelaide this week. For a more detailed description of this figure, please refer to the user guide.&#10;" style="width:477.5pt;height:105.3pt">
            <v:imagedata r:id="rId22" o:title=""/>
          </v:shape>
        </w:pict>
      </w:r>
    </w:p>
    <w:p w:rsidR="00BC18FB" w:rsidRPr="00DD0358" w:rsidRDefault="004560B0" w:rsidP="00560F2D">
      <w:pPr>
        <w:pStyle w:val="Heading4"/>
        <w:ind w:left="1440" w:hanging="1440"/>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745D02" w:rsidP="00362B9A">
      <w:r>
        <w:pict>
          <v:shape id="_x0000_i1035" type="#_x0000_t75" alt="Figure 3.4 shows the daily MOS allocations sorted by facility for each facility in Adelaide this week. The figure also shows the daily breakdown of costs associated with the MOS provided. For a more detailed description of this figure, please refer to the user guide." style="width:476.15pt;height:150.1pt">
            <v:imagedata r:id="rId23" o:title=""/>
          </v:shape>
        </w:pict>
      </w:r>
    </w:p>
    <w:p w:rsidR="00BC18FB" w:rsidRDefault="00AE309F" w:rsidP="003625A6">
      <w:pPr>
        <w:pStyle w:val="Heading3"/>
        <w:ind w:firstLine="0"/>
        <w:rPr>
          <w:color w:val="2272A3"/>
          <w:sz w:val="32"/>
          <w:szCs w:val="32"/>
        </w:rPr>
      </w:pPr>
      <w:r>
        <w:rPr>
          <w:color w:val="2272A3"/>
          <w:sz w:val="32"/>
          <w:szCs w:val="32"/>
        </w:rPr>
        <w:br w:type="page"/>
      </w:r>
      <w:r w:rsidR="00BC18FB" w:rsidRPr="003625A6">
        <w:rPr>
          <w:color w:val="2272A3"/>
          <w:sz w:val="32"/>
          <w:szCs w:val="32"/>
        </w:rPr>
        <w:lastRenderedPageBreak/>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szCs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2D53EF" w:rsidRPr="00405CDE" w:rsidTr="006C5082">
        <w:trPr>
          <w:trHeight w:val="510"/>
        </w:trPr>
        <w:tc>
          <w:tcPr>
            <w:tcW w:w="1100" w:type="pct"/>
            <w:tcBorders>
              <w:top w:val="nil"/>
              <w:bottom w:val="nil"/>
            </w:tcBorders>
            <w:vAlign w:val="center"/>
          </w:tcPr>
          <w:p w:rsidR="002D53EF" w:rsidRDefault="002D53EF">
            <w:pPr>
              <w:rPr>
                <w:rFonts w:cs="Arial"/>
                <w:sz w:val="20"/>
                <w:szCs w:val="20"/>
              </w:rPr>
            </w:pPr>
            <w:r>
              <w:rPr>
                <w:rFonts w:cs="Arial"/>
                <w:sz w:val="20"/>
                <w:szCs w:val="20"/>
              </w:rPr>
              <w:t>Ex ante price ($/GJ)</w:t>
            </w:r>
          </w:p>
        </w:tc>
        <w:tc>
          <w:tcPr>
            <w:tcW w:w="597" w:type="pct"/>
            <w:tcBorders>
              <w:top w:val="nil"/>
              <w:bottom w:val="nil"/>
            </w:tcBorders>
            <w:vAlign w:val="center"/>
          </w:tcPr>
          <w:p w:rsidR="002D53EF" w:rsidRDefault="002D53EF">
            <w:pPr>
              <w:jc w:val="center"/>
              <w:rPr>
                <w:rFonts w:cs="Arial"/>
                <w:sz w:val="20"/>
                <w:szCs w:val="20"/>
              </w:rPr>
            </w:pPr>
            <w:r>
              <w:rPr>
                <w:rFonts w:cs="Arial"/>
                <w:sz w:val="20"/>
                <w:szCs w:val="20"/>
              </w:rPr>
              <w:t>4.75</w:t>
            </w:r>
          </w:p>
        </w:tc>
        <w:tc>
          <w:tcPr>
            <w:tcW w:w="523" w:type="pct"/>
            <w:tcBorders>
              <w:top w:val="nil"/>
              <w:bottom w:val="nil"/>
            </w:tcBorders>
            <w:vAlign w:val="center"/>
          </w:tcPr>
          <w:p w:rsidR="002D53EF" w:rsidRDefault="002D53EF">
            <w:pPr>
              <w:jc w:val="center"/>
              <w:rPr>
                <w:rFonts w:cs="Arial"/>
                <w:sz w:val="20"/>
                <w:szCs w:val="20"/>
              </w:rPr>
            </w:pPr>
            <w:r>
              <w:rPr>
                <w:rFonts w:cs="Arial"/>
                <w:sz w:val="20"/>
                <w:szCs w:val="20"/>
              </w:rPr>
              <w:t>4.50</w:t>
            </w:r>
          </w:p>
        </w:tc>
        <w:tc>
          <w:tcPr>
            <w:tcW w:w="606" w:type="pct"/>
            <w:tcBorders>
              <w:top w:val="nil"/>
              <w:bottom w:val="nil"/>
            </w:tcBorders>
            <w:vAlign w:val="center"/>
          </w:tcPr>
          <w:p w:rsidR="002D53EF" w:rsidRDefault="002D53EF">
            <w:pPr>
              <w:jc w:val="center"/>
              <w:rPr>
                <w:rFonts w:cs="Arial"/>
                <w:sz w:val="20"/>
                <w:szCs w:val="20"/>
              </w:rPr>
            </w:pPr>
            <w:r>
              <w:rPr>
                <w:rFonts w:cs="Arial"/>
                <w:sz w:val="20"/>
                <w:szCs w:val="20"/>
              </w:rPr>
              <w:t>5.03</w:t>
            </w:r>
          </w:p>
        </w:tc>
        <w:tc>
          <w:tcPr>
            <w:tcW w:w="532" w:type="pct"/>
            <w:tcBorders>
              <w:top w:val="nil"/>
              <w:bottom w:val="nil"/>
            </w:tcBorders>
            <w:vAlign w:val="center"/>
          </w:tcPr>
          <w:p w:rsidR="002D53EF" w:rsidRDefault="002D53EF">
            <w:pPr>
              <w:jc w:val="center"/>
              <w:rPr>
                <w:rFonts w:cs="Arial"/>
                <w:sz w:val="20"/>
                <w:szCs w:val="20"/>
              </w:rPr>
            </w:pPr>
            <w:r>
              <w:rPr>
                <w:rFonts w:cs="Arial"/>
                <w:sz w:val="20"/>
                <w:szCs w:val="20"/>
              </w:rPr>
              <w:t>5.45</w:t>
            </w:r>
          </w:p>
        </w:tc>
        <w:tc>
          <w:tcPr>
            <w:tcW w:w="525" w:type="pct"/>
            <w:tcBorders>
              <w:top w:val="nil"/>
              <w:bottom w:val="nil"/>
            </w:tcBorders>
            <w:vAlign w:val="center"/>
          </w:tcPr>
          <w:p w:rsidR="002D53EF" w:rsidRDefault="002D53EF">
            <w:pPr>
              <w:jc w:val="center"/>
              <w:rPr>
                <w:rFonts w:cs="Arial"/>
                <w:sz w:val="20"/>
                <w:szCs w:val="20"/>
              </w:rPr>
            </w:pPr>
            <w:r>
              <w:rPr>
                <w:rFonts w:cs="Arial"/>
                <w:sz w:val="20"/>
                <w:szCs w:val="20"/>
              </w:rPr>
              <w:t>5.50</w:t>
            </w:r>
          </w:p>
        </w:tc>
        <w:tc>
          <w:tcPr>
            <w:tcW w:w="522" w:type="pct"/>
            <w:tcBorders>
              <w:top w:val="nil"/>
              <w:bottom w:val="nil"/>
            </w:tcBorders>
            <w:vAlign w:val="center"/>
          </w:tcPr>
          <w:p w:rsidR="002D53EF" w:rsidRDefault="002D53EF">
            <w:pPr>
              <w:jc w:val="center"/>
              <w:rPr>
                <w:rFonts w:cs="Arial"/>
                <w:sz w:val="20"/>
                <w:szCs w:val="20"/>
              </w:rPr>
            </w:pPr>
            <w:r>
              <w:rPr>
                <w:rFonts w:cs="Arial"/>
                <w:sz w:val="20"/>
                <w:szCs w:val="20"/>
              </w:rPr>
              <w:t>6.00</w:t>
            </w:r>
          </w:p>
        </w:tc>
        <w:tc>
          <w:tcPr>
            <w:tcW w:w="595" w:type="pct"/>
            <w:tcBorders>
              <w:top w:val="nil"/>
              <w:bottom w:val="nil"/>
            </w:tcBorders>
            <w:vAlign w:val="center"/>
          </w:tcPr>
          <w:p w:rsidR="002D53EF" w:rsidRDefault="002D53EF">
            <w:pPr>
              <w:jc w:val="center"/>
              <w:rPr>
                <w:rFonts w:cs="Arial"/>
                <w:sz w:val="20"/>
                <w:szCs w:val="20"/>
              </w:rPr>
            </w:pPr>
            <w:r>
              <w:rPr>
                <w:rFonts w:cs="Arial"/>
                <w:sz w:val="20"/>
                <w:szCs w:val="20"/>
              </w:rPr>
              <w:t>5.77</w:t>
            </w:r>
          </w:p>
        </w:tc>
      </w:tr>
      <w:tr w:rsidR="002D53EF"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2D53EF" w:rsidRDefault="002D53EF">
            <w:pPr>
              <w:rPr>
                <w:rFonts w:cs="Arial"/>
                <w:sz w:val="20"/>
                <w:szCs w:val="20"/>
              </w:rPr>
            </w:pPr>
            <w:r>
              <w:rPr>
                <w:rFonts w:cs="Arial"/>
                <w:sz w:val="20"/>
                <w:szCs w:val="20"/>
              </w:rPr>
              <w:t>Ex ante quantity (TJ)</w:t>
            </w:r>
          </w:p>
        </w:tc>
        <w:tc>
          <w:tcPr>
            <w:tcW w:w="597" w:type="pct"/>
            <w:tcBorders>
              <w:top w:val="nil"/>
              <w:bottom w:val="nil"/>
            </w:tcBorders>
            <w:vAlign w:val="center"/>
          </w:tcPr>
          <w:p w:rsidR="002D53EF" w:rsidRDefault="002D53EF">
            <w:pPr>
              <w:jc w:val="center"/>
              <w:rPr>
                <w:rFonts w:cs="Arial"/>
                <w:sz w:val="20"/>
                <w:szCs w:val="20"/>
              </w:rPr>
            </w:pPr>
            <w:r>
              <w:rPr>
                <w:rFonts w:cs="Arial"/>
                <w:sz w:val="20"/>
                <w:szCs w:val="20"/>
              </w:rPr>
              <w:t>81</w:t>
            </w:r>
          </w:p>
        </w:tc>
        <w:tc>
          <w:tcPr>
            <w:tcW w:w="523" w:type="pct"/>
            <w:tcBorders>
              <w:top w:val="nil"/>
              <w:bottom w:val="nil"/>
            </w:tcBorders>
            <w:vAlign w:val="center"/>
          </w:tcPr>
          <w:p w:rsidR="002D53EF" w:rsidRDefault="002D53EF">
            <w:pPr>
              <w:jc w:val="center"/>
              <w:rPr>
                <w:rFonts w:cs="Arial"/>
                <w:sz w:val="20"/>
                <w:szCs w:val="20"/>
              </w:rPr>
            </w:pPr>
            <w:r>
              <w:rPr>
                <w:rFonts w:cs="Arial"/>
                <w:sz w:val="20"/>
                <w:szCs w:val="20"/>
              </w:rPr>
              <w:t>80</w:t>
            </w:r>
          </w:p>
        </w:tc>
        <w:tc>
          <w:tcPr>
            <w:tcW w:w="606" w:type="pct"/>
            <w:tcBorders>
              <w:top w:val="nil"/>
              <w:bottom w:val="nil"/>
            </w:tcBorders>
            <w:vAlign w:val="center"/>
          </w:tcPr>
          <w:p w:rsidR="002D53EF" w:rsidRDefault="002D53EF">
            <w:pPr>
              <w:jc w:val="center"/>
              <w:rPr>
                <w:rFonts w:cs="Arial"/>
                <w:sz w:val="20"/>
                <w:szCs w:val="20"/>
              </w:rPr>
            </w:pPr>
            <w:r>
              <w:rPr>
                <w:rFonts w:cs="Arial"/>
                <w:sz w:val="20"/>
                <w:szCs w:val="20"/>
              </w:rPr>
              <w:t>105</w:t>
            </w:r>
          </w:p>
        </w:tc>
        <w:tc>
          <w:tcPr>
            <w:tcW w:w="532" w:type="pct"/>
            <w:tcBorders>
              <w:top w:val="nil"/>
              <w:bottom w:val="nil"/>
            </w:tcBorders>
            <w:vAlign w:val="center"/>
          </w:tcPr>
          <w:p w:rsidR="002D53EF" w:rsidRDefault="002D53EF">
            <w:pPr>
              <w:jc w:val="center"/>
              <w:rPr>
                <w:rFonts w:cs="Arial"/>
                <w:sz w:val="20"/>
                <w:szCs w:val="20"/>
              </w:rPr>
            </w:pPr>
            <w:r>
              <w:rPr>
                <w:rFonts w:cs="Arial"/>
                <w:sz w:val="20"/>
                <w:szCs w:val="20"/>
              </w:rPr>
              <w:t>92</w:t>
            </w:r>
          </w:p>
        </w:tc>
        <w:tc>
          <w:tcPr>
            <w:tcW w:w="525" w:type="pct"/>
            <w:tcBorders>
              <w:top w:val="nil"/>
              <w:bottom w:val="nil"/>
            </w:tcBorders>
            <w:vAlign w:val="center"/>
          </w:tcPr>
          <w:p w:rsidR="002D53EF" w:rsidRDefault="002D53EF">
            <w:pPr>
              <w:jc w:val="center"/>
              <w:rPr>
                <w:rFonts w:cs="Arial"/>
                <w:sz w:val="20"/>
                <w:szCs w:val="20"/>
              </w:rPr>
            </w:pPr>
            <w:r>
              <w:rPr>
                <w:rFonts w:cs="Arial"/>
                <w:sz w:val="20"/>
                <w:szCs w:val="20"/>
              </w:rPr>
              <w:t>89</w:t>
            </w:r>
          </w:p>
        </w:tc>
        <w:tc>
          <w:tcPr>
            <w:tcW w:w="522" w:type="pct"/>
            <w:tcBorders>
              <w:top w:val="nil"/>
              <w:bottom w:val="nil"/>
            </w:tcBorders>
            <w:vAlign w:val="center"/>
          </w:tcPr>
          <w:p w:rsidR="002D53EF" w:rsidRDefault="002D53EF">
            <w:pPr>
              <w:jc w:val="center"/>
              <w:rPr>
                <w:rFonts w:cs="Arial"/>
                <w:sz w:val="20"/>
                <w:szCs w:val="20"/>
              </w:rPr>
            </w:pPr>
            <w:r>
              <w:rPr>
                <w:rFonts w:cs="Arial"/>
                <w:sz w:val="20"/>
                <w:szCs w:val="20"/>
              </w:rPr>
              <w:t>88</w:t>
            </w:r>
          </w:p>
        </w:tc>
        <w:tc>
          <w:tcPr>
            <w:tcW w:w="595" w:type="pct"/>
            <w:tcBorders>
              <w:top w:val="nil"/>
              <w:bottom w:val="nil"/>
            </w:tcBorders>
            <w:vAlign w:val="center"/>
          </w:tcPr>
          <w:p w:rsidR="002D53EF" w:rsidRDefault="002D53EF">
            <w:pPr>
              <w:jc w:val="center"/>
              <w:rPr>
                <w:rFonts w:cs="Arial"/>
                <w:sz w:val="20"/>
                <w:szCs w:val="20"/>
              </w:rPr>
            </w:pPr>
            <w:r>
              <w:rPr>
                <w:rFonts w:cs="Arial"/>
                <w:sz w:val="20"/>
                <w:szCs w:val="20"/>
              </w:rPr>
              <w:t>78</w:t>
            </w:r>
          </w:p>
        </w:tc>
      </w:tr>
      <w:tr w:rsidR="002D53EF" w:rsidRPr="00405CDE" w:rsidTr="006C5082">
        <w:trPr>
          <w:trHeight w:val="510"/>
        </w:trPr>
        <w:tc>
          <w:tcPr>
            <w:tcW w:w="1100" w:type="pct"/>
            <w:tcBorders>
              <w:top w:val="nil"/>
              <w:bottom w:val="nil"/>
            </w:tcBorders>
            <w:vAlign w:val="center"/>
          </w:tcPr>
          <w:p w:rsidR="002D53EF" w:rsidRDefault="002D53EF">
            <w:pPr>
              <w:rPr>
                <w:rFonts w:cs="Arial"/>
                <w:sz w:val="20"/>
                <w:szCs w:val="20"/>
              </w:rPr>
            </w:pPr>
            <w:r>
              <w:rPr>
                <w:rFonts w:cs="Arial"/>
                <w:sz w:val="20"/>
                <w:szCs w:val="20"/>
              </w:rPr>
              <w:t>Ex post price ($/GJ)</w:t>
            </w:r>
          </w:p>
        </w:tc>
        <w:tc>
          <w:tcPr>
            <w:tcW w:w="597" w:type="pct"/>
            <w:tcBorders>
              <w:top w:val="nil"/>
              <w:bottom w:val="nil"/>
            </w:tcBorders>
            <w:vAlign w:val="center"/>
          </w:tcPr>
          <w:p w:rsidR="002D53EF" w:rsidRDefault="002D53EF">
            <w:pPr>
              <w:jc w:val="center"/>
              <w:rPr>
                <w:rFonts w:cs="Arial"/>
                <w:sz w:val="20"/>
                <w:szCs w:val="20"/>
              </w:rPr>
            </w:pPr>
            <w:r>
              <w:rPr>
                <w:rFonts w:cs="Arial"/>
                <w:sz w:val="20"/>
                <w:szCs w:val="20"/>
              </w:rPr>
              <w:t>4.50</w:t>
            </w:r>
          </w:p>
        </w:tc>
        <w:tc>
          <w:tcPr>
            <w:tcW w:w="523" w:type="pct"/>
            <w:tcBorders>
              <w:top w:val="nil"/>
              <w:bottom w:val="nil"/>
            </w:tcBorders>
            <w:vAlign w:val="center"/>
          </w:tcPr>
          <w:p w:rsidR="002D53EF" w:rsidRDefault="002D53EF">
            <w:pPr>
              <w:jc w:val="center"/>
              <w:rPr>
                <w:rFonts w:cs="Arial"/>
                <w:sz w:val="20"/>
                <w:szCs w:val="20"/>
              </w:rPr>
            </w:pPr>
            <w:r>
              <w:rPr>
                <w:rFonts w:cs="Arial"/>
                <w:sz w:val="20"/>
                <w:szCs w:val="20"/>
              </w:rPr>
              <w:t>4.50</w:t>
            </w:r>
          </w:p>
        </w:tc>
        <w:tc>
          <w:tcPr>
            <w:tcW w:w="606" w:type="pct"/>
            <w:tcBorders>
              <w:top w:val="nil"/>
              <w:bottom w:val="nil"/>
            </w:tcBorders>
            <w:vAlign w:val="center"/>
          </w:tcPr>
          <w:p w:rsidR="002D53EF" w:rsidRDefault="002D53EF">
            <w:pPr>
              <w:jc w:val="center"/>
              <w:rPr>
                <w:rFonts w:cs="Arial"/>
                <w:sz w:val="20"/>
                <w:szCs w:val="20"/>
              </w:rPr>
            </w:pPr>
            <w:r>
              <w:rPr>
                <w:rFonts w:cs="Arial"/>
                <w:sz w:val="20"/>
                <w:szCs w:val="20"/>
              </w:rPr>
              <w:t>5.03</w:t>
            </w:r>
          </w:p>
        </w:tc>
        <w:tc>
          <w:tcPr>
            <w:tcW w:w="532" w:type="pct"/>
            <w:tcBorders>
              <w:top w:val="nil"/>
              <w:bottom w:val="nil"/>
            </w:tcBorders>
            <w:vAlign w:val="center"/>
          </w:tcPr>
          <w:p w:rsidR="002D53EF" w:rsidRDefault="002D53EF">
            <w:pPr>
              <w:jc w:val="center"/>
              <w:rPr>
                <w:rFonts w:cs="Arial"/>
                <w:sz w:val="20"/>
                <w:szCs w:val="20"/>
              </w:rPr>
            </w:pPr>
            <w:r>
              <w:rPr>
                <w:rFonts w:cs="Arial"/>
                <w:sz w:val="20"/>
                <w:szCs w:val="20"/>
              </w:rPr>
              <w:t>5.95</w:t>
            </w:r>
          </w:p>
        </w:tc>
        <w:tc>
          <w:tcPr>
            <w:tcW w:w="525" w:type="pct"/>
            <w:tcBorders>
              <w:top w:val="nil"/>
              <w:bottom w:val="nil"/>
            </w:tcBorders>
            <w:vAlign w:val="center"/>
          </w:tcPr>
          <w:p w:rsidR="002D53EF" w:rsidRDefault="002D53EF">
            <w:pPr>
              <w:jc w:val="center"/>
              <w:rPr>
                <w:rFonts w:cs="Arial"/>
                <w:sz w:val="20"/>
                <w:szCs w:val="20"/>
              </w:rPr>
            </w:pPr>
            <w:r>
              <w:rPr>
                <w:rFonts w:cs="Arial"/>
                <w:sz w:val="20"/>
                <w:szCs w:val="20"/>
              </w:rPr>
              <w:t>5.50</w:t>
            </w:r>
          </w:p>
        </w:tc>
        <w:tc>
          <w:tcPr>
            <w:tcW w:w="522" w:type="pct"/>
            <w:tcBorders>
              <w:top w:val="nil"/>
              <w:bottom w:val="nil"/>
            </w:tcBorders>
            <w:vAlign w:val="center"/>
          </w:tcPr>
          <w:p w:rsidR="002D53EF" w:rsidRDefault="002D53EF">
            <w:pPr>
              <w:jc w:val="center"/>
              <w:rPr>
                <w:rFonts w:cs="Arial"/>
                <w:sz w:val="20"/>
                <w:szCs w:val="20"/>
              </w:rPr>
            </w:pPr>
            <w:r>
              <w:rPr>
                <w:rFonts w:cs="Arial"/>
                <w:sz w:val="20"/>
                <w:szCs w:val="20"/>
              </w:rPr>
              <w:t>6.03</w:t>
            </w:r>
          </w:p>
        </w:tc>
        <w:tc>
          <w:tcPr>
            <w:tcW w:w="595" w:type="pct"/>
            <w:tcBorders>
              <w:top w:val="nil"/>
              <w:bottom w:val="nil"/>
            </w:tcBorders>
            <w:vAlign w:val="center"/>
          </w:tcPr>
          <w:p w:rsidR="002D53EF" w:rsidRDefault="002D53EF">
            <w:pPr>
              <w:jc w:val="center"/>
              <w:rPr>
                <w:rFonts w:cs="Arial"/>
                <w:sz w:val="20"/>
                <w:szCs w:val="20"/>
              </w:rPr>
            </w:pPr>
            <w:r>
              <w:rPr>
                <w:rFonts w:cs="Arial"/>
                <w:sz w:val="20"/>
                <w:szCs w:val="20"/>
              </w:rPr>
              <w:t>5.75</w:t>
            </w:r>
          </w:p>
        </w:tc>
      </w:tr>
      <w:tr w:rsidR="002D53EF"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2D53EF" w:rsidRDefault="002D53EF">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76</w:t>
            </w:r>
          </w:p>
        </w:tc>
        <w:tc>
          <w:tcPr>
            <w:tcW w:w="523"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83</w:t>
            </w:r>
          </w:p>
        </w:tc>
        <w:tc>
          <w:tcPr>
            <w:tcW w:w="606"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104</w:t>
            </w:r>
          </w:p>
        </w:tc>
        <w:tc>
          <w:tcPr>
            <w:tcW w:w="532"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95</w:t>
            </w:r>
          </w:p>
        </w:tc>
        <w:tc>
          <w:tcPr>
            <w:tcW w:w="525"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90</w:t>
            </w:r>
          </w:p>
        </w:tc>
        <w:tc>
          <w:tcPr>
            <w:tcW w:w="522"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90</w:t>
            </w:r>
          </w:p>
        </w:tc>
        <w:tc>
          <w:tcPr>
            <w:tcW w:w="595" w:type="pct"/>
            <w:tcBorders>
              <w:top w:val="nil"/>
              <w:bottom w:val="single" w:sz="4" w:space="0" w:color="auto"/>
            </w:tcBorders>
            <w:vAlign w:val="center"/>
          </w:tcPr>
          <w:p w:rsidR="002D53EF" w:rsidRDefault="002D53EF">
            <w:pPr>
              <w:jc w:val="center"/>
              <w:rPr>
                <w:rFonts w:cs="Arial"/>
                <w:sz w:val="20"/>
                <w:szCs w:val="20"/>
              </w:rPr>
            </w:pPr>
            <w:r>
              <w:rPr>
                <w:rFonts w:cs="Arial"/>
                <w:sz w:val="20"/>
                <w:szCs w:val="20"/>
              </w:rPr>
              <w:t>77</w:t>
            </w:r>
          </w:p>
        </w:tc>
      </w:tr>
    </w:tbl>
    <w:p w:rsidR="00BC18FB" w:rsidRPr="00DD0358" w:rsidRDefault="003625A6" w:rsidP="00FF0D8A">
      <w:pPr>
        <w:pStyle w:val="Heading4"/>
        <w:ind w:hanging="338"/>
        <w:rPr>
          <w:color w:val="2272A3"/>
          <w:sz w:val="24"/>
        </w:rPr>
      </w:pPr>
      <w:r w:rsidRPr="00DD0358">
        <w:rPr>
          <w:color w:val="2272A3"/>
          <w:sz w:val="24"/>
          <w:szCs w:val="24"/>
        </w:rPr>
        <w:t>BRI daily hub offers and daily hub bids in price bands ($/GJ)</w:t>
      </w:r>
    </w:p>
    <w:p w:rsidR="00362B9A" w:rsidRPr="00362B9A" w:rsidRDefault="00745D02" w:rsidP="00362B9A">
      <w:r>
        <w:pict>
          <v:shape id="_x0000_i1036" type="#_x0000_t75" alt="Figure 4.2 shows the daily hub offers and bid in within certain price bands in Brisbane this week. The line indicates the scheduled quantity for each day. For a more detailed description of this figure, please refer to the user guide." style="width:475.45pt;height:171.15pt;mso-position-vertical:absolute">
            <v:imagedata r:id="rId24"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Pr="00362B9A" w:rsidRDefault="00745D02" w:rsidP="00362B9A">
      <w:r>
        <w:pict>
          <v:shape id="_x0000_i1037" type="#_x0000_t75" alt="Figure 4.3 shows the daily scheduled and allocated quantities sorted by facility for Brisbane this week. For a more detailed description of this figure, please refer to the user guide.&#10;" style="width:477.5pt;height:99.15pt">
            <v:imagedata r:id="rId25" o:title=""/>
          </v:shape>
        </w:pict>
      </w:r>
    </w:p>
    <w:p w:rsidR="00BC18FB" w:rsidRPr="00DD0358" w:rsidRDefault="004560B0" w:rsidP="00560F2D">
      <w:pPr>
        <w:pStyle w:val="Heading4"/>
        <w:ind w:left="1440" w:hanging="1440"/>
        <w:rPr>
          <w:color w:val="2272A3"/>
          <w:sz w:val="24"/>
          <w:szCs w:val="24"/>
        </w:rPr>
      </w:pPr>
      <w:r w:rsidRPr="00DD0358">
        <w:rPr>
          <w:color w:val="2272A3"/>
          <w:sz w:val="24"/>
          <w:szCs w:val="24"/>
        </w:rPr>
        <w:t>BRI MOS allocations (TJ), service payments and commodity payments/charges ($000)</w:t>
      </w:r>
    </w:p>
    <w:p w:rsidR="004560B0" w:rsidRPr="00362B9A" w:rsidRDefault="00745D02" w:rsidP="00362B9A">
      <w:r>
        <w:pict>
          <v:shape id="_x0000_i1038" type="#_x0000_t75" alt="Figure 4.4 shows the daily MOS allocations sorted by facility for each facility in Brisbane this week. The figure also shows the daily breakdown of costs associated with the MOS provided. For a more detailed description of this figure, please refer to the user guide." style="width:476.15pt;height:156.25pt">
            <v:imagedata r:id="rId26"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lastRenderedPageBreak/>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11"/>
      </w:r>
      <w:r>
        <w:t xml:space="preserve"> from </w:t>
      </w:r>
      <w:r w:rsidRPr="00A475A2">
        <w:t xml:space="preserve">the Bulletin Board (changes from the </w:t>
      </w:r>
      <w:r>
        <w:t>previous week’s</w:t>
      </w:r>
      <w:r w:rsidRPr="00A475A2">
        <w:t xml:space="preserve"> average are shown in brackets).</w:t>
      </w:r>
      <w:r w:rsidRPr="00DF25FF">
        <w:t xml:space="preserve"> </w:t>
      </w:r>
      <w:r w:rsidR="004E20BF">
        <w:t>A</w:t>
      </w:r>
      <w:r>
        <w:t>verage daily scheduled volumes and prices</w:t>
      </w:r>
      <w:r>
        <w:rPr>
          <w:rStyle w:val="FootnoteReference"/>
        </w:rPr>
        <w:footnoteReference w:id="12"/>
      </w:r>
      <w:r>
        <w:t xml:space="preserve"> </w:t>
      </w:r>
      <w:r w:rsidR="004E20BF">
        <w:t xml:space="preserve">are provided </w:t>
      </w:r>
      <w:r w:rsidR="00A270DD">
        <w:t xml:space="preserve">for </w:t>
      </w:r>
      <w:r w:rsidR="004E20BF">
        <w:t>gas markets and gas powered generation for each region.</w:t>
      </w:r>
    </w:p>
    <w:p w:rsidR="00BC18FB" w:rsidRPr="00DD0358" w:rsidRDefault="004560B0" w:rsidP="00560F2D">
      <w:pPr>
        <w:pStyle w:val="Heading4"/>
        <w:ind w:left="1440" w:hanging="1440"/>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p>
    <w:p w:rsidR="00362B9A" w:rsidRPr="00362B9A" w:rsidRDefault="00745D02" w:rsidP="00FB3934">
      <w:r>
        <w:rPr>
          <w:noProof/>
        </w:rPr>
        <w:pict>
          <v:shape id="_x0000_i1039" type="#_x0000_t75" alt="Figure 5.1 shows the average daily Bulletin Board flows for this week compared to the previous week. It includes price and demand data for gas markets across the east coast of Australia and gas powered generation usage estimates for each state. For a more detailed description of this figure, please refer to the user guide." style="width:379.7pt;height:548.85pt;mso-position-vertical:absolute">
            <v:imagedata r:id="rId27" o:title=""/>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3"/>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8C268E" w:rsidRPr="00523686" w:rsidRDefault="00523686" w:rsidP="00345444">
      <w:pPr>
        <w:jc w:val="both"/>
        <w:rPr>
          <w:rFonts w:eastAsia="MS Mincho"/>
        </w:rPr>
      </w:pPr>
      <w:r w:rsidRPr="00523686">
        <w:rPr>
          <w:rFonts w:eastAsia="MS Mincho"/>
        </w:rPr>
        <w:t>There were 2 trades for gas this week (a 2 TJ day-ahead trade on the RBP and an 8 TJ balance-of-day trade on the SWQP) at $5.60/GJ.</w:t>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4"/>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745D02" w:rsidP="00E37A86">
      <w:r>
        <w:rPr>
          <w:rFonts w:eastAsia="MS Mincho"/>
        </w:rPr>
        <w:pict>
          <v:shape id="_x0000_i1040" type="#_x0000_t75" alt="Figure 6.1 shows the daily volume of gas traded on each pipeline in the Wallumbilla Gas Supply Hub. The quantities displayed are shown for both the day the gas is traded over the current week and the gas day on which gas has been shipped." style="width:475.45pt;height:201.05pt">
            <v:imagedata r:id="rId28" o:title=""/>
          </v:shape>
        </w:pict>
      </w:r>
      <w:r w:rsidR="00E37A86" w:rsidRPr="006520EE">
        <w:t xml:space="preserve"> </w:t>
      </w:r>
    </w:p>
    <w:sectPr w:rsidR="009E74E3" w:rsidRPr="006520EE" w:rsidSect="00D635F1">
      <w:footerReference w:type="default" r:id="rId29"/>
      <w:footerReference w:type="first" r:id="rId30"/>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53B" w:rsidRDefault="0091453B">
      <w:r>
        <w:separator/>
      </w:r>
    </w:p>
  </w:endnote>
  <w:endnote w:type="continuationSeparator" w:id="0">
    <w:p w:rsidR="0091453B" w:rsidRDefault="00914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D22793">
    <w:pPr>
      <w:pBdr>
        <w:top w:val="single" w:sz="4" w:space="0" w:color="auto"/>
      </w:pBdr>
      <w:ind w:left="-284" w:right="-329" w:firstLine="284"/>
      <w:jc w:val="center"/>
      <w:rPr>
        <w:i/>
        <w:sz w:val="16"/>
        <w:szCs w:val="16"/>
      </w:rPr>
    </w:pPr>
    <w:r>
      <w:rPr>
        <w:i/>
        <w:sz w:val="20"/>
      </w:rPr>
      <w:t>© Commonwealth of Australia.</w:t>
    </w:r>
  </w:p>
  <w:p w:rsidR="0091453B" w:rsidRDefault="0091453B" w:rsidP="005A77AC">
    <w:pPr>
      <w:jc w:val="center"/>
    </w:pPr>
    <w:r>
      <w:fldChar w:fldCharType="begin"/>
    </w:r>
    <w:r>
      <w:instrText xml:space="preserve"> PAGE  \* MERGEFORMAT </w:instrText>
    </w:r>
    <w:r>
      <w:fldChar w:fldCharType="separate"/>
    </w:r>
    <w:r w:rsidR="007145B2">
      <w:rPr>
        <w:noProof/>
      </w:rPr>
      <w:t>11</w:t>
    </w:r>
    <w:r>
      <w:fldChar w:fldCharType="end"/>
    </w:r>
  </w:p>
  <w:p w:rsidR="0091453B" w:rsidRDefault="0091453B"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491029">
    <w:pPr>
      <w:pBdr>
        <w:top w:val="single" w:sz="4" w:space="0" w:color="auto"/>
      </w:pBdr>
      <w:ind w:left="-284" w:right="-329" w:firstLine="284"/>
      <w:jc w:val="center"/>
      <w:rPr>
        <w:i/>
        <w:sz w:val="20"/>
      </w:rPr>
    </w:pPr>
    <w:r>
      <w:rPr>
        <w:i/>
        <w:sz w:val="20"/>
      </w:rPr>
      <w:t>© Commonwealth of Australia.</w:t>
    </w:r>
  </w:p>
  <w:p w:rsidR="0091453B" w:rsidRPr="002D773A" w:rsidRDefault="0091453B" w:rsidP="00491029">
    <w:pPr>
      <w:jc w:val="center"/>
    </w:pPr>
    <w:r>
      <w:fldChar w:fldCharType="begin"/>
    </w:r>
    <w:r>
      <w:instrText xml:space="preserve"> PAGE  \* MERGEFORMAT </w:instrText>
    </w:r>
    <w:r>
      <w:fldChar w:fldCharType="separate"/>
    </w:r>
    <w:r w:rsidR="007145B2">
      <w:rPr>
        <w:noProof/>
      </w:rPr>
      <w:t>1</w:t>
    </w:r>
    <w:r>
      <w:fldChar w:fldCharType="end"/>
    </w:r>
  </w:p>
  <w:p w:rsidR="0091453B" w:rsidRDefault="0091453B" w:rsidP="00491029">
    <w:pPr>
      <w:pStyle w:val="Footer"/>
      <w:jc w:val="right"/>
    </w:pPr>
    <w:r w:rsidRPr="00F52F00">
      <w:rPr>
        <w:rFonts w:cs="Arial"/>
        <w:i/>
      </w:rPr>
      <w:t>AER reference: 392</w:t>
    </w:r>
    <w:r>
      <w:rPr>
        <w:rFonts w:cs="Arial"/>
        <w:i/>
      </w:rPr>
      <w:t>7</w:t>
    </w:r>
    <w:r w:rsidRPr="00F52F00">
      <w:rPr>
        <w:rFonts w:cs="Arial"/>
        <w:i/>
      </w:rPr>
      <w:t xml:space="preserve">0 – </w:t>
    </w:r>
    <w:r w:rsidRPr="004718E5">
      <w:rPr>
        <w:rFonts w:cs="Arial"/>
        <w:i/>
      </w:rPr>
      <w:t>D1</w:t>
    </w:r>
    <w:r w:rsidR="004718E5" w:rsidRPr="004718E5">
      <w:rPr>
        <w:rFonts w:cs="Arial"/>
        <w:i/>
      </w:rPr>
      <w:t>6</w:t>
    </w:r>
    <w:r w:rsidRPr="004718E5">
      <w:rPr>
        <w:rFonts w:cs="Arial"/>
        <w:i/>
      </w:rPr>
      <w:t>/</w:t>
    </w:r>
    <w:r w:rsidR="006C4D31">
      <w:rPr>
        <w:rFonts w:cs="Arial"/>
        <w:i/>
      </w:rPr>
      <w:t>56948</w:t>
    </w:r>
  </w:p>
  <w:p w:rsidR="0091453B" w:rsidRDefault="009145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53B" w:rsidRDefault="0091453B">
      <w:r>
        <w:separator/>
      </w:r>
    </w:p>
  </w:footnote>
  <w:footnote w:type="continuationSeparator" w:id="0">
    <w:p w:rsidR="0091453B" w:rsidRDefault="0091453B">
      <w:r>
        <w:continuationSeparator/>
      </w:r>
    </w:p>
  </w:footnote>
  <w:footnote w:id="1">
    <w:p w:rsidR="0091453B" w:rsidRPr="00942640" w:rsidRDefault="0091453B" w:rsidP="004560B0">
      <w:pPr>
        <w:pStyle w:val="FootnoteText"/>
        <w:spacing w:before="0" w:after="0"/>
        <w:jc w:val="both"/>
        <w:rPr>
          <w:sz w:val="18"/>
          <w:szCs w:val="16"/>
        </w:rPr>
      </w:pPr>
      <w:r>
        <w:rPr>
          <w:rStyle w:val="FootnoteReference"/>
        </w:rPr>
        <w:footnoteRef/>
      </w:r>
      <w:r>
        <w:t xml:space="preserve"> </w:t>
      </w:r>
      <w:r>
        <w:tab/>
      </w:r>
      <w:r w:rsidRPr="00942640">
        <w:rPr>
          <w:sz w:val="18"/>
          <w:szCs w:val="16"/>
        </w:rPr>
        <w:t>The weighted average daily imbalance price applies for Victoria.</w:t>
      </w:r>
    </w:p>
  </w:footnote>
  <w:footnote w:id="2">
    <w:p w:rsidR="006D2750" w:rsidRDefault="006D2750" w:rsidP="006D2750">
      <w:pPr>
        <w:pStyle w:val="FootnoteText"/>
        <w:jc w:val="both"/>
      </w:pPr>
      <w:r>
        <w:rPr>
          <w:rStyle w:val="FootnoteReference"/>
        </w:rPr>
        <w:footnoteRef/>
      </w:r>
      <w:r>
        <w:t xml:space="preserve"> </w:t>
      </w:r>
      <w:r>
        <w:tab/>
      </w:r>
      <w:r w:rsidR="00A30237" w:rsidRPr="00A30237">
        <w:rPr>
          <w:sz w:val="18"/>
        </w:rPr>
        <w:t xml:space="preserve">Overrun MOS </w:t>
      </w:r>
      <w:r w:rsidR="00A30237">
        <w:rPr>
          <w:sz w:val="18"/>
        </w:rPr>
        <w:t>genera</w:t>
      </w:r>
      <w:r w:rsidR="00A30237" w:rsidRPr="00A30237">
        <w:rPr>
          <w:sz w:val="18"/>
        </w:rPr>
        <w:t xml:space="preserve">lly occurs when all the MOS offers available in the stack have been exhausted. </w:t>
      </w:r>
      <w:r w:rsidR="00A30237">
        <w:rPr>
          <w:sz w:val="18"/>
        </w:rPr>
        <w:t>While the quantity of MOS required on 27 April did not exceed MOS offers or the estimated maximum requirement</w:t>
      </w:r>
      <w:r w:rsidR="00A30237" w:rsidRPr="00A30237">
        <w:rPr>
          <w:sz w:val="18"/>
        </w:rPr>
        <w:t xml:space="preserve"> </w:t>
      </w:r>
      <w:r w:rsidR="00A30237">
        <w:rPr>
          <w:sz w:val="18"/>
        </w:rPr>
        <w:t>for April, only 7.6 TJ of these offers were allocated (in line with those participants who had sufficient forward haul allocations on the pipeline and were also offering MOS). The remainder of the requirement was allocated as overrun at a volume weighted price of $11.34/GJ. The majority of the cost ($85 999) was attributable to the MOS offers being allocated at higher prices (out of merit order).</w:t>
      </w:r>
    </w:p>
  </w:footnote>
  <w:footnote w:id="3">
    <w:p w:rsidR="006D2750" w:rsidRPr="006D2750" w:rsidRDefault="006D2750" w:rsidP="006D2750">
      <w:pPr>
        <w:pStyle w:val="FootnoteText"/>
        <w:jc w:val="both"/>
        <w:rPr>
          <w:sz w:val="18"/>
        </w:rPr>
      </w:pPr>
      <w:r>
        <w:rPr>
          <w:rStyle w:val="FootnoteReference"/>
        </w:rPr>
        <w:footnoteRef/>
      </w:r>
      <w:r>
        <w:t xml:space="preserve"> </w:t>
      </w:r>
      <w:r>
        <w:tab/>
      </w:r>
      <w:r w:rsidRPr="006D2750">
        <w:rPr>
          <w:sz w:val="18"/>
        </w:rPr>
        <w:t>In contrast, the MOS requirement due to over forecasting on the following day was lessened through renominations which reduced MAP supply by 3 TJ.</w:t>
      </w:r>
    </w:p>
  </w:footnote>
  <w:footnote w:id="4">
    <w:p w:rsidR="001E6A78" w:rsidRDefault="001E6A78" w:rsidP="001E6A78">
      <w:pPr>
        <w:pStyle w:val="FootnoteText"/>
        <w:jc w:val="both"/>
      </w:pPr>
      <w:r>
        <w:rPr>
          <w:rStyle w:val="FootnoteReference"/>
        </w:rPr>
        <w:footnoteRef/>
      </w:r>
      <w:r>
        <w:t xml:space="preserve"> </w:t>
      </w:r>
      <w:r>
        <w:tab/>
      </w:r>
      <w:r w:rsidRPr="001E6A78">
        <w:rPr>
          <w:sz w:val="18"/>
        </w:rPr>
        <w:t>The PFDC mechanism allows additional forward haul to be scheduled on the pipeline to economically supply back haul bids.</w:t>
      </w:r>
    </w:p>
  </w:footnote>
  <w:footnote w:id="5">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6">
    <w:p w:rsidR="0091453B" w:rsidRPr="00EF58A8" w:rsidRDefault="0091453B"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7">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8">
    <w:p w:rsidR="00205F4E" w:rsidRPr="006A737F" w:rsidRDefault="00205F4E" w:rsidP="006A737F">
      <w:pPr>
        <w:pStyle w:val="FootnoteText"/>
        <w:jc w:val="both"/>
        <w:rPr>
          <w:sz w:val="18"/>
          <w:szCs w:val="18"/>
        </w:rPr>
      </w:pPr>
      <w:r>
        <w:rPr>
          <w:rStyle w:val="FootnoteReference"/>
        </w:rPr>
        <w:footnoteRef/>
      </w:r>
      <w:r>
        <w:t xml:space="preserve"> </w:t>
      </w:r>
      <w:r>
        <w:tab/>
      </w:r>
      <w:r w:rsidRPr="006A737F">
        <w:rPr>
          <w:sz w:val="18"/>
          <w:szCs w:val="18"/>
        </w:rPr>
        <w:t>An oversight by a trader resulted in a large quantity of low priced withdrawal bids at Culcairn being submitted on 27 April.</w:t>
      </w:r>
    </w:p>
  </w:footnote>
  <w:footnote w:id="9">
    <w:p w:rsidR="0091453B" w:rsidRPr="00362B9A" w:rsidRDefault="0091453B"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10">
    <w:p w:rsidR="0091453B" w:rsidRDefault="0091453B"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11">
    <w:p w:rsidR="0091453B" w:rsidRPr="002E7E9E" w:rsidRDefault="0091453B"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Gas </w:t>
      </w:r>
      <w:r w:rsidR="004E20BF">
        <w:rPr>
          <w:sz w:val="18"/>
          <w:szCs w:val="18"/>
        </w:rPr>
        <w:t>f</w:t>
      </w:r>
      <w:r w:rsidRPr="002E7E9E">
        <w:rPr>
          <w:sz w:val="18"/>
          <w:szCs w:val="18"/>
        </w:rPr>
        <w:t>lows</w:t>
      </w:r>
      <w:r w:rsidR="004E20BF">
        <w:rPr>
          <w:sz w:val="18"/>
          <w:szCs w:val="18"/>
        </w:rPr>
        <w:t xml:space="preserve"> shown under regional headings</w:t>
      </w:r>
      <w:r w:rsidRPr="002E7E9E">
        <w:rPr>
          <w:sz w:val="18"/>
          <w:szCs w:val="18"/>
        </w:rPr>
        <w:t xml:space="preserve">: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91453B" w:rsidRDefault="0091453B"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91453B" w:rsidRDefault="0091453B" w:rsidP="004560B0">
      <w:pPr>
        <w:pStyle w:val="FootnoteText"/>
        <w:spacing w:before="0" w:after="0"/>
        <w:ind w:firstLine="0"/>
        <w:rPr>
          <w:sz w:val="18"/>
          <w:szCs w:val="18"/>
        </w:rPr>
      </w:pPr>
      <w:r w:rsidRPr="002E7E9E">
        <w:rPr>
          <w:sz w:val="18"/>
          <w:szCs w:val="18"/>
        </w:rPr>
        <w:t xml:space="preserve">GPG volumes </w:t>
      </w:r>
      <w:r>
        <w:rPr>
          <w:sz w:val="18"/>
          <w:szCs w:val="18"/>
        </w:rPr>
        <w:t xml:space="preserve">may </w:t>
      </w:r>
      <w:r w:rsidRPr="002E7E9E">
        <w:rPr>
          <w:sz w:val="18"/>
          <w:szCs w:val="18"/>
        </w:rPr>
        <w:t xml:space="preserve">include gas usage that </w:t>
      </w:r>
      <w:r>
        <w:rPr>
          <w:sz w:val="18"/>
          <w:szCs w:val="18"/>
        </w:rPr>
        <w:t>does</w:t>
      </w:r>
      <w:r w:rsidRPr="002E7E9E">
        <w:rPr>
          <w:sz w:val="18"/>
          <w:szCs w:val="18"/>
        </w:rPr>
        <w:t xml:space="preserve"> not show up on Bulletin Board pipeline flows.</w:t>
      </w:r>
    </w:p>
    <w:p w:rsidR="002B1803" w:rsidRPr="002E7E9E" w:rsidRDefault="002B1803" w:rsidP="004560B0">
      <w:pPr>
        <w:pStyle w:val="FootnoteText"/>
        <w:spacing w:before="0" w:after="0"/>
        <w:ind w:firstLine="0"/>
        <w:rPr>
          <w:sz w:val="18"/>
          <w:szCs w:val="18"/>
        </w:rPr>
      </w:pPr>
      <w:r>
        <w:rPr>
          <w:sz w:val="18"/>
          <w:szCs w:val="18"/>
        </w:rPr>
        <w:t>Roma included export LNG production from October 2014 and LNG pipeline flows are shown from October 2015.</w:t>
      </w:r>
    </w:p>
  </w:footnote>
  <w:footnote w:id="12">
    <w:p w:rsidR="0091453B" w:rsidRDefault="0091453B"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13">
    <w:p w:rsidR="0091453B" w:rsidRPr="009E74E3" w:rsidRDefault="0091453B"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4">
    <w:p w:rsidR="0091453B" w:rsidRPr="007300C3" w:rsidRDefault="0091453B" w:rsidP="00DE5B7B">
      <w:pPr>
        <w:pStyle w:val="FootnoteText"/>
        <w:spacing w:before="0" w:after="0"/>
        <w:ind w:left="284" w:hanging="284"/>
        <w:jc w:val="both"/>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5">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6">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8"/>
  </w:num>
  <w:num w:numId="3">
    <w:abstractNumId w:val="10"/>
  </w:num>
  <w:num w:numId="4">
    <w:abstractNumId w:val="17"/>
  </w:num>
  <w:num w:numId="5">
    <w:abstractNumId w:val="2"/>
  </w:num>
  <w:num w:numId="6">
    <w:abstractNumId w:val="14"/>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5"/>
  </w:num>
  <w:num w:numId="20">
    <w:abstractNumId w:val="16"/>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720"/>
  <w:characterSpacingControl w:val="doNotCompress"/>
  <w:hdrShapeDefaults>
    <o:shapedefaults v:ext="edit" spidmax="716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AER gas weekly report - 24 – 30 April 2016.docx"/>
  </w:docVars>
  <w:rsids>
    <w:rsidRoot w:val="005F18AD"/>
    <w:rsid w:val="000013C1"/>
    <w:rsid w:val="00001BFB"/>
    <w:rsid w:val="00002313"/>
    <w:rsid w:val="00004A63"/>
    <w:rsid w:val="00010025"/>
    <w:rsid w:val="000123CA"/>
    <w:rsid w:val="00016981"/>
    <w:rsid w:val="00020978"/>
    <w:rsid w:val="0002268D"/>
    <w:rsid w:val="00027115"/>
    <w:rsid w:val="000323BA"/>
    <w:rsid w:val="00033456"/>
    <w:rsid w:val="00040F6B"/>
    <w:rsid w:val="00044C2D"/>
    <w:rsid w:val="000552AF"/>
    <w:rsid w:val="00055584"/>
    <w:rsid w:val="00061656"/>
    <w:rsid w:val="0006609A"/>
    <w:rsid w:val="00073D01"/>
    <w:rsid w:val="00076046"/>
    <w:rsid w:val="000813BF"/>
    <w:rsid w:val="0008491C"/>
    <w:rsid w:val="00085092"/>
    <w:rsid w:val="000876E7"/>
    <w:rsid w:val="00093854"/>
    <w:rsid w:val="000974A2"/>
    <w:rsid w:val="00097D40"/>
    <w:rsid w:val="000B4A1F"/>
    <w:rsid w:val="000B6397"/>
    <w:rsid w:val="000B69E0"/>
    <w:rsid w:val="000B7FAF"/>
    <w:rsid w:val="000D1FEB"/>
    <w:rsid w:val="000E1F9A"/>
    <w:rsid w:val="000F0BBB"/>
    <w:rsid w:val="000F2287"/>
    <w:rsid w:val="000F3B46"/>
    <w:rsid w:val="000F59F8"/>
    <w:rsid w:val="000F5F5E"/>
    <w:rsid w:val="000F6D05"/>
    <w:rsid w:val="00113D67"/>
    <w:rsid w:val="00117C98"/>
    <w:rsid w:val="00125818"/>
    <w:rsid w:val="001420EB"/>
    <w:rsid w:val="001452B3"/>
    <w:rsid w:val="00150A19"/>
    <w:rsid w:val="00153729"/>
    <w:rsid w:val="00157AFD"/>
    <w:rsid w:val="001608BE"/>
    <w:rsid w:val="00171BD5"/>
    <w:rsid w:val="00181F4A"/>
    <w:rsid w:val="001831BF"/>
    <w:rsid w:val="001835B2"/>
    <w:rsid w:val="00183D85"/>
    <w:rsid w:val="00193ECC"/>
    <w:rsid w:val="001A41B4"/>
    <w:rsid w:val="001A5893"/>
    <w:rsid w:val="001A5B94"/>
    <w:rsid w:val="001A5C1A"/>
    <w:rsid w:val="001A765F"/>
    <w:rsid w:val="001B294E"/>
    <w:rsid w:val="001B2ADA"/>
    <w:rsid w:val="001B3823"/>
    <w:rsid w:val="001C006C"/>
    <w:rsid w:val="001C5A74"/>
    <w:rsid w:val="001E6A78"/>
    <w:rsid w:val="001E79FF"/>
    <w:rsid w:val="001F0F9B"/>
    <w:rsid w:val="002052B6"/>
    <w:rsid w:val="00205F4E"/>
    <w:rsid w:val="00206559"/>
    <w:rsid w:val="002168D4"/>
    <w:rsid w:val="002312F5"/>
    <w:rsid w:val="00231B0A"/>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1803"/>
    <w:rsid w:val="002B3D3C"/>
    <w:rsid w:val="002B4D21"/>
    <w:rsid w:val="002C0499"/>
    <w:rsid w:val="002C2576"/>
    <w:rsid w:val="002D0C16"/>
    <w:rsid w:val="002D53EF"/>
    <w:rsid w:val="002D59B3"/>
    <w:rsid w:val="002D5CEC"/>
    <w:rsid w:val="002E0688"/>
    <w:rsid w:val="002E2C96"/>
    <w:rsid w:val="002E2E46"/>
    <w:rsid w:val="002E7E9E"/>
    <w:rsid w:val="002F0AE7"/>
    <w:rsid w:val="002F139A"/>
    <w:rsid w:val="002F4250"/>
    <w:rsid w:val="0030240F"/>
    <w:rsid w:val="00311A09"/>
    <w:rsid w:val="00314A8B"/>
    <w:rsid w:val="0032174C"/>
    <w:rsid w:val="00323327"/>
    <w:rsid w:val="00330B70"/>
    <w:rsid w:val="003348F7"/>
    <w:rsid w:val="003352F4"/>
    <w:rsid w:val="00336E8E"/>
    <w:rsid w:val="003410C4"/>
    <w:rsid w:val="00345444"/>
    <w:rsid w:val="00347FBB"/>
    <w:rsid w:val="003548AA"/>
    <w:rsid w:val="0035758F"/>
    <w:rsid w:val="00357C72"/>
    <w:rsid w:val="003625A6"/>
    <w:rsid w:val="00362B9A"/>
    <w:rsid w:val="003632A4"/>
    <w:rsid w:val="003664D0"/>
    <w:rsid w:val="00366BDF"/>
    <w:rsid w:val="00372976"/>
    <w:rsid w:val="00374CF9"/>
    <w:rsid w:val="003800B4"/>
    <w:rsid w:val="00387B66"/>
    <w:rsid w:val="00396C2C"/>
    <w:rsid w:val="00396C7A"/>
    <w:rsid w:val="003977B4"/>
    <w:rsid w:val="003B0AAD"/>
    <w:rsid w:val="003B65E0"/>
    <w:rsid w:val="003C5272"/>
    <w:rsid w:val="003C5482"/>
    <w:rsid w:val="003D59BF"/>
    <w:rsid w:val="003E313D"/>
    <w:rsid w:val="003F3391"/>
    <w:rsid w:val="003F44AD"/>
    <w:rsid w:val="003F44B7"/>
    <w:rsid w:val="003F51E6"/>
    <w:rsid w:val="003F7FD2"/>
    <w:rsid w:val="0040076C"/>
    <w:rsid w:val="004055AC"/>
    <w:rsid w:val="00411C3F"/>
    <w:rsid w:val="004149DB"/>
    <w:rsid w:val="00421FFF"/>
    <w:rsid w:val="00433231"/>
    <w:rsid w:val="00434FC1"/>
    <w:rsid w:val="004420C4"/>
    <w:rsid w:val="00442756"/>
    <w:rsid w:val="00445D38"/>
    <w:rsid w:val="00447C09"/>
    <w:rsid w:val="004505EA"/>
    <w:rsid w:val="0045204B"/>
    <w:rsid w:val="00452149"/>
    <w:rsid w:val="00452AAD"/>
    <w:rsid w:val="004560B0"/>
    <w:rsid w:val="00460629"/>
    <w:rsid w:val="004622A6"/>
    <w:rsid w:val="00463EFA"/>
    <w:rsid w:val="004718E5"/>
    <w:rsid w:val="004777B8"/>
    <w:rsid w:val="00483EDA"/>
    <w:rsid w:val="00491029"/>
    <w:rsid w:val="00492501"/>
    <w:rsid w:val="00496CEF"/>
    <w:rsid w:val="004A09D6"/>
    <w:rsid w:val="004A10A7"/>
    <w:rsid w:val="004B068E"/>
    <w:rsid w:val="004B18D8"/>
    <w:rsid w:val="004B2256"/>
    <w:rsid w:val="004B2A1A"/>
    <w:rsid w:val="004B6D60"/>
    <w:rsid w:val="004D09C9"/>
    <w:rsid w:val="004D1EBF"/>
    <w:rsid w:val="004D3B99"/>
    <w:rsid w:val="004D3E78"/>
    <w:rsid w:val="004E20BF"/>
    <w:rsid w:val="004F3D13"/>
    <w:rsid w:val="00502181"/>
    <w:rsid w:val="00505139"/>
    <w:rsid w:val="00514A82"/>
    <w:rsid w:val="005157B0"/>
    <w:rsid w:val="005178FC"/>
    <w:rsid w:val="00522E00"/>
    <w:rsid w:val="00523686"/>
    <w:rsid w:val="005244DA"/>
    <w:rsid w:val="0053609E"/>
    <w:rsid w:val="00541108"/>
    <w:rsid w:val="00547827"/>
    <w:rsid w:val="00560F2D"/>
    <w:rsid w:val="00563C94"/>
    <w:rsid w:val="00564C71"/>
    <w:rsid w:val="0056618C"/>
    <w:rsid w:val="0058198F"/>
    <w:rsid w:val="00582F1C"/>
    <w:rsid w:val="005859CC"/>
    <w:rsid w:val="00586C57"/>
    <w:rsid w:val="00587CD1"/>
    <w:rsid w:val="005A1650"/>
    <w:rsid w:val="005A4569"/>
    <w:rsid w:val="005A6687"/>
    <w:rsid w:val="005A77AC"/>
    <w:rsid w:val="005C4B8B"/>
    <w:rsid w:val="005C68CE"/>
    <w:rsid w:val="005D1037"/>
    <w:rsid w:val="005D4097"/>
    <w:rsid w:val="005D6652"/>
    <w:rsid w:val="005E3DFB"/>
    <w:rsid w:val="005E4C48"/>
    <w:rsid w:val="005F18AD"/>
    <w:rsid w:val="005F31D0"/>
    <w:rsid w:val="00601A25"/>
    <w:rsid w:val="00601C18"/>
    <w:rsid w:val="00601E71"/>
    <w:rsid w:val="0060661E"/>
    <w:rsid w:val="00612663"/>
    <w:rsid w:val="00645036"/>
    <w:rsid w:val="00647DD2"/>
    <w:rsid w:val="006520EE"/>
    <w:rsid w:val="00652A42"/>
    <w:rsid w:val="006540A8"/>
    <w:rsid w:val="006705A4"/>
    <w:rsid w:val="006722EB"/>
    <w:rsid w:val="00686F6E"/>
    <w:rsid w:val="00697E41"/>
    <w:rsid w:val="006A302E"/>
    <w:rsid w:val="006A5317"/>
    <w:rsid w:val="006A7228"/>
    <w:rsid w:val="006A737F"/>
    <w:rsid w:val="006B004C"/>
    <w:rsid w:val="006C1858"/>
    <w:rsid w:val="006C242A"/>
    <w:rsid w:val="006C2B2B"/>
    <w:rsid w:val="006C4D31"/>
    <w:rsid w:val="006C57B2"/>
    <w:rsid w:val="006C5A2C"/>
    <w:rsid w:val="006C6D60"/>
    <w:rsid w:val="006D2750"/>
    <w:rsid w:val="006D6E0B"/>
    <w:rsid w:val="006E1063"/>
    <w:rsid w:val="006E312B"/>
    <w:rsid w:val="006E40BD"/>
    <w:rsid w:val="006E7E57"/>
    <w:rsid w:val="006F4169"/>
    <w:rsid w:val="007001FF"/>
    <w:rsid w:val="007059A9"/>
    <w:rsid w:val="00706720"/>
    <w:rsid w:val="00710600"/>
    <w:rsid w:val="0071106C"/>
    <w:rsid w:val="007145B2"/>
    <w:rsid w:val="00715BED"/>
    <w:rsid w:val="00716B82"/>
    <w:rsid w:val="007201F8"/>
    <w:rsid w:val="007209C0"/>
    <w:rsid w:val="00722B62"/>
    <w:rsid w:val="0072650E"/>
    <w:rsid w:val="007306EC"/>
    <w:rsid w:val="00740EE4"/>
    <w:rsid w:val="00745D02"/>
    <w:rsid w:val="00747724"/>
    <w:rsid w:val="00750C0F"/>
    <w:rsid w:val="00763150"/>
    <w:rsid w:val="0076429B"/>
    <w:rsid w:val="00767397"/>
    <w:rsid w:val="00773AE0"/>
    <w:rsid w:val="00776BBA"/>
    <w:rsid w:val="00781A4A"/>
    <w:rsid w:val="00791198"/>
    <w:rsid w:val="007941C2"/>
    <w:rsid w:val="00795966"/>
    <w:rsid w:val="007966A5"/>
    <w:rsid w:val="007A12DE"/>
    <w:rsid w:val="007A24B5"/>
    <w:rsid w:val="007A51E1"/>
    <w:rsid w:val="007A7E7A"/>
    <w:rsid w:val="007B7771"/>
    <w:rsid w:val="007D470C"/>
    <w:rsid w:val="007D4B14"/>
    <w:rsid w:val="007D4F53"/>
    <w:rsid w:val="007D75F1"/>
    <w:rsid w:val="007E52F7"/>
    <w:rsid w:val="007E5F68"/>
    <w:rsid w:val="0080456D"/>
    <w:rsid w:val="00811D1C"/>
    <w:rsid w:val="008133CF"/>
    <w:rsid w:val="008170C0"/>
    <w:rsid w:val="008344A6"/>
    <w:rsid w:val="00875D0C"/>
    <w:rsid w:val="008776EF"/>
    <w:rsid w:val="00882958"/>
    <w:rsid w:val="008936C5"/>
    <w:rsid w:val="00895965"/>
    <w:rsid w:val="008A6DB5"/>
    <w:rsid w:val="008B4A16"/>
    <w:rsid w:val="008B7161"/>
    <w:rsid w:val="008C0EC8"/>
    <w:rsid w:val="008C268E"/>
    <w:rsid w:val="008C7F3A"/>
    <w:rsid w:val="008D39F4"/>
    <w:rsid w:val="008D4DAB"/>
    <w:rsid w:val="008D70A4"/>
    <w:rsid w:val="008E2239"/>
    <w:rsid w:val="008E24DA"/>
    <w:rsid w:val="008F4BF5"/>
    <w:rsid w:val="008F4EAE"/>
    <w:rsid w:val="008F5409"/>
    <w:rsid w:val="00900CEB"/>
    <w:rsid w:val="00903620"/>
    <w:rsid w:val="009136B3"/>
    <w:rsid w:val="009143E0"/>
    <w:rsid w:val="0091453B"/>
    <w:rsid w:val="00936A7B"/>
    <w:rsid w:val="00937543"/>
    <w:rsid w:val="00942622"/>
    <w:rsid w:val="00942640"/>
    <w:rsid w:val="00950C55"/>
    <w:rsid w:val="00951926"/>
    <w:rsid w:val="00956CE9"/>
    <w:rsid w:val="009629B5"/>
    <w:rsid w:val="00976584"/>
    <w:rsid w:val="00987973"/>
    <w:rsid w:val="00990F83"/>
    <w:rsid w:val="009962A0"/>
    <w:rsid w:val="009A04DD"/>
    <w:rsid w:val="009B2F99"/>
    <w:rsid w:val="009B4053"/>
    <w:rsid w:val="009B48FB"/>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270DD"/>
    <w:rsid w:val="00A30237"/>
    <w:rsid w:val="00A324A8"/>
    <w:rsid w:val="00A349B0"/>
    <w:rsid w:val="00A475A2"/>
    <w:rsid w:val="00A51DDD"/>
    <w:rsid w:val="00A55660"/>
    <w:rsid w:val="00A55C96"/>
    <w:rsid w:val="00A6146D"/>
    <w:rsid w:val="00A642B8"/>
    <w:rsid w:val="00A66FD2"/>
    <w:rsid w:val="00A67716"/>
    <w:rsid w:val="00A677D8"/>
    <w:rsid w:val="00A834DF"/>
    <w:rsid w:val="00A91C53"/>
    <w:rsid w:val="00A936AE"/>
    <w:rsid w:val="00AA1D87"/>
    <w:rsid w:val="00AD3EBD"/>
    <w:rsid w:val="00AE03A4"/>
    <w:rsid w:val="00AE309F"/>
    <w:rsid w:val="00AE4633"/>
    <w:rsid w:val="00AE748C"/>
    <w:rsid w:val="00AF2164"/>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43B6"/>
    <w:rsid w:val="00B76529"/>
    <w:rsid w:val="00B82478"/>
    <w:rsid w:val="00B8698C"/>
    <w:rsid w:val="00B9666A"/>
    <w:rsid w:val="00BA112E"/>
    <w:rsid w:val="00BA16E2"/>
    <w:rsid w:val="00BA31C3"/>
    <w:rsid w:val="00BA65E6"/>
    <w:rsid w:val="00BA6C2E"/>
    <w:rsid w:val="00BB2FF6"/>
    <w:rsid w:val="00BC18FB"/>
    <w:rsid w:val="00BC21AB"/>
    <w:rsid w:val="00BC254C"/>
    <w:rsid w:val="00BC4C5B"/>
    <w:rsid w:val="00BC77F9"/>
    <w:rsid w:val="00BD3A40"/>
    <w:rsid w:val="00BD60AA"/>
    <w:rsid w:val="00BE18D0"/>
    <w:rsid w:val="00BE240C"/>
    <w:rsid w:val="00BE4577"/>
    <w:rsid w:val="00BF1D01"/>
    <w:rsid w:val="00BF3080"/>
    <w:rsid w:val="00C21D81"/>
    <w:rsid w:val="00C26B1D"/>
    <w:rsid w:val="00C26E38"/>
    <w:rsid w:val="00C3163F"/>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1DDB"/>
    <w:rsid w:val="00D161D7"/>
    <w:rsid w:val="00D1641C"/>
    <w:rsid w:val="00D16FE8"/>
    <w:rsid w:val="00D22793"/>
    <w:rsid w:val="00D329E0"/>
    <w:rsid w:val="00D40430"/>
    <w:rsid w:val="00D41D64"/>
    <w:rsid w:val="00D50980"/>
    <w:rsid w:val="00D60D45"/>
    <w:rsid w:val="00D635F1"/>
    <w:rsid w:val="00D67440"/>
    <w:rsid w:val="00D71951"/>
    <w:rsid w:val="00D76436"/>
    <w:rsid w:val="00D84A8C"/>
    <w:rsid w:val="00DA0113"/>
    <w:rsid w:val="00DA37EC"/>
    <w:rsid w:val="00DA38A8"/>
    <w:rsid w:val="00DA3AAA"/>
    <w:rsid w:val="00DB0182"/>
    <w:rsid w:val="00DB12E4"/>
    <w:rsid w:val="00DB3B79"/>
    <w:rsid w:val="00DB3D7F"/>
    <w:rsid w:val="00DB5A3A"/>
    <w:rsid w:val="00DC0A52"/>
    <w:rsid w:val="00DC12FF"/>
    <w:rsid w:val="00DC154F"/>
    <w:rsid w:val="00DC158D"/>
    <w:rsid w:val="00DD0358"/>
    <w:rsid w:val="00DD5ACD"/>
    <w:rsid w:val="00DE5B7B"/>
    <w:rsid w:val="00E01475"/>
    <w:rsid w:val="00E032F3"/>
    <w:rsid w:val="00E14392"/>
    <w:rsid w:val="00E16C03"/>
    <w:rsid w:val="00E2040E"/>
    <w:rsid w:val="00E2256B"/>
    <w:rsid w:val="00E27FEA"/>
    <w:rsid w:val="00E37A86"/>
    <w:rsid w:val="00E40361"/>
    <w:rsid w:val="00E41452"/>
    <w:rsid w:val="00E524B2"/>
    <w:rsid w:val="00E52E2A"/>
    <w:rsid w:val="00E74D68"/>
    <w:rsid w:val="00E7639D"/>
    <w:rsid w:val="00E77449"/>
    <w:rsid w:val="00E7755A"/>
    <w:rsid w:val="00E8378F"/>
    <w:rsid w:val="00E86AAA"/>
    <w:rsid w:val="00E92E1D"/>
    <w:rsid w:val="00E93C7C"/>
    <w:rsid w:val="00E94C7D"/>
    <w:rsid w:val="00EA2F65"/>
    <w:rsid w:val="00EA4813"/>
    <w:rsid w:val="00EA6E29"/>
    <w:rsid w:val="00EC5464"/>
    <w:rsid w:val="00ED5E08"/>
    <w:rsid w:val="00EE2B5F"/>
    <w:rsid w:val="00EE51D2"/>
    <w:rsid w:val="00EE6F2C"/>
    <w:rsid w:val="00EF4E45"/>
    <w:rsid w:val="00EF58A8"/>
    <w:rsid w:val="00EF5A5D"/>
    <w:rsid w:val="00EF6B0C"/>
    <w:rsid w:val="00F01843"/>
    <w:rsid w:val="00F02D8D"/>
    <w:rsid w:val="00F114D5"/>
    <w:rsid w:val="00F16C55"/>
    <w:rsid w:val="00F25FA8"/>
    <w:rsid w:val="00F415E2"/>
    <w:rsid w:val="00F427B4"/>
    <w:rsid w:val="00F45735"/>
    <w:rsid w:val="00F5024F"/>
    <w:rsid w:val="00F50297"/>
    <w:rsid w:val="00F51FA1"/>
    <w:rsid w:val="00F5594F"/>
    <w:rsid w:val="00F55D61"/>
    <w:rsid w:val="00F63042"/>
    <w:rsid w:val="00F645EC"/>
    <w:rsid w:val="00F67024"/>
    <w:rsid w:val="00F67559"/>
    <w:rsid w:val="00F71200"/>
    <w:rsid w:val="00F73DCA"/>
    <w:rsid w:val="00F76C75"/>
    <w:rsid w:val="00F77722"/>
    <w:rsid w:val="00F803DE"/>
    <w:rsid w:val="00F96C04"/>
    <w:rsid w:val="00F976F4"/>
    <w:rsid w:val="00FB3934"/>
    <w:rsid w:val="00FB594A"/>
    <w:rsid w:val="00FB7DD0"/>
    <w:rsid w:val="00FC4B88"/>
    <w:rsid w:val="00FD08B1"/>
    <w:rsid w:val="00FD7009"/>
    <w:rsid w:val="00FD7231"/>
    <w:rsid w:val="00FE0150"/>
    <w:rsid w:val="00FE30E3"/>
    <w:rsid w:val="00FF0D8A"/>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rsid w:val="005F18AD"/>
    <w:pPr>
      <w:ind w:left="340" w:hanging="340"/>
    </w:pPr>
    <w:rPr>
      <w:sz w:val="20"/>
      <w:szCs w:val="20"/>
      <w:lang w:eastAsia="en-US"/>
    </w:rPr>
  </w:style>
  <w:style w:type="character" w:customStyle="1" w:styleId="FootnoteTextChar">
    <w:name w:val="Footnote Text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uiPriority w:val="99"/>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 w:type="paragraph" w:customStyle="1" w:styleId="TableHeading">
    <w:name w:val="Table Heading"/>
    <w:basedOn w:val="Tabletext"/>
    <w:link w:val="TableHeadingChar"/>
    <w:qFormat/>
    <w:rsid w:val="0091453B"/>
    <w:pPr>
      <w:spacing w:before="60" w:after="60" w:line="276" w:lineRule="auto"/>
      <w:jc w:val="left"/>
    </w:pPr>
    <w:rPr>
      <w:rFonts w:eastAsia="Arial"/>
      <w:color w:val="FFFFFF"/>
      <w:sz w:val="18"/>
      <w:szCs w:val="22"/>
      <w:lang w:eastAsia="en-US"/>
    </w:rPr>
  </w:style>
  <w:style w:type="character" w:customStyle="1" w:styleId="TableHeadingChar">
    <w:name w:val="Table Heading Char"/>
    <w:link w:val="TableHeading"/>
    <w:rsid w:val="0091453B"/>
    <w:rPr>
      <w:rFonts w:ascii="Arial" w:eastAsia="Arial" w:hAnsi="Arial"/>
      <w:color w:val="FFFFFF"/>
      <w:sz w:val="18"/>
      <w:szCs w:val="22"/>
      <w:lang w:eastAsia="en-US"/>
    </w:rPr>
  </w:style>
  <w:style w:type="paragraph" w:customStyle="1" w:styleId="tableheadingline2">
    <w:name w:val="table heading line 2"/>
    <w:basedOn w:val="Normal"/>
    <w:link w:val="tableheadingline2Char"/>
    <w:qFormat/>
    <w:rsid w:val="0091453B"/>
    <w:pPr>
      <w:spacing w:before="0" w:line="276" w:lineRule="auto"/>
      <w:jc w:val="center"/>
    </w:pPr>
    <w:rPr>
      <w:rFonts w:eastAsia="Arial"/>
      <w:b/>
      <w:sz w:val="18"/>
      <w:szCs w:val="22"/>
      <w:lang w:eastAsia="en-US"/>
    </w:rPr>
  </w:style>
  <w:style w:type="character" w:customStyle="1" w:styleId="tableheadingline2Char">
    <w:name w:val="table heading line 2 Char"/>
    <w:link w:val="tableheadingline2"/>
    <w:rsid w:val="0091453B"/>
    <w:rPr>
      <w:rFonts w:ascii="Arial" w:eastAsia="Arial" w:hAnsi="Arial"/>
      <w:b/>
      <w:sz w:val="1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aer.gov.au/node/451" TargetMode="External"/><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yperlink" Target="http://www.aer.gov.au/node/451" TargetMode="External"/><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26AA6B96.dotm</Template>
  <TotalTime>0</TotalTime>
  <Pages>11</Pages>
  <Words>1709</Words>
  <Characters>8033</Characters>
  <Application>Microsoft Office Word</Application>
  <DocSecurity>0</DocSecurity>
  <Lines>66</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9723</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2016-05-11T06:14:00Z</dcterms:created>
  <dcterms:modified xsi:type="dcterms:W3CDTF">2016-05-11T06:14:00Z</dcterms:modified>
</cp:coreProperties>
</file>