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CA0217"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A979FF" w:rsidP="004420C4">
      <w:pPr>
        <w:pStyle w:val="Heading2"/>
        <w:numPr>
          <w:ilvl w:val="0"/>
          <w:numId w:val="0"/>
        </w:numPr>
        <w:rPr>
          <w:i w:val="0"/>
        </w:rPr>
      </w:pPr>
      <w:r>
        <w:rPr>
          <w:i w:val="0"/>
          <w:sz w:val="36"/>
          <w:szCs w:val="36"/>
        </w:rPr>
        <w:t>22 – 28 November 2015</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653845" w:rsidRDefault="002209FD" w:rsidP="00345444">
      <w:pPr>
        <w:pStyle w:val="AERbodytext"/>
        <w:spacing w:line="240" w:lineRule="auto"/>
        <w:jc w:val="both"/>
      </w:pPr>
      <w:r>
        <w:t xml:space="preserve">Figure 1 shows that average prices were higher in all markets than for the previous week. </w:t>
      </w:r>
      <w:r w:rsidR="00653845" w:rsidRPr="002C7EA6">
        <w:t xml:space="preserve"> The </w:t>
      </w:r>
      <w:r>
        <w:t>biggest</w:t>
      </w:r>
      <w:r w:rsidR="00653845" w:rsidRPr="002C7EA6">
        <w:t xml:space="preserve"> price increase </w:t>
      </w:r>
      <w:r w:rsidR="002C7EA6" w:rsidRPr="002C7EA6">
        <w:t>occurred</w:t>
      </w:r>
      <w:r w:rsidR="00653845" w:rsidRPr="002C7EA6">
        <w:t xml:space="preserve"> in the Brisbane hub, </w:t>
      </w:r>
      <w:r>
        <w:t>at</w:t>
      </w:r>
      <w:r w:rsidR="00653845" w:rsidRPr="002C7EA6">
        <w:t xml:space="preserve"> 15 per cent above the previous week</w:t>
      </w:r>
      <w:r w:rsidR="0018242D">
        <w:t>’</w:t>
      </w:r>
      <w:r w:rsidR="00653845" w:rsidRPr="002C7EA6">
        <w:t>s average</w:t>
      </w:r>
      <w:r w:rsidR="00870B16">
        <w:t xml:space="preserve"> (</w:t>
      </w:r>
      <w:r w:rsidR="002C7EA6" w:rsidRPr="002C7EA6">
        <w:t>follow</w:t>
      </w:r>
      <w:r w:rsidR="00870B16">
        <w:t xml:space="preserve">ing the </w:t>
      </w:r>
      <w:r w:rsidR="002C7EA6" w:rsidRPr="002C7EA6">
        <w:t xml:space="preserve">32 per cent </w:t>
      </w:r>
      <w:r w:rsidR="00870B16">
        <w:t xml:space="preserve">average price </w:t>
      </w:r>
      <w:r w:rsidR="002C7EA6" w:rsidRPr="002C7EA6">
        <w:t>incr</w:t>
      </w:r>
      <w:bookmarkStart w:id="2" w:name="_GoBack"/>
      <w:bookmarkEnd w:id="2"/>
      <w:r w:rsidR="002C7EA6" w:rsidRPr="002C7EA6">
        <w:t xml:space="preserve">ease </w:t>
      </w:r>
      <w:r w:rsidR="00870B16">
        <w:t xml:space="preserve">discussed in the previous Weekly Report). </w:t>
      </w:r>
    </w:p>
    <w:p w:rsidR="0018242D" w:rsidRPr="002C7EA6" w:rsidRDefault="0018242D" w:rsidP="0018242D">
      <w:pPr>
        <w:pStyle w:val="AERbodytext"/>
        <w:spacing w:line="240" w:lineRule="auto"/>
        <w:jc w:val="both"/>
      </w:pPr>
      <w:r>
        <w:t xml:space="preserve">The </w:t>
      </w:r>
      <w:r w:rsidRPr="00C11639">
        <w:t>Weekly Summary figure shows</w:t>
      </w:r>
      <w:r w:rsidR="009E2DFF">
        <w:t xml:space="preserve"> daily prices in each gas market for the current week and the fortnight prior.</w:t>
      </w:r>
    </w:p>
    <w:p w:rsidR="0018242D" w:rsidRDefault="0018242D" w:rsidP="0018242D">
      <w:pPr>
        <w:pStyle w:val="Heading2"/>
        <w:numPr>
          <w:ilvl w:val="0"/>
          <w:numId w:val="0"/>
        </w:numPr>
        <w:rPr>
          <w:i w:val="0"/>
          <w:color w:val="2272A3"/>
          <w:sz w:val="24"/>
          <w:szCs w:val="24"/>
        </w:rPr>
      </w:pPr>
      <w:r>
        <w:rPr>
          <w:i w:val="0"/>
          <w:color w:val="2272A3"/>
          <w:sz w:val="24"/>
          <w:szCs w:val="24"/>
        </w:rPr>
        <w:t xml:space="preserve">Weekly Summary: APLNG and GLNG pipeline flows and production </w:t>
      </w:r>
      <w:r w:rsidR="0097287B">
        <w:rPr>
          <w:i w:val="0"/>
          <w:color w:val="2272A3"/>
          <w:sz w:val="24"/>
          <w:szCs w:val="24"/>
        </w:rPr>
        <w:t xml:space="preserve">and price </w:t>
      </w:r>
      <w:r>
        <w:rPr>
          <w:i w:val="0"/>
          <w:color w:val="2272A3"/>
          <w:sz w:val="24"/>
          <w:szCs w:val="24"/>
        </w:rPr>
        <w:t>in Queensland</w:t>
      </w:r>
      <w:r w:rsidR="006E4BB4">
        <w:rPr>
          <w:i w:val="0"/>
          <w:color w:val="2272A3"/>
          <w:sz w:val="24"/>
          <w:szCs w:val="24"/>
        </w:rPr>
        <w:t xml:space="preserve"> </w:t>
      </w:r>
    </w:p>
    <w:p w:rsidR="0018242D" w:rsidRDefault="00CA0217" w:rsidP="00345444">
      <w:pPr>
        <w:pStyle w:val="AERbodytext"/>
        <w:spacing w:line="240" w:lineRule="auto"/>
        <w:jc w:val="both"/>
      </w:pPr>
      <w:r>
        <w:pict>
          <v:shape id="_x0000_i1025" type="#_x0000_t75" alt="The Weekly Summary figure shows daily prices in each gas market for the current week and the fortnight prior (gas days from 8 November to 28 November inclusive). The chart also includes daily volume weighted average prices for the Wallumbilla Gas Supply Hub on the days where trades occurred." style="width:462.7pt;height:150.25pt">
            <v:imagedata r:id="rId11" o:title=""/>
          </v:shape>
        </w:pict>
      </w:r>
    </w:p>
    <w:p w:rsidR="00051565" w:rsidRPr="002C7EA6" w:rsidRDefault="006E4BB4" w:rsidP="00345444">
      <w:pPr>
        <w:pStyle w:val="AERbodytext"/>
        <w:spacing w:line="240" w:lineRule="auto"/>
        <w:jc w:val="both"/>
      </w:pPr>
      <w:r>
        <w:t>Looking at the Weekly Summary figure, i</w:t>
      </w:r>
      <w:r w:rsidR="00870B16">
        <w:t xml:space="preserve">t appears that </w:t>
      </w:r>
      <w:r w:rsidR="00051565" w:rsidRPr="002C7EA6">
        <w:t>higher prices in Queensland influence</w:t>
      </w:r>
      <w:r>
        <w:t>d</w:t>
      </w:r>
      <w:r w:rsidR="00051565" w:rsidRPr="002C7EA6">
        <w:t xml:space="preserve"> prices in </w:t>
      </w:r>
      <w:r>
        <w:t xml:space="preserve">southern </w:t>
      </w:r>
      <w:r w:rsidR="00051565" w:rsidRPr="002C7EA6">
        <w:t>markets</w:t>
      </w:r>
      <w:r>
        <w:t>.</w:t>
      </w:r>
      <w:r w:rsidR="00051565" w:rsidRPr="002C7EA6">
        <w:t xml:space="preserve"> From 21 November, flows on the QSN Link reversed to flow into Queensland following a ramp up of GLNG supply to Curtis Island. This led to reduced flows south on the Moomba to Sydney Pipeline. At the same time</w:t>
      </w:r>
      <w:r w:rsidR="00792386">
        <w:t>,</w:t>
      </w:r>
      <w:r w:rsidR="00051565" w:rsidRPr="002C7EA6">
        <w:t xml:space="preserve"> </w:t>
      </w:r>
      <w:r w:rsidRPr="002C7EA6">
        <w:t xml:space="preserve">demand </w:t>
      </w:r>
      <w:r w:rsidR="00051565" w:rsidRPr="002C7EA6">
        <w:t>increase</w:t>
      </w:r>
      <w:r>
        <w:t>d</w:t>
      </w:r>
      <w:r w:rsidR="00051565" w:rsidRPr="002C7EA6">
        <w:t xml:space="preserve"> in Sydney</w:t>
      </w:r>
      <w:r w:rsidR="00051565" w:rsidRPr="002C7EA6">
        <w:rPr>
          <w:rStyle w:val="FootnoteReference"/>
        </w:rPr>
        <w:footnoteReference w:id="1"/>
      </w:r>
      <w:r w:rsidR="00051565" w:rsidRPr="002C7EA6">
        <w:t xml:space="preserve"> and Victoria</w:t>
      </w:r>
      <w:r w:rsidR="003F11E0" w:rsidRPr="002C7EA6">
        <w:rPr>
          <w:rStyle w:val="FootnoteReference"/>
        </w:rPr>
        <w:footnoteReference w:id="2"/>
      </w:r>
      <w:r w:rsidR="00051565" w:rsidRPr="002C7EA6">
        <w:t xml:space="preserve"> </w:t>
      </w:r>
      <w:r w:rsidR="009630F3" w:rsidRPr="002C7EA6">
        <w:t>dr</w:t>
      </w:r>
      <w:r w:rsidR="009630F3">
        <w:t>i</w:t>
      </w:r>
      <w:r w:rsidR="009630F3" w:rsidRPr="002C7EA6">
        <w:t>v</w:t>
      </w:r>
      <w:r w:rsidR="009630F3">
        <w:t>ing</w:t>
      </w:r>
      <w:r w:rsidR="009630F3" w:rsidRPr="002C7EA6">
        <w:t xml:space="preserve"> </w:t>
      </w:r>
      <w:r w:rsidR="00051565" w:rsidRPr="002C7EA6">
        <w:t>up prices</w:t>
      </w:r>
      <w:r w:rsidR="00EE49F3" w:rsidRPr="002C7EA6">
        <w:t xml:space="preserve"> from 24 November.</w:t>
      </w:r>
    </w:p>
    <w:p w:rsidR="00750C08" w:rsidRPr="002C7EA6" w:rsidRDefault="00750C08" w:rsidP="00345444">
      <w:pPr>
        <w:pStyle w:val="AERbodytext"/>
        <w:spacing w:line="240" w:lineRule="auto"/>
        <w:jc w:val="both"/>
      </w:pPr>
      <w:r w:rsidRPr="002C7EA6">
        <w:t xml:space="preserve">The </w:t>
      </w:r>
      <w:r w:rsidR="006E4BB4">
        <w:t xml:space="preserve">Significant Markets Events section discusses other factors that may have influenced prices in Sydney and Victoria. </w:t>
      </w:r>
    </w:p>
    <w:p w:rsidR="00AF2164" w:rsidRPr="00D1641C" w:rsidRDefault="006E6C02" w:rsidP="006E7E57">
      <w:pPr>
        <w:pStyle w:val="Heading1"/>
        <w:numPr>
          <w:ilvl w:val="0"/>
          <w:numId w:val="0"/>
        </w:numPr>
        <w:spacing w:before="180"/>
        <w:rPr>
          <w:rFonts w:cs="Times New Roman"/>
          <w:noProof/>
          <w:color w:val="2272A3"/>
          <w:kern w:val="0"/>
          <w:szCs w:val="20"/>
          <w:lang w:eastAsia="en-US"/>
        </w:rPr>
      </w:pPr>
      <w:r>
        <w:rPr>
          <w:rFonts w:cs="Times New Roman"/>
          <w:noProof/>
          <w:color w:val="2272A3"/>
          <w:kern w:val="0"/>
          <w:szCs w:val="20"/>
          <w:lang w:eastAsia="en-US"/>
        </w:rPr>
        <w:br w:type="page"/>
      </w:r>
      <w:r w:rsidR="00AF2164" w:rsidRPr="00AF2164">
        <w:rPr>
          <w:rFonts w:cs="Times New Roman"/>
          <w:noProof/>
          <w:color w:val="2272A3"/>
          <w:kern w:val="0"/>
          <w:szCs w:val="20"/>
          <w:lang w:eastAsia="en-US"/>
        </w:rPr>
        <w:lastRenderedPageBreak/>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2" w:history="1">
        <w:r>
          <w:rPr>
            <w:rStyle w:val="Hyperlink"/>
          </w:rPr>
          <w:t>explanatory note</w:t>
        </w:r>
      </w:hyperlink>
      <w:r>
        <w:t xml:space="preserve"> to assist with interpreting the data presented in its weekly gas market reports. The AER also publish a range of </w:t>
      </w:r>
      <w:hyperlink r:id="rId13"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3"/>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723BEF">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723BEF">
            <w:pPr>
              <w:jc w:val="center"/>
              <w:rPr>
                <w:sz w:val="20"/>
              </w:rPr>
            </w:pPr>
            <w:r w:rsidRPr="00936A7B">
              <w:rPr>
                <w:sz w:val="20"/>
              </w:rPr>
              <w:t>Victoria</w:t>
            </w:r>
          </w:p>
        </w:tc>
        <w:tc>
          <w:tcPr>
            <w:tcW w:w="749" w:type="pct"/>
            <w:tcBorders>
              <w:bottom w:val="nil"/>
            </w:tcBorders>
            <w:hideMark/>
          </w:tcPr>
          <w:p w:rsidR="003F44B7" w:rsidRPr="00936A7B" w:rsidRDefault="003F44B7" w:rsidP="00723BEF">
            <w:pPr>
              <w:jc w:val="center"/>
              <w:rPr>
                <w:sz w:val="20"/>
              </w:rPr>
            </w:pPr>
            <w:r w:rsidRPr="00936A7B">
              <w:rPr>
                <w:sz w:val="20"/>
              </w:rPr>
              <w:t>Sydney</w:t>
            </w:r>
          </w:p>
        </w:tc>
        <w:tc>
          <w:tcPr>
            <w:tcW w:w="749" w:type="pct"/>
            <w:tcBorders>
              <w:bottom w:val="nil"/>
            </w:tcBorders>
            <w:hideMark/>
          </w:tcPr>
          <w:p w:rsidR="003F44B7" w:rsidRPr="00936A7B" w:rsidRDefault="003F44B7" w:rsidP="00723BEF">
            <w:pPr>
              <w:jc w:val="center"/>
              <w:rPr>
                <w:sz w:val="20"/>
              </w:rPr>
            </w:pPr>
            <w:r w:rsidRPr="00936A7B">
              <w:rPr>
                <w:sz w:val="20"/>
              </w:rPr>
              <w:t>Adelaide</w:t>
            </w:r>
          </w:p>
        </w:tc>
        <w:tc>
          <w:tcPr>
            <w:tcW w:w="823" w:type="pct"/>
            <w:tcBorders>
              <w:bottom w:val="nil"/>
            </w:tcBorders>
            <w:hideMark/>
          </w:tcPr>
          <w:p w:rsidR="003F44B7" w:rsidRPr="00936A7B" w:rsidRDefault="003F44B7" w:rsidP="00723BEF">
            <w:pPr>
              <w:jc w:val="center"/>
              <w:rPr>
                <w:sz w:val="20"/>
              </w:rPr>
            </w:pPr>
            <w:r w:rsidRPr="00936A7B">
              <w:rPr>
                <w:sz w:val="20"/>
              </w:rPr>
              <w:t>Brisbane</w:t>
            </w:r>
          </w:p>
        </w:tc>
      </w:tr>
      <w:tr w:rsidR="000B6257" w:rsidRPr="0091453B" w:rsidTr="00723BEF">
        <w:trPr>
          <w:trHeight w:val="510"/>
        </w:trPr>
        <w:tc>
          <w:tcPr>
            <w:tcW w:w="1928" w:type="pct"/>
            <w:tcBorders>
              <w:top w:val="nil"/>
              <w:bottom w:val="nil"/>
            </w:tcBorders>
            <w:vAlign w:val="center"/>
          </w:tcPr>
          <w:p w:rsidR="000B6257" w:rsidRDefault="000B6257">
            <w:pPr>
              <w:rPr>
                <w:rFonts w:cs="Arial"/>
                <w:sz w:val="20"/>
                <w:szCs w:val="20"/>
              </w:rPr>
            </w:pPr>
            <w:r>
              <w:rPr>
                <w:rFonts w:cs="Arial"/>
                <w:sz w:val="20"/>
                <w:szCs w:val="20"/>
              </w:rPr>
              <w:t>22 Nov - 28 Nov 2015</w:t>
            </w:r>
          </w:p>
        </w:tc>
        <w:tc>
          <w:tcPr>
            <w:tcW w:w="750" w:type="pct"/>
            <w:tcBorders>
              <w:top w:val="nil"/>
              <w:bottom w:val="nil"/>
            </w:tcBorders>
            <w:vAlign w:val="center"/>
          </w:tcPr>
          <w:p w:rsidR="000B6257" w:rsidRDefault="000B6257">
            <w:pPr>
              <w:jc w:val="center"/>
              <w:rPr>
                <w:rFonts w:cs="Arial"/>
                <w:sz w:val="20"/>
                <w:szCs w:val="20"/>
              </w:rPr>
            </w:pPr>
            <w:r>
              <w:rPr>
                <w:rFonts w:cs="Arial"/>
                <w:sz w:val="20"/>
                <w:szCs w:val="20"/>
              </w:rPr>
              <w:t>4.58</w:t>
            </w:r>
          </w:p>
        </w:tc>
        <w:tc>
          <w:tcPr>
            <w:tcW w:w="749" w:type="pct"/>
            <w:tcBorders>
              <w:top w:val="nil"/>
              <w:bottom w:val="nil"/>
            </w:tcBorders>
            <w:vAlign w:val="center"/>
          </w:tcPr>
          <w:p w:rsidR="000B6257" w:rsidRDefault="000B6257">
            <w:pPr>
              <w:jc w:val="center"/>
              <w:rPr>
                <w:rFonts w:cs="Arial"/>
                <w:sz w:val="20"/>
                <w:szCs w:val="20"/>
              </w:rPr>
            </w:pPr>
            <w:r>
              <w:rPr>
                <w:rFonts w:cs="Arial"/>
                <w:sz w:val="20"/>
                <w:szCs w:val="20"/>
              </w:rPr>
              <w:t>4.41</w:t>
            </w:r>
          </w:p>
        </w:tc>
        <w:tc>
          <w:tcPr>
            <w:tcW w:w="749" w:type="pct"/>
            <w:tcBorders>
              <w:top w:val="nil"/>
              <w:bottom w:val="nil"/>
            </w:tcBorders>
            <w:vAlign w:val="center"/>
          </w:tcPr>
          <w:p w:rsidR="000B6257" w:rsidRDefault="000B6257">
            <w:pPr>
              <w:jc w:val="center"/>
              <w:rPr>
                <w:rFonts w:cs="Arial"/>
                <w:sz w:val="20"/>
                <w:szCs w:val="20"/>
              </w:rPr>
            </w:pPr>
            <w:r>
              <w:rPr>
                <w:rFonts w:cs="Arial"/>
                <w:sz w:val="20"/>
                <w:szCs w:val="20"/>
              </w:rPr>
              <w:t>4.32</w:t>
            </w:r>
          </w:p>
        </w:tc>
        <w:tc>
          <w:tcPr>
            <w:tcW w:w="823" w:type="pct"/>
            <w:tcBorders>
              <w:top w:val="nil"/>
              <w:bottom w:val="nil"/>
            </w:tcBorders>
            <w:vAlign w:val="center"/>
          </w:tcPr>
          <w:p w:rsidR="000B6257" w:rsidRDefault="000B6257">
            <w:pPr>
              <w:jc w:val="center"/>
              <w:rPr>
                <w:rFonts w:cs="Arial"/>
                <w:sz w:val="20"/>
                <w:szCs w:val="20"/>
              </w:rPr>
            </w:pPr>
            <w:r>
              <w:rPr>
                <w:rFonts w:cs="Arial"/>
                <w:sz w:val="20"/>
                <w:szCs w:val="20"/>
              </w:rPr>
              <w:t>3.57</w:t>
            </w:r>
          </w:p>
        </w:tc>
      </w:tr>
      <w:tr w:rsidR="000B6257" w:rsidRPr="0091453B" w:rsidTr="00723BE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0B6257" w:rsidRDefault="000B6257">
            <w:pPr>
              <w:rPr>
                <w:rFonts w:cs="Arial"/>
                <w:sz w:val="20"/>
                <w:szCs w:val="20"/>
              </w:rPr>
            </w:pPr>
            <w:r>
              <w:rPr>
                <w:rFonts w:cs="Arial"/>
                <w:sz w:val="20"/>
                <w:szCs w:val="20"/>
              </w:rPr>
              <w:t>% change from previous week</w:t>
            </w:r>
          </w:p>
        </w:tc>
        <w:tc>
          <w:tcPr>
            <w:tcW w:w="750" w:type="pct"/>
            <w:tcBorders>
              <w:top w:val="nil"/>
              <w:bottom w:val="nil"/>
            </w:tcBorders>
            <w:vAlign w:val="center"/>
          </w:tcPr>
          <w:p w:rsidR="000B6257" w:rsidRDefault="000B6257">
            <w:pPr>
              <w:jc w:val="center"/>
              <w:rPr>
                <w:rFonts w:cs="Arial"/>
                <w:sz w:val="20"/>
                <w:szCs w:val="20"/>
              </w:rPr>
            </w:pPr>
            <w:r>
              <w:rPr>
                <w:rFonts w:cs="Arial"/>
                <w:sz w:val="20"/>
                <w:szCs w:val="20"/>
              </w:rPr>
              <w:t>11</w:t>
            </w:r>
          </w:p>
        </w:tc>
        <w:tc>
          <w:tcPr>
            <w:tcW w:w="749" w:type="pct"/>
            <w:tcBorders>
              <w:top w:val="nil"/>
              <w:bottom w:val="nil"/>
            </w:tcBorders>
            <w:vAlign w:val="center"/>
          </w:tcPr>
          <w:p w:rsidR="000B6257" w:rsidRDefault="000B6257">
            <w:pPr>
              <w:jc w:val="center"/>
              <w:rPr>
                <w:rFonts w:cs="Arial"/>
                <w:sz w:val="20"/>
                <w:szCs w:val="20"/>
              </w:rPr>
            </w:pPr>
            <w:r>
              <w:rPr>
                <w:rFonts w:cs="Arial"/>
                <w:sz w:val="20"/>
                <w:szCs w:val="20"/>
              </w:rPr>
              <w:t>6</w:t>
            </w:r>
          </w:p>
        </w:tc>
        <w:tc>
          <w:tcPr>
            <w:tcW w:w="749" w:type="pct"/>
            <w:tcBorders>
              <w:top w:val="nil"/>
              <w:bottom w:val="nil"/>
            </w:tcBorders>
            <w:vAlign w:val="center"/>
          </w:tcPr>
          <w:p w:rsidR="000B6257" w:rsidRDefault="000B6257">
            <w:pPr>
              <w:jc w:val="center"/>
              <w:rPr>
                <w:rFonts w:cs="Arial"/>
                <w:sz w:val="20"/>
                <w:szCs w:val="20"/>
              </w:rPr>
            </w:pPr>
            <w:r>
              <w:rPr>
                <w:rFonts w:cs="Arial"/>
                <w:sz w:val="20"/>
                <w:szCs w:val="20"/>
              </w:rPr>
              <w:t>4</w:t>
            </w:r>
          </w:p>
        </w:tc>
        <w:tc>
          <w:tcPr>
            <w:tcW w:w="823" w:type="pct"/>
            <w:tcBorders>
              <w:top w:val="nil"/>
              <w:bottom w:val="nil"/>
            </w:tcBorders>
            <w:vAlign w:val="center"/>
          </w:tcPr>
          <w:p w:rsidR="000B6257" w:rsidRDefault="000B6257">
            <w:pPr>
              <w:jc w:val="center"/>
              <w:rPr>
                <w:rFonts w:cs="Arial"/>
                <w:sz w:val="20"/>
                <w:szCs w:val="20"/>
              </w:rPr>
            </w:pPr>
            <w:r>
              <w:rPr>
                <w:rFonts w:cs="Arial"/>
                <w:sz w:val="20"/>
                <w:szCs w:val="20"/>
              </w:rPr>
              <w:t>15</w:t>
            </w:r>
          </w:p>
        </w:tc>
      </w:tr>
      <w:tr w:rsidR="000B6257" w:rsidRPr="0091453B" w:rsidTr="00723BEF">
        <w:trPr>
          <w:trHeight w:val="510"/>
        </w:trPr>
        <w:tc>
          <w:tcPr>
            <w:tcW w:w="1928" w:type="pct"/>
            <w:tcBorders>
              <w:top w:val="nil"/>
              <w:bottom w:val="nil"/>
            </w:tcBorders>
            <w:vAlign w:val="center"/>
          </w:tcPr>
          <w:p w:rsidR="000B6257" w:rsidRDefault="000B6257">
            <w:pPr>
              <w:rPr>
                <w:rFonts w:cs="Arial"/>
                <w:sz w:val="20"/>
                <w:szCs w:val="20"/>
              </w:rPr>
            </w:pPr>
            <w:r>
              <w:rPr>
                <w:rFonts w:cs="Arial"/>
                <w:sz w:val="20"/>
                <w:szCs w:val="20"/>
              </w:rPr>
              <w:t>15-16 financial YTD</w:t>
            </w:r>
          </w:p>
        </w:tc>
        <w:tc>
          <w:tcPr>
            <w:tcW w:w="750" w:type="pct"/>
            <w:tcBorders>
              <w:top w:val="nil"/>
              <w:bottom w:val="nil"/>
            </w:tcBorders>
            <w:vAlign w:val="center"/>
          </w:tcPr>
          <w:p w:rsidR="000B6257" w:rsidRDefault="000B6257">
            <w:pPr>
              <w:jc w:val="center"/>
              <w:rPr>
                <w:rFonts w:cs="Arial"/>
                <w:sz w:val="20"/>
                <w:szCs w:val="20"/>
              </w:rPr>
            </w:pPr>
            <w:r>
              <w:rPr>
                <w:rFonts w:cs="Arial"/>
                <w:sz w:val="20"/>
                <w:szCs w:val="20"/>
              </w:rPr>
              <w:t>4.42</w:t>
            </w:r>
          </w:p>
        </w:tc>
        <w:tc>
          <w:tcPr>
            <w:tcW w:w="749" w:type="pct"/>
            <w:tcBorders>
              <w:top w:val="nil"/>
              <w:bottom w:val="nil"/>
            </w:tcBorders>
            <w:vAlign w:val="center"/>
          </w:tcPr>
          <w:p w:rsidR="000B6257" w:rsidRDefault="000B6257">
            <w:pPr>
              <w:jc w:val="center"/>
              <w:rPr>
                <w:rFonts w:cs="Arial"/>
                <w:sz w:val="20"/>
                <w:szCs w:val="20"/>
              </w:rPr>
            </w:pPr>
            <w:r>
              <w:rPr>
                <w:rFonts w:cs="Arial"/>
                <w:sz w:val="20"/>
                <w:szCs w:val="20"/>
              </w:rPr>
              <w:t>4.66</w:t>
            </w:r>
          </w:p>
        </w:tc>
        <w:tc>
          <w:tcPr>
            <w:tcW w:w="749" w:type="pct"/>
            <w:tcBorders>
              <w:top w:val="nil"/>
              <w:bottom w:val="nil"/>
            </w:tcBorders>
            <w:vAlign w:val="center"/>
          </w:tcPr>
          <w:p w:rsidR="000B6257" w:rsidRDefault="000B6257">
            <w:pPr>
              <w:jc w:val="center"/>
              <w:rPr>
                <w:rFonts w:cs="Arial"/>
                <w:sz w:val="20"/>
                <w:szCs w:val="20"/>
              </w:rPr>
            </w:pPr>
            <w:r>
              <w:rPr>
                <w:rFonts w:cs="Arial"/>
                <w:sz w:val="20"/>
                <w:szCs w:val="20"/>
              </w:rPr>
              <w:t>5.03</w:t>
            </w:r>
          </w:p>
        </w:tc>
        <w:tc>
          <w:tcPr>
            <w:tcW w:w="823" w:type="pct"/>
            <w:tcBorders>
              <w:top w:val="nil"/>
              <w:bottom w:val="nil"/>
            </w:tcBorders>
            <w:vAlign w:val="center"/>
          </w:tcPr>
          <w:p w:rsidR="000B6257" w:rsidRDefault="000B6257">
            <w:pPr>
              <w:jc w:val="center"/>
              <w:rPr>
                <w:rFonts w:cs="Arial"/>
                <w:sz w:val="20"/>
                <w:szCs w:val="20"/>
              </w:rPr>
            </w:pPr>
            <w:r>
              <w:rPr>
                <w:rFonts w:cs="Arial"/>
                <w:sz w:val="20"/>
                <w:szCs w:val="20"/>
              </w:rPr>
              <w:t>3.74</w:t>
            </w:r>
          </w:p>
        </w:tc>
      </w:tr>
      <w:tr w:rsidR="000B6257" w:rsidRPr="0091453B" w:rsidTr="00723BE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0B6257" w:rsidRDefault="000B6257">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28</w:t>
            </w:r>
          </w:p>
        </w:tc>
        <w:tc>
          <w:tcPr>
            <w:tcW w:w="74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45</w:t>
            </w:r>
          </w:p>
        </w:tc>
        <w:tc>
          <w:tcPr>
            <w:tcW w:w="74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44</w:t>
            </w:r>
          </w:p>
        </w:tc>
        <w:tc>
          <w:tcPr>
            <w:tcW w:w="823"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105</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723BEF">
            <w:pPr>
              <w:pStyle w:val="TableHeading"/>
              <w:jc w:val="center"/>
              <w:rPr>
                <w:rFonts w:cs="Arial"/>
                <w:sz w:val="20"/>
                <w:szCs w:val="20"/>
              </w:rPr>
            </w:pPr>
          </w:p>
        </w:tc>
        <w:tc>
          <w:tcPr>
            <w:tcW w:w="749"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BOD forecast demand quantity (TJ)</w:t>
            </w:r>
          </w:p>
        </w:tc>
      </w:tr>
      <w:tr w:rsidR="000B6257" w:rsidRPr="0091453B" w:rsidTr="00723BEF">
        <w:trPr>
          <w:trHeight w:val="510"/>
        </w:trPr>
        <w:tc>
          <w:tcPr>
            <w:tcW w:w="1928" w:type="pct"/>
            <w:tcBorders>
              <w:top w:val="nil"/>
              <w:bottom w:val="nil"/>
            </w:tcBorders>
            <w:vAlign w:val="center"/>
          </w:tcPr>
          <w:p w:rsidR="000B6257" w:rsidRDefault="000B6257">
            <w:pPr>
              <w:rPr>
                <w:rFonts w:cs="Arial"/>
                <w:sz w:val="20"/>
                <w:szCs w:val="20"/>
              </w:rPr>
            </w:pPr>
            <w:r>
              <w:rPr>
                <w:rFonts w:cs="Arial"/>
                <w:sz w:val="20"/>
                <w:szCs w:val="20"/>
              </w:rPr>
              <w:t>22 Nov - 28 Nov 2015</w:t>
            </w:r>
          </w:p>
        </w:tc>
        <w:tc>
          <w:tcPr>
            <w:tcW w:w="749" w:type="pct"/>
            <w:tcBorders>
              <w:top w:val="nil"/>
              <w:bottom w:val="nil"/>
            </w:tcBorders>
            <w:vAlign w:val="center"/>
          </w:tcPr>
          <w:p w:rsidR="000B6257" w:rsidRDefault="000B6257">
            <w:pPr>
              <w:jc w:val="center"/>
              <w:rPr>
                <w:rFonts w:cs="Arial"/>
                <w:sz w:val="20"/>
                <w:szCs w:val="20"/>
              </w:rPr>
            </w:pPr>
            <w:r>
              <w:rPr>
                <w:rFonts w:cs="Arial"/>
                <w:sz w:val="20"/>
                <w:szCs w:val="20"/>
              </w:rPr>
              <w:t>4.58</w:t>
            </w:r>
          </w:p>
        </w:tc>
        <w:tc>
          <w:tcPr>
            <w:tcW w:w="1124" w:type="pct"/>
            <w:tcBorders>
              <w:top w:val="nil"/>
              <w:bottom w:val="nil"/>
            </w:tcBorders>
            <w:vAlign w:val="center"/>
          </w:tcPr>
          <w:p w:rsidR="000B6257" w:rsidRDefault="000B6257">
            <w:pPr>
              <w:jc w:val="center"/>
              <w:rPr>
                <w:rFonts w:cs="Arial"/>
                <w:sz w:val="20"/>
                <w:szCs w:val="20"/>
              </w:rPr>
            </w:pPr>
            <w:r>
              <w:rPr>
                <w:rFonts w:cs="Arial"/>
                <w:sz w:val="20"/>
                <w:szCs w:val="20"/>
              </w:rPr>
              <w:t>-</w:t>
            </w:r>
          </w:p>
        </w:tc>
        <w:tc>
          <w:tcPr>
            <w:tcW w:w="1199" w:type="pct"/>
            <w:tcBorders>
              <w:top w:val="nil"/>
              <w:bottom w:val="nil"/>
            </w:tcBorders>
            <w:vAlign w:val="center"/>
          </w:tcPr>
          <w:p w:rsidR="000B6257" w:rsidRDefault="000B6257">
            <w:pPr>
              <w:jc w:val="center"/>
              <w:rPr>
                <w:rFonts w:cs="Arial"/>
                <w:sz w:val="20"/>
                <w:szCs w:val="20"/>
              </w:rPr>
            </w:pPr>
            <w:r>
              <w:rPr>
                <w:rFonts w:cs="Arial"/>
                <w:sz w:val="20"/>
                <w:szCs w:val="20"/>
              </w:rPr>
              <w:t>409</w:t>
            </w:r>
          </w:p>
        </w:tc>
      </w:tr>
      <w:tr w:rsidR="000B6257" w:rsidRPr="0091453B" w:rsidTr="00723BE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0B6257" w:rsidRDefault="000B6257">
            <w:pPr>
              <w:rPr>
                <w:rFonts w:cs="Arial"/>
                <w:sz w:val="20"/>
                <w:szCs w:val="20"/>
              </w:rPr>
            </w:pPr>
            <w:r>
              <w:rPr>
                <w:rFonts w:cs="Arial"/>
                <w:sz w:val="20"/>
                <w:szCs w:val="20"/>
              </w:rPr>
              <w:t>% change from previous week</w:t>
            </w:r>
          </w:p>
        </w:tc>
        <w:tc>
          <w:tcPr>
            <w:tcW w:w="749" w:type="pct"/>
            <w:tcBorders>
              <w:top w:val="nil"/>
              <w:bottom w:val="nil"/>
            </w:tcBorders>
            <w:vAlign w:val="center"/>
          </w:tcPr>
          <w:p w:rsidR="000B6257" w:rsidRDefault="000B6257">
            <w:pPr>
              <w:jc w:val="center"/>
              <w:rPr>
                <w:rFonts w:cs="Arial"/>
                <w:sz w:val="20"/>
                <w:szCs w:val="20"/>
              </w:rPr>
            </w:pPr>
            <w:r>
              <w:rPr>
                <w:rFonts w:cs="Arial"/>
                <w:sz w:val="20"/>
                <w:szCs w:val="20"/>
              </w:rPr>
              <w:t>11</w:t>
            </w:r>
          </w:p>
        </w:tc>
        <w:tc>
          <w:tcPr>
            <w:tcW w:w="1124" w:type="pct"/>
            <w:tcBorders>
              <w:top w:val="nil"/>
              <w:bottom w:val="nil"/>
            </w:tcBorders>
            <w:vAlign w:val="center"/>
          </w:tcPr>
          <w:p w:rsidR="000B6257" w:rsidRDefault="000B6257">
            <w:pPr>
              <w:jc w:val="center"/>
              <w:rPr>
                <w:rFonts w:cs="Arial"/>
                <w:sz w:val="20"/>
                <w:szCs w:val="20"/>
              </w:rPr>
            </w:pPr>
            <w:r>
              <w:rPr>
                <w:rFonts w:cs="Arial"/>
                <w:sz w:val="20"/>
                <w:szCs w:val="20"/>
              </w:rPr>
              <w:t>-</w:t>
            </w:r>
          </w:p>
        </w:tc>
        <w:tc>
          <w:tcPr>
            <w:tcW w:w="1199" w:type="pct"/>
            <w:tcBorders>
              <w:top w:val="nil"/>
              <w:bottom w:val="nil"/>
            </w:tcBorders>
            <w:vAlign w:val="center"/>
          </w:tcPr>
          <w:p w:rsidR="000B6257" w:rsidRDefault="000B6257">
            <w:pPr>
              <w:jc w:val="center"/>
              <w:rPr>
                <w:rFonts w:cs="Arial"/>
                <w:sz w:val="20"/>
                <w:szCs w:val="20"/>
              </w:rPr>
            </w:pPr>
            <w:r>
              <w:rPr>
                <w:rFonts w:cs="Arial"/>
                <w:sz w:val="20"/>
                <w:szCs w:val="20"/>
              </w:rPr>
              <w:t>13</w:t>
            </w:r>
          </w:p>
        </w:tc>
      </w:tr>
      <w:tr w:rsidR="000B6257" w:rsidRPr="0091453B" w:rsidTr="00723BEF">
        <w:trPr>
          <w:trHeight w:val="510"/>
        </w:trPr>
        <w:tc>
          <w:tcPr>
            <w:tcW w:w="1928" w:type="pct"/>
            <w:tcBorders>
              <w:top w:val="nil"/>
              <w:bottom w:val="nil"/>
            </w:tcBorders>
            <w:vAlign w:val="center"/>
          </w:tcPr>
          <w:p w:rsidR="000B6257" w:rsidRDefault="000B6257">
            <w:pPr>
              <w:rPr>
                <w:rFonts w:cs="Arial"/>
                <w:sz w:val="20"/>
                <w:szCs w:val="20"/>
              </w:rPr>
            </w:pPr>
            <w:r>
              <w:rPr>
                <w:rFonts w:cs="Arial"/>
                <w:sz w:val="20"/>
                <w:szCs w:val="20"/>
              </w:rPr>
              <w:t>15-16 financial YTD</w:t>
            </w:r>
          </w:p>
        </w:tc>
        <w:tc>
          <w:tcPr>
            <w:tcW w:w="749" w:type="pct"/>
            <w:tcBorders>
              <w:top w:val="nil"/>
              <w:bottom w:val="nil"/>
            </w:tcBorders>
            <w:vAlign w:val="center"/>
          </w:tcPr>
          <w:p w:rsidR="000B6257" w:rsidRDefault="000B6257">
            <w:pPr>
              <w:jc w:val="center"/>
              <w:rPr>
                <w:rFonts w:cs="Arial"/>
                <w:sz w:val="20"/>
                <w:szCs w:val="20"/>
              </w:rPr>
            </w:pPr>
            <w:r>
              <w:rPr>
                <w:rFonts w:cs="Arial"/>
                <w:sz w:val="20"/>
                <w:szCs w:val="20"/>
              </w:rPr>
              <w:t>4.42</w:t>
            </w:r>
          </w:p>
        </w:tc>
        <w:tc>
          <w:tcPr>
            <w:tcW w:w="1124" w:type="pct"/>
            <w:tcBorders>
              <w:top w:val="nil"/>
              <w:bottom w:val="nil"/>
            </w:tcBorders>
            <w:vAlign w:val="center"/>
          </w:tcPr>
          <w:p w:rsidR="000B6257" w:rsidRDefault="000B6257">
            <w:pPr>
              <w:jc w:val="center"/>
              <w:rPr>
                <w:rFonts w:cs="Arial"/>
                <w:sz w:val="20"/>
                <w:szCs w:val="20"/>
              </w:rPr>
            </w:pPr>
            <w:r>
              <w:rPr>
                <w:rFonts w:cs="Arial"/>
                <w:sz w:val="20"/>
                <w:szCs w:val="20"/>
              </w:rPr>
              <w:t>-</w:t>
            </w:r>
          </w:p>
        </w:tc>
        <w:tc>
          <w:tcPr>
            <w:tcW w:w="1199" w:type="pct"/>
            <w:tcBorders>
              <w:top w:val="nil"/>
              <w:bottom w:val="nil"/>
            </w:tcBorders>
            <w:vAlign w:val="center"/>
          </w:tcPr>
          <w:p w:rsidR="000B6257" w:rsidRDefault="000B6257">
            <w:pPr>
              <w:jc w:val="center"/>
              <w:rPr>
                <w:rFonts w:cs="Arial"/>
                <w:sz w:val="20"/>
                <w:szCs w:val="20"/>
              </w:rPr>
            </w:pPr>
            <w:r>
              <w:rPr>
                <w:rFonts w:cs="Arial"/>
                <w:sz w:val="20"/>
                <w:szCs w:val="20"/>
              </w:rPr>
              <w:t>693</w:t>
            </w:r>
          </w:p>
        </w:tc>
      </w:tr>
      <w:tr w:rsidR="000B6257" w:rsidRPr="0091453B" w:rsidTr="00723BE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0B6257" w:rsidRDefault="000B6257">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28</w:t>
            </w:r>
          </w:p>
        </w:tc>
        <w:tc>
          <w:tcPr>
            <w:tcW w:w="1124"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7</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6C02" w:rsidP="00D1641C">
      <w:pPr>
        <w:pStyle w:val="Heading2"/>
        <w:ind w:firstLine="0"/>
        <w:rPr>
          <w:i w:val="0"/>
          <w:color w:val="2272A3"/>
          <w:sz w:val="24"/>
          <w:szCs w:val="24"/>
        </w:rPr>
      </w:pPr>
      <w:r>
        <w:br w:type="page"/>
      </w:r>
      <w:r w:rsidR="006E7E57">
        <w:rPr>
          <w:i w:val="0"/>
          <w:color w:val="2272A3"/>
          <w:sz w:val="24"/>
          <w:szCs w:val="24"/>
        </w:rPr>
        <w:lastRenderedPageBreak/>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723BEF">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723BEF">
            <w:pPr>
              <w:pStyle w:val="TableHeading"/>
              <w:jc w:val="center"/>
              <w:rPr>
                <w:rFonts w:cs="Arial"/>
                <w:sz w:val="20"/>
                <w:szCs w:val="20"/>
              </w:rPr>
            </w:pPr>
          </w:p>
        </w:tc>
        <w:tc>
          <w:tcPr>
            <w:tcW w:w="759"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post quantity (TJ)</w:t>
            </w:r>
          </w:p>
        </w:tc>
      </w:tr>
      <w:tr w:rsidR="000B6257" w:rsidRPr="00405CDE" w:rsidTr="00723BEF">
        <w:trPr>
          <w:trHeight w:val="510"/>
        </w:trPr>
        <w:tc>
          <w:tcPr>
            <w:tcW w:w="1430" w:type="pct"/>
            <w:tcBorders>
              <w:top w:val="nil"/>
              <w:bottom w:val="nil"/>
            </w:tcBorders>
            <w:vAlign w:val="center"/>
          </w:tcPr>
          <w:p w:rsidR="000B6257" w:rsidRDefault="000B6257">
            <w:pPr>
              <w:rPr>
                <w:rFonts w:cs="Arial"/>
                <w:sz w:val="20"/>
                <w:szCs w:val="20"/>
              </w:rPr>
            </w:pPr>
            <w:r>
              <w:rPr>
                <w:rFonts w:cs="Arial"/>
                <w:sz w:val="20"/>
                <w:szCs w:val="20"/>
              </w:rPr>
              <w:t>22 Nov - 28 Nov 2015</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4.41</w:t>
            </w:r>
          </w:p>
        </w:tc>
        <w:tc>
          <w:tcPr>
            <w:tcW w:w="758" w:type="pct"/>
            <w:tcBorders>
              <w:top w:val="nil"/>
              <w:bottom w:val="nil"/>
            </w:tcBorders>
            <w:vAlign w:val="center"/>
          </w:tcPr>
          <w:p w:rsidR="000B6257" w:rsidRDefault="000B6257">
            <w:pPr>
              <w:jc w:val="center"/>
              <w:rPr>
                <w:rFonts w:cs="Arial"/>
                <w:sz w:val="20"/>
                <w:szCs w:val="20"/>
              </w:rPr>
            </w:pPr>
            <w:r>
              <w:rPr>
                <w:rFonts w:cs="Arial"/>
                <w:sz w:val="20"/>
                <w:szCs w:val="20"/>
              </w:rPr>
              <w:t>4.07</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22.39</w:t>
            </w:r>
          </w:p>
        </w:tc>
        <w:tc>
          <w:tcPr>
            <w:tcW w:w="685" w:type="pct"/>
            <w:tcBorders>
              <w:top w:val="nil"/>
              <w:bottom w:val="nil"/>
            </w:tcBorders>
            <w:vAlign w:val="center"/>
          </w:tcPr>
          <w:p w:rsidR="000B6257" w:rsidRDefault="000B6257">
            <w:pPr>
              <w:jc w:val="center"/>
              <w:rPr>
                <w:rFonts w:cs="Arial"/>
                <w:sz w:val="20"/>
                <w:szCs w:val="20"/>
              </w:rPr>
            </w:pPr>
            <w:r>
              <w:rPr>
                <w:rFonts w:cs="Arial"/>
                <w:sz w:val="20"/>
                <w:szCs w:val="20"/>
              </w:rPr>
              <w:t>214</w:t>
            </w:r>
          </w:p>
        </w:tc>
        <w:tc>
          <w:tcPr>
            <w:tcW w:w="608" w:type="pct"/>
            <w:tcBorders>
              <w:top w:val="nil"/>
              <w:bottom w:val="nil"/>
            </w:tcBorders>
            <w:vAlign w:val="center"/>
          </w:tcPr>
          <w:p w:rsidR="000B6257" w:rsidRDefault="000B6257">
            <w:pPr>
              <w:jc w:val="center"/>
              <w:rPr>
                <w:rFonts w:cs="Arial"/>
                <w:sz w:val="20"/>
                <w:szCs w:val="20"/>
              </w:rPr>
            </w:pPr>
            <w:r>
              <w:rPr>
                <w:rFonts w:cs="Arial"/>
                <w:sz w:val="20"/>
                <w:szCs w:val="20"/>
              </w:rPr>
              <w:t>206</w:t>
            </w:r>
          </w:p>
        </w:tc>
      </w:tr>
      <w:tr w:rsidR="000B6257"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0B6257" w:rsidRDefault="000B6257">
            <w:pPr>
              <w:rPr>
                <w:rFonts w:cs="Arial"/>
                <w:sz w:val="20"/>
                <w:szCs w:val="20"/>
              </w:rPr>
            </w:pPr>
            <w:r>
              <w:rPr>
                <w:rFonts w:cs="Arial"/>
                <w:sz w:val="20"/>
                <w:szCs w:val="20"/>
              </w:rPr>
              <w:t>% change from previous week</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6</w:t>
            </w:r>
          </w:p>
        </w:tc>
        <w:tc>
          <w:tcPr>
            <w:tcW w:w="758" w:type="pct"/>
            <w:tcBorders>
              <w:top w:val="nil"/>
              <w:bottom w:val="nil"/>
            </w:tcBorders>
            <w:vAlign w:val="center"/>
          </w:tcPr>
          <w:p w:rsidR="000B6257" w:rsidRDefault="000B6257">
            <w:pPr>
              <w:jc w:val="center"/>
              <w:rPr>
                <w:rFonts w:cs="Arial"/>
                <w:sz w:val="20"/>
                <w:szCs w:val="20"/>
              </w:rPr>
            </w:pPr>
            <w:r>
              <w:rPr>
                <w:rFonts w:cs="Arial"/>
                <w:sz w:val="20"/>
                <w:szCs w:val="20"/>
              </w:rPr>
              <w:t>23</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-10</w:t>
            </w:r>
          </w:p>
        </w:tc>
        <w:tc>
          <w:tcPr>
            <w:tcW w:w="685" w:type="pct"/>
            <w:tcBorders>
              <w:top w:val="nil"/>
              <w:bottom w:val="nil"/>
            </w:tcBorders>
            <w:vAlign w:val="center"/>
          </w:tcPr>
          <w:p w:rsidR="000B6257" w:rsidRDefault="000B6257">
            <w:pPr>
              <w:jc w:val="center"/>
              <w:rPr>
                <w:rFonts w:cs="Arial"/>
                <w:sz w:val="20"/>
                <w:szCs w:val="20"/>
              </w:rPr>
            </w:pPr>
            <w:r>
              <w:rPr>
                <w:rFonts w:cs="Arial"/>
                <w:sz w:val="20"/>
                <w:szCs w:val="20"/>
              </w:rPr>
              <w:t>-2</w:t>
            </w:r>
          </w:p>
        </w:tc>
        <w:tc>
          <w:tcPr>
            <w:tcW w:w="608" w:type="pct"/>
            <w:tcBorders>
              <w:top w:val="nil"/>
              <w:bottom w:val="nil"/>
            </w:tcBorders>
            <w:vAlign w:val="center"/>
          </w:tcPr>
          <w:p w:rsidR="000B6257" w:rsidRDefault="000B6257">
            <w:pPr>
              <w:jc w:val="center"/>
              <w:rPr>
                <w:rFonts w:cs="Arial"/>
                <w:sz w:val="20"/>
                <w:szCs w:val="20"/>
              </w:rPr>
            </w:pPr>
            <w:r>
              <w:rPr>
                <w:rFonts w:cs="Arial"/>
                <w:sz w:val="20"/>
                <w:szCs w:val="20"/>
              </w:rPr>
              <w:t>1</w:t>
            </w:r>
          </w:p>
        </w:tc>
      </w:tr>
      <w:tr w:rsidR="000B6257" w:rsidRPr="00405CDE" w:rsidTr="00723BEF">
        <w:trPr>
          <w:trHeight w:val="510"/>
        </w:trPr>
        <w:tc>
          <w:tcPr>
            <w:tcW w:w="1430" w:type="pct"/>
            <w:tcBorders>
              <w:top w:val="nil"/>
              <w:bottom w:val="nil"/>
            </w:tcBorders>
            <w:vAlign w:val="center"/>
          </w:tcPr>
          <w:p w:rsidR="000B6257" w:rsidRDefault="000B6257">
            <w:pPr>
              <w:rPr>
                <w:rFonts w:cs="Arial"/>
                <w:sz w:val="20"/>
                <w:szCs w:val="20"/>
              </w:rPr>
            </w:pPr>
            <w:r>
              <w:rPr>
                <w:rFonts w:cs="Arial"/>
                <w:sz w:val="20"/>
                <w:szCs w:val="20"/>
              </w:rPr>
              <w:t>15-16 financial YTD</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4.66</w:t>
            </w:r>
          </w:p>
        </w:tc>
        <w:tc>
          <w:tcPr>
            <w:tcW w:w="758" w:type="pct"/>
            <w:tcBorders>
              <w:top w:val="nil"/>
              <w:bottom w:val="nil"/>
            </w:tcBorders>
            <w:vAlign w:val="center"/>
          </w:tcPr>
          <w:p w:rsidR="000B6257" w:rsidRDefault="000B6257">
            <w:pPr>
              <w:jc w:val="center"/>
              <w:rPr>
                <w:rFonts w:cs="Arial"/>
                <w:sz w:val="20"/>
                <w:szCs w:val="20"/>
              </w:rPr>
            </w:pPr>
            <w:r>
              <w:rPr>
                <w:rFonts w:cs="Arial"/>
                <w:sz w:val="20"/>
                <w:szCs w:val="20"/>
              </w:rPr>
              <w:t>4.43</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22.91</w:t>
            </w:r>
          </w:p>
        </w:tc>
        <w:tc>
          <w:tcPr>
            <w:tcW w:w="685" w:type="pct"/>
            <w:tcBorders>
              <w:top w:val="nil"/>
              <w:bottom w:val="nil"/>
            </w:tcBorders>
            <w:vAlign w:val="center"/>
          </w:tcPr>
          <w:p w:rsidR="000B6257" w:rsidRDefault="000B6257">
            <w:pPr>
              <w:jc w:val="center"/>
              <w:rPr>
                <w:rFonts w:cs="Arial"/>
                <w:sz w:val="20"/>
                <w:szCs w:val="20"/>
              </w:rPr>
            </w:pPr>
            <w:r>
              <w:rPr>
                <w:rFonts w:cs="Arial"/>
                <w:sz w:val="20"/>
                <w:szCs w:val="20"/>
              </w:rPr>
              <w:t>249</w:t>
            </w:r>
          </w:p>
        </w:tc>
        <w:tc>
          <w:tcPr>
            <w:tcW w:w="608" w:type="pct"/>
            <w:tcBorders>
              <w:top w:val="nil"/>
              <w:bottom w:val="nil"/>
            </w:tcBorders>
            <w:vAlign w:val="center"/>
          </w:tcPr>
          <w:p w:rsidR="000B6257" w:rsidRDefault="000B6257">
            <w:pPr>
              <w:jc w:val="center"/>
              <w:rPr>
                <w:rFonts w:cs="Arial"/>
                <w:sz w:val="20"/>
                <w:szCs w:val="20"/>
              </w:rPr>
            </w:pPr>
            <w:r>
              <w:rPr>
                <w:rFonts w:cs="Arial"/>
                <w:sz w:val="20"/>
                <w:szCs w:val="20"/>
              </w:rPr>
              <w:t>245</w:t>
            </w:r>
          </w:p>
        </w:tc>
      </w:tr>
      <w:tr w:rsidR="000B6257"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0B6257" w:rsidRDefault="000B6257">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45</w:t>
            </w:r>
          </w:p>
        </w:tc>
        <w:tc>
          <w:tcPr>
            <w:tcW w:w="758"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34</w:t>
            </w:r>
          </w:p>
        </w:tc>
        <w:tc>
          <w:tcPr>
            <w:tcW w:w="75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54</w:t>
            </w:r>
          </w:p>
        </w:tc>
        <w:tc>
          <w:tcPr>
            <w:tcW w:w="685"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-6</w:t>
            </w:r>
          </w:p>
        </w:tc>
        <w:tc>
          <w:tcPr>
            <w:tcW w:w="608"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-9</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723BEF">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723BEF">
            <w:pPr>
              <w:pStyle w:val="TableHeading"/>
              <w:jc w:val="center"/>
              <w:rPr>
                <w:rFonts w:cs="Arial"/>
                <w:sz w:val="20"/>
                <w:szCs w:val="20"/>
              </w:rPr>
            </w:pPr>
          </w:p>
        </w:tc>
        <w:tc>
          <w:tcPr>
            <w:tcW w:w="759"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post quantity (TJ)</w:t>
            </w:r>
          </w:p>
        </w:tc>
      </w:tr>
      <w:tr w:rsidR="000B6257" w:rsidRPr="00405CDE" w:rsidTr="00723BEF">
        <w:trPr>
          <w:trHeight w:val="510"/>
        </w:trPr>
        <w:tc>
          <w:tcPr>
            <w:tcW w:w="1430" w:type="pct"/>
            <w:tcBorders>
              <w:top w:val="nil"/>
              <w:bottom w:val="nil"/>
            </w:tcBorders>
            <w:vAlign w:val="center"/>
          </w:tcPr>
          <w:p w:rsidR="000B6257" w:rsidRDefault="000B6257">
            <w:pPr>
              <w:rPr>
                <w:rFonts w:cs="Arial"/>
                <w:sz w:val="20"/>
                <w:szCs w:val="20"/>
              </w:rPr>
            </w:pPr>
            <w:r>
              <w:rPr>
                <w:rFonts w:cs="Arial"/>
                <w:sz w:val="20"/>
                <w:szCs w:val="20"/>
              </w:rPr>
              <w:t>22 Nov - 28 Nov 2015</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4.32</w:t>
            </w:r>
          </w:p>
        </w:tc>
        <w:tc>
          <w:tcPr>
            <w:tcW w:w="758" w:type="pct"/>
            <w:tcBorders>
              <w:top w:val="nil"/>
              <w:bottom w:val="nil"/>
            </w:tcBorders>
            <w:vAlign w:val="center"/>
          </w:tcPr>
          <w:p w:rsidR="000B6257" w:rsidRDefault="000B6257">
            <w:pPr>
              <w:jc w:val="center"/>
              <w:rPr>
                <w:rFonts w:cs="Arial"/>
                <w:sz w:val="20"/>
                <w:szCs w:val="20"/>
              </w:rPr>
            </w:pPr>
            <w:r>
              <w:rPr>
                <w:rFonts w:cs="Arial"/>
                <w:sz w:val="20"/>
                <w:szCs w:val="20"/>
              </w:rPr>
              <w:t>4.57</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5.71</w:t>
            </w:r>
          </w:p>
        </w:tc>
        <w:tc>
          <w:tcPr>
            <w:tcW w:w="685" w:type="pct"/>
            <w:tcBorders>
              <w:top w:val="nil"/>
              <w:bottom w:val="nil"/>
            </w:tcBorders>
            <w:vAlign w:val="center"/>
          </w:tcPr>
          <w:p w:rsidR="000B6257" w:rsidRDefault="000B6257">
            <w:pPr>
              <w:jc w:val="center"/>
              <w:rPr>
                <w:rFonts w:cs="Arial"/>
                <w:sz w:val="20"/>
                <w:szCs w:val="20"/>
              </w:rPr>
            </w:pPr>
            <w:r>
              <w:rPr>
                <w:rFonts w:cs="Arial"/>
                <w:sz w:val="20"/>
                <w:szCs w:val="20"/>
              </w:rPr>
              <w:t>52</w:t>
            </w:r>
          </w:p>
        </w:tc>
        <w:tc>
          <w:tcPr>
            <w:tcW w:w="608" w:type="pct"/>
            <w:tcBorders>
              <w:top w:val="nil"/>
              <w:bottom w:val="nil"/>
            </w:tcBorders>
            <w:vAlign w:val="center"/>
          </w:tcPr>
          <w:p w:rsidR="000B6257" w:rsidRDefault="000B6257">
            <w:pPr>
              <w:jc w:val="center"/>
              <w:rPr>
                <w:rFonts w:cs="Arial"/>
                <w:sz w:val="20"/>
                <w:szCs w:val="20"/>
              </w:rPr>
            </w:pPr>
            <w:r>
              <w:rPr>
                <w:rFonts w:cs="Arial"/>
                <w:sz w:val="20"/>
                <w:szCs w:val="20"/>
              </w:rPr>
              <w:t>57</w:t>
            </w:r>
          </w:p>
        </w:tc>
      </w:tr>
      <w:tr w:rsidR="000B6257"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0B6257" w:rsidRDefault="000B6257">
            <w:pPr>
              <w:rPr>
                <w:rFonts w:cs="Arial"/>
                <w:sz w:val="20"/>
                <w:szCs w:val="20"/>
              </w:rPr>
            </w:pPr>
            <w:r>
              <w:rPr>
                <w:rFonts w:cs="Arial"/>
                <w:sz w:val="20"/>
                <w:szCs w:val="20"/>
              </w:rPr>
              <w:t>% change from previous week</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4</w:t>
            </w:r>
          </w:p>
        </w:tc>
        <w:tc>
          <w:tcPr>
            <w:tcW w:w="758" w:type="pct"/>
            <w:tcBorders>
              <w:top w:val="nil"/>
              <w:bottom w:val="nil"/>
            </w:tcBorders>
            <w:vAlign w:val="center"/>
          </w:tcPr>
          <w:p w:rsidR="000B6257" w:rsidRDefault="000B6257">
            <w:pPr>
              <w:jc w:val="center"/>
              <w:rPr>
                <w:rFonts w:cs="Arial"/>
                <w:sz w:val="20"/>
                <w:szCs w:val="20"/>
              </w:rPr>
            </w:pPr>
            <w:r>
              <w:rPr>
                <w:rFonts w:cs="Arial"/>
                <w:sz w:val="20"/>
                <w:szCs w:val="20"/>
              </w:rPr>
              <w:t>2</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30</w:t>
            </w:r>
          </w:p>
        </w:tc>
        <w:tc>
          <w:tcPr>
            <w:tcW w:w="685" w:type="pct"/>
            <w:tcBorders>
              <w:top w:val="nil"/>
              <w:bottom w:val="nil"/>
            </w:tcBorders>
            <w:vAlign w:val="center"/>
          </w:tcPr>
          <w:p w:rsidR="000B6257" w:rsidRDefault="000B6257">
            <w:pPr>
              <w:jc w:val="center"/>
              <w:rPr>
                <w:rFonts w:cs="Arial"/>
                <w:sz w:val="20"/>
                <w:szCs w:val="20"/>
              </w:rPr>
            </w:pPr>
            <w:r>
              <w:rPr>
                <w:rFonts w:cs="Arial"/>
                <w:sz w:val="20"/>
                <w:szCs w:val="20"/>
              </w:rPr>
              <w:t>6</w:t>
            </w:r>
          </w:p>
        </w:tc>
        <w:tc>
          <w:tcPr>
            <w:tcW w:w="608" w:type="pct"/>
            <w:tcBorders>
              <w:top w:val="nil"/>
              <w:bottom w:val="nil"/>
            </w:tcBorders>
            <w:vAlign w:val="center"/>
          </w:tcPr>
          <w:p w:rsidR="000B6257" w:rsidRDefault="000B6257">
            <w:pPr>
              <w:jc w:val="center"/>
              <w:rPr>
                <w:rFonts w:cs="Arial"/>
                <w:sz w:val="20"/>
                <w:szCs w:val="20"/>
              </w:rPr>
            </w:pPr>
            <w:r>
              <w:rPr>
                <w:rFonts w:cs="Arial"/>
                <w:sz w:val="20"/>
                <w:szCs w:val="20"/>
              </w:rPr>
              <w:t>4</w:t>
            </w:r>
          </w:p>
        </w:tc>
      </w:tr>
      <w:tr w:rsidR="000B6257" w:rsidRPr="00405CDE" w:rsidTr="00723BEF">
        <w:trPr>
          <w:trHeight w:val="510"/>
        </w:trPr>
        <w:tc>
          <w:tcPr>
            <w:tcW w:w="1430" w:type="pct"/>
            <w:tcBorders>
              <w:top w:val="nil"/>
              <w:bottom w:val="nil"/>
            </w:tcBorders>
            <w:vAlign w:val="center"/>
          </w:tcPr>
          <w:p w:rsidR="000B6257" w:rsidRDefault="000B6257">
            <w:pPr>
              <w:rPr>
                <w:rFonts w:cs="Arial"/>
                <w:sz w:val="20"/>
                <w:szCs w:val="20"/>
              </w:rPr>
            </w:pPr>
            <w:r>
              <w:rPr>
                <w:rFonts w:cs="Arial"/>
                <w:sz w:val="20"/>
                <w:szCs w:val="20"/>
              </w:rPr>
              <w:t>15-16 financial YTD</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5.03</w:t>
            </w:r>
          </w:p>
        </w:tc>
        <w:tc>
          <w:tcPr>
            <w:tcW w:w="758" w:type="pct"/>
            <w:tcBorders>
              <w:top w:val="nil"/>
              <w:bottom w:val="nil"/>
            </w:tcBorders>
            <w:vAlign w:val="center"/>
          </w:tcPr>
          <w:p w:rsidR="000B6257" w:rsidRDefault="000B6257">
            <w:pPr>
              <w:jc w:val="center"/>
              <w:rPr>
                <w:rFonts w:cs="Arial"/>
                <w:sz w:val="20"/>
                <w:szCs w:val="20"/>
              </w:rPr>
            </w:pPr>
            <w:r>
              <w:rPr>
                <w:rFonts w:cs="Arial"/>
                <w:sz w:val="20"/>
                <w:szCs w:val="20"/>
              </w:rPr>
              <w:t>5.12</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9.84</w:t>
            </w:r>
          </w:p>
        </w:tc>
        <w:tc>
          <w:tcPr>
            <w:tcW w:w="685" w:type="pct"/>
            <w:tcBorders>
              <w:top w:val="nil"/>
              <w:bottom w:val="nil"/>
            </w:tcBorders>
            <w:vAlign w:val="center"/>
          </w:tcPr>
          <w:p w:rsidR="000B6257" w:rsidRDefault="000B6257">
            <w:pPr>
              <w:jc w:val="center"/>
              <w:rPr>
                <w:rFonts w:cs="Arial"/>
                <w:sz w:val="20"/>
                <w:szCs w:val="20"/>
              </w:rPr>
            </w:pPr>
            <w:r>
              <w:rPr>
                <w:rFonts w:cs="Arial"/>
                <w:sz w:val="20"/>
                <w:szCs w:val="20"/>
              </w:rPr>
              <w:t>71</w:t>
            </w:r>
          </w:p>
        </w:tc>
        <w:tc>
          <w:tcPr>
            <w:tcW w:w="608" w:type="pct"/>
            <w:tcBorders>
              <w:top w:val="nil"/>
              <w:bottom w:val="nil"/>
            </w:tcBorders>
            <w:vAlign w:val="center"/>
          </w:tcPr>
          <w:p w:rsidR="000B6257" w:rsidRDefault="000B6257">
            <w:pPr>
              <w:jc w:val="center"/>
              <w:rPr>
                <w:rFonts w:cs="Arial"/>
                <w:sz w:val="20"/>
                <w:szCs w:val="20"/>
              </w:rPr>
            </w:pPr>
            <w:r>
              <w:rPr>
                <w:rFonts w:cs="Arial"/>
                <w:sz w:val="20"/>
                <w:szCs w:val="20"/>
              </w:rPr>
              <w:t>72</w:t>
            </w:r>
          </w:p>
        </w:tc>
      </w:tr>
      <w:tr w:rsidR="000B6257"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0B6257" w:rsidRDefault="000B6257">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44</w:t>
            </w:r>
          </w:p>
        </w:tc>
        <w:tc>
          <w:tcPr>
            <w:tcW w:w="758"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48</w:t>
            </w:r>
          </w:p>
        </w:tc>
        <w:tc>
          <w:tcPr>
            <w:tcW w:w="75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-23</w:t>
            </w:r>
          </w:p>
        </w:tc>
        <w:tc>
          <w:tcPr>
            <w:tcW w:w="685"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-1</w:t>
            </w:r>
          </w:p>
        </w:tc>
        <w:tc>
          <w:tcPr>
            <w:tcW w:w="608"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1</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723BEF">
            <w:pPr>
              <w:keepNext/>
              <w:spacing w:before="40" w:after="40"/>
              <w:jc w:val="center"/>
              <w:rPr>
                <w:rFonts w:cs="Arial"/>
                <w:b w:val="0"/>
                <w:bCs/>
                <w:sz w:val="20"/>
                <w:szCs w:val="20"/>
              </w:rPr>
            </w:pPr>
            <w:r w:rsidRPr="002861A9">
              <w:rPr>
                <w:rFonts w:cs="Arial"/>
                <w:bCs/>
                <w:sz w:val="20"/>
                <w:szCs w:val="20"/>
              </w:rPr>
              <w:t>Ex post quantity (TJ)</w:t>
            </w:r>
          </w:p>
        </w:tc>
      </w:tr>
      <w:tr w:rsidR="000B6257" w:rsidRPr="00405CDE" w:rsidTr="00723BEF">
        <w:trPr>
          <w:trHeight w:val="510"/>
        </w:trPr>
        <w:tc>
          <w:tcPr>
            <w:tcW w:w="1430" w:type="pct"/>
            <w:tcBorders>
              <w:top w:val="nil"/>
              <w:bottom w:val="nil"/>
            </w:tcBorders>
            <w:vAlign w:val="center"/>
          </w:tcPr>
          <w:p w:rsidR="000B6257" w:rsidRDefault="000B6257">
            <w:pPr>
              <w:rPr>
                <w:rFonts w:cs="Arial"/>
                <w:sz w:val="20"/>
                <w:szCs w:val="20"/>
              </w:rPr>
            </w:pPr>
            <w:r>
              <w:rPr>
                <w:rFonts w:cs="Arial"/>
                <w:sz w:val="20"/>
                <w:szCs w:val="20"/>
              </w:rPr>
              <w:t>22 Nov - 28 Nov 2015</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3.57</w:t>
            </w:r>
          </w:p>
        </w:tc>
        <w:tc>
          <w:tcPr>
            <w:tcW w:w="758" w:type="pct"/>
            <w:tcBorders>
              <w:top w:val="nil"/>
              <w:bottom w:val="nil"/>
            </w:tcBorders>
            <w:vAlign w:val="center"/>
          </w:tcPr>
          <w:p w:rsidR="000B6257" w:rsidRDefault="000B6257">
            <w:pPr>
              <w:jc w:val="center"/>
              <w:rPr>
                <w:rFonts w:cs="Arial"/>
                <w:sz w:val="20"/>
                <w:szCs w:val="20"/>
              </w:rPr>
            </w:pPr>
            <w:r>
              <w:rPr>
                <w:rFonts w:cs="Arial"/>
                <w:sz w:val="20"/>
                <w:szCs w:val="20"/>
              </w:rPr>
              <w:t>3.36</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1.56</w:t>
            </w:r>
          </w:p>
        </w:tc>
        <w:tc>
          <w:tcPr>
            <w:tcW w:w="685" w:type="pct"/>
            <w:tcBorders>
              <w:top w:val="nil"/>
              <w:bottom w:val="nil"/>
            </w:tcBorders>
            <w:vAlign w:val="center"/>
          </w:tcPr>
          <w:p w:rsidR="000B6257" w:rsidRDefault="000B6257">
            <w:pPr>
              <w:jc w:val="center"/>
              <w:rPr>
                <w:rFonts w:cs="Arial"/>
                <w:sz w:val="20"/>
                <w:szCs w:val="20"/>
              </w:rPr>
            </w:pPr>
            <w:r>
              <w:rPr>
                <w:rFonts w:cs="Arial"/>
                <w:sz w:val="20"/>
                <w:szCs w:val="20"/>
              </w:rPr>
              <w:t>80</w:t>
            </w:r>
          </w:p>
        </w:tc>
        <w:tc>
          <w:tcPr>
            <w:tcW w:w="608" w:type="pct"/>
            <w:tcBorders>
              <w:top w:val="nil"/>
              <w:bottom w:val="nil"/>
            </w:tcBorders>
            <w:vAlign w:val="center"/>
          </w:tcPr>
          <w:p w:rsidR="000B6257" w:rsidRDefault="000B6257">
            <w:pPr>
              <w:jc w:val="center"/>
              <w:rPr>
                <w:rFonts w:cs="Arial"/>
                <w:sz w:val="20"/>
                <w:szCs w:val="20"/>
              </w:rPr>
            </w:pPr>
            <w:r>
              <w:rPr>
                <w:rFonts w:cs="Arial"/>
                <w:sz w:val="20"/>
                <w:szCs w:val="20"/>
              </w:rPr>
              <w:t>77</w:t>
            </w:r>
          </w:p>
        </w:tc>
      </w:tr>
      <w:tr w:rsidR="000B6257"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0B6257" w:rsidRDefault="000B6257">
            <w:pPr>
              <w:rPr>
                <w:rFonts w:cs="Arial"/>
                <w:sz w:val="20"/>
                <w:szCs w:val="20"/>
              </w:rPr>
            </w:pPr>
            <w:r>
              <w:rPr>
                <w:rFonts w:cs="Arial"/>
                <w:sz w:val="20"/>
                <w:szCs w:val="20"/>
              </w:rPr>
              <w:t>% change from previous week</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15</w:t>
            </w:r>
          </w:p>
        </w:tc>
        <w:tc>
          <w:tcPr>
            <w:tcW w:w="758" w:type="pct"/>
            <w:tcBorders>
              <w:top w:val="nil"/>
              <w:bottom w:val="nil"/>
            </w:tcBorders>
            <w:vAlign w:val="center"/>
          </w:tcPr>
          <w:p w:rsidR="000B6257" w:rsidRDefault="000B6257">
            <w:pPr>
              <w:jc w:val="center"/>
              <w:rPr>
                <w:rFonts w:cs="Arial"/>
                <w:sz w:val="20"/>
                <w:szCs w:val="20"/>
              </w:rPr>
            </w:pPr>
            <w:r>
              <w:rPr>
                <w:rFonts w:cs="Arial"/>
                <w:sz w:val="20"/>
                <w:szCs w:val="20"/>
              </w:rPr>
              <w:t>11</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30</w:t>
            </w:r>
          </w:p>
        </w:tc>
        <w:tc>
          <w:tcPr>
            <w:tcW w:w="685" w:type="pct"/>
            <w:tcBorders>
              <w:top w:val="nil"/>
              <w:bottom w:val="nil"/>
            </w:tcBorders>
            <w:vAlign w:val="center"/>
          </w:tcPr>
          <w:p w:rsidR="000B6257" w:rsidRDefault="000B6257">
            <w:pPr>
              <w:jc w:val="center"/>
              <w:rPr>
                <w:rFonts w:cs="Arial"/>
                <w:sz w:val="20"/>
                <w:szCs w:val="20"/>
              </w:rPr>
            </w:pPr>
            <w:r>
              <w:rPr>
                <w:rFonts w:cs="Arial"/>
                <w:sz w:val="20"/>
                <w:szCs w:val="20"/>
              </w:rPr>
              <w:t>-3</w:t>
            </w:r>
          </w:p>
        </w:tc>
        <w:tc>
          <w:tcPr>
            <w:tcW w:w="608" w:type="pct"/>
            <w:tcBorders>
              <w:top w:val="nil"/>
              <w:bottom w:val="nil"/>
            </w:tcBorders>
            <w:vAlign w:val="center"/>
          </w:tcPr>
          <w:p w:rsidR="000B6257" w:rsidRDefault="000B6257">
            <w:pPr>
              <w:jc w:val="center"/>
              <w:rPr>
                <w:rFonts w:cs="Arial"/>
                <w:sz w:val="20"/>
                <w:szCs w:val="20"/>
              </w:rPr>
            </w:pPr>
            <w:r>
              <w:rPr>
                <w:rFonts w:cs="Arial"/>
                <w:sz w:val="20"/>
                <w:szCs w:val="20"/>
              </w:rPr>
              <w:t>-7</w:t>
            </w:r>
          </w:p>
        </w:tc>
      </w:tr>
      <w:tr w:rsidR="000B6257" w:rsidRPr="00405CDE" w:rsidTr="00723BEF">
        <w:trPr>
          <w:trHeight w:val="510"/>
        </w:trPr>
        <w:tc>
          <w:tcPr>
            <w:tcW w:w="1430" w:type="pct"/>
            <w:tcBorders>
              <w:top w:val="nil"/>
              <w:bottom w:val="nil"/>
            </w:tcBorders>
            <w:vAlign w:val="center"/>
          </w:tcPr>
          <w:p w:rsidR="000B6257" w:rsidRDefault="000B6257">
            <w:pPr>
              <w:rPr>
                <w:rFonts w:cs="Arial"/>
                <w:sz w:val="20"/>
                <w:szCs w:val="20"/>
              </w:rPr>
            </w:pPr>
            <w:r>
              <w:rPr>
                <w:rFonts w:cs="Arial"/>
                <w:sz w:val="20"/>
                <w:szCs w:val="20"/>
              </w:rPr>
              <w:t>15-16 financial YTD</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3.74</w:t>
            </w:r>
          </w:p>
        </w:tc>
        <w:tc>
          <w:tcPr>
            <w:tcW w:w="758" w:type="pct"/>
            <w:tcBorders>
              <w:top w:val="nil"/>
              <w:bottom w:val="nil"/>
            </w:tcBorders>
            <w:vAlign w:val="center"/>
          </w:tcPr>
          <w:p w:rsidR="000B6257" w:rsidRDefault="000B6257">
            <w:pPr>
              <w:jc w:val="center"/>
              <w:rPr>
                <w:rFonts w:cs="Arial"/>
                <w:sz w:val="20"/>
                <w:szCs w:val="20"/>
              </w:rPr>
            </w:pPr>
            <w:r>
              <w:rPr>
                <w:rFonts w:cs="Arial"/>
                <w:sz w:val="20"/>
                <w:szCs w:val="20"/>
              </w:rPr>
              <w:t>3.68</w:t>
            </w:r>
          </w:p>
        </w:tc>
        <w:tc>
          <w:tcPr>
            <w:tcW w:w="759" w:type="pct"/>
            <w:tcBorders>
              <w:top w:val="nil"/>
              <w:bottom w:val="nil"/>
            </w:tcBorders>
            <w:vAlign w:val="center"/>
          </w:tcPr>
          <w:p w:rsidR="000B6257" w:rsidRDefault="000B6257">
            <w:pPr>
              <w:jc w:val="center"/>
              <w:rPr>
                <w:rFonts w:cs="Arial"/>
                <w:sz w:val="20"/>
                <w:szCs w:val="20"/>
              </w:rPr>
            </w:pPr>
            <w:r>
              <w:rPr>
                <w:rFonts w:cs="Arial"/>
                <w:sz w:val="20"/>
                <w:szCs w:val="20"/>
              </w:rPr>
              <w:t>1.33</w:t>
            </w:r>
          </w:p>
        </w:tc>
        <w:tc>
          <w:tcPr>
            <w:tcW w:w="685" w:type="pct"/>
            <w:tcBorders>
              <w:top w:val="nil"/>
              <w:bottom w:val="nil"/>
            </w:tcBorders>
            <w:vAlign w:val="center"/>
          </w:tcPr>
          <w:p w:rsidR="000B6257" w:rsidRDefault="000B6257">
            <w:pPr>
              <w:jc w:val="center"/>
              <w:rPr>
                <w:rFonts w:cs="Arial"/>
                <w:sz w:val="20"/>
                <w:szCs w:val="20"/>
              </w:rPr>
            </w:pPr>
            <w:r>
              <w:rPr>
                <w:rFonts w:cs="Arial"/>
                <w:sz w:val="20"/>
                <w:szCs w:val="20"/>
              </w:rPr>
              <w:t>91</w:t>
            </w:r>
          </w:p>
        </w:tc>
        <w:tc>
          <w:tcPr>
            <w:tcW w:w="608" w:type="pct"/>
            <w:tcBorders>
              <w:top w:val="nil"/>
              <w:bottom w:val="nil"/>
            </w:tcBorders>
            <w:vAlign w:val="center"/>
          </w:tcPr>
          <w:p w:rsidR="000B6257" w:rsidRDefault="000B6257">
            <w:pPr>
              <w:jc w:val="center"/>
              <w:rPr>
                <w:rFonts w:cs="Arial"/>
                <w:sz w:val="20"/>
                <w:szCs w:val="20"/>
              </w:rPr>
            </w:pPr>
            <w:r>
              <w:rPr>
                <w:rFonts w:cs="Arial"/>
                <w:sz w:val="20"/>
                <w:szCs w:val="20"/>
              </w:rPr>
              <w:t>90</w:t>
            </w:r>
          </w:p>
        </w:tc>
      </w:tr>
      <w:tr w:rsidR="000B6257"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0B6257" w:rsidRDefault="000B6257">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105</w:t>
            </w:r>
          </w:p>
        </w:tc>
        <w:tc>
          <w:tcPr>
            <w:tcW w:w="758"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132</w:t>
            </w:r>
          </w:p>
        </w:tc>
        <w:tc>
          <w:tcPr>
            <w:tcW w:w="759"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13</w:t>
            </w:r>
          </w:p>
        </w:tc>
        <w:tc>
          <w:tcPr>
            <w:tcW w:w="685"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-43</w:t>
            </w:r>
          </w:p>
        </w:tc>
        <w:tc>
          <w:tcPr>
            <w:tcW w:w="608" w:type="pct"/>
            <w:tcBorders>
              <w:top w:val="nil"/>
              <w:bottom w:val="single" w:sz="4" w:space="0" w:color="auto"/>
            </w:tcBorders>
            <w:vAlign w:val="center"/>
          </w:tcPr>
          <w:p w:rsidR="000B6257" w:rsidRDefault="000B6257">
            <w:pPr>
              <w:jc w:val="center"/>
              <w:rPr>
                <w:rFonts w:cs="Arial"/>
                <w:sz w:val="20"/>
                <w:szCs w:val="20"/>
              </w:rPr>
            </w:pPr>
            <w:r>
              <w:rPr>
                <w:rFonts w:cs="Arial"/>
                <w:sz w:val="20"/>
                <w:szCs w:val="20"/>
              </w:rPr>
              <w:t>-43</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A55D2E" w:rsidRDefault="00A55D2E" w:rsidP="009962A0">
      <w:pPr>
        <w:jc w:val="both"/>
      </w:pPr>
    </w:p>
    <w:p w:rsidR="00A55D2E" w:rsidRDefault="00A55D2E" w:rsidP="009962A0">
      <w:pPr>
        <w:jc w:val="both"/>
      </w:pPr>
    </w:p>
    <w:p w:rsidR="00A55D2E" w:rsidRDefault="00A55D2E" w:rsidP="009962A0">
      <w:pPr>
        <w:jc w:val="both"/>
      </w:pPr>
    </w:p>
    <w:p w:rsidR="00A55D2E" w:rsidRDefault="00A55D2E" w:rsidP="009962A0">
      <w:pPr>
        <w:jc w:val="both"/>
      </w:pPr>
    </w:p>
    <w:p w:rsidR="00A55D2E" w:rsidRPr="00D1641C" w:rsidRDefault="00A55D2E" w:rsidP="009962A0">
      <w:pPr>
        <w:jc w:val="both"/>
      </w:pPr>
    </w:p>
    <w:p w:rsidR="00BC18FB" w:rsidRPr="006E7E57" w:rsidRDefault="00BC18FB" w:rsidP="00BC18FB">
      <w:pPr>
        <w:pStyle w:val="Heading1"/>
        <w:numPr>
          <w:ilvl w:val="0"/>
          <w:numId w:val="0"/>
        </w:numPr>
        <w:rPr>
          <w:color w:val="2272A3"/>
        </w:rPr>
      </w:pPr>
      <w:r w:rsidRPr="006E7E57">
        <w:rPr>
          <w:color w:val="2272A3"/>
        </w:rPr>
        <w:lastRenderedPageBreak/>
        <w:t>Significant</w:t>
      </w:r>
      <w:r w:rsidR="006E7E57">
        <w:rPr>
          <w:color w:val="2272A3"/>
        </w:rPr>
        <w:t xml:space="preserve"> Market Events or Issues this week</w:t>
      </w:r>
    </w:p>
    <w:p w:rsidR="001835B2" w:rsidRPr="009A559D" w:rsidRDefault="002C7EA6" w:rsidP="001B3823">
      <w:pPr>
        <w:jc w:val="both"/>
        <w:rPr>
          <w:rFonts w:eastAsia="MS Mincho"/>
          <w:i/>
        </w:rPr>
      </w:pPr>
      <w:r w:rsidRPr="009A559D">
        <w:rPr>
          <w:rFonts w:eastAsia="MS Mincho"/>
          <w:i/>
        </w:rPr>
        <w:t>Queensland LNG projects</w:t>
      </w:r>
    </w:p>
    <w:p w:rsidR="00B07570" w:rsidRDefault="00B07570" w:rsidP="00B07570">
      <w:pPr>
        <w:pStyle w:val="Heading2"/>
        <w:ind w:firstLine="0"/>
        <w:rPr>
          <w:i w:val="0"/>
          <w:color w:val="2272A3"/>
          <w:sz w:val="24"/>
          <w:szCs w:val="24"/>
        </w:rPr>
      </w:pPr>
      <w:r>
        <w:rPr>
          <w:i w:val="0"/>
          <w:color w:val="2272A3"/>
          <w:sz w:val="24"/>
          <w:szCs w:val="24"/>
        </w:rPr>
        <w:t>QCLNG production and pipeline flows</w:t>
      </w:r>
    </w:p>
    <w:p w:rsidR="00E556E9" w:rsidRDefault="00E92A99" w:rsidP="00E556E9">
      <w:r>
        <w:pict>
          <v:shape id="_x0000_i1026" type="#_x0000_t75" alt="Figure 6 shows pipeline flows on QCLNG's Wallumbilla to Gladstone Pipeline from Roma to Curtis Island and production output at QCLNG's Roma facilities." style="width:467.7pt;height:210.35pt">
            <v:imagedata r:id="rId14" o:title=""/>
          </v:shape>
        </w:pict>
      </w:r>
    </w:p>
    <w:p w:rsidR="00E556E9" w:rsidRDefault="00E556E9" w:rsidP="00E556E9">
      <w:pPr>
        <w:pStyle w:val="ListParagraph"/>
        <w:widowControl w:val="0"/>
        <w:spacing w:before="0" w:after="200" w:line="276" w:lineRule="auto"/>
        <w:ind w:left="0"/>
        <w:jc w:val="both"/>
        <w:rPr>
          <w:rFonts w:ascii="Arial" w:eastAsia="Times New Roman" w:hAnsi="Arial" w:cs="Times New Roman"/>
          <w:sz w:val="22"/>
          <w:szCs w:val="24"/>
        </w:rPr>
      </w:pPr>
      <w:r w:rsidRPr="00E556E9">
        <w:rPr>
          <w:rFonts w:ascii="Arial" w:eastAsia="Times New Roman" w:hAnsi="Arial" w:cs="Times New Roman"/>
          <w:sz w:val="22"/>
          <w:szCs w:val="24"/>
        </w:rPr>
        <w:t>Figure 6 shows that QCLNG production has remained stable</w:t>
      </w:r>
      <w:r w:rsidR="002A5F7D">
        <w:rPr>
          <w:rFonts w:ascii="Arial" w:eastAsia="Times New Roman" w:hAnsi="Arial" w:cs="Times New Roman"/>
          <w:sz w:val="22"/>
          <w:szCs w:val="24"/>
        </w:rPr>
        <w:t xml:space="preserve"> at high levels reflecting the</w:t>
      </w:r>
      <w:r w:rsidR="006E6C02">
        <w:rPr>
          <w:rFonts w:ascii="Arial" w:eastAsia="Times New Roman" w:hAnsi="Arial" w:cs="Times New Roman"/>
          <w:sz w:val="22"/>
          <w:szCs w:val="24"/>
        </w:rPr>
        <w:t xml:space="preserve"> </w:t>
      </w:r>
      <w:r w:rsidRPr="00E556E9">
        <w:rPr>
          <w:rFonts w:ascii="Arial" w:eastAsia="Times New Roman" w:hAnsi="Arial" w:cs="Times New Roman"/>
          <w:sz w:val="22"/>
          <w:szCs w:val="24"/>
        </w:rPr>
        <w:t xml:space="preserve">two LNG trains </w:t>
      </w:r>
      <w:r w:rsidR="002A5F7D">
        <w:rPr>
          <w:rFonts w:ascii="Arial" w:eastAsia="Times New Roman" w:hAnsi="Arial" w:cs="Times New Roman"/>
          <w:sz w:val="22"/>
          <w:szCs w:val="24"/>
        </w:rPr>
        <w:t xml:space="preserve">that are </w:t>
      </w:r>
      <w:r w:rsidRPr="00E556E9">
        <w:rPr>
          <w:rFonts w:ascii="Arial" w:eastAsia="Times New Roman" w:hAnsi="Arial" w:cs="Times New Roman"/>
          <w:sz w:val="22"/>
          <w:szCs w:val="24"/>
        </w:rPr>
        <w:t>up and running</w:t>
      </w:r>
      <w:r>
        <w:rPr>
          <w:rFonts w:ascii="Arial" w:eastAsia="Times New Roman" w:hAnsi="Arial" w:cs="Times New Roman"/>
          <w:sz w:val="22"/>
          <w:szCs w:val="24"/>
        </w:rPr>
        <w:t>.</w:t>
      </w:r>
      <w:r w:rsidR="00461D27">
        <w:rPr>
          <w:rStyle w:val="FootnoteReference"/>
          <w:rFonts w:ascii="Arial" w:eastAsia="Times New Roman" w:hAnsi="Arial" w:cs="Times New Roman"/>
          <w:sz w:val="22"/>
          <w:szCs w:val="24"/>
        </w:rPr>
        <w:footnoteReference w:id="4"/>
      </w:r>
    </w:p>
    <w:p w:rsidR="00B07570" w:rsidRDefault="00B07570" w:rsidP="00B07570">
      <w:pPr>
        <w:pStyle w:val="Heading2"/>
        <w:ind w:firstLine="0"/>
        <w:rPr>
          <w:i w:val="0"/>
          <w:color w:val="2272A3"/>
          <w:sz w:val="24"/>
          <w:szCs w:val="24"/>
        </w:rPr>
      </w:pPr>
      <w:r>
        <w:rPr>
          <w:i w:val="0"/>
          <w:color w:val="2272A3"/>
          <w:sz w:val="24"/>
          <w:szCs w:val="24"/>
        </w:rPr>
        <w:t>APLNG production and pipeline flows</w:t>
      </w:r>
    </w:p>
    <w:p w:rsidR="00B07570" w:rsidRDefault="00E92A99" w:rsidP="001B3823">
      <w:pPr>
        <w:jc w:val="both"/>
        <w:rPr>
          <w:rFonts w:eastAsia="MS Mincho"/>
          <w:color w:val="FF0000"/>
        </w:rPr>
      </w:pPr>
      <w:r>
        <w:rPr>
          <w:rFonts w:eastAsia="MS Mincho"/>
        </w:rPr>
        <w:pict>
          <v:shape id="_x0000_i1027" type="#_x0000_t75" alt="Figure 7 shows pipeline flows on the APLNG Pipeline from Roma to Curtis Island and production output at APLNG's Roma facilities against the left y-axis. The chart also shows the prices in the Brisbane Short Term Trading Market (STTM) and Wallumbilla Gas Supply Hub (GSH) against the right y-axis." style="width:467.7pt;height:209.75pt">
            <v:imagedata r:id="rId15" o:title=""/>
          </v:shape>
        </w:pict>
      </w:r>
    </w:p>
    <w:p w:rsidR="00B07570" w:rsidRDefault="00B07570" w:rsidP="001B3823">
      <w:pPr>
        <w:jc w:val="both"/>
        <w:rPr>
          <w:rFonts w:eastAsia="MS Mincho"/>
          <w:color w:val="FF0000"/>
        </w:rPr>
      </w:pPr>
      <w:r>
        <w:t>Figure 7 shows that</w:t>
      </w:r>
      <w:r w:rsidR="00461D27">
        <w:t>,</w:t>
      </w:r>
      <w:r>
        <w:t xml:space="preserve"> while production from APLNG facilities has remained relatively stable recently, there have been increases in LNG pipeline flows (the dark blue line). </w:t>
      </w:r>
      <w:r w:rsidR="00E556E9">
        <w:t>T</w:t>
      </w:r>
      <w:r>
        <w:t>his could indicate it is preparing to ship LNG from its first train</w:t>
      </w:r>
      <w:r w:rsidR="00E556E9">
        <w:t xml:space="preserve"> in line with its expected start-up timeframe from the end of December 2015</w:t>
      </w:r>
      <w:r>
        <w:t>.</w:t>
      </w:r>
      <w:r w:rsidR="00461D27">
        <w:rPr>
          <w:rStyle w:val="FootnoteReference"/>
        </w:rPr>
        <w:footnoteReference w:id="5"/>
      </w:r>
      <w:r w:rsidR="00A55D2E">
        <w:t xml:space="preserve"> The increased pi</w:t>
      </w:r>
      <w:r w:rsidR="009A559D">
        <w:t>p</w:t>
      </w:r>
      <w:r w:rsidR="00A55D2E">
        <w:t>eline flows</w:t>
      </w:r>
      <w:r w:rsidR="009A559D">
        <w:t xml:space="preserve"> appeared to have some influence in driving up prices, as reported in the previous weekly.</w:t>
      </w:r>
      <w:r w:rsidR="009A559D">
        <w:rPr>
          <w:rStyle w:val="FootnoteReference"/>
        </w:rPr>
        <w:footnoteReference w:id="6"/>
      </w:r>
    </w:p>
    <w:p w:rsidR="00B07570" w:rsidRDefault="00B07570" w:rsidP="00B07570">
      <w:pPr>
        <w:pStyle w:val="Heading2"/>
        <w:ind w:firstLine="0"/>
        <w:rPr>
          <w:i w:val="0"/>
          <w:color w:val="2272A3"/>
          <w:sz w:val="24"/>
          <w:szCs w:val="24"/>
        </w:rPr>
      </w:pPr>
      <w:r>
        <w:rPr>
          <w:i w:val="0"/>
          <w:color w:val="2272A3"/>
          <w:sz w:val="24"/>
          <w:szCs w:val="24"/>
        </w:rPr>
        <w:lastRenderedPageBreak/>
        <w:t>GLNG production and pipeline flows*</w:t>
      </w:r>
    </w:p>
    <w:p w:rsidR="002C7EA6" w:rsidRDefault="00E92A99" w:rsidP="001B3823">
      <w:pPr>
        <w:jc w:val="both"/>
        <w:rPr>
          <w:rFonts w:eastAsia="MS Mincho"/>
          <w:color w:val="FF0000"/>
        </w:rPr>
      </w:pPr>
      <w:r>
        <w:pict>
          <v:shape id="_x0000_i1028" type="#_x0000_t75" alt="Figure 8 shows pipeline flows on the GLNG Gas Transmission Pipeline from Roma to Curtis Island and production output at GLNG's Roma facilities against the left y-axis. Also depicted on the same axis are the daily flows on the QSN link from South Australia to Queensland (The Moomba Zone of the South West Queensland Pipeline). The chart also shows the prices in the Brisbane Short Term Trading Market (STTM) and Wallumbilla Gas Supply Hub (GSH) against the right y-axis." style="width:467.7pt;height:210.35pt">
            <v:imagedata r:id="rId16" o:title=""/>
          </v:shape>
        </w:pict>
      </w:r>
    </w:p>
    <w:p w:rsidR="00B07570" w:rsidRPr="00B07570" w:rsidRDefault="00B07570" w:rsidP="00B07570">
      <w:pPr>
        <w:widowControl w:val="0"/>
        <w:jc w:val="both"/>
        <w:rPr>
          <w:rFonts w:cs="Arial"/>
          <w:bCs/>
          <w:iCs/>
          <w:color w:val="2272A3"/>
          <w:sz w:val="16"/>
          <w:szCs w:val="16"/>
        </w:rPr>
      </w:pPr>
      <w:r w:rsidRPr="00B07570">
        <w:rPr>
          <w:rFonts w:cs="Arial"/>
          <w:bCs/>
          <w:iCs/>
          <w:color w:val="2272A3"/>
          <w:sz w:val="16"/>
          <w:szCs w:val="16"/>
        </w:rPr>
        <w:t>* Negative QSN flows denoting flows into Queensland have been displayed above the x-axis</w:t>
      </w:r>
    </w:p>
    <w:p w:rsidR="002C7EA6" w:rsidRDefault="00B07570" w:rsidP="001B3823">
      <w:pPr>
        <w:jc w:val="both"/>
        <w:rPr>
          <w:rFonts w:eastAsia="MS Mincho"/>
          <w:color w:val="FF0000"/>
        </w:rPr>
      </w:pPr>
      <w:r>
        <w:t xml:space="preserve">Figure 8 shows </w:t>
      </w:r>
      <w:r w:rsidR="003E5EE5">
        <w:t xml:space="preserve">that </w:t>
      </w:r>
      <w:r>
        <w:t>GLNG decreased production at its Roma facilities from the end of October following a shutdown of its Curtis Island export facility at Gladstone.</w:t>
      </w:r>
      <w:r w:rsidR="00461D27">
        <w:rPr>
          <w:rStyle w:val="FootnoteReference"/>
        </w:rPr>
        <w:footnoteReference w:id="7"/>
      </w:r>
      <w:r>
        <w:t xml:space="preserve"> This led to flows from Moomba on the QSN Link to revert to their default flow direction into South Australia for most of November. Flows from Moomba reversed again into Queensland following the ramp-up of LNG train exports from 21 November.</w:t>
      </w:r>
      <w:r>
        <w:rPr>
          <w:rStyle w:val="FootnoteReference"/>
        </w:rPr>
        <w:footnoteReference w:id="8"/>
      </w:r>
      <w:r>
        <w:t xml:space="preserve"> This </w:t>
      </w:r>
      <w:r w:rsidR="003E5EE5">
        <w:t xml:space="preserve">seemed to affect </w:t>
      </w:r>
      <w:r>
        <w:t>prices, with both the Brisbane and Wallumbilla hubs increasing following the ramp up.</w:t>
      </w:r>
    </w:p>
    <w:p w:rsidR="002C7EA6" w:rsidRPr="00E73C2E" w:rsidRDefault="002C7EA6" w:rsidP="001B3823">
      <w:pPr>
        <w:jc w:val="both"/>
        <w:rPr>
          <w:rFonts w:eastAsia="MS Mincho"/>
          <w:i/>
        </w:rPr>
      </w:pPr>
      <w:r w:rsidRPr="00E73C2E">
        <w:rPr>
          <w:rFonts w:eastAsia="MS Mincho"/>
          <w:i/>
        </w:rPr>
        <w:t>Longford injections</w:t>
      </w:r>
      <w:r w:rsidR="00E73C2E">
        <w:rPr>
          <w:rFonts w:eastAsia="MS Mincho"/>
          <w:i/>
        </w:rPr>
        <w:t xml:space="preserve"> and supply to the Eastern Gas Pipeline</w:t>
      </w:r>
    </w:p>
    <w:p w:rsidR="00442306" w:rsidRPr="00FE72E0" w:rsidRDefault="00F7228C" w:rsidP="00F7228C">
      <w:pPr>
        <w:jc w:val="both"/>
        <w:rPr>
          <w:rFonts w:eastAsia="MS Mincho"/>
        </w:rPr>
      </w:pPr>
      <w:r w:rsidRPr="00FE72E0">
        <w:rPr>
          <w:rFonts w:eastAsia="MS Mincho"/>
        </w:rPr>
        <w:t xml:space="preserve">On the 25 November gas day, </w:t>
      </w:r>
      <w:r w:rsidR="00442306" w:rsidRPr="00FE72E0">
        <w:rPr>
          <w:rFonts w:eastAsia="MS Mincho"/>
        </w:rPr>
        <w:t xml:space="preserve">Longford over injected </w:t>
      </w:r>
      <w:r w:rsidR="0097481E" w:rsidRPr="00FE72E0">
        <w:rPr>
          <w:rFonts w:eastAsia="MS Mincho"/>
        </w:rPr>
        <w:t xml:space="preserve">by around 50 TJ </w:t>
      </w:r>
      <w:r w:rsidRPr="00FE72E0">
        <w:rPr>
          <w:rFonts w:eastAsia="MS Mincho"/>
        </w:rPr>
        <w:t xml:space="preserve">into the Victorian Gas Market </w:t>
      </w:r>
      <w:r w:rsidR="00442306" w:rsidRPr="00FE72E0">
        <w:rPr>
          <w:rFonts w:eastAsia="MS Mincho"/>
        </w:rPr>
        <w:t>during the initial schedules and backed off the plant from around 6 pm (as demonstrated by injection quantities and line</w:t>
      </w:r>
      <w:r w:rsidRPr="00FE72E0">
        <w:rPr>
          <w:rFonts w:eastAsia="MS Mincho"/>
        </w:rPr>
        <w:t xml:space="preserve"> </w:t>
      </w:r>
      <w:r w:rsidR="00442306" w:rsidRPr="00FE72E0">
        <w:rPr>
          <w:rFonts w:eastAsia="MS Mincho"/>
        </w:rPr>
        <w:t>pack levels</w:t>
      </w:r>
      <w:r w:rsidR="002B07AD" w:rsidRPr="00FE72E0">
        <w:rPr>
          <w:rStyle w:val="FootnoteReference"/>
          <w:rFonts w:eastAsia="MS Mincho"/>
        </w:rPr>
        <w:footnoteReference w:id="9"/>
      </w:r>
      <w:r w:rsidR="00442306" w:rsidRPr="00FE72E0">
        <w:rPr>
          <w:rFonts w:eastAsia="MS Mincho"/>
        </w:rPr>
        <w:t xml:space="preserve"> in figure</w:t>
      </w:r>
      <w:r w:rsidR="002B07AD" w:rsidRPr="00FE72E0">
        <w:rPr>
          <w:rFonts w:eastAsia="MS Mincho"/>
        </w:rPr>
        <w:t> 9</w:t>
      </w:r>
      <w:r w:rsidR="00442306" w:rsidRPr="00FE72E0">
        <w:rPr>
          <w:rFonts w:eastAsia="MS Mincho"/>
        </w:rPr>
        <w:t>)</w:t>
      </w:r>
      <w:r w:rsidR="0097481E" w:rsidRPr="00FE72E0">
        <w:rPr>
          <w:rFonts w:eastAsia="MS Mincho"/>
        </w:rPr>
        <w:t>.</w:t>
      </w:r>
      <w:r w:rsidRPr="00FE72E0">
        <w:rPr>
          <w:rStyle w:val="FootnoteReference"/>
          <w:rFonts w:eastAsia="MS Mincho"/>
        </w:rPr>
        <w:footnoteReference w:id="10"/>
      </w:r>
    </w:p>
    <w:p w:rsidR="00442306" w:rsidRPr="00FE72E0" w:rsidRDefault="001D243E" w:rsidP="00F7228C">
      <w:pPr>
        <w:jc w:val="both"/>
        <w:rPr>
          <w:rFonts w:eastAsia="MS Mincho"/>
        </w:rPr>
      </w:pPr>
      <w:r w:rsidRPr="00FE72E0">
        <w:rPr>
          <w:rFonts w:eastAsia="MS Mincho"/>
        </w:rPr>
        <w:t>A p</w:t>
      </w:r>
      <w:r w:rsidR="005F72EC" w:rsidRPr="00FE72E0">
        <w:rPr>
          <w:rFonts w:eastAsia="MS Mincho"/>
        </w:rPr>
        <w:t xml:space="preserve">lanned SCADA upgrade by Jemena, </w:t>
      </w:r>
      <w:r w:rsidR="00F7228C" w:rsidRPr="00FE72E0">
        <w:rPr>
          <w:rFonts w:eastAsia="MS Mincho"/>
        </w:rPr>
        <w:t xml:space="preserve">which was </w:t>
      </w:r>
      <w:r w:rsidRPr="00FE72E0">
        <w:rPr>
          <w:rFonts w:eastAsia="MS Mincho"/>
        </w:rPr>
        <w:t xml:space="preserve">projected </w:t>
      </w:r>
      <w:r w:rsidR="005F72EC" w:rsidRPr="00FE72E0">
        <w:rPr>
          <w:rFonts w:eastAsia="MS Mincho"/>
        </w:rPr>
        <w:t>to be complete</w:t>
      </w:r>
      <w:r w:rsidR="0097287B">
        <w:rPr>
          <w:rFonts w:eastAsia="MS Mincho"/>
        </w:rPr>
        <w:t>d</w:t>
      </w:r>
      <w:r w:rsidR="005F72EC" w:rsidRPr="00FE72E0">
        <w:rPr>
          <w:rFonts w:eastAsia="MS Mincho"/>
        </w:rPr>
        <w:t xml:space="preserve"> by 6</w:t>
      </w:r>
      <w:r w:rsidR="00F7228C" w:rsidRPr="00FE72E0">
        <w:rPr>
          <w:rFonts w:eastAsia="MS Mincho"/>
        </w:rPr>
        <w:t> </w:t>
      </w:r>
      <w:r w:rsidR="005F72EC" w:rsidRPr="00FE72E0">
        <w:rPr>
          <w:rFonts w:eastAsia="MS Mincho"/>
        </w:rPr>
        <w:t>pm, remained unresolved by 11</w:t>
      </w:r>
      <w:r w:rsidR="00F7228C" w:rsidRPr="00FE72E0">
        <w:rPr>
          <w:rFonts w:eastAsia="MS Mincho"/>
        </w:rPr>
        <w:t> </w:t>
      </w:r>
      <w:r w:rsidR="005F72EC" w:rsidRPr="00FE72E0">
        <w:rPr>
          <w:rFonts w:eastAsia="MS Mincho"/>
        </w:rPr>
        <w:t>pm leading to a rollback of the old SCADA system</w:t>
      </w:r>
      <w:r w:rsidR="00F7228C" w:rsidRPr="00FE72E0">
        <w:rPr>
          <w:rFonts w:eastAsia="MS Mincho"/>
        </w:rPr>
        <w:t xml:space="preserve">. </w:t>
      </w:r>
      <w:r w:rsidR="005F72EC" w:rsidRPr="00FE72E0">
        <w:rPr>
          <w:rFonts w:eastAsia="MS Mincho"/>
        </w:rPr>
        <w:t xml:space="preserve">The delay in bringing compressors back online to deliver gas on the </w:t>
      </w:r>
      <w:r w:rsidR="00C950DC" w:rsidRPr="00FE72E0">
        <w:rPr>
          <w:rFonts w:eastAsia="MS Mincho"/>
        </w:rPr>
        <w:t>Eastern Gas Pipeline (</w:t>
      </w:r>
      <w:r w:rsidR="005F72EC" w:rsidRPr="00FE72E0">
        <w:rPr>
          <w:rFonts w:eastAsia="MS Mincho"/>
        </w:rPr>
        <w:t>EGP</w:t>
      </w:r>
      <w:r w:rsidR="00C950DC" w:rsidRPr="00FE72E0">
        <w:rPr>
          <w:rFonts w:eastAsia="MS Mincho"/>
        </w:rPr>
        <w:t>)</w:t>
      </w:r>
      <w:r w:rsidR="005F72EC" w:rsidRPr="00FE72E0">
        <w:rPr>
          <w:rFonts w:eastAsia="MS Mincho"/>
        </w:rPr>
        <w:t xml:space="preserve"> led to Longford being rapidly ramped back from around 8 pm due to the higher quantity of gas in the system </w:t>
      </w:r>
      <w:r w:rsidR="00F7228C" w:rsidRPr="00FE72E0">
        <w:rPr>
          <w:rFonts w:eastAsia="MS Mincho"/>
        </w:rPr>
        <w:t>following</w:t>
      </w:r>
      <w:r w:rsidR="005F72EC" w:rsidRPr="00FE72E0">
        <w:rPr>
          <w:rFonts w:eastAsia="MS Mincho"/>
        </w:rPr>
        <w:t xml:space="preserve"> the prior over injections.</w:t>
      </w:r>
    </w:p>
    <w:p w:rsidR="005F72EC" w:rsidRPr="00FE72E0" w:rsidRDefault="005F72EC" w:rsidP="00F7228C">
      <w:pPr>
        <w:jc w:val="both"/>
        <w:rPr>
          <w:rFonts w:eastAsia="MS Mincho"/>
        </w:rPr>
      </w:pPr>
      <w:r w:rsidRPr="00FE72E0">
        <w:rPr>
          <w:rFonts w:eastAsia="MS Mincho"/>
        </w:rPr>
        <w:t xml:space="preserve">This resulted in a number of alert notifications for off-specification gas, with low </w:t>
      </w:r>
      <w:proofErr w:type="spellStart"/>
      <w:r w:rsidRPr="00FE72E0">
        <w:rPr>
          <w:rFonts w:eastAsia="MS Mincho"/>
        </w:rPr>
        <w:t>odorisation</w:t>
      </w:r>
      <w:proofErr w:type="spellEnd"/>
      <w:r w:rsidRPr="00FE72E0">
        <w:rPr>
          <w:rFonts w:eastAsia="MS Mincho"/>
        </w:rPr>
        <w:t xml:space="preserve"> levels detected from the </w:t>
      </w:r>
      <w:r w:rsidR="00C950DC" w:rsidRPr="00FE72E0">
        <w:rPr>
          <w:rFonts w:eastAsia="MS Mincho"/>
        </w:rPr>
        <w:t>exceptionally low</w:t>
      </w:r>
      <w:r w:rsidRPr="00FE72E0">
        <w:rPr>
          <w:rFonts w:eastAsia="MS Mincho"/>
        </w:rPr>
        <w:t xml:space="preserve"> flows </w:t>
      </w:r>
      <w:r w:rsidR="00C950DC" w:rsidRPr="00FE72E0">
        <w:rPr>
          <w:rFonts w:eastAsia="MS Mincho"/>
        </w:rPr>
        <w:t xml:space="preserve">being measured </w:t>
      </w:r>
      <w:r w:rsidRPr="00FE72E0">
        <w:rPr>
          <w:rFonts w:eastAsia="MS Mincho"/>
        </w:rPr>
        <w:t xml:space="preserve">through the </w:t>
      </w:r>
      <w:r w:rsidR="00C950DC" w:rsidRPr="00FE72E0">
        <w:rPr>
          <w:rFonts w:eastAsia="MS Mincho"/>
        </w:rPr>
        <w:t xml:space="preserve">Longford </w:t>
      </w:r>
      <w:r w:rsidRPr="00FE72E0">
        <w:rPr>
          <w:rFonts w:eastAsia="MS Mincho"/>
        </w:rPr>
        <w:t>metering station</w:t>
      </w:r>
      <w:r w:rsidR="00C950DC" w:rsidRPr="00FE72E0">
        <w:rPr>
          <w:rFonts w:eastAsia="MS Mincho"/>
        </w:rPr>
        <w:t>.</w:t>
      </w:r>
    </w:p>
    <w:p w:rsidR="00C950DC" w:rsidRPr="00FE72E0" w:rsidRDefault="00C950DC" w:rsidP="00F7228C">
      <w:pPr>
        <w:jc w:val="both"/>
        <w:rPr>
          <w:rFonts w:eastAsia="MS Mincho"/>
        </w:rPr>
      </w:pPr>
      <w:r w:rsidRPr="00FE72E0">
        <w:rPr>
          <w:rFonts w:eastAsia="MS Mincho"/>
        </w:rPr>
        <w:t xml:space="preserve">The following gas day, issues with ramping back up injections at the production facility caused Longford to request a supply point constraint (425 TJ/d) and an Amber </w:t>
      </w:r>
      <w:proofErr w:type="spellStart"/>
      <w:r w:rsidRPr="00FE72E0">
        <w:rPr>
          <w:rFonts w:eastAsia="MS Mincho"/>
        </w:rPr>
        <w:t>Linepack</w:t>
      </w:r>
      <w:proofErr w:type="spellEnd"/>
      <w:r w:rsidRPr="00FE72E0">
        <w:rPr>
          <w:rFonts w:eastAsia="MS Mincho"/>
        </w:rPr>
        <w:t xml:space="preserve"> Capacity Adequacy (LCA) flag for the EGP on the Bulletin Board. The Amber flag notification indicated a possible curtailment of load due to the under-delivered quantity of gas, which was subsequently resolved with shippers supplying gas to the Sydney hub.</w:t>
      </w:r>
    </w:p>
    <w:p w:rsidR="002A2A16" w:rsidRPr="00FE72E0" w:rsidRDefault="002A2A16" w:rsidP="00F7228C">
      <w:pPr>
        <w:jc w:val="both"/>
        <w:rPr>
          <w:rFonts w:eastAsia="MS Mincho"/>
        </w:rPr>
      </w:pPr>
      <w:r w:rsidRPr="00FE72E0">
        <w:rPr>
          <w:rFonts w:eastAsia="MS Mincho"/>
        </w:rPr>
        <w:t xml:space="preserve">The </w:t>
      </w:r>
      <w:r w:rsidR="00693187" w:rsidRPr="00FE72E0">
        <w:rPr>
          <w:rFonts w:eastAsia="MS Mincho"/>
        </w:rPr>
        <w:t>increase in par</w:t>
      </w:r>
      <w:r w:rsidR="0070302E" w:rsidRPr="00FE72E0">
        <w:rPr>
          <w:rFonts w:eastAsia="MS Mincho"/>
        </w:rPr>
        <w:t>t</w:t>
      </w:r>
      <w:r w:rsidR="00693187" w:rsidRPr="00FE72E0">
        <w:rPr>
          <w:rFonts w:eastAsia="MS Mincho"/>
        </w:rPr>
        <w:t xml:space="preserve">icipants’ demand forecasts </w:t>
      </w:r>
      <w:r w:rsidR="0070302E" w:rsidRPr="00FE72E0">
        <w:rPr>
          <w:rFonts w:eastAsia="MS Mincho"/>
        </w:rPr>
        <w:t xml:space="preserve">in Victoria on the day led to higher scheduled quantities </w:t>
      </w:r>
      <w:r w:rsidR="00693187" w:rsidRPr="00FE72E0">
        <w:rPr>
          <w:rFonts w:eastAsia="MS Mincho"/>
        </w:rPr>
        <w:t xml:space="preserve">(see figure 1.2). However over forecasting led to </w:t>
      </w:r>
      <w:r w:rsidR="00F7228C" w:rsidRPr="00FE72E0">
        <w:rPr>
          <w:rFonts w:eastAsia="MS Mincho"/>
        </w:rPr>
        <w:t xml:space="preserve">the 10 pm schedule price </w:t>
      </w:r>
      <w:r w:rsidR="00693187" w:rsidRPr="00FE72E0">
        <w:rPr>
          <w:rFonts w:eastAsia="MS Mincho"/>
        </w:rPr>
        <w:t xml:space="preserve">falling to $0.50/GJ </w:t>
      </w:r>
      <w:r w:rsidR="00765744" w:rsidRPr="00FE72E0">
        <w:rPr>
          <w:rFonts w:eastAsia="MS Mincho"/>
        </w:rPr>
        <w:t>(see figure 1.1)</w:t>
      </w:r>
      <w:r w:rsidR="00693187" w:rsidRPr="00FE72E0">
        <w:rPr>
          <w:rFonts w:eastAsia="MS Mincho"/>
        </w:rPr>
        <w:t>.</w:t>
      </w:r>
    </w:p>
    <w:p w:rsidR="002C7EA6" w:rsidRDefault="002C7EA6" w:rsidP="002C7EA6">
      <w:pPr>
        <w:pStyle w:val="Heading2"/>
        <w:ind w:firstLine="0"/>
        <w:rPr>
          <w:i w:val="0"/>
          <w:color w:val="2272A3"/>
          <w:sz w:val="24"/>
          <w:szCs w:val="24"/>
        </w:rPr>
      </w:pPr>
      <w:r>
        <w:rPr>
          <w:i w:val="0"/>
          <w:color w:val="2272A3"/>
          <w:sz w:val="24"/>
          <w:szCs w:val="24"/>
        </w:rPr>
        <w:lastRenderedPageBreak/>
        <w:t>Victorian Gas Market hourly injections</w:t>
      </w:r>
      <w:r w:rsidR="00B07570">
        <w:rPr>
          <w:i w:val="0"/>
          <w:color w:val="2272A3"/>
          <w:sz w:val="24"/>
          <w:szCs w:val="24"/>
        </w:rPr>
        <w:t xml:space="preserve">, </w:t>
      </w:r>
      <w:r w:rsidR="00E73C2E">
        <w:rPr>
          <w:i w:val="0"/>
          <w:color w:val="2272A3"/>
          <w:sz w:val="24"/>
          <w:szCs w:val="24"/>
        </w:rPr>
        <w:t xml:space="preserve">network </w:t>
      </w:r>
      <w:r w:rsidR="00B07570">
        <w:rPr>
          <w:i w:val="0"/>
          <w:color w:val="2272A3"/>
          <w:sz w:val="24"/>
          <w:szCs w:val="24"/>
        </w:rPr>
        <w:t>line pack levels,</w:t>
      </w:r>
      <w:r>
        <w:rPr>
          <w:i w:val="0"/>
          <w:color w:val="2272A3"/>
          <w:sz w:val="24"/>
          <w:szCs w:val="24"/>
        </w:rPr>
        <w:t xml:space="preserve"> and scheduled flows for 25 November</w:t>
      </w:r>
    </w:p>
    <w:p w:rsidR="00ED182D" w:rsidRDefault="00E92A99" w:rsidP="001B3823">
      <w:pPr>
        <w:jc w:val="both"/>
        <w:rPr>
          <w:rFonts w:eastAsia="MS Mincho"/>
          <w:color w:val="FF0000"/>
        </w:rPr>
      </w:pPr>
      <w:r>
        <w:rPr>
          <w:rFonts w:eastAsia="MS Mincho"/>
        </w:rPr>
        <w:pict>
          <v:shape id="_x0000_i1029" type="#_x0000_t75" style="width:475.85pt;height:200.35pt">
            <v:imagedata r:id="rId17" o:title=""/>
          </v:shape>
        </w:pict>
      </w:r>
    </w:p>
    <w:p w:rsidR="00B07570" w:rsidRPr="00A76C63" w:rsidRDefault="00B07570" w:rsidP="001B3823">
      <w:pPr>
        <w:jc w:val="both"/>
        <w:rPr>
          <w:rFonts w:eastAsia="MS Mincho"/>
          <w:i/>
        </w:rPr>
      </w:pPr>
      <w:r w:rsidRPr="00A76C63">
        <w:rPr>
          <w:rFonts w:eastAsia="MS Mincho"/>
          <w:i/>
        </w:rPr>
        <w:t>STTM MOS quantities</w:t>
      </w:r>
    </w:p>
    <w:p w:rsidR="00837429" w:rsidRPr="00A76C63" w:rsidRDefault="00026463" w:rsidP="001B3823">
      <w:pPr>
        <w:jc w:val="both"/>
        <w:rPr>
          <w:rFonts w:eastAsia="MS Mincho"/>
        </w:rPr>
      </w:pPr>
      <w:r w:rsidRPr="00A76C63">
        <w:rPr>
          <w:rFonts w:eastAsia="MS Mincho"/>
        </w:rPr>
        <w:t xml:space="preserve">The requirement for </w:t>
      </w:r>
      <w:r w:rsidR="00837429" w:rsidRPr="00A76C63">
        <w:rPr>
          <w:rFonts w:eastAsia="MS Mincho"/>
        </w:rPr>
        <w:t>decrease MOS</w:t>
      </w:r>
      <w:r w:rsidRPr="00A76C63">
        <w:rPr>
          <w:rFonts w:eastAsia="MS Mincho"/>
        </w:rPr>
        <w:t xml:space="preserve"> in the Sydney hub was around 7 TJ on a number of occasions across the week, exceeding</w:t>
      </w:r>
      <w:r w:rsidR="00777426" w:rsidRPr="00A76C63">
        <w:rPr>
          <w:rFonts w:eastAsia="MS Mincho"/>
        </w:rPr>
        <w:t xml:space="preserve"> </w:t>
      </w:r>
      <w:r w:rsidRPr="00A76C63">
        <w:rPr>
          <w:rFonts w:eastAsia="MS Mincho"/>
        </w:rPr>
        <w:t>16 TJ on Friday 27 November</w:t>
      </w:r>
      <w:r w:rsidR="00777426" w:rsidRPr="00A76C63">
        <w:rPr>
          <w:rFonts w:eastAsia="MS Mincho"/>
        </w:rPr>
        <w:t xml:space="preserve"> </w:t>
      </w:r>
      <w:r w:rsidR="00A76C63" w:rsidRPr="00A76C63">
        <w:rPr>
          <w:rFonts w:eastAsia="MS Mincho"/>
        </w:rPr>
        <w:t>due to over forecasting (</w:t>
      </w:r>
      <w:r w:rsidR="00777426" w:rsidRPr="00A76C63">
        <w:rPr>
          <w:rFonts w:eastAsia="MS Mincho"/>
        </w:rPr>
        <w:t>at a cost of just over $50 000</w:t>
      </w:r>
      <w:r w:rsidR="00A76C63" w:rsidRPr="00A76C63">
        <w:rPr>
          <w:rFonts w:eastAsia="MS Mincho"/>
        </w:rPr>
        <w:t>, see figure 2.4)</w:t>
      </w:r>
      <w:r w:rsidRPr="00A76C63">
        <w:rPr>
          <w:rFonts w:eastAsia="MS Mincho"/>
        </w:rPr>
        <w:t>.</w:t>
      </w:r>
    </w:p>
    <w:p w:rsidR="00A76C63" w:rsidRPr="00A76C63" w:rsidRDefault="00A76C63" w:rsidP="001B3823">
      <w:pPr>
        <w:jc w:val="both"/>
      </w:pPr>
      <w:r w:rsidRPr="00A76C63">
        <w:rPr>
          <w:rFonts w:eastAsia="MS Mincho"/>
        </w:rPr>
        <w:t xml:space="preserve">On Saturday 28 November, just over 7 TJ of increase MOS was required in the Adelaide hub despite only a minimal forecast error. This was largely the result of pipeline renominations, with 3.3 TJ of additional supply on the Moomba to Adelaide Pipeline offset by 10 TJ of unscheduled backhaul on </w:t>
      </w:r>
      <w:proofErr w:type="spellStart"/>
      <w:r w:rsidRPr="00A76C63">
        <w:rPr>
          <w:rFonts w:eastAsia="MS Mincho"/>
        </w:rPr>
        <w:t>SEAGas</w:t>
      </w:r>
      <w:proofErr w:type="spellEnd"/>
      <w:r w:rsidRPr="00A76C63">
        <w:rPr>
          <w:rFonts w:eastAsia="MS Mincho"/>
        </w:rPr>
        <w:t xml:space="preserve">. This supply shortfall and slightly under forecast demand led to the requirement (see figure 3.3). </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CA0217">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CA0217">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A979FF" w:rsidP="004420C4">
      <w:pPr>
        <w:pStyle w:val="Heading2"/>
        <w:numPr>
          <w:ilvl w:val="0"/>
          <w:numId w:val="0"/>
        </w:numPr>
        <w:rPr>
          <w:i w:val="0"/>
        </w:rPr>
      </w:pPr>
      <w:r>
        <w:rPr>
          <w:i w:val="0"/>
          <w:sz w:val="36"/>
          <w:szCs w:val="36"/>
        </w:rPr>
        <w:t>22 – 28 November 2015</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11"/>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12"/>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13"/>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E92A99" w:rsidP="00362B9A">
      <w:r>
        <w:pict>
          <v:shape id="_x0000_i1030" type="#_x0000_t75" alt="Figure 1.1 shows the five Victorian schedule prices for each day this week. The marker indicates the daily imbalance weighted average price for each day. For a more detailed description of this figure, please refer to the user guide." style="width:476.45pt;height:137.1pt">
            <v:imagedata r:id="rId18"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E92A99" w:rsidP="00362B9A">
      <w:r>
        <w:pict>
          <v:shape id="_x0000_i1031" type="#_x0000_t75" alt="Figure 1.2 shows the demand forecast used to calculate the five daily schedule prices for this week. For a more detailed description of this figure, please refer to the user guide." style="width:475.85pt;height:177.2pt">
            <v:imagedata r:id="rId19"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E92A99" w:rsidP="00362B9A">
      <w:r>
        <w:pict>
          <v:shape id="_x0000_i1032" type="#_x0000_t75" alt="Figure 1.3 shows the injection bids within certain price bands for each trading interval in Victoria this week. For a more detailed description of this figure, please refer to the user guide." style="width:476.45pt;height:206pt">
            <v:imagedata r:id="rId20"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E92A99" w:rsidP="00362B9A">
      <w:r>
        <w:pict>
          <v:shape id="_x0000_i1033" type="#_x0000_t75" alt="Figure 1.4 shows the withdrawal bids within certain price bands for each trading interval in Victoria this week. For a more detailed description of this figure, please refer to the user guide." style="width:476.45pt;height:162.8pt">
            <v:imagedata r:id="rId21"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E92A99" w:rsidP="00BC18FB">
      <w:r>
        <w:pict>
          <v:shape id="_x0000_i1034" type="#_x0000_t75" alt="Figure 1.5 shows the metered injections sorted by facility for each 4 hour interval in Victoria this week. For a more detailed description of this figure, please refer to the user guide." style="width:475.85pt;height:177.8pt">
            <v:imagedata r:id="rId22"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4"/>
      </w:r>
      <w:r w:rsidRPr="00EF58A8">
        <w:t xml:space="preserve"> Divergences in ex ante and ex post prices for a gas day may occur due to differences in scheduled (forecast) and allocated (actual) quantities.</w:t>
      </w:r>
      <w:r>
        <w:t xml:space="preserve"> Pipeline acronyms are defined in the </w:t>
      </w:r>
      <w:hyperlink r:id="rId23"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5"/>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656D3B" w:rsidRPr="00405CDE" w:rsidTr="00F114D5">
        <w:trPr>
          <w:trHeight w:val="510"/>
        </w:trPr>
        <w:tc>
          <w:tcPr>
            <w:tcW w:w="1100" w:type="pct"/>
            <w:tcBorders>
              <w:top w:val="nil"/>
              <w:bottom w:val="nil"/>
            </w:tcBorders>
            <w:vAlign w:val="center"/>
          </w:tcPr>
          <w:p w:rsidR="00656D3B" w:rsidRDefault="00656D3B">
            <w:pPr>
              <w:rPr>
                <w:rFonts w:cs="Arial"/>
                <w:sz w:val="20"/>
                <w:szCs w:val="20"/>
              </w:rPr>
            </w:pPr>
            <w:r>
              <w:rPr>
                <w:rFonts w:cs="Arial"/>
                <w:sz w:val="20"/>
                <w:szCs w:val="20"/>
              </w:rPr>
              <w:t>Ex ante price ($/GJ)</w:t>
            </w:r>
          </w:p>
        </w:tc>
        <w:tc>
          <w:tcPr>
            <w:tcW w:w="597" w:type="pct"/>
            <w:tcBorders>
              <w:top w:val="nil"/>
              <w:bottom w:val="nil"/>
            </w:tcBorders>
            <w:vAlign w:val="center"/>
          </w:tcPr>
          <w:p w:rsidR="00656D3B" w:rsidRDefault="00656D3B">
            <w:pPr>
              <w:jc w:val="center"/>
              <w:rPr>
                <w:rFonts w:cs="Arial"/>
                <w:sz w:val="20"/>
                <w:szCs w:val="20"/>
              </w:rPr>
            </w:pPr>
            <w:r>
              <w:rPr>
                <w:rFonts w:cs="Arial"/>
                <w:sz w:val="20"/>
                <w:szCs w:val="20"/>
              </w:rPr>
              <w:t>4.25</w:t>
            </w:r>
          </w:p>
        </w:tc>
        <w:tc>
          <w:tcPr>
            <w:tcW w:w="523" w:type="pct"/>
            <w:tcBorders>
              <w:top w:val="nil"/>
              <w:bottom w:val="nil"/>
            </w:tcBorders>
            <w:vAlign w:val="center"/>
          </w:tcPr>
          <w:p w:rsidR="00656D3B" w:rsidRDefault="00656D3B">
            <w:pPr>
              <w:jc w:val="center"/>
              <w:rPr>
                <w:rFonts w:cs="Arial"/>
                <w:sz w:val="20"/>
                <w:szCs w:val="20"/>
              </w:rPr>
            </w:pPr>
            <w:r>
              <w:rPr>
                <w:rFonts w:cs="Arial"/>
                <w:sz w:val="20"/>
                <w:szCs w:val="20"/>
              </w:rPr>
              <w:t>4.60</w:t>
            </w:r>
          </w:p>
        </w:tc>
        <w:tc>
          <w:tcPr>
            <w:tcW w:w="606" w:type="pct"/>
            <w:tcBorders>
              <w:top w:val="nil"/>
              <w:bottom w:val="nil"/>
            </w:tcBorders>
            <w:vAlign w:val="center"/>
          </w:tcPr>
          <w:p w:rsidR="00656D3B" w:rsidRDefault="00656D3B">
            <w:pPr>
              <w:jc w:val="center"/>
              <w:rPr>
                <w:rFonts w:cs="Arial"/>
                <w:sz w:val="20"/>
                <w:szCs w:val="20"/>
              </w:rPr>
            </w:pPr>
            <w:r>
              <w:rPr>
                <w:rFonts w:cs="Arial"/>
                <w:sz w:val="20"/>
                <w:szCs w:val="20"/>
              </w:rPr>
              <w:t>5.42</w:t>
            </w:r>
          </w:p>
        </w:tc>
        <w:tc>
          <w:tcPr>
            <w:tcW w:w="532" w:type="pct"/>
            <w:tcBorders>
              <w:top w:val="nil"/>
              <w:bottom w:val="nil"/>
            </w:tcBorders>
            <w:vAlign w:val="center"/>
          </w:tcPr>
          <w:p w:rsidR="00656D3B" w:rsidRDefault="00656D3B">
            <w:pPr>
              <w:jc w:val="center"/>
              <w:rPr>
                <w:rFonts w:cs="Arial"/>
                <w:sz w:val="20"/>
                <w:szCs w:val="20"/>
              </w:rPr>
            </w:pPr>
            <w:r>
              <w:rPr>
                <w:rFonts w:cs="Arial"/>
                <w:sz w:val="20"/>
                <w:szCs w:val="20"/>
              </w:rPr>
              <w:t>4.97</w:t>
            </w:r>
          </w:p>
        </w:tc>
        <w:tc>
          <w:tcPr>
            <w:tcW w:w="525" w:type="pct"/>
            <w:tcBorders>
              <w:top w:val="nil"/>
              <w:bottom w:val="nil"/>
            </w:tcBorders>
            <w:vAlign w:val="center"/>
          </w:tcPr>
          <w:p w:rsidR="00656D3B" w:rsidRDefault="00656D3B">
            <w:pPr>
              <w:jc w:val="center"/>
              <w:rPr>
                <w:rFonts w:cs="Arial"/>
                <w:sz w:val="20"/>
                <w:szCs w:val="20"/>
              </w:rPr>
            </w:pPr>
            <w:r>
              <w:rPr>
                <w:rFonts w:cs="Arial"/>
                <w:sz w:val="20"/>
                <w:szCs w:val="20"/>
              </w:rPr>
              <w:t>4.59</w:t>
            </w:r>
          </w:p>
        </w:tc>
        <w:tc>
          <w:tcPr>
            <w:tcW w:w="522" w:type="pct"/>
            <w:tcBorders>
              <w:top w:val="nil"/>
              <w:bottom w:val="nil"/>
            </w:tcBorders>
            <w:vAlign w:val="center"/>
          </w:tcPr>
          <w:p w:rsidR="00656D3B" w:rsidRDefault="00656D3B">
            <w:pPr>
              <w:jc w:val="center"/>
              <w:rPr>
                <w:rFonts w:cs="Arial"/>
                <w:sz w:val="20"/>
                <w:szCs w:val="20"/>
              </w:rPr>
            </w:pPr>
            <w:r>
              <w:rPr>
                <w:rFonts w:cs="Arial"/>
                <w:sz w:val="20"/>
                <w:szCs w:val="20"/>
              </w:rPr>
              <w:t>3.91</w:t>
            </w:r>
          </w:p>
        </w:tc>
        <w:tc>
          <w:tcPr>
            <w:tcW w:w="595" w:type="pct"/>
            <w:tcBorders>
              <w:top w:val="nil"/>
              <w:bottom w:val="nil"/>
            </w:tcBorders>
            <w:vAlign w:val="center"/>
          </w:tcPr>
          <w:p w:rsidR="00656D3B" w:rsidRDefault="00656D3B">
            <w:pPr>
              <w:jc w:val="center"/>
              <w:rPr>
                <w:rFonts w:cs="Arial"/>
                <w:sz w:val="20"/>
                <w:szCs w:val="20"/>
              </w:rPr>
            </w:pPr>
            <w:r>
              <w:rPr>
                <w:rFonts w:cs="Arial"/>
                <w:sz w:val="20"/>
                <w:szCs w:val="20"/>
              </w:rPr>
              <w:t>3.17</w:t>
            </w:r>
          </w:p>
        </w:tc>
      </w:tr>
      <w:tr w:rsidR="00656D3B"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56D3B" w:rsidRDefault="00656D3B">
            <w:pPr>
              <w:rPr>
                <w:rFonts w:cs="Arial"/>
                <w:sz w:val="20"/>
                <w:szCs w:val="20"/>
              </w:rPr>
            </w:pPr>
            <w:r>
              <w:rPr>
                <w:rFonts w:cs="Arial"/>
                <w:sz w:val="20"/>
                <w:szCs w:val="20"/>
              </w:rPr>
              <w:t>Ex ante quantity (TJ)</w:t>
            </w:r>
          </w:p>
        </w:tc>
        <w:tc>
          <w:tcPr>
            <w:tcW w:w="597" w:type="pct"/>
            <w:tcBorders>
              <w:top w:val="nil"/>
              <w:bottom w:val="nil"/>
            </w:tcBorders>
            <w:vAlign w:val="center"/>
          </w:tcPr>
          <w:p w:rsidR="00656D3B" w:rsidRDefault="00656D3B">
            <w:pPr>
              <w:jc w:val="center"/>
              <w:rPr>
                <w:rFonts w:cs="Arial"/>
                <w:sz w:val="20"/>
                <w:szCs w:val="20"/>
              </w:rPr>
            </w:pPr>
            <w:r>
              <w:rPr>
                <w:rFonts w:cs="Arial"/>
                <w:sz w:val="20"/>
                <w:szCs w:val="20"/>
              </w:rPr>
              <w:t>190</w:t>
            </w:r>
          </w:p>
        </w:tc>
        <w:tc>
          <w:tcPr>
            <w:tcW w:w="523" w:type="pct"/>
            <w:tcBorders>
              <w:top w:val="nil"/>
              <w:bottom w:val="nil"/>
            </w:tcBorders>
            <w:vAlign w:val="center"/>
          </w:tcPr>
          <w:p w:rsidR="00656D3B" w:rsidRDefault="00656D3B">
            <w:pPr>
              <w:jc w:val="center"/>
              <w:rPr>
                <w:rFonts w:cs="Arial"/>
                <w:sz w:val="20"/>
                <w:szCs w:val="20"/>
              </w:rPr>
            </w:pPr>
            <w:r>
              <w:rPr>
                <w:rFonts w:cs="Arial"/>
                <w:sz w:val="20"/>
                <w:szCs w:val="20"/>
              </w:rPr>
              <w:t>213</w:t>
            </w:r>
          </w:p>
        </w:tc>
        <w:tc>
          <w:tcPr>
            <w:tcW w:w="606" w:type="pct"/>
            <w:tcBorders>
              <w:top w:val="nil"/>
              <w:bottom w:val="nil"/>
            </w:tcBorders>
            <w:vAlign w:val="center"/>
          </w:tcPr>
          <w:p w:rsidR="00656D3B" w:rsidRDefault="00656D3B">
            <w:pPr>
              <w:jc w:val="center"/>
              <w:rPr>
                <w:rFonts w:cs="Arial"/>
                <w:sz w:val="20"/>
                <w:szCs w:val="20"/>
              </w:rPr>
            </w:pPr>
            <w:r>
              <w:rPr>
                <w:rFonts w:cs="Arial"/>
                <w:sz w:val="20"/>
                <w:szCs w:val="20"/>
              </w:rPr>
              <w:t>228</w:t>
            </w:r>
          </w:p>
        </w:tc>
        <w:tc>
          <w:tcPr>
            <w:tcW w:w="532" w:type="pct"/>
            <w:tcBorders>
              <w:top w:val="nil"/>
              <w:bottom w:val="nil"/>
            </w:tcBorders>
            <w:vAlign w:val="center"/>
          </w:tcPr>
          <w:p w:rsidR="00656D3B" w:rsidRDefault="00656D3B">
            <w:pPr>
              <w:jc w:val="center"/>
              <w:rPr>
                <w:rFonts w:cs="Arial"/>
                <w:sz w:val="20"/>
                <w:szCs w:val="20"/>
              </w:rPr>
            </w:pPr>
            <w:r>
              <w:rPr>
                <w:rFonts w:cs="Arial"/>
                <w:sz w:val="20"/>
                <w:szCs w:val="20"/>
              </w:rPr>
              <w:t>220</w:t>
            </w:r>
          </w:p>
        </w:tc>
        <w:tc>
          <w:tcPr>
            <w:tcW w:w="525" w:type="pct"/>
            <w:tcBorders>
              <w:top w:val="nil"/>
              <w:bottom w:val="nil"/>
            </w:tcBorders>
            <w:vAlign w:val="center"/>
          </w:tcPr>
          <w:p w:rsidR="00656D3B" w:rsidRDefault="00656D3B">
            <w:pPr>
              <w:jc w:val="center"/>
              <w:rPr>
                <w:rFonts w:cs="Arial"/>
                <w:sz w:val="20"/>
                <w:szCs w:val="20"/>
              </w:rPr>
            </w:pPr>
            <w:r>
              <w:rPr>
                <w:rFonts w:cs="Arial"/>
                <w:sz w:val="20"/>
                <w:szCs w:val="20"/>
              </w:rPr>
              <w:t>218</w:t>
            </w:r>
          </w:p>
        </w:tc>
        <w:tc>
          <w:tcPr>
            <w:tcW w:w="522" w:type="pct"/>
            <w:tcBorders>
              <w:top w:val="nil"/>
              <w:bottom w:val="nil"/>
            </w:tcBorders>
            <w:vAlign w:val="center"/>
          </w:tcPr>
          <w:p w:rsidR="00656D3B" w:rsidRDefault="00656D3B">
            <w:pPr>
              <w:jc w:val="center"/>
              <w:rPr>
                <w:rFonts w:cs="Arial"/>
                <w:sz w:val="20"/>
                <w:szCs w:val="20"/>
              </w:rPr>
            </w:pPr>
            <w:r>
              <w:rPr>
                <w:rFonts w:cs="Arial"/>
                <w:sz w:val="20"/>
                <w:szCs w:val="20"/>
              </w:rPr>
              <w:t>228</w:t>
            </w:r>
          </w:p>
        </w:tc>
        <w:tc>
          <w:tcPr>
            <w:tcW w:w="595" w:type="pct"/>
            <w:tcBorders>
              <w:top w:val="nil"/>
              <w:bottom w:val="nil"/>
            </w:tcBorders>
            <w:vAlign w:val="center"/>
          </w:tcPr>
          <w:p w:rsidR="00656D3B" w:rsidRDefault="00656D3B">
            <w:pPr>
              <w:jc w:val="center"/>
              <w:rPr>
                <w:rFonts w:cs="Arial"/>
                <w:sz w:val="20"/>
                <w:szCs w:val="20"/>
              </w:rPr>
            </w:pPr>
            <w:r>
              <w:rPr>
                <w:rFonts w:cs="Arial"/>
                <w:sz w:val="20"/>
                <w:szCs w:val="20"/>
              </w:rPr>
              <w:t>200</w:t>
            </w:r>
          </w:p>
        </w:tc>
      </w:tr>
      <w:tr w:rsidR="00656D3B" w:rsidRPr="00405CDE" w:rsidTr="00F114D5">
        <w:trPr>
          <w:trHeight w:val="510"/>
        </w:trPr>
        <w:tc>
          <w:tcPr>
            <w:tcW w:w="1100" w:type="pct"/>
            <w:tcBorders>
              <w:top w:val="nil"/>
              <w:bottom w:val="nil"/>
            </w:tcBorders>
            <w:vAlign w:val="center"/>
          </w:tcPr>
          <w:p w:rsidR="00656D3B" w:rsidRDefault="00656D3B">
            <w:pPr>
              <w:rPr>
                <w:rFonts w:cs="Arial"/>
                <w:sz w:val="20"/>
                <w:szCs w:val="20"/>
              </w:rPr>
            </w:pPr>
            <w:r>
              <w:rPr>
                <w:rFonts w:cs="Arial"/>
                <w:sz w:val="20"/>
                <w:szCs w:val="20"/>
              </w:rPr>
              <w:t>Ex post price ($/GJ)</w:t>
            </w:r>
          </w:p>
        </w:tc>
        <w:tc>
          <w:tcPr>
            <w:tcW w:w="597" w:type="pct"/>
            <w:tcBorders>
              <w:top w:val="nil"/>
              <w:bottom w:val="nil"/>
            </w:tcBorders>
            <w:vAlign w:val="center"/>
          </w:tcPr>
          <w:p w:rsidR="00656D3B" w:rsidRDefault="00656D3B">
            <w:pPr>
              <w:jc w:val="center"/>
              <w:rPr>
                <w:rFonts w:cs="Arial"/>
                <w:sz w:val="20"/>
                <w:szCs w:val="20"/>
              </w:rPr>
            </w:pPr>
            <w:r>
              <w:rPr>
                <w:rFonts w:cs="Arial"/>
                <w:sz w:val="20"/>
                <w:szCs w:val="20"/>
              </w:rPr>
              <w:t>4.50</w:t>
            </w:r>
          </w:p>
        </w:tc>
        <w:tc>
          <w:tcPr>
            <w:tcW w:w="523" w:type="pct"/>
            <w:tcBorders>
              <w:top w:val="nil"/>
              <w:bottom w:val="nil"/>
            </w:tcBorders>
            <w:vAlign w:val="center"/>
          </w:tcPr>
          <w:p w:rsidR="00656D3B" w:rsidRDefault="00656D3B">
            <w:pPr>
              <w:jc w:val="center"/>
              <w:rPr>
                <w:rFonts w:cs="Arial"/>
                <w:sz w:val="20"/>
                <w:szCs w:val="20"/>
              </w:rPr>
            </w:pPr>
            <w:r>
              <w:rPr>
                <w:rFonts w:cs="Arial"/>
                <w:sz w:val="20"/>
                <w:szCs w:val="20"/>
              </w:rPr>
              <w:t>4.50</w:t>
            </w:r>
          </w:p>
        </w:tc>
        <w:tc>
          <w:tcPr>
            <w:tcW w:w="606" w:type="pct"/>
            <w:tcBorders>
              <w:top w:val="nil"/>
              <w:bottom w:val="nil"/>
            </w:tcBorders>
            <w:vAlign w:val="center"/>
          </w:tcPr>
          <w:p w:rsidR="00656D3B" w:rsidRDefault="00656D3B">
            <w:pPr>
              <w:jc w:val="center"/>
              <w:rPr>
                <w:rFonts w:cs="Arial"/>
                <w:sz w:val="20"/>
                <w:szCs w:val="20"/>
              </w:rPr>
            </w:pPr>
            <w:r>
              <w:rPr>
                <w:rFonts w:cs="Arial"/>
                <w:sz w:val="20"/>
                <w:szCs w:val="20"/>
              </w:rPr>
              <w:t>5.02</w:t>
            </w:r>
          </w:p>
        </w:tc>
        <w:tc>
          <w:tcPr>
            <w:tcW w:w="532" w:type="pct"/>
            <w:tcBorders>
              <w:top w:val="nil"/>
              <w:bottom w:val="nil"/>
            </w:tcBorders>
            <w:vAlign w:val="center"/>
          </w:tcPr>
          <w:p w:rsidR="00656D3B" w:rsidRDefault="00656D3B">
            <w:pPr>
              <w:jc w:val="center"/>
              <w:rPr>
                <w:rFonts w:cs="Arial"/>
                <w:sz w:val="20"/>
                <w:szCs w:val="20"/>
              </w:rPr>
            </w:pPr>
            <w:r>
              <w:rPr>
                <w:rFonts w:cs="Arial"/>
                <w:sz w:val="20"/>
                <w:szCs w:val="20"/>
              </w:rPr>
              <w:t>4.29</w:t>
            </w:r>
          </w:p>
        </w:tc>
        <w:tc>
          <w:tcPr>
            <w:tcW w:w="525" w:type="pct"/>
            <w:tcBorders>
              <w:top w:val="nil"/>
              <w:bottom w:val="nil"/>
            </w:tcBorders>
            <w:vAlign w:val="center"/>
          </w:tcPr>
          <w:p w:rsidR="00656D3B" w:rsidRDefault="00656D3B">
            <w:pPr>
              <w:jc w:val="center"/>
              <w:rPr>
                <w:rFonts w:cs="Arial"/>
                <w:sz w:val="20"/>
                <w:szCs w:val="20"/>
              </w:rPr>
            </w:pPr>
            <w:r>
              <w:rPr>
                <w:rFonts w:cs="Arial"/>
                <w:sz w:val="20"/>
                <w:szCs w:val="20"/>
              </w:rPr>
              <w:t>3.91</w:t>
            </w:r>
          </w:p>
        </w:tc>
        <w:tc>
          <w:tcPr>
            <w:tcW w:w="522" w:type="pct"/>
            <w:tcBorders>
              <w:top w:val="nil"/>
              <w:bottom w:val="nil"/>
            </w:tcBorders>
            <w:vAlign w:val="center"/>
          </w:tcPr>
          <w:p w:rsidR="00656D3B" w:rsidRDefault="00656D3B">
            <w:pPr>
              <w:jc w:val="center"/>
              <w:rPr>
                <w:rFonts w:cs="Arial"/>
                <w:sz w:val="20"/>
                <w:szCs w:val="20"/>
              </w:rPr>
            </w:pPr>
            <w:r>
              <w:rPr>
                <w:rFonts w:cs="Arial"/>
                <w:sz w:val="20"/>
                <w:szCs w:val="20"/>
              </w:rPr>
              <w:t>3.15</w:t>
            </w:r>
          </w:p>
        </w:tc>
        <w:tc>
          <w:tcPr>
            <w:tcW w:w="595" w:type="pct"/>
            <w:tcBorders>
              <w:top w:val="nil"/>
              <w:bottom w:val="nil"/>
            </w:tcBorders>
            <w:vAlign w:val="center"/>
          </w:tcPr>
          <w:p w:rsidR="00656D3B" w:rsidRDefault="00656D3B">
            <w:pPr>
              <w:jc w:val="center"/>
              <w:rPr>
                <w:rFonts w:cs="Arial"/>
                <w:sz w:val="20"/>
                <w:szCs w:val="20"/>
              </w:rPr>
            </w:pPr>
            <w:r>
              <w:rPr>
                <w:rFonts w:cs="Arial"/>
                <w:sz w:val="20"/>
                <w:szCs w:val="20"/>
              </w:rPr>
              <w:t>3.17</w:t>
            </w:r>
          </w:p>
        </w:tc>
      </w:tr>
      <w:tr w:rsidR="00656D3B"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56D3B" w:rsidRDefault="00656D3B">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194</w:t>
            </w:r>
          </w:p>
        </w:tc>
        <w:tc>
          <w:tcPr>
            <w:tcW w:w="523"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205</w:t>
            </w:r>
          </w:p>
        </w:tc>
        <w:tc>
          <w:tcPr>
            <w:tcW w:w="606"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223</w:t>
            </w:r>
          </w:p>
        </w:tc>
        <w:tc>
          <w:tcPr>
            <w:tcW w:w="532"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211</w:t>
            </w:r>
          </w:p>
        </w:tc>
        <w:tc>
          <w:tcPr>
            <w:tcW w:w="525"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209</w:t>
            </w:r>
          </w:p>
        </w:tc>
        <w:tc>
          <w:tcPr>
            <w:tcW w:w="522"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205</w:t>
            </w:r>
          </w:p>
        </w:tc>
        <w:tc>
          <w:tcPr>
            <w:tcW w:w="595"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197</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E92A99" w:rsidP="00362B9A">
      <w:r>
        <w:pict>
          <v:shape id="_x0000_i1035" type="#_x0000_t75" alt="Figure 2.2 shows the daily hub offers and bid in within certain price bands in Sydney this week. The line indicates the scheduled quantity for each day. For a more detailed description of this figure, please refer to the user guide.&#10;" style="width:475.85pt;height:170.3pt">
            <v:imagedata r:id="rId24"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E92A99" w:rsidP="00362B9A">
      <w:r>
        <w:pict>
          <v:shape id="_x0000_i1036" type="#_x0000_t75" alt="Figure 2.3 shows the daily scheduled and allocated quantities sorted by facility for Sydney this week. For a more detailed description of this figure, please refer to the user guide." style="width:477.7pt;height:212.85pt">
            <v:imagedata r:id="rId25"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E92A99" w:rsidP="00362B9A">
      <w:r>
        <w:pict>
          <v:shape id="_x0000_i1037" type="#_x0000_t75" alt="Figure 2.4 shows the daily MOS allocations sorted by facility for each facility in Sydney this week. The figure also shows the daily breakdown of costs associated with the MOS provided. For a more detailed description of this figure, please refer to the user guide.&#10;" style="width:475.85pt;height:179.7pt">
            <v:imagedata r:id="rId26"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723BEF">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656D3B" w:rsidRPr="00405CDE" w:rsidTr="00723BEF">
        <w:trPr>
          <w:trHeight w:val="510"/>
        </w:trPr>
        <w:tc>
          <w:tcPr>
            <w:tcW w:w="1100" w:type="pct"/>
            <w:tcBorders>
              <w:top w:val="nil"/>
              <w:bottom w:val="nil"/>
            </w:tcBorders>
            <w:vAlign w:val="center"/>
          </w:tcPr>
          <w:p w:rsidR="00656D3B" w:rsidRDefault="00656D3B">
            <w:pPr>
              <w:rPr>
                <w:rFonts w:cs="Arial"/>
                <w:sz w:val="20"/>
                <w:szCs w:val="20"/>
              </w:rPr>
            </w:pPr>
            <w:r>
              <w:rPr>
                <w:rFonts w:cs="Arial"/>
                <w:sz w:val="20"/>
                <w:szCs w:val="20"/>
              </w:rPr>
              <w:t>Ex ante price ($/GJ)</w:t>
            </w:r>
          </w:p>
        </w:tc>
        <w:tc>
          <w:tcPr>
            <w:tcW w:w="597" w:type="pct"/>
            <w:tcBorders>
              <w:top w:val="nil"/>
              <w:bottom w:val="nil"/>
            </w:tcBorders>
            <w:vAlign w:val="center"/>
          </w:tcPr>
          <w:p w:rsidR="00656D3B" w:rsidRDefault="00656D3B">
            <w:pPr>
              <w:jc w:val="center"/>
              <w:rPr>
                <w:rFonts w:cs="Arial"/>
                <w:sz w:val="20"/>
                <w:szCs w:val="20"/>
              </w:rPr>
            </w:pPr>
            <w:r>
              <w:rPr>
                <w:rFonts w:cs="Arial"/>
                <w:sz w:val="20"/>
                <w:szCs w:val="20"/>
              </w:rPr>
              <w:t>3.86</w:t>
            </w:r>
          </w:p>
        </w:tc>
        <w:tc>
          <w:tcPr>
            <w:tcW w:w="523" w:type="pct"/>
            <w:tcBorders>
              <w:top w:val="nil"/>
              <w:bottom w:val="nil"/>
            </w:tcBorders>
            <w:vAlign w:val="center"/>
          </w:tcPr>
          <w:p w:rsidR="00656D3B" w:rsidRDefault="00656D3B">
            <w:pPr>
              <w:jc w:val="center"/>
              <w:rPr>
                <w:rFonts w:cs="Arial"/>
                <w:sz w:val="20"/>
                <w:szCs w:val="20"/>
              </w:rPr>
            </w:pPr>
            <w:r>
              <w:rPr>
                <w:rFonts w:cs="Arial"/>
                <w:sz w:val="20"/>
                <w:szCs w:val="20"/>
              </w:rPr>
              <w:t>3.96</w:t>
            </w:r>
          </w:p>
        </w:tc>
        <w:tc>
          <w:tcPr>
            <w:tcW w:w="606" w:type="pct"/>
            <w:tcBorders>
              <w:top w:val="nil"/>
              <w:bottom w:val="nil"/>
            </w:tcBorders>
            <w:vAlign w:val="center"/>
          </w:tcPr>
          <w:p w:rsidR="00656D3B" w:rsidRDefault="00656D3B">
            <w:pPr>
              <w:jc w:val="center"/>
              <w:rPr>
                <w:rFonts w:cs="Arial"/>
                <w:sz w:val="20"/>
                <w:szCs w:val="20"/>
              </w:rPr>
            </w:pPr>
            <w:r>
              <w:rPr>
                <w:rFonts w:cs="Arial"/>
                <w:sz w:val="20"/>
                <w:szCs w:val="20"/>
              </w:rPr>
              <w:t>4.60</w:t>
            </w:r>
          </w:p>
        </w:tc>
        <w:tc>
          <w:tcPr>
            <w:tcW w:w="532" w:type="pct"/>
            <w:tcBorders>
              <w:top w:val="nil"/>
              <w:bottom w:val="nil"/>
            </w:tcBorders>
            <w:vAlign w:val="center"/>
          </w:tcPr>
          <w:p w:rsidR="00656D3B" w:rsidRDefault="00656D3B">
            <w:pPr>
              <w:jc w:val="center"/>
              <w:rPr>
                <w:rFonts w:cs="Arial"/>
                <w:sz w:val="20"/>
                <w:szCs w:val="20"/>
              </w:rPr>
            </w:pPr>
            <w:r>
              <w:rPr>
                <w:rFonts w:cs="Arial"/>
                <w:sz w:val="20"/>
                <w:szCs w:val="20"/>
              </w:rPr>
              <w:t>4.25</w:t>
            </w:r>
          </w:p>
        </w:tc>
        <w:tc>
          <w:tcPr>
            <w:tcW w:w="525" w:type="pct"/>
            <w:tcBorders>
              <w:top w:val="nil"/>
              <w:bottom w:val="nil"/>
            </w:tcBorders>
            <w:vAlign w:val="center"/>
          </w:tcPr>
          <w:p w:rsidR="00656D3B" w:rsidRDefault="00656D3B">
            <w:pPr>
              <w:jc w:val="center"/>
              <w:rPr>
                <w:rFonts w:cs="Arial"/>
                <w:sz w:val="20"/>
                <w:szCs w:val="20"/>
              </w:rPr>
            </w:pPr>
            <w:r>
              <w:rPr>
                <w:rFonts w:cs="Arial"/>
                <w:sz w:val="20"/>
                <w:szCs w:val="20"/>
              </w:rPr>
              <w:t>4.55</w:t>
            </w:r>
          </w:p>
        </w:tc>
        <w:tc>
          <w:tcPr>
            <w:tcW w:w="522" w:type="pct"/>
            <w:tcBorders>
              <w:top w:val="nil"/>
              <w:bottom w:val="nil"/>
            </w:tcBorders>
            <w:vAlign w:val="center"/>
          </w:tcPr>
          <w:p w:rsidR="00656D3B" w:rsidRDefault="00656D3B">
            <w:pPr>
              <w:jc w:val="center"/>
              <w:rPr>
                <w:rFonts w:cs="Arial"/>
                <w:sz w:val="20"/>
                <w:szCs w:val="20"/>
              </w:rPr>
            </w:pPr>
            <w:r>
              <w:rPr>
                <w:rFonts w:cs="Arial"/>
                <w:sz w:val="20"/>
                <w:szCs w:val="20"/>
              </w:rPr>
              <w:t>4.53</w:t>
            </w:r>
          </w:p>
        </w:tc>
        <w:tc>
          <w:tcPr>
            <w:tcW w:w="595" w:type="pct"/>
            <w:tcBorders>
              <w:top w:val="nil"/>
              <w:bottom w:val="nil"/>
            </w:tcBorders>
            <w:vAlign w:val="center"/>
          </w:tcPr>
          <w:p w:rsidR="00656D3B" w:rsidRDefault="00656D3B">
            <w:pPr>
              <w:jc w:val="center"/>
              <w:rPr>
                <w:rFonts w:cs="Arial"/>
                <w:sz w:val="20"/>
                <w:szCs w:val="20"/>
              </w:rPr>
            </w:pPr>
            <w:r>
              <w:rPr>
                <w:rFonts w:cs="Arial"/>
                <w:sz w:val="20"/>
                <w:szCs w:val="20"/>
              </w:rPr>
              <w:t>4.53</w:t>
            </w:r>
          </w:p>
        </w:tc>
      </w:tr>
      <w:tr w:rsidR="00656D3B"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56D3B" w:rsidRDefault="00656D3B">
            <w:pPr>
              <w:rPr>
                <w:rFonts w:cs="Arial"/>
                <w:sz w:val="20"/>
                <w:szCs w:val="20"/>
              </w:rPr>
            </w:pPr>
            <w:r>
              <w:rPr>
                <w:rFonts w:cs="Arial"/>
                <w:sz w:val="20"/>
                <w:szCs w:val="20"/>
              </w:rPr>
              <w:t>Ex ante quantity (TJ)</w:t>
            </w:r>
          </w:p>
        </w:tc>
        <w:tc>
          <w:tcPr>
            <w:tcW w:w="597" w:type="pct"/>
            <w:tcBorders>
              <w:top w:val="nil"/>
              <w:bottom w:val="nil"/>
            </w:tcBorders>
            <w:vAlign w:val="center"/>
          </w:tcPr>
          <w:p w:rsidR="00656D3B" w:rsidRDefault="00656D3B">
            <w:pPr>
              <w:jc w:val="center"/>
              <w:rPr>
                <w:rFonts w:cs="Arial"/>
                <w:sz w:val="20"/>
                <w:szCs w:val="20"/>
              </w:rPr>
            </w:pPr>
            <w:r>
              <w:rPr>
                <w:rFonts w:cs="Arial"/>
                <w:sz w:val="20"/>
                <w:szCs w:val="20"/>
              </w:rPr>
              <w:t>44</w:t>
            </w:r>
          </w:p>
        </w:tc>
        <w:tc>
          <w:tcPr>
            <w:tcW w:w="523" w:type="pct"/>
            <w:tcBorders>
              <w:top w:val="nil"/>
              <w:bottom w:val="nil"/>
            </w:tcBorders>
            <w:vAlign w:val="center"/>
          </w:tcPr>
          <w:p w:rsidR="00656D3B" w:rsidRDefault="00656D3B">
            <w:pPr>
              <w:jc w:val="center"/>
              <w:rPr>
                <w:rFonts w:cs="Arial"/>
                <w:sz w:val="20"/>
                <w:szCs w:val="20"/>
              </w:rPr>
            </w:pPr>
            <w:r>
              <w:rPr>
                <w:rFonts w:cs="Arial"/>
                <w:sz w:val="20"/>
                <w:szCs w:val="20"/>
              </w:rPr>
              <w:t>57</w:t>
            </w:r>
          </w:p>
        </w:tc>
        <w:tc>
          <w:tcPr>
            <w:tcW w:w="606" w:type="pct"/>
            <w:tcBorders>
              <w:top w:val="nil"/>
              <w:bottom w:val="nil"/>
            </w:tcBorders>
            <w:vAlign w:val="center"/>
          </w:tcPr>
          <w:p w:rsidR="00656D3B" w:rsidRDefault="00656D3B">
            <w:pPr>
              <w:jc w:val="center"/>
              <w:rPr>
                <w:rFonts w:cs="Arial"/>
                <w:sz w:val="20"/>
                <w:szCs w:val="20"/>
              </w:rPr>
            </w:pPr>
            <w:r>
              <w:rPr>
                <w:rFonts w:cs="Arial"/>
                <w:sz w:val="20"/>
                <w:szCs w:val="20"/>
              </w:rPr>
              <w:t>53</w:t>
            </w:r>
          </w:p>
        </w:tc>
        <w:tc>
          <w:tcPr>
            <w:tcW w:w="532" w:type="pct"/>
            <w:tcBorders>
              <w:top w:val="nil"/>
              <w:bottom w:val="nil"/>
            </w:tcBorders>
            <w:vAlign w:val="center"/>
          </w:tcPr>
          <w:p w:rsidR="00656D3B" w:rsidRDefault="00656D3B">
            <w:pPr>
              <w:jc w:val="center"/>
              <w:rPr>
                <w:rFonts w:cs="Arial"/>
                <w:sz w:val="20"/>
                <w:szCs w:val="20"/>
              </w:rPr>
            </w:pPr>
            <w:r>
              <w:rPr>
                <w:rFonts w:cs="Arial"/>
                <w:sz w:val="20"/>
                <w:szCs w:val="20"/>
              </w:rPr>
              <w:t>51</w:t>
            </w:r>
          </w:p>
        </w:tc>
        <w:tc>
          <w:tcPr>
            <w:tcW w:w="525" w:type="pct"/>
            <w:tcBorders>
              <w:top w:val="nil"/>
              <w:bottom w:val="nil"/>
            </w:tcBorders>
            <w:vAlign w:val="center"/>
          </w:tcPr>
          <w:p w:rsidR="00656D3B" w:rsidRDefault="00656D3B">
            <w:pPr>
              <w:jc w:val="center"/>
              <w:rPr>
                <w:rFonts w:cs="Arial"/>
                <w:sz w:val="20"/>
                <w:szCs w:val="20"/>
              </w:rPr>
            </w:pPr>
            <w:r>
              <w:rPr>
                <w:rFonts w:cs="Arial"/>
                <w:sz w:val="20"/>
                <w:szCs w:val="20"/>
              </w:rPr>
              <w:t>59</w:t>
            </w:r>
          </w:p>
        </w:tc>
        <w:tc>
          <w:tcPr>
            <w:tcW w:w="522" w:type="pct"/>
            <w:tcBorders>
              <w:top w:val="nil"/>
              <w:bottom w:val="nil"/>
            </w:tcBorders>
            <w:vAlign w:val="center"/>
          </w:tcPr>
          <w:p w:rsidR="00656D3B" w:rsidRDefault="00656D3B">
            <w:pPr>
              <w:jc w:val="center"/>
              <w:rPr>
                <w:rFonts w:cs="Arial"/>
                <w:sz w:val="20"/>
                <w:szCs w:val="20"/>
              </w:rPr>
            </w:pPr>
            <w:r>
              <w:rPr>
                <w:rFonts w:cs="Arial"/>
                <w:sz w:val="20"/>
                <w:szCs w:val="20"/>
              </w:rPr>
              <w:t>54</w:t>
            </w:r>
          </w:p>
        </w:tc>
        <w:tc>
          <w:tcPr>
            <w:tcW w:w="595" w:type="pct"/>
            <w:tcBorders>
              <w:top w:val="nil"/>
              <w:bottom w:val="nil"/>
            </w:tcBorders>
            <w:vAlign w:val="center"/>
          </w:tcPr>
          <w:p w:rsidR="00656D3B" w:rsidRDefault="00656D3B">
            <w:pPr>
              <w:jc w:val="center"/>
              <w:rPr>
                <w:rFonts w:cs="Arial"/>
                <w:sz w:val="20"/>
                <w:szCs w:val="20"/>
              </w:rPr>
            </w:pPr>
            <w:r>
              <w:rPr>
                <w:rFonts w:cs="Arial"/>
                <w:sz w:val="20"/>
                <w:szCs w:val="20"/>
              </w:rPr>
              <w:t>43</w:t>
            </w:r>
          </w:p>
        </w:tc>
      </w:tr>
      <w:tr w:rsidR="00656D3B" w:rsidRPr="00405CDE" w:rsidTr="00723BEF">
        <w:trPr>
          <w:trHeight w:val="510"/>
        </w:trPr>
        <w:tc>
          <w:tcPr>
            <w:tcW w:w="1100" w:type="pct"/>
            <w:tcBorders>
              <w:top w:val="nil"/>
              <w:bottom w:val="nil"/>
            </w:tcBorders>
            <w:vAlign w:val="center"/>
          </w:tcPr>
          <w:p w:rsidR="00656D3B" w:rsidRDefault="00656D3B">
            <w:pPr>
              <w:rPr>
                <w:rFonts w:cs="Arial"/>
                <w:sz w:val="20"/>
                <w:szCs w:val="20"/>
              </w:rPr>
            </w:pPr>
            <w:r>
              <w:rPr>
                <w:rFonts w:cs="Arial"/>
                <w:sz w:val="20"/>
                <w:szCs w:val="20"/>
              </w:rPr>
              <w:t>Ex post price ($/GJ)</w:t>
            </w:r>
          </w:p>
        </w:tc>
        <w:tc>
          <w:tcPr>
            <w:tcW w:w="597" w:type="pct"/>
            <w:tcBorders>
              <w:top w:val="nil"/>
              <w:bottom w:val="nil"/>
            </w:tcBorders>
            <w:vAlign w:val="center"/>
          </w:tcPr>
          <w:p w:rsidR="00656D3B" w:rsidRDefault="00656D3B">
            <w:pPr>
              <w:jc w:val="center"/>
              <w:rPr>
                <w:rFonts w:cs="Arial"/>
                <w:sz w:val="20"/>
                <w:szCs w:val="20"/>
              </w:rPr>
            </w:pPr>
            <w:r>
              <w:rPr>
                <w:rFonts w:cs="Arial"/>
                <w:sz w:val="20"/>
                <w:szCs w:val="20"/>
              </w:rPr>
              <w:t>3.80</w:t>
            </w:r>
          </w:p>
        </w:tc>
        <w:tc>
          <w:tcPr>
            <w:tcW w:w="523" w:type="pct"/>
            <w:tcBorders>
              <w:top w:val="nil"/>
              <w:bottom w:val="nil"/>
            </w:tcBorders>
            <w:vAlign w:val="center"/>
          </w:tcPr>
          <w:p w:rsidR="00656D3B" w:rsidRDefault="00656D3B">
            <w:pPr>
              <w:jc w:val="center"/>
              <w:rPr>
                <w:rFonts w:cs="Arial"/>
                <w:sz w:val="20"/>
                <w:szCs w:val="20"/>
              </w:rPr>
            </w:pPr>
            <w:r>
              <w:rPr>
                <w:rFonts w:cs="Arial"/>
                <w:sz w:val="20"/>
                <w:szCs w:val="20"/>
              </w:rPr>
              <w:t>3.96</w:t>
            </w:r>
          </w:p>
        </w:tc>
        <w:tc>
          <w:tcPr>
            <w:tcW w:w="606" w:type="pct"/>
            <w:tcBorders>
              <w:top w:val="nil"/>
              <w:bottom w:val="nil"/>
            </w:tcBorders>
            <w:vAlign w:val="center"/>
          </w:tcPr>
          <w:p w:rsidR="00656D3B" w:rsidRDefault="00656D3B">
            <w:pPr>
              <w:jc w:val="center"/>
              <w:rPr>
                <w:rFonts w:cs="Arial"/>
                <w:sz w:val="20"/>
                <w:szCs w:val="20"/>
              </w:rPr>
            </w:pPr>
            <w:r>
              <w:rPr>
                <w:rFonts w:cs="Arial"/>
                <w:sz w:val="20"/>
                <w:szCs w:val="20"/>
              </w:rPr>
              <w:t>5.07</w:t>
            </w:r>
          </w:p>
        </w:tc>
        <w:tc>
          <w:tcPr>
            <w:tcW w:w="532" w:type="pct"/>
            <w:tcBorders>
              <w:top w:val="nil"/>
              <w:bottom w:val="nil"/>
            </w:tcBorders>
            <w:vAlign w:val="center"/>
          </w:tcPr>
          <w:p w:rsidR="00656D3B" w:rsidRDefault="00656D3B">
            <w:pPr>
              <w:jc w:val="center"/>
              <w:rPr>
                <w:rFonts w:cs="Arial"/>
                <w:sz w:val="20"/>
                <w:szCs w:val="20"/>
              </w:rPr>
            </w:pPr>
            <w:r>
              <w:rPr>
                <w:rFonts w:cs="Arial"/>
                <w:sz w:val="20"/>
                <w:szCs w:val="20"/>
              </w:rPr>
              <w:t>4.27</w:t>
            </w:r>
          </w:p>
        </w:tc>
        <w:tc>
          <w:tcPr>
            <w:tcW w:w="525" w:type="pct"/>
            <w:tcBorders>
              <w:top w:val="nil"/>
              <w:bottom w:val="nil"/>
            </w:tcBorders>
            <w:vAlign w:val="center"/>
          </w:tcPr>
          <w:p w:rsidR="00656D3B" w:rsidRDefault="00656D3B">
            <w:pPr>
              <w:jc w:val="center"/>
              <w:rPr>
                <w:rFonts w:cs="Arial"/>
                <w:sz w:val="20"/>
                <w:szCs w:val="20"/>
              </w:rPr>
            </w:pPr>
            <w:r>
              <w:rPr>
                <w:rFonts w:cs="Arial"/>
                <w:sz w:val="20"/>
                <w:szCs w:val="20"/>
              </w:rPr>
              <w:t>4.98</w:t>
            </w:r>
          </w:p>
        </w:tc>
        <w:tc>
          <w:tcPr>
            <w:tcW w:w="522" w:type="pct"/>
            <w:tcBorders>
              <w:top w:val="nil"/>
              <w:bottom w:val="nil"/>
            </w:tcBorders>
            <w:vAlign w:val="center"/>
          </w:tcPr>
          <w:p w:rsidR="00656D3B" w:rsidRDefault="00656D3B">
            <w:pPr>
              <w:jc w:val="center"/>
              <w:rPr>
                <w:rFonts w:cs="Arial"/>
                <w:sz w:val="20"/>
                <w:szCs w:val="20"/>
              </w:rPr>
            </w:pPr>
            <w:r>
              <w:rPr>
                <w:rFonts w:cs="Arial"/>
                <w:sz w:val="20"/>
                <w:szCs w:val="20"/>
              </w:rPr>
              <w:t>4.98</w:t>
            </w:r>
          </w:p>
        </w:tc>
        <w:tc>
          <w:tcPr>
            <w:tcW w:w="595" w:type="pct"/>
            <w:tcBorders>
              <w:top w:val="nil"/>
              <w:bottom w:val="nil"/>
            </w:tcBorders>
            <w:vAlign w:val="center"/>
          </w:tcPr>
          <w:p w:rsidR="00656D3B" w:rsidRDefault="00656D3B">
            <w:pPr>
              <w:jc w:val="center"/>
              <w:rPr>
                <w:rFonts w:cs="Arial"/>
                <w:sz w:val="20"/>
                <w:szCs w:val="20"/>
              </w:rPr>
            </w:pPr>
            <w:r>
              <w:rPr>
                <w:rFonts w:cs="Arial"/>
                <w:sz w:val="20"/>
                <w:szCs w:val="20"/>
              </w:rPr>
              <w:t>4.96</w:t>
            </w:r>
          </w:p>
        </w:tc>
      </w:tr>
      <w:tr w:rsidR="00656D3B"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56D3B" w:rsidRDefault="00656D3B">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44</w:t>
            </w:r>
          </w:p>
        </w:tc>
        <w:tc>
          <w:tcPr>
            <w:tcW w:w="523"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56</w:t>
            </w:r>
          </w:p>
        </w:tc>
        <w:tc>
          <w:tcPr>
            <w:tcW w:w="606"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60</w:t>
            </w:r>
          </w:p>
        </w:tc>
        <w:tc>
          <w:tcPr>
            <w:tcW w:w="532"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53</w:t>
            </w:r>
          </w:p>
        </w:tc>
        <w:tc>
          <w:tcPr>
            <w:tcW w:w="525"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67</w:t>
            </w:r>
          </w:p>
        </w:tc>
        <w:tc>
          <w:tcPr>
            <w:tcW w:w="522"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65</w:t>
            </w:r>
          </w:p>
        </w:tc>
        <w:tc>
          <w:tcPr>
            <w:tcW w:w="595"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54</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E92A99" w:rsidP="00362B9A">
      <w:r>
        <w:pict>
          <v:shape id="_x0000_i1038" type="#_x0000_t75" alt="Figure 3.2 shows the daily hub offers and bid in within certain price bands in Adelaide this week. The line indicates the scheduled quantity for each day. For a more detailed description of this figure, please refer to the user guide." style="width:475.85pt;height:170.3pt;mso-position-vertical:absolute">
            <v:imagedata r:id="rId27"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E92A99" w:rsidP="00362B9A">
      <w:r>
        <w:pict>
          <v:shape id="_x0000_i1039" type="#_x0000_t75" alt="Figure 3.3 shows the daily scheduled and allocated quantities sorted by facility for Adelaide this week. For a more detailed description of this figure, please refer to the user guide.&#10;" style="width:477.7pt;height:105.8pt">
            <v:imagedata r:id="rId28"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E92A99" w:rsidP="00362B9A">
      <w:r>
        <w:pict>
          <v:shape id="_x0000_i1040"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45pt;height:149.65pt">
            <v:imagedata r:id="rId29"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723BEF">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656D3B" w:rsidRPr="00405CDE" w:rsidTr="00723BEF">
        <w:trPr>
          <w:trHeight w:val="510"/>
        </w:trPr>
        <w:tc>
          <w:tcPr>
            <w:tcW w:w="1100" w:type="pct"/>
            <w:tcBorders>
              <w:top w:val="nil"/>
              <w:bottom w:val="nil"/>
            </w:tcBorders>
            <w:vAlign w:val="center"/>
          </w:tcPr>
          <w:p w:rsidR="00656D3B" w:rsidRDefault="00656D3B">
            <w:pPr>
              <w:rPr>
                <w:rFonts w:cs="Arial"/>
                <w:sz w:val="20"/>
                <w:szCs w:val="20"/>
              </w:rPr>
            </w:pPr>
            <w:r>
              <w:rPr>
                <w:rFonts w:cs="Arial"/>
                <w:sz w:val="20"/>
                <w:szCs w:val="20"/>
              </w:rPr>
              <w:t>Ex ante price ($/GJ)</w:t>
            </w:r>
          </w:p>
        </w:tc>
        <w:tc>
          <w:tcPr>
            <w:tcW w:w="597" w:type="pct"/>
            <w:tcBorders>
              <w:top w:val="nil"/>
              <w:bottom w:val="nil"/>
            </w:tcBorders>
            <w:vAlign w:val="center"/>
          </w:tcPr>
          <w:p w:rsidR="00656D3B" w:rsidRDefault="00656D3B">
            <w:pPr>
              <w:jc w:val="center"/>
              <w:rPr>
                <w:rFonts w:cs="Arial"/>
                <w:sz w:val="20"/>
                <w:szCs w:val="20"/>
              </w:rPr>
            </w:pPr>
            <w:r>
              <w:rPr>
                <w:rFonts w:cs="Arial"/>
                <w:sz w:val="20"/>
                <w:szCs w:val="20"/>
              </w:rPr>
              <w:t>2.62</w:t>
            </w:r>
          </w:p>
        </w:tc>
        <w:tc>
          <w:tcPr>
            <w:tcW w:w="523" w:type="pct"/>
            <w:tcBorders>
              <w:top w:val="nil"/>
              <w:bottom w:val="nil"/>
            </w:tcBorders>
            <w:vAlign w:val="center"/>
          </w:tcPr>
          <w:p w:rsidR="00656D3B" w:rsidRDefault="00656D3B">
            <w:pPr>
              <w:jc w:val="center"/>
              <w:rPr>
                <w:rFonts w:cs="Arial"/>
                <w:sz w:val="20"/>
                <w:szCs w:val="20"/>
              </w:rPr>
            </w:pPr>
            <w:r>
              <w:rPr>
                <w:rFonts w:cs="Arial"/>
                <w:sz w:val="20"/>
                <w:szCs w:val="20"/>
              </w:rPr>
              <w:t>4.17</w:t>
            </w:r>
          </w:p>
        </w:tc>
        <w:tc>
          <w:tcPr>
            <w:tcW w:w="606" w:type="pct"/>
            <w:tcBorders>
              <w:top w:val="nil"/>
              <w:bottom w:val="nil"/>
            </w:tcBorders>
            <w:vAlign w:val="center"/>
          </w:tcPr>
          <w:p w:rsidR="00656D3B" w:rsidRDefault="00656D3B">
            <w:pPr>
              <w:jc w:val="center"/>
              <w:rPr>
                <w:rFonts w:cs="Arial"/>
                <w:sz w:val="20"/>
                <w:szCs w:val="20"/>
              </w:rPr>
            </w:pPr>
            <w:r>
              <w:rPr>
                <w:rFonts w:cs="Arial"/>
                <w:sz w:val="20"/>
                <w:szCs w:val="20"/>
              </w:rPr>
              <w:t>3.85</w:t>
            </w:r>
          </w:p>
        </w:tc>
        <w:tc>
          <w:tcPr>
            <w:tcW w:w="532" w:type="pct"/>
            <w:tcBorders>
              <w:top w:val="nil"/>
              <w:bottom w:val="nil"/>
            </w:tcBorders>
            <w:vAlign w:val="center"/>
          </w:tcPr>
          <w:p w:rsidR="00656D3B" w:rsidRDefault="00656D3B">
            <w:pPr>
              <w:jc w:val="center"/>
              <w:rPr>
                <w:rFonts w:cs="Arial"/>
                <w:sz w:val="20"/>
                <w:szCs w:val="20"/>
              </w:rPr>
            </w:pPr>
            <w:r>
              <w:rPr>
                <w:rFonts w:cs="Arial"/>
                <w:sz w:val="20"/>
                <w:szCs w:val="20"/>
              </w:rPr>
              <w:t>4.18</w:t>
            </w:r>
          </w:p>
        </w:tc>
        <w:tc>
          <w:tcPr>
            <w:tcW w:w="525" w:type="pct"/>
            <w:tcBorders>
              <w:top w:val="nil"/>
              <w:bottom w:val="nil"/>
            </w:tcBorders>
            <w:vAlign w:val="center"/>
          </w:tcPr>
          <w:p w:rsidR="00656D3B" w:rsidRDefault="00656D3B">
            <w:pPr>
              <w:jc w:val="center"/>
              <w:rPr>
                <w:rFonts w:cs="Arial"/>
                <w:sz w:val="20"/>
                <w:szCs w:val="20"/>
              </w:rPr>
            </w:pPr>
            <w:r>
              <w:rPr>
                <w:rFonts w:cs="Arial"/>
                <w:sz w:val="20"/>
                <w:szCs w:val="20"/>
              </w:rPr>
              <w:t>4.47</w:t>
            </w:r>
          </w:p>
        </w:tc>
        <w:tc>
          <w:tcPr>
            <w:tcW w:w="522" w:type="pct"/>
            <w:tcBorders>
              <w:top w:val="nil"/>
              <w:bottom w:val="nil"/>
            </w:tcBorders>
            <w:vAlign w:val="center"/>
          </w:tcPr>
          <w:p w:rsidR="00656D3B" w:rsidRDefault="00656D3B">
            <w:pPr>
              <w:jc w:val="center"/>
              <w:rPr>
                <w:rFonts w:cs="Arial"/>
                <w:sz w:val="20"/>
                <w:szCs w:val="20"/>
              </w:rPr>
            </w:pPr>
            <w:r>
              <w:rPr>
                <w:rFonts w:cs="Arial"/>
                <w:sz w:val="20"/>
                <w:szCs w:val="20"/>
              </w:rPr>
              <w:t>3.52</w:t>
            </w:r>
          </w:p>
        </w:tc>
        <w:tc>
          <w:tcPr>
            <w:tcW w:w="595" w:type="pct"/>
            <w:tcBorders>
              <w:top w:val="nil"/>
              <w:bottom w:val="nil"/>
            </w:tcBorders>
            <w:vAlign w:val="center"/>
          </w:tcPr>
          <w:p w:rsidR="00656D3B" w:rsidRDefault="00656D3B">
            <w:pPr>
              <w:jc w:val="center"/>
              <w:rPr>
                <w:rFonts w:cs="Arial"/>
                <w:sz w:val="20"/>
                <w:szCs w:val="20"/>
              </w:rPr>
            </w:pPr>
            <w:r>
              <w:rPr>
                <w:rFonts w:cs="Arial"/>
                <w:sz w:val="20"/>
                <w:szCs w:val="20"/>
              </w:rPr>
              <w:t>2.15</w:t>
            </w:r>
          </w:p>
        </w:tc>
      </w:tr>
      <w:tr w:rsidR="00656D3B"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56D3B" w:rsidRDefault="00656D3B">
            <w:pPr>
              <w:rPr>
                <w:rFonts w:cs="Arial"/>
                <w:sz w:val="20"/>
                <w:szCs w:val="20"/>
              </w:rPr>
            </w:pPr>
            <w:r>
              <w:rPr>
                <w:rFonts w:cs="Arial"/>
                <w:sz w:val="20"/>
                <w:szCs w:val="20"/>
              </w:rPr>
              <w:t>Ex ante quantity (TJ)</w:t>
            </w:r>
          </w:p>
        </w:tc>
        <w:tc>
          <w:tcPr>
            <w:tcW w:w="597" w:type="pct"/>
            <w:tcBorders>
              <w:top w:val="nil"/>
              <w:bottom w:val="nil"/>
            </w:tcBorders>
            <w:vAlign w:val="center"/>
          </w:tcPr>
          <w:p w:rsidR="00656D3B" w:rsidRDefault="00656D3B">
            <w:pPr>
              <w:jc w:val="center"/>
              <w:rPr>
                <w:rFonts w:cs="Arial"/>
                <w:sz w:val="20"/>
                <w:szCs w:val="20"/>
              </w:rPr>
            </w:pPr>
            <w:r>
              <w:rPr>
                <w:rFonts w:cs="Arial"/>
                <w:sz w:val="20"/>
                <w:szCs w:val="20"/>
              </w:rPr>
              <w:t>75</w:t>
            </w:r>
          </w:p>
        </w:tc>
        <w:tc>
          <w:tcPr>
            <w:tcW w:w="523" w:type="pct"/>
            <w:tcBorders>
              <w:top w:val="nil"/>
              <w:bottom w:val="nil"/>
            </w:tcBorders>
            <w:vAlign w:val="center"/>
          </w:tcPr>
          <w:p w:rsidR="00656D3B" w:rsidRDefault="00656D3B">
            <w:pPr>
              <w:jc w:val="center"/>
              <w:rPr>
                <w:rFonts w:cs="Arial"/>
                <w:sz w:val="20"/>
                <w:szCs w:val="20"/>
              </w:rPr>
            </w:pPr>
            <w:r>
              <w:rPr>
                <w:rFonts w:cs="Arial"/>
                <w:sz w:val="20"/>
                <w:szCs w:val="20"/>
              </w:rPr>
              <w:t>84</w:t>
            </w:r>
          </w:p>
        </w:tc>
        <w:tc>
          <w:tcPr>
            <w:tcW w:w="606" w:type="pct"/>
            <w:tcBorders>
              <w:top w:val="nil"/>
              <w:bottom w:val="nil"/>
            </w:tcBorders>
            <w:vAlign w:val="center"/>
          </w:tcPr>
          <w:p w:rsidR="00656D3B" w:rsidRDefault="00656D3B">
            <w:pPr>
              <w:jc w:val="center"/>
              <w:rPr>
                <w:rFonts w:cs="Arial"/>
                <w:sz w:val="20"/>
                <w:szCs w:val="20"/>
              </w:rPr>
            </w:pPr>
            <w:r>
              <w:rPr>
                <w:rFonts w:cs="Arial"/>
                <w:sz w:val="20"/>
                <w:szCs w:val="20"/>
              </w:rPr>
              <w:t>80</w:t>
            </w:r>
          </w:p>
        </w:tc>
        <w:tc>
          <w:tcPr>
            <w:tcW w:w="532" w:type="pct"/>
            <w:tcBorders>
              <w:top w:val="nil"/>
              <w:bottom w:val="nil"/>
            </w:tcBorders>
            <w:vAlign w:val="center"/>
          </w:tcPr>
          <w:p w:rsidR="00656D3B" w:rsidRDefault="00656D3B">
            <w:pPr>
              <w:jc w:val="center"/>
              <w:rPr>
                <w:rFonts w:cs="Arial"/>
                <w:sz w:val="20"/>
                <w:szCs w:val="20"/>
              </w:rPr>
            </w:pPr>
            <w:r>
              <w:rPr>
                <w:rFonts w:cs="Arial"/>
                <w:sz w:val="20"/>
                <w:szCs w:val="20"/>
              </w:rPr>
              <w:t>83</w:t>
            </w:r>
          </w:p>
        </w:tc>
        <w:tc>
          <w:tcPr>
            <w:tcW w:w="525" w:type="pct"/>
            <w:tcBorders>
              <w:top w:val="nil"/>
              <w:bottom w:val="nil"/>
            </w:tcBorders>
            <w:vAlign w:val="center"/>
          </w:tcPr>
          <w:p w:rsidR="00656D3B" w:rsidRDefault="00656D3B">
            <w:pPr>
              <w:jc w:val="center"/>
              <w:rPr>
                <w:rFonts w:cs="Arial"/>
                <w:sz w:val="20"/>
                <w:szCs w:val="20"/>
              </w:rPr>
            </w:pPr>
            <w:r>
              <w:rPr>
                <w:rFonts w:cs="Arial"/>
                <w:sz w:val="20"/>
                <w:szCs w:val="20"/>
              </w:rPr>
              <w:t>88</w:t>
            </w:r>
          </w:p>
        </w:tc>
        <w:tc>
          <w:tcPr>
            <w:tcW w:w="522" w:type="pct"/>
            <w:tcBorders>
              <w:top w:val="nil"/>
              <w:bottom w:val="nil"/>
            </w:tcBorders>
            <w:vAlign w:val="center"/>
          </w:tcPr>
          <w:p w:rsidR="00656D3B" w:rsidRDefault="00656D3B">
            <w:pPr>
              <w:jc w:val="center"/>
              <w:rPr>
                <w:rFonts w:cs="Arial"/>
                <w:sz w:val="20"/>
                <w:szCs w:val="20"/>
              </w:rPr>
            </w:pPr>
            <w:r>
              <w:rPr>
                <w:rFonts w:cs="Arial"/>
                <w:sz w:val="20"/>
                <w:szCs w:val="20"/>
              </w:rPr>
              <w:t>81</w:t>
            </w:r>
          </w:p>
        </w:tc>
        <w:tc>
          <w:tcPr>
            <w:tcW w:w="595" w:type="pct"/>
            <w:tcBorders>
              <w:top w:val="nil"/>
              <w:bottom w:val="nil"/>
            </w:tcBorders>
            <w:vAlign w:val="center"/>
          </w:tcPr>
          <w:p w:rsidR="00656D3B" w:rsidRDefault="00656D3B">
            <w:pPr>
              <w:jc w:val="center"/>
              <w:rPr>
                <w:rFonts w:cs="Arial"/>
                <w:sz w:val="20"/>
                <w:szCs w:val="20"/>
              </w:rPr>
            </w:pPr>
            <w:r>
              <w:rPr>
                <w:rFonts w:cs="Arial"/>
                <w:sz w:val="20"/>
                <w:szCs w:val="20"/>
              </w:rPr>
              <w:t>70</w:t>
            </w:r>
          </w:p>
        </w:tc>
      </w:tr>
      <w:tr w:rsidR="00656D3B" w:rsidRPr="00405CDE" w:rsidTr="00723BEF">
        <w:trPr>
          <w:trHeight w:val="510"/>
        </w:trPr>
        <w:tc>
          <w:tcPr>
            <w:tcW w:w="1100" w:type="pct"/>
            <w:tcBorders>
              <w:top w:val="nil"/>
              <w:bottom w:val="nil"/>
            </w:tcBorders>
            <w:vAlign w:val="center"/>
          </w:tcPr>
          <w:p w:rsidR="00656D3B" w:rsidRDefault="00656D3B">
            <w:pPr>
              <w:rPr>
                <w:rFonts w:cs="Arial"/>
                <w:sz w:val="20"/>
                <w:szCs w:val="20"/>
              </w:rPr>
            </w:pPr>
            <w:r>
              <w:rPr>
                <w:rFonts w:cs="Arial"/>
                <w:sz w:val="20"/>
                <w:szCs w:val="20"/>
              </w:rPr>
              <w:t>Ex post price ($/GJ)</w:t>
            </w:r>
          </w:p>
        </w:tc>
        <w:tc>
          <w:tcPr>
            <w:tcW w:w="597" w:type="pct"/>
            <w:tcBorders>
              <w:top w:val="nil"/>
              <w:bottom w:val="nil"/>
            </w:tcBorders>
            <w:vAlign w:val="center"/>
          </w:tcPr>
          <w:p w:rsidR="00656D3B" w:rsidRDefault="00656D3B">
            <w:pPr>
              <w:jc w:val="center"/>
              <w:rPr>
                <w:rFonts w:cs="Arial"/>
                <w:sz w:val="20"/>
                <w:szCs w:val="20"/>
              </w:rPr>
            </w:pPr>
            <w:r>
              <w:rPr>
                <w:rFonts w:cs="Arial"/>
                <w:sz w:val="20"/>
                <w:szCs w:val="20"/>
              </w:rPr>
              <w:t>2.21</w:t>
            </w:r>
          </w:p>
        </w:tc>
        <w:tc>
          <w:tcPr>
            <w:tcW w:w="523" w:type="pct"/>
            <w:tcBorders>
              <w:top w:val="nil"/>
              <w:bottom w:val="nil"/>
            </w:tcBorders>
            <w:vAlign w:val="center"/>
          </w:tcPr>
          <w:p w:rsidR="00656D3B" w:rsidRDefault="00656D3B">
            <w:pPr>
              <w:jc w:val="center"/>
              <w:rPr>
                <w:rFonts w:cs="Arial"/>
                <w:sz w:val="20"/>
                <w:szCs w:val="20"/>
              </w:rPr>
            </w:pPr>
            <w:r>
              <w:rPr>
                <w:rFonts w:cs="Arial"/>
                <w:sz w:val="20"/>
                <w:szCs w:val="20"/>
              </w:rPr>
              <w:t>3.51</w:t>
            </w:r>
          </w:p>
        </w:tc>
        <w:tc>
          <w:tcPr>
            <w:tcW w:w="606" w:type="pct"/>
            <w:tcBorders>
              <w:top w:val="nil"/>
              <w:bottom w:val="nil"/>
            </w:tcBorders>
            <w:vAlign w:val="center"/>
          </w:tcPr>
          <w:p w:rsidR="00656D3B" w:rsidRDefault="00656D3B">
            <w:pPr>
              <w:jc w:val="center"/>
              <w:rPr>
                <w:rFonts w:cs="Arial"/>
                <w:sz w:val="20"/>
                <w:szCs w:val="20"/>
              </w:rPr>
            </w:pPr>
            <w:r>
              <w:rPr>
                <w:rFonts w:cs="Arial"/>
                <w:sz w:val="20"/>
                <w:szCs w:val="20"/>
              </w:rPr>
              <w:t>3.51</w:t>
            </w:r>
          </w:p>
        </w:tc>
        <w:tc>
          <w:tcPr>
            <w:tcW w:w="532" w:type="pct"/>
            <w:tcBorders>
              <w:top w:val="nil"/>
              <w:bottom w:val="nil"/>
            </w:tcBorders>
            <w:vAlign w:val="center"/>
          </w:tcPr>
          <w:p w:rsidR="00656D3B" w:rsidRDefault="00656D3B">
            <w:pPr>
              <w:jc w:val="center"/>
              <w:rPr>
                <w:rFonts w:cs="Arial"/>
                <w:sz w:val="20"/>
                <w:szCs w:val="20"/>
              </w:rPr>
            </w:pPr>
            <w:r>
              <w:rPr>
                <w:rFonts w:cs="Arial"/>
                <w:sz w:val="20"/>
                <w:szCs w:val="20"/>
              </w:rPr>
              <w:t>3.82</w:t>
            </w:r>
          </w:p>
        </w:tc>
        <w:tc>
          <w:tcPr>
            <w:tcW w:w="525" w:type="pct"/>
            <w:tcBorders>
              <w:top w:val="nil"/>
              <w:bottom w:val="nil"/>
            </w:tcBorders>
            <w:vAlign w:val="center"/>
          </w:tcPr>
          <w:p w:rsidR="00656D3B" w:rsidRDefault="00656D3B">
            <w:pPr>
              <w:jc w:val="center"/>
              <w:rPr>
                <w:rFonts w:cs="Arial"/>
                <w:sz w:val="20"/>
                <w:szCs w:val="20"/>
              </w:rPr>
            </w:pPr>
            <w:r>
              <w:rPr>
                <w:rFonts w:cs="Arial"/>
                <w:sz w:val="20"/>
                <w:szCs w:val="20"/>
              </w:rPr>
              <w:t>4.19</w:t>
            </w:r>
          </w:p>
        </w:tc>
        <w:tc>
          <w:tcPr>
            <w:tcW w:w="522" w:type="pct"/>
            <w:tcBorders>
              <w:top w:val="nil"/>
              <w:bottom w:val="nil"/>
            </w:tcBorders>
            <w:vAlign w:val="center"/>
          </w:tcPr>
          <w:p w:rsidR="00656D3B" w:rsidRDefault="00656D3B">
            <w:pPr>
              <w:jc w:val="center"/>
              <w:rPr>
                <w:rFonts w:cs="Arial"/>
                <w:sz w:val="20"/>
                <w:szCs w:val="20"/>
              </w:rPr>
            </w:pPr>
            <w:r>
              <w:rPr>
                <w:rFonts w:cs="Arial"/>
                <w:sz w:val="20"/>
                <w:szCs w:val="20"/>
              </w:rPr>
              <w:t>3.52</w:t>
            </w:r>
          </w:p>
        </w:tc>
        <w:tc>
          <w:tcPr>
            <w:tcW w:w="595" w:type="pct"/>
            <w:tcBorders>
              <w:top w:val="nil"/>
              <w:bottom w:val="nil"/>
            </w:tcBorders>
            <w:vAlign w:val="center"/>
          </w:tcPr>
          <w:p w:rsidR="00656D3B" w:rsidRDefault="00656D3B">
            <w:pPr>
              <w:jc w:val="center"/>
              <w:rPr>
                <w:rFonts w:cs="Arial"/>
                <w:sz w:val="20"/>
                <w:szCs w:val="20"/>
              </w:rPr>
            </w:pPr>
            <w:r>
              <w:rPr>
                <w:rFonts w:cs="Arial"/>
                <w:sz w:val="20"/>
                <w:szCs w:val="20"/>
              </w:rPr>
              <w:t>2.75</w:t>
            </w:r>
          </w:p>
        </w:tc>
      </w:tr>
      <w:tr w:rsidR="00656D3B" w:rsidRPr="00405CDE" w:rsidTr="00723BEF">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56D3B" w:rsidRDefault="00656D3B">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72</w:t>
            </w:r>
          </w:p>
        </w:tc>
        <w:tc>
          <w:tcPr>
            <w:tcW w:w="523"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80</w:t>
            </w:r>
          </w:p>
        </w:tc>
        <w:tc>
          <w:tcPr>
            <w:tcW w:w="606"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74</w:t>
            </w:r>
          </w:p>
        </w:tc>
        <w:tc>
          <w:tcPr>
            <w:tcW w:w="532"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78</w:t>
            </w:r>
          </w:p>
        </w:tc>
        <w:tc>
          <w:tcPr>
            <w:tcW w:w="525"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81</w:t>
            </w:r>
          </w:p>
        </w:tc>
        <w:tc>
          <w:tcPr>
            <w:tcW w:w="522"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83</w:t>
            </w:r>
          </w:p>
        </w:tc>
        <w:tc>
          <w:tcPr>
            <w:tcW w:w="595" w:type="pct"/>
            <w:tcBorders>
              <w:top w:val="nil"/>
              <w:bottom w:val="single" w:sz="4" w:space="0" w:color="auto"/>
            </w:tcBorders>
            <w:vAlign w:val="center"/>
          </w:tcPr>
          <w:p w:rsidR="00656D3B" w:rsidRDefault="00656D3B">
            <w:pPr>
              <w:jc w:val="center"/>
              <w:rPr>
                <w:rFonts w:cs="Arial"/>
                <w:sz w:val="20"/>
                <w:szCs w:val="20"/>
              </w:rPr>
            </w:pPr>
            <w:r>
              <w:rPr>
                <w:rFonts w:cs="Arial"/>
                <w:sz w:val="20"/>
                <w:szCs w:val="20"/>
              </w:rPr>
              <w:t>74</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E92A99" w:rsidP="00362B9A">
      <w:r>
        <w:pict>
          <v:shape id="_x0000_i1041" type="#_x0000_t75" alt="Figure 4.2 shows the daily hub offers and bid in within certain price bands in Brisbane this week. The line indicates the scheduled quantity for each day. For a more detailed description of this figure, please refer to the user guide.&#10;" style="width:475.85pt;height:170.9pt;mso-position-vertical:absolute">
            <v:imagedata r:id="rId30"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E92A99" w:rsidP="00362B9A">
      <w:r>
        <w:pict>
          <v:shape id="_x0000_i1042" type="#_x0000_t75" alt="Figure 4.3 shows the daily scheduled and allocated quantities sorted by facility for Brisbane this week. For a more detailed description of this figure, please refer to the user guide." style="width:477.7pt;height:98.9pt">
            <v:imagedata r:id="rId31"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E92A99" w:rsidP="00362B9A">
      <w:r>
        <w:pict>
          <v:shape id="_x0000_i1043"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85pt;height:155.9pt">
            <v:imagedata r:id="rId32"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6"/>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17"/>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E92A99" w:rsidP="00EC1C03">
      <w:pPr>
        <w:spacing w:after="0"/>
      </w:pPr>
      <w:r>
        <w:rPr>
          <w:noProof/>
        </w:rPr>
        <w:pict>
          <v:shape id="_x0000_i1044"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8.15pt;height:546.55pt">
            <v:imagedata r:id="rId33"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8"/>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C77937" w:rsidRDefault="00AC7F82" w:rsidP="00345444">
      <w:pPr>
        <w:jc w:val="both"/>
        <w:rPr>
          <w:rFonts w:eastAsia="MS Mincho"/>
        </w:rPr>
      </w:pPr>
      <w:r w:rsidRPr="00C77937">
        <w:rPr>
          <w:rFonts w:eastAsia="MS Mincho"/>
        </w:rPr>
        <w:t>There were 21 trades this week for 338 TJ of gas at a volume weighted price of $3.48/GJ (88.4 TJ on RBP at $3.50/GJ, 249.7 TJ on SWQP at $3.47/GJ).</w:t>
      </w:r>
      <w:r w:rsidR="00915B70" w:rsidRPr="00C77937">
        <w:rPr>
          <w:rFonts w:eastAsia="MS Mincho"/>
        </w:rPr>
        <w:t xml:space="preserve"> This was the fourth highest quantity of gas traded over a weekly reporting period</w:t>
      </w:r>
      <w:r w:rsidR="008363A6" w:rsidRPr="00C77937">
        <w:rPr>
          <w:rStyle w:val="FootnoteReference"/>
          <w:rFonts w:eastAsia="MS Mincho"/>
        </w:rPr>
        <w:footnoteReference w:id="19"/>
      </w:r>
      <w:r w:rsidR="00915B70" w:rsidRPr="00C77937">
        <w:rPr>
          <w:rFonts w:eastAsia="MS Mincho"/>
        </w:rPr>
        <w:t xml:space="preserve"> and set a new daily record for the amount of gas traded on 25 November.</w:t>
      </w:r>
      <w:r w:rsidR="00915B70" w:rsidRPr="00C77937">
        <w:rPr>
          <w:rStyle w:val="FootnoteReference"/>
          <w:rFonts w:eastAsia="MS Mincho"/>
        </w:rPr>
        <w:footnoteReference w:id="20"/>
      </w:r>
      <w:r w:rsidR="00915B70" w:rsidRPr="00C77937">
        <w:rPr>
          <w:rFonts w:eastAsia="MS Mincho"/>
        </w:rPr>
        <w:t xml:space="preserve"> Trades consisted of </w:t>
      </w:r>
      <w:r w:rsidR="008363A6" w:rsidRPr="00C77937">
        <w:rPr>
          <w:rFonts w:eastAsia="MS Mincho"/>
        </w:rPr>
        <w:t>daily, day-ahead and balance of day products on both pipelines, and the first instance of weekly products being traded this financial year on SWQP.</w:t>
      </w:r>
      <w:r w:rsidR="008363A6" w:rsidRPr="00C77937">
        <w:rPr>
          <w:rStyle w:val="FootnoteReference"/>
          <w:rFonts w:eastAsia="MS Mincho"/>
        </w:rPr>
        <w:footnoteReference w:id="21"/>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22"/>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E92A99" w:rsidP="00E37A86">
      <w:r>
        <w:rPr>
          <w:rFonts w:eastAsia="MS Mincho"/>
        </w:rPr>
        <w:pict>
          <v:shape id="_x0000_i1045" type="#_x0000_t75" alt="Figure 6.1 shows the daily volume of gas traded on each pipeline in the Wallumbilla Gas Supply Hub. The quantities displayed are shown for both the day the gas is traded over the current week and the gas day on which gas has been shipped." style="width:475.85pt;height:201.6pt">
            <v:imagedata r:id="rId34" o:title=""/>
          </v:shape>
        </w:pict>
      </w:r>
      <w:r w:rsidR="00E37A86" w:rsidRPr="006520EE">
        <w:t xml:space="preserve"> </w:t>
      </w:r>
    </w:p>
    <w:sectPr w:rsidR="009E74E3" w:rsidRPr="006520EE" w:rsidSect="00D635F1">
      <w:footerReference w:type="default" r:id="rId35"/>
      <w:footerReference w:type="first" r:id="rId36"/>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BEF" w:rsidRDefault="00723BEF">
      <w:r>
        <w:separator/>
      </w:r>
    </w:p>
  </w:endnote>
  <w:endnote w:type="continuationSeparator" w:id="0">
    <w:p w:rsidR="00723BEF" w:rsidRDefault="00723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EF" w:rsidRDefault="00723BEF" w:rsidP="00D22793">
    <w:pPr>
      <w:pBdr>
        <w:top w:val="single" w:sz="4" w:space="0" w:color="auto"/>
      </w:pBdr>
      <w:ind w:left="-284" w:right="-329" w:firstLine="284"/>
      <w:jc w:val="center"/>
      <w:rPr>
        <w:i/>
        <w:sz w:val="16"/>
        <w:szCs w:val="16"/>
      </w:rPr>
    </w:pPr>
    <w:r>
      <w:rPr>
        <w:i/>
        <w:sz w:val="20"/>
      </w:rPr>
      <w:t>© Commonwealth of Australia.</w:t>
    </w:r>
  </w:p>
  <w:p w:rsidR="00723BEF" w:rsidRDefault="00723BEF" w:rsidP="005A77AC">
    <w:pPr>
      <w:jc w:val="center"/>
    </w:pPr>
    <w:r>
      <w:fldChar w:fldCharType="begin"/>
    </w:r>
    <w:r>
      <w:instrText xml:space="preserve"> PAGE  \* MERGEFORMAT </w:instrText>
    </w:r>
    <w:r>
      <w:fldChar w:fldCharType="separate"/>
    </w:r>
    <w:r w:rsidR="00CA0217">
      <w:rPr>
        <w:noProof/>
      </w:rPr>
      <w:t>14</w:t>
    </w:r>
    <w:r>
      <w:fldChar w:fldCharType="end"/>
    </w:r>
  </w:p>
  <w:p w:rsidR="00723BEF" w:rsidRDefault="00723BEF"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BEF" w:rsidRDefault="00723BEF" w:rsidP="00491029">
    <w:pPr>
      <w:pBdr>
        <w:top w:val="single" w:sz="4" w:space="0" w:color="auto"/>
      </w:pBdr>
      <w:ind w:left="-284" w:right="-329" w:firstLine="284"/>
      <w:jc w:val="center"/>
      <w:rPr>
        <w:i/>
        <w:sz w:val="20"/>
      </w:rPr>
    </w:pPr>
    <w:r>
      <w:rPr>
        <w:i/>
        <w:sz w:val="20"/>
      </w:rPr>
      <w:t>© Commonwealth of Australia.</w:t>
    </w:r>
  </w:p>
  <w:p w:rsidR="00723BEF" w:rsidRPr="002D773A" w:rsidRDefault="00723BEF" w:rsidP="00491029">
    <w:pPr>
      <w:jc w:val="center"/>
    </w:pPr>
    <w:r>
      <w:fldChar w:fldCharType="begin"/>
    </w:r>
    <w:r>
      <w:instrText xml:space="preserve"> PAGE  \* MERGEFORMAT </w:instrText>
    </w:r>
    <w:r>
      <w:fldChar w:fldCharType="separate"/>
    </w:r>
    <w:r w:rsidR="00CA0217">
      <w:rPr>
        <w:noProof/>
      </w:rPr>
      <w:t>1</w:t>
    </w:r>
    <w:r>
      <w:fldChar w:fldCharType="end"/>
    </w:r>
  </w:p>
  <w:p w:rsidR="00723BEF" w:rsidRPr="006F3A5D" w:rsidRDefault="00723BEF" w:rsidP="006F3A5D">
    <w:pPr>
      <w:pStyle w:val="Footer"/>
      <w:jc w:val="right"/>
      <w:rPr>
        <w:rFonts w:cs="Arial"/>
        <w:i/>
      </w:rPr>
    </w:pPr>
    <w:r w:rsidRPr="00F52F00">
      <w:rPr>
        <w:rFonts w:cs="Arial"/>
        <w:i/>
      </w:rPr>
      <w:t>AER reference: 392</w:t>
    </w:r>
    <w:r>
      <w:rPr>
        <w:rFonts w:cs="Arial"/>
        <w:i/>
      </w:rPr>
      <w:t>7</w:t>
    </w:r>
    <w:r w:rsidRPr="00F52F00">
      <w:rPr>
        <w:rFonts w:cs="Arial"/>
        <w:i/>
      </w:rPr>
      <w:t xml:space="preserve">0 – </w:t>
    </w:r>
    <w:r>
      <w:rPr>
        <w:rFonts w:cs="Arial"/>
        <w:i/>
      </w:rPr>
      <w:t>D15/184543</w:t>
    </w:r>
  </w:p>
  <w:p w:rsidR="00723BEF" w:rsidRDefault="00723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BEF" w:rsidRDefault="00723BEF">
      <w:r>
        <w:separator/>
      </w:r>
    </w:p>
  </w:footnote>
  <w:footnote w:type="continuationSeparator" w:id="0">
    <w:p w:rsidR="00723BEF" w:rsidRDefault="00723BEF">
      <w:r>
        <w:continuationSeparator/>
      </w:r>
    </w:p>
  </w:footnote>
  <w:footnote w:id="1">
    <w:p w:rsidR="00723BEF" w:rsidRPr="003F11E0" w:rsidRDefault="00723BEF" w:rsidP="00EB1349">
      <w:pPr>
        <w:pStyle w:val="FootnoteText"/>
        <w:jc w:val="both"/>
        <w:rPr>
          <w:sz w:val="18"/>
        </w:rPr>
      </w:pPr>
      <w:r>
        <w:rPr>
          <w:rStyle w:val="FootnoteReference"/>
        </w:rPr>
        <w:footnoteRef/>
      </w:r>
      <w:r>
        <w:t xml:space="preserve"> </w:t>
      </w:r>
      <w:r>
        <w:tab/>
      </w:r>
      <w:r w:rsidRPr="003F11E0">
        <w:rPr>
          <w:sz w:val="18"/>
        </w:rPr>
        <w:t>The demand in Sydney on 24 November increased by almost 40 TJ compared to levels two days prior, setting the price at its highest point for the week at $5.42/GJ.</w:t>
      </w:r>
      <w:r>
        <w:rPr>
          <w:sz w:val="18"/>
        </w:rPr>
        <w:t xml:space="preserve"> This also led an increase in the daily flow compared to the previous day on the Vic-NSW interconnect, having an apparent effect of driving up the price in Victoria on the day.</w:t>
      </w:r>
    </w:p>
  </w:footnote>
  <w:footnote w:id="2">
    <w:p w:rsidR="00723BEF" w:rsidRPr="003F11E0" w:rsidRDefault="00723BEF" w:rsidP="00EB1349">
      <w:pPr>
        <w:pStyle w:val="FootnoteText"/>
        <w:jc w:val="both"/>
        <w:rPr>
          <w:sz w:val="16"/>
        </w:rPr>
      </w:pPr>
      <w:r>
        <w:rPr>
          <w:rStyle w:val="FootnoteReference"/>
        </w:rPr>
        <w:footnoteRef/>
      </w:r>
      <w:r>
        <w:t xml:space="preserve"> </w:t>
      </w:r>
      <w:r>
        <w:tab/>
      </w:r>
      <w:r w:rsidRPr="003F11E0">
        <w:rPr>
          <w:sz w:val="18"/>
        </w:rPr>
        <w:t>Demand in Victoria on 26 Novembe</w:t>
      </w:r>
      <w:r>
        <w:rPr>
          <w:sz w:val="18"/>
        </w:rPr>
        <w:t>r increased significantly as</w:t>
      </w:r>
      <w:r w:rsidRPr="003F11E0">
        <w:rPr>
          <w:sz w:val="18"/>
        </w:rPr>
        <w:t xml:space="preserve"> cooler temperatures </w:t>
      </w:r>
      <w:r>
        <w:rPr>
          <w:sz w:val="18"/>
        </w:rPr>
        <w:t>reached the region, with the 6am forecast for the gas day almost 160 TJ higher than that set the previous morning (see figure 1.2). This f</w:t>
      </w:r>
      <w:r w:rsidRPr="003F11E0">
        <w:rPr>
          <w:sz w:val="18"/>
        </w:rPr>
        <w:t>ollow</w:t>
      </w:r>
      <w:r>
        <w:rPr>
          <w:sz w:val="18"/>
        </w:rPr>
        <w:t>ed</w:t>
      </w:r>
      <w:r w:rsidRPr="003F11E0">
        <w:rPr>
          <w:sz w:val="18"/>
        </w:rPr>
        <w:t xml:space="preserve"> a warm 33 degree maximum in Melbourne on the previous day</w:t>
      </w:r>
      <w:r>
        <w:rPr>
          <w:sz w:val="18"/>
        </w:rPr>
        <w:t xml:space="preserve">, and resulted from a change to the warmer weather </w:t>
      </w:r>
      <w:r w:rsidR="00C43A38">
        <w:rPr>
          <w:sz w:val="18"/>
        </w:rPr>
        <w:t xml:space="preserve">blowing towards </w:t>
      </w:r>
      <w:r w:rsidR="003212F8">
        <w:rPr>
          <w:sz w:val="18"/>
        </w:rPr>
        <w:t>Victoria</w:t>
      </w:r>
      <w:r w:rsidR="00C43A38">
        <w:rPr>
          <w:sz w:val="18"/>
        </w:rPr>
        <w:t xml:space="preserve"> </w:t>
      </w:r>
      <w:r>
        <w:rPr>
          <w:sz w:val="18"/>
        </w:rPr>
        <w:t>from the north dissipating, as a south-westerly wind change affected the region</w:t>
      </w:r>
      <w:r w:rsidRPr="003F11E0">
        <w:rPr>
          <w:sz w:val="18"/>
        </w:rPr>
        <w:t>.</w:t>
      </w:r>
    </w:p>
  </w:footnote>
  <w:footnote w:id="3">
    <w:p w:rsidR="00723BEF" w:rsidRPr="00942640" w:rsidRDefault="00723BEF"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4">
    <w:p w:rsidR="00461D27" w:rsidRPr="00461D27" w:rsidRDefault="00461D27" w:rsidP="00461D27">
      <w:pPr>
        <w:pStyle w:val="FootnoteText"/>
        <w:jc w:val="both"/>
      </w:pPr>
      <w:r>
        <w:rPr>
          <w:rStyle w:val="FootnoteReference"/>
        </w:rPr>
        <w:footnoteRef/>
      </w:r>
      <w:r>
        <w:t xml:space="preserve"> </w:t>
      </w:r>
      <w:r>
        <w:tab/>
      </w:r>
      <w:r w:rsidRPr="00461D27">
        <w:rPr>
          <w:sz w:val="18"/>
        </w:rPr>
        <w:t>Queensland Curtis LNG (QCLNG) commenced shipment from its first LNG export train from 5 January 2015, followed by the commencement of exports from its second train from 12 July 2015.</w:t>
      </w:r>
    </w:p>
  </w:footnote>
  <w:footnote w:id="5">
    <w:p w:rsidR="00461D27" w:rsidRDefault="00461D27" w:rsidP="00461D27">
      <w:pPr>
        <w:pStyle w:val="FootnoteText"/>
        <w:jc w:val="both"/>
      </w:pPr>
      <w:r>
        <w:rPr>
          <w:rStyle w:val="FootnoteReference"/>
        </w:rPr>
        <w:footnoteRef/>
      </w:r>
      <w:r>
        <w:t xml:space="preserve"> </w:t>
      </w:r>
      <w:r>
        <w:tab/>
      </w:r>
      <w:r w:rsidRPr="00461D27">
        <w:rPr>
          <w:sz w:val="18"/>
        </w:rPr>
        <w:t>Australia Pacific LNG (APLNG) is scheduled to commence exports around December 2015–Q1 2016 and Q2–Q3 2016 from its two upcoming LNG trains.</w:t>
      </w:r>
    </w:p>
  </w:footnote>
  <w:footnote w:id="6">
    <w:p w:rsidR="009A559D" w:rsidRPr="009A559D" w:rsidRDefault="009A559D">
      <w:pPr>
        <w:pStyle w:val="FootnoteText"/>
        <w:rPr>
          <w:sz w:val="18"/>
        </w:rPr>
      </w:pPr>
      <w:r>
        <w:rPr>
          <w:rStyle w:val="FootnoteReference"/>
        </w:rPr>
        <w:footnoteRef/>
      </w:r>
      <w:r>
        <w:t xml:space="preserve"> </w:t>
      </w:r>
      <w:r>
        <w:tab/>
      </w:r>
      <w:r w:rsidRPr="009A559D">
        <w:rPr>
          <w:sz w:val="18"/>
        </w:rPr>
        <w:t xml:space="preserve">The increase in prices in Brisbane may be related to </w:t>
      </w:r>
      <w:r>
        <w:rPr>
          <w:sz w:val="18"/>
        </w:rPr>
        <w:t>export</w:t>
      </w:r>
      <w:r w:rsidRPr="009A559D">
        <w:rPr>
          <w:sz w:val="18"/>
        </w:rPr>
        <w:t xml:space="preserve"> gas not being available to the domestic market</w:t>
      </w:r>
      <w:r>
        <w:rPr>
          <w:sz w:val="18"/>
        </w:rPr>
        <w:t>.</w:t>
      </w:r>
    </w:p>
  </w:footnote>
  <w:footnote w:id="7">
    <w:p w:rsidR="00461D27" w:rsidRDefault="00461D27" w:rsidP="00461D27">
      <w:pPr>
        <w:pStyle w:val="FootnoteText"/>
        <w:jc w:val="both"/>
      </w:pPr>
      <w:r>
        <w:rPr>
          <w:rStyle w:val="FootnoteReference"/>
        </w:rPr>
        <w:footnoteRef/>
      </w:r>
      <w:r>
        <w:t xml:space="preserve"> </w:t>
      </w:r>
      <w:r>
        <w:tab/>
      </w:r>
      <w:r w:rsidRPr="00461D27">
        <w:rPr>
          <w:sz w:val="18"/>
        </w:rPr>
        <w:t>Gladstone LNG (GLNG) commenced shipping from 16 October 2015, with its second train scheduled to commence around Q2 2016.</w:t>
      </w:r>
    </w:p>
  </w:footnote>
  <w:footnote w:id="8">
    <w:p w:rsidR="00723BEF" w:rsidRDefault="00723BEF" w:rsidP="00B07570">
      <w:pPr>
        <w:pStyle w:val="FootnoteText"/>
        <w:jc w:val="both"/>
      </w:pPr>
      <w:r>
        <w:rPr>
          <w:rStyle w:val="FootnoteReference"/>
        </w:rPr>
        <w:footnoteRef/>
      </w:r>
      <w:r>
        <w:t xml:space="preserve"> </w:t>
      </w:r>
      <w:r>
        <w:tab/>
      </w:r>
      <w:r w:rsidRPr="00467ED8">
        <w:rPr>
          <w:sz w:val="18"/>
        </w:rPr>
        <w:t>Flows into Queensland from Moomba reached record levels on Monday 23 November (-147.5 TJ) and Saturday 28 November (-151.1 TJ).</w:t>
      </w:r>
      <w:r>
        <w:rPr>
          <w:sz w:val="18"/>
        </w:rPr>
        <w:t xml:space="preserve"> This is also demonstrated in figure 8.</w:t>
      </w:r>
    </w:p>
  </w:footnote>
  <w:footnote w:id="9">
    <w:p w:rsidR="002B07AD" w:rsidRPr="002B07AD" w:rsidRDefault="002B07AD" w:rsidP="002B07AD">
      <w:pPr>
        <w:pStyle w:val="FootnoteText"/>
        <w:jc w:val="both"/>
        <w:rPr>
          <w:sz w:val="18"/>
        </w:rPr>
      </w:pPr>
      <w:r>
        <w:rPr>
          <w:rStyle w:val="FootnoteReference"/>
        </w:rPr>
        <w:footnoteRef/>
      </w:r>
      <w:r>
        <w:t xml:space="preserve"> </w:t>
      </w:r>
      <w:r>
        <w:tab/>
      </w:r>
      <w:r w:rsidRPr="002B07AD">
        <w:rPr>
          <w:sz w:val="18"/>
        </w:rPr>
        <w:t>Previous gas days are displayed in the c</w:t>
      </w:r>
      <w:r>
        <w:rPr>
          <w:sz w:val="18"/>
        </w:rPr>
        <w:t xml:space="preserve">hart to provide a comparison against </w:t>
      </w:r>
      <w:r w:rsidRPr="002B07AD">
        <w:rPr>
          <w:sz w:val="18"/>
        </w:rPr>
        <w:t xml:space="preserve">the </w:t>
      </w:r>
      <w:r>
        <w:rPr>
          <w:sz w:val="18"/>
        </w:rPr>
        <w:t>high level of gas in the system.</w:t>
      </w:r>
    </w:p>
  </w:footnote>
  <w:footnote w:id="10">
    <w:p w:rsidR="00F7228C" w:rsidRDefault="00F7228C">
      <w:pPr>
        <w:pStyle w:val="FootnoteText"/>
      </w:pPr>
      <w:r>
        <w:rPr>
          <w:rStyle w:val="FootnoteReference"/>
        </w:rPr>
        <w:footnoteRef/>
      </w:r>
      <w:r>
        <w:t xml:space="preserve"> </w:t>
      </w:r>
      <w:r>
        <w:tab/>
      </w:r>
      <w:r w:rsidRPr="00F7228C">
        <w:rPr>
          <w:sz w:val="18"/>
        </w:rPr>
        <w:t>Longford has a standard ramp down supply constraint applied for injections after 8 pm.</w:t>
      </w:r>
    </w:p>
  </w:footnote>
  <w:footnote w:id="11">
    <w:p w:rsidR="00723BEF" w:rsidRPr="00EF58A8" w:rsidRDefault="00723BEF"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12">
    <w:p w:rsidR="00723BEF" w:rsidRPr="00EF58A8" w:rsidRDefault="00723BEF"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13">
    <w:p w:rsidR="00723BEF" w:rsidRPr="00EF58A8" w:rsidRDefault="00723BEF"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14">
    <w:p w:rsidR="00723BEF" w:rsidRPr="00362B9A" w:rsidRDefault="00723BEF"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15">
    <w:p w:rsidR="00723BEF" w:rsidRDefault="00723BEF"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6">
    <w:p w:rsidR="00723BEF" w:rsidRPr="002E7E9E" w:rsidRDefault="00723BEF"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Pr>
          <w:sz w:val="18"/>
          <w:szCs w:val="18"/>
        </w:rPr>
        <w:t>f</w:t>
      </w:r>
      <w:r w:rsidRPr="002E7E9E">
        <w:rPr>
          <w:sz w:val="18"/>
          <w:szCs w:val="18"/>
        </w:rPr>
        <w:t>lows</w:t>
      </w:r>
      <w:r>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723BEF" w:rsidRDefault="00723BEF"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723BEF" w:rsidRDefault="00723BEF"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723BEF" w:rsidRPr="002E7E9E" w:rsidRDefault="00723BEF"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17">
    <w:p w:rsidR="00723BEF" w:rsidRDefault="00723BEF"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8">
    <w:p w:rsidR="00723BEF" w:rsidRPr="009E74E3" w:rsidRDefault="00723BEF"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9">
    <w:p w:rsidR="00723BEF" w:rsidRDefault="00723BEF" w:rsidP="00C95D24">
      <w:pPr>
        <w:pStyle w:val="FootnoteText"/>
        <w:ind w:left="284" w:hanging="284"/>
        <w:jc w:val="both"/>
      </w:pPr>
      <w:r>
        <w:rPr>
          <w:rStyle w:val="FootnoteReference"/>
        </w:rPr>
        <w:footnoteRef/>
      </w:r>
      <w:r>
        <w:t xml:space="preserve"> </w:t>
      </w:r>
      <w:r>
        <w:tab/>
      </w:r>
      <w:r w:rsidRPr="008363A6">
        <w:rPr>
          <w:sz w:val="18"/>
        </w:rPr>
        <w:t>The reporting period covered in AER weekly reports (the previous AER weekly reporting period record for traded quantity in the GSH was 141 TJ on 2 October 2015, when 121 TJ of gas was traded on the RBP).</w:t>
      </w:r>
    </w:p>
  </w:footnote>
  <w:footnote w:id="20">
    <w:p w:rsidR="00723BEF" w:rsidRPr="008363A6" w:rsidRDefault="00723BEF" w:rsidP="00C95D24">
      <w:pPr>
        <w:pStyle w:val="FootnoteText"/>
        <w:ind w:left="284" w:hanging="284"/>
        <w:jc w:val="both"/>
        <w:rPr>
          <w:sz w:val="18"/>
        </w:rPr>
      </w:pPr>
      <w:r>
        <w:rPr>
          <w:rStyle w:val="FootnoteReference"/>
        </w:rPr>
        <w:footnoteRef/>
      </w:r>
      <w:r>
        <w:t xml:space="preserve"> </w:t>
      </w:r>
      <w:r>
        <w:tab/>
      </w:r>
      <w:r w:rsidRPr="008363A6">
        <w:rPr>
          <w:sz w:val="18"/>
        </w:rPr>
        <w:t xml:space="preserve">On 25 November, 155 TJ of gas was traded. This was largely due to the record quantity of gas traded on the SWQP (140 TJ, the previous SWQP daily trade record was 105 TJ on 4 September 2014). The 70 TJ of gas was matched in one ‘weekly’ product trade, equalling the previous </w:t>
      </w:r>
      <w:r>
        <w:rPr>
          <w:sz w:val="18"/>
        </w:rPr>
        <w:t xml:space="preserve">‘weekly’ </w:t>
      </w:r>
      <w:r w:rsidRPr="008363A6">
        <w:rPr>
          <w:sz w:val="18"/>
        </w:rPr>
        <w:t>record set on 4 September 2014.</w:t>
      </w:r>
    </w:p>
  </w:footnote>
  <w:footnote w:id="21">
    <w:p w:rsidR="00723BEF" w:rsidRPr="004F3510" w:rsidRDefault="00723BEF" w:rsidP="00C95D24">
      <w:pPr>
        <w:pStyle w:val="FootnoteText"/>
        <w:ind w:left="284" w:hanging="284"/>
        <w:jc w:val="both"/>
        <w:rPr>
          <w:sz w:val="16"/>
        </w:rPr>
      </w:pPr>
      <w:r>
        <w:rPr>
          <w:rStyle w:val="FootnoteReference"/>
        </w:rPr>
        <w:footnoteRef/>
      </w:r>
      <w:r>
        <w:t xml:space="preserve"> </w:t>
      </w:r>
      <w:r>
        <w:tab/>
      </w:r>
      <w:r w:rsidRPr="004F3510">
        <w:rPr>
          <w:sz w:val="18"/>
        </w:rPr>
        <w:t>The previous ‘weekly’ product trade occurred on 19 June 2015 on the SWQP.</w:t>
      </w:r>
    </w:p>
  </w:footnote>
  <w:footnote w:id="22">
    <w:p w:rsidR="00723BEF" w:rsidRPr="007300C3" w:rsidRDefault="00723BEF" w:rsidP="00C95D24">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54E40BE"/>
    <w:multiLevelType w:val="hybridMultilevel"/>
    <w:tmpl w:val="96C0C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7">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0">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2">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3">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4">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6">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8">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7B000D43"/>
    <w:multiLevelType w:val="hybridMultilevel"/>
    <w:tmpl w:val="0E868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1"/>
  </w:num>
  <w:num w:numId="4">
    <w:abstractNumId w:val="18"/>
  </w:num>
  <w:num w:numId="5">
    <w:abstractNumId w:val="3"/>
  </w:num>
  <w:num w:numId="6">
    <w:abstractNumId w:val="15"/>
  </w:num>
  <w:num w:numId="7">
    <w:abstractNumId w:val="12"/>
  </w:num>
  <w:num w:numId="8">
    <w:abstractNumId w:val="8"/>
  </w:num>
  <w:num w:numId="9">
    <w:abstractNumId w:val="6"/>
  </w:num>
  <w:num w:numId="10">
    <w:abstractNumId w:val="10"/>
  </w:num>
  <w:num w:numId="11">
    <w:abstractNumId w:val="0"/>
  </w:num>
  <w:num w:numId="12">
    <w:abstractNumId w:val="13"/>
  </w:num>
  <w:num w:numId="1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3"/>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6"/>
  </w:num>
  <w:num w:numId="20">
    <w:abstractNumId w:val="17"/>
  </w:num>
  <w:num w:numId="21">
    <w:abstractNumId w:val="2"/>
  </w:num>
  <w:num w:numId="22">
    <w:abstractNumId w:val="7"/>
  </w:num>
  <w:num w:numId="23">
    <w:abstractNumId w:val="4"/>
  </w:num>
  <w:num w:numId="24">
    <w:abstractNumId w:val="4"/>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4"/>
  </w:num>
  <w:num w:numId="26">
    <w:abstractNumId w:val="4"/>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1"/>
  </w:num>
  <w:num w:numId="3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675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2 – 28 November 2015.docx"/>
  </w:docVars>
  <w:rsids>
    <w:rsidRoot w:val="005F18AD"/>
    <w:rsid w:val="000013C1"/>
    <w:rsid w:val="00001BFB"/>
    <w:rsid w:val="00002313"/>
    <w:rsid w:val="00004A63"/>
    <w:rsid w:val="00010025"/>
    <w:rsid w:val="000123CA"/>
    <w:rsid w:val="00020978"/>
    <w:rsid w:val="0002268D"/>
    <w:rsid w:val="00026463"/>
    <w:rsid w:val="00027115"/>
    <w:rsid w:val="000323BA"/>
    <w:rsid w:val="00033456"/>
    <w:rsid w:val="00040F6B"/>
    <w:rsid w:val="00051565"/>
    <w:rsid w:val="000552AF"/>
    <w:rsid w:val="00055584"/>
    <w:rsid w:val="00061656"/>
    <w:rsid w:val="0006609A"/>
    <w:rsid w:val="00073D01"/>
    <w:rsid w:val="00076046"/>
    <w:rsid w:val="000813BF"/>
    <w:rsid w:val="0008491C"/>
    <w:rsid w:val="00085092"/>
    <w:rsid w:val="00087318"/>
    <w:rsid w:val="000876E7"/>
    <w:rsid w:val="00093854"/>
    <w:rsid w:val="000974A2"/>
    <w:rsid w:val="00097D40"/>
    <w:rsid w:val="000B4A1F"/>
    <w:rsid w:val="000B6257"/>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242D"/>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D243E"/>
    <w:rsid w:val="001E79FF"/>
    <w:rsid w:val="001F0F9B"/>
    <w:rsid w:val="002052B6"/>
    <w:rsid w:val="00206559"/>
    <w:rsid w:val="002168D4"/>
    <w:rsid w:val="002209FD"/>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2A16"/>
    <w:rsid w:val="002A30E7"/>
    <w:rsid w:val="002A3E5D"/>
    <w:rsid w:val="002A46AC"/>
    <w:rsid w:val="002A5634"/>
    <w:rsid w:val="002A5F7D"/>
    <w:rsid w:val="002B07AD"/>
    <w:rsid w:val="002B1803"/>
    <w:rsid w:val="002B3D3C"/>
    <w:rsid w:val="002B4D21"/>
    <w:rsid w:val="002C0499"/>
    <w:rsid w:val="002C2576"/>
    <w:rsid w:val="002C7EA6"/>
    <w:rsid w:val="002D0C16"/>
    <w:rsid w:val="002D59B3"/>
    <w:rsid w:val="002D5CEC"/>
    <w:rsid w:val="002E0688"/>
    <w:rsid w:val="002E2C96"/>
    <w:rsid w:val="002E2E46"/>
    <w:rsid w:val="002E7E9E"/>
    <w:rsid w:val="002F0AE7"/>
    <w:rsid w:val="002F139A"/>
    <w:rsid w:val="002F4250"/>
    <w:rsid w:val="0030240F"/>
    <w:rsid w:val="00311A09"/>
    <w:rsid w:val="00314A8B"/>
    <w:rsid w:val="003212F8"/>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49D2"/>
    <w:rsid w:val="00387B66"/>
    <w:rsid w:val="00396C2C"/>
    <w:rsid w:val="00396C7A"/>
    <w:rsid w:val="003977B4"/>
    <w:rsid w:val="003B0AAD"/>
    <w:rsid w:val="003B65E0"/>
    <w:rsid w:val="003C5272"/>
    <w:rsid w:val="003C5482"/>
    <w:rsid w:val="003D59BF"/>
    <w:rsid w:val="003E2FCE"/>
    <w:rsid w:val="003E313D"/>
    <w:rsid w:val="003E5EE5"/>
    <w:rsid w:val="003F11E0"/>
    <w:rsid w:val="003F3391"/>
    <w:rsid w:val="003F44AD"/>
    <w:rsid w:val="003F44B7"/>
    <w:rsid w:val="003F51E6"/>
    <w:rsid w:val="003F7FD2"/>
    <w:rsid w:val="0040076C"/>
    <w:rsid w:val="004055AC"/>
    <w:rsid w:val="00411C3F"/>
    <w:rsid w:val="004149DB"/>
    <w:rsid w:val="00421FFF"/>
    <w:rsid w:val="00433231"/>
    <w:rsid w:val="00434FC1"/>
    <w:rsid w:val="004420C4"/>
    <w:rsid w:val="00442306"/>
    <w:rsid w:val="00442756"/>
    <w:rsid w:val="00445D38"/>
    <w:rsid w:val="00447C09"/>
    <w:rsid w:val="004505EA"/>
    <w:rsid w:val="0045204B"/>
    <w:rsid w:val="00452149"/>
    <w:rsid w:val="00452AAD"/>
    <w:rsid w:val="004560B0"/>
    <w:rsid w:val="00460629"/>
    <w:rsid w:val="00461D27"/>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20BF"/>
    <w:rsid w:val="004F3510"/>
    <w:rsid w:val="004F3D13"/>
    <w:rsid w:val="004F75AB"/>
    <w:rsid w:val="00502181"/>
    <w:rsid w:val="00505139"/>
    <w:rsid w:val="00514A82"/>
    <w:rsid w:val="005157B0"/>
    <w:rsid w:val="005178FC"/>
    <w:rsid w:val="00522E00"/>
    <w:rsid w:val="005244DA"/>
    <w:rsid w:val="0053609E"/>
    <w:rsid w:val="00541108"/>
    <w:rsid w:val="00547827"/>
    <w:rsid w:val="00563C94"/>
    <w:rsid w:val="00564C71"/>
    <w:rsid w:val="0056618C"/>
    <w:rsid w:val="00577C77"/>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5F72EC"/>
    <w:rsid w:val="00601A25"/>
    <w:rsid w:val="00601C18"/>
    <w:rsid w:val="00601E71"/>
    <w:rsid w:val="0060661E"/>
    <w:rsid w:val="00612663"/>
    <w:rsid w:val="00645036"/>
    <w:rsid w:val="00647DD2"/>
    <w:rsid w:val="006520EE"/>
    <w:rsid w:val="00652A42"/>
    <w:rsid w:val="00653845"/>
    <w:rsid w:val="006540A8"/>
    <w:rsid w:val="00656D3B"/>
    <w:rsid w:val="006705A4"/>
    <w:rsid w:val="006722EB"/>
    <w:rsid w:val="00686F6E"/>
    <w:rsid w:val="00692BF4"/>
    <w:rsid w:val="00693187"/>
    <w:rsid w:val="00697E41"/>
    <w:rsid w:val="006A5317"/>
    <w:rsid w:val="006A7228"/>
    <w:rsid w:val="006B004C"/>
    <w:rsid w:val="006C1858"/>
    <w:rsid w:val="006C242A"/>
    <w:rsid w:val="006C2B2B"/>
    <w:rsid w:val="006C57B2"/>
    <w:rsid w:val="006C5A2C"/>
    <w:rsid w:val="006C6D60"/>
    <w:rsid w:val="006D6E0B"/>
    <w:rsid w:val="006E1063"/>
    <w:rsid w:val="006E312B"/>
    <w:rsid w:val="006E3BBB"/>
    <w:rsid w:val="006E40BD"/>
    <w:rsid w:val="006E4BB4"/>
    <w:rsid w:val="006E6C02"/>
    <w:rsid w:val="006E7E57"/>
    <w:rsid w:val="006F3A5D"/>
    <w:rsid w:val="006F4169"/>
    <w:rsid w:val="007001FF"/>
    <w:rsid w:val="0070302E"/>
    <w:rsid w:val="007059A9"/>
    <w:rsid w:val="00706720"/>
    <w:rsid w:val="00710600"/>
    <w:rsid w:val="0071106C"/>
    <w:rsid w:val="00715BED"/>
    <w:rsid w:val="00716B82"/>
    <w:rsid w:val="007201F8"/>
    <w:rsid w:val="007209C0"/>
    <w:rsid w:val="00722B62"/>
    <w:rsid w:val="00723BEF"/>
    <w:rsid w:val="0072650E"/>
    <w:rsid w:val="007306EC"/>
    <w:rsid w:val="00740EE4"/>
    <w:rsid w:val="00747724"/>
    <w:rsid w:val="00750C08"/>
    <w:rsid w:val="00750C0F"/>
    <w:rsid w:val="00763150"/>
    <w:rsid w:val="0076429B"/>
    <w:rsid w:val="00765744"/>
    <w:rsid w:val="00767397"/>
    <w:rsid w:val="00773AE0"/>
    <w:rsid w:val="00776BBA"/>
    <w:rsid w:val="00777426"/>
    <w:rsid w:val="00781A4A"/>
    <w:rsid w:val="00791198"/>
    <w:rsid w:val="00792386"/>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363A6"/>
    <w:rsid w:val="00837429"/>
    <w:rsid w:val="00870B16"/>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15B70"/>
    <w:rsid w:val="00936A7B"/>
    <w:rsid w:val="00937543"/>
    <w:rsid w:val="00942622"/>
    <w:rsid w:val="00942640"/>
    <w:rsid w:val="00950C55"/>
    <w:rsid w:val="00951926"/>
    <w:rsid w:val="00956CE9"/>
    <w:rsid w:val="009629B5"/>
    <w:rsid w:val="009630F3"/>
    <w:rsid w:val="0097287B"/>
    <w:rsid w:val="0097481E"/>
    <w:rsid w:val="00976584"/>
    <w:rsid w:val="00987973"/>
    <w:rsid w:val="00990F83"/>
    <w:rsid w:val="009962A0"/>
    <w:rsid w:val="009A04DD"/>
    <w:rsid w:val="009A559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2DFF"/>
    <w:rsid w:val="009E74E3"/>
    <w:rsid w:val="009F43B1"/>
    <w:rsid w:val="009F4655"/>
    <w:rsid w:val="009F4DF7"/>
    <w:rsid w:val="009F6FA3"/>
    <w:rsid w:val="00A0223D"/>
    <w:rsid w:val="00A07776"/>
    <w:rsid w:val="00A13F97"/>
    <w:rsid w:val="00A156EE"/>
    <w:rsid w:val="00A200D0"/>
    <w:rsid w:val="00A25CB5"/>
    <w:rsid w:val="00A26940"/>
    <w:rsid w:val="00A270DD"/>
    <w:rsid w:val="00A324A8"/>
    <w:rsid w:val="00A349B0"/>
    <w:rsid w:val="00A475A2"/>
    <w:rsid w:val="00A51DDD"/>
    <w:rsid w:val="00A55660"/>
    <w:rsid w:val="00A55C96"/>
    <w:rsid w:val="00A55D2E"/>
    <w:rsid w:val="00A642B8"/>
    <w:rsid w:val="00A66FD2"/>
    <w:rsid w:val="00A67716"/>
    <w:rsid w:val="00A677D8"/>
    <w:rsid w:val="00A76C63"/>
    <w:rsid w:val="00A834DF"/>
    <w:rsid w:val="00A91C53"/>
    <w:rsid w:val="00A936AE"/>
    <w:rsid w:val="00A979FF"/>
    <w:rsid w:val="00AA1D87"/>
    <w:rsid w:val="00AC7F82"/>
    <w:rsid w:val="00AD3EBD"/>
    <w:rsid w:val="00AE03A4"/>
    <w:rsid w:val="00AE309F"/>
    <w:rsid w:val="00AE4633"/>
    <w:rsid w:val="00AE748C"/>
    <w:rsid w:val="00AF2164"/>
    <w:rsid w:val="00AF2281"/>
    <w:rsid w:val="00B00058"/>
    <w:rsid w:val="00B07570"/>
    <w:rsid w:val="00B1081E"/>
    <w:rsid w:val="00B16118"/>
    <w:rsid w:val="00B17A8A"/>
    <w:rsid w:val="00B24A61"/>
    <w:rsid w:val="00B254F8"/>
    <w:rsid w:val="00B30EB3"/>
    <w:rsid w:val="00B3322A"/>
    <w:rsid w:val="00B33F8C"/>
    <w:rsid w:val="00B37B77"/>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43A38"/>
    <w:rsid w:val="00C560C2"/>
    <w:rsid w:val="00C60857"/>
    <w:rsid w:val="00C75920"/>
    <w:rsid w:val="00C77937"/>
    <w:rsid w:val="00C80FD8"/>
    <w:rsid w:val="00C81E73"/>
    <w:rsid w:val="00C83657"/>
    <w:rsid w:val="00C859CC"/>
    <w:rsid w:val="00C94431"/>
    <w:rsid w:val="00C9498F"/>
    <w:rsid w:val="00C950DC"/>
    <w:rsid w:val="00C95D24"/>
    <w:rsid w:val="00CA0217"/>
    <w:rsid w:val="00CA0EE1"/>
    <w:rsid w:val="00CB080E"/>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16C03"/>
    <w:rsid w:val="00E2040E"/>
    <w:rsid w:val="00E2256B"/>
    <w:rsid w:val="00E27FEA"/>
    <w:rsid w:val="00E37A86"/>
    <w:rsid w:val="00E37D12"/>
    <w:rsid w:val="00E40361"/>
    <w:rsid w:val="00E41452"/>
    <w:rsid w:val="00E524B2"/>
    <w:rsid w:val="00E52E2A"/>
    <w:rsid w:val="00E556E9"/>
    <w:rsid w:val="00E73C2E"/>
    <w:rsid w:val="00E74D68"/>
    <w:rsid w:val="00E7639D"/>
    <w:rsid w:val="00E76D89"/>
    <w:rsid w:val="00E77449"/>
    <w:rsid w:val="00E7755A"/>
    <w:rsid w:val="00E8378F"/>
    <w:rsid w:val="00E86AAA"/>
    <w:rsid w:val="00E92A99"/>
    <w:rsid w:val="00E92E1D"/>
    <w:rsid w:val="00E93C7C"/>
    <w:rsid w:val="00E94C7D"/>
    <w:rsid w:val="00EA2F65"/>
    <w:rsid w:val="00EA4813"/>
    <w:rsid w:val="00EA6E29"/>
    <w:rsid w:val="00EB1349"/>
    <w:rsid w:val="00EC1C03"/>
    <w:rsid w:val="00ED182D"/>
    <w:rsid w:val="00ED5E08"/>
    <w:rsid w:val="00EE2AA3"/>
    <w:rsid w:val="00EE2B5F"/>
    <w:rsid w:val="00EE49F3"/>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228C"/>
    <w:rsid w:val="00F73DCA"/>
    <w:rsid w:val="00F76C75"/>
    <w:rsid w:val="00F77722"/>
    <w:rsid w:val="00F803DE"/>
    <w:rsid w:val="00F96C04"/>
    <w:rsid w:val="00F976F4"/>
    <w:rsid w:val="00FB1F75"/>
    <w:rsid w:val="00FB3934"/>
    <w:rsid w:val="00FB594A"/>
    <w:rsid w:val="00FB7DD0"/>
    <w:rsid w:val="00FC1626"/>
    <w:rsid w:val="00FC4B88"/>
    <w:rsid w:val="00FD08B1"/>
    <w:rsid w:val="00FD7009"/>
    <w:rsid w:val="00FD7231"/>
    <w:rsid w:val="00FE0150"/>
    <w:rsid w:val="00FE72E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er.gov.au/node/456" TargetMode="External"/><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hyperlink" Target="http://www.aer.gov.au/node/451"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ww.aer.gov.au/node/451" TargetMode="External"/><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C2788A-5192-4259-839D-00FC7EBF7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750B1372.dotm</Template>
  <TotalTime>0</TotalTime>
  <Pages>14</Pages>
  <Words>2378</Words>
  <Characters>11358</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13709</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2015-12-15T04:54:00Z</dcterms:created>
  <dcterms:modified xsi:type="dcterms:W3CDTF">2015-12-15T04:55:00Z</dcterms:modified>
</cp:coreProperties>
</file>