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CF10E8" w:rsidP="004420C4">
      <w:pPr>
        <w:pStyle w:val="Heading1"/>
        <w:numPr>
          <w:ilvl w:val="0"/>
          <w:numId w:val="0"/>
        </w:numPr>
        <w:spacing w:before="120" w:after="0"/>
        <w:ind w:left="142"/>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8"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9"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153208" w:rsidP="004420C4">
      <w:pPr>
        <w:pStyle w:val="Heading2"/>
        <w:numPr>
          <w:ilvl w:val="0"/>
          <w:numId w:val="0"/>
        </w:numPr>
        <w:rPr>
          <w:i w:val="0"/>
        </w:rPr>
      </w:pPr>
      <w:r>
        <w:rPr>
          <w:i w:val="0"/>
          <w:sz w:val="36"/>
          <w:szCs w:val="36"/>
        </w:rPr>
        <w:t xml:space="preserve">20 </w:t>
      </w:r>
      <w:r w:rsidR="0080364F">
        <w:rPr>
          <w:i w:val="0"/>
          <w:sz w:val="36"/>
          <w:szCs w:val="36"/>
        </w:rPr>
        <w:t>–</w:t>
      </w:r>
      <w:r>
        <w:rPr>
          <w:i w:val="0"/>
          <w:sz w:val="36"/>
          <w:szCs w:val="36"/>
        </w:rPr>
        <w:t xml:space="preserve"> 26</w:t>
      </w:r>
      <w:r w:rsidR="0080364F">
        <w:rPr>
          <w:i w:val="0"/>
          <w:sz w:val="36"/>
          <w:szCs w:val="36"/>
        </w:rPr>
        <w:t xml:space="preserve"> </w:t>
      </w:r>
      <w:r>
        <w:rPr>
          <w:i w:val="0"/>
          <w:sz w:val="36"/>
          <w:szCs w:val="36"/>
        </w:rPr>
        <w:t>September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80364F" w:rsidRDefault="0080364F" w:rsidP="00345444">
      <w:pPr>
        <w:pStyle w:val="AERbodytext"/>
        <w:spacing w:line="240" w:lineRule="auto"/>
        <w:jc w:val="both"/>
      </w:pPr>
      <w:r w:rsidRPr="0080364F">
        <w:t>Prices increased across all regions this week. Brisbane reached a maximum price of $6.67/GJ on 24 September. Prices in Sydney were steady at around $5.85/GJ from 23 September.</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BE147C" w:rsidRPr="0091453B" w:rsidTr="00350E4F">
        <w:trPr>
          <w:trHeight w:val="510"/>
        </w:trPr>
        <w:tc>
          <w:tcPr>
            <w:tcW w:w="1928"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20 Sep - 26 Sep 2015</w:t>
            </w:r>
          </w:p>
        </w:tc>
        <w:tc>
          <w:tcPr>
            <w:tcW w:w="750"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4.81</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5.51</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4.97</w:t>
            </w:r>
          </w:p>
        </w:tc>
        <w:tc>
          <w:tcPr>
            <w:tcW w:w="823"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4.58</w:t>
            </w:r>
          </w:p>
        </w:tc>
      </w:tr>
      <w:tr w:rsidR="00BE147C" w:rsidRPr="0091453B" w:rsidTr="00350E4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 change from previous week</w:t>
            </w:r>
          </w:p>
        </w:tc>
        <w:tc>
          <w:tcPr>
            <w:tcW w:w="750"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18</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19</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11</w:t>
            </w:r>
          </w:p>
        </w:tc>
        <w:tc>
          <w:tcPr>
            <w:tcW w:w="823"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25</w:t>
            </w:r>
          </w:p>
        </w:tc>
      </w:tr>
      <w:tr w:rsidR="00BE147C" w:rsidRPr="0091453B" w:rsidTr="00350E4F">
        <w:trPr>
          <w:trHeight w:val="510"/>
        </w:trPr>
        <w:tc>
          <w:tcPr>
            <w:tcW w:w="1928"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15-16 financial YTD</w:t>
            </w:r>
          </w:p>
        </w:tc>
        <w:tc>
          <w:tcPr>
            <w:tcW w:w="750"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4.70</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5.06</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5.71</w:t>
            </w:r>
          </w:p>
        </w:tc>
        <w:tc>
          <w:tcPr>
            <w:tcW w:w="823"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4.23</w:t>
            </w:r>
          </w:p>
        </w:tc>
      </w:tr>
      <w:tr w:rsidR="00BE147C" w:rsidRPr="0091453B" w:rsidTr="00350E4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BE147C" w:rsidRDefault="00BE147C" w:rsidP="00153208">
            <w:pPr>
              <w:spacing w:before="0" w:after="0"/>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30</w:t>
            </w:r>
          </w:p>
        </w:tc>
        <w:tc>
          <w:tcPr>
            <w:tcW w:w="74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48</w:t>
            </w:r>
          </w:p>
        </w:tc>
        <w:tc>
          <w:tcPr>
            <w:tcW w:w="823"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77</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BE147C" w:rsidRPr="0091453B" w:rsidTr="00A40EAF">
        <w:trPr>
          <w:trHeight w:val="510"/>
        </w:trPr>
        <w:tc>
          <w:tcPr>
            <w:tcW w:w="1928"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20 Sep - 26 Sep 2015</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4.81</w:t>
            </w:r>
          </w:p>
        </w:tc>
        <w:tc>
          <w:tcPr>
            <w:tcW w:w="1124"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w:t>
            </w:r>
          </w:p>
        </w:tc>
        <w:tc>
          <w:tcPr>
            <w:tcW w:w="119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723</w:t>
            </w:r>
          </w:p>
        </w:tc>
      </w:tr>
      <w:tr w:rsidR="00BE147C" w:rsidRPr="0091453B" w:rsidTr="00A40EA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 change from previous week</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18</w:t>
            </w:r>
          </w:p>
        </w:tc>
        <w:tc>
          <w:tcPr>
            <w:tcW w:w="1124"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w:t>
            </w:r>
          </w:p>
        </w:tc>
        <w:tc>
          <w:tcPr>
            <w:tcW w:w="119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17</w:t>
            </w:r>
          </w:p>
        </w:tc>
      </w:tr>
      <w:tr w:rsidR="00BE147C" w:rsidRPr="0091453B" w:rsidTr="00A40EAF">
        <w:trPr>
          <w:trHeight w:val="510"/>
        </w:trPr>
        <w:tc>
          <w:tcPr>
            <w:tcW w:w="1928"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15-16 financial YTD</w:t>
            </w:r>
          </w:p>
        </w:tc>
        <w:tc>
          <w:tcPr>
            <w:tcW w:w="74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4.70</w:t>
            </w:r>
          </w:p>
        </w:tc>
        <w:tc>
          <w:tcPr>
            <w:tcW w:w="1124"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w:t>
            </w:r>
          </w:p>
        </w:tc>
        <w:tc>
          <w:tcPr>
            <w:tcW w:w="119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897</w:t>
            </w:r>
          </w:p>
        </w:tc>
      </w:tr>
      <w:tr w:rsidR="00BE147C" w:rsidRPr="0091453B" w:rsidTr="00A40EA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BE147C" w:rsidRDefault="00BE147C" w:rsidP="00153208">
            <w:pPr>
              <w:spacing w:before="0" w:after="0"/>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11</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BE147C" w:rsidRPr="00405CDE" w:rsidTr="001C7ABB">
        <w:trPr>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20 Sep - 26 Sep 2015</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5.51</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5.64</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20.52</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251</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249</w:t>
            </w:r>
          </w:p>
        </w:tc>
      </w:tr>
      <w:tr w:rsidR="00BE147C" w:rsidRPr="00405CDE" w:rsidTr="001C7AB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 change from previous week</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19</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38</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25</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7</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10</w:t>
            </w:r>
          </w:p>
        </w:tc>
      </w:tr>
      <w:tr w:rsidR="00BE147C" w:rsidRPr="00405CDE" w:rsidTr="001C7ABB">
        <w:trPr>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15-16 financial YTD</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5.06</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4.88</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27.03</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275</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271</w:t>
            </w:r>
          </w:p>
        </w:tc>
      </w:tr>
      <w:tr w:rsidR="00BE147C" w:rsidRPr="00405CDE" w:rsidTr="001C7AB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BE147C" w:rsidRDefault="00BE147C" w:rsidP="00153208">
            <w:pPr>
              <w:spacing w:before="0" w:after="0"/>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30</w:t>
            </w:r>
          </w:p>
        </w:tc>
        <w:tc>
          <w:tcPr>
            <w:tcW w:w="758"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21</w:t>
            </w:r>
          </w:p>
        </w:tc>
        <w:tc>
          <w:tcPr>
            <w:tcW w:w="75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43</w:t>
            </w:r>
          </w:p>
        </w:tc>
        <w:tc>
          <w:tcPr>
            <w:tcW w:w="685"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-6</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BE147C" w:rsidRPr="00405CDE" w:rsidTr="001F4F9B">
        <w:trPr>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20 Sep - 26 Sep 2015</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4.97</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4.81</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14.17</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73</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68</w:t>
            </w:r>
          </w:p>
        </w:tc>
      </w:tr>
      <w:tr w:rsidR="00BE147C" w:rsidRPr="00405CDE" w:rsidTr="001F4F9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 change from previous week</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11</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9</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-39</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6</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w:t>
            </w:r>
          </w:p>
        </w:tc>
      </w:tr>
      <w:tr w:rsidR="00BE147C" w:rsidRPr="00405CDE" w:rsidTr="001F4F9B">
        <w:trPr>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15-16 financial YTD</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5.71</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5.74</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13.72</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85</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84</w:t>
            </w:r>
          </w:p>
        </w:tc>
      </w:tr>
      <w:tr w:rsidR="00BE147C" w:rsidRPr="00405CDE" w:rsidTr="001F4F9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BE147C" w:rsidRDefault="00BE147C" w:rsidP="00153208">
            <w:pPr>
              <w:spacing w:before="0" w:after="0"/>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48</w:t>
            </w:r>
          </w:p>
        </w:tc>
        <w:tc>
          <w:tcPr>
            <w:tcW w:w="758"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51</w:t>
            </w:r>
          </w:p>
        </w:tc>
        <w:tc>
          <w:tcPr>
            <w:tcW w:w="75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-9</w:t>
            </w:r>
          </w:p>
        </w:tc>
        <w:tc>
          <w:tcPr>
            <w:tcW w:w="685"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-1</w:t>
            </w:r>
          </w:p>
        </w:tc>
        <w:tc>
          <w:tcPr>
            <w:tcW w:w="608"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-1</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BE147C" w:rsidRPr="00405CDE" w:rsidTr="00711568">
        <w:trPr>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20 Sep - 26 Sep 2015</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4.58</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4.71</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2.26</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92</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91</w:t>
            </w:r>
          </w:p>
        </w:tc>
      </w:tr>
      <w:tr w:rsidR="00BE147C" w:rsidRPr="00405CDE" w:rsidTr="0071156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 change from previous week</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25</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24</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50</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0</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w:t>
            </w:r>
          </w:p>
        </w:tc>
      </w:tr>
      <w:tr w:rsidR="00BE147C" w:rsidRPr="00405CDE" w:rsidTr="00711568">
        <w:trPr>
          <w:trHeight w:val="510"/>
        </w:trPr>
        <w:tc>
          <w:tcPr>
            <w:tcW w:w="1430" w:type="pct"/>
            <w:tcBorders>
              <w:top w:val="nil"/>
              <w:bottom w:val="nil"/>
            </w:tcBorders>
            <w:vAlign w:val="center"/>
          </w:tcPr>
          <w:p w:rsidR="00BE147C" w:rsidRDefault="00BE147C" w:rsidP="00153208">
            <w:pPr>
              <w:spacing w:before="0" w:after="0"/>
              <w:rPr>
                <w:rFonts w:cs="Arial"/>
                <w:sz w:val="20"/>
                <w:szCs w:val="20"/>
              </w:rPr>
            </w:pPr>
            <w:r>
              <w:rPr>
                <w:rFonts w:cs="Arial"/>
                <w:sz w:val="20"/>
                <w:szCs w:val="20"/>
              </w:rPr>
              <w:t>15-16 financial YTD</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4.23</w:t>
            </w:r>
          </w:p>
        </w:tc>
        <w:tc>
          <w:tcPr>
            <w:tcW w:w="75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4.15</w:t>
            </w:r>
          </w:p>
        </w:tc>
        <w:tc>
          <w:tcPr>
            <w:tcW w:w="759"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1.43</w:t>
            </w:r>
          </w:p>
        </w:tc>
        <w:tc>
          <w:tcPr>
            <w:tcW w:w="685"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95</w:t>
            </w:r>
          </w:p>
        </w:tc>
        <w:tc>
          <w:tcPr>
            <w:tcW w:w="608" w:type="pct"/>
            <w:tcBorders>
              <w:top w:val="nil"/>
              <w:bottom w:val="nil"/>
            </w:tcBorders>
            <w:vAlign w:val="center"/>
          </w:tcPr>
          <w:p w:rsidR="00BE147C" w:rsidRDefault="00BE147C" w:rsidP="00153208">
            <w:pPr>
              <w:spacing w:before="0" w:after="0"/>
              <w:jc w:val="center"/>
              <w:rPr>
                <w:rFonts w:cs="Arial"/>
                <w:sz w:val="20"/>
                <w:szCs w:val="20"/>
              </w:rPr>
            </w:pPr>
            <w:r>
              <w:rPr>
                <w:rFonts w:cs="Arial"/>
                <w:sz w:val="20"/>
                <w:szCs w:val="20"/>
              </w:rPr>
              <w:t>95</w:t>
            </w:r>
          </w:p>
        </w:tc>
      </w:tr>
      <w:tr w:rsidR="00BE147C" w:rsidRPr="00405CDE" w:rsidTr="0071156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BE147C" w:rsidRDefault="00BE147C" w:rsidP="00153208">
            <w:pPr>
              <w:spacing w:before="0" w:after="0"/>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77</w:t>
            </w:r>
          </w:p>
        </w:tc>
        <w:tc>
          <w:tcPr>
            <w:tcW w:w="758"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75</w:t>
            </w:r>
          </w:p>
        </w:tc>
        <w:tc>
          <w:tcPr>
            <w:tcW w:w="759"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29</w:t>
            </w:r>
          </w:p>
        </w:tc>
        <w:tc>
          <w:tcPr>
            <w:tcW w:w="685"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-42</w:t>
            </w:r>
          </w:p>
        </w:tc>
        <w:tc>
          <w:tcPr>
            <w:tcW w:w="608" w:type="pct"/>
            <w:tcBorders>
              <w:top w:val="nil"/>
              <w:bottom w:val="single" w:sz="4" w:space="0" w:color="auto"/>
            </w:tcBorders>
            <w:vAlign w:val="center"/>
          </w:tcPr>
          <w:p w:rsidR="00BE147C" w:rsidRDefault="00BE147C" w:rsidP="00153208">
            <w:pPr>
              <w:spacing w:before="0" w:after="0"/>
              <w:jc w:val="center"/>
              <w:rPr>
                <w:rFonts w:cs="Arial"/>
                <w:sz w:val="20"/>
                <w:szCs w:val="20"/>
              </w:rPr>
            </w:pPr>
            <w:r>
              <w:rPr>
                <w:rFonts w:cs="Arial"/>
                <w:sz w:val="20"/>
                <w:szCs w:val="20"/>
              </w:rPr>
              <w:t>-42</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lastRenderedPageBreak/>
        <w:t>Significant</w:t>
      </w:r>
      <w:r w:rsidR="006E7E57">
        <w:rPr>
          <w:color w:val="2272A3"/>
        </w:rPr>
        <w:t xml:space="preserve"> Market Events or Issues this week</w:t>
      </w:r>
    </w:p>
    <w:p w:rsidR="002612ED" w:rsidRPr="002612ED" w:rsidRDefault="002612ED" w:rsidP="002612ED">
      <w:pPr>
        <w:jc w:val="both"/>
        <w:rPr>
          <w:rFonts w:eastAsia="MS Mincho"/>
        </w:rPr>
      </w:pPr>
      <w:r w:rsidRPr="002612ED">
        <w:rPr>
          <w:rFonts w:eastAsia="MS Mincho"/>
        </w:rPr>
        <w:t>On the 24 September gas day, Victorian metered injections at the Longford production facility reduced from flowing 28.8 TJ/hour to zero for two hours of the 10 pm schedule (see figure 1.5).</w:t>
      </w:r>
      <w:r w:rsidR="008C115E">
        <w:rPr>
          <w:rStyle w:val="FootnoteReference"/>
          <w:rFonts w:eastAsia="MS Mincho"/>
        </w:rPr>
        <w:footnoteReference w:id="2"/>
      </w:r>
      <w:r w:rsidRPr="002612ED">
        <w:rPr>
          <w:rFonts w:eastAsia="MS Mincho"/>
        </w:rPr>
        <w:t xml:space="preserve"> </w:t>
      </w:r>
    </w:p>
    <w:p w:rsidR="001835B2" w:rsidRPr="00BB0E60" w:rsidRDefault="00A3267A" w:rsidP="001B3823">
      <w:pPr>
        <w:jc w:val="both"/>
      </w:pPr>
      <w:r>
        <w:t>On Thursday 24 September, the price in Sydney decreased from $5.85/GJ to $4.05/GJ in the ex post schedule.</w:t>
      </w:r>
      <w:r>
        <w:rPr>
          <w:rStyle w:val="FootnoteReference"/>
        </w:rPr>
        <w:footnoteReference w:id="3"/>
      </w:r>
      <w:r w:rsidR="00BC57B6">
        <w:t xml:space="preserve"> </w:t>
      </w:r>
      <w:r w:rsidR="0094451C">
        <w:t xml:space="preserve">Demand was under forecast </w:t>
      </w:r>
      <w:r w:rsidR="00A62ADF">
        <w:t>by nearly 35 TJ o</w:t>
      </w:r>
      <w:r w:rsidR="002612ED" w:rsidRPr="00BB0E60">
        <w:t>n Friday 25 September</w:t>
      </w:r>
      <w:r w:rsidR="00853412">
        <w:t>.</w:t>
      </w:r>
      <w:r w:rsidR="00D87C69" w:rsidRPr="00BB0E60">
        <w:rPr>
          <w:rStyle w:val="FootnoteReference"/>
        </w:rPr>
        <w:footnoteReference w:id="4"/>
      </w:r>
      <w:r w:rsidR="00853412">
        <w:t xml:space="preserve"> This </w:t>
      </w:r>
      <w:r w:rsidR="00A62ADF">
        <w:t>resulted in</w:t>
      </w:r>
      <w:r w:rsidR="002612ED" w:rsidRPr="00BB0E60">
        <w:t xml:space="preserve"> the ex post price in Sydney increas</w:t>
      </w:r>
      <w:r w:rsidR="00A62ADF">
        <w:t xml:space="preserve">ing </w:t>
      </w:r>
      <w:r w:rsidR="002612ED" w:rsidRPr="00BB0E60">
        <w:t>to $9.05/GJ</w:t>
      </w:r>
      <w:r w:rsidR="00A62670" w:rsidRPr="00BB0E60">
        <w:t>.</w:t>
      </w:r>
      <w:r w:rsidR="00DE7B09" w:rsidRPr="00BB0E60">
        <w:t xml:space="preserve"> While additional supply was renominated there was still a MOS increase requirement above 10 TJ for the gas day</w:t>
      </w:r>
      <w:r w:rsidR="008C115E">
        <w:t xml:space="preserve"> (see figure</w:t>
      </w:r>
      <w:r w:rsidR="00C60F6D">
        <w:t xml:space="preserve">s 2.3 and </w:t>
      </w:r>
      <w:r w:rsidR="008C115E">
        <w:t>2.4)</w:t>
      </w:r>
      <w:r w:rsidR="00DE7B09" w:rsidRPr="00BB0E60">
        <w:t>.</w:t>
      </w:r>
      <w:r w:rsidR="00A32D66">
        <w:rPr>
          <w:rStyle w:val="FootnoteReference"/>
        </w:rPr>
        <w:footnoteReference w:id="5"/>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CF10E8">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8" o:title="AER-header for report templates"/>
          </v:shape>
        </w:pict>
      </w:r>
      <w:r w:rsidR="00CF10E8">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9"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153208" w:rsidP="004420C4">
      <w:pPr>
        <w:pStyle w:val="Heading2"/>
        <w:numPr>
          <w:ilvl w:val="0"/>
          <w:numId w:val="0"/>
        </w:numPr>
        <w:rPr>
          <w:i w:val="0"/>
        </w:rPr>
      </w:pPr>
      <w:r w:rsidRPr="00153208">
        <w:rPr>
          <w:i w:val="0"/>
          <w:sz w:val="36"/>
          <w:szCs w:val="36"/>
        </w:rPr>
        <w:t>20 – 26 September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CF10E8" w:rsidP="00362B9A">
      <w:r>
        <w:pict>
          <v:shape id="_x0000_i1025" type="#_x0000_t75" style="width:476.15pt;height:137.2pt">
            <v:imagedata r:id="rId12"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CF10E8" w:rsidP="00362B9A">
      <w:r>
        <w:pict>
          <v:shape id="_x0000_i1026" type="#_x0000_t75" style="width:476.15pt;height:176.6pt">
            <v:imagedata r:id="rId13" o:title=""/>
          </v:shape>
        </w:pict>
      </w:r>
    </w:p>
    <w:p w:rsidR="00BC18FB" w:rsidRPr="00BB6AAB" w:rsidRDefault="00004A63" w:rsidP="00FF0D8A">
      <w:pPr>
        <w:pStyle w:val="Heading4"/>
        <w:ind w:hanging="338"/>
        <w:rPr>
          <w:color w:val="2272A3"/>
          <w:sz w:val="24"/>
        </w:rPr>
      </w:pPr>
      <w:r w:rsidRPr="00BB6AAB">
        <w:rPr>
          <w:color w:val="2272A3"/>
          <w:sz w:val="24"/>
        </w:rPr>
        <w:lastRenderedPageBreak/>
        <w:t>Injection bids by price bands</w:t>
      </w:r>
    </w:p>
    <w:p w:rsidR="00362B9A" w:rsidRPr="00362B9A" w:rsidRDefault="00CF10E8" w:rsidP="00362B9A">
      <w:r>
        <w:pict>
          <v:shape id="_x0000_i1027" type="#_x0000_t75" style="width:476.15pt;height:205.8pt">
            <v:imagedata r:id="rId14" o:title=""/>
          </v:shape>
        </w:pict>
      </w:r>
    </w:p>
    <w:p w:rsidR="00BC18FB" w:rsidRPr="00BB6AAB" w:rsidRDefault="00362B9A" w:rsidP="00FF0D8A">
      <w:pPr>
        <w:pStyle w:val="Heading4"/>
        <w:ind w:hanging="338"/>
        <w:rPr>
          <w:color w:val="2272A3"/>
          <w:sz w:val="24"/>
        </w:rPr>
      </w:pPr>
      <w:r w:rsidRPr="00BB6AAB">
        <w:rPr>
          <w:color w:val="2272A3"/>
          <w:sz w:val="24"/>
        </w:rPr>
        <w:t>Withdrawal bids by price bands</w:t>
      </w:r>
    </w:p>
    <w:p w:rsidR="00362B9A" w:rsidRPr="00362B9A" w:rsidRDefault="00CF10E8" w:rsidP="00362B9A">
      <w:r>
        <w:pict>
          <v:shape id="_x0000_i1028" type="#_x0000_t75" style="width:476.85pt;height:163pt">
            <v:imagedata r:id="rId15" o:title=""/>
          </v:shape>
        </w:pict>
      </w:r>
    </w:p>
    <w:p w:rsidR="00BC18FB" w:rsidRPr="00BB6AAB" w:rsidRDefault="00362B9A" w:rsidP="00FF0D8A">
      <w:pPr>
        <w:pStyle w:val="Heading4"/>
        <w:ind w:hanging="338"/>
        <w:rPr>
          <w:color w:val="2272A3"/>
          <w:sz w:val="24"/>
        </w:rPr>
      </w:pPr>
      <w:r w:rsidRPr="00BB6AAB">
        <w:rPr>
          <w:color w:val="2272A3"/>
          <w:sz w:val="24"/>
        </w:rPr>
        <w:t>Metered Injections by System Injection Point</w:t>
      </w:r>
    </w:p>
    <w:p w:rsidR="00BC18FB" w:rsidRDefault="00CF10E8" w:rsidP="00BC18FB">
      <w:r>
        <w:pict>
          <v:shape id="_x0000_i1029" type="#_x0000_t75" style="width:476.15pt;height:177.3pt">
            <v:imagedata r:id="rId16"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17"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A04B8" w:rsidRPr="00405CDE" w:rsidTr="00F114D5">
        <w:trPr>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ante price ($/GJ)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4.59</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5.49</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5.01</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5.89</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5.85</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5.86</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5.85</w:t>
            </w:r>
          </w:p>
        </w:tc>
      </w:tr>
      <w:tr w:rsidR="00EA04B8"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ante quantity (TJ)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216</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237</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255</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289</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287</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246</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227</w:t>
            </w:r>
          </w:p>
        </w:tc>
      </w:tr>
      <w:tr w:rsidR="00EA04B8" w:rsidRPr="00405CDE" w:rsidTr="00F114D5">
        <w:trPr>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post price ($/GJ)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4.31</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5.49</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4.89</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4.89</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4.05</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9.05</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6.78</w:t>
            </w:r>
          </w:p>
        </w:tc>
      </w:tr>
      <w:tr w:rsidR="00EA04B8"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A04B8" w:rsidRDefault="00EA04B8">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213</w:t>
            </w:r>
          </w:p>
        </w:tc>
        <w:tc>
          <w:tcPr>
            <w:tcW w:w="523"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238</w:t>
            </w:r>
          </w:p>
        </w:tc>
        <w:tc>
          <w:tcPr>
            <w:tcW w:w="606"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248</w:t>
            </w:r>
          </w:p>
        </w:tc>
        <w:tc>
          <w:tcPr>
            <w:tcW w:w="532"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277</w:t>
            </w:r>
          </w:p>
        </w:tc>
        <w:tc>
          <w:tcPr>
            <w:tcW w:w="525"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253</w:t>
            </w:r>
          </w:p>
        </w:tc>
        <w:tc>
          <w:tcPr>
            <w:tcW w:w="522"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282</w:t>
            </w:r>
          </w:p>
        </w:tc>
        <w:tc>
          <w:tcPr>
            <w:tcW w:w="595"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236</w:t>
            </w:r>
          </w:p>
        </w:tc>
      </w:tr>
    </w:tbl>
    <w:p w:rsidR="00BC18FB" w:rsidRPr="00BB6AAB" w:rsidRDefault="00362B9A" w:rsidP="00362B9A">
      <w:pPr>
        <w:pStyle w:val="Heading4"/>
        <w:ind w:left="340" w:hanging="340"/>
        <w:rPr>
          <w:color w:val="2272A3"/>
          <w:sz w:val="24"/>
          <w:szCs w:val="24"/>
        </w:rPr>
      </w:pPr>
      <w:r w:rsidRPr="00BB6AAB">
        <w:rPr>
          <w:color w:val="2272A3"/>
          <w:sz w:val="24"/>
          <w:szCs w:val="24"/>
        </w:rPr>
        <w:t>SYD daily hub offers and daily hub bids in price bands ($/GJ)</w:t>
      </w:r>
    </w:p>
    <w:p w:rsidR="00362B9A" w:rsidRPr="00362B9A" w:rsidRDefault="00CF10E8" w:rsidP="00362B9A">
      <w:r>
        <w:pict>
          <v:shape id="_x0000_i1030" type="#_x0000_t75" style="width:476.15pt;height:170.5pt">
            <v:imagedata r:id="rId18" o:title=""/>
          </v:shape>
        </w:pict>
      </w:r>
    </w:p>
    <w:p w:rsidR="00BC18FB" w:rsidRPr="00BB6AAB" w:rsidRDefault="00362B9A" w:rsidP="00FF0D8A">
      <w:pPr>
        <w:pStyle w:val="Heading4"/>
        <w:ind w:hanging="338"/>
        <w:rPr>
          <w:color w:val="2272A3"/>
          <w:sz w:val="24"/>
          <w:szCs w:val="24"/>
        </w:rPr>
      </w:pPr>
      <w:r w:rsidRPr="00BB6AAB">
        <w:rPr>
          <w:color w:val="2272A3"/>
          <w:sz w:val="24"/>
          <w:szCs w:val="24"/>
        </w:rPr>
        <w:lastRenderedPageBreak/>
        <w:t xml:space="preserve">SYD net scheduled and allocated </w:t>
      </w:r>
      <w:r w:rsidR="003625A6" w:rsidRPr="00BB6AAB">
        <w:rPr>
          <w:color w:val="2272A3"/>
          <w:sz w:val="24"/>
          <w:szCs w:val="24"/>
        </w:rPr>
        <w:t xml:space="preserve">gas hub supply </w:t>
      </w:r>
      <w:r w:rsidRPr="00BB6AAB">
        <w:rPr>
          <w:color w:val="2272A3"/>
          <w:sz w:val="24"/>
          <w:szCs w:val="24"/>
        </w:rPr>
        <w:t xml:space="preserve">(excluding MOS) </w:t>
      </w:r>
    </w:p>
    <w:p w:rsidR="00362B9A" w:rsidRPr="00362B9A" w:rsidRDefault="00CF10E8" w:rsidP="00362B9A">
      <w:r>
        <w:pict>
          <v:shape id="_x0000_i1031" type="#_x0000_t75" style="width:477.5pt;height:213.3pt">
            <v:imagedata r:id="rId19" o:title=""/>
          </v:shape>
        </w:pict>
      </w:r>
    </w:p>
    <w:p w:rsidR="00BC18FB" w:rsidRPr="00BB6AAB" w:rsidRDefault="00362B9A" w:rsidP="00FF0D8A">
      <w:pPr>
        <w:pStyle w:val="Heading4"/>
        <w:ind w:hanging="338"/>
        <w:rPr>
          <w:color w:val="2272A3"/>
          <w:sz w:val="24"/>
          <w:szCs w:val="24"/>
        </w:rPr>
      </w:pPr>
      <w:r w:rsidRPr="00BB6AAB">
        <w:rPr>
          <w:color w:val="2272A3"/>
          <w:sz w:val="24"/>
          <w:szCs w:val="24"/>
        </w:rPr>
        <w:t>SYD MOS allocations (TJ), service payments and commodity payments/charges ($000)</w:t>
      </w:r>
    </w:p>
    <w:p w:rsidR="00362B9A" w:rsidRDefault="00CF10E8" w:rsidP="00362B9A">
      <w:r>
        <w:pict>
          <v:shape id="_x0000_i1032" type="#_x0000_t75" style="width:476.15pt;height:180.7pt">
            <v:imagedata r:id="rId20"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A04B8" w:rsidRPr="00405CDE" w:rsidTr="006C5082">
        <w:trPr>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ante price ($/GJ)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4.48</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4.60</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5.01</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5.00</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5.40</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5.02</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5.30</w:t>
            </w:r>
          </w:p>
        </w:tc>
      </w:tr>
      <w:tr w:rsidR="00EA04B8"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ante quantity (TJ)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56</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77</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81</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84</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82</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73</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57</w:t>
            </w:r>
          </w:p>
        </w:tc>
      </w:tr>
      <w:tr w:rsidR="00EA04B8" w:rsidRPr="00405CDE" w:rsidTr="006C5082">
        <w:trPr>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post price ($/GJ)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4.31</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4.60</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5.01</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4.75</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5.12</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4.95</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4.95</w:t>
            </w:r>
          </w:p>
        </w:tc>
      </w:tr>
      <w:tr w:rsidR="00EA04B8"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A04B8" w:rsidRDefault="00EA04B8">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52</w:t>
            </w:r>
          </w:p>
        </w:tc>
        <w:tc>
          <w:tcPr>
            <w:tcW w:w="523"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72</w:t>
            </w:r>
          </w:p>
        </w:tc>
        <w:tc>
          <w:tcPr>
            <w:tcW w:w="606"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78</w:t>
            </w:r>
          </w:p>
        </w:tc>
        <w:tc>
          <w:tcPr>
            <w:tcW w:w="532"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79</w:t>
            </w:r>
          </w:p>
        </w:tc>
        <w:tc>
          <w:tcPr>
            <w:tcW w:w="525"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78</w:t>
            </w:r>
          </w:p>
        </w:tc>
        <w:tc>
          <w:tcPr>
            <w:tcW w:w="522"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66</w:t>
            </w:r>
          </w:p>
        </w:tc>
        <w:tc>
          <w:tcPr>
            <w:tcW w:w="595"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51</w:t>
            </w:r>
          </w:p>
        </w:tc>
      </w:tr>
    </w:tbl>
    <w:p w:rsidR="00BC18FB" w:rsidRPr="00BB6AAB" w:rsidRDefault="003625A6" w:rsidP="00FF0D8A">
      <w:pPr>
        <w:pStyle w:val="Heading4"/>
        <w:ind w:hanging="338"/>
        <w:rPr>
          <w:color w:val="2272A3"/>
          <w:sz w:val="24"/>
        </w:rPr>
      </w:pPr>
      <w:r w:rsidRPr="00BB6AAB">
        <w:rPr>
          <w:color w:val="2272A3"/>
          <w:sz w:val="24"/>
          <w:szCs w:val="24"/>
        </w:rPr>
        <w:t>ADL daily hub offers and daily hub bids in price bands ($/GJ)</w:t>
      </w:r>
    </w:p>
    <w:p w:rsidR="00362B9A" w:rsidRPr="00362B9A" w:rsidRDefault="00CF10E8" w:rsidP="00362B9A">
      <w:r>
        <w:pict>
          <v:shape id="_x0000_i1033" type="#_x0000_t75" style="width:475.45pt;height:170.5pt">
            <v:imagedata r:id="rId21" o:title=""/>
          </v:shape>
        </w:pict>
      </w:r>
    </w:p>
    <w:p w:rsidR="00BC18FB" w:rsidRPr="00BB6AAB" w:rsidRDefault="003625A6" w:rsidP="00FF0D8A">
      <w:pPr>
        <w:pStyle w:val="Heading4"/>
        <w:ind w:hanging="338"/>
        <w:rPr>
          <w:color w:val="2272A3"/>
          <w:sz w:val="24"/>
        </w:rPr>
      </w:pPr>
      <w:r w:rsidRPr="00BB6AAB">
        <w:rPr>
          <w:color w:val="2272A3"/>
          <w:sz w:val="24"/>
          <w:szCs w:val="24"/>
        </w:rPr>
        <w:t>ADL net scheduled and allocated gas hub supply (excluding MOS)</w:t>
      </w:r>
    </w:p>
    <w:p w:rsidR="00362B9A" w:rsidRPr="00362B9A" w:rsidRDefault="00CF10E8" w:rsidP="00362B9A">
      <w:r>
        <w:pict>
          <v:shape id="_x0000_i1034" type="#_x0000_t75" style="width:477.5pt;height:105.95pt">
            <v:imagedata r:id="rId22" o:title=""/>
          </v:shape>
        </w:pict>
      </w:r>
    </w:p>
    <w:p w:rsidR="00BC18FB" w:rsidRPr="00BB6AAB" w:rsidRDefault="004560B0" w:rsidP="003625A6">
      <w:pPr>
        <w:pStyle w:val="Heading4"/>
        <w:ind w:hanging="338"/>
        <w:rPr>
          <w:color w:val="2272A3"/>
          <w:sz w:val="24"/>
          <w:szCs w:val="24"/>
        </w:rPr>
      </w:pPr>
      <w:r w:rsidRPr="00BB6AAB">
        <w:rPr>
          <w:color w:val="2272A3"/>
          <w:sz w:val="24"/>
          <w:szCs w:val="24"/>
        </w:rPr>
        <w:t>ADL</w:t>
      </w:r>
      <w:r w:rsidR="003625A6" w:rsidRPr="00BB6AAB">
        <w:rPr>
          <w:color w:val="2272A3"/>
          <w:sz w:val="24"/>
          <w:szCs w:val="24"/>
        </w:rPr>
        <w:t xml:space="preserve"> MOS allocations (TJ), service payments and commodity payments/charges ($000)</w:t>
      </w:r>
    </w:p>
    <w:p w:rsidR="00362B9A" w:rsidRDefault="00CF10E8" w:rsidP="00362B9A">
      <w:r>
        <w:pict>
          <v:shape id="_x0000_i1035" type="#_x0000_t75" style="width:476.15pt;height:150.1pt">
            <v:imagedata r:id="rId23"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EA04B8" w:rsidRPr="00405CDE" w:rsidTr="006C5082">
        <w:trPr>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ante price ($/GJ)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3.69</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3.91</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3.96</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3.97</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6.67</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5.11</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4.77</w:t>
            </w:r>
          </w:p>
        </w:tc>
      </w:tr>
      <w:tr w:rsidR="00EA04B8"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ante quantity (TJ)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78</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94</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95</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96</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99</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96</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83</w:t>
            </w:r>
          </w:p>
        </w:tc>
      </w:tr>
      <w:tr w:rsidR="00EA04B8" w:rsidRPr="00405CDE" w:rsidTr="006C5082">
        <w:trPr>
          <w:trHeight w:val="510"/>
        </w:trPr>
        <w:tc>
          <w:tcPr>
            <w:tcW w:w="1100" w:type="pct"/>
            <w:tcBorders>
              <w:top w:val="nil"/>
              <w:bottom w:val="nil"/>
            </w:tcBorders>
            <w:vAlign w:val="center"/>
          </w:tcPr>
          <w:p w:rsidR="00EA04B8" w:rsidRDefault="00EA04B8">
            <w:pPr>
              <w:rPr>
                <w:rFonts w:cs="Arial"/>
                <w:sz w:val="20"/>
                <w:szCs w:val="20"/>
              </w:rPr>
            </w:pPr>
            <w:r>
              <w:rPr>
                <w:rFonts w:cs="Arial"/>
                <w:sz w:val="20"/>
                <w:szCs w:val="20"/>
              </w:rPr>
              <w:t>Ex post price ($/GJ)</w:t>
            </w:r>
          </w:p>
        </w:tc>
        <w:tc>
          <w:tcPr>
            <w:tcW w:w="597" w:type="pct"/>
            <w:tcBorders>
              <w:top w:val="nil"/>
              <w:bottom w:val="nil"/>
            </w:tcBorders>
            <w:vAlign w:val="center"/>
          </w:tcPr>
          <w:p w:rsidR="00EA04B8" w:rsidRDefault="00EA04B8">
            <w:pPr>
              <w:jc w:val="center"/>
              <w:rPr>
                <w:rFonts w:cs="Arial"/>
                <w:sz w:val="20"/>
                <w:szCs w:val="20"/>
              </w:rPr>
            </w:pPr>
            <w:r>
              <w:rPr>
                <w:rFonts w:cs="Arial"/>
                <w:sz w:val="20"/>
                <w:szCs w:val="20"/>
              </w:rPr>
              <w:t>3.69</w:t>
            </w:r>
          </w:p>
        </w:tc>
        <w:tc>
          <w:tcPr>
            <w:tcW w:w="523" w:type="pct"/>
            <w:tcBorders>
              <w:top w:val="nil"/>
              <w:bottom w:val="nil"/>
            </w:tcBorders>
            <w:vAlign w:val="center"/>
          </w:tcPr>
          <w:p w:rsidR="00EA04B8" w:rsidRDefault="00EA04B8">
            <w:pPr>
              <w:jc w:val="center"/>
              <w:rPr>
                <w:rFonts w:cs="Arial"/>
                <w:sz w:val="20"/>
                <w:szCs w:val="20"/>
              </w:rPr>
            </w:pPr>
            <w:r>
              <w:rPr>
                <w:rFonts w:cs="Arial"/>
                <w:sz w:val="20"/>
                <w:szCs w:val="20"/>
              </w:rPr>
              <w:t>3.78</w:t>
            </w:r>
          </w:p>
        </w:tc>
        <w:tc>
          <w:tcPr>
            <w:tcW w:w="606" w:type="pct"/>
            <w:tcBorders>
              <w:top w:val="nil"/>
              <w:bottom w:val="nil"/>
            </w:tcBorders>
            <w:vAlign w:val="center"/>
          </w:tcPr>
          <w:p w:rsidR="00EA04B8" w:rsidRDefault="00EA04B8">
            <w:pPr>
              <w:jc w:val="center"/>
              <w:rPr>
                <w:rFonts w:cs="Arial"/>
                <w:sz w:val="20"/>
                <w:szCs w:val="20"/>
              </w:rPr>
            </w:pPr>
            <w:r>
              <w:rPr>
                <w:rFonts w:cs="Arial"/>
                <w:sz w:val="20"/>
                <w:szCs w:val="20"/>
              </w:rPr>
              <w:t>3.96</w:t>
            </w:r>
          </w:p>
        </w:tc>
        <w:tc>
          <w:tcPr>
            <w:tcW w:w="532" w:type="pct"/>
            <w:tcBorders>
              <w:top w:val="nil"/>
              <w:bottom w:val="nil"/>
            </w:tcBorders>
            <w:vAlign w:val="center"/>
          </w:tcPr>
          <w:p w:rsidR="00EA04B8" w:rsidRDefault="00EA04B8">
            <w:pPr>
              <w:jc w:val="center"/>
              <w:rPr>
                <w:rFonts w:cs="Arial"/>
                <w:sz w:val="20"/>
                <w:szCs w:val="20"/>
              </w:rPr>
            </w:pPr>
            <w:r>
              <w:rPr>
                <w:rFonts w:cs="Arial"/>
                <w:sz w:val="20"/>
                <w:szCs w:val="20"/>
              </w:rPr>
              <w:t>5.00</w:t>
            </w:r>
          </w:p>
        </w:tc>
        <w:tc>
          <w:tcPr>
            <w:tcW w:w="525" w:type="pct"/>
            <w:tcBorders>
              <w:top w:val="nil"/>
              <w:bottom w:val="nil"/>
            </w:tcBorders>
            <w:vAlign w:val="center"/>
          </w:tcPr>
          <w:p w:rsidR="00EA04B8" w:rsidRDefault="00EA04B8">
            <w:pPr>
              <w:jc w:val="center"/>
              <w:rPr>
                <w:rFonts w:cs="Arial"/>
                <w:sz w:val="20"/>
                <w:szCs w:val="20"/>
              </w:rPr>
            </w:pPr>
            <w:r>
              <w:rPr>
                <w:rFonts w:cs="Arial"/>
                <w:sz w:val="20"/>
                <w:szCs w:val="20"/>
              </w:rPr>
              <w:t>6.67</w:t>
            </w:r>
          </w:p>
        </w:tc>
        <w:tc>
          <w:tcPr>
            <w:tcW w:w="522" w:type="pct"/>
            <w:tcBorders>
              <w:top w:val="nil"/>
              <w:bottom w:val="nil"/>
            </w:tcBorders>
            <w:vAlign w:val="center"/>
          </w:tcPr>
          <w:p w:rsidR="00EA04B8" w:rsidRDefault="00EA04B8">
            <w:pPr>
              <w:jc w:val="center"/>
              <w:rPr>
                <w:rFonts w:cs="Arial"/>
                <w:sz w:val="20"/>
                <w:szCs w:val="20"/>
              </w:rPr>
            </w:pPr>
            <w:r>
              <w:rPr>
                <w:rFonts w:cs="Arial"/>
                <w:sz w:val="20"/>
                <w:szCs w:val="20"/>
              </w:rPr>
              <w:t>5.11</w:t>
            </w:r>
          </w:p>
        </w:tc>
        <w:tc>
          <w:tcPr>
            <w:tcW w:w="595" w:type="pct"/>
            <w:tcBorders>
              <w:top w:val="nil"/>
              <w:bottom w:val="nil"/>
            </w:tcBorders>
            <w:vAlign w:val="center"/>
          </w:tcPr>
          <w:p w:rsidR="00EA04B8" w:rsidRDefault="00EA04B8">
            <w:pPr>
              <w:jc w:val="center"/>
              <w:rPr>
                <w:rFonts w:cs="Arial"/>
                <w:sz w:val="20"/>
                <w:szCs w:val="20"/>
              </w:rPr>
            </w:pPr>
            <w:r>
              <w:rPr>
                <w:rFonts w:cs="Arial"/>
                <w:sz w:val="20"/>
                <w:szCs w:val="20"/>
              </w:rPr>
              <w:t>4.77</w:t>
            </w:r>
          </w:p>
        </w:tc>
      </w:tr>
      <w:tr w:rsidR="00EA04B8"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EA04B8" w:rsidRDefault="00EA04B8">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77</w:t>
            </w:r>
          </w:p>
        </w:tc>
        <w:tc>
          <w:tcPr>
            <w:tcW w:w="523"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90</w:t>
            </w:r>
          </w:p>
        </w:tc>
        <w:tc>
          <w:tcPr>
            <w:tcW w:w="606"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92</w:t>
            </w:r>
          </w:p>
        </w:tc>
        <w:tc>
          <w:tcPr>
            <w:tcW w:w="532"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100</w:t>
            </w:r>
          </w:p>
        </w:tc>
        <w:tc>
          <w:tcPr>
            <w:tcW w:w="525"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101</w:t>
            </w:r>
          </w:p>
        </w:tc>
        <w:tc>
          <w:tcPr>
            <w:tcW w:w="522"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93</w:t>
            </w:r>
          </w:p>
        </w:tc>
        <w:tc>
          <w:tcPr>
            <w:tcW w:w="595" w:type="pct"/>
            <w:tcBorders>
              <w:top w:val="nil"/>
              <w:bottom w:val="single" w:sz="4" w:space="0" w:color="auto"/>
            </w:tcBorders>
            <w:vAlign w:val="center"/>
          </w:tcPr>
          <w:p w:rsidR="00EA04B8" w:rsidRDefault="00EA04B8">
            <w:pPr>
              <w:jc w:val="center"/>
              <w:rPr>
                <w:rFonts w:cs="Arial"/>
                <w:sz w:val="20"/>
                <w:szCs w:val="20"/>
              </w:rPr>
            </w:pPr>
            <w:r>
              <w:rPr>
                <w:rFonts w:cs="Arial"/>
                <w:sz w:val="20"/>
                <w:szCs w:val="20"/>
              </w:rPr>
              <w:t>83</w:t>
            </w:r>
          </w:p>
        </w:tc>
      </w:tr>
    </w:tbl>
    <w:p w:rsidR="00BC18FB" w:rsidRPr="00BB6AAB" w:rsidRDefault="003625A6" w:rsidP="00FF0D8A">
      <w:pPr>
        <w:pStyle w:val="Heading4"/>
        <w:ind w:hanging="338"/>
        <w:rPr>
          <w:color w:val="2272A3"/>
          <w:sz w:val="24"/>
        </w:rPr>
      </w:pPr>
      <w:r w:rsidRPr="00BB6AAB">
        <w:rPr>
          <w:color w:val="2272A3"/>
          <w:sz w:val="24"/>
          <w:szCs w:val="24"/>
        </w:rPr>
        <w:t>BRI daily hub offers and daily hub bids in price bands ($/GJ)</w:t>
      </w:r>
    </w:p>
    <w:p w:rsidR="00362B9A" w:rsidRPr="00362B9A" w:rsidRDefault="00CF10E8" w:rsidP="00362B9A">
      <w:r>
        <w:pict>
          <v:shape id="_x0000_i1036" type="#_x0000_t75" style="width:475.45pt;height:171.15pt">
            <v:imagedata r:id="rId24" o:title=""/>
          </v:shape>
        </w:pict>
      </w:r>
    </w:p>
    <w:p w:rsidR="00BC18FB" w:rsidRPr="00BB6AAB" w:rsidRDefault="003625A6" w:rsidP="00FF0D8A">
      <w:pPr>
        <w:pStyle w:val="Heading4"/>
        <w:ind w:hanging="338"/>
        <w:rPr>
          <w:color w:val="2272A3"/>
          <w:sz w:val="24"/>
        </w:rPr>
      </w:pPr>
      <w:r w:rsidRPr="00BB6AAB">
        <w:rPr>
          <w:color w:val="2272A3"/>
          <w:sz w:val="24"/>
          <w:szCs w:val="24"/>
        </w:rPr>
        <w:t>BRI net scheduled and allocated gas hub supply (excluding MOS)</w:t>
      </w:r>
    </w:p>
    <w:p w:rsidR="00362B9A" w:rsidRPr="00362B9A" w:rsidRDefault="00CF10E8" w:rsidP="00362B9A">
      <w:r>
        <w:pict>
          <v:shape id="_x0000_i1037" type="#_x0000_t75" style="width:477.5pt;height:99.15pt">
            <v:imagedata r:id="rId25" o:title=""/>
          </v:shape>
        </w:pict>
      </w:r>
    </w:p>
    <w:p w:rsidR="00BC18FB" w:rsidRPr="00BB6AAB" w:rsidRDefault="004560B0" w:rsidP="004560B0">
      <w:pPr>
        <w:pStyle w:val="Heading4"/>
        <w:ind w:hanging="338"/>
        <w:rPr>
          <w:color w:val="2272A3"/>
          <w:sz w:val="24"/>
          <w:szCs w:val="24"/>
        </w:rPr>
      </w:pPr>
      <w:r w:rsidRPr="00BB6AAB">
        <w:rPr>
          <w:color w:val="2272A3"/>
          <w:sz w:val="24"/>
          <w:szCs w:val="24"/>
        </w:rPr>
        <w:t>BRI MOS allocations (TJ), service payments and commodity payments/charges ($000)</w:t>
      </w:r>
    </w:p>
    <w:p w:rsidR="004560B0" w:rsidRPr="00362B9A" w:rsidRDefault="00CF10E8" w:rsidP="00362B9A">
      <w:r>
        <w:pict>
          <v:shape id="_x0000_i1038" type="#_x0000_t75" style="width:476.15pt;height:156.25pt">
            <v:imagedata r:id="rId26"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12"/>
      </w:r>
      <w:r>
        <w:t xml:space="preserve"> for each gas market.</w:t>
      </w:r>
    </w:p>
    <w:p w:rsidR="00BC18FB" w:rsidRPr="003B6D20" w:rsidRDefault="004560B0" w:rsidP="00FF0D8A">
      <w:pPr>
        <w:pStyle w:val="Heading4"/>
        <w:ind w:hanging="338"/>
        <w:rPr>
          <w:color w:val="2272A3"/>
          <w:sz w:val="24"/>
          <w:szCs w:val="24"/>
        </w:rPr>
      </w:pPr>
      <w:r w:rsidRPr="003B6D20">
        <w:rPr>
          <w:color w:val="2272A3"/>
          <w:sz w:val="24"/>
          <w:szCs w:val="24"/>
        </w:rPr>
        <w:t>Gas market data ($/GJ, TJ</w:t>
      </w:r>
      <w:r w:rsidR="00C3163F" w:rsidRPr="003B6D20">
        <w:rPr>
          <w:color w:val="2272A3"/>
          <w:sz w:val="24"/>
          <w:szCs w:val="24"/>
        </w:rPr>
        <w:t>/day</w:t>
      </w:r>
      <w:r w:rsidRPr="003B6D20">
        <w:rPr>
          <w:color w:val="2272A3"/>
          <w:sz w:val="24"/>
          <w:szCs w:val="24"/>
        </w:rPr>
        <w:t>); Production, Consumption and Pipeline flows (TJ)</w:t>
      </w:r>
    </w:p>
    <w:p w:rsidR="00362B9A" w:rsidRPr="00362B9A" w:rsidRDefault="00CF10E8" w:rsidP="00362B9A">
      <w:r>
        <w:pict>
          <v:shape id="_x0000_i1039" type="#_x0000_t75" style="width:415.7pt;height:534.5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3"/>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0364F" w:rsidRPr="0080364F" w:rsidRDefault="0080364F" w:rsidP="0080364F">
      <w:pPr>
        <w:jc w:val="both"/>
        <w:rPr>
          <w:rFonts w:eastAsia="MS Mincho"/>
        </w:rPr>
      </w:pPr>
      <w:r w:rsidRPr="0080364F">
        <w:rPr>
          <w:rFonts w:eastAsia="MS Mincho"/>
        </w:rPr>
        <w:t xml:space="preserve">There were 38 trades this week at a volume weighted price of $4.63/GJ, with the total volume traded in the market reaching the same record quantity noted for the 6 – 12 September reporting week. The 348 TJ </w:t>
      </w:r>
      <w:r>
        <w:rPr>
          <w:rFonts w:eastAsia="MS Mincho"/>
        </w:rPr>
        <w:t xml:space="preserve">of gas </w:t>
      </w:r>
      <w:r w:rsidRPr="0080364F">
        <w:rPr>
          <w:rFonts w:eastAsia="MS Mincho"/>
        </w:rPr>
        <w:t xml:space="preserve">traded was comprised of 153 TJ on </w:t>
      </w:r>
      <w:r>
        <w:rPr>
          <w:rFonts w:eastAsia="MS Mincho"/>
        </w:rPr>
        <w:t xml:space="preserve">the </w:t>
      </w:r>
      <w:r w:rsidRPr="0080364F">
        <w:rPr>
          <w:rFonts w:eastAsia="MS Mincho"/>
        </w:rPr>
        <w:t xml:space="preserve">RBP ($4.46/GJ) and 195 TJ on </w:t>
      </w:r>
      <w:r>
        <w:rPr>
          <w:rFonts w:eastAsia="MS Mincho"/>
        </w:rPr>
        <w:t xml:space="preserve">the </w:t>
      </w:r>
      <w:r w:rsidRPr="0080364F">
        <w:rPr>
          <w:rFonts w:eastAsia="MS Mincho"/>
        </w:rPr>
        <w:t>SWQP ($4.77/GJ).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4"/>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CF10E8" w:rsidP="00E37A86">
      <w:r>
        <w:pict>
          <v:shape id="_x0000_i1040" type="#_x0000_t75" style="width:475.45pt;height:201.75pt">
            <v:imagedata r:id="rId28" o:title=""/>
          </v:shape>
        </w:pict>
      </w:r>
    </w:p>
    <w:sectPr w:rsidR="009E74E3" w:rsidRPr="006520EE" w:rsidSect="00D635F1">
      <w:footerReference w:type="default" r:id="rId29"/>
      <w:footerReference w:type="first" r:id="rId30"/>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CF10E8">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CF10E8">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7D7138">
      <w:rPr>
        <w:rFonts w:cs="Arial"/>
        <w:i/>
      </w:rPr>
      <w:t>151420</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8C115E" w:rsidRPr="008C115E" w:rsidRDefault="008C115E" w:rsidP="0045479D">
      <w:pPr>
        <w:pStyle w:val="FootnoteText"/>
        <w:jc w:val="both"/>
        <w:rPr>
          <w:sz w:val="18"/>
        </w:rPr>
      </w:pPr>
      <w:r>
        <w:rPr>
          <w:rStyle w:val="FootnoteReference"/>
        </w:rPr>
        <w:footnoteRef/>
      </w:r>
      <w:r>
        <w:t xml:space="preserve"> </w:t>
      </w:r>
      <w:r>
        <w:tab/>
      </w:r>
      <w:r w:rsidRPr="008C115E">
        <w:rPr>
          <w:rFonts w:eastAsia="MS Mincho"/>
          <w:sz w:val="18"/>
        </w:rPr>
        <w:t>This may have been related to the supply point constraint applied at the facility over the following day, restricting the daily injection quantity to a maximum of 565 TJ due to offshore maintenance.</w:t>
      </w:r>
    </w:p>
  </w:footnote>
  <w:footnote w:id="3">
    <w:p w:rsidR="00A3267A" w:rsidRPr="00BC57B6" w:rsidRDefault="00A3267A" w:rsidP="0045479D">
      <w:pPr>
        <w:pStyle w:val="FootnoteText"/>
        <w:jc w:val="both"/>
        <w:rPr>
          <w:sz w:val="18"/>
        </w:rPr>
      </w:pPr>
      <w:r>
        <w:rPr>
          <w:rStyle w:val="FootnoteReference"/>
        </w:rPr>
        <w:footnoteRef/>
      </w:r>
      <w:r>
        <w:t xml:space="preserve"> </w:t>
      </w:r>
      <w:r>
        <w:tab/>
      </w:r>
      <w:r w:rsidRPr="00BC57B6">
        <w:rPr>
          <w:sz w:val="18"/>
        </w:rPr>
        <w:t xml:space="preserve">A MOS increase requirement of just </w:t>
      </w:r>
      <w:r w:rsidR="00BC57B6" w:rsidRPr="00BC57B6">
        <w:rPr>
          <w:sz w:val="18"/>
        </w:rPr>
        <w:t xml:space="preserve">below </w:t>
      </w:r>
      <w:r w:rsidRPr="00BC57B6">
        <w:rPr>
          <w:sz w:val="18"/>
        </w:rPr>
        <w:t>10 TJ</w:t>
      </w:r>
      <w:r w:rsidR="00BC57B6" w:rsidRPr="00BC57B6">
        <w:rPr>
          <w:sz w:val="18"/>
        </w:rPr>
        <w:t xml:space="preserve"> was influenced by a reduction in supply and under forecasting.</w:t>
      </w:r>
    </w:p>
  </w:footnote>
  <w:footnote w:id="4">
    <w:p w:rsidR="00D87C69" w:rsidRPr="00A32D66" w:rsidRDefault="00D87C69" w:rsidP="00D87C69">
      <w:pPr>
        <w:pStyle w:val="FootnoteText"/>
        <w:rPr>
          <w:sz w:val="18"/>
        </w:rPr>
      </w:pPr>
      <w:r>
        <w:rPr>
          <w:rStyle w:val="FootnoteReference"/>
        </w:rPr>
        <w:footnoteRef/>
      </w:r>
      <w:r>
        <w:t xml:space="preserve"> </w:t>
      </w:r>
      <w:r>
        <w:tab/>
      </w:r>
      <w:r w:rsidRPr="00A32D66">
        <w:rPr>
          <w:sz w:val="18"/>
        </w:rPr>
        <w:t>This included 5 TJ of additional backhaul which was not scheduled on the MSP.</w:t>
      </w:r>
    </w:p>
  </w:footnote>
  <w:footnote w:id="5">
    <w:p w:rsidR="00A32D66" w:rsidRDefault="00A32D66" w:rsidP="00A32D66">
      <w:pPr>
        <w:pStyle w:val="FootnoteText"/>
        <w:jc w:val="both"/>
      </w:pPr>
      <w:r>
        <w:rPr>
          <w:rStyle w:val="FootnoteReference"/>
        </w:rPr>
        <w:footnoteRef/>
      </w:r>
      <w:r>
        <w:t xml:space="preserve"> </w:t>
      </w:r>
      <w:r>
        <w:tab/>
      </w:r>
      <w:r w:rsidRPr="00A32D66">
        <w:rPr>
          <w:sz w:val="18"/>
        </w:rPr>
        <w:t xml:space="preserve">The majority of the MOS increase service was provided on the MSP, despite a 19 TJ increase to the scheduled supply </w:t>
      </w:r>
      <w:r>
        <w:rPr>
          <w:sz w:val="18"/>
        </w:rPr>
        <w:t>via</w:t>
      </w:r>
      <w:r w:rsidRPr="00A32D66">
        <w:rPr>
          <w:sz w:val="18"/>
        </w:rPr>
        <w:t xml:space="preserve"> renomination on the pipeline.</w:t>
      </w:r>
    </w:p>
  </w:footnote>
  <w:footnote w:id="6">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7">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8">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9">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0">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91453B" w:rsidRPr="002E7E9E" w:rsidRDefault="0091453B"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12">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3">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4">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1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0 – 26 September 2015 .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208"/>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12ED"/>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B6D2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479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6A4F"/>
    <w:rsid w:val="004F3D13"/>
    <w:rsid w:val="00502181"/>
    <w:rsid w:val="00505139"/>
    <w:rsid w:val="00514A82"/>
    <w:rsid w:val="005157B0"/>
    <w:rsid w:val="005178FC"/>
    <w:rsid w:val="00522E00"/>
    <w:rsid w:val="005244DA"/>
    <w:rsid w:val="0053609E"/>
    <w:rsid w:val="00541108"/>
    <w:rsid w:val="00547827"/>
    <w:rsid w:val="00560376"/>
    <w:rsid w:val="00563C94"/>
    <w:rsid w:val="00564C71"/>
    <w:rsid w:val="0056618C"/>
    <w:rsid w:val="005745FF"/>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20CC8"/>
    <w:rsid w:val="00645036"/>
    <w:rsid w:val="00647DD2"/>
    <w:rsid w:val="006520EE"/>
    <w:rsid w:val="00652A42"/>
    <w:rsid w:val="006540A8"/>
    <w:rsid w:val="006705A4"/>
    <w:rsid w:val="006722EB"/>
    <w:rsid w:val="00686F6E"/>
    <w:rsid w:val="00697E41"/>
    <w:rsid w:val="006A5317"/>
    <w:rsid w:val="006A7228"/>
    <w:rsid w:val="006B004C"/>
    <w:rsid w:val="006B41AF"/>
    <w:rsid w:val="006C1858"/>
    <w:rsid w:val="006C242A"/>
    <w:rsid w:val="006C2B2B"/>
    <w:rsid w:val="006C57B2"/>
    <w:rsid w:val="006C5A2C"/>
    <w:rsid w:val="006C6D60"/>
    <w:rsid w:val="006D0AD1"/>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D7138"/>
    <w:rsid w:val="007E52F7"/>
    <w:rsid w:val="007E5F68"/>
    <w:rsid w:val="0080364F"/>
    <w:rsid w:val="0080456D"/>
    <w:rsid w:val="00811D1C"/>
    <w:rsid w:val="008133CF"/>
    <w:rsid w:val="008170C0"/>
    <w:rsid w:val="008344A6"/>
    <w:rsid w:val="00853412"/>
    <w:rsid w:val="00875D0C"/>
    <w:rsid w:val="008776EF"/>
    <w:rsid w:val="00882958"/>
    <w:rsid w:val="008936C5"/>
    <w:rsid w:val="00895965"/>
    <w:rsid w:val="008A6DB5"/>
    <w:rsid w:val="008B7161"/>
    <w:rsid w:val="008C0EC8"/>
    <w:rsid w:val="008C115E"/>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37A38"/>
    <w:rsid w:val="00942622"/>
    <w:rsid w:val="00942640"/>
    <w:rsid w:val="0094451C"/>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04C2"/>
    <w:rsid w:val="009F43B1"/>
    <w:rsid w:val="009F4655"/>
    <w:rsid w:val="009F4DF7"/>
    <w:rsid w:val="009F6FA3"/>
    <w:rsid w:val="00A0223D"/>
    <w:rsid w:val="00A13F97"/>
    <w:rsid w:val="00A156EE"/>
    <w:rsid w:val="00A200D0"/>
    <w:rsid w:val="00A26940"/>
    <w:rsid w:val="00A324A8"/>
    <w:rsid w:val="00A3267A"/>
    <w:rsid w:val="00A32D66"/>
    <w:rsid w:val="00A349B0"/>
    <w:rsid w:val="00A475A2"/>
    <w:rsid w:val="00A51DDD"/>
    <w:rsid w:val="00A55660"/>
    <w:rsid w:val="00A55C96"/>
    <w:rsid w:val="00A62670"/>
    <w:rsid w:val="00A62ADF"/>
    <w:rsid w:val="00A642B8"/>
    <w:rsid w:val="00A66FD2"/>
    <w:rsid w:val="00A67716"/>
    <w:rsid w:val="00A677D8"/>
    <w:rsid w:val="00A834DF"/>
    <w:rsid w:val="00A91C53"/>
    <w:rsid w:val="00A936AE"/>
    <w:rsid w:val="00AA1D87"/>
    <w:rsid w:val="00AB72C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0E60"/>
    <w:rsid w:val="00BB2FF6"/>
    <w:rsid w:val="00BB6AAB"/>
    <w:rsid w:val="00BC18FB"/>
    <w:rsid w:val="00BC21AB"/>
    <w:rsid w:val="00BC254C"/>
    <w:rsid w:val="00BC4C5B"/>
    <w:rsid w:val="00BC57B6"/>
    <w:rsid w:val="00BC77F9"/>
    <w:rsid w:val="00BD3A40"/>
    <w:rsid w:val="00BD60AA"/>
    <w:rsid w:val="00BE147C"/>
    <w:rsid w:val="00BE18D0"/>
    <w:rsid w:val="00BE240C"/>
    <w:rsid w:val="00BE4577"/>
    <w:rsid w:val="00BF1D01"/>
    <w:rsid w:val="00BF3080"/>
    <w:rsid w:val="00C21D81"/>
    <w:rsid w:val="00C26B1D"/>
    <w:rsid w:val="00C26E38"/>
    <w:rsid w:val="00C3163F"/>
    <w:rsid w:val="00C560C2"/>
    <w:rsid w:val="00C60857"/>
    <w:rsid w:val="00C60F6D"/>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10E8"/>
    <w:rsid w:val="00CF32A8"/>
    <w:rsid w:val="00CF53CA"/>
    <w:rsid w:val="00CF5471"/>
    <w:rsid w:val="00D10FA6"/>
    <w:rsid w:val="00D11DDB"/>
    <w:rsid w:val="00D161D7"/>
    <w:rsid w:val="00D1641C"/>
    <w:rsid w:val="00D16FE8"/>
    <w:rsid w:val="00D22793"/>
    <w:rsid w:val="00D329E0"/>
    <w:rsid w:val="00D40430"/>
    <w:rsid w:val="00D41D64"/>
    <w:rsid w:val="00D42D14"/>
    <w:rsid w:val="00D50980"/>
    <w:rsid w:val="00D60D45"/>
    <w:rsid w:val="00D635F1"/>
    <w:rsid w:val="00D67440"/>
    <w:rsid w:val="00D71951"/>
    <w:rsid w:val="00D76436"/>
    <w:rsid w:val="00D84A8C"/>
    <w:rsid w:val="00D87C69"/>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7B09"/>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04B8"/>
    <w:rsid w:val="00EA2F65"/>
    <w:rsid w:val="00EA4813"/>
    <w:rsid w:val="00EA6E29"/>
    <w:rsid w:val="00EB0204"/>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00A"/>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er.gov.au/node/451"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C842D9CC.dotm</Template>
  <TotalTime>0</TotalTime>
  <Pages>11</Pages>
  <Words>1724</Words>
  <Characters>8047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9752</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2015-10-14T02:41:00Z</dcterms:created>
  <dcterms:modified xsi:type="dcterms:W3CDTF">2015-10-14T03:03:00Z</dcterms:modified>
</cp:coreProperties>
</file>