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20C4" w:rsidRPr="004420C4" w:rsidRDefault="0059045B" w:rsidP="004420C4">
      <w:pPr>
        <w:pStyle w:val="Heading1"/>
        <w:numPr>
          <w:ilvl w:val="0"/>
          <w:numId w:val="0"/>
        </w:numPr>
        <w:spacing w:before="120" w:after="0"/>
        <w:ind w:left="142"/>
        <w:rPr>
          <w:color w:val="FFFFFF"/>
          <w:sz w:val="36"/>
        </w:rPr>
      </w:pPr>
      <w:bookmarkStart w:id="0" w:name="OLE_LINK66"/>
      <w:bookmarkStart w:id="1" w:name="OLE_LINK67"/>
      <w:r>
        <w:rPr>
          <w:noProof/>
          <w:color w:va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4" type="#_x0000_t75" alt="Australian Energy Regulator logo" style="position:absolute;left:0;text-align:left;margin-left:-.55pt;margin-top:5.5pt;width:476.25pt;height:77.25pt;z-index:-251649024;mso-position-horizontal-relative:text;mso-position-vertical-relative:text">
            <v:imagedata r:id="rId9" o:title="AER-header for report templates"/>
          </v:shape>
        </w:pict>
      </w:r>
      <w:r>
        <w:rPr>
          <w:noProof/>
          <w:color w:val="FFFFFF"/>
          <w:sz w:val="36"/>
        </w:rPr>
        <w:pict>
          <v:shape id="_x0000_s1093" type="#_x0000_t75" style="position:absolute;left:0;text-align:left;margin-left:720.75pt;margin-top:282.05pt;width:386.3pt;height:299.3pt;z-index:251666432;mso-position-horizontal-relative:text;mso-position-vertical-relative:text" fillcolor="black" strokecolor="white" strokeweight="3e-5mm">
            <v:imagedata r:id="rId10" o:title=""/>
            <o:lock v:ext="edit" rotation="t"/>
          </v:shape>
        </w:pict>
      </w:r>
      <w:r w:rsidR="004420C4" w:rsidRPr="004420C4">
        <w:rPr>
          <w:color w:val="FFFFFF"/>
          <w:sz w:val="36"/>
        </w:rPr>
        <w:t>Gas Market Report</w:t>
      </w:r>
    </w:p>
    <w:p w:rsidR="004420C4" w:rsidRDefault="004420C4" w:rsidP="004420C4"/>
    <w:p w:rsidR="004420C4" w:rsidRDefault="004420C4" w:rsidP="004420C4"/>
    <w:p w:rsidR="004420C4" w:rsidRDefault="004420C4" w:rsidP="004420C4"/>
    <w:p w:rsidR="004420C4" w:rsidRPr="00AC3047" w:rsidRDefault="009D061B" w:rsidP="004420C4">
      <w:pPr>
        <w:pStyle w:val="Heading2"/>
        <w:numPr>
          <w:ilvl w:val="0"/>
          <w:numId w:val="0"/>
        </w:numPr>
        <w:rPr>
          <w:i w:val="0"/>
        </w:rPr>
      </w:pPr>
      <w:r>
        <w:rPr>
          <w:i w:val="0"/>
          <w:sz w:val="36"/>
          <w:szCs w:val="36"/>
        </w:rPr>
        <w:t>20</w:t>
      </w:r>
      <w:r w:rsidR="00A71E47">
        <w:rPr>
          <w:i w:val="0"/>
          <w:sz w:val="36"/>
          <w:szCs w:val="36"/>
        </w:rPr>
        <w:t xml:space="preserve"> – </w:t>
      </w:r>
      <w:r>
        <w:rPr>
          <w:i w:val="0"/>
          <w:sz w:val="36"/>
          <w:szCs w:val="36"/>
        </w:rPr>
        <w:t>26</w:t>
      </w:r>
      <w:r w:rsidR="00A71E47">
        <w:rPr>
          <w:i w:val="0"/>
          <w:sz w:val="36"/>
          <w:szCs w:val="36"/>
        </w:rPr>
        <w:t xml:space="preserve"> December 2015</w:t>
      </w:r>
    </w:p>
    <w:p w:rsidR="00A67716" w:rsidRDefault="00A67716" w:rsidP="00D1641C">
      <w:pPr>
        <w:pStyle w:val="Heading1"/>
        <w:numPr>
          <w:ilvl w:val="0"/>
          <w:numId w:val="0"/>
        </w:numPr>
        <w:spacing w:before="0" w:after="120"/>
        <w:rPr>
          <w:rFonts w:cs="Times New Roman"/>
          <w:noProof/>
          <w:color w:val="2272A3"/>
          <w:kern w:val="0"/>
          <w:szCs w:val="20"/>
          <w:lang w:eastAsia="en-US"/>
        </w:rPr>
      </w:pPr>
      <w:r w:rsidRPr="00AF2164">
        <w:rPr>
          <w:rFonts w:cs="Times New Roman"/>
          <w:noProof/>
          <w:color w:val="2272A3"/>
          <w:kern w:val="0"/>
          <w:szCs w:val="20"/>
          <w:lang w:eastAsia="en-US"/>
        </w:rPr>
        <w:t>Wee</w:t>
      </w:r>
      <w:r w:rsidR="00AF2164" w:rsidRPr="00AF2164">
        <w:rPr>
          <w:rFonts w:cs="Times New Roman"/>
          <w:noProof/>
          <w:color w:val="2272A3"/>
          <w:kern w:val="0"/>
          <w:szCs w:val="20"/>
          <w:lang w:eastAsia="en-US"/>
        </w:rPr>
        <w:t>kly summary</w:t>
      </w:r>
    </w:p>
    <w:p w:rsidR="0082168C" w:rsidRPr="00E7683D" w:rsidRDefault="00420328" w:rsidP="0082168C">
      <w:pPr>
        <w:pStyle w:val="AERbodytext"/>
        <w:spacing w:line="240" w:lineRule="auto"/>
        <w:jc w:val="both"/>
      </w:pPr>
      <w:r>
        <w:t>Figure 5.1 shows that</w:t>
      </w:r>
      <w:r w:rsidR="00FD083B">
        <w:t xml:space="preserve"> </w:t>
      </w:r>
      <w:r w:rsidR="008E4885" w:rsidRPr="00E7683D">
        <w:t>gas for gas powered generation (GPG) decreased significantly in Queensland, South Australia and Victoria compared to the previous week</w:t>
      </w:r>
      <w:r w:rsidR="00FD083B">
        <w:t>.</w:t>
      </w:r>
      <w:r>
        <w:t xml:space="preserve"> The reductions</w:t>
      </w:r>
      <w:r w:rsidRPr="00FD083B">
        <w:t xml:space="preserve"> in South Australia and Victoria followed higher usage of </w:t>
      </w:r>
      <w:r>
        <w:t xml:space="preserve">gas for </w:t>
      </w:r>
      <w:r w:rsidRPr="00FD083B">
        <w:t xml:space="preserve">GPG </w:t>
      </w:r>
      <w:r w:rsidR="00FD083B">
        <w:t xml:space="preserve">during </w:t>
      </w:r>
      <w:r w:rsidRPr="00FD083B">
        <w:t xml:space="preserve">the previous week coinciding with high temperatures in those regions. Estimated GPG gas usage </w:t>
      </w:r>
      <w:r w:rsidR="00FD083B">
        <w:t xml:space="preserve">in South Australia </w:t>
      </w:r>
      <w:r w:rsidRPr="00FD083B">
        <w:t>for the 26 December gas day was extremely low at less than 25 TJ, the lowest level recorded since the commencement of the Adelaide hub.</w:t>
      </w:r>
      <w:r w:rsidR="00EB1729" w:rsidRPr="00E7683D">
        <w:t xml:space="preserve"> </w:t>
      </w:r>
      <w:r w:rsidR="00E7683D">
        <w:t>In Queensland, e</w:t>
      </w:r>
      <w:r w:rsidR="006D01B4" w:rsidRPr="00E7683D">
        <w:t xml:space="preserve">xport gas flows on the APLNG pipeline to Curtis Island began to increase this week, rising to a maximum of </w:t>
      </w:r>
      <w:r w:rsidR="00E7683D" w:rsidRPr="00E7683D">
        <w:t>365 </w:t>
      </w:r>
      <w:r w:rsidR="006D01B4" w:rsidRPr="00E7683D">
        <w:t xml:space="preserve">TJ on </w:t>
      </w:r>
      <w:r w:rsidR="00E7683D" w:rsidRPr="00E7683D">
        <w:t>23 December</w:t>
      </w:r>
      <w:r w:rsidR="006D01B4" w:rsidRPr="00E7683D">
        <w:t xml:space="preserve">. </w:t>
      </w:r>
      <w:r w:rsidR="00EB1729" w:rsidRPr="00E7683D">
        <w:t>In Victoria, reduced output from Longford continued from the previous week before increasing from 23 December.</w:t>
      </w:r>
      <w:r w:rsidR="00EB1729" w:rsidRPr="00E7683D">
        <w:rPr>
          <w:rStyle w:val="FootnoteReference"/>
        </w:rPr>
        <w:footnoteReference w:id="1"/>
      </w:r>
    </w:p>
    <w:p w:rsidR="00AF2164" w:rsidRPr="00D1641C" w:rsidRDefault="00AF2164" w:rsidP="006E7E57">
      <w:pPr>
        <w:pStyle w:val="Heading1"/>
        <w:numPr>
          <w:ilvl w:val="0"/>
          <w:numId w:val="0"/>
        </w:numPr>
        <w:spacing w:before="180"/>
        <w:rPr>
          <w:rFonts w:cs="Times New Roman"/>
          <w:noProof/>
          <w:color w:val="2272A3"/>
          <w:kern w:val="0"/>
          <w:szCs w:val="20"/>
          <w:lang w:eastAsia="en-US"/>
        </w:rPr>
      </w:pPr>
      <w:r w:rsidRPr="00AF2164">
        <w:rPr>
          <w:rFonts w:cs="Times New Roman"/>
          <w:noProof/>
          <w:color w:val="2272A3"/>
          <w:kern w:val="0"/>
          <w:szCs w:val="20"/>
          <w:lang w:eastAsia="en-US"/>
        </w:rPr>
        <w:t>Long term statistics and explanatory mate</w:t>
      </w:r>
      <w:r w:rsidR="007D470C">
        <w:rPr>
          <w:rFonts w:cs="Times New Roman"/>
          <w:noProof/>
          <w:color w:val="2272A3"/>
          <w:kern w:val="0"/>
          <w:szCs w:val="20"/>
          <w:lang w:eastAsia="en-US"/>
        </w:rPr>
        <w:t>rial</w:t>
      </w:r>
    </w:p>
    <w:p w:rsidR="00AF2164" w:rsidRPr="00AF2164" w:rsidRDefault="00AF2164" w:rsidP="00FF0D8A">
      <w:pPr>
        <w:jc w:val="both"/>
      </w:pPr>
      <w:r>
        <w:t xml:space="preserve">The AER has published an </w:t>
      </w:r>
      <w:hyperlink r:id="rId11" w:history="1">
        <w:r>
          <w:rPr>
            <w:rStyle w:val="Hyperlink"/>
          </w:rPr>
          <w:t>explanatory note</w:t>
        </w:r>
      </w:hyperlink>
      <w:r>
        <w:t xml:space="preserve"> to assist with interpreting the data presented in its weekly gas market reports. The AER also publish a range of </w:t>
      </w:r>
      <w:hyperlink r:id="rId12" w:history="1">
        <w:r>
          <w:rPr>
            <w:rStyle w:val="Hyperlink"/>
          </w:rPr>
          <w:t>longer term statistics</w:t>
        </w:r>
      </w:hyperlink>
      <w:r>
        <w:t xml:space="preserve"> on the performance of the gas sector including gas prices, production, pipeline flows and consumer demand.</w:t>
      </w:r>
    </w:p>
    <w:p w:rsidR="00AF2164" w:rsidRPr="00D1641C" w:rsidRDefault="00AF2164" w:rsidP="006E7E57">
      <w:pPr>
        <w:pStyle w:val="Heading1"/>
        <w:numPr>
          <w:ilvl w:val="0"/>
          <w:numId w:val="0"/>
        </w:numPr>
        <w:spacing w:before="180"/>
        <w:rPr>
          <w:rFonts w:cs="Times New Roman"/>
          <w:noProof/>
          <w:color w:val="2272A3"/>
          <w:kern w:val="0"/>
          <w:szCs w:val="20"/>
          <w:lang w:eastAsia="en-US"/>
        </w:rPr>
      </w:pPr>
      <w:r w:rsidRPr="00D1641C">
        <w:rPr>
          <w:rFonts w:cs="Times New Roman"/>
          <w:noProof/>
          <w:color w:val="2272A3"/>
          <w:kern w:val="0"/>
          <w:szCs w:val="20"/>
          <w:lang w:eastAsia="en-US"/>
        </w:rPr>
        <w:t>Market overview</w:t>
      </w:r>
    </w:p>
    <w:p w:rsidR="00D1641C" w:rsidRDefault="00D1641C" w:rsidP="00FF0D8A">
      <w:pPr>
        <w:jc w:val="both"/>
        <w:rPr>
          <w:szCs w:val="22"/>
        </w:rPr>
      </w:pPr>
      <w:r w:rsidRPr="008D4DAB">
        <w:t xml:space="preserve">Figure 1 sets out the average daily prices ($/GJ) in the Victorian Declared Wholesale Market </w:t>
      </w:r>
      <w:r w:rsidRPr="000F2287">
        <w:rPr>
          <w:b/>
          <w:szCs w:val="22"/>
        </w:rPr>
        <w:t>(VGM or Victorian gas market)</w:t>
      </w:r>
      <w:r w:rsidRPr="000F2287">
        <w:rPr>
          <w:szCs w:val="22"/>
        </w:rPr>
        <w:t xml:space="preserve"> and for the Sydney </w:t>
      </w:r>
      <w:r w:rsidRPr="000F2287">
        <w:rPr>
          <w:b/>
          <w:szCs w:val="22"/>
        </w:rPr>
        <w:t>(SYD)</w:t>
      </w:r>
      <w:r w:rsidRPr="000F2287">
        <w:rPr>
          <w:szCs w:val="22"/>
        </w:rPr>
        <w:t xml:space="preserve">, Adelaide </w:t>
      </w:r>
      <w:r w:rsidRPr="000F2287">
        <w:rPr>
          <w:b/>
          <w:szCs w:val="22"/>
        </w:rPr>
        <w:t xml:space="preserve">(ADL) </w:t>
      </w:r>
      <w:r w:rsidRPr="000F2287">
        <w:rPr>
          <w:szCs w:val="22"/>
        </w:rPr>
        <w:t xml:space="preserve">and Brisbane </w:t>
      </w:r>
      <w:r w:rsidRPr="000F2287">
        <w:rPr>
          <w:b/>
          <w:szCs w:val="22"/>
        </w:rPr>
        <w:t xml:space="preserve">(BRI) </w:t>
      </w:r>
      <w:r w:rsidRPr="000F2287">
        <w:rPr>
          <w:szCs w:val="22"/>
        </w:rPr>
        <w:t xml:space="preserve">Short Term Trading Market hubs </w:t>
      </w:r>
      <w:r w:rsidRPr="000F2287">
        <w:rPr>
          <w:b/>
          <w:szCs w:val="22"/>
        </w:rPr>
        <w:t>(STTM)</w:t>
      </w:r>
      <w:r w:rsidRPr="000F2287">
        <w:rPr>
          <w:szCs w:val="22"/>
        </w:rPr>
        <w:t xml:space="preserve"> for the current week compared to historical averages.</w:t>
      </w:r>
    </w:p>
    <w:p w:rsidR="00D1641C" w:rsidRDefault="00D1641C" w:rsidP="006E7E57">
      <w:pPr>
        <w:pStyle w:val="Heading2"/>
        <w:ind w:firstLine="0"/>
        <w:rPr>
          <w:i w:val="0"/>
          <w:color w:val="2272A3"/>
          <w:sz w:val="24"/>
          <w:szCs w:val="24"/>
        </w:rPr>
      </w:pPr>
      <w:r w:rsidRPr="006E7E57">
        <w:rPr>
          <w:i w:val="0"/>
          <w:color w:val="2272A3"/>
          <w:sz w:val="24"/>
          <w:szCs w:val="24"/>
        </w:rPr>
        <w:t>Average daily prices – all markets ($/GJ)</w:t>
      </w:r>
      <w:r w:rsidRPr="006E7E57">
        <w:rPr>
          <w:i w:val="0"/>
          <w:color w:val="2272A3"/>
          <w:sz w:val="24"/>
          <w:szCs w:val="24"/>
          <w:vertAlign w:val="superscript"/>
        </w:rPr>
        <w:footnoteReference w:id="2"/>
      </w:r>
    </w:p>
    <w:tbl>
      <w:tblPr>
        <w:tblStyle w:val="AERTable-Text0"/>
        <w:tblW w:w="4858" w:type="pct"/>
        <w:tblLook w:val="04A0" w:firstRow="1" w:lastRow="0" w:firstColumn="1" w:lastColumn="0" w:noHBand="0" w:noVBand="1"/>
      </w:tblPr>
      <w:tblGrid>
        <w:gridCol w:w="3650"/>
        <w:gridCol w:w="1420"/>
        <w:gridCol w:w="1418"/>
        <w:gridCol w:w="1418"/>
        <w:gridCol w:w="1558"/>
      </w:tblGrid>
      <w:tr w:rsidR="003F44B7" w:rsidRPr="00DC24BF" w:rsidTr="003F44B7">
        <w:trPr>
          <w:cnfStyle w:val="100000000000" w:firstRow="1" w:lastRow="0" w:firstColumn="0" w:lastColumn="0" w:oddVBand="0" w:evenVBand="0" w:oddHBand="0" w:evenHBand="0" w:firstRowFirstColumn="0" w:firstRowLastColumn="0" w:lastRowFirstColumn="0" w:lastRowLastColumn="0"/>
          <w:tblHeader/>
        </w:trPr>
        <w:tc>
          <w:tcPr>
            <w:tcW w:w="1928" w:type="pct"/>
            <w:tcBorders>
              <w:bottom w:val="nil"/>
            </w:tcBorders>
            <w:hideMark/>
          </w:tcPr>
          <w:p w:rsidR="003F44B7" w:rsidRPr="00DC24BF" w:rsidRDefault="003F44B7" w:rsidP="00ED3374">
            <w:pPr>
              <w:pStyle w:val="TableHeading"/>
              <w:jc w:val="center"/>
              <w:rPr>
                <w:rFonts w:cs="Arial"/>
                <w:sz w:val="20"/>
                <w:szCs w:val="20"/>
              </w:rPr>
            </w:pPr>
            <w:r>
              <w:rPr>
                <w:rFonts w:cs="Arial"/>
                <w:sz w:val="20"/>
                <w:szCs w:val="20"/>
              </w:rPr>
              <w:t>Region</w:t>
            </w:r>
          </w:p>
        </w:tc>
        <w:tc>
          <w:tcPr>
            <w:tcW w:w="750" w:type="pct"/>
            <w:tcBorders>
              <w:bottom w:val="nil"/>
            </w:tcBorders>
          </w:tcPr>
          <w:p w:rsidR="003F44B7" w:rsidRPr="00936A7B" w:rsidRDefault="003F44B7" w:rsidP="00ED3374">
            <w:pPr>
              <w:jc w:val="center"/>
              <w:rPr>
                <w:sz w:val="20"/>
              </w:rPr>
            </w:pPr>
            <w:r w:rsidRPr="00936A7B">
              <w:rPr>
                <w:sz w:val="20"/>
              </w:rPr>
              <w:t>Victoria</w:t>
            </w:r>
          </w:p>
        </w:tc>
        <w:tc>
          <w:tcPr>
            <w:tcW w:w="749" w:type="pct"/>
            <w:tcBorders>
              <w:bottom w:val="nil"/>
            </w:tcBorders>
            <w:hideMark/>
          </w:tcPr>
          <w:p w:rsidR="003F44B7" w:rsidRPr="00936A7B" w:rsidRDefault="003F44B7" w:rsidP="00ED3374">
            <w:pPr>
              <w:jc w:val="center"/>
              <w:rPr>
                <w:sz w:val="20"/>
              </w:rPr>
            </w:pPr>
            <w:r w:rsidRPr="00936A7B">
              <w:rPr>
                <w:sz w:val="20"/>
              </w:rPr>
              <w:t>Sydney</w:t>
            </w:r>
          </w:p>
        </w:tc>
        <w:tc>
          <w:tcPr>
            <w:tcW w:w="749" w:type="pct"/>
            <w:tcBorders>
              <w:bottom w:val="nil"/>
            </w:tcBorders>
            <w:hideMark/>
          </w:tcPr>
          <w:p w:rsidR="003F44B7" w:rsidRPr="00936A7B" w:rsidRDefault="003F44B7" w:rsidP="00ED3374">
            <w:pPr>
              <w:jc w:val="center"/>
              <w:rPr>
                <w:sz w:val="20"/>
              </w:rPr>
            </w:pPr>
            <w:r w:rsidRPr="00936A7B">
              <w:rPr>
                <w:sz w:val="20"/>
              </w:rPr>
              <w:t>Adelaide</w:t>
            </w:r>
          </w:p>
        </w:tc>
        <w:tc>
          <w:tcPr>
            <w:tcW w:w="823" w:type="pct"/>
            <w:tcBorders>
              <w:bottom w:val="nil"/>
            </w:tcBorders>
            <w:hideMark/>
          </w:tcPr>
          <w:p w:rsidR="003F44B7" w:rsidRPr="00936A7B" w:rsidRDefault="003F44B7" w:rsidP="00ED3374">
            <w:pPr>
              <w:jc w:val="center"/>
              <w:rPr>
                <w:sz w:val="20"/>
              </w:rPr>
            </w:pPr>
            <w:r w:rsidRPr="00936A7B">
              <w:rPr>
                <w:sz w:val="20"/>
              </w:rPr>
              <w:t>Brisbane</w:t>
            </w:r>
          </w:p>
        </w:tc>
      </w:tr>
      <w:tr w:rsidR="00E453F1" w:rsidRPr="0091453B" w:rsidTr="00ED3374">
        <w:trPr>
          <w:trHeight w:val="510"/>
        </w:trPr>
        <w:tc>
          <w:tcPr>
            <w:tcW w:w="1928" w:type="pct"/>
            <w:tcBorders>
              <w:top w:val="nil"/>
              <w:bottom w:val="nil"/>
            </w:tcBorders>
            <w:vAlign w:val="center"/>
          </w:tcPr>
          <w:p w:rsidR="00E453F1" w:rsidRDefault="00E453F1">
            <w:pPr>
              <w:rPr>
                <w:rFonts w:cs="Arial"/>
                <w:sz w:val="20"/>
                <w:szCs w:val="20"/>
              </w:rPr>
            </w:pPr>
            <w:r>
              <w:rPr>
                <w:rFonts w:cs="Arial"/>
                <w:sz w:val="20"/>
                <w:szCs w:val="20"/>
              </w:rPr>
              <w:t>20 Dec - 26 Dec 2015</w:t>
            </w:r>
          </w:p>
        </w:tc>
        <w:tc>
          <w:tcPr>
            <w:tcW w:w="750" w:type="pct"/>
            <w:tcBorders>
              <w:top w:val="nil"/>
              <w:bottom w:val="nil"/>
            </w:tcBorders>
            <w:vAlign w:val="center"/>
          </w:tcPr>
          <w:p w:rsidR="00E453F1" w:rsidRDefault="00E453F1">
            <w:pPr>
              <w:jc w:val="center"/>
              <w:rPr>
                <w:rFonts w:cs="Arial"/>
                <w:sz w:val="20"/>
                <w:szCs w:val="20"/>
              </w:rPr>
            </w:pPr>
            <w:r>
              <w:rPr>
                <w:rFonts w:cs="Arial"/>
                <w:sz w:val="20"/>
                <w:szCs w:val="20"/>
              </w:rPr>
              <w:t>5.34</w:t>
            </w:r>
          </w:p>
        </w:tc>
        <w:tc>
          <w:tcPr>
            <w:tcW w:w="749" w:type="pct"/>
            <w:tcBorders>
              <w:top w:val="nil"/>
              <w:bottom w:val="nil"/>
            </w:tcBorders>
            <w:vAlign w:val="center"/>
          </w:tcPr>
          <w:p w:rsidR="00E453F1" w:rsidRDefault="00E453F1">
            <w:pPr>
              <w:jc w:val="center"/>
              <w:rPr>
                <w:rFonts w:cs="Arial"/>
                <w:sz w:val="20"/>
                <w:szCs w:val="20"/>
              </w:rPr>
            </w:pPr>
            <w:r>
              <w:rPr>
                <w:rFonts w:cs="Arial"/>
                <w:sz w:val="20"/>
                <w:szCs w:val="20"/>
              </w:rPr>
              <w:t>5.58</w:t>
            </w:r>
          </w:p>
        </w:tc>
        <w:tc>
          <w:tcPr>
            <w:tcW w:w="749" w:type="pct"/>
            <w:tcBorders>
              <w:top w:val="nil"/>
              <w:bottom w:val="nil"/>
            </w:tcBorders>
            <w:vAlign w:val="center"/>
          </w:tcPr>
          <w:p w:rsidR="00E453F1" w:rsidRDefault="00E453F1">
            <w:pPr>
              <w:jc w:val="center"/>
              <w:rPr>
                <w:rFonts w:cs="Arial"/>
                <w:sz w:val="20"/>
                <w:szCs w:val="20"/>
              </w:rPr>
            </w:pPr>
            <w:r>
              <w:rPr>
                <w:rFonts w:cs="Arial"/>
                <w:sz w:val="20"/>
                <w:szCs w:val="20"/>
              </w:rPr>
              <w:t>5.96</w:t>
            </w:r>
          </w:p>
        </w:tc>
        <w:tc>
          <w:tcPr>
            <w:tcW w:w="823" w:type="pct"/>
            <w:tcBorders>
              <w:top w:val="nil"/>
              <w:bottom w:val="nil"/>
            </w:tcBorders>
            <w:vAlign w:val="center"/>
          </w:tcPr>
          <w:p w:rsidR="00E453F1" w:rsidRDefault="00E453F1">
            <w:pPr>
              <w:jc w:val="center"/>
              <w:rPr>
                <w:rFonts w:cs="Arial"/>
                <w:sz w:val="20"/>
                <w:szCs w:val="20"/>
              </w:rPr>
            </w:pPr>
            <w:r>
              <w:rPr>
                <w:rFonts w:cs="Arial"/>
                <w:sz w:val="20"/>
                <w:szCs w:val="20"/>
              </w:rPr>
              <w:t>3.52</w:t>
            </w:r>
          </w:p>
        </w:tc>
      </w:tr>
      <w:tr w:rsidR="00E453F1" w:rsidRPr="0091453B" w:rsidTr="00ED3374">
        <w:trPr>
          <w:cnfStyle w:val="000000010000" w:firstRow="0" w:lastRow="0" w:firstColumn="0" w:lastColumn="0" w:oddVBand="0" w:evenVBand="0" w:oddHBand="0" w:evenHBand="1" w:firstRowFirstColumn="0" w:firstRowLastColumn="0" w:lastRowFirstColumn="0" w:lastRowLastColumn="0"/>
          <w:trHeight w:val="510"/>
        </w:trPr>
        <w:tc>
          <w:tcPr>
            <w:tcW w:w="1928" w:type="pct"/>
            <w:tcBorders>
              <w:top w:val="nil"/>
              <w:bottom w:val="nil"/>
            </w:tcBorders>
            <w:vAlign w:val="center"/>
          </w:tcPr>
          <w:p w:rsidR="00E453F1" w:rsidRDefault="00E453F1">
            <w:pPr>
              <w:rPr>
                <w:rFonts w:cs="Arial"/>
                <w:sz w:val="20"/>
                <w:szCs w:val="20"/>
              </w:rPr>
            </w:pPr>
            <w:r>
              <w:rPr>
                <w:rFonts w:cs="Arial"/>
                <w:sz w:val="20"/>
                <w:szCs w:val="20"/>
              </w:rPr>
              <w:t>% change from previous week</w:t>
            </w:r>
          </w:p>
        </w:tc>
        <w:tc>
          <w:tcPr>
            <w:tcW w:w="750" w:type="pct"/>
            <w:tcBorders>
              <w:top w:val="nil"/>
              <w:bottom w:val="nil"/>
            </w:tcBorders>
            <w:vAlign w:val="center"/>
          </w:tcPr>
          <w:p w:rsidR="00E453F1" w:rsidRDefault="00E453F1">
            <w:pPr>
              <w:jc w:val="center"/>
              <w:rPr>
                <w:rFonts w:cs="Arial"/>
                <w:sz w:val="20"/>
                <w:szCs w:val="20"/>
              </w:rPr>
            </w:pPr>
            <w:r>
              <w:rPr>
                <w:rFonts w:cs="Arial"/>
                <w:sz w:val="20"/>
                <w:szCs w:val="20"/>
              </w:rPr>
              <w:t>3</w:t>
            </w:r>
          </w:p>
        </w:tc>
        <w:tc>
          <w:tcPr>
            <w:tcW w:w="749" w:type="pct"/>
            <w:tcBorders>
              <w:top w:val="nil"/>
              <w:bottom w:val="nil"/>
            </w:tcBorders>
            <w:vAlign w:val="center"/>
          </w:tcPr>
          <w:p w:rsidR="00E453F1" w:rsidRDefault="00E453F1">
            <w:pPr>
              <w:jc w:val="center"/>
              <w:rPr>
                <w:rFonts w:cs="Arial"/>
                <w:sz w:val="20"/>
                <w:szCs w:val="20"/>
              </w:rPr>
            </w:pPr>
            <w:r>
              <w:rPr>
                <w:rFonts w:cs="Arial"/>
                <w:sz w:val="20"/>
                <w:szCs w:val="20"/>
              </w:rPr>
              <w:t>14</w:t>
            </w:r>
          </w:p>
        </w:tc>
        <w:tc>
          <w:tcPr>
            <w:tcW w:w="749" w:type="pct"/>
            <w:tcBorders>
              <w:top w:val="nil"/>
              <w:bottom w:val="nil"/>
            </w:tcBorders>
            <w:vAlign w:val="center"/>
          </w:tcPr>
          <w:p w:rsidR="00E453F1" w:rsidRDefault="00E453F1">
            <w:pPr>
              <w:jc w:val="center"/>
              <w:rPr>
                <w:rFonts w:cs="Arial"/>
                <w:sz w:val="20"/>
                <w:szCs w:val="20"/>
              </w:rPr>
            </w:pPr>
            <w:r>
              <w:rPr>
                <w:rFonts w:cs="Arial"/>
                <w:sz w:val="20"/>
                <w:szCs w:val="20"/>
              </w:rPr>
              <w:t>-10</w:t>
            </w:r>
          </w:p>
        </w:tc>
        <w:tc>
          <w:tcPr>
            <w:tcW w:w="823" w:type="pct"/>
            <w:tcBorders>
              <w:top w:val="nil"/>
              <w:bottom w:val="nil"/>
            </w:tcBorders>
            <w:vAlign w:val="center"/>
          </w:tcPr>
          <w:p w:rsidR="00E453F1" w:rsidRDefault="00E453F1">
            <w:pPr>
              <w:jc w:val="center"/>
              <w:rPr>
                <w:rFonts w:cs="Arial"/>
                <w:sz w:val="20"/>
                <w:szCs w:val="20"/>
              </w:rPr>
            </w:pPr>
            <w:r>
              <w:rPr>
                <w:rFonts w:cs="Arial"/>
                <w:sz w:val="20"/>
                <w:szCs w:val="20"/>
              </w:rPr>
              <w:t>-15</w:t>
            </w:r>
          </w:p>
        </w:tc>
      </w:tr>
      <w:tr w:rsidR="00E453F1" w:rsidRPr="0091453B" w:rsidTr="00ED3374">
        <w:trPr>
          <w:trHeight w:val="510"/>
        </w:trPr>
        <w:tc>
          <w:tcPr>
            <w:tcW w:w="1928" w:type="pct"/>
            <w:tcBorders>
              <w:top w:val="nil"/>
              <w:bottom w:val="nil"/>
            </w:tcBorders>
            <w:vAlign w:val="center"/>
          </w:tcPr>
          <w:p w:rsidR="00E453F1" w:rsidRDefault="00E453F1">
            <w:pPr>
              <w:rPr>
                <w:rFonts w:cs="Arial"/>
                <w:sz w:val="20"/>
                <w:szCs w:val="20"/>
              </w:rPr>
            </w:pPr>
            <w:r>
              <w:rPr>
                <w:rFonts w:cs="Arial"/>
                <w:sz w:val="20"/>
                <w:szCs w:val="20"/>
              </w:rPr>
              <w:t>15-16 financial YTD</w:t>
            </w:r>
          </w:p>
        </w:tc>
        <w:tc>
          <w:tcPr>
            <w:tcW w:w="750" w:type="pct"/>
            <w:tcBorders>
              <w:top w:val="nil"/>
              <w:bottom w:val="nil"/>
            </w:tcBorders>
            <w:vAlign w:val="center"/>
          </w:tcPr>
          <w:p w:rsidR="00E453F1" w:rsidRDefault="00E453F1">
            <w:pPr>
              <w:jc w:val="center"/>
              <w:rPr>
                <w:rFonts w:cs="Arial"/>
                <w:sz w:val="20"/>
                <w:szCs w:val="20"/>
              </w:rPr>
            </w:pPr>
            <w:r>
              <w:rPr>
                <w:rFonts w:cs="Arial"/>
                <w:sz w:val="20"/>
                <w:szCs w:val="20"/>
              </w:rPr>
              <w:t>4.45</w:t>
            </w:r>
          </w:p>
        </w:tc>
        <w:tc>
          <w:tcPr>
            <w:tcW w:w="749" w:type="pct"/>
            <w:tcBorders>
              <w:top w:val="nil"/>
              <w:bottom w:val="nil"/>
            </w:tcBorders>
            <w:vAlign w:val="center"/>
          </w:tcPr>
          <w:p w:rsidR="00E453F1" w:rsidRDefault="00E453F1">
            <w:pPr>
              <w:jc w:val="center"/>
              <w:rPr>
                <w:rFonts w:cs="Arial"/>
                <w:sz w:val="20"/>
                <w:szCs w:val="20"/>
              </w:rPr>
            </w:pPr>
            <w:r>
              <w:rPr>
                <w:rFonts w:cs="Arial"/>
                <w:sz w:val="20"/>
                <w:szCs w:val="20"/>
              </w:rPr>
              <w:t>4.64</w:t>
            </w:r>
          </w:p>
        </w:tc>
        <w:tc>
          <w:tcPr>
            <w:tcW w:w="749" w:type="pct"/>
            <w:tcBorders>
              <w:top w:val="nil"/>
              <w:bottom w:val="nil"/>
            </w:tcBorders>
            <w:vAlign w:val="center"/>
          </w:tcPr>
          <w:p w:rsidR="00E453F1" w:rsidRDefault="00E453F1">
            <w:pPr>
              <w:jc w:val="center"/>
              <w:rPr>
                <w:rFonts w:cs="Arial"/>
                <w:sz w:val="20"/>
                <w:szCs w:val="20"/>
              </w:rPr>
            </w:pPr>
            <w:r>
              <w:rPr>
                <w:rFonts w:cs="Arial"/>
                <w:sz w:val="20"/>
                <w:szCs w:val="20"/>
              </w:rPr>
              <w:t>5.07</w:t>
            </w:r>
          </w:p>
        </w:tc>
        <w:tc>
          <w:tcPr>
            <w:tcW w:w="823" w:type="pct"/>
            <w:tcBorders>
              <w:top w:val="nil"/>
              <w:bottom w:val="nil"/>
            </w:tcBorders>
            <w:vAlign w:val="center"/>
          </w:tcPr>
          <w:p w:rsidR="00E453F1" w:rsidRDefault="00E453F1">
            <w:pPr>
              <w:jc w:val="center"/>
              <w:rPr>
                <w:rFonts w:cs="Arial"/>
                <w:sz w:val="20"/>
                <w:szCs w:val="20"/>
              </w:rPr>
            </w:pPr>
            <w:r>
              <w:rPr>
                <w:rFonts w:cs="Arial"/>
                <w:sz w:val="20"/>
                <w:szCs w:val="20"/>
              </w:rPr>
              <w:t>3.67</w:t>
            </w:r>
          </w:p>
        </w:tc>
      </w:tr>
      <w:tr w:rsidR="00E453F1" w:rsidRPr="0091453B" w:rsidTr="00ED3374">
        <w:trPr>
          <w:cnfStyle w:val="000000010000" w:firstRow="0" w:lastRow="0" w:firstColumn="0" w:lastColumn="0" w:oddVBand="0" w:evenVBand="0" w:oddHBand="0" w:evenHBand="1" w:firstRowFirstColumn="0" w:firstRowLastColumn="0" w:lastRowFirstColumn="0" w:lastRowLastColumn="0"/>
          <w:trHeight w:val="510"/>
        </w:trPr>
        <w:tc>
          <w:tcPr>
            <w:tcW w:w="1928" w:type="pct"/>
            <w:tcBorders>
              <w:top w:val="nil"/>
              <w:bottom w:val="single" w:sz="4" w:space="0" w:color="auto"/>
            </w:tcBorders>
            <w:vAlign w:val="center"/>
          </w:tcPr>
          <w:p w:rsidR="00E453F1" w:rsidRDefault="00E453F1">
            <w:pPr>
              <w:rPr>
                <w:rFonts w:cs="Arial"/>
                <w:sz w:val="20"/>
                <w:szCs w:val="20"/>
              </w:rPr>
            </w:pPr>
            <w:r>
              <w:rPr>
                <w:rFonts w:cs="Arial"/>
                <w:sz w:val="20"/>
                <w:szCs w:val="20"/>
              </w:rPr>
              <w:t>% change from previous financial YTD</w:t>
            </w:r>
          </w:p>
        </w:tc>
        <w:tc>
          <w:tcPr>
            <w:tcW w:w="750" w:type="pct"/>
            <w:tcBorders>
              <w:top w:val="nil"/>
              <w:bottom w:val="single" w:sz="4" w:space="0" w:color="auto"/>
            </w:tcBorders>
            <w:vAlign w:val="center"/>
          </w:tcPr>
          <w:p w:rsidR="00E453F1" w:rsidRDefault="00E453F1">
            <w:pPr>
              <w:jc w:val="center"/>
              <w:rPr>
                <w:rFonts w:cs="Arial"/>
                <w:sz w:val="20"/>
                <w:szCs w:val="20"/>
              </w:rPr>
            </w:pPr>
            <w:r>
              <w:rPr>
                <w:rFonts w:cs="Arial"/>
                <w:sz w:val="20"/>
                <w:szCs w:val="20"/>
              </w:rPr>
              <w:t>28</w:t>
            </w:r>
          </w:p>
        </w:tc>
        <w:tc>
          <w:tcPr>
            <w:tcW w:w="749" w:type="pct"/>
            <w:tcBorders>
              <w:top w:val="nil"/>
              <w:bottom w:val="single" w:sz="4" w:space="0" w:color="auto"/>
            </w:tcBorders>
            <w:vAlign w:val="center"/>
          </w:tcPr>
          <w:p w:rsidR="00E453F1" w:rsidRDefault="00E453F1">
            <w:pPr>
              <w:jc w:val="center"/>
              <w:rPr>
                <w:rFonts w:cs="Arial"/>
                <w:sz w:val="20"/>
                <w:szCs w:val="20"/>
              </w:rPr>
            </w:pPr>
            <w:r>
              <w:rPr>
                <w:rFonts w:cs="Arial"/>
                <w:sz w:val="20"/>
                <w:szCs w:val="20"/>
              </w:rPr>
              <w:t>52</w:t>
            </w:r>
          </w:p>
        </w:tc>
        <w:tc>
          <w:tcPr>
            <w:tcW w:w="749" w:type="pct"/>
            <w:tcBorders>
              <w:top w:val="nil"/>
              <w:bottom w:val="single" w:sz="4" w:space="0" w:color="auto"/>
            </w:tcBorders>
            <w:vAlign w:val="center"/>
          </w:tcPr>
          <w:p w:rsidR="00E453F1" w:rsidRDefault="00E453F1">
            <w:pPr>
              <w:jc w:val="center"/>
              <w:rPr>
                <w:rFonts w:cs="Arial"/>
                <w:sz w:val="20"/>
                <w:szCs w:val="20"/>
              </w:rPr>
            </w:pPr>
            <w:r>
              <w:rPr>
                <w:rFonts w:cs="Arial"/>
                <w:sz w:val="20"/>
                <w:szCs w:val="20"/>
              </w:rPr>
              <w:t>43</w:t>
            </w:r>
          </w:p>
        </w:tc>
        <w:tc>
          <w:tcPr>
            <w:tcW w:w="823" w:type="pct"/>
            <w:tcBorders>
              <w:top w:val="nil"/>
              <w:bottom w:val="single" w:sz="4" w:space="0" w:color="auto"/>
            </w:tcBorders>
            <w:vAlign w:val="center"/>
          </w:tcPr>
          <w:p w:rsidR="00E453F1" w:rsidRDefault="00E453F1">
            <w:pPr>
              <w:jc w:val="center"/>
              <w:rPr>
                <w:rFonts w:cs="Arial"/>
                <w:sz w:val="20"/>
                <w:szCs w:val="20"/>
              </w:rPr>
            </w:pPr>
            <w:r>
              <w:rPr>
                <w:rFonts w:cs="Arial"/>
                <w:sz w:val="20"/>
                <w:szCs w:val="20"/>
              </w:rPr>
              <w:t>109</w:t>
            </w:r>
          </w:p>
        </w:tc>
      </w:tr>
    </w:tbl>
    <w:p w:rsidR="00FF0D8A" w:rsidRPr="008D4DAB" w:rsidRDefault="00FF0D8A" w:rsidP="00FF0D8A">
      <w:pPr>
        <w:pStyle w:val="AERbodytext"/>
        <w:spacing w:before="120" w:after="120"/>
        <w:jc w:val="both"/>
      </w:pPr>
      <w:r>
        <w:t>Figure</w:t>
      </w:r>
      <w:r w:rsidRPr="008D4DAB">
        <w:t xml:space="preserve"> 2 compare</w:t>
      </w:r>
      <w:r>
        <w:t>s</w:t>
      </w:r>
      <w:r w:rsidRPr="008D4DAB">
        <w:t xml:space="preserve"> average weekly gas prices, ancillary market payments and </w:t>
      </w:r>
      <w:r>
        <w:t>scheduled</w:t>
      </w:r>
      <w:r w:rsidRPr="008D4DAB">
        <w:t xml:space="preserve"> </w:t>
      </w:r>
      <w:r>
        <w:t>injections</w:t>
      </w:r>
      <w:r w:rsidRPr="008D4DAB">
        <w:t xml:space="preserve"> against historical averages for the </w:t>
      </w:r>
      <w:r>
        <w:t xml:space="preserve">Victorian </w:t>
      </w:r>
      <w:r w:rsidRPr="008D4DAB">
        <w:t>gas market.</w:t>
      </w:r>
    </w:p>
    <w:p w:rsidR="00D1641C" w:rsidRDefault="00FF0D8A" w:rsidP="00D1641C">
      <w:pPr>
        <w:pStyle w:val="Heading2"/>
        <w:ind w:firstLine="0"/>
        <w:rPr>
          <w:i w:val="0"/>
          <w:color w:val="2272A3"/>
          <w:sz w:val="24"/>
          <w:szCs w:val="24"/>
        </w:rPr>
      </w:pPr>
      <w:r w:rsidRPr="006E7E57">
        <w:rPr>
          <w:i w:val="0"/>
          <w:color w:val="2272A3"/>
          <w:sz w:val="24"/>
          <w:szCs w:val="24"/>
        </w:rPr>
        <w:lastRenderedPageBreak/>
        <w:t>Victorian Gas Market</w:t>
      </w:r>
    </w:p>
    <w:tbl>
      <w:tblPr>
        <w:tblStyle w:val="AERTable-Text0"/>
        <w:tblW w:w="4858" w:type="pct"/>
        <w:tblLook w:val="04A0" w:firstRow="1" w:lastRow="0" w:firstColumn="1" w:lastColumn="0" w:noHBand="0" w:noVBand="1"/>
      </w:tblPr>
      <w:tblGrid>
        <w:gridCol w:w="3649"/>
        <w:gridCol w:w="1418"/>
        <w:gridCol w:w="2128"/>
        <w:gridCol w:w="2269"/>
      </w:tblGrid>
      <w:tr w:rsidR="00F114D5" w:rsidRPr="00DC24BF" w:rsidTr="00F114D5">
        <w:trPr>
          <w:cnfStyle w:val="100000000000" w:firstRow="1" w:lastRow="0" w:firstColumn="0" w:lastColumn="0" w:oddVBand="0" w:evenVBand="0" w:oddHBand="0" w:evenHBand="0" w:firstRowFirstColumn="0" w:firstRowLastColumn="0" w:lastRowFirstColumn="0" w:lastRowLastColumn="0"/>
          <w:tblHeader/>
        </w:trPr>
        <w:tc>
          <w:tcPr>
            <w:tcW w:w="1928" w:type="pct"/>
            <w:tcBorders>
              <w:bottom w:val="nil"/>
            </w:tcBorders>
            <w:hideMark/>
          </w:tcPr>
          <w:p w:rsidR="00F114D5" w:rsidRPr="00DC24BF" w:rsidRDefault="00F114D5" w:rsidP="00ED3374">
            <w:pPr>
              <w:pStyle w:val="TableHeading"/>
              <w:jc w:val="center"/>
              <w:rPr>
                <w:rFonts w:cs="Arial"/>
                <w:sz w:val="20"/>
                <w:szCs w:val="20"/>
              </w:rPr>
            </w:pPr>
          </w:p>
        </w:tc>
        <w:tc>
          <w:tcPr>
            <w:tcW w:w="749" w:type="pct"/>
            <w:tcBorders>
              <w:bottom w:val="nil"/>
            </w:tcBorders>
            <w:hideMark/>
          </w:tcPr>
          <w:p w:rsidR="00F114D5" w:rsidRPr="002861A9" w:rsidRDefault="00F114D5" w:rsidP="00ED3374">
            <w:pPr>
              <w:keepNext/>
              <w:spacing w:before="40" w:after="40"/>
              <w:jc w:val="center"/>
              <w:rPr>
                <w:rFonts w:cs="Arial"/>
                <w:b w:val="0"/>
                <w:bCs/>
                <w:sz w:val="20"/>
                <w:szCs w:val="20"/>
              </w:rPr>
            </w:pPr>
            <w:r w:rsidRPr="002861A9">
              <w:rPr>
                <w:rFonts w:cs="Arial"/>
                <w:bCs/>
                <w:sz w:val="20"/>
                <w:szCs w:val="20"/>
              </w:rPr>
              <w:t>Price ($/GJ)</w:t>
            </w:r>
          </w:p>
        </w:tc>
        <w:tc>
          <w:tcPr>
            <w:tcW w:w="1124" w:type="pct"/>
            <w:tcBorders>
              <w:bottom w:val="nil"/>
            </w:tcBorders>
            <w:hideMark/>
          </w:tcPr>
          <w:p w:rsidR="00F114D5" w:rsidRPr="002861A9" w:rsidRDefault="00F114D5" w:rsidP="00ED3374">
            <w:pPr>
              <w:keepNext/>
              <w:spacing w:before="40" w:after="40"/>
              <w:jc w:val="center"/>
              <w:rPr>
                <w:rFonts w:cs="Arial"/>
                <w:b w:val="0"/>
                <w:bCs/>
                <w:sz w:val="20"/>
                <w:szCs w:val="20"/>
              </w:rPr>
            </w:pPr>
            <w:r w:rsidRPr="002861A9">
              <w:rPr>
                <w:rFonts w:cs="Arial"/>
                <w:bCs/>
                <w:sz w:val="20"/>
                <w:szCs w:val="20"/>
              </w:rPr>
              <w:t>Ancillary payments ($000)</w:t>
            </w:r>
            <w:r>
              <w:rPr>
                <w:rFonts w:cs="Arial"/>
                <w:bCs/>
                <w:sz w:val="20"/>
                <w:szCs w:val="20"/>
              </w:rPr>
              <w:t>*</w:t>
            </w:r>
          </w:p>
        </w:tc>
        <w:tc>
          <w:tcPr>
            <w:tcW w:w="1199" w:type="pct"/>
            <w:tcBorders>
              <w:bottom w:val="nil"/>
            </w:tcBorders>
            <w:hideMark/>
          </w:tcPr>
          <w:p w:rsidR="00F114D5" w:rsidRPr="002861A9" w:rsidRDefault="00F114D5" w:rsidP="00ED3374">
            <w:pPr>
              <w:keepNext/>
              <w:spacing w:before="40" w:after="40"/>
              <w:jc w:val="center"/>
              <w:rPr>
                <w:rFonts w:cs="Arial"/>
                <w:b w:val="0"/>
                <w:bCs/>
                <w:sz w:val="20"/>
                <w:szCs w:val="20"/>
              </w:rPr>
            </w:pPr>
            <w:r w:rsidRPr="002861A9">
              <w:rPr>
                <w:rFonts w:cs="Arial"/>
                <w:bCs/>
                <w:sz w:val="20"/>
                <w:szCs w:val="20"/>
              </w:rPr>
              <w:t>BOD forecast demand quantity (TJ)</w:t>
            </w:r>
          </w:p>
        </w:tc>
      </w:tr>
      <w:tr w:rsidR="00E453F1" w:rsidRPr="0091453B" w:rsidTr="00ED3374">
        <w:trPr>
          <w:trHeight w:val="510"/>
        </w:trPr>
        <w:tc>
          <w:tcPr>
            <w:tcW w:w="1928" w:type="pct"/>
            <w:tcBorders>
              <w:top w:val="nil"/>
              <w:bottom w:val="nil"/>
            </w:tcBorders>
            <w:vAlign w:val="center"/>
          </w:tcPr>
          <w:p w:rsidR="00E453F1" w:rsidRDefault="00E453F1">
            <w:pPr>
              <w:rPr>
                <w:rFonts w:cs="Arial"/>
                <w:sz w:val="20"/>
                <w:szCs w:val="20"/>
              </w:rPr>
            </w:pPr>
            <w:r>
              <w:rPr>
                <w:rFonts w:cs="Arial"/>
                <w:sz w:val="20"/>
                <w:szCs w:val="20"/>
              </w:rPr>
              <w:t>20 Dec - 26 Dec 2015</w:t>
            </w:r>
          </w:p>
        </w:tc>
        <w:tc>
          <w:tcPr>
            <w:tcW w:w="749" w:type="pct"/>
            <w:tcBorders>
              <w:top w:val="nil"/>
              <w:bottom w:val="nil"/>
            </w:tcBorders>
            <w:vAlign w:val="center"/>
          </w:tcPr>
          <w:p w:rsidR="00E453F1" w:rsidRDefault="00E453F1">
            <w:pPr>
              <w:jc w:val="center"/>
              <w:rPr>
                <w:rFonts w:cs="Arial"/>
                <w:sz w:val="20"/>
                <w:szCs w:val="20"/>
              </w:rPr>
            </w:pPr>
            <w:r>
              <w:rPr>
                <w:rFonts w:cs="Arial"/>
                <w:sz w:val="20"/>
                <w:szCs w:val="20"/>
              </w:rPr>
              <w:t>5.34</w:t>
            </w:r>
          </w:p>
        </w:tc>
        <w:tc>
          <w:tcPr>
            <w:tcW w:w="1124" w:type="pct"/>
            <w:tcBorders>
              <w:top w:val="nil"/>
              <w:bottom w:val="nil"/>
            </w:tcBorders>
            <w:vAlign w:val="center"/>
          </w:tcPr>
          <w:p w:rsidR="00E453F1" w:rsidRDefault="00E453F1">
            <w:pPr>
              <w:jc w:val="center"/>
              <w:rPr>
                <w:rFonts w:cs="Arial"/>
                <w:sz w:val="20"/>
                <w:szCs w:val="20"/>
              </w:rPr>
            </w:pPr>
            <w:r>
              <w:rPr>
                <w:rFonts w:cs="Arial"/>
                <w:sz w:val="20"/>
                <w:szCs w:val="20"/>
              </w:rPr>
              <w:t>-</w:t>
            </w:r>
          </w:p>
        </w:tc>
        <w:tc>
          <w:tcPr>
            <w:tcW w:w="1199" w:type="pct"/>
            <w:tcBorders>
              <w:top w:val="nil"/>
              <w:bottom w:val="nil"/>
            </w:tcBorders>
            <w:vAlign w:val="center"/>
          </w:tcPr>
          <w:p w:rsidR="00E453F1" w:rsidRDefault="00E453F1">
            <w:pPr>
              <w:jc w:val="center"/>
              <w:rPr>
                <w:rFonts w:cs="Arial"/>
                <w:sz w:val="20"/>
                <w:szCs w:val="20"/>
              </w:rPr>
            </w:pPr>
            <w:r>
              <w:rPr>
                <w:rFonts w:cs="Arial"/>
                <w:sz w:val="20"/>
                <w:szCs w:val="20"/>
              </w:rPr>
              <w:t>305</w:t>
            </w:r>
          </w:p>
        </w:tc>
      </w:tr>
      <w:tr w:rsidR="00E453F1" w:rsidRPr="0091453B" w:rsidTr="00ED3374">
        <w:trPr>
          <w:cnfStyle w:val="000000010000" w:firstRow="0" w:lastRow="0" w:firstColumn="0" w:lastColumn="0" w:oddVBand="0" w:evenVBand="0" w:oddHBand="0" w:evenHBand="1" w:firstRowFirstColumn="0" w:firstRowLastColumn="0" w:lastRowFirstColumn="0" w:lastRowLastColumn="0"/>
          <w:trHeight w:val="510"/>
        </w:trPr>
        <w:tc>
          <w:tcPr>
            <w:tcW w:w="1928" w:type="pct"/>
            <w:tcBorders>
              <w:top w:val="nil"/>
              <w:bottom w:val="nil"/>
            </w:tcBorders>
            <w:vAlign w:val="center"/>
          </w:tcPr>
          <w:p w:rsidR="00E453F1" w:rsidRDefault="00E453F1">
            <w:pPr>
              <w:rPr>
                <w:rFonts w:cs="Arial"/>
                <w:sz w:val="20"/>
                <w:szCs w:val="20"/>
              </w:rPr>
            </w:pPr>
            <w:r>
              <w:rPr>
                <w:rFonts w:cs="Arial"/>
                <w:sz w:val="20"/>
                <w:szCs w:val="20"/>
              </w:rPr>
              <w:t>% change from previous week</w:t>
            </w:r>
          </w:p>
        </w:tc>
        <w:tc>
          <w:tcPr>
            <w:tcW w:w="749" w:type="pct"/>
            <w:tcBorders>
              <w:top w:val="nil"/>
              <w:bottom w:val="nil"/>
            </w:tcBorders>
            <w:vAlign w:val="center"/>
          </w:tcPr>
          <w:p w:rsidR="00E453F1" w:rsidRDefault="00E453F1">
            <w:pPr>
              <w:jc w:val="center"/>
              <w:rPr>
                <w:rFonts w:cs="Arial"/>
                <w:sz w:val="20"/>
                <w:szCs w:val="20"/>
              </w:rPr>
            </w:pPr>
            <w:r>
              <w:rPr>
                <w:rFonts w:cs="Arial"/>
                <w:sz w:val="20"/>
                <w:szCs w:val="20"/>
              </w:rPr>
              <w:t>3</w:t>
            </w:r>
          </w:p>
        </w:tc>
        <w:tc>
          <w:tcPr>
            <w:tcW w:w="1124" w:type="pct"/>
            <w:tcBorders>
              <w:top w:val="nil"/>
              <w:bottom w:val="nil"/>
            </w:tcBorders>
            <w:vAlign w:val="center"/>
          </w:tcPr>
          <w:p w:rsidR="00E453F1" w:rsidRDefault="00E453F1">
            <w:pPr>
              <w:jc w:val="center"/>
              <w:rPr>
                <w:rFonts w:cs="Arial"/>
                <w:sz w:val="20"/>
                <w:szCs w:val="20"/>
              </w:rPr>
            </w:pPr>
            <w:r>
              <w:rPr>
                <w:rFonts w:cs="Arial"/>
                <w:sz w:val="20"/>
                <w:szCs w:val="20"/>
              </w:rPr>
              <w:t>-</w:t>
            </w:r>
          </w:p>
        </w:tc>
        <w:tc>
          <w:tcPr>
            <w:tcW w:w="1199" w:type="pct"/>
            <w:tcBorders>
              <w:top w:val="nil"/>
              <w:bottom w:val="nil"/>
            </w:tcBorders>
            <w:vAlign w:val="center"/>
          </w:tcPr>
          <w:p w:rsidR="00E453F1" w:rsidRDefault="00E453F1">
            <w:pPr>
              <w:jc w:val="center"/>
              <w:rPr>
                <w:rFonts w:cs="Arial"/>
                <w:sz w:val="20"/>
                <w:szCs w:val="20"/>
              </w:rPr>
            </w:pPr>
            <w:r>
              <w:rPr>
                <w:rFonts w:cs="Arial"/>
                <w:sz w:val="20"/>
                <w:szCs w:val="20"/>
              </w:rPr>
              <w:t>-18</w:t>
            </w:r>
          </w:p>
        </w:tc>
      </w:tr>
      <w:tr w:rsidR="00E453F1" w:rsidRPr="0091453B" w:rsidTr="00ED3374">
        <w:trPr>
          <w:trHeight w:val="510"/>
        </w:trPr>
        <w:tc>
          <w:tcPr>
            <w:tcW w:w="1928" w:type="pct"/>
            <w:tcBorders>
              <w:top w:val="nil"/>
              <w:bottom w:val="nil"/>
            </w:tcBorders>
            <w:vAlign w:val="center"/>
          </w:tcPr>
          <w:p w:rsidR="00E453F1" w:rsidRDefault="00E453F1">
            <w:pPr>
              <w:rPr>
                <w:rFonts w:cs="Arial"/>
                <w:sz w:val="20"/>
                <w:szCs w:val="20"/>
              </w:rPr>
            </w:pPr>
            <w:r>
              <w:rPr>
                <w:rFonts w:cs="Arial"/>
                <w:sz w:val="20"/>
                <w:szCs w:val="20"/>
              </w:rPr>
              <w:t>15-16 financial YTD</w:t>
            </w:r>
          </w:p>
        </w:tc>
        <w:tc>
          <w:tcPr>
            <w:tcW w:w="749" w:type="pct"/>
            <w:tcBorders>
              <w:top w:val="nil"/>
              <w:bottom w:val="nil"/>
            </w:tcBorders>
            <w:vAlign w:val="center"/>
          </w:tcPr>
          <w:p w:rsidR="00E453F1" w:rsidRDefault="00E453F1">
            <w:pPr>
              <w:jc w:val="center"/>
              <w:rPr>
                <w:rFonts w:cs="Arial"/>
                <w:sz w:val="20"/>
                <w:szCs w:val="20"/>
              </w:rPr>
            </w:pPr>
            <w:r>
              <w:rPr>
                <w:rFonts w:cs="Arial"/>
                <w:sz w:val="20"/>
                <w:szCs w:val="20"/>
              </w:rPr>
              <w:t>4.45</w:t>
            </w:r>
          </w:p>
        </w:tc>
        <w:tc>
          <w:tcPr>
            <w:tcW w:w="1124" w:type="pct"/>
            <w:tcBorders>
              <w:top w:val="nil"/>
              <w:bottom w:val="nil"/>
            </w:tcBorders>
            <w:vAlign w:val="center"/>
          </w:tcPr>
          <w:p w:rsidR="00E453F1" w:rsidRDefault="00E453F1">
            <w:pPr>
              <w:jc w:val="center"/>
              <w:rPr>
                <w:rFonts w:cs="Arial"/>
                <w:sz w:val="20"/>
                <w:szCs w:val="20"/>
              </w:rPr>
            </w:pPr>
            <w:r>
              <w:rPr>
                <w:rFonts w:cs="Arial"/>
                <w:sz w:val="20"/>
                <w:szCs w:val="20"/>
              </w:rPr>
              <w:t>-</w:t>
            </w:r>
          </w:p>
        </w:tc>
        <w:tc>
          <w:tcPr>
            <w:tcW w:w="1199" w:type="pct"/>
            <w:tcBorders>
              <w:top w:val="nil"/>
              <w:bottom w:val="nil"/>
            </w:tcBorders>
            <w:vAlign w:val="center"/>
          </w:tcPr>
          <w:p w:rsidR="00E453F1" w:rsidRDefault="00E453F1">
            <w:pPr>
              <w:jc w:val="center"/>
              <w:rPr>
                <w:rFonts w:cs="Arial"/>
                <w:sz w:val="20"/>
                <w:szCs w:val="20"/>
              </w:rPr>
            </w:pPr>
            <w:r>
              <w:rPr>
                <w:rFonts w:cs="Arial"/>
                <w:sz w:val="20"/>
                <w:szCs w:val="20"/>
              </w:rPr>
              <w:t>640</w:t>
            </w:r>
          </w:p>
        </w:tc>
      </w:tr>
      <w:tr w:rsidR="00E453F1" w:rsidRPr="0091453B" w:rsidTr="00ED3374">
        <w:trPr>
          <w:cnfStyle w:val="000000010000" w:firstRow="0" w:lastRow="0" w:firstColumn="0" w:lastColumn="0" w:oddVBand="0" w:evenVBand="0" w:oddHBand="0" w:evenHBand="1" w:firstRowFirstColumn="0" w:firstRowLastColumn="0" w:lastRowFirstColumn="0" w:lastRowLastColumn="0"/>
          <w:trHeight w:val="510"/>
        </w:trPr>
        <w:tc>
          <w:tcPr>
            <w:tcW w:w="1928" w:type="pct"/>
            <w:tcBorders>
              <w:top w:val="nil"/>
              <w:bottom w:val="single" w:sz="4" w:space="0" w:color="auto"/>
            </w:tcBorders>
            <w:vAlign w:val="center"/>
          </w:tcPr>
          <w:p w:rsidR="00E453F1" w:rsidRDefault="00E453F1">
            <w:pPr>
              <w:rPr>
                <w:rFonts w:cs="Arial"/>
                <w:sz w:val="20"/>
                <w:szCs w:val="20"/>
              </w:rPr>
            </w:pPr>
            <w:r>
              <w:rPr>
                <w:rFonts w:cs="Arial"/>
                <w:sz w:val="20"/>
                <w:szCs w:val="20"/>
              </w:rPr>
              <w:t xml:space="preserve">% change from previous financial YTD </w:t>
            </w:r>
          </w:p>
        </w:tc>
        <w:tc>
          <w:tcPr>
            <w:tcW w:w="749" w:type="pct"/>
            <w:tcBorders>
              <w:top w:val="nil"/>
              <w:bottom w:val="single" w:sz="4" w:space="0" w:color="auto"/>
            </w:tcBorders>
            <w:vAlign w:val="center"/>
          </w:tcPr>
          <w:p w:rsidR="00E453F1" w:rsidRDefault="00E453F1">
            <w:pPr>
              <w:jc w:val="center"/>
              <w:rPr>
                <w:rFonts w:cs="Arial"/>
                <w:sz w:val="20"/>
                <w:szCs w:val="20"/>
              </w:rPr>
            </w:pPr>
            <w:r>
              <w:rPr>
                <w:rFonts w:cs="Arial"/>
                <w:sz w:val="20"/>
                <w:szCs w:val="20"/>
              </w:rPr>
              <w:t>28</w:t>
            </w:r>
          </w:p>
        </w:tc>
        <w:tc>
          <w:tcPr>
            <w:tcW w:w="1124" w:type="pct"/>
            <w:tcBorders>
              <w:top w:val="nil"/>
              <w:bottom w:val="single" w:sz="4" w:space="0" w:color="auto"/>
            </w:tcBorders>
            <w:vAlign w:val="center"/>
          </w:tcPr>
          <w:p w:rsidR="00E453F1" w:rsidRDefault="00E453F1">
            <w:pPr>
              <w:jc w:val="center"/>
              <w:rPr>
                <w:rFonts w:cs="Arial"/>
                <w:sz w:val="20"/>
                <w:szCs w:val="20"/>
              </w:rPr>
            </w:pPr>
            <w:r>
              <w:rPr>
                <w:rFonts w:cs="Arial"/>
                <w:sz w:val="20"/>
                <w:szCs w:val="20"/>
              </w:rPr>
              <w:t>-</w:t>
            </w:r>
          </w:p>
        </w:tc>
        <w:tc>
          <w:tcPr>
            <w:tcW w:w="1199" w:type="pct"/>
            <w:tcBorders>
              <w:top w:val="nil"/>
              <w:bottom w:val="single" w:sz="4" w:space="0" w:color="auto"/>
            </w:tcBorders>
            <w:vAlign w:val="center"/>
          </w:tcPr>
          <w:p w:rsidR="00E453F1" w:rsidRDefault="00E453F1">
            <w:pPr>
              <w:jc w:val="center"/>
              <w:rPr>
                <w:rFonts w:cs="Arial"/>
                <w:sz w:val="20"/>
                <w:szCs w:val="20"/>
              </w:rPr>
            </w:pPr>
            <w:r>
              <w:rPr>
                <w:rFonts w:cs="Arial"/>
                <w:sz w:val="20"/>
                <w:szCs w:val="20"/>
              </w:rPr>
              <w:t>7</w:t>
            </w:r>
          </w:p>
        </w:tc>
      </w:tr>
    </w:tbl>
    <w:p w:rsidR="00FF0D8A" w:rsidRDefault="00FF0D8A" w:rsidP="00FF0D8A">
      <w:pPr>
        <w:pStyle w:val="AERbodytext"/>
        <w:spacing w:before="120" w:after="120"/>
        <w:jc w:val="both"/>
      </w:pPr>
      <w:r w:rsidRPr="006619E5">
        <w:rPr>
          <w:sz w:val="20"/>
        </w:rPr>
        <w:t>*</w:t>
      </w:r>
      <w:r w:rsidRPr="001420EB">
        <w:rPr>
          <w:sz w:val="20"/>
        </w:rPr>
        <w:t xml:space="preserve"> </w:t>
      </w:r>
      <w:r w:rsidRPr="006619E5">
        <w:rPr>
          <w:sz w:val="20"/>
        </w:rPr>
        <w:t>Note: only positive ancillary payments, reflecting system con</w:t>
      </w:r>
      <w:r>
        <w:rPr>
          <w:sz w:val="20"/>
        </w:rPr>
        <w:t>straints will be shown here.</w:t>
      </w:r>
      <w:r>
        <w:t xml:space="preserve"> </w:t>
      </w:r>
    </w:p>
    <w:p w:rsidR="00FF0D8A" w:rsidRDefault="00FF0D8A" w:rsidP="00FF0D8A">
      <w:pPr>
        <w:pStyle w:val="AERbodytext"/>
        <w:spacing w:before="120" w:after="120"/>
        <w:jc w:val="both"/>
      </w:pPr>
      <w:r>
        <w:t>More</w:t>
      </w:r>
      <w:r w:rsidRPr="00D329E0">
        <w:t xml:space="preserve"> </w:t>
      </w:r>
      <w:r>
        <w:t xml:space="preserve">detailed </w:t>
      </w:r>
      <w:r w:rsidRPr="00D329E0">
        <w:t xml:space="preserve">analysis on the </w:t>
      </w:r>
      <w:r>
        <w:t>VGM is provided in section 1</w:t>
      </w:r>
      <w:r w:rsidRPr="00D329E0">
        <w:t xml:space="preserve">. </w:t>
      </w:r>
    </w:p>
    <w:p w:rsidR="00C25FEB" w:rsidRDefault="00FF0D8A" w:rsidP="00FF0D8A">
      <w:pPr>
        <w:pStyle w:val="AERbodytext"/>
        <w:spacing w:before="120" w:after="120"/>
        <w:jc w:val="both"/>
      </w:pPr>
      <w:r w:rsidRPr="008D4DAB">
        <w:t xml:space="preserve">Figures </w:t>
      </w:r>
      <w:r>
        <w:t xml:space="preserve">3 to 5 show </w:t>
      </w:r>
      <w:r w:rsidRPr="008D4DAB">
        <w:t xml:space="preserve">average </w:t>
      </w:r>
      <w:r>
        <w:t xml:space="preserve">ex ante and ex post </w:t>
      </w:r>
      <w:r w:rsidRPr="008D4DAB">
        <w:t>gas prices</w:t>
      </w:r>
      <w:r>
        <w:t xml:space="preserve">, Market Operator Service </w:t>
      </w:r>
      <w:r w:rsidRPr="00950C55">
        <w:rPr>
          <w:b/>
        </w:rPr>
        <w:t>(MOS)</w:t>
      </w:r>
      <w:r>
        <w:t xml:space="preserve"> balancing gas service payments together with the related daily</w:t>
      </w:r>
      <w:r w:rsidRPr="008D4DAB">
        <w:t xml:space="preserve"> demand </w:t>
      </w:r>
      <w:r>
        <w:t xml:space="preserve">quantities against </w:t>
      </w:r>
      <w:r w:rsidRPr="008D4DAB">
        <w:t xml:space="preserve">historical averages </w:t>
      </w:r>
      <w:r>
        <w:t>for the Sydney, Adelaide and Brisbane STTM hubs, respectively.</w:t>
      </w:r>
    </w:p>
    <w:p w:rsidR="00C25FEB" w:rsidRDefault="00C25FEB" w:rsidP="00C25FEB">
      <w:pPr>
        <w:pStyle w:val="Heading2"/>
        <w:ind w:firstLine="0"/>
        <w:rPr>
          <w:i w:val="0"/>
          <w:color w:val="2272A3"/>
          <w:sz w:val="24"/>
          <w:szCs w:val="24"/>
        </w:rPr>
      </w:pPr>
      <w:r>
        <w:rPr>
          <w:i w:val="0"/>
          <w:color w:val="2272A3"/>
          <w:sz w:val="24"/>
          <w:szCs w:val="24"/>
        </w:rPr>
        <w:t>Sydney STTM</w:t>
      </w:r>
    </w:p>
    <w:tbl>
      <w:tblPr>
        <w:tblStyle w:val="AERTable-Text0"/>
        <w:tblW w:w="4785" w:type="pct"/>
        <w:tblLook w:val="04A0" w:firstRow="1" w:lastRow="0" w:firstColumn="1" w:lastColumn="0" w:noHBand="0" w:noVBand="1"/>
      </w:tblPr>
      <w:tblGrid>
        <w:gridCol w:w="2667"/>
        <w:gridCol w:w="1416"/>
        <w:gridCol w:w="1413"/>
        <w:gridCol w:w="1415"/>
        <w:gridCol w:w="1277"/>
        <w:gridCol w:w="1134"/>
      </w:tblGrid>
      <w:tr w:rsidR="003A1F03" w:rsidRPr="00405CDE" w:rsidTr="0056770B">
        <w:trPr>
          <w:cnfStyle w:val="100000000000" w:firstRow="1" w:lastRow="0" w:firstColumn="0" w:lastColumn="0" w:oddVBand="0" w:evenVBand="0" w:oddHBand="0" w:evenHBand="0" w:firstRowFirstColumn="0" w:firstRowLastColumn="0" w:lastRowFirstColumn="0" w:lastRowLastColumn="0"/>
          <w:tblHeader/>
        </w:trPr>
        <w:tc>
          <w:tcPr>
            <w:tcW w:w="1430" w:type="pct"/>
            <w:tcBorders>
              <w:bottom w:val="nil"/>
            </w:tcBorders>
            <w:hideMark/>
          </w:tcPr>
          <w:p w:rsidR="003A1F03" w:rsidRPr="00DC24BF" w:rsidRDefault="003A1F03" w:rsidP="0056770B">
            <w:pPr>
              <w:pStyle w:val="TableHeading"/>
              <w:jc w:val="center"/>
              <w:rPr>
                <w:rFonts w:cs="Arial"/>
                <w:sz w:val="20"/>
                <w:szCs w:val="20"/>
              </w:rPr>
            </w:pPr>
          </w:p>
        </w:tc>
        <w:tc>
          <w:tcPr>
            <w:tcW w:w="759" w:type="pct"/>
            <w:tcBorders>
              <w:bottom w:val="nil"/>
            </w:tcBorders>
            <w:hideMark/>
          </w:tcPr>
          <w:p w:rsidR="003A1F03" w:rsidRPr="002861A9" w:rsidRDefault="003A1F03" w:rsidP="0056770B">
            <w:pPr>
              <w:keepNext/>
              <w:spacing w:before="40" w:after="40"/>
              <w:jc w:val="center"/>
              <w:rPr>
                <w:rFonts w:cs="Arial"/>
                <w:b w:val="0"/>
                <w:bCs/>
                <w:sz w:val="20"/>
                <w:szCs w:val="20"/>
              </w:rPr>
            </w:pPr>
            <w:r w:rsidRPr="002861A9">
              <w:rPr>
                <w:rFonts w:cs="Arial"/>
                <w:bCs/>
                <w:sz w:val="20"/>
                <w:szCs w:val="20"/>
              </w:rPr>
              <w:t>Ex ante price ($/GJ)</w:t>
            </w:r>
          </w:p>
        </w:tc>
        <w:tc>
          <w:tcPr>
            <w:tcW w:w="758" w:type="pct"/>
            <w:tcBorders>
              <w:bottom w:val="nil"/>
            </w:tcBorders>
          </w:tcPr>
          <w:p w:rsidR="003A1F03" w:rsidRPr="002861A9" w:rsidRDefault="003A1F03" w:rsidP="0056770B">
            <w:pPr>
              <w:keepNext/>
              <w:spacing w:before="40" w:after="40"/>
              <w:jc w:val="center"/>
              <w:rPr>
                <w:rFonts w:cs="Arial"/>
                <w:b w:val="0"/>
                <w:bCs/>
                <w:sz w:val="20"/>
                <w:szCs w:val="20"/>
              </w:rPr>
            </w:pPr>
            <w:r w:rsidRPr="002861A9">
              <w:rPr>
                <w:rFonts w:cs="Arial"/>
                <w:bCs/>
                <w:sz w:val="20"/>
                <w:szCs w:val="20"/>
              </w:rPr>
              <w:t>Ex post price ($/GJ)</w:t>
            </w:r>
          </w:p>
        </w:tc>
        <w:tc>
          <w:tcPr>
            <w:tcW w:w="759" w:type="pct"/>
            <w:tcBorders>
              <w:bottom w:val="nil"/>
            </w:tcBorders>
          </w:tcPr>
          <w:p w:rsidR="003A1F03" w:rsidRPr="002861A9" w:rsidRDefault="003A1F03" w:rsidP="0056770B">
            <w:pPr>
              <w:keepNext/>
              <w:spacing w:before="40" w:after="40"/>
              <w:jc w:val="center"/>
              <w:rPr>
                <w:rFonts w:cs="Arial"/>
                <w:b w:val="0"/>
                <w:bCs/>
                <w:sz w:val="20"/>
                <w:szCs w:val="20"/>
              </w:rPr>
            </w:pPr>
            <w:r w:rsidRPr="002861A9">
              <w:rPr>
                <w:rFonts w:cs="Arial"/>
                <w:bCs/>
                <w:sz w:val="20"/>
                <w:szCs w:val="20"/>
              </w:rPr>
              <w:t>MOS payments ($000)</w:t>
            </w:r>
          </w:p>
        </w:tc>
        <w:tc>
          <w:tcPr>
            <w:tcW w:w="685" w:type="pct"/>
            <w:tcBorders>
              <w:bottom w:val="nil"/>
            </w:tcBorders>
            <w:hideMark/>
          </w:tcPr>
          <w:p w:rsidR="003A1F03" w:rsidRPr="002861A9" w:rsidRDefault="003A1F03" w:rsidP="0056770B">
            <w:pPr>
              <w:keepNext/>
              <w:spacing w:before="40" w:after="40"/>
              <w:jc w:val="center"/>
              <w:rPr>
                <w:rFonts w:cs="Arial"/>
                <w:b w:val="0"/>
                <w:bCs/>
                <w:sz w:val="20"/>
                <w:szCs w:val="20"/>
              </w:rPr>
            </w:pPr>
            <w:r w:rsidRPr="002861A9">
              <w:rPr>
                <w:rFonts w:cs="Arial"/>
                <w:bCs/>
                <w:sz w:val="20"/>
                <w:szCs w:val="20"/>
              </w:rPr>
              <w:t>Ex ante quantity (TJ)</w:t>
            </w:r>
          </w:p>
        </w:tc>
        <w:tc>
          <w:tcPr>
            <w:tcW w:w="608" w:type="pct"/>
            <w:tcBorders>
              <w:bottom w:val="nil"/>
            </w:tcBorders>
            <w:hideMark/>
          </w:tcPr>
          <w:p w:rsidR="003A1F03" w:rsidRPr="002861A9" w:rsidRDefault="003A1F03" w:rsidP="0056770B">
            <w:pPr>
              <w:keepNext/>
              <w:spacing w:before="40" w:after="40"/>
              <w:jc w:val="center"/>
              <w:rPr>
                <w:rFonts w:cs="Arial"/>
                <w:b w:val="0"/>
                <w:bCs/>
                <w:sz w:val="20"/>
                <w:szCs w:val="20"/>
              </w:rPr>
            </w:pPr>
            <w:r w:rsidRPr="002861A9">
              <w:rPr>
                <w:rFonts w:cs="Arial"/>
                <w:bCs/>
                <w:sz w:val="20"/>
                <w:szCs w:val="20"/>
              </w:rPr>
              <w:t>Ex post quantity (TJ)</w:t>
            </w:r>
          </w:p>
        </w:tc>
      </w:tr>
      <w:tr w:rsidR="003A1F03" w:rsidRPr="00405CDE" w:rsidTr="0056770B">
        <w:trPr>
          <w:trHeight w:val="510"/>
        </w:trPr>
        <w:tc>
          <w:tcPr>
            <w:tcW w:w="1430" w:type="pct"/>
            <w:tcBorders>
              <w:top w:val="nil"/>
              <w:bottom w:val="nil"/>
            </w:tcBorders>
            <w:vAlign w:val="center"/>
          </w:tcPr>
          <w:p w:rsidR="003A1F03" w:rsidRDefault="003A1F03">
            <w:pPr>
              <w:rPr>
                <w:rFonts w:cs="Arial"/>
                <w:sz w:val="20"/>
                <w:szCs w:val="20"/>
              </w:rPr>
            </w:pPr>
            <w:r>
              <w:rPr>
                <w:rFonts w:cs="Arial"/>
                <w:sz w:val="20"/>
                <w:szCs w:val="20"/>
              </w:rPr>
              <w:t>20 Dec - 26 Dec 2015</w:t>
            </w:r>
          </w:p>
        </w:tc>
        <w:tc>
          <w:tcPr>
            <w:tcW w:w="759" w:type="pct"/>
            <w:tcBorders>
              <w:top w:val="nil"/>
              <w:bottom w:val="nil"/>
            </w:tcBorders>
            <w:vAlign w:val="center"/>
          </w:tcPr>
          <w:p w:rsidR="003A1F03" w:rsidRDefault="003A1F03">
            <w:pPr>
              <w:jc w:val="center"/>
              <w:rPr>
                <w:rFonts w:cs="Arial"/>
                <w:sz w:val="20"/>
                <w:szCs w:val="20"/>
              </w:rPr>
            </w:pPr>
            <w:r>
              <w:rPr>
                <w:rFonts w:cs="Arial"/>
                <w:sz w:val="20"/>
                <w:szCs w:val="20"/>
              </w:rPr>
              <w:t>5.58</w:t>
            </w:r>
          </w:p>
        </w:tc>
        <w:tc>
          <w:tcPr>
            <w:tcW w:w="758" w:type="pct"/>
            <w:tcBorders>
              <w:top w:val="nil"/>
              <w:bottom w:val="nil"/>
            </w:tcBorders>
            <w:vAlign w:val="center"/>
          </w:tcPr>
          <w:p w:rsidR="003A1F03" w:rsidRDefault="003A1F03">
            <w:pPr>
              <w:jc w:val="center"/>
              <w:rPr>
                <w:rFonts w:cs="Arial"/>
                <w:sz w:val="20"/>
                <w:szCs w:val="20"/>
              </w:rPr>
            </w:pPr>
            <w:r>
              <w:rPr>
                <w:rFonts w:cs="Arial"/>
                <w:sz w:val="20"/>
                <w:szCs w:val="20"/>
              </w:rPr>
              <w:t>5.36</w:t>
            </w:r>
          </w:p>
        </w:tc>
        <w:tc>
          <w:tcPr>
            <w:tcW w:w="759" w:type="pct"/>
            <w:tcBorders>
              <w:top w:val="nil"/>
              <w:bottom w:val="nil"/>
            </w:tcBorders>
            <w:vAlign w:val="center"/>
          </w:tcPr>
          <w:p w:rsidR="003A1F03" w:rsidRDefault="003A1F03">
            <w:pPr>
              <w:jc w:val="center"/>
              <w:rPr>
                <w:rFonts w:cs="Arial"/>
                <w:sz w:val="20"/>
                <w:szCs w:val="20"/>
              </w:rPr>
            </w:pPr>
            <w:r>
              <w:rPr>
                <w:rFonts w:cs="Arial"/>
                <w:sz w:val="20"/>
                <w:szCs w:val="20"/>
              </w:rPr>
              <w:t>24.33</w:t>
            </w:r>
          </w:p>
        </w:tc>
        <w:tc>
          <w:tcPr>
            <w:tcW w:w="685" w:type="pct"/>
            <w:tcBorders>
              <w:top w:val="nil"/>
              <w:bottom w:val="nil"/>
            </w:tcBorders>
            <w:vAlign w:val="center"/>
          </w:tcPr>
          <w:p w:rsidR="003A1F03" w:rsidRDefault="003A1F03">
            <w:pPr>
              <w:jc w:val="center"/>
              <w:rPr>
                <w:rFonts w:cs="Arial"/>
                <w:sz w:val="20"/>
                <w:szCs w:val="20"/>
              </w:rPr>
            </w:pPr>
            <w:r>
              <w:rPr>
                <w:rFonts w:cs="Arial"/>
                <w:sz w:val="20"/>
                <w:szCs w:val="20"/>
              </w:rPr>
              <w:t>196</w:t>
            </w:r>
          </w:p>
        </w:tc>
        <w:tc>
          <w:tcPr>
            <w:tcW w:w="608" w:type="pct"/>
            <w:tcBorders>
              <w:top w:val="nil"/>
              <w:bottom w:val="nil"/>
            </w:tcBorders>
            <w:vAlign w:val="center"/>
          </w:tcPr>
          <w:p w:rsidR="003A1F03" w:rsidRDefault="003A1F03">
            <w:pPr>
              <w:jc w:val="center"/>
              <w:rPr>
                <w:rFonts w:cs="Arial"/>
                <w:sz w:val="20"/>
                <w:szCs w:val="20"/>
              </w:rPr>
            </w:pPr>
            <w:r>
              <w:rPr>
                <w:rFonts w:cs="Arial"/>
                <w:sz w:val="20"/>
                <w:szCs w:val="20"/>
              </w:rPr>
              <w:t>193</w:t>
            </w:r>
          </w:p>
        </w:tc>
      </w:tr>
      <w:tr w:rsidR="003A1F03" w:rsidRPr="00405CDE" w:rsidTr="0056770B">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nil"/>
            </w:tcBorders>
            <w:vAlign w:val="center"/>
          </w:tcPr>
          <w:p w:rsidR="003A1F03" w:rsidRDefault="003A1F03">
            <w:pPr>
              <w:rPr>
                <w:rFonts w:cs="Arial"/>
                <w:sz w:val="20"/>
                <w:szCs w:val="20"/>
              </w:rPr>
            </w:pPr>
            <w:r>
              <w:rPr>
                <w:rFonts w:cs="Arial"/>
                <w:sz w:val="20"/>
                <w:szCs w:val="20"/>
              </w:rPr>
              <w:t>% change from previous week</w:t>
            </w:r>
          </w:p>
        </w:tc>
        <w:tc>
          <w:tcPr>
            <w:tcW w:w="759" w:type="pct"/>
            <w:tcBorders>
              <w:top w:val="nil"/>
              <w:bottom w:val="nil"/>
            </w:tcBorders>
            <w:vAlign w:val="center"/>
          </w:tcPr>
          <w:p w:rsidR="003A1F03" w:rsidRDefault="003A1F03">
            <w:pPr>
              <w:jc w:val="center"/>
              <w:rPr>
                <w:rFonts w:cs="Arial"/>
                <w:sz w:val="20"/>
                <w:szCs w:val="20"/>
              </w:rPr>
            </w:pPr>
            <w:r>
              <w:rPr>
                <w:rFonts w:cs="Arial"/>
                <w:sz w:val="20"/>
                <w:szCs w:val="20"/>
              </w:rPr>
              <w:t>14</w:t>
            </w:r>
          </w:p>
        </w:tc>
        <w:tc>
          <w:tcPr>
            <w:tcW w:w="758" w:type="pct"/>
            <w:tcBorders>
              <w:top w:val="nil"/>
              <w:bottom w:val="nil"/>
            </w:tcBorders>
            <w:vAlign w:val="center"/>
          </w:tcPr>
          <w:p w:rsidR="003A1F03" w:rsidRDefault="003A1F03">
            <w:pPr>
              <w:jc w:val="center"/>
              <w:rPr>
                <w:rFonts w:cs="Arial"/>
                <w:sz w:val="20"/>
                <w:szCs w:val="20"/>
              </w:rPr>
            </w:pPr>
            <w:r>
              <w:rPr>
                <w:rFonts w:cs="Arial"/>
                <w:sz w:val="20"/>
                <w:szCs w:val="20"/>
              </w:rPr>
              <w:t>16</w:t>
            </w:r>
          </w:p>
        </w:tc>
        <w:tc>
          <w:tcPr>
            <w:tcW w:w="759" w:type="pct"/>
            <w:tcBorders>
              <w:top w:val="nil"/>
              <w:bottom w:val="nil"/>
            </w:tcBorders>
            <w:vAlign w:val="center"/>
          </w:tcPr>
          <w:p w:rsidR="003A1F03" w:rsidRDefault="003A1F03">
            <w:pPr>
              <w:jc w:val="center"/>
              <w:rPr>
                <w:rFonts w:cs="Arial"/>
                <w:sz w:val="20"/>
                <w:szCs w:val="20"/>
              </w:rPr>
            </w:pPr>
            <w:r>
              <w:rPr>
                <w:rFonts w:cs="Arial"/>
                <w:sz w:val="20"/>
                <w:szCs w:val="20"/>
              </w:rPr>
              <w:t>-5</w:t>
            </w:r>
          </w:p>
        </w:tc>
        <w:tc>
          <w:tcPr>
            <w:tcW w:w="685" w:type="pct"/>
            <w:tcBorders>
              <w:top w:val="nil"/>
              <w:bottom w:val="nil"/>
            </w:tcBorders>
            <w:vAlign w:val="center"/>
          </w:tcPr>
          <w:p w:rsidR="003A1F03" w:rsidRDefault="003A1F03">
            <w:pPr>
              <w:jc w:val="center"/>
              <w:rPr>
                <w:rFonts w:cs="Arial"/>
                <w:sz w:val="20"/>
                <w:szCs w:val="20"/>
              </w:rPr>
            </w:pPr>
            <w:r>
              <w:rPr>
                <w:rFonts w:cs="Arial"/>
                <w:sz w:val="20"/>
                <w:szCs w:val="20"/>
              </w:rPr>
              <w:t>-8</w:t>
            </w:r>
          </w:p>
        </w:tc>
        <w:tc>
          <w:tcPr>
            <w:tcW w:w="608" w:type="pct"/>
            <w:tcBorders>
              <w:top w:val="nil"/>
              <w:bottom w:val="nil"/>
            </w:tcBorders>
            <w:vAlign w:val="center"/>
          </w:tcPr>
          <w:p w:rsidR="003A1F03" w:rsidRDefault="003A1F03">
            <w:pPr>
              <w:jc w:val="center"/>
              <w:rPr>
                <w:rFonts w:cs="Arial"/>
                <w:sz w:val="20"/>
                <w:szCs w:val="20"/>
              </w:rPr>
            </w:pPr>
            <w:r>
              <w:rPr>
                <w:rFonts w:cs="Arial"/>
                <w:sz w:val="20"/>
                <w:szCs w:val="20"/>
              </w:rPr>
              <w:t>-7</w:t>
            </w:r>
          </w:p>
        </w:tc>
      </w:tr>
      <w:tr w:rsidR="003A1F03" w:rsidRPr="00405CDE" w:rsidTr="0056770B">
        <w:trPr>
          <w:trHeight w:val="510"/>
        </w:trPr>
        <w:tc>
          <w:tcPr>
            <w:tcW w:w="1430" w:type="pct"/>
            <w:tcBorders>
              <w:top w:val="nil"/>
              <w:bottom w:val="nil"/>
            </w:tcBorders>
            <w:vAlign w:val="center"/>
          </w:tcPr>
          <w:p w:rsidR="003A1F03" w:rsidRDefault="003A1F03">
            <w:pPr>
              <w:rPr>
                <w:rFonts w:cs="Arial"/>
                <w:sz w:val="20"/>
                <w:szCs w:val="20"/>
              </w:rPr>
            </w:pPr>
            <w:r>
              <w:rPr>
                <w:rFonts w:cs="Arial"/>
                <w:sz w:val="20"/>
                <w:szCs w:val="20"/>
              </w:rPr>
              <w:t>15-16 financial YTD</w:t>
            </w:r>
          </w:p>
        </w:tc>
        <w:tc>
          <w:tcPr>
            <w:tcW w:w="759" w:type="pct"/>
            <w:tcBorders>
              <w:top w:val="nil"/>
              <w:bottom w:val="nil"/>
            </w:tcBorders>
            <w:vAlign w:val="center"/>
          </w:tcPr>
          <w:p w:rsidR="003A1F03" w:rsidRDefault="003A1F03">
            <w:pPr>
              <w:jc w:val="center"/>
              <w:rPr>
                <w:rFonts w:cs="Arial"/>
                <w:sz w:val="20"/>
                <w:szCs w:val="20"/>
              </w:rPr>
            </w:pPr>
            <w:r>
              <w:rPr>
                <w:rFonts w:cs="Arial"/>
                <w:sz w:val="20"/>
                <w:szCs w:val="20"/>
              </w:rPr>
              <w:t>4.64</w:t>
            </w:r>
          </w:p>
        </w:tc>
        <w:tc>
          <w:tcPr>
            <w:tcW w:w="758" w:type="pct"/>
            <w:tcBorders>
              <w:top w:val="nil"/>
              <w:bottom w:val="nil"/>
            </w:tcBorders>
            <w:vAlign w:val="center"/>
          </w:tcPr>
          <w:p w:rsidR="003A1F03" w:rsidRDefault="003A1F03">
            <w:pPr>
              <w:jc w:val="center"/>
              <w:rPr>
                <w:rFonts w:cs="Arial"/>
                <w:sz w:val="20"/>
                <w:szCs w:val="20"/>
              </w:rPr>
            </w:pPr>
            <w:r>
              <w:rPr>
                <w:rFonts w:cs="Arial"/>
                <w:sz w:val="20"/>
                <w:szCs w:val="20"/>
              </w:rPr>
              <w:t>4.36</w:t>
            </w:r>
          </w:p>
        </w:tc>
        <w:tc>
          <w:tcPr>
            <w:tcW w:w="759" w:type="pct"/>
            <w:tcBorders>
              <w:top w:val="nil"/>
              <w:bottom w:val="nil"/>
            </w:tcBorders>
            <w:vAlign w:val="center"/>
          </w:tcPr>
          <w:p w:rsidR="003A1F03" w:rsidRDefault="003A1F03">
            <w:pPr>
              <w:jc w:val="center"/>
              <w:rPr>
                <w:rFonts w:cs="Arial"/>
                <w:sz w:val="20"/>
                <w:szCs w:val="20"/>
              </w:rPr>
            </w:pPr>
            <w:r>
              <w:rPr>
                <w:rFonts w:cs="Arial"/>
                <w:sz w:val="20"/>
                <w:szCs w:val="20"/>
              </w:rPr>
              <w:t>24.39</w:t>
            </w:r>
          </w:p>
        </w:tc>
        <w:tc>
          <w:tcPr>
            <w:tcW w:w="685" w:type="pct"/>
            <w:tcBorders>
              <w:top w:val="nil"/>
              <w:bottom w:val="nil"/>
            </w:tcBorders>
            <w:vAlign w:val="center"/>
          </w:tcPr>
          <w:p w:rsidR="003A1F03" w:rsidRDefault="003A1F03">
            <w:pPr>
              <w:jc w:val="center"/>
              <w:rPr>
                <w:rFonts w:cs="Arial"/>
                <w:sz w:val="20"/>
                <w:szCs w:val="20"/>
              </w:rPr>
            </w:pPr>
            <w:r>
              <w:rPr>
                <w:rFonts w:cs="Arial"/>
                <w:sz w:val="20"/>
                <w:szCs w:val="20"/>
              </w:rPr>
              <w:t>243</w:t>
            </w:r>
          </w:p>
        </w:tc>
        <w:tc>
          <w:tcPr>
            <w:tcW w:w="608" w:type="pct"/>
            <w:tcBorders>
              <w:top w:val="nil"/>
              <w:bottom w:val="nil"/>
            </w:tcBorders>
            <w:vAlign w:val="center"/>
          </w:tcPr>
          <w:p w:rsidR="003A1F03" w:rsidRDefault="003A1F03">
            <w:pPr>
              <w:jc w:val="center"/>
              <w:rPr>
                <w:rFonts w:cs="Arial"/>
                <w:sz w:val="20"/>
                <w:szCs w:val="20"/>
              </w:rPr>
            </w:pPr>
            <w:r>
              <w:rPr>
                <w:rFonts w:cs="Arial"/>
                <w:sz w:val="20"/>
                <w:szCs w:val="20"/>
              </w:rPr>
              <w:t>237</w:t>
            </w:r>
          </w:p>
        </w:tc>
      </w:tr>
      <w:tr w:rsidR="003A1F03" w:rsidRPr="00405CDE" w:rsidTr="0056770B">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single" w:sz="4" w:space="0" w:color="auto"/>
            </w:tcBorders>
            <w:vAlign w:val="center"/>
          </w:tcPr>
          <w:p w:rsidR="003A1F03" w:rsidRDefault="003A1F03">
            <w:pPr>
              <w:rPr>
                <w:rFonts w:cs="Arial"/>
                <w:sz w:val="20"/>
                <w:szCs w:val="20"/>
              </w:rPr>
            </w:pPr>
            <w:r>
              <w:rPr>
                <w:rFonts w:cs="Arial"/>
                <w:sz w:val="20"/>
                <w:szCs w:val="20"/>
              </w:rPr>
              <w:t>% change from previous financial YTD</w:t>
            </w:r>
          </w:p>
        </w:tc>
        <w:tc>
          <w:tcPr>
            <w:tcW w:w="759" w:type="pct"/>
            <w:tcBorders>
              <w:top w:val="nil"/>
              <w:bottom w:val="single" w:sz="4" w:space="0" w:color="auto"/>
            </w:tcBorders>
            <w:vAlign w:val="center"/>
          </w:tcPr>
          <w:p w:rsidR="003A1F03" w:rsidRDefault="003A1F03">
            <w:pPr>
              <w:jc w:val="center"/>
              <w:rPr>
                <w:rFonts w:cs="Arial"/>
                <w:sz w:val="20"/>
                <w:szCs w:val="20"/>
              </w:rPr>
            </w:pPr>
            <w:r>
              <w:rPr>
                <w:rFonts w:cs="Arial"/>
                <w:sz w:val="20"/>
                <w:szCs w:val="20"/>
              </w:rPr>
              <w:t>52</w:t>
            </w:r>
          </w:p>
        </w:tc>
        <w:tc>
          <w:tcPr>
            <w:tcW w:w="758" w:type="pct"/>
            <w:tcBorders>
              <w:top w:val="nil"/>
              <w:bottom w:val="single" w:sz="4" w:space="0" w:color="auto"/>
            </w:tcBorders>
            <w:vAlign w:val="center"/>
          </w:tcPr>
          <w:p w:rsidR="003A1F03" w:rsidRDefault="003A1F03">
            <w:pPr>
              <w:jc w:val="center"/>
              <w:rPr>
                <w:rFonts w:cs="Arial"/>
                <w:sz w:val="20"/>
                <w:szCs w:val="20"/>
              </w:rPr>
            </w:pPr>
            <w:r>
              <w:rPr>
                <w:rFonts w:cs="Arial"/>
                <w:sz w:val="20"/>
                <w:szCs w:val="20"/>
              </w:rPr>
              <w:t>41</w:t>
            </w:r>
          </w:p>
        </w:tc>
        <w:tc>
          <w:tcPr>
            <w:tcW w:w="759" w:type="pct"/>
            <w:tcBorders>
              <w:top w:val="nil"/>
              <w:bottom w:val="single" w:sz="4" w:space="0" w:color="auto"/>
            </w:tcBorders>
            <w:vAlign w:val="center"/>
          </w:tcPr>
          <w:p w:rsidR="003A1F03" w:rsidRDefault="003A1F03">
            <w:pPr>
              <w:jc w:val="center"/>
              <w:rPr>
                <w:rFonts w:cs="Arial"/>
                <w:sz w:val="20"/>
                <w:szCs w:val="20"/>
              </w:rPr>
            </w:pPr>
            <w:r>
              <w:rPr>
                <w:rFonts w:cs="Arial"/>
                <w:sz w:val="20"/>
                <w:szCs w:val="20"/>
              </w:rPr>
              <w:t>71</w:t>
            </w:r>
          </w:p>
        </w:tc>
        <w:tc>
          <w:tcPr>
            <w:tcW w:w="685" w:type="pct"/>
            <w:tcBorders>
              <w:top w:val="nil"/>
              <w:bottom w:val="single" w:sz="4" w:space="0" w:color="auto"/>
            </w:tcBorders>
            <w:vAlign w:val="center"/>
          </w:tcPr>
          <w:p w:rsidR="003A1F03" w:rsidRDefault="003A1F03">
            <w:pPr>
              <w:jc w:val="center"/>
              <w:rPr>
                <w:rFonts w:cs="Arial"/>
                <w:sz w:val="20"/>
                <w:szCs w:val="20"/>
              </w:rPr>
            </w:pPr>
            <w:r>
              <w:rPr>
                <w:rFonts w:cs="Arial"/>
                <w:sz w:val="20"/>
                <w:szCs w:val="20"/>
              </w:rPr>
              <w:t>-8</w:t>
            </w:r>
          </w:p>
        </w:tc>
        <w:tc>
          <w:tcPr>
            <w:tcW w:w="608" w:type="pct"/>
            <w:tcBorders>
              <w:top w:val="nil"/>
              <w:bottom w:val="single" w:sz="4" w:space="0" w:color="auto"/>
            </w:tcBorders>
            <w:vAlign w:val="center"/>
          </w:tcPr>
          <w:p w:rsidR="003A1F03" w:rsidRDefault="003A1F03">
            <w:pPr>
              <w:jc w:val="center"/>
              <w:rPr>
                <w:rFonts w:cs="Arial"/>
                <w:sz w:val="20"/>
                <w:szCs w:val="20"/>
              </w:rPr>
            </w:pPr>
            <w:r>
              <w:rPr>
                <w:rFonts w:cs="Arial"/>
                <w:sz w:val="20"/>
                <w:szCs w:val="20"/>
              </w:rPr>
              <w:t>-10</w:t>
            </w:r>
          </w:p>
        </w:tc>
      </w:tr>
    </w:tbl>
    <w:p w:rsidR="00D1641C" w:rsidRDefault="006E7E57" w:rsidP="00D1641C">
      <w:pPr>
        <w:pStyle w:val="Heading2"/>
        <w:ind w:firstLine="0"/>
        <w:rPr>
          <w:i w:val="0"/>
          <w:color w:val="2272A3"/>
          <w:sz w:val="24"/>
          <w:szCs w:val="24"/>
        </w:rPr>
      </w:pPr>
      <w:r>
        <w:rPr>
          <w:i w:val="0"/>
          <w:color w:val="2272A3"/>
          <w:sz w:val="24"/>
          <w:szCs w:val="24"/>
        </w:rPr>
        <w:t>Adelaide STTM</w:t>
      </w:r>
    </w:p>
    <w:tbl>
      <w:tblPr>
        <w:tblStyle w:val="AERTable-Text0"/>
        <w:tblW w:w="4785" w:type="pct"/>
        <w:tblLook w:val="04A0" w:firstRow="1" w:lastRow="0" w:firstColumn="1" w:lastColumn="0" w:noHBand="0" w:noVBand="1"/>
      </w:tblPr>
      <w:tblGrid>
        <w:gridCol w:w="2667"/>
        <w:gridCol w:w="1416"/>
        <w:gridCol w:w="1413"/>
        <w:gridCol w:w="1415"/>
        <w:gridCol w:w="1277"/>
        <w:gridCol w:w="1134"/>
      </w:tblGrid>
      <w:tr w:rsidR="00C60E80" w:rsidRPr="00405CDE" w:rsidTr="002A3C45">
        <w:trPr>
          <w:cnfStyle w:val="100000000000" w:firstRow="1" w:lastRow="0" w:firstColumn="0" w:lastColumn="0" w:oddVBand="0" w:evenVBand="0" w:oddHBand="0" w:evenHBand="0" w:firstRowFirstColumn="0" w:firstRowLastColumn="0" w:lastRowFirstColumn="0" w:lastRowLastColumn="0"/>
          <w:tblHeader/>
        </w:trPr>
        <w:tc>
          <w:tcPr>
            <w:tcW w:w="1430" w:type="pct"/>
            <w:tcBorders>
              <w:bottom w:val="nil"/>
            </w:tcBorders>
            <w:hideMark/>
          </w:tcPr>
          <w:p w:rsidR="00C60E80" w:rsidRPr="00DC24BF" w:rsidRDefault="00C60E80" w:rsidP="002A3C45">
            <w:pPr>
              <w:pStyle w:val="TableHeading"/>
              <w:jc w:val="center"/>
              <w:rPr>
                <w:rFonts w:cs="Arial"/>
                <w:sz w:val="20"/>
                <w:szCs w:val="20"/>
              </w:rPr>
            </w:pPr>
          </w:p>
        </w:tc>
        <w:tc>
          <w:tcPr>
            <w:tcW w:w="759" w:type="pct"/>
            <w:tcBorders>
              <w:bottom w:val="nil"/>
            </w:tcBorders>
            <w:hideMark/>
          </w:tcPr>
          <w:p w:rsidR="00C60E80" w:rsidRPr="002861A9" w:rsidRDefault="00C60E80" w:rsidP="002A3C45">
            <w:pPr>
              <w:keepNext/>
              <w:spacing w:before="40" w:after="40"/>
              <w:jc w:val="center"/>
              <w:rPr>
                <w:rFonts w:cs="Arial"/>
                <w:b w:val="0"/>
                <w:bCs/>
                <w:sz w:val="20"/>
                <w:szCs w:val="20"/>
              </w:rPr>
            </w:pPr>
            <w:r w:rsidRPr="002861A9">
              <w:rPr>
                <w:rFonts w:cs="Arial"/>
                <w:bCs/>
                <w:sz w:val="20"/>
                <w:szCs w:val="20"/>
              </w:rPr>
              <w:t>Ex ante price ($/GJ)</w:t>
            </w:r>
          </w:p>
        </w:tc>
        <w:tc>
          <w:tcPr>
            <w:tcW w:w="758" w:type="pct"/>
            <w:tcBorders>
              <w:bottom w:val="nil"/>
            </w:tcBorders>
          </w:tcPr>
          <w:p w:rsidR="00C60E80" w:rsidRPr="002861A9" w:rsidRDefault="00C60E80" w:rsidP="002A3C45">
            <w:pPr>
              <w:keepNext/>
              <w:spacing w:before="40" w:after="40"/>
              <w:jc w:val="center"/>
              <w:rPr>
                <w:rFonts w:cs="Arial"/>
                <w:b w:val="0"/>
                <w:bCs/>
                <w:sz w:val="20"/>
                <w:szCs w:val="20"/>
              </w:rPr>
            </w:pPr>
            <w:r w:rsidRPr="002861A9">
              <w:rPr>
                <w:rFonts w:cs="Arial"/>
                <w:bCs/>
                <w:sz w:val="20"/>
                <w:szCs w:val="20"/>
              </w:rPr>
              <w:t>Ex post price ($/GJ)</w:t>
            </w:r>
          </w:p>
        </w:tc>
        <w:tc>
          <w:tcPr>
            <w:tcW w:w="759" w:type="pct"/>
            <w:tcBorders>
              <w:bottom w:val="nil"/>
            </w:tcBorders>
          </w:tcPr>
          <w:p w:rsidR="00C60E80" w:rsidRPr="002861A9" w:rsidRDefault="00C60E80" w:rsidP="002A3C45">
            <w:pPr>
              <w:keepNext/>
              <w:spacing w:before="40" w:after="40"/>
              <w:jc w:val="center"/>
              <w:rPr>
                <w:rFonts w:cs="Arial"/>
                <w:b w:val="0"/>
                <w:bCs/>
                <w:sz w:val="20"/>
                <w:szCs w:val="20"/>
              </w:rPr>
            </w:pPr>
            <w:r w:rsidRPr="002861A9">
              <w:rPr>
                <w:rFonts w:cs="Arial"/>
                <w:bCs/>
                <w:sz w:val="20"/>
                <w:szCs w:val="20"/>
              </w:rPr>
              <w:t>MOS payments ($000)</w:t>
            </w:r>
          </w:p>
        </w:tc>
        <w:tc>
          <w:tcPr>
            <w:tcW w:w="685" w:type="pct"/>
            <w:tcBorders>
              <w:bottom w:val="nil"/>
            </w:tcBorders>
            <w:hideMark/>
          </w:tcPr>
          <w:p w:rsidR="00C60E80" w:rsidRPr="002861A9" w:rsidRDefault="00C60E80" w:rsidP="002A3C45">
            <w:pPr>
              <w:keepNext/>
              <w:spacing w:before="40" w:after="40"/>
              <w:jc w:val="center"/>
              <w:rPr>
                <w:rFonts w:cs="Arial"/>
                <w:b w:val="0"/>
                <w:bCs/>
                <w:sz w:val="20"/>
                <w:szCs w:val="20"/>
              </w:rPr>
            </w:pPr>
            <w:r w:rsidRPr="002861A9">
              <w:rPr>
                <w:rFonts w:cs="Arial"/>
                <w:bCs/>
                <w:sz w:val="20"/>
                <w:szCs w:val="20"/>
              </w:rPr>
              <w:t>Ex ante quantity (TJ)</w:t>
            </w:r>
          </w:p>
        </w:tc>
        <w:tc>
          <w:tcPr>
            <w:tcW w:w="608" w:type="pct"/>
            <w:tcBorders>
              <w:bottom w:val="nil"/>
            </w:tcBorders>
            <w:hideMark/>
          </w:tcPr>
          <w:p w:rsidR="00C60E80" w:rsidRPr="002861A9" w:rsidRDefault="00C60E80" w:rsidP="002A3C45">
            <w:pPr>
              <w:keepNext/>
              <w:spacing w:before="40" w:after="40"/>
              <w:jc w:val="center"/>
              <w:rPr>
                <w:rFonts w:cs="Arial"/>
                <w:b w:val="0"/>
                <w:bCs/>
                <w:sz w:val="20"/>
                <w:szCs w:val="20"/>
              </w:rPr>
            </w:pPr>
            <w:r w:rsidRPr="002861A9">
              <w:rPr>
                <w:rFonts w:cs="Arial"/>
                <w:bCs/>
                <w:sz w:val="20"/>
                <w:szCs w:val="20"/>
              </w:rPr>
              <w:t>Ex post quantity (TJ)</w:t>
            </w:r>
          </w:p>
        </w:tc>
      </w:tr>
      <w:tr w:rsidR="00C60E80" w:rsidRPr="00405CDE" w:rsidTr="002A3C45">
        <w:trPr>
          <w:trHeight w:val="510"/>
        </w:trPr>
        <w:tc>
          <w:tcPr>
            <w:tcW w:w="1430" w:type="pct"/>
            <w:tcBorders>
              <w:top w:val="nil"/>
              <w:bottom w:val="nil"/>
            </w:tcBorders>
            <w:vAlign w:val="center"/>
          </w:tcPr>
          <w:p w:rsidR="00C60E80" w:rsidRDefault="00C60E80" w:rsidP="002A3C45">
            <w:pPr>
              <w:rPr>
                <w:rFonts w:cs="Arial"/>
                <w:sz w:val="20"/>
                <w:szCs w:val="20"/>
              </w:rPr>
            </w:pPr>
            <w:r>
              <w:rPr>
                <w:rFonts w:cs="Arial"/>
                <w:sz w:val="20"/>
                <w:szCs w:val="20"/>
              </w:rPr>
              <w:t>20 Dec - 26 Dec 2015</w:t>
            </w:r>
          </w:p>
        </w:tc>
        <w:tc>
          <w:tcPr>
            <w:tcW w:w="759" w:type="pct"/>
            <w:tcBorders>
              <w:top w:val="nil"/>
              <w:bottom w:val="nil"/>
            </w:tcBorders>
            <w:vAlign w:val="center"/>
          </w:tcPr>
          <w:p w:rsidR="00C60E80" w:rsidRDefault="00C60E80" w:rsidP="002A3C45">
            <w:pPr>
              <w:jc w:val="center"/>
              <w:rPr>
                <w:rFonts w:cs="Arial"/>
                <w:sz w:val="20"/>
                <w:szCs w:val="20"/>
              </w:rPr>
            </w:pPr>
            <w:r>
              <w:rPr>
                <w:rFonts w:cs="Arial"/>
                <w:sz w:val="20"/>
                <w:szCs w:val="20"/>
              </w:rPr>
              <w:t>5.96</w:t>
            </w:r>
          </w:p>
        </w:tc>
        <w:tc>
          <w:tcPr>
            <w:tcW w:w="758" w:type="pct"/>
            <w:tcBorders>
              <w:top w:val="nil"/>
              <w:bottom w:val="nil"/>
            </w:tcBorders>
            <w:vAlign w:val="center"/>
          </w:tcPr>
          <w:p w:rsidR="00C60E80" w:rsidRDefault="00C60E80" w:rsidP="002A3C45">
            <w:pPr>
              <w:jc w:val="center"/>
              <w:rPr>
                <w:rFonts w:cs="Arial"/>
                <w:sz w:val="20"/>
                <w:szCs w:val="20"/>
              </w:rPr>
            </w:pPr>
            <w:r>
              <w:rPr>
                <w:rFonts w:cs="Arial"/>
                <w:sz w:val="20"/>
                <w:szCs w:val="20"/>
              </w:rPr>
              <w:t>6.16</w:t>
            </w:r>
          </w:p>
        </w:tc>
        <w:tc>
          <w:tcPr>
            <w:tcW w:w="759" w:type="pct"/>
            <w:tcBorders>
              <w:top w:val="nil"/>
              <w:bottom w:val="nil"/>
            </w:tcBorders>
            <w:vAlign w:val="center"/>
          </w:tcPr>
          <w:p w:rsidR="00C60E80" w:rsidRDefault="00C60E80" w:rsidP="002A3C45">
            <w:pPr>
              <w:jc w:val="center"/>
              <w:rPr>
                <w:rFonts w:cs="Arial"/>
                <w:sz w:val="20"/>
                <w:szCs w:val="20"/>
              </w:rPr>
            </w:pPr>
            <w:r>
              <w:rPr>
                <w:rFonts w:cs="Arial"/>
                <w:sz w:val="20"/>
                <w:szCs w:val="20"/>
              </w:rPr>
              <w:t>5.04</w:t>
            </w:r>
          </w:p>
        </w:tc>
        <w:tc>
          <w:tcPr>
            <w:tcW w:w="685" w:type="pct"/>
            <w:tcBorders>
              <w:top w:val="nil"/>
              <w:bottom w:val="nil"/>
            </w:tcBorders>
            <w:vAlign w:val="center"/>
          </w:tcPr>
          <w:p w:rsidR="00C60E80" w:rsidRDefault="00C60E80" w:rsidP="002A3C45">
            <w:pPr>
              <w:jc w:val="center"/>
              <w:rPr>
                <w:rFonts w:cs="Arial"/>
                <w:sz w:val="20"/>
                <w:szCs w:val="20"/>
              </w:rPr>
            </w:pPr>
            <w:r>
              <w:rPr>
                <w:rFonts w:cs="Arial"/>
                <w:sz w:val="20"/>
                <w:szCs w:val="20"/>
              </w:rPr>
              <w:t>43</w:t>
            </w:r>
          </w:p>
        </w:tc>
        <w:tc>
          <w:tcPr>
            <w:tcW w:w="608" w:type="pct"/>
            <w:tcBorders>
              <w:top w:val="nil"/>
              <w:bottom w:val="nil"/>
            </w:tcBorders>
            <w:vAlign w:val="center"/>
          </w:tcPr>
          <w:p w:rsidR="00C60E80" w:rsidRDefault="00C60E80" w:rsidP="002A3C45">
            <w:pPr>
              <w:jc w:val="center"/>
              <w:rPr>
                <w:rFonts w:cs="Arial"/>
                <w:sz w:val="20"/>
                <w:szCs w:val="20"/>
              </w:rPr>
            </w:pPr>
            <w:r>
              <w:rPr>
                <w:rFonts w:cs="Arial"/>
                <w:sz w:val="20"/>
                <w:szCs w:val="20"/>
              </w:rPr>
              <w:t>45</w:t>
            </w:r>
          </w:p>
        </w:tc>
      </w:tr>
      <w:tr w:rsidR="00C60E80" w:rsidRPr="00405CDE" w:rsidTr="002A3C45">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nil"/>
            </w:tcBorders>
            <w:vAlign w:val="center"/>
          </w:tcPr>
          <w:p w:rsidR="00C60E80" w:rsidRDefault="00C60E80" w:rsidP="002A3C45">
            <w:pPr>
              <w:rPr>
                <w:rFonts w:cs="Arial"/>
                <w:sz w:val="20"/>
                <w:szCs w:val="20"/>
              </w:rPr>
            </w:pPr>
            <w:r>
              <w:rPr>
                <w:rFonts w:cs="Arial"/>
                <w:sz w:val="20"/>
                <w:szCs w:val="20"/>
              </w:rPr>
              <w:t>% change from previous week</w:t>
            </w:r>
          </w:p>
        </w:tc>
        <w:tc>
          <w:tcPr>
            <w:tcW w:w="759" w:type="pct"/>
            <w:tcBorders>
              <w:top w:val="nil"/>
              <w:bottom w:val="nil"/>
            </w:tcBorders>
            <w:vAlign w:val="center"/>
          </w:tcPr>
          <w:p w:rsidR="00C60E80" w:rsidRDefault="00C60E80" w:rsidP="002A3C45">
            <w:pPr>
              <w:jc w:val="center"/>
              <w:rPr>
                <w:rFonts w:cs="Arial"/>
                <w:sz w:val="20"/>
                <w:szCs w:val="20"/>
              </w:rPr>
            </w:pPr>
            <w:r>
              <w:rPr>
                <w:rFonts w:cs="Arial"/>
                <w:sz w:val="20"/>
                <w:szCs w:val="20"/>
              </w:rPr>
              <w:t>-10</w:t>
            </w:r>
          </w:p>
        </w:tc>
        <w:tc>
          <w:tcPr>
            <w:tcW w:w="758" w:type="pct"/>
            <w:tcBorders>
              <w:top w:val="nil"/>
              <w:bottom w:val="nil"/>
            </w:tcBorders>
            <w:vAlign w:val="center"/>
          </w:tcPr>
          <w:p w:rsidR="00C60E80" w:rsidRDefault="00C60E80" w:rsidP="002A3C45">
            <w:pPr>
              <w:jc w:val="center"/>
              <w:rPr>
                <w:rFonts w:cs="Arial"/>
                <w:sz w:val="20"/>
                <w:szCs w:val="20"/>
              </w:rPr>
            </w:pPr>
            <w:r>
              <w:rPr>
                <w:rFonts w:cs="Arial"/>
                <w:sz w:val="20"/>
                <w:szCs w:val="20"/>
              </w:rPr>
              <w:t>-20</w:t>
            </w:r>
          </w:p>
        </w:tc>
        <w:tc>
          <w:tcPr>
            <w:tcW w:w="759" w:type="pct"/>
            <w:tcBorders>
              <w:top w:val="nil"/>
              <w:bottom w:val="nil"/>
            </w:tcBorders>
            <w:vAlign w:val="center"/>
          </w:tcPr>
          <w:p w:rsidR="00C60E80" w:rsidRDefault="00C60E80" w:rsidP="002A3C45">
            <w:pPr>
              <w:jc w:val="center"/>
              <w:rPr>
                <w:rFonts w:cs="Arial"/>
                <w:sz w:val="20"/>
                <w:szCs w:val="20"/>
              </w:rPr>
            </w:pPr>
            <w:r>
              <w:rPr>
                <w:rFonts w:cs="Arial"/>
                <w:sz w:val="20"/>
                <w:szCs w:val="20"/>
              </w:rPr>
              <w:t>-5</w:t>
            </w:r>
          </w:p>
        </w:tc>
        <w:tc>
          <w:tcPr>
            <w:tcW w:w="685" w:type="pct"/>
            <w:tcBorders>
              <w:top w:val="nil"/>
              <w:bottom w:val="nil"/>
            </w:tcBorders>
            <w:vAlign w:val="center"/>
          </w:tcPr>
          <w:p w:rsidR="00C60E80" w:rsidRDefault="00C60E80" w:rsidP="002A3C45">
            <w:pPr>
              <w:jc w:val="center"/>
              <w:rPr>
                <w:rFonts w:cs="Arial"/>
                <w:sz w:val="20"/>
                <w:szCs w:val="20"/>
              </w:rPr>
            </w:pPr>
            <w:r>
              <w:rPr>
                <w:rFonts w:cs="Arial"/>
                <w:sz w:val="20"/>
                <w:szCs w:val="20"/>
              </w:rPr>
              <w:t>-7</w:t>
            </w:r>
          </w:p>
        </w:tc>
        <w:tc>
          <w:tcPr>
            <w:tcW w:w="608" w:type="pct"/>
            <w:tcBorders>
              <w:top w:val="nil"/>
              <w:bottom w:val="nil"/>
            </w:tcBorders>
            <w:vAlign w:val="center"/>
          </w:tcPr>
          <w:p w:rsidR="00C60E80" w:rsidRDefault="00C60E80" w:rsidP="002A3C45">
            <w:pPr>
              <w:jc w:val="center"/>
              <w:rPr>
                <w:rFonts w:cs="Arial"/>
                <w:sz w:val="20"/>
                <w:szCs w:val="20"/>
              </w:rPr>
            </w:pPr>
            <w:r>
              <w:rPr>
                <w:rFonts w:cs="Arial"/>
                <w:sz w:val="20"/>
                <w:szCs w:val="20"/>
              </w:rPr>
              <w:t>-15</w:t>
            </w:r>
          </w:p>
        </w:tc>
      </w:tr>
      <w:tr w:rsidR="00C60E80" w:rsidRPr="00405CDE" w:rsidTr="002A3C45">
        <w:trPr>
          <w:trHeight w:val="510"/>
        </w:trPr>
        <w:tc>
          <w:tcPr>
            <w:tcW w:w="1430" w:type="pct"/>
            <w:tcBorders>
              <w:top w:val="nil"/>
              <w:bottom w:val="nil"/>
            </w:tcBorders>
            <w:vAlign w:val="center"/>
          </w:tcPr>
          <w:p w:rsidR="00C60E80" w:rsidRDefault="00C60E80" w:rsidP="002A3C45">
            <w:pPr>
              <w:rPr>
                <w:rFonts w:cs="Arial"/>
                <w:sz w:val="20"/>
                <w:szCs w:val="20"/>
              </w:rPr>
            </w:pPr>
            <w:r>
              <w:rPr>
                <w:rFonts w:cs="Arial"/>
                <w:sz w:val="20"/>
                <w:szCs w:val="20"/>
              </w:rPr>
              <w:t>15-16 financial YTD</w:t>
            </w:r>
          </w:p>
        </w:tc>
        <w:tc>
          <w:tcPr>
            <w:tcW w:w="759" w:type="pct"/>
            <w:tcBorders>
              <w:top w:val="nil"/>
              <w:bottom w:val="nil"/>
            </w:tcBorders>
            <w:vAlign w:val="center"/>
          </w:tcPr>
          <w:p w:rsidR="00C60E80" w:rsidRDefault="00C60E80" w:rsidP="002A3C45">
            <w:pPr>
              <w:jc w:val="center"/>
              <w:rPr>
                <w:rFonts w:cs="Arial"/>
                <w:sz w:val="20"/>
                <w:szCs w:val="20"/>
              </w:rPr>
            </w:pPr>
            <w:r>
              <w:rPr>
                <w:rFonts w:cs="Arial"/>
                <w:sz w:val="20"/>
                <w:szCs w:val="20"/>
              </w:rPr>
              <w:t>5.07</w:t>
            </w:r>
          </w:p>
        </w:tc>
        <w:tc>
          <w:tcPr>
            <w:tcW w:w="758" w:type="pct"/>
            <w:tcBorders>
              <w:top w:val="nil"/>
              <w:bottom w:val="nil"/>
            </w:tcBorders>
            <w:vAlign w:val="center"/>
          </w:tcPr>
          <w:p w:rsidR="00C60E80" w:rsidRDefault="00C60E80" w:rsidP="002A3C45">
            <w:pPr>
              <w:jc w:val="center"/>
              <w:rPr>
                <w:rFonts w:cs="Arial"/>
                <w:sz w:val="20"/>
                <w:szCs w:val="20"/>
              </w:rPr>
            </w:pPr>
            <w:r>
              <w:rPr>
                <w:rFonts w:cs="Arial"/>
                <w:sz w:val="20"/>
                <w:szCs w:val="20"/>
              </w:rPr>
              <w:t>5.22</w:t>
            </w:r>
          </w:p>
        </w:tc>
        <w:tc>
          <w:tcPr>
            <w:tcW w:w="759" w:type="pct"/>
            <w:tcBorders>
              <w:top w:val="nil"/>
              <w:bottom w:val="nil"/>
            </w:tcBorders>
            <w:vAlign w:val="center"/>
          </w:tcPr>
          <w:p w:rsidR="00C60E80" w:rsidRDefault="00C60E80" w:rsidP="002A3C45">
            <w:pPr>
              <w:jc w:val="center"/>
              <w:rPr>
                <w:rFonts w:cs="Arial"/>
                <w:sz w:val="20"/>
                <w:szCs w:val="20"/>
              </w:rPr>
            </w:pPr>
            <w:r>
              <w:rPr>
                <w:rFonts w:cs="Arial"/>
                <w:sz w:val="20"/>
                <w:szCs w:val="20"/>
              </w:rPr>
              <w:t>9.20</w:t>
            </w:r>
          </w:p>
        </w:tc>
        <w:tc>
          <w:tcPr>
            <w:tcW w:w="685" w:type="pct"/>
            <w:tcBorders>
              <w:top w:val="nil"/>
              <w:bottom w:val="nil"/>
            </w:tcBorders>
            <w:vAlign w:val="center"/>
          </w:tcPr>
          <w:p w:rsidR="00C60E80" w:rsidRDefault="00C60E80" w:rsidP="002A3C45">
            <w:pPr>
              <w:jc w:val="center"/>
              <w:rPr>
                <w:rFonts w:cs="Arial"/>
                <w:sz w:val="20"/>
                <w:szCs w:val="20"/>
              </w:rPr>
            </w:pPr>
            <w:r>
              <w:rPr>
                <w:rFonts w:cs="Arial"/>
                <w:sz w:val="20"/>
                <w:szCs w:val="20"/>
              </w:rPr>
              <w:t>67</w:t>
            </w:r>
          </w:p>
        </w:tc>
        <w:tc>
          <w:tcPr>
            <w:tcW w:w="608" w:type="pct"/>
            <w:tcBorders>
              <w:top w:val="nil"/>
              <w:bottom w:val="nil"/>
            </w:tcBorders>
            <w:vAlign w:val="center"/>
          </w:tcPr>
          <w:p w:rsidR="00C60E80" w:rsidRDefault="00C60E80" w:rsidP="002A3C45">
            <w:pPr>
              <w:jc w:val="center"/>
              <w:rPr>
                <w:rFonts w:cs="Arial"/>
                <w:sz w:val="20"/>
                <w:szCs w:val="20"/>
              </w:rPr>
            </w:pPr>
            <w:r>
              <w:rPr>
                <w:rFonts w:cs="Arial"/>
                <w:sz w:val="20"/>
                <w:szCs w:val="20"/>
              </w:rPr>
              <w:t>69</w:t>
            </w:r>
          </w:p>
        </w:tc>
      </w:tr>
      <w:tr w:rsidR="00C60E80" w:rsidRPr="00405CDE" w:rsidTr="002A3C45">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single" w:sz="4" w:space="0" w:color="auto"/>
            </w:tcBorders>
            <w:vAlign w:val="center"/>
          </w:tcPr>
          <w:p w:rsidR="00C60E80" w:rsidRDefault="00C60E80" w:rsidP="002A3C45">
            <w:pPr>
              <w:rPr>
                <w:rFonts w:cs="Arial"/>
                <w:sz w:val="20"/>
                <w:szCs w:val="20"/>
              </w:rPr>
            </w:pPr>
            <w:r>
              <w:rPr>
                <w:rFonts w:cs="Arial"/>
                <w:sz w:val="20"/>
                <w:szCs w:val="20"/>
              </w:rPr>
              <w:t>% change from previous financial YTD</w:t>
            </w:r>
          </w:p>
        </w:tc>
        <w:tc>
          <w:tcPr>
            <w:tcW w:w="759" w:type="pct"/>
            <w:tcBorders>
              <w:top w:val="nil"/>
              <w:bottom w:val="single" w:sz="4" w:space="0" w:color="auto"/>
            </w:tcBorders>
            <w:vAlign w:val="center"/>
          </w:tcPr>
          <w:p w:rsidR="00C60E80" w:rsidRDefault="00C60E80" w:rsidP="002A3C45">
            <w:pPr>
              <w:jc w:val="center"/>
              <w:rPr>
                <w:rFonts w:cs="Arial"/>
                <w:sz w:val="20"/>
                <w:szCs w:val="20"/>
              </w:rPr>
            </w:pPr>
            <w:r>
              <w:rPr>
                <w:rFonts w:cs="Arial"/>
                <w:sz w:val="20"/>
                <w:szCs w:val="20"/>
              </w:rPr>
              <w:t>43</w:t>
            </w:r>
          </w:p>
        </w:tc>
        <w:tc>
          <w:tcPr>
            <w:tcW w:w="758" w:type="pct"/>
            <w:tcBorders>
              <w:top w:val="nil"/>
              <w:bottom w:val="single" w:sz="4" w:space="0" w:color="auto"/>
            </w:tcBorders>
            <w:vAlign w:val="center"/>
          </w:tcPr>
          <w:p w:rsidR="00C60E80" w:rsidRDefault="00C60E80" w:rsidP="002A3C45">
            <w:pPr>
              <w:jc w:val="center"/>
              <w:rPr>
                <w:rFonts w:cs="Arial"/>
                <w:sz w:val="20"/>
                <w:szCs w:val="20"/>
              </w:rPr>
            </w:pPr>
            <w:r>
              <w:rPr>
                <w:rFonts w:cs="Arial"/>
                <w:sz w:val="20"/>
                <w:szCs w:val="20"/>
              </w:rPr>
              <w:t>49</w:t>
            </w:r>
          </w:p>
        </w:tc>
        <w:tc>
          <w:tcPr>
            <w:tcW w:w="759" w:type="pct"/>
            <w:tcBorders>
              <w:top w:val="nil"/>
              <w:bottom w:val="single" w:sz="4" w:space="0" w:color="auto"/>
            </w:tcBorders>
            <w:vAlign w:val="center"/>
          </w:tcPr>
          <w:p w:rsidR="00C60E80" w:rsidRDefault="00C60E80" w:rsidP="002A3C45">
            <w:pPr>
              <w:jc w:val="center"/>
              <w:rPr>
                <w:rFonts w:cs="Arial"/>
                <w:sz w:val="20"/>
                <w:szCs w:val="20"/>
              </w:rPr>
            </w:pPr>
            <w:r>
              <w:rPr>
                <w:rFonts w:cs="Arial"/>
                <w:sz w:val="20"/>
                <w:szCs w:val="20"/>
              </w:rPr>
              <w:t>-20</w:t>
            </w:r>
          </w:p>
        </w:tc>
        <w:tc>
          <w:tcPr>
            <w:tcW w:w="685" w:type="pct"/>
            <w:tcBorders>
              <w:top w:val="nil"/>
              <w:bottom w:val="single" w:sz="4" w:space="0" w:color="auto"/>
            </w:tcBorders>
            <w:vAlign w:val="center"/>
          </w:tcPr>
          <w:p w:rsidR="00C60E80" w:rsidRDefault="00C60E80" w:rsidP="002A3C45">
            <w:pPr>
              <w:jc w:val="center"/>
              <w:rPr>
                <w:rFonts w:cs="Arial"/>
                <w:sz w:val="20"/>
                <w:szCs w:val="20"/>
              </w:rPr>
            </w:pPr>
            <w:r>
              <w:rPr>
                <w:rFonts w:cs="Arial"/>
                <w:sz w:val="20"/>
                <w:szCs w:val="20"/>
              </w:rPr>
              <w:t>0</w:t>
            </w:r>
          </w:p>
        </w:tc>
        <w:tc>
          <w:tcPr>
            <w:tcW w:w="608" w:type="pct"/>
            <w:tcBorders>
              <w:top w:val="nil"/>
              <w:bottom w:val="single" w:sz="4" w:space="0" w:color="auto"/>
            </w:tcBorders>
            <w:vAlign w:val="center"/>
          </w:tcPr>
          <w:p w:rsidR="00C60E80" w:rsidRDefault="00C60E80" w:rsidP="002A3C45">
            <w:pPr>
              <w:jc w:val="center"/>
              <w:rPr>
                <w:rFonts w:cs="Arial"/>
                <w:sz w:val="20"/>
                <w:szCs w:val="20"/>
              </w:rPr>
            </w:pPr>
            <w:r>
              <w:rPr>
                <w:rFonts w:cs="Arial"/>
                <w:sz w:val="20"/>
                <w:szCs w:val="20"/>
              </w:rPr>
              <w:t>3</w:t>
            </w:r>
          </w:p>
        </w:tc>
      </w:tr>
    </w:tbl>
    <w:p w:rsidR="00C60E80" w:rsidRDefault="00C60E80" w:rsidP="00C60E80"/>
    <w:p w:rsidR="00C60E80" w:rsidRDefault="00C60E80" w:rsidP="00C60E80"/>
    <w:p w:rsidR="00C60E80" w:rsidRDefault="00C60E80" w:rsidP="00C60E80"/>
    <w:p w:rsidR="00C60E80" w:rsidRPr="00C60E80" w:rsidRDefault="00C60E80" w:rsidP="00C60E80"/>
    <w:p w:rsidR="00D1641C" w:rsidRDefault="006E7E57" w:rsidP="00D1641C">
      <w:pPr>
        <w:pStyle w:val="Heading2"/>
        <w:ind w:firstLine="0"/>
        <w:rPr>
          <w:i w:val="0"/>
          <w:color w:val="2272A3"/>
          <w:sz w:val="24"/>
          <w:szCs w:val="24"/>
        </w:rPr>
      </w:pPr>
      <w:r>
        <w:rPr>
          <w:i w:val="0"/>
          <w:color w:val="2272A3"/>
          <w:sz w:val="24"/>
          <w:szCs w:val="24"/>
        </w:rPr>
        <w:lastRenderedPageBreak/>
        <w:t>Brisbane STTM</w:t>
      </w:r>
    </w:p>
    <w:tbl>
      <w:tblPr>
        <w:tblStyle w:val="AERTable-Text0"/>
        <w:tblW w:w="4785" w:type="pct"/>
        <w:tblLook w:val="04A0" w:firstRow="1" w:lastRow="0" w:firstColumn="1" w:lastColumn="0" w:noHBand="0" w:noVBand="1"/>
      </w:tblPr>
      <w:tblGrid>
        <w:gridCol w:w="2667"/>
        <w:gridCol w:w="1416"/>
        <w:gridCol w:w="1413"/>
        <w:gridCol w:w="1415"/>
        <w:gridCol w:w="1277"/>
        <w:gridCol w:w="1134"/>
      </w:tblGrid>
      <w:tr w:rsidR="00F114D5" w:rsidRPr="00405CDE" w:rsidTr="00F114D5">
        <w:trPr>
          <w:cnfStyle w:val="100000000000" w:firstRow="1" w:lastRow="0" w:firstColumn="0" w:lastColumn="0" w:oddVBand="0" w:evenVBand="0" w:oddHBand="0" w:evenHBand="0" w:firstRowFirstColumn="0" w:firstRowLastColumn="0" w:lastRowFirstColumn="0" w:lastRowLastColumn="0"/>
          <w:tblHeader/>
        </w:trPr>
        <w:tc>
          <w:tcPr>
            <w:tcW w:w="1430" w:type="pct"/>
            <w:tcBorders>
              <w:bottom w:val="nil"/>
            </w:tcBorders>
            <w:hideMark/>
          </w:tcPr>
          <w:p w:rsidR="00F114D5" w:rsidRPr="00DC24BF" w:rsidRDefault="00F114D5" w:rsidP="0091453B">
            <w:pPr>
              <w:pStyle w:val="TableHeading"/>
              <w:jc w:val="center"/>
              <w:rPr>
                <w:rFonts w:cs="Arial"/>
                <w:sz w:val="20"/>
                <w:szCs w:val="20"/>
              </w:rPr>
            </w:pPr>
          </w:p>
        </w:tc>
        <w:tc>
          <w:tcPr>
            <w:tcW w:w="759" w:type="pct"/>
            <w:tcBorders>
              <w:bottom w:val="nil"/>
            </w:tcBorders>
            <w:hideMark/>
          </w:tcPr>
          <w:p w:rsidR="00F114D5" w:rsidRPr="002861A9" w:rsidRDefault="00F114D5" w:rsidP="00ED3374">
            <w:pPr>
              <w:keepNext/>
              <w:spacing w:before="40" w:after="40"/>
              <w:jc w:val="center"/>
              <w:rPr>
                <w:rFonts w:cs="Arial"/>
                <w:b w:val="0"/>
                <w:bCs/>
                <w:sz w:val="20"/>
                <w:szCs w:val="20"/>
              </w:rPr>
            </w:pPr>
            <w:r w:rsidRPr="002861A9">
              <w:rPr>
                <w:rFonts w:cs="Arial"/>
                <w:bCs/>
                <w:sz w:val="20"/>
                <w:szCs w:val="20"/>
              </w:rPr>
              <w:t>Ex ante price ($/GJ)</w:t>
            </w:r>
          </w:p>
        </w:tc>
        <w:tc>
          <w:tcPr>
            <w:tcW w:w="758" w:type="pct"/>
            <w:tcBorders>
              <w:bottom w:val="nil"/>
            </w:tcBorders>
          </w:tcPr>
          <w:p w:rsidR="00F114D5" w:rsidRPr="002861A9" w:rsidRDefault="00F114D5" w:rsidP="00ED3374">
            <w:pPr>
              <w:keepNext/>
              <w:spacing w:before="40" w:after="40"/>
              <w:jc w:val="center"/>
              <w:rPr>
                <w:rFonts w:cs="Arial"/>
                <w:b w:val="0"/>
                <w:bCs/>
                <w:sz w:val="20"/>
                <w:szCs w:val="20"/>
              </w:rPr>
            </w:pPr>
            <w:r w:rsidRPr="002861A9">
              <w:rPr>
                <w:rFonts w:cs="Arial"/>
                <w:bCs/>
                <w:sz w:val="20"/>
                <w:szCs w:val="20"/>
              </w:rPr>
              <w:t>Ex post price ($/GJ)</w:t>
            </w:r>
          </w:p>
        </w:tc>
        <w:tc>
          <w:tcPr>
            <w:tcW w:w="759" w:type="pct"/>
            <w:tcBorders>
              <w:bottom w:val="nil"/>
            </w:tcBorders>
          </w:tcPr>
          <w:p w:rsidR="00F114D5" w:rsidRPr="002861A9" w:rsidRDefault="00F114D5" w:rsidP="00ED3374">
            <w:pPr>
              <w:keepNext/>
              <w:spacing w:before="40" w:after="40"/>
              <w:jc w:val="center"/>
              <w:rPr>
                <w:rFonts w:cs="Arial"/>
                <w:b w:val="0"/>
                <w:bCs/>
                <w:sz w:val="20"/>
                <w:szCs w:val="20"/>
              </w:rPr>
            </w:pPr>
            <w:r w:rsidRPr="002861A9">
              <w:rPr>
                <w:rFonts w:cs="Arial"/>
                <w:bCs/>
                <w:sz w:val="20"/>
                <w:szCs w:val="20"/>
              </w:rPr>
              <w:t>MOS payments ($000)</w:t>
            </w:r>
          </w:p>
        </w:tc>
        <w:tc>
          <w:tcPr>
            <w:tcW w:w="685" w:type="pct"/>
            <w:tcBorders>
              <w:bottom w:val="nil"/>
            </w:tcBorders>
            <w:hideMark/>
          </w:tcPr>
          <w:p w:rsidR="00F114D5" w:rsidRPr="002861A9" w:rsidRDefault="00F114D5" w:rsidP="00ED3374">
            <w:pPr>
              <w:keepNext/>
              <w:spacing w:before="40" w:after="40"/>
              <w:jc w:val="center"/>
              <w:rPr>
                <w:rFonts w:cs="Arial"/>
                <w:b w:val="0"/>
                <w:bCs/>
                <w:sz w:val="20"/>
                <w:szCs w:val="20"/>
              </w:rPr>
            </w:pPr>
            <w:r w:rsidRPr="002861A9">
              <w:rPr>
                <w:rFonts w:cs="Arial"/>
                <w:bCs/>
                <w:sz w:val="20"/>
                <w:szCs w:val="20"/>
              </w:rPr>
              <w:t>Ex ante quantity (TJ)</w:t>
            </w:r>
          </w:p>
        </w:tc>
        <w:tc>
          <w:tcPr>
            <w:tcW w:w="608" w:type="pct"/>
            <w:tcBorders>
              <w:bottom w:val="nil"/>
            </w:tcBorders>
            <w:hideMark/>
          </w:tcPr>
          <w:p w:rsidR="00F114D5" w:rsidRPr="002861A9" w:rsidRDefault="00F114D5" w:rsidP="00ED3374">
            <w:pPr>
              <w:keepNext/>
              <w:spacing w:before="40" w:after="40"/>
              <w:jc w:val="center"/>
              <w:rPr>
                <w:rFonts w:cs="Arial"/>
                <w:b w:val="0"/>
                <w:bCs/>
                <w:sz w:val="20"/>
                <w:szCs w:val="20"/>
              </w:rPr>
            </w:pPr>
            <w:r w:rsidRPr="002861A9">
              <w:rPr>
                <w:rFonts w:cs="Arial"/>
                <w:bCs/>
                <w:sz w:val="20"/>
                <w:szCs w:val="20"/>
              </w:rPr>
              <w:t>Ex post quantity (TJ)</w:t>
            </w:r>
          </w:p>
        </w:tc>
      </w:tr>
      <w:tr w:rsidR="00E453F1" w:rsidRPr="00405CDE" w:rsidTr="00ED3374">
        <w:trPr>
          <w:trHeight w:val="510"/>
        </w:trPr>
        <w:tc>
          <w:tcPr>
            <w:tcW w:w="1430" w:type="pct"/>
            <w:tcBorders>
              <w:top w:val="nil"/>
              <w:bottom w:val="nil"/>
            </w:tcBorders>
            <w:vAlign w:val="center"/>
          </w:tcPr>
          <w:p w:rsidR="00E453F1" w:rsidRDefault="00E453F1">
            <w:pPr>
              <w:rPr>
                <w:rFonts w:cs="Arial"/>
                <w:sz w:val="20"/>
                <w:szCs w:val="20"/>
              </w:rPr>
            </w:pPr>
            <w:r>
              <w:rPr>
                <w:rFonts w:cs="Arial"/>
                <w:sz w:val="20"/>
                <w:szCs w:val="20"/>
              </w:rPr>
              <w:t>20 Dec - 26 Dec 2015</w:t>
            </w:r>
          </w:p>
        </w:tc>
        <w:tc>
          <w:tcPr>
            <w:tcW w:w="759" w:type="pct"/>
            <w:tcBorders>
              <w:top w:val="nil"/>
              <w:bottom w:val="nil"/>
            </w:tcBorders>
            <w:vAlign w:val="center"/>
          </w:tcPr>
          <w:p w:rsidR="00E453F1" w:rsidRDefault="00E453F1">
            <w:pPr>
              <w:jc w:val="center"/>
              <w:rPr>
                <w:rFonts w:cs="Arial"/>
                <w:sz w:val="20"/>
                <w:szCs w:val="20"/>
              </w:rPr>
            </w:pPr>
            <w:r>
              <w:rPr>
                <w:rFonts w:cs="Arial"/>
                <w:sz w:val="20"/>
                <w:szCs w:val="20"/>
              </w:rPr>
              <w:t>3.52</w:t>
            </w:r>
          </w:p>
        </w:tc>
        <w:tc>
          <w:tcPr>
            <w:tcW w:w="758" w:type="pct"/>
            <w:tcBorders>
              <w:top w:val="nil"/>
              <w:bottom w:val="nil"/>
            </w:tcBorders>
            <w:vAlign w:val="center"/>
          </w:tcPr>
          <w:p w:rsidR="00E453F1" w:rsidRDefault="00E453F1">
            <w:pPr>
              <w:jc w:val="center"/>
              <w:rPr>
                <w:rFonts w:cs="Arial"/>
                <w:sz w:val="20"/>
                <w:szCs w:val="20"/>
              </w:rPr>
            </w:pPr>
            <w:r>
              <w:rPr>
                <w:rFonts w:cs="Arial"/>
                <w:sz w:val="20"/>
                <w:szCs w:val="20"/>
              </w:rPr>
              <w:t>3.76</w:t>
            </w:r>
          </w:p>
        </w:tc>
        <w:tc>
          <w:tcPr>
            <w:tcW w:w="759" w:type="pct"/>
            <w:tcBorders>
              <w:top w:val="nil"/>
              <w:bottom w:val="nil"/>
            </w:tcBorders>
            <w:vAlign w:val="center"/>
          </w:tcPr>
          <w:p w:rsidR="00E453F1" w:rsidRDefault="00E453F1">
            <w:pPr>
              <w:jc w:val="center"/>
              <w:rPr>
                <w:rFonts w:cs="Arial"/>
                <w:sz w:val="20"/>
                <w:szCs w:val="20"/>
              </w:rPr>
            </w:pPr>
            <w:r>
              <w:rPr>
                <w:rFonts w:cs="Arial"/>
                <w:sz w:val="20"/>
                <w:szCs w:val="20"/>
              </w:rPr>
              <w:t>1.24</w:t>
            </w:r>
          </w:p>
        </w:tc>
        <w:tc>
          <w:tcPr>
            <w:tcW w:w="685" w:type="pct"/>
            <w:tcBorders>
              <w:top w:val="nil"/>
              <w:bottom w:val="nil"/>
            </w:tcBorders>
            <w:vAlign w:val="center"/>
          </w:tcPr>
          <w:p w:rsidR="00E453F1" w:rsidRDefault="00E453F1">
            <w:pPr>
              <w:jc w:val="center"/>
              <w:rPr>
                <w:rFonts w:cs="Arial"/>
                <w:sz w:val="20"/>
                <w:szCs w:val="20"/>
              </w:rPr>
            </w:pPr>
            <w:r>
              <w:rPr>
                <w:rFonts w:cs="Arial"/>
                <w:sz w:val="20"/>
                <w:szCs w:val="20"/>
              </w:rPr>
              <w:t>75</w:t>
            </w:r>
          </w:p>
        </w:tc>
        <w:tc>
          <w:tcPr>
            <w:tcW w:w="608" w:type="pct"/>
            <w:tcBorders>
              <w:top w:val="nil"/>
              <w:bottom w:val="nil"/>
            </w:tcBorders>
            <w:vAlign w:val="center"/>
          </w:tcPr>
          <w:p w:rsidR="00E453F1" w:rsidRDefault="00E453F1">
            <w:pPr>
              <w:jc w:val="center"/>
              <w:rPr>
                <w:rFonts w:cs="Arial"/>
                <w:sz w:val="20"/>
                <w:szCs w:val="20"/>
              </w:rPr>
            </w:pPr>
            <w:r>
              <w:rPr>
                <w:rFonts w:cs="Arial"/>
                <w:sz w:val="20"/>
                <w:szCs w:val="20"/>
              </w:rPr>
              <w:t>76</w:t>
            </w:r>
          </w:p>
        </w:tc>
      </w:tr>
      <w:tr w:rsidR="00E453F1" w:rsidRPr="00405CDE" w:rsidTr="00ED3374">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nil"/>
            </w:tcBorders>
            <w:vAlign w:val="center"/>
          </w:tcPr>
          <w:p w:rsidR="00E453F1" w:rsidRDefault="00E453F1">
            <w:pPr>
              <w:rPr>
                <w:rFonts w:cs="Arial"/>
                <w:sz w:val="20"/>
                <w:szCs w:val="20"/>
              </w:rPr>
            </w:pPr>
            <w:r>
              <w:rPr>
                <w:rFonts w:cs="Arial"/>
                <w:sz w:val="20"/>
                <w:szCs w:val="20"/>
              </w:rPr>
              <w:t>% change from previous week</w:t>
            </w:r>
          </w:p>
        </w:tc>
        <w:tc>
          <w:tcPr>
            <w:tcW w:w="759" w:type="pct"/>
            <w:tcBorders>
              <w:top w:val="nil"/>
              <w:bottom w:val="nil"/>
            </w:tcBorders>
            <w:vAlign w:val="center"/>
          </w:tcPr>
          <w:p w:rsidR="00E453F1" w:rsidRDefault="00E453F1">
            <w:pPr>
              <w:jc w:val="center"/>
              <w:rPr>
                <w:rFonts w:cs="Arial"/>
                <w:sz w:val="20"/>
                <w:szCs w:val="20"/>
              </w:rPr>
            </w:pPr>
            <w:r>
              <w:rPr>
                <w:rFonts w:cs="Arial"/>
                <w:sz w:val="20"/>
                <w:szCs w:val="20"/>
              </w:rPr>
              <w:t>-15</w:t>
            </w:r>
          </w:p>
        </w:tc>
        <w:tc>
          <w:tcPr>
            <w:tcW w:w="758" w:type="pct"/>
            <w:tcBorders>
              <w:top w:val="nil"/>
              <w:bottom w:val="nil"/>
            </w:tcBorders>
            <w:vAlign w:val="center"/>
          </w:tcPr>
          <w:p w:rsidR="00E453F1" w:rsidRDefault="00E453F1">
            <w:pPr>
              <w:jc w:val="center"/>
              <w:rPr>
                <w:rFonts w:cs="Arial"/>
                <w:sz w:val="20"/>
                <w:szCs w:val="20"/>
              </w:rPr>
            </w:pPr>
            <w:r>
              <w:rPr>
                <w:rFonts w:cs="Arial"/>
                <w:sz w:val="20"/>
                <w:szCs w:val="20"/>
              </w:rPr>
              <w:t>-10</w:t>
            </w:r>
          </w:p>
        </w:tc>
        <w:tc>
          <w:tcPr>
            <w:tcW w:w="759" w:type="pct"/>
            <w:tcBorders>
              <w:top w:val="nil"/>
              <w:bottom w:val="nil"/>
            </w:tcBorders>
            <w:vAlign w:val="center"/>
          </w:tcPr>
          <w:p w:rsidR="00E453F1" w:rsidRDefault="00E453F1">
            <w:pPr>
              <w:jc w:val="center"/>
              <w:rPr>
                <w:rFonts w:cs="Arial"/>
                <w:sz w:val="20"/>
                <w:szCs w:val="20"/>
              </w:rPr>
            </w:pPr>
            <w:r>
              <w:rPr>
                <w:rFonts w:cs="Arial"/>
                <w:sz w:val="20"/>
                <w:szCs w:val="20"/>
              </w:rPr>
              <w:t>-26</w:t>
            </w:r>
          </w:p>
        </w:tc>
        <w:tc>
          <w:tcPr>
            <w:tcW w:w="685" w:type="pct"/>
            <w:tcBorders>
              <w:top w:val="nil"/>
              <w:bottom w:val="nil"/>
            </w:tcBorders>
            <w:vAlign w:val="center"/>
          </w:tcPr>
          <w:p w:rsidR="00E453F1" w:rsidRDefault="00E453F1">
            <w:pPr>
              <w:jc w:val="center"/>
              <w:rPr>
                <w:rFonts w:cs="Arial"/>
                <w:sz w:val="20"/>
                <w:szCs w:val="20"/>
              </w:rPr>
            </w:pPr>
            <w:r>
              <w:rPr>
                <w:rFonts w:cs="Arial"/>
                <w:sz w:val="20"/>
                <w:szCs w:val="20"/>
              </w:rPr>
              <w:t>-11</w:t>
            </w:r>
          </w:p>
        </w:tc>
        <w:tc>
          <w:tcPr>
            <w:tcW w:w="608" w:type="pct"/>
            <w:tcBorders>
              <w:top w:val="nil"/>
              <w:bottom w:val="nil"/>
            </w:tcBorders>
            <w:vAlign w:val="center"/>
          </w:tcPr>
          <w:p w:rsidR="00E453F1" w:rsidRDefault="00E453F1">
            <w:pPr>
              <w:jc w:val="center"/>
              <w:rPr>
                <w:rFonts w:cs="Arial"/>
                <w:sz w:val="20"/>
                <w:szCs w:val="20"/>
              </w:rPr>
            </w:pPr>
            <w:r>
              <w:rPr>
                <w:rFonts w:cs="Arial"/>
                <w:sz w:val="20"/>
                <w:szCs w:val="20"/>
              </w:rPr>
              <w:t>-11</w:t>
            </w:r>
          </w:p>
        </w:tc>
      </w:tr>
      <w:tr w:rsidR="00E453F1" w:rsidRPr="00405CDE" w:rsidTr="00ED3374">
        <w:trPr>
          <w:trHeight w:val="510"/>
        </w:trPr>
        <w:tc>
          <w:tcPr>
            <w:tcW w:w="1430" w:type="pct"/>
            <w:tcBorders>
              <w:top w:val="nil"/>
              <w:bottom w:val="nil"/>
            </w:tcBorders>
            <w:vAlign w:val="center"/>
          </w:tcPr>
          <w:p w:rsidR="00E453F1" w:rsidRDefault="00E453F1">
            <w:pPr>
              <w:rPr>
                <w:rFonts w:cs="Arial"/>
                <w:sz w:val="20"/>
                <w:szCs w:val="20"/>
              </w:rPr>
            </w:pPr>
            <w:r>
              <w:rPr>
                <w:rFonts w:cs="Arial"/>
                <w:sz w:val="20"/>
                <w:szCs w:val="20"/>
              </w:rPr>
              <w:t>15-16 financial YTD</w:t>
            </w:r>
          </w:p>
        </w:tc>
        <w:tc>
          <w:tcPr>
            <w:tcW w:w="759" w:type="pct"/>
            <w:tcBorders>
              <w:top w:val="nil"/>
              <w:bottom w:val="nil"/>
            </w:tcBorders>
            <w:vAlign w:val="center"/>
          </w:tcPr>
          <w:p w:rsidR="00E453F1" w:rsidRDefault="00E453F1">
            <w:pPr>
              <w:jc w:val="center"/>
              <w:rPr>
                <w:rFonts w:cs="Arial"/>
                <w:sz w:val="20"/>
                <w:szCs w:val="20"/>
              </w:rPr>
            </w:pPr>
            <w:r>
              <w:rPr>
                <w:rFonts w:cs="Arial"/>
                <w:sz w:val="20"/>
                <w:szCs w:val="20"/>
              </w:rPr>
              <w:t>3.67</w:t>
            </w:r>
          </w:p>
        </w:tc>
        <w:tc>
          <w:tcPr>
            <w:tcW w:w="758" w:type="pct"/>
            <w:tcBorders>
              <w:top w:val="nil"/>
              <w:bottom w:val="nil"/>
            </w:tcBorders>
            <w:vAlign w:val="center"/>
          </w:tcPr>
          <w:p w:rsidR="00E453F1" w:rsidRDefault="00E453F1">
            <w:pPr>
              <w:jc w:val="center"/>
              <w:rPr>
                <w:rFonts w:cs="Arial"/>
                <w:sz w:val="20"/>
                <w:szCs w:val="20"/>
              </w:rPr>
            </w:pPr>
            <w:r>
              <w:rPr>
                <w:rFonts w:cs="Arial"/>
                <w:sz w:val="20"/>
                <w:szCs w:val="20"/>
              </w:rPr>
              <w:t>3.62</w:t>
            </w:r>
          </w:p>
        </w:tc>
        <w:tc>
          <w:tcPr>
            <w:tcW w:w="759" w:type="pct"/>
            <w:tcBorders>
              <w:top w:val="nil"/>
              <w:bottom w:val="nil"/>
            </w:tcBorders>
            <w:vAlign w:val="center"/>
          </w:tcPr>
          <w:p w:rsidR="00E453F1" w:rsidRDefault="00E453F1">
            <w:pPr>
              <w:jc w:val="center"/>
              <w:rPr>
                <w:rFonts w:cs="Arial"/>
                <w:sz w:val="20"/>
                <w:szCs w:val="20"/>
              </w:rPr>
            </w:pPr>
            <w:r>
              <w:rPr>
                <w:rFonts w:cs="Arial"/>
                <w:sz w:val="20"/>
                <w:szCs w:val="20"/>
              </w:rPr>
              <w:t>1.39</w:t>
            </w:r>
          </w:p>
        </w:tc>
        <w:tc>
          <w:tcPr>
            <w:tcW w:w="685" w:type="pct"/>
            <w:tcBorders>
              <w:top w:val="nil"/>
              <w:bottom w:val="nil"/>
            </w:tcBorders>
            <w:vAlign w:val="center"/>
          </w:tcPr>
          <w:p w:rsidR="00E453F1" w:rsidRDefault="00E453F1">
            <w:pPr>
              <w:jc w:val="center"/>
              <w:rPr>
                <w:rFonts w:cs="Arial"/>
                <w:sz w:val="20"/>
                <w:szCs w:val="20"/>
              </w:rPr>
            </w:pPr>
            <w:r>
              <w:rPr>
                <w:rFonts w:cs="Arial"/>
                <w:sz w:val="20"/>
                <w:szCs w:val="20"/>
              </w:rPr>
              <w:t>90</w:t>
            </w:r>
          </w:p>
        </w:tc>
        <w:tc>
          <w:tcPr>
            <w:tcW w:w="608" w:type="pct"/>
            <w:tcBorders>
              <w:top w:val="nil"/>
              <w:bottom w:val="nil"/>
            </w:tcBorders>
            <w:vAlign w:val="center"/>
          </w:tcPr>
          <w:p w:rsidR="00E453F1" w:rsidRDefault="00E453F1">
            <w:pPr>
              <w:jc w:val="center"/>
              <w:rPr>
                <w:rFonts w:cs="Arial"/>
                <w:sz w:val="20"/>
                <w:szCs w:val="20"/>
              </w:rPr>
            </w:pPr>
            <w:r>
              <w:rPr>
                <w:rFonts w:cs="Arial"/>
                <w:sz w:val="20"/>
                <w:szCs w:val="20"/>
              </w:rPr>
              <w:t>89</w:t>
            </w:r>
          </w:p>
        </w:tc>
      </w:tr>
      <w:tr w:rsidR="00E453F1" w:rsidRPr="00405CDE" w:rsidTr="00ED3374">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single" w:sz="4" w:space="0" w:color="auto"/>
            </w:tcBorders>
            <w:vAlign w:val="center"/>
          </w:tcPr>
          <w:p w:rsidR="00E453F1" w:rsidRDefault="00E453F1">
            <w:pPr>
              <w:rPr>
                <w:rFonts w:cs="Arial"/>
                <w:sz w:val="20"/>
                <w:szCs w:val="20"/>
              </w:rPr>
            </w:pPr>
            <w:r>
              <w:rPr>
                <w:rFonts w:cs="Arial"/>
                <w:sz w:val="20"/>
                <w:szCs w:val="20"/>
              </w:rPr>
              <w:t>% change from previous financial YTD</w:t>
            </w:r>
          </w:p>
        </w:tc>
        <w:tc>
          <w:tcPr>
            <w:tcW w:w="759" w:type="pct"/>
            <w:tcBorders>
              <w:top w:val="nil"/>
              <w:bottom w:val="single" w:sz="4" w:space="0" w:color="auto"/>
            </w:tcBorders>
            <w:vAlign w:val="center"/>
          </w:tcPr>
          <w:p w:rsidR="00E453F1" w:rsidRDefault="00E453F1">
            <w:pPr>
              <w:jc w:val="center"/>
              <w:rPr>
                <w:rFonts w:cs="Arial"/>
                <w:sz w:val="20"/>
                <w:szCs w:val="20"/>
              </w:rPr>
            </w:pPr>
            <w:r>
              <w:rPr>
                <w:rFonts w:cs="Arial"/>
                <w:sz w:val="20"/>
                <w:szCs w:val="20"/>
              </w:rPr>
              <w:t>109</w:t>
            </w:r>
          </w:p>
        </w:tc>
        <w:tc>
          <w:tcPr>
            <w:tcW w:w="758" w:type="pct"/>
            <w:tcBorders>
              <w:top w:val="nil"/>
              <w:bottom w:val="single" w:sz="4" w:space="0" w:color="auto"/>
            </w:tcBorders>
            <w:vAlign w:val="center"/>
          </w:tcPr>
          <w:p w:rsidR="00E453F1" w:rsidRDefault="00E453F1">
            <w:pPr>
              <w:jc w:val="center"/>
              <w:rPr>
                <w:rFonts w:cs="Arial"/>
                <w:sz w:val="20"/>
                <w:szCs w:val="20"/>
              </w:rPr>
            </w:pPr>
            <w:r>
              <w:rPr>
                <w:rFonts w:cs="Arial"/>
                <w:sz w:val="20"/>
                <w:szCs w:val="20"/>
              </w:rPr>
              <w:t>135</w:t>
            </w:r>
          </w:p>
        </w:tc>
        <w:tc>
          <w:tcPr>
            <w:tcW w:w="759" w:type="pct"/>
            <w:tcBorders>
              <w:top w:val="nil"/>
              <w:bottom w:val="single" w:sz="4" w:space="0" w:color="auto"/>
            </w:tcBorders>
            <w:vAlign w:val="center"/>
          </w:tcPr>
          <w:p w:rsidR="00E453F1" w:rsidRDefault="00E453F1">
            <w:pPr>
              <w:jc w:val="center"/>
              <w:rPr>
                <w:rFonts w:cs="Arial"/>
                <w:sz w:val="20"/>
                <w:szCs w:val="20"/>
              </w:rPr>
            </w:pPr>
            <w:r>
              <w:rPr>
                <w:rFonts w:cs="Arial"/>
                <w:sz w:val="20"/>
                <w:szCs w:val="20"/>
              </w:rPr>
              <w:t>16</w:t>
            </w:r>
          </w:p>
        </w:tc>
        <w:tc>
          <w:tcPr>
            <w:tcW w:w="685" w:type="pct"/>
            <w:tcBorders>
              <w:top w:val="nil"/>
              <w:bottom w:val="single" w:sz="4" w:space="0" w:color="auto"/>
            </w:tcBorders>
            <w:vAlign w:val="center"/>
          </w:tcPr>
          <w:p w:rsidR="00E453F1" w:rsidRDefault="00E453F1">
            <w:pPr>
              <w:jc w:val="center"/>
              <w:rPr>
                <w:rFonts w:cs="Arial"/>
                <w:sz w:val="20"/>
                <w:szCs w:val="20"/>
              </w:rPr>
            </w:pPr>
            <w:r>
              <w:rPr>
                <w:rFonts w:cs="Arial"/>
                <w:sz w:val="20"/>
                <w:szCs w:val="20"/>
              </w:rPr>
              <w:t>-41</w:t>
            </w:r>
          </w:p>
        </w:tc>
        <w:tc>
          <w:tcPr>
            <w:tcW w:w="608" w:type="pct"/>
            <w:tcBorders>
              <w:top w:val="nil"/>
              <w:bottom w:val="single" w:sz="4" w:space="0" w:color="auto"/>
            </w:tcBorders>
            <w:vAlign w:val="center"/>
          </w:tcPr>
          <w:p w:rsidR="00E453F1" w:rsidRDefault="00E453F1">
            <w:pPr>
              <w:jc w:val="center"/>
              <w:rPr>
                <w:rFonts w:cs="Arial"/>
                <w:sz w:val="20"/>
                <w:szCs w:val="20"/>
              </w:rPr>
            </w:pPr>
            <w:r>
              <w:rPr>
                <w:rFonts w:cs="Arial"/>
                <w:sz w:val="20"/>
                <w:szCs w:val="20"/>
              </w:rPr>
              <w:t>-42</w:t>
            </w:r>
          </w:p>
        </w:tc>
      </w:tr>
    </w:tbl>
    <w:p w:rsidR="006E7E57" w:rsidRPr="008D4DAB" w:rsidRDefault="006E7E57" w:rsidP="00345444">
      <w:pPr>
        <w:pStyle w:val="AERbodytext"/>
        <w:spacing w:before="120" w:after="120" w:line="240" w:lineRule="auto"/>
        <w:jc w:val="both"/>
      </w:pPr>
      <w:r>
        <w:t>M</w:t>
      </w:r>
      <w:r w:rsidRPr="008D4DAB">
        <w:t xml:space="preserve">ore </w:t>
      </w:r>
      <w:r>
        <w:t xml:space="preserve">detailed </w:t>
      </w:r>
      <w:r w:rsidRPr="008D4DAB">
        <w:t>analysis o</w:t>
      </w:r>
      <w:r>
        <w:t>f</w:t>
      </w:r>
      <w:r w:rsidRPr="008D4DAB">
        <w:t xml:space="preserve"> the STTM hubs </w:t>
      </w:r>
      <w:r>
        <w:t>is found in</w:t>
      </w:r>
      <w:r w:rsidRPr="008D4DAB">
        <w:t xml:space="preserve"> sections 2 to 4</w:t>
      </w:r>
      <w:r>
        <w:t>.</w:t>
      </w:r>
      <w:r w:rsidRPr="008D4DAB">
        <w:t xml:space="preserve"> </w:t>
      </w:r>
    </w:p>
    <w:p w:rsidR="00D1641C" w:rsidRPr="00D1641C" w:rsidRDefault="006E7E57" w:rsidP="009962A0">
      <w:pPr>
        <w:jc w:val="both"/>
      </w:pPr>
      <w:r w:rsidRPr="008D4DAB">
        <w:t>Section 5 provides analysis on production and pipeline flows on the National Gas Bulletin Board</w:t>
      </w:r>
      <w:r>
        <w:t xml:space="preserve"> </w:t>
      </w:r>
      <w:r w:rsidRPr="00950C55">
        <w:rPr>
          <w:b/>
        </w:rPr>
        <w:t>(</w:t>
      </w:r>
      <w:r>
        <w:rPr>
          <w:b/>
        </w:rPr>
        <w:t>Bulletin Board)</w:t>
      </w:r>
      <w:r w:rsidRPr="008D4DAB">
        <w:t>, as well as gas</w:t>
      </w:r>
      <w:r>
        <w:t xml:space="preserve"> </w:t>
      </w:r>
      <w:r w:rsidRPr="008D4DAB">
        <w:t xml:space="preserve">powered generation </w:t>
      </w:r>
      <w:r w:rsidRPr="00FC4B88">
        <w:rPr>
          <w:b/>
        </w:rPr>
        <w:t>(GPG)</w:t>
      </w:r>
      <w:r>
        <w:t xml:space="preserve"> </w:t>
      </w:r>
      <w:r w:rsidRPr="008D4DAB">
        <w:t>volumes in each state</w:t>
      </w:r>
      <w:r>
        <w:t xml:space="preserve">, and section 6 provides information on the </w:t>
      </w:r>
      <w:r w:rsidR="009962A0">
        <w:t>G</w:t>
      </w:r>
      <w:r>
        <w:t xml:space="preserve">as </w:t>
      </w:r>
      <w:r w:rsidR="009962A0">
        <w:t>S</w:t>
      </w:r>
      <w:r>
        <w:t xml:space="preserve">upply </w:t>
      </w:r>
      <w:r w:rsidR="009962A0">
        <w:t>H</w:t>
      </w:r>
      <w:r>
        <w:t xml:space="preserve">ub </w:t>
      </w:r>
      <w:r w:rsidR="009962A0" w:rsidRPr="009962A0">
        <w:rPr>
          <w:b/>
        </w:rPr>
        <w:t>(GSH)</w:t>
      </w:r>
      <w:r w:rsidR="009962A0">
        <w:t xml:space="preserve"> </w:t>
      </w:r>
      <w:r>
        <w:t>at Wallumbilla</w:t>
      </w:r>
      <w:r w:rsidRPr="008D4DAB">
        <w:t>.</w:t>
      </w:r>
    </w:p>
    <w:p w:rsidR="00BC18FB" w:rsidRPr="006E7E57" w:rsidRDefault="00FE30E3" w:rsidP="00BC18FB">
      <w:pPr>
        <w:pStyle w:val="Heading1"/>
        <w:numPr>
          <w:ilvl w:val="0"/>
          <w:numId w:val="0"/>
        </w:numPr>
        <w:rPr>
          <w:color w:val="2272A3"/>
        </w:rPr>
      </w:pPr>
      <w:r>
        <w:rPr>
          <w:color w:val="2272A3"/>
        </w:rPr>
        <w:t>Detailed market analysis</w:t>
      </w:r>
    </w:p>
    <w:p w:rsidR="00A33244" w:rsidRDefault="00A33244" w:rsidP="001B3823">
      <w:pPr>
        <w:jc w:val="both"/>
      </w:pPr>
      <w:r>
        <w:t>In Victoria, the price reached $6.63/GJ during the first schedule of the 24 December gas day (see figure 1.1). This was the result of injection constraints.</w:t>
      </w:r>
    </w:p>
    <w:p w:rsidR="00A33244" w:rsidRDefault="00A33244" w:rsidP="001B3823">
      <w:pPr>
        <w:jc w:val="both"/>
      </w:pPr>
      <w:r>
        <w:t>On 20, 22 and 24 December, absolute MOS requirements in the Sydney hub exceeded 10 TJ. Decrease MOS requirements on 20 and 24 December were the result of over forecast demand in the hub. The total MOS requirement was higher than the forecast error on 22 December due to counteracting MOS allocations (see figure 2.4).</w:t>
      </w:r>
    </w:p>
    <w:p w:rsidR="00A33244" w:rsidRPr="003A1F03" w:rsidRDefault="00A33244" w:rsidP="001B3823">
      <w:pPr>
        <w:jc w:val="both"/>
      </w:pPr>
      <w:r>
        <w:t xml:space="preserve">Ex ante prices in Adelaide decreased to just below $6/GJ across most of the week, from a maximum of $6.90/GJ on 20 December. This followed high prices observed in the previous weekly report related to higher GPG gas usage and a planned outage at Longford. Ex post prices increased </w:t>
      </w:r>
      <w:r w:rsidR="00636FDB">
        <w:t>above $6/GJ</w:t>
      </w:r>
      <w:r>
        <w:t xml:space="preserve"> on 20, 21 and 25 December ($7.65/GJ, 6.01/GJ and $6.33/GJ respectively).</w:t>
      </w:r>
      <w:r w:rsidRPr="00047340">
        <w:t xml:space="preserve"> </w:t>
      </w:r>
      <w:r>
        <w:t xml:space="preserve">On 20 December, the large positive imbalance (11.3 TJ) was mainly the result of higher than forecast back haul delivered on the </w:t>
      </w:r>
      <w:proofErr w:type="spellStart"/>
      <w:r>
        <w:t>SEAGas</w:t>
      </w:r>
      <w:proofErr w:type="spellEnd"/>
      <w:r>
        <w:t xml:space="preserve"> pipeline. Imbalance quantities on the other days were relatively low (see figure 3.1, ex post quantity).</w:t>
      </w:r>
      <w:r w:rsidR="00636FDB">
        <w:rPr>
          <w:rStyle w:val="FootnoteReference"/>
        </w:rPr>
        <w:footnoteReference w:id="3"/>
      </w:r>
    </w:p>
    <w:p w:rsidR="004420C4" w:rsidRPr="004420C4" w:rsidRDefault="0008491C" w:rsidP="004420C4">
      <w:pPr>
        <w:pStyle w:val="Heading1"/>
        <w:numPr>
          <w:ilvl w:val="0"/>
          <w:numId w:val="0"/>
        </w:numPr>
        <w:spacing w:before="120" w:after="0"/>
        <w:ind w:left="142"/>
        <w:rPr>
          <w:color w:val="FFFFFF"/>
          <w:sz w:val="36"/>
        </w:rPr>
      </w:pPr>
      <w:r>
        <w:rPr>
          <w:color w:val="FFFFFF" w:themeColor="background1"/>
          <w:sz w:val="36"/>
          <w:szCs w:val="36"/>
        </w:rPr>
        <w:br w:type="page"/>
      </w:r>
      <w:r w:rsidR="0059045B">
        <w:rPr>
          <w:color w:val="FFFFFF"/>
          <w:sz w:val="36"/>
        </w:rPr>
        <w:lastRenderedPageBreak/>
        <w:pict>
          <v:shape id="_x0000_s1075" type="#_x0000_t75" alt="Australian Energy Regulator logo" style="position:absolute;left:0;text-align:left;margin-left:.95pt;margin-top:-.3pt;width:476.25pt;height:77.25pt;z-index:-251652096;mso-position-horizontal-relative:text;mso-position-vertical-relative:text">
            <v:imagedata r:id="rId9" o:title="AER-header for report templates"/>
          </v:shape>
        </w:pict>
      </w:r>
      <w:r w:rsidR="0059045B">
        <w:rPr>
          <w:color w:val="FFFFFF"/>
          <w:sz w:val="36"/>
        </w:rPr>
        <w:pict>
          <v:shape id="_x0000_s1097" type="#_x0000_t75" style="position:absolute;left:0;text-align:left;margin-left:720.75pt;margin-top:282.05pt;width:386.3pt;height:299.3pt;z-index:251669504;mso-position-horizontal-relative:text;mso-position-vertical-relative:text" fillcolor="black" strokecolor="white" strokeweight="3e-5mm">
            <v:imagedata r:id="rId10" o:title=""/>
            <o:lock v:ext="edit" rotation="t"/>
          </v:shape>
        </w:pict>
      </w:r>
      <w:r w:rsidR="004420C4" w:rsidRPr="004420C4">
        <w:rPr>
          <w:color w:val="FFFFFF"/>
          <w:sz w:val="36"/>
        </w:rPr>
        <w:t>Detailed Market Figures</w:t>
      </w:r>
    </w:p>
    <w:p w:rsidR="004420C4" w:rsidRDefault="004420C4" w:rsidP="004420C4"/>
    <w:p w:rsidR="004420C4" w:rsidRDefault="004420C4" w:rsidP="004420C4"/>
    <w:p w:rsidR="004420C4" w:rsidRDefault="004420C4" w:rsidP="004420C4"/>
    <w:p w:rsidR="004420C4" w:rsidRPr="00AC3047" w:rsidRDefault="009D061B" w:rsidP="004420C4">
      <w:pPr>
        <w:pStyle w:val="Heading2"/>
        <w:numPr>
          <w:ilvl w:val="0"/>
          <w:numId w:val="0"/>
        </w:numPr>
        <w:rPr>
          <w:i w:val="0"/>
        </w:rPr>
      </w:pPr>
      <w:r>
        <w:rPr>
          <w:i w:val="0"/>
          <w:sz w:val="36"/>
          <w:szCs w:val="36"/>
        </w:rPr>
        <w:t>20</w:t>
      </w:r>
      <w:r w:rsidR="00A71E47">
        <w:rPr>
          <w:i w:val="0"/>
          <w:sz w:val="36"/>
          <w:szCs w:val="36"/>
        </w:rPr>
        <w:t xml:space="preserve"> – </w:t>
      </w:r>
      <w:r>
        <w:rPr>
          <w:i w:val="0"/>
          <w:sz w:val="36"/>
          <w:szCs w:val="36"/>
        </w:rPr>
        <w:t>26</w:t>
      </w:r>
      <w:r w:rsidR="00A71E47">
        <w:rPr>
          <w:i w:val="0"/>
          <w:sz w:val="36"/>
          <w:szCs w:val="36"/>
        </w:rPr>
        <w:t xml:space="preserve"> December 2015</w:t>
      </w:r>
    </w:p>
    <w:p w:rsidR="004420C4" w:rsidRDefault="004420C4" w:rsidP="004420C4">
      <w:pPr>
        <w:pStyle w:val="Heading3"/>
        <w:ind w:firstLine="0"/>
      </w:pPr>
      <w:r w:rsidRPr="00004A63">
        <w:rPr>
          <w:color w:val="2272A3"/>
          <w:sz w:val="32"/>
          <w:szCs w:val="32"/>
        </w:rPr>
        <w:t>Victorian Declared Wholesale Market</w:t>
      </w:r>
    </w:p>
    <w:p w:rsidR="00004A63" w:rsidRPr="00EF58A8" w:rsidRDefault="00EF58A8" w:rsidP="00345444">
      <w:pPr>
        <w:jc w:val="both"/>
      </w:pPr>
      <w:r w:rsidRPr="00EF58A8">
        <w:t>In the Victorian gas market, gas is priced five times daily at 6 am, 10 am, 2 pm, 6 pm and 10 pm. The imbalance weighted price on a gas day tends towards the 6 am price</w:t>
      </w:r>
      <w:r w:rsidRPr="00EF58A8">
        <w:rPr>
          <w:rStyle w:val="FootnoteReference"/>
        </w:rPr>
        <w:footnoteReference w:id="4"/>
      </w:r>
      <w:r w:rsidRPr="00EF58A8">
        <w:t xml:space="preserve"> which is the schedule at which most gas is traded.</w:t>
      </w:r>
      <w:r w:rsidR="00004A63" w:rsidRPr="00EF58A8">
        <w:t xml:space="preserve"> </w:t>
      </w:r>
    </w:p>
    <w:p w:rsidR="00004A63" w:rsidRPr="00EF58A8" w:rsidRDefault="00EF58A8" w:rsidP="00345444">
      <w:pPr>
        <w:jc w:val="both"/>
      </w:pPr>
      <w:r w:rsidRPr="00EF58A8">
        <w:t>The main drivers</w:t>
      </w:r>
      <w:r w:rsidRPr="00EF58A8">
        <w:rPr>
          <w:rStyle w:val="FootnoteReference"/>
        </w:rPr>
        <w:footnoteReference w:id="5"/>
      </w:r>
      <w:r w:rsidRPr="00EF58A8">
        <w:t xml:space="preserve"> of price are demand forecasts and bids to inject or withdraw gas from the market.</w:t>
      </w:r>
      <w:r w:rsidRPr="00EF58A8">
        <w:rPr>
          <w:rStyle w:val="FootnoteReference"/>
        </w:rPr>
        <w:t xml:space="preserve"> </w:t>
      </w:r>
      <w:r w:rsidRPr="00EF58A8">
        <w:t>Figures 1.1 to 1.4 below show the daily prices, demand forecasts</w:t>
      </w:r>
      <w:r w:rsidRPr="00EF58A8">
        <w:rPr>
          <w:rStyle w:val="FootnoteReference"/>
        </w:rPr>
        <w:footnoteReference w:id="6"/>
      </w:r>
      <w:r w:rsidRPr="00EF58A8">
        <w:t>, and injection/withdrawal bids for each of the five pricing schedules. Figure 1.5 provides information on which system injection points were used to deliver gas, in turn indicating the location and relative quantity of gas injection bids cleared through the market.</w:t>
      </w:r>
    </w:p>
    <w:p w:rsidR="00BC18FB" w:rsidRPr="00DD0358" w:rsidRDefault="00004A63" w:rsidP="00FF0D8A">
      <w:pPr>
        <w:pStyle w:val="Heading4"/>
        <w:ind w:hanging="338"/>
        <w:rPr>
          <w:color w:val="2272A3"/>
          <w:sz w:val="24"/>
        </w:rPr>
      </w:pPr>
      <w:r w:rsidRPr="00DD0358">
        <w:rPr>
          <w:color w:val="2272A3"/>
          <w:sz w:val="24"/>
        </w:rPr>
        <w:t>Prices by schedule</w:t>
      </w:r>
    </w:p>
    <w:p w:rsidR="00362B9A" w:rsidRPr="00362B9A" w:rsidRDefault="006B5D41" w:rsidP="00362B9A">
      <w:r>
        <w:pict>
          <v:shape id="_x0000_i1025" type="#_x0000_t75" alt="Figure 1.1 shows the five Victorian schedule prices for each day this week. The marker indicates the daily imbalance weighted average price for each day. For a more detailed description of this figure, please refer to the user guide." style="width:476.15pt;height:137.2pt">
            <v:imagedata r:id="rId13" o:title=""/>
          </v:shape>
        </w:pict>
      </w:r>
    </w:p>
    <w:p w:rsidR="00BC18FB" w:rsidRPr="00DD0358" w:rsidRDefault="00004A63" w:rsidP="00FF0D8A">
      <w:pPr>
        <w:pStyle w:val="Heading4"/>
        <w:ind w:hanging="338"/>
        <w:rPr>
          <w:color w:val="2272A3"/>
          <w:sz w:val="24"/>
        </w:rPr>
      </w:pPr>
      <w:r w:rsidRPr="00DD0358">
        <w:rPr>
          <w:color w:val="2272A3"/>
          <w:sz w:val="24"/>
        </w:rPr>
        <w:t>Demand forecasts</w:t>
      </w:r>
    </w:p>
    <w:p w:rsidR="00362B9A" w:rsidRPr="00362B9A" w:rsidRDefault="006B5D41" w:rsidP="00362B9A">
      <w:r>
        <w:pict>
          <v:shape id="_x0000_i1026" type="#_x0000_t75" alt="Figure 1.2 shows the demand forecast used to calculate the five daily schedule prices for this week. For a more detailed description of this figure, please refer to the user guide." style="width:476.15pt;height:177.3pt">
            <v:imagedata r:id="rId14" o:title=""/>
          </v:shape>
        </w:pict>
      </w:r>
    </w:p>
    <w:p w:rsidR="00BC18FB" w:rsidRPr="00DD0358" w:rsidRDefault="00004A63" w:rsidP="00FF0D8A">
      <w:pPr>
        <w:pStyle w:val="Heading4"/>
        <w:ind w:hanging="338"/>
        <w:rPr>
          <w:color w:val="2272A3"/>
          <w:sz w:val="24"/>
        </w:rPr>
      </w:pPr>
      <w:r w:rsidRPr="00DD0358">
        <w:rPr>
          <w:color w:val="2272A3"/>
          <w:sz w:val="24"/>
        </w:rPr>
        <w:lastRenderedPageBreak/>
        <w:t>Injection bids by price bands</w:t>
      </w:r>
    </w:p>
    <w:p w:rsidR="00362B9A" w:rsidRPr="00362B9A" w:rsidRDefault="006B5D41" w:rsidP="00362B9A">
      <w:r>
        <w:pict>
          <v:shape id="_x0000_i1027" type="#_x0000_t75" alt="Figure 1.3 shows the injection bids within certain price bands for each trading interval in Victoria this week. For a more detailed description of this figure, please refer to the user guide." style="width:476.15pt;height:205.8pt">
            <v:imagedata r:id="rId15" o:title=""/>
          </v:shape>
        </w:pict>
      </w:r>
    </w:p>
    <w:p w:rsidR="00BC18FB" w:rsidRPr="00DD0358" w:rsidRDefault="00362B9A" w:rsidP="00FF0D8A">
      <w:pPr>
        <w:pStyle w:val="Heading4"/>
        <w:ind w:hanging="338"/>
        <w:rPr>
          <w:color w:val="2272A3"/>
          <w:sz w:val="24"/>
        </w:rPr>
      </w:pPr>
      <w:r w:rsidRPr="00DD0358">
        <w:rPr>
          <w:color w:val="2272A3"/>
          <w:sz w:val="24"/>
        </w:rPr>
        <w:t>Withdrawal bids by price bands</w:t>
      </w:r>
    </w:p>
    <w:p w:rsidR="00362B9A" w:rsidRPr="00362B9A" w:rsidRDefault="006B5D41" w:rsidP="00362B9A">
      <w:r>
        <w:pict>
          <v:shape id="_x0000_i1028" type="#_x0000_t75" alt="Figure 1.4 shows the withdrawal bids within certain price bands for each trading interval in Victoria this week. For a more detailed description of this figure, please refer to the user guide." style="width:476.15pt;height:163pt">
            <v:imagedata r:id="rId16" o:title=""/>
          </v:shape>
        </w:pict>
      </w:r>
    </w:p>
    <w:p w:rsidR="00BC18FB" w:rsidRPr="00DD0358" w:rsidRDefault="00362B9A" w:rsidP="00FF0D8A">
      <w:pPr>
        <w:pStyle w:val="Heading4"/>
        <w:ind w:hanging="338"/>
        <w:rPr>
          <w:color w:val="2272A3"/>
          <w:sz w:val="24"/>
        </w:rPr>
      </w:pPr>
      <w:r w:rsidRPr="00DD0358">
        <w:rPr>
          <w:color w:val="2272A3"/>
          <w:sz w:val="24"/>
        </w:rPr>
        <w:t>Metered Injections by System Injection Point</w:t>
      </w:r>
    </w:p>
    <w:p w:rsidR="00BC18FB" w:rsidRDefault="006B5D41" w:rsidP="00BC18FB">
      <w:r>
        <w:pict>
          <v:shape id="_x0000_i1029" type="#_x0000_t75" alt="Figure 1.5 shows the metered injections sorted by facility for each 4 hour interval in Victoria this week. For a more detailed description of this figure, please refer to the user guide." style="width:476.15pt;height:177.95pt">
            <v:imagedata r:id="rId17" o:title=""/>
          </v:shape>
        </w:pict>
      </w:r>
    </w:p>
    <w:p w:rsidR="00345444" w:rsidRPr="00EF58A8" w:rsidRDefault="00EF58A8" w:rsidP="00EF58A8">
      <w:pPr>
        <w:ind w:left="720"/>
        <w:rPr>
          <w:sz w:val="18"/>
          <w:szCs w:val="18"/>
        </w:rPr>
      </w:pPr>
      <w:r w:rsidRPr="00EF58A8">
        <w:rPr>
          <w:sz w:val="18"/>
          <w:szCs w:val="18"/>
        </w:rPr>
        <w:t>Note that in figure 1.5, the last 8</w:t>
      </w:r>
      <w:r w:rsidRPr="00EF58A8">
        <w:rPr>
          <w:sz w:val="18"/>
          <w:szCs w:val="18"/>
        </w:rPr>
        <w:noBreakHyphen/>
        <w:t>hour schedule from 10 pm has been separated into two 4</w:t>
      </w:r>
      <w:r w:rsidRPr="00EF58A8">
        <w:rPr>
          <w:sz w:val="18"/>
          <w:szCs w:val="18"/>
        </w:rPr>
        <w:noBreakHyphen/>
        <w:t>hour blocks to provide a consistent comparison with earlier scheduled injection volumes.</w:t>
      </w:r>
    </w:p>
    <w:p w:rsidR="00345444" w:rsidRDefault="00345444" w:rsidP="00BC18FB"/>
    <w:p w:rsidR="00EF58A8" w:rsidRPr="00BC18FB" w:rsidRDefault="00EF58A8" w:rsidP="00BC18FB"/>
    <w:p w:rsidR="00BC18FB" w:rsidRDefault="00BC18FB" w:rsidP="00BC18FB">
      <w:pPr>
        <w:pStyle w:val="Heading3"/>
        <w:ind w:firstLine="0"/>
        <w:rPr>
          <w:color w:val="2272A3"/>
          <w:sz w:val="32"/>
          <w:szCs w:val="32"/>
        </w:rPr>
      </w:pPr>
      <w:r w:rsidRPr="00004A63">
        <w:rPr>
          <w:color w:val="2272A3"/>
          <w:sz w:val="32"/>
          <w:szCs w:val="32"/>
        </w:rPr>
        <w:lastRenderedPageBreak/>
        <w:t>S</w:t>
      </w:r>
      <w:r w:rsidR="00362B9A">
        <w:rPr>
          <w:color w:val="2272A3"/>
          <w:sz w:val="32"/>
          <w:szCs w:val="32"/>
        </w:rPr>
        <w:t>ydney STTM</w:t>
      </w:r>
    </w:p>
    <w:p w:rsidR="00EF58A8" w:rsidRPr="00EF58A8" w:rsidRDefault="00EF58A8" w:rsidP="00EF58A8">
      <w:pPr>
        <w:jc w:val="both"/>
      </w:pPr>
      <w:r>
        <w:t xml:space="preserve">In each </w:t>
      </w:r>
      <w:r w:rsidRPr="00EF58A8">
        <w:t>STTM hub, a daily gas price is calculated before the gas day (the ex ante price) and after the gas day (the ex post price). The main drivers of these prices are participant demand forecasts, and offers to inject or bids to withdraw gas traded at the hub.</w:t>
      </w:r>
      <w:r w:rsidRPr="00EF58A8">
        <w:rPr>
          <w:rStyle w:val="FootnoteReference"/>
        </w:rPr>
        <w:footnoteReference w:id="7"/>
      </w:r>
      <w:r w:rsidRPr="00EF58A8">
        <w:t xml:space="preserve"> Divergences in ex ante and ex post prices for a gas day may occur due to differences in scheduled (forecast) and allocated (actual) quantities.</w:t>
      </w:r>
      <w:r>
        <w:t xml:space="preserve"> Pipeline acronyms are defined in the </w:t>
      </w:r>
      <w:hyperlink r:id="rId18" w:history="1">
        <w:r w:rsidR="00586C57">
          <w:rPr>
            <w:rStyle w:val="Hyperlink"/>
          </w:rPr>
          <w:t>user guide</w:t>
        </w:r>
      </w:hyperlink>
      <w:r w:rsidR="00586C57">
        <w:t>.</w:t>
      </w:r>
    </w:p>
    <w:p w:rsidR="00EF58A8" w:rsidRPr="00EF58A8" w:rsidRDefault="00EF58A8" w:rsidP="00EF58A8">
      <w:pPr>
        <w:pStyle w:val="AERbodytext"/>
        <w:spacing w:before="120" w:after="120" w:line="240" w:lineRule="auto"/>
        <w:jc w:val="both"/>
      </w:pPr>
      <w:r w:rsidRPr="00EF58A8">
        <w:t>Market Operator Service balancing gas (MOS) payments arise because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sidRPr="00EF58A8">
        <w:rPr>
          <w:rStyle w:val="FootnoteReference"/>
        </w:rPr>
        <w:footnoteReference w:id="8"/>
      </w:r>
      <w:r w:rsidRPr="00EF58A8">
        <w:t xml:space="preserve"> </w:t>
      </w:r>
    </w:p>
    <w:p w:rsidR="00362B9A" w:rsidRPr="00362B9A" w:rsidRDefault="00EF58A8" w:rsidP="00EF58A8">
      <w:pPr>
        <w:jc w:val="both"/>
      </w:pPr>
      <w:r w:rsidRPr="00EF58A8">
        <w:t>Figures 2.1 and 2.2 show daily prices, demand, offers and bids. Figures 2.3 and 2.4 show gas scheduled and allocated on pipelines to supply the hub, indicating</w:t>
      </w:r>
      <w:r w:rsidRPr="00442756">
        <w:t xml:space="preserve"> the location and relative quantity of gas offers across pipelines and also the amount of MOS allocated for each pipeline.</w:t>
      </w:r>
    </w:p>
    <w:p w:rsidR="00BC18FB" w:rsidRDefault="00362B9A" w:rsidP="00362B9A">
      <w:pPr>
        <w:pStyle w:val="Heading4"/>
        <w:ind w:left="340" w:hanging="340"/>
        <w:rPr>
          <w:color w:val="2272A3"/>
          <w:sz w:val="24"/>
          <w:szCs w:val="24"/>
        </w:rPr>
      </w:pPr>
      <w:r w:rsidRPr="00362B9A">
        <w:rPr>
          <w:color w:val="2272A3"/>
          <w:sz w:val="24"/>
          <w:szCs w:val="24"/>
        </w:rPr>
        <w:t>SYD STTM daily ex ante and ex post prices and quantities</w:t>
      </w:r>
    </w:p>
    <w:tbl>
      <w:tblPr>
        <w:tblStyle w:val="AERTable-Text0"/>
        <w:tblW w:w="4851" w:type="pct"/>
        <w:tblLook w:val="04A0" w:firstRow="1" w:lastRow="0" w:firstColumn="1" w:lastColumn="0" w:noHBand="0" w:noVBand="1"/>
      </w:tblPr>
      <w:tblGrid>
        <w:gridCol w:w="2079"/>
        <w:gridCol w:w="1128"/>
        <w:gridCol w:w="989"/>
        <w:gridCol w:w="1145"/>
        <w:gridCol w:w="1006"/>
        <w:gridCol w:w="992"/>
        <w:gridCol w:w="987"/>
        <w:gridCol w:w="1125"/>
      </w:tblGrid>
      <w:tr w:rsidR="00F114D5" w:rsidRPr="00405CDE" w:rsidTr="00F114D5">
        <w:trPr>
          <w:cnfStyle w:val="100000000000" w:firstRow="1" w:lastRow="0" w:firstColumn="0" w:lastColumn="0" w:oddVBand="0" w:evenVBand="0" w:oddHBand="0" w:evenHBand="0" w:firstRowFirstColumn="0" w:firstRowLastColumn="0" w:lastRowFirstColumn="0" w:lastRowLastColumn="0"/>
          <w:tblHeader/>
        </w:trPr>
        <w:tc>
          <w:tcPr>
            <w:tcW w:w="1100" w:type="pct"/>
            <w:tcBorders>
              <w:bottom w:val="nil"/>
            </w:tcBorders>
            <w:hideMark/>
          </w:tcPr>
          <w:p w:rsidR="00F114D5" w:rsidRPr="00DC24BF" w:rsidRDefault="00F114D5" w:rsidP="007A51E1">
            <w:pPr>
              <w:pStyle w:val="TableHeading"/>
              <w:spacing w:before="0" w:after="0"/>
              <w:jc w:val="center"/>
              <w:rPr>
                <w:rFonts w:cs="Arial"/>
                <w:sz w:val="20"/>
                <w:szCs w:val="20"/>
              </w:rPr>
            </w:pPr>
          </w:p>
        </w:tc>
        <w:tc>
          <w:tcPr>
            <w:tcW w:w="597"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Sun</w:t>
            </w:r>
          </w:p>
        </w:tc>
        <w:tc>
          <w:tcPr>
            <w:tcW w:w="523"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Mon</w:t>
            </w:r>
          </w:p>
        </w:tc>
        <w:tc>
          <w:tcPr>
            <w:tcW w:w="606"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Tue</w:t>
            </w:r>
          </w:p>
        </w:tc>
        <w:tc>
          <w:tcPr>
            <w:tcW w:w="532"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Wed</w:t>
            </w:r>
          </w:p>
        </w:tc>
        <w:tc>
          <w:tcPr>
            <w:tcW w:w="525"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Thu</w:t>
            </w:r>
          </w:p>
        </w:tc>
        <w:tc>
          <w:tcPr>
            <w:tcW w:w="522"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Fri</w:t>
            </w:r>
          </w:p>
        </w:tc>
        <w:tc>
          <w:tcPr>
            <w:tcW w:w="595"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Sat</w:t>
            </w:r>
          </w:p>
        </w:tc>
      </w:tr>
      <w:tr w:rsidR="00DA0E69" w:rsidRPr="00405CDE" w:rsidTr="00F114D5">
        <w:trPr>
          <w:trHeight w:val="510"/>
        </w:trPr>
        <w:tc>
          <w:tcPr>
            <w:tcW w:w="1100" w:type="pct"/>
            <w:tcBorders>
              <w:top w:val="nil"/>
              <w:bottom w:val="nil"/>
            </w:tcBorders>
            <w:vAlign w:val="center"/>
          </w:tcPr>
          <w:p w:rsidR="00DA0E69" w:rsidRDefault="00DA0E69">
            <w:pPr>
              <w:rPr>
                <w:rFonts w:cs="Arial"/>
                <w:sz w:val="20"/>
                <w:szCs w:val="20"/>
              </w:rPr>
            </w:pPr>
            <w:r>
              <w:rPr>
                <w:rFonts w:cs="Arial"/>
                <w:sz w:val="20"/>
                <w:szCs w:val="20"/>
              </w:rPr>
              <w:t>Ex ante price ($/GJ)</w:t>
            </w:r>
          </w:p>
        </w:tc>
        <w:tc>
          <w:tcPr>
            <w:tcW w:w="597" w:type="pct"/>
            <w:tcBorders>
              <w:top w:val="nil"/>
              <w:bottom w:val="nil"/>
            </w:tcBorders>
            <w:vAlign w:val="center"/>
          </w:tcPr>
          <w:p w:rsidR="00DA0E69" w:rsidRDefault="00DA0E69">
            <w:pPr>
              <w:jc w:val="center"/>
              <w:rPr>
                <w:rFonts w:cs="Arial"/>
                <w:sz w:val="20"/>
                <w:szCs w:val="20"/>
              </w:rPr>
            </w:pPr>
            <w:r>
              <w:rPr>
                <w:rFonts w:cs="Arial"/>
                <w:sz w:val="20"/>
                <w:szCs w:val="20"/>
              </w:rPr>
              <w:t>5.43</w:t>
            </w:r>
          </w:p>
        </w:tc>
        <w:tc>
          <w:tcPr>
            <w:tcW w:w="523" w:type="pct"/>
            <w:tcBorders>
              <w:top w:val="nil"/>
              <w:bottom w:val="nil"/>
            </w:tcBorders>
            <w:vAlign w:val="center"/>
          </w:tcPr>
          <w:p w:rsidR="00DA0E69" w:rsidRDefault="00DA0E69">
            <w:pPr>
              <w:jc w:val="center"/>
              <w:rPr>
                <w:rFonts w:cs="Arial"/>
                <w:sz w:val="20"/>
                <w:szCs w:val="20"/>
              </w:rPr>
            </w:pPr>
            <w:r>
              <w:rPr>
                <w:rFonts w:cs="Arial"/>
                <w:sz w:val="20"/>
                <w:szCs w:val="20"/>
              </w:rPr>
              <w:t>5.45</w:t>
            </w:r>
          </w:p>
        </w:tc>
        <w:tc>
          <w:tcPr>
            <w:tcW w:w="606" w:type="pct"/>
            <w:tcBorders>
              <w:top w:val="nil"/>
              <w:bottom w:val="nil"/>
            </w:tcBorders>
            <w:vAlign w:val="center"/>
          </w:tcPr>
          <w:p w:rsidR="00DA0E69" w:rsidRDefault="00DA0E69">
            <w:pPr>
              <w:jc w:val="center"/>
              <w:rPr>
                <w:rFonts w:cs="Arial"/>
                <w:sz w:val="20"/>
                <w:szCs w:val="20"/>
              </w:rPr>
            </w:pPr>
            <w:r>
              <w:rPr>
                <w:rFonts w:cs="Arial"/>
                <w:sz w:val="20"/>
                <w:szCs w:val="20"/>
              </w:rPr>
              <w:t>5.40</w:t>
            </w:r>
          </w:p>
        </w:tc>
        <w:tc>
          <w:tcPr>
            <w:tcW w:w="532" w:type="pct"/>
            <w:tcBorders>
              <w:top w:val="nil"/>
              <w:bottom w:val="nil"/>
            </w:tcBorders>
            <w:vAlign w:val="center"/>
          </w:tcPr>
          <w:p w:rsidR="00DA0E69" w:rsidRDefault="00DA0E69">
            <w:pPr>
              <w:jc w:val="center"/>
              <w:rPr>
                <w:rFonts w:cs="Arial"/>
                <w:sz w:val="20"/>
                <w:szCs w:val="20"/>
              </w:rPr>
            </w:pPr>
            <w:r>
              <w:rPr>
                <w:rFonts w:cs="Arial"/>
                <w:sz w:val="20"/>
                <w:szCs w:val="20"/>
              </w:rPr>
              <w:t>5.70</w:t>
            </w:r>
          </w:p>
        </w:tc>
        <w:tc>
          <w:tcPr>
            <w:tcW w:w="525" w:type="pct"/>
            <w:tcBorders>
              <w:top w:val="nil"/>
              <w:bottom w:val="nil"/>
            </w:tcBorders>
            <w:vAlign w:val="center"/>
          </w:tcPr>
          <w:p w:rsidR="00DA0E69" w:rsidRDefault="00DA0E69">
            <w:pPr>
              <w:jc w:val="center"/>
              <w:rPr>
                <w:rFonts w:cs="Arial"/>
                <w:sz w:val="20"/>
                <w:szCs w:val="20"/>
              </w:rPr>
            </w:pPr>
            <w:r>
              <w:rPr>
                <w:rFonts w:cs="Arial"/>
                <w:sz w:val="20"/>
                <w:szCs w:val="20"/>
              </w:rPr>
              <w:t>5.70</w:t>
            </w:r>
          </w:p>
        </w:tc>
        <w:tc>
          <w:tcPr>
            <w:tcW w:w="522" w:type="pct"/>
            <w:tcBorders>
              <w:top w:val="nil"/>
              <w:bottom w:val="nil"/>
            </w:tcBorders>
            <w:vAlign w:val="center"/>
          </w:tcPr>
          <w:p w:rsidR="00DA0E69" w:rsidRDefault="00DA0E69">
            <w:pPr>
              <w:jc w:val="center"/>
              <w:rPr>
                <w:rFonts w:cs="Arial"/>
                <w:sz w:val="20"/>
                <w:szCs w:val="20"/>
              </w:rPr>
            </w:pPr>
            <w:r>
              <w:rPr>
                <w:rFonts w:cs="Arial"/>
                <w:sz w:val="20"/>
                <w:szCs w:val="20"/>
              </w:rPr>
              <w:t>5.86</w:t>
            </w:r>
          </w:p>
        </w:tc>
        <w:tc>
          <w:tcPr>
            <w:tcW w:w="595" w:type="pct"/>
            <w:tcBorders>
              <w:top w:val="nil"/>
              <w:bottom w:val="nil"/>
            </w:tcBorders>
            <w:vAlign w:val="center"/>
          </w:tcPr>
          <w:p w:rsidR="00DA0E69" w:rsidRDefault="00DA0E69">
            <w:pPr>
              <w:jc w:val="center"/>
              <w:rPr>
                <w:rFonts w:cs="Arial"/>
                <w:sz w:val="20"/>
                <w:szCs w:val="20"/>
              </w:rPr>
            </w:pPr>
            <w:r>
              <w:rPr>
                <w:rFonts w:cs="Arial"/>
                <w:sz w:val="20"/>
                <w:szCs w:val="20"/>
              </w:rPr>
              <w:t>5.50</w:t>
            </w:r>
          </w:p>
        </w:tc>
      </w:tr>
      <w:tr w:rsidR="00DA0E69" w:rsidRPr="00405CDE" w:rsidTr="00F114D5">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nil"/>
            </w:tcBorders>
            <w:vAlign w:val="center"/>
          </w:tcPr>
          <w:p w:rsidR="00DA0E69" w:rsidRDefault="00DA0E69">
            <w:pPr>
              <w:rPr>
                <w:rFonts w:cs="Arial"/>
                <w:sz w:val="20"/>
                <w:szCs w:val="20"/>
              </w:rPr>
            </w:pPr>
            <w:r>
              <w:rPr>
                <w:rFonts w:cs="Arial"/>
                <w:sz w:val="20"/>
                <w:szCs w:val="20"/>
              </w:rPr>
              <w:t>Ex ante quantity (TJ)</w:t>
            </w:r>
          </w:p>
        </w:tc>
        <w:tc>
          <w:tcPr>
            <w:tcW w:w="597" w:type="pct"/>
            <w:tcBorders>
              <w:top w:val="nil"/>
              <w:bottom w:val="nil"/>
            </w:tcBorders>
            <w:vAlign w:val="center"/>
          </w:tcPr>
          <w:p w:rsidR="00DA0E69" w:rsidRDefault="00DA0E69">
            <w:pPr>
              <w:jc w:val="center"/>
              <w:rPr>
                <w:rFonts w:cs="Arial"/>
                <w:sz w:val="20"/>
                <w:szCs w:val="20"/>
              </w:rPr>
            </w:pPr>
            <w:r>
              <w:rPr>
                <w:rFonts w:cs="Arial"/>
                <w:sz w:val="20"/>
                <w:szCs w:val="20"/>
              </w:rPr>
              <w:t>194</w:t>
            </w:r>
          </w:p>
        </w:tc>
        <w:tc>
          <w:tcPr>
            <w:tcW w:w="523" w:type="pct"/>
            <w:tcBorders>
              <w:top w:val="nil"/>
              <w:bottom w:val="nil"/>
            </w:tcBorders>
            <w:vAlign w:val="center"/>
          </w:tcPr>
          <w:p w:rsidR="00DA0E69" w:rsidRDefault="00DA0E69">
            <w:pPr>
              <w:jc w:val="center"/>
              <w:rPr>
                <w:rFonts w:cs="Arial"/>
                <w:sz w:val="20"/>
                <w:szCs w:val="20"/>
              </w:rPr>
            </w:pPr>
            <w:r>
              <w:rPr>
                <w:rFonts w:cs="Arial"/>
                <w:sz w:val="20"/>
                <w:szCs w:val="20"/>
              </w:rPr>
              <w:t>207</w:t>
            </w:r>
          </w:p>
        </w:tc>
        <w:tc>
          <w:tcPr>
            <w:tcW w:w="606" w:type="pct"/>
            <w:tcBorders>
              <w:top w:val="nil"/>
              <w:bottom w:val="nil"/>
            </w:tcBorders>
            <w:vAlign w:val="center"/>
          </w:tcPr>
          <w:p w:rsidR="00DA0E69" w:rsidRDefault="00DA0E69">
            <w:pPr>
              <w:jc w:val="center"/>
              <w:rPr>
                <w:rFonts w:cs="Arial"/>
                <w:sz w:val="20"/>
                <w:szCs w:val="20"/>
              </w:rPr>
            </w:pPr>
            <w:r>
              <w:rPr>
                <w:rFonts w:cs="Arial"/>
                <w:sz w:val="20"/>
                <w:szCs w:val="20"/>
              </w:rPr>
              <w:t>210</w:t>
            </w:r>
          </w:p>
        </w:tc>
        <w:tc>
          <w:tcPr>
            <w:tcW w:w="532" w:type="pct"/>
            <w:tcBorders>
              <w:top w:val="nil"/>
              <w:bottom w:val="nil"/>
            </w:tcBorders>
            <w:vAlign w:val="center"/>
          </w:tcPr>
          <w:p w:rsidR="00DA0E69" w:rsidRDefault="00DA0E69">
            <w:pPr>
              <w:jc w:val="center"/>
              <w:rPr>
                <w:rFonts w:cs="Arial"/>
                <w:sz w:val="20"/>
                <w:szCs w:val="20"/>
              </w:rPr>
            </w:pPr>
            <w:r>
              <w:rPr>
                <w:rFonts w:cs="Arial"/>
                <w:sz w:val="20"/>
                <w:szCs w:val="20"/>
              </w:rPr>
              <w:t>218</w:t>
            </w:r>
          </w:p>
        </w:tc>
        <w:tc>
          <w:tcPr>
            <w:tcW w:w="525" w:type="pct"/>
            <w:tcBorders>
              <w:top w:val="nil"/>
              <w:bottom w:val="nil"/>
            </w:tcBorders>
            <w:vAlign w:val="center"/>
          </w:tcPr>
          <w:p w:rsidR="00DA0E69" w:rsidRDefault="00DA0E69">
            <w:pPr>
              <w:jc w:val="center"/>
              <w:rPr>
                <w:rFonts w:cs="Arial"/>
                <w:sz w:val="20"/>
                <w:szCs w:val="20"/>
              </w:rPr>
            </w:pPr>
            <w:r>
              <w:rPr>
                <w:rFonts w:cs="Arial"/>
                <w:sz w:val="20"/>
                <w:szCs w:val="20"/>
              </w:rPr>
              <w:t>204</w:t>
            </w:r>
          </w:p>
        </w:tc>
        <w:tc>
          <w:tcPr>
            <w:tcW w:w="522" w:type="pct"/>
            <w:tcBorders>
              <w:top w:val="nil"/>
              <w:bottom w:val="nil"/>
            </w:tcBorders>
            <w:vAlign w:val="center"/>
          </w:tcPr>
          <w:p w:rsidR="00DA0E69" w:rsidRDefault="00DA0E69">
            <w:pPr>
              <w:jc w:val="center"/>
              <w:rPr>
                <w:rFonts w:cs="Arial"/>
                <w:sz w:val="20"/>
                <w:szCs w:val="20"/>
              </w:rPr>
            </w:pPr>
            <w:r>
              <w:rPr>
                <w:rFonts w:cs="Arial"/>
                <w:sz w:val="20"/>
                <w:szCs w:val="20"/>
              </w:rPr>
              <w:t>169</w:t>
            </w:r>
          </w:p>
        </w:tc>
        <w:tc>
          <w:tcPr>
            <w:tcW w:w="595" w:type="pct"/>
            <w:tcBorders>
              <w:top w:val="nil"/>
              <w:bottom w:val="nil"/>
            </w:tcBorders>
            <w:vAlign w:val="center"/>
          </w:tcPr>
          <w:p w:rsidR="00DA0E69" w:rsidRDefault="00DA0E69">
            <w:pPr>
              <w:jc w:val="center"/>
              <w:rPr>
                <w:rFonts w:cs="Arial"/>
                <w:sz w:val="20"/>
                <w:szCs w:val="20"/>
              </w:rPr>
            </w:pPr>
            <w:r>
              <w:rPr>
                <w:rFonts w:cs="Arial"/>
                <w:sz w:val="20"/>
                <w:szCs w:val="20"/>
              </w:rPr>
              <w:t>166</w:t>
            </w:r>
          </w:p>
        </w:tc>
      </w:tr>
      <w:tr w:rsidR="00DA0E69" w:rsidRPr="00405CDE" w:rsidTr="00F114D5">
        <w:trPr>
          <w:trHeight w:val="510"/>
        </w:trPr>
        <w:tc>
          <w:tcPr>
            <w:tcW w:w="1100" w:type="pct"/>
            <w:tcBorders>
              <w:top w:val="nil"/>
              <w:bottom w:val="nil"/>
            </w:tcBorders>
            <w:vAlign w:val="center"/>
          </w:tcPr>
          <w:p w:rsidR="00DA0E69" w:rsidRDefault="00DA0E69">
            <w:pPr>
              <w:rPr>
                <w:rFonts w:cs="Arial"/>
                <w:sz w:val="20"/>
                <w:szCs w:val="20"/>
              </w:rPr>
            </w:pPr>
            <w:r>
              <w:rPr>
                <w:rFonts w:cs="Arial"/>
                <w:sz w:val="20"/>
                <w:szCs w:val="20"/>
              </w:rPr>
              <w:t>Ex post price ($/GJ)</w:t>
            </w:r>
          </w:p>
        </w:tc>
        <w:tc>
          <w:tcPr>
            <w:tcW w:w="597" w:type="pct"/>
            <w:tcBorders>
              <w:top w:val="nil"/>
              <w:bottom w:val="nil"/>
            </w:tcBorders>
            <w:vAlign w:val="center"/>
          </w:tcPr>
          <w:p w:rsidR="00DA0E69" w:rsidRDefault="00DA0E69">
            <w:pPr>
              <w:jc w:val="center"/>
              <w:rPr>
                <w:rFonts w:cs="Arial"/>
                <w:sz w:val="20"/>
                <w:szCs w:val="20"/>
              </w:rPr>
            </w:pPr>
            <w:r>
              <w:rPr>
                <w:rFonts w:cs="Arial"/>
                <w:sz w:val="20"/>
                <w:szCs w:val="20"/>
              </w:rPr>
              <w:t>4.80</w:t>
            </w:r>
          </w:p>
        </w:tc>
        <w:tc>
          <w:tcPr>
            <w:tcW w:w="523" w:type="pct"/>
            <w:tcBorders>
              <w:top w:val="nil"/>
              <w:bottom w:val="nil"/>
            </w:tcBorders>
            <w:vAlign w:val="center"/>
          </w:tcPr>
          <w:p w:rsidR="00DA0E69" w:rsidRDefault="00DA0E69">
            <w:pPr>
              <w:jc w:val="center"/>
              <w:rPr>
                <w:rFonts w:cs="Arial"/>
                <w:sz w:val="20"/>
                <w:szCs w:val="20"/>
              </w:rPr>
            </w:pPr>
            <w:r>
              <w:rPr>
                <w:rFonts w:cs="Arial"/>
                <w:sz w:val="20"/>
                <w:szCs w:val="20"/>
              </w:rPr>
              <w:t>5.43</w:t>
            </w:r>
          </w:p>
        </w:tc>
        <w:tc>
          <w:tcPr>
            <w:tcW w:w="606" w:type="pct"/>
            <w:tcBorders>
              <w:top w:val="nil"/>
              <w:bottom w:val="nil"/>
            </w:tcBorders>
            <w:vAlign w:val="center"/>
          </w:tcPr>
          <w:p w:rsidR="00DA0E69" w:rsidRDefault="00DA0E69">
            <w:pPr>
              <w:jc w:val="center"/>
              <w:rPr>
                <w:rFonts w:cs="Arial"/>
                <w:sz w:val="20"/>
                <w:szCs w:val="20"/>
              </w:rPr>
            </w:pPr>
            <w:r>
              <w:rPr>
                <w:rFonts w:cs="Arial"/>
                <w:sz w:val="20"/>
                <w:szCs w:val="20"/>
              </w:rPr>
              <w:t>5.90</w:t>
            </w:r>
          </w:p>
        </w:tc>
        <w:tc>
          <w:tcPr>
            <w:tcW w:w="532" w:type="pct"/>
            <w:tcBorders>
              <w:top w:val="nil"/>
              <w:bottom w:val="nil"/>
            </w:tcBorders>
            <w:vAlign w:val="center"/>
          </w:tcPr>
          <w:p w:rsidR="00DA0E69" w:rsidRDefault="00DA0E69">
            <w:pPr>
              <w:jc w:val="center"/>
              <w:rPr>
                <w:rFonts w:cs="Arial"/>
                <w:sz w:val="20"/>
                <w:szCs w:val="20"/>
              </w:rPr>
            </w:pPr>
            <w:r>
              <w:rPr>
                <w:rFonts w:cs="Arial"/>
                <w:sz w:val="20"/>
                <w:szCs w:val="20"/>
              </w:rPr>
              <w:t>5.70</w:t>
            </w:r>
          </w:p>
        </w:tc>
        <w:tc>
          <w:tcPr>
            <w:tcW w:w="525" w:type="pct"/>
            <w:tcBorders>
              <w:top w:val="nil"/>
              <w:bottom w:val="nil"/>
            </w:tcBorders>
            <w:vAlign w:val="center"/>
          </w:tcPr>
          <w:p w:rsidR="00DA0E69" w:rsidRDefault="00DA0E69">
            <w:pPr>
              <w:jc w:val="center"/>
              <w:rPr>
                <w:rFonts w:cs="Arial"/>
                <w:sz w:val="20"/>
                <w:szCs w:val="20"/>
              </w:rPr>
            </w:pPr>
            <w:r>
              <w:rPr>
                <w:rFonts w:cs="Arial"/>
                <w:sz w:val="20"/>
                <w:szCs w:val="20"/>
              </w:rPr>
              <w:t>4.50</w:t>
            </w:r>
          </w:p>
        </w:tc>
        <w:tc>
          <w:tcPr>
            <w:tcW w:w="522" w:type="pct"/>
            <w:tcBorders>
              <w:top w:val="nil"/>
              <w:bottom w:val="nil"/>
            </w:tcBorders>
            <w:vAlign w:val="center"/>
          </w:tcPr>
          <w:p w:rsidR="00DA0E69" w:rsidRDefault="00DA0E69">
            <w:pPr>
              <w:jc w:val="center"/>
              <w:rPr>
                <w:rFonts w:cs="Arial"/>
                <w:sz w:val="20"/>
                <w:szCs w:val="20"/>
              </w:rPr>
            </w:pPr>
            <w:r>
              <w:rPr>
                <w:rFonts w:cs="Arial"/>
                <w:sz w:val="20"/>
                <w:szCs w:val="20"/>
              </w:rPr>
              <w:t>5.69</w:t>
            </w:r>
          </w:p>
        </w:tc>
        <w:tc>
          <w:tcPr>
            <w:tcW w:w="595" w:type="pct"/>
            <w:tcBorders>
              <w:top w:val="nil"/>
              <w:bottom w:val="nil"/>
            </w:tcBorders>
            <w:vAlign w:val="center"/>
          </w:tcPr>
          <w:p w:rsidR="00DA0E69" w:rsidRDefault="00DA0E69">
            <w:pPr>
              <w:jc w:val="center"/>
              <w:rPr>
                <w:rFonts w:cs="Arial"/>
                <w:sz w:val="20"/>
                <w:szCs w:val="20"/>
              </w:rPr>
            </w:pPr>
            <w:r>
              <w:rPr>
                <w:rFonts w:cs="Arial"/>
                <w:sz w:val="20"/>
                <w:szCs w:val="20"/>
              </w:rPr>
              <w:t>5.50</w:t>
            </w:r>
          </w:p>
        </w:tc>
      </w:tr>
      <w:tr w:rsidR="00DA0E69" w:rsidRPr="00405CDE" w:rsidTr="00F114D5">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single" w:sz="4" w:space="0" w:color="auto"/>
            </w:tcBorders>
            <w:vAlign w:val="center"/>
          </w:tcPr>
          <w:p w:rsidR="00DA0E69" w:rsidRDefault="00DA0E69">
            <w:pPr>
              <w:rPr>
                <w:rFonts w:cs="Arial"/>
                <w:sz w:val="20"/>
                <w:szCs w:val="20"/>
              </w:rPr>
            </w:pPr>
            <w:r>
              <w:rPr>
                <w:rFonts w:cs="Arial"/>
                <w:sz w:val="20"/>
                <w:szCs w:val="20"/>
              </w:rPr>
              <w:t>Ex post quantity (TJ)</w:t>
            </w:r>
          </w:p>
        </w:tc>
        <w:tc>
          <w:tcPr>
            <w:tcW w:w="597" w:type="pct"/>
            <w:tcBorders>
              <w:top w:val="nil"/>
              <w:bottom w:val="single" w:sz="4" w:space="0" w:color="auto"/>
            </w:tcBorders>
            <w:vAlign w:val="center"/>
          </w:tcPr>
          <w:p w:rsidR="00DA0E69" w:rsidRDefault="00DA0E69">
            <w:pPr>
              <w:jc w:val="center"/>
              <w:rPr>
                <w:rFonts w:cs="Arial"/>
                <w:sz w:val="20"/>
                <w:szCs w:val="20"/>
              </w:rPr>
            </w:pPr>
            <w:r>
              <w:rPr>
                <w:rFonts w:cs="Arial"/>
                <w:sz w:val="20"/>
                <w:szCs w:val="20"/>
              </w:rPr>
              <w:t>182</w:t>
            </w:r>
          </w:p>
        </w:tc>
        <w:tc>
          <w:tcPr>
            <w:tcW w:w="523" w:type="pct"/>
            <w:tcBorders>
              <w:top w:val="nil"/>
              <w:bottom w:val="single" w:sz="4" w:space="0" w:color="auto"/>
            </w:tcBorders>
            <w:vAlign w:val="center"/>
          </w:tcPr>
          <w:p w:rsidR="00DA0E69" w:rsidRDefault="00DA0E69">
            <w:pPr>
              <w:jc w:val="center"/>
              <w:rPr>
                <w:rFonts w:cs="Arial"/>
                <w:sz w:val="20"/>
                <w:szCs w:val="20"/>
              </w:rPr>
            </w:pPr>
            <w:r>
              <w:rPr>
                <w:rFonts w:cs="Arial"/>
                <w:sz w:val="20"/>
                <w:szCs w:val="20"/>
              </w:rPr>
              <w:t>205</w:t>
            </w:r>
          </w:p>
        </w:tc>
        <w:tc>
          <w:tcPr>
            <w:tcW w:w="606" w:type="pct"/>
            <w:tcBorders>
              <w:top w:val="nil"/>
              <w:bottom w:val="single" w:sz="4" w:space="0" w:color="auto"/>
            </w:tcBorders>
            <w:vAlign w:val="center"/>
          </w:tcPr>
          <w:p w:rsidR="00DA0E69" w:rsidRDefault="00DA0E69">
            <w:pPr>
              <w:jc w:val="center"/>
              <w:rPr>
                <w:rFonts w:cs="Arial"/>
                <w:sz w:val="20"/>
                <w:szCs w:val="20"/>
              </w:rPr>
            </w:pPr>
            <w:r>
              <w:rPr>
                <w:rFonts w:cs="Arial"/>
                <w:sz w:val="20"/>
                <w:szCs w:val="20"/>
              </w:rPr>
              <w:t>217</w:t>
            </w:r>
          </w:p>
        </w:tc>
        <w:tc>
          <w:tcPr>
            <w:tcW w:w="532" w:type="pct"/>
            <w:tcBorders>
              <w:top w:val="nil"/>
              <w:bottom w:val="single" w:sz="4" w:space="0" w:color="auto"/>
            </w:tcBorders>
            <w:vAlign w:val="center"/>
          </w:tcPr>
          <w:p w:rsidR="00DA0E69" w:rsidRDefault="00DA0E69">
            <w:pPr>
              <w:jc w:val="center"/>
              <w:rPr>
                <w:rFonts w:cs="Arial"/>
                <w:sz w:val="20"/>
                <w:szCs w:val="20"/>
              </w:rPr>
            </w:pPr>
            <w:r>
              <w:rPr>
                <w:rFonts w:cs="Arial"/>
                <w:sz w:val="20"/>
                <w:szCs w:val="20"/>
              </w:rPr>
              <w:t>221</w:t>
            </w:r>
          </w:p>
        </w:tc>
        <w:tc>
          <w:tcPr>
            <w:tcW w:w="525" w:type="pct"/>
            <w:tcBorders>
              <w:top w:val="nil"/>
              <w:bottom w:val="single" w:sz="4" w:space="0" w:color="auto"/>
            </w:tcBorders>
            <w:vAlign w:val="center"/>
          </w:tcPr>
          <w:p w:rsidR="00DA0E69" w:rsidRDefault="00DA0E69">
            <w:pPr>
              <w:jc w:val="center"/>
              <w:rPr>
                <w:rFonts w:cs="Arial"/>
                <w:sz w:val="20"/>
                <w:szCs w:val="20"/>
              </w:rPr>
            </w:pPr>
            <w:r>
              <w:rPr>
                <w:rFonts w:cs="Arial"/>
                <w:sz w:val="20"/>
                <w:szCs w:val="20"/>
              </w:rPr>
              <w:t>194</w:t>
            </w:r>
          </w:p>
        </w:tc>
        <w:tc>
          <w:tcPr>
            <w:tcW w:w="522" w:type="pct"/>
            <w:tcBorders>
              <w:top w:val="nil"/>
              <w:bottom w:val="single" w:sz="4" w:space="0" w:color="auto"/>
            </w:tcBorders>
            <w:vAlign w:val="center"/>
          </w:tcPr>
          <w:p w:rsidR="00DA0E69" w:rsidRDefault="00DA0E69">
            <w:pPr>
              <w:jc w:val="center"/>
              <w:rPr>
                <w:rFonts w:cs="Arial"/>
                <w:sz w:val="20"/>
                <w:szCs w:val="20"/>
              </w:rPr>
            </w:pPr>
            <w:r>
              <w:rPr>
                <w:rFonts w:cs="Arial"/>
                <w:sz w:val="20"/>
                <w:szCs w:val="20"/>
              </w:rPr>
              <w:t>165</w:t>
            </w:r>
          </w:p>
        </w:tc>
        <w:tc>
          <w:tcPr>
            <w:tcW w:w="595" w:type="pct"/>
            <w:tcBorders>
              <w:top w:val="nil"/>
              <w:bottom w:val="single" w:sz="4" w:space="0" w:color="auto"/>
            </w:tcBorders>
            <w:vAlign w:val="center"/>
          </w:tcPr>
          <w:p w:rsidR="00DA0E69" w:rsidRDefault="00DA0E69">
            <w:pPr>
              <w:jc w:val="center"/>
              <w:rPr>
                <w:rFonts w:cs="Arial"/>
                <w:sz w:val="20"/>
                <w:szCs w:val="20"/>
              </w:rPr>
            </w:pPr>
            <w:r>
              <w:rPr>
                <w:rFonts w:cs="Arial"/>
                <w:sz w:val="20"/>
                <w:szCs w:val="20"/>
              </w:rPr>
              <w:t>166</w:t>
            </w:r>
          </w:p>
        </w:tc>
      </w:tr>
    </w:tbl>
    <w:p w:rsidR="00BC18FB" w:rsidRPr="00DD0358" w:rsidRDefault="00362B9A" w:rsidP="00362B9A">
      <w:pPr>
        <w:pStyle w:val="Heading4"/>
        <w:ind w:left="340" w:hanging="340"/>
        <w:rPr>
          <w:color w:val="2272A3"/>
          <w:sz w:val="24"/>
          <w:szCs w:val="24"/>
        </w:rPr>
      </w:pPr>
      <w:r w:rsidRPr="00DD0358">
        <w:rPr>
          <w:color w:val="2272A3"/>
          <w:sz w:val="24"/>
          <w:szCs w:val="24"/>
        </w:rPr>
        <w:t>SYD daily hub offers and daily hub bids in price bands ($/GJ)</w:t>
      </w:r>
    </w:p>
    <w:p w:rsidR="00E377B8" w:rsidRDefault="006B5D41" w:rsidP="00362B9A">
      <w:r>
        <w:pict>
          <v:shape id="_x0000_i1030" type="#_x0000_t75" alt="Figure 2.2 shows the daily hub offers and bid in within certain price bands in Sydney this week. The line indicates the scheduled quantity for each day. For a more detailed description of this figure, please refer to the user guide." style="width:476.15pt;height:170.5pt">
            <v:imagedata r:id="rId19" o:title=""/>
          </v:shape>
        </w:pict>
      </w:r>
    </w:p>
    <w:p w:rsidR="00362B9A" w:rsidRPr="00362B9A" w:rsidRDefault="00362B9A" w:rsidP="00362B9A"/>
    <w:p w:rsidR="00BC18FB" w:rsidRPr="00DD0358" w:rsidRDefault="00362B9A" w:rsidP="00FF0D8A">
      <w:pPr>
        <w:pStyle w:val="Heading4"/>
        <w:ind w:hanging="338"/>
        <w:rPr>
          <w:color w:val="2272A3"/>
          <w:sz w:val="24"/>
          <w:szCs w:val="24"/>
        </w:rPr>
      </w:pPr>
      <w:r w:rsidRPr="00DD0358">
        <w:rPr>
          <w:color w:val="2272A3"/>
          <w:sz w:val="24"/>
          <w:szCs w:val="24"/>
        </w:rPr>
        <w:lastRenderedPageBreak/>
        <w:t xml:space="preserve">SYD net scheduled and allocated </w:t>
      </w:r>
      <w:r w:rsidR="003625A6" w:rsidRPr="00DD0358">
        <w:rPr>
          <w:color w:val="2272A3"/>
          <w:sz w:val="24"/>
          <w:szCs w:val="24"/>
        </w:rPr>
        <w:t xml:space="preserve">gas hub supply </w:t>
      </w:r>
      <w:r w:rsidRPr="00DD0358">
        <w:rPr>
          <w:color w:val="2272A3"/>
          <w:sz w:val="24"/>
          <w:szCs w:val="24"/>
        </w:rPr>
        <w:t xml:space="preserve">(excluding MOS) </w:t>
      </w:r>
    </w:p>
    <w:p w:rsidR="00362B9A" w:rsidRPr="00362B9A" w:rsidRDefault="006B5D41" w:rsidP="00362B9A">
      <w:r>
        <w:pict>
          <v:shape id="_x0000_i1031" type="#_x0000_t75" alt="Figure 2.3 shows the daily scheduled and allocated quantities sorted by facility for Sydney this week. For a more detailed description of this figure, please refer to the user guide." style="width:477.5pt;height:212.6pt">
            <v:imagedata r:id="rId20" o:title=""/>
          </v:shape>
        </w:pict>
      </w:r>
    </w:p>
    <w:p w:rsidR="00BC18FB" w:rsidRPr="00DD0358" w:rsidRDefault="00362B9A" w:rsidP="00FF0D8A">
      <w:pPr>
        <w:pStyle w:val="Heading4"/>
        <w:ind w:hanging="338"/>
        <w:rPr>
          <w:color w:val="2272A3"/>
          <w:sz w:val="24"/>
          <w:szCs w:val="24"/>
        </w:rPr>
      </w:pPr>
      <w:r w:rsidRPr="00DD0358">
        <w:rPr>
          <w:color w:val="2272A3"/>
          <w:sz w:val="24"/>
          <w:szCs w:val="24"/>
        </w:rPr>
        <w:t>SYD MOS allocations (TJ), service payments and commodity payments/charges ($000)</w:t>
      </w:r>
    </w:p>
    <w:p w:rsidR="00362B9A" w:rsidRDefault="006B5D41" w:rsidP="00362B9A">
      <w:r>
        <w:pict>
          <v:shape id="_x0000_i1032" type="#_x0000_t75" alt="Figure 2.4 shows the daily MOS allocations sorted by facility for each facility in Sydney this week. The figure also shows the daily breakdown of costs associated with the MOS provided. For a more detailed description of this figure, please refer to the user guide." style="width:476.15pt;height:180.7pt">
            <v:imagedata r:id="rId21" o:title=""/>
          </v:shape>
        </w:pict>
      </w:r>
    </w:p>
    <w:p w:rsidR="00BC18FB" w:rsidRDefault="00AE309F" w:rsidP="00BC18FB">
      <w:pPr>
        <w:pStyle w:val="Heading3"/>
        <w:ind w:firstLine="0"/>
        <w:rPr>
          <w:color w:val="2272A3"/>
          <w:sz w:val="32"/>
          <w:szCs w:val="32"/>
        </w:rPr>
      </w:pPr>
      <w:r>
        <w:rPr>
          <w:color w:val="2272A3"/>
          <w:sz w:val="32"/>
          <w:szCs w:val="32"/>
        </w:rPr>
        <w:br w:type="page"/>
      </w:r>
      <w:r w:rsidR="00BC18FB" w:rsidRPr="00004A63">
        <w:rPr>
          <w:color w:val="2272A3"/>
          <w:sz w:val="32"/>
          <w:szCs w:val="32"/>
        </w:rPr>
        <w:lastRenderedPageBreak/>
        <w:t>A</w:t>
      </w:r>
      <w:r w:rsidR="00362B9A">
        <w:rPr>
          <w:color w:val="2272A3"/>
          <w:sz w:val="32"/>
          <w:szCs w:val="32"/>
        </w:rPr>
        <w:t>delaide STTM</w:t>
      </w:r>
    </w:p>
    <w:p w:rsidR="003625A6" w:rsidRPr="003625A6" w:rsidRDefault="003625A6" w:rsidP="00345444">
      <w:pPr>
        <w:jc w:val="both"/>
      </w:pPr>
      <w:r>
        <w:t>The Adelaide STTM hub functions in the same way as the Sydney STTM hub.  The same data that was presented for the Sydney hub is presented for the Adelaide hub in the figures below.</w:t>
      </w:r>
    </w:p>
    <w:p w:rsidR="00BC18FB" w:rsidRDefault="003625A6" w:rsidP="00FF0D8A">
      <w:pPr>
        <w:pStyle w:val="Heading4"/>
        <w:ind w:hanging="338"/>
        <w:rPr>
          <w:color w:val="2272A3"/>
          <w:sz w:val="24"/>
          <w:szCs w:val="24"/>
        </w:rPr>
      </w:pPr>
      <w:r>
        <w:rPr>
          <w:color w:val="2272A3"/>
          <w:sz w:val="24"/>
          <w:szCs w:val="24"/>
        </w:rPr>
        <w:t>ADL</w:t>
      </w:r>
      <w:r w:rsidRPr="00362B9A">
        <w:rPr>
          <w:color w:val="2272A3"/>
          <w:sz w:val="24"/>
          <w:szCs w:val="24"/>
        </w:rPr>
        <w:t xml:space="preserve"> STTM daily ex ante and ex post prices and quantities</w:t>
      </w:r>
    </w:p>
    <w:tbl>
      <w:tblPr>
        <w:tblStyle w:val="AERTable-Text0"/>
        <w:tblW w:w="4851" w:type="pct"/>
        <w:tblLook w:val="04A0" w:firstRow="1" w:lastRow="0" w:firstColumn="1" w:lastColumn="0" w:noHBand="0" w:noVBand="1"/>
      </w:tblPr>
      <w:tblGrid>
        <w:gridCol w:w="2079"/>
        <w:gridCol w:w="1128"/>
        <w:gridCol w:w="989"/>
        <w:gridCol w:w="1145"/>
        <w:gridCol w:w="1006"/>
        <w:gridCol w:w="992"/>
        <w:gridCol w:w="987"/>
        <w:gridCol w:w="1125"/>
      </w:tblGrid>
      <w:tr w:rsidR="007A51E1" w:rsidRPr="00405CDE" w:rsidTr="00ED3374">
        <w:trPr>
          <w:cnfStyle w:val="100000000000" w:firstRow="1" w:lastRow="0" w:firstColumn="0" w:lastColumn="0" w:oddVBand="0" w:evenVBand="0" w:oddHBand="0" w:evenHBand="0" w:firstRowFirstColumn="0" w:firstRowLastColumn="0" w:lastRowFirstColumn="0" w:lastRowLastColumn="0"/>
          <w:tblHeader/>
        </w:trPr>
        <w:tc>
          <w:tcPr>
            <w:tcW w:w="1100" w:type="pct"/>
            <w:tcBorders>
              <w:bottom w:val="nil"/>
            </w:tcBorders>
            <w:hideMark/>
          </w:tcPr>
          <w:p w:rsidR="00F114D5" w:rsidRPr="00DC24BF" w:rsidRDefault="00F114D5" w:rsidP="007A51E1">
            <w:pPr>
              <w:pStyle w:val="TableHeading"/>
              <w:spacing w:before="0" w:after="0"/>
              <w:jc w:val="center"/>
              <w:rPr>
                <w:rFonts w:cs="Arial"/>
                <w:sz w:val="20"/>
                <w:szCs w:val="20"/>
              </w:rPr>
            </w:pPr>
          </w:p>
        </w:tc>
        <w:tc>
          <w:tcPr>
            <w:tcW w:w="597"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Sun</w:t>
            </w:r>
          </w:p>
        </w:tc>
        <w:tc>
          <w:tcPr>
            <w:tcW w:w="523"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Mon</w:t>
            </w:r>
          </w:p>
        </w:tc>
        <w:tc>
          <w:tcPr>
            <w:tcW w:w="606"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Tue</w:t>
            </w:r>
          </w:p>
        </w:tc>
        <w:tc>
          <w:tcPr>
            <w:tcW w:w="532"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Wed</w:t>
            </w:r>
          </w:p>
        </w:tc>
        <w:tc>
          <w:tcPr>
            <w:tcW w:w="525"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Thu</w:t>
            </w:r>
          </w:p>
        </w:tc>
        <w:tc>
          <w:tcPr>
            <w:tcW w:w="522"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Fri</w:t>
            </w:r>
          </w:p>
        </w:tc>
        <w:tc>
          <w:tcPr>
            <w:tcW w:w="595"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Sat</w:t>
            </w:r>
          </w:p>
        </w:tc>
      </w:tr>
      <w:tr w:rsidR="00DA0E69" w:rsidRPr="00405CDE" w:rsidTr="00ED3374">
        <w:trPr>
          <w:trHeight w:val="510"/>
        </w:trPr>
        <w:tc>
          <w:tcPr>
            <w:tcW w:w="1100" w:type="pct"/>
            <w:tcBorders>
              <w:top w:val="nil"/>
              <w:bottom w:val="nil"/>
            </w:tcBorders>
            <w:vAlign w:val="center"/>
          </w:tcPr>
          <w:p w:rsidR="00DA0E69" w:rsidRDefault="00DA0E69">
            <w:pPr>
              <w:rPr>
                <w:rFonts w:cs="Arial"/>
                <w:sz w:val="20"/>
                <w:szCs w:val="20"/>
              </w:rPr>
            </w:pPr>
            <w:r>
              <w:rPr>
                <w:rFonts w:cs="Arial"/>
                <w:sz w:val="20"/>
                <w:szCs w:val="20"/>
              </w:rPr>
              <w:t>Ex ante price ($/GJ)</w:t>
            </w:r>
          </w:p>
        </w:tc>
        <w:tc>
          <w:tcPr>
            <w:tcW w:w="597" w:type="pct"/>
            <w:tcBorders>
              <w:top w:val="nil"/>
              <w:bottom w:val="nil"/>
            </w:tcBorders>
            <w:vAlign w:val="center"/>
          </w:tcPr>
          <w:p w:rsidR="00DA0E69" w:rsidRDefault="00DA0E69">
            <w:pPr>
              <w:jc w:val="center"/>
              <w:rPr>
                <w:rFonts w:cs="Arial"/>
                <w:sz w:val="20"/>
                <w:szCs w:val="20"/>
              </w:rPr>
            </w:pPr>
            <w:r>
              <w:rPr>
                <w:rFonts w:cs="Arial"/>
                <w:sz w:val="20"/>
                <w:szCs w:val="20"/>
              </w:rPr>
              <w:t>6.90</w:t>
            </w:r>
          </w:p>
        </w:tc>
        <w:tc>
          <w:tcPr>
            <w:tcW w:w="523" w:type="pct"/>
            <w:tcBorders>
              <w:top w:val="nil"/>
              <w:bottom w:val="nil"/>
            </w:tcBorders>
            <w:vAlign w:val="center"/>
          </w:tcPr>
          <w:p w:rsidR="00DA0E69" w:rsidRDefault="00DA0E69">
            <w:pPr>
              <w:jc w:val="center"/>
              <w:rPr>
                <w:rFonts w:cs="Arial"/>
                <w:sz w:val="20"/>
                <w:szCs w:val="20"/>
              </w:rPr>
            </w:pPr>
            <w:r>
              <w:rPr>
                <w:rFonts w:cs="Arial"/>
                <w:sz w:val="20"/>
                <w:szCs w:val="20"/>
              </w:rPr>
              <w:t>5.71</w:t>
            </w:r>
          </w:p>
        </w:tc>
        <w:tc>
          <w:tcPr>
            <w:tcW w:w="606" w:type="pct"/>
            <w:tcBorders>
              <w:top w:val="nil"/>
              <w:bottom w:val="nil"/>
            </w:tcBorders>
            <w:vAlign w:val="center"/>
          </w:tcPr>
          <w:p w:rsidR="00DA0E69" w:rsidRDefault="00DA0E69">
            <w:pPr>
              <w:jc w:val="center"/>
              <w:rPr>
                <w:rFonts w:cs="Arial"/>
                <w:sz w:val="20"/>
                <w:szCs w:val="20"/>
              </w:rPr>
            </w:pPr>
            <w:r>
              <w:rPr>
                <w:rFonts w:cs="Arial"/>
                <w:sz w:val="20"/>
                <w:szCs w:val="20"/>
              </w:rPr>
              <w:t>5.69</w:t>
            </w:r>
          </w:p>
        </w:tc>
        <w:tc>
          <w:tcPr>
            <w:tcW w:w="532" w:type="pct"/>
            <w:tcBorders>
              <w:top w:val="nil"/>
              <w:bottom w:val="nil"/>
            </w:tcBorders>
            <w:vAlign w:val="center"/>
          </w:tcPr>
          <w:p w:rsidR="00DA0E69" w:rsidRDefault="00DA0E69">
            <w:pPr>
              <w:jc w:val="center"/>
              <w:rPr>
                <w:rFonts w:cs="Arial"/>
                <w:sz w:val="20"/>
                <w:szCs w:val="20"/>
              </w:rPr>
            </w:pPr>
            <w:r>
              <w:rPr>
                <w:rFonts w:cs="Arial"/>
                <w:sz w:val="20"/>
                <w:szCs w:val="20"/>
              </w:rPr>
              <w:t>5.70</w:t>
            </w:r>
          </w:p>
        </w:tc>
        <w:tc>
          <w:tcPr>
            <w:tcW w:w="525" w:type="pct"/>
            <w:tcBorders>
              <w:top w:val="nil"/>
              <w:bottom w:val="nil"/>
            </w:tcBorders>
            <w:vAlign w:val="center"/>
          </w:tcPr>
          <w:p w:rsidR="00DA0E69" w:rsidRDefault="00DA0E69">
            <w:pPr>
              <w:jc w:val="center"/>
              <w:rPr>
                <w:rFonts w:cs="Arial"/>
                <w:sz w:val="20"/>
                <w:szCs w:val="20"/>
              </w:rPr>
            </w:pPr>
            <w:r>
              <w:rPr>
                <w:rFonts w:cs="Arial"/>
                <w:sz w:val="20"/>
                <w:szCs w:val="20"/>
              </w:rPr>
              <w:t>5.92</w:t>
            </w:r>
          </w:p>
        </w:tc>
        <w:tc>
          <w:tcPr>
            <w:tcW w:w="522" w:type="pct"/>
            <w:tcBorders>
              <w:top w:val="nil"/>
              <w:bottom w:val="nil"/>
            </w:tcBorders>
            <w:vAlign w:val="center"/>
          </w:tcPr>
          <w:p w:rsidR="00DA0E69" w:rsidRDefault="00DA0E69">
            <w:pPr>
              <w:jc w:val="center"/>
              <w:rPr>
                <w:rFonts w:cs="Arial"/>
                <w:sz w:val="20"/>
                <w:szCs w:val="20"/>
              </w:rPr>
            </w:pPr>
            <w:r>
              <w:rPr>
                <w:rFonts w:cs="Arial"/>
                <w:sz w:val="20"/>
                <w:szCs w:val="20"/>
              </w:rPr>
              <w:t>5.82</w:t>
            </w:r>
          </w:p>
        </w:tc>
        <w:tc>
          <w:tcPr>
            <w:tcW w:w="595" w:type="pct"/>
            <w:tcBorders>
              <w:top w:val="nil"/>
              <w:bottom w:val="nil"/>
            </w:tcBorders>
            <w:vAlign w:val="center"/>
          </w:tcPr>
          <w:p w:rsidR="00DA0E69" w:rsidRDefault="00DA0E69">
            <w:pPr>
              <w:jc w:val="center"/>
              <w:rPr>
                <w:rFonts w:cs="Arial"/>
                <w:sz w:val="20"/>
                <w:szCs w:val="20"/>
              </w:rPr>
            </w:pPr>
            <w:r>
              <w:rPr>
                <w:rFonts w:cs="Arial"/>
                <w:sz w:val="20"/>
                <w:szCs w:val="20"/>
              </w:rPr>
              <w:t>5.96</w:t>
            </w:r>
          </w:p>
        </w:tc>
      </w:tr>
      <w:tr w:rsidR="00DA0E69" w:rsidRPr="00405CDE" w:rsidTr="00ED3374">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nil"/>
            </w:tcBorders>
            <w:vAlign w:val="center"/>
          </w:tcPr>
          <w:p w:rsidR="00DA0E69" w:rsidRDefault="00DA0E69">
            <w:pPr>
              <w:rPr>
                <w:rFonts w:cs="Arial"/>
                <w:sz w:val="20"/>
                <w:szCs w:val="20"/>
              </w:rPr>
            </w:pPr>
            <w:r>
              <w:rPr>
                <w:rFonts w:cs="Arial"/>
                <w:sz w:val="20"/>
                <w:szCs w:val="20"/>
              </w:rPr>
              <w:t>Ex ante quantity (TJ)</w:t>
            </w:r>
          </w:p>
        </w:tc>
        <w:tc>
          <w:tcPr>
            <w:tcW w:w="597" w:type="pct"/>
            <w:tcBorders>
              <w:top w:val="nil"/>
              <w:bottom w:val="nil"/>
            </w:tcBorders>
            <w:vAlign w:val="center"/>
          </w:tcPr>
          <w:p w:rsidR="00DA0E69" w:rsidRDefault="00DA0E69">
            <w:pPr>
              <w:jc w:val="center"/>
              <w:rPr>
                <w:rFonts w:cs="Arial"/>
                <w:sz w:val="20"/>
                <w:szCs w:val="20"/>
              </w:rPr>
            </w:pPr>
            <w:r>
              <w:rPr>
                <w:rFonts w:cs="Arial"/>
                <w:sz w:val="20"/>
                <w:szCs w:val="20"/>
              </w:rPr>
              <w:t>42</w:t>
            </w:r>
          </w:p>
        </w:tc>
        <w:tc>
          <w:tcPr>
            <w:tcW w:w="523" w:type="pct"/>
            <w:tcBorders>
              <w:top w:val="nil"/>
              <w:bottom w:val="nil"/>
            </w:tcBorders>
            <w:vAlign w:val="center"/>
          </w:tcPr>
          <w:p w:rsidR="00DA0E69" w:rsidRDefault="00DA0E69">
            <w:pPr>
              <w:jc w:val="center"/>
              <w:rPr>
                <w:rFonts w:cs="Arial"/>
                <w:sz w:val="20"/>
                <w:szCs w:val="20"/>
              </w:rPr>
            </w:pPr>
            <w:r>
              <w:rPr>
                <w:rFonts w:cs="Arial"/>
                <w:sz w:val="20"/>
                <w:szCs w:val="20"/>
              </w:rPr>
              <w:t>45</w:t>
            </w:r>
          </w:p>
        </w:tc>
        <w:tc>
          <w:tcPr>
            <w:tcW w:w="606" w:type="pct"/>
            <w:tcBorders>
              <w:top w:val="nil"/>
              <w:bottom w:val="nil"/>
            </w:tcBorders>
            <w:vAlign w:val="center"/>
          </w:tcPr>
          <w:p w:rsidR="00DA0E69" w:rsidRDefault="00DA0E69">
            <w:pPr>
              <w:jc w:val="center"/>
              <w:rPr>
                <w:rFonts w:cs="Arial"/>
                <w:sz w:val="20"/>
                <w:szCs w:val="20"/>
              </w:rPr>
            </w:pPr>
            <w:r>
              <w:rPr>
                <w:rFonts w:cs="Arial"/>
                <w:sz w:val="20"/>
                <w:szCs w:val="20"/>
              </w:rPr>
              <w:t>46</w:t>
            </w:r>
          </w:p>
        </w:tc>
        <w:tc>
          <w:tcPr>
            <w:tcW w:w="532" w:type="pct"/>
            <w:tcBorders>
              <w:top w:val="nil"/>
              <w:bottom w:val="nil"/>
            </w:tcBorders>
            <w:vAlign w:val="center"/>
          </w:tcPr>
          <w:p w:rsidR="00DA0E69" w:rsidRDefault="00DA0E69">
            <w:pPr>
              <w:jc w:val="center"/>
              <w:rPr>
                <w:rFonts w:cs="Arial"/>
                <w:sz w:val="20"/>
                <w:szCs w:val="20"/>
              </w:rPr>
            </w:pPr>
            <w:r>
              <w:rPr>
                <w:rFonts w:cs="Arial"/>
                <w:sz w:val="20"/>
                <w:szCs w:val="20"/>
              </w:rPr>
              <w:t>48</w:t>
            </w:r>
          </w:p>
        </w:tc>
        <w:tc>
          <w:tcPr>
            <w:tcW w:w="525" w:type="pct"/>
            <w:tcBorders>
              <w:top w:val="nil"/>
              <w:bottom w:val="nil"/>
            </w:tcBorders>
            <w:vAlign w:val="center"/>
          </w:tcPr>
          <w:p w:rsidR="00DA0E69" w:rsidRDefault="00DA0E69">
            <w:pPr>
              <w:jc w:val="center"/>
              <w:rPr>
                <w:rFonts w:cs="Arial"/>
                <w:sz w:val="20"/>
                <w:szCs w:val="20"/>
              </w:rPr>
            </w:pPr>
            <w:r>
              <w:rPr>
                <w:rFonts w:cs="Arial"/>
                <w:sz w:val="20"/>
                <w:szCs w:val="20"/>
              </w:rPr>
              <w:t>42</w:t>
            </w:r>
          </w:p>
        </w:tc>
        <w:tc>
          <w:tcPr>
            <w:tcW w:w="522" w:type="pct"/>
            <w:tcBorders>
              <w:top w:val="nil"/>
              <w:bottom w:val="nil"/>
            </w:tcBorders>
            <w:vAlign w:val="center"/>
          </w:tcPr>
          <w:p w:rsidR="00DA0E69" w:rsidRDefault="00DA0E69">
            <w:pPr>
              <w:jc w:val="center"/>
              <w:rPr>
                <w:rFonts w:cs="Arial"/>
                <w:sz w:val="20"/>
                <w:szCs w:val="20"/>
              </w:rPr>
            </w:pPr>
            <w:r>
              <w:rPr>
                <w:rFonts w:cs="Arial"/>
                <w:sz w:val="20"/>
                <w:szCs w:val="20"/>
              </w:rPr>
              <w:t>37</w:t>
            </w:r>
          </w:p>
        </w:tc>
        <w:tc>
          <w:tcPr>
            <w:tcW w:w="595" w:type="pct"/>
            <w:tcBorders>
              <w:top w:val="nil"/>
              <w:bottom w:val="nil"/>
            </w:tcBorders>
            <w:vAlign w:val="center"/>
          </w:tcPr>
          <w:p w:rsidR="00DA0E69" w:rsidRDefault="00DA0E69">
            <w:pPr>
              <w:jc w:val="center"/>
              <w:rPr>
                <w:rFonts w:cs="Arial"/>
                <w:sz w:val="20"/>
                <w:szCs w:val="20"/>
              </w:rPr>
            </w:pPr>
            <w:r>
              <w:rPr>
                <w:rFonts w:cs="Arial"/>
                <w:sz w:val="20"/>
                <w:szCs w:val="20"/>
              </w:rPr>
              <w:t>41</w:t>
            </w:r>
          </w:p>
        </w:tc>
      </w:tr>
      <w:tr w:rsidR="00DA0E69" w:rsidRPr="00405CDE" w:rsidTr="00ED3374">
        <w:trPr>
          <w:trHeight w:val="510"/>
        </w:trPr>
        <w:tc>
          <w:tcPr>
            <w:tcW w:w="1100" w:type="pct"/>
            <w:tcBorders>
              <w:top w:val="nil"/>
              <w:bottom w:val="nil"/>
            </w:tcBorders>
            <w:vAlign w:val="center"/>
          </w:tcPr>
          <w:p w:rsidR="00DA0E69" w:rsidRDefault="00DA0E69">
            <w:pPr>
              <w:rPr>
                <w:rFonts w:cs="Arial"/>
                <w:sz w:val="20"/>
                <w:szCs w:val="20"/>
              </w:rPr>
            </w:pPr>
            <w:r>
              <w:rPr>
                <w:rFonts w:cs="Arial"/>
                <w:sz w:val="20"/>
                <w:szCs w:val="20"/>
              </w:rPr>
              <w:t>Ex post price ($/GJ)</w:t>
            </w:r>
          </w:p>
        </w:tc>
        <w:tc>
          <w:tcPr>
            <w:tcW w:w="597" w:type="pct"/>
            <w:tcBorders>
              <w:top w:val="nil"/>
              <w:bottom w:val="nil"/>
            </w:tcBorders>
            <w:vAlign w:val="center"/>
          </w:tcPr>
          <w:p w:rsidR="00DA0E69" w:rsidRDefault="00DA0E69">
            <w:pPr>
              <w:jc w:val="center"/>
              <w:rPr>
                <w:rFonts w:cs="Arial"/>
                <w:sz w:val="20"/>
                <w:szCs w:val="20"/>
              </w:rPr>
            </w:pPr>
            <w:r>
              <w:rPr>
                <w:rFonts w:cs="Arial"/>
                <w:sz w:val="20"/>
                <w:szCs w:val="20"/>
              </w:rPr>
              <w:t>7.65</w:t>
            </w:r>
          </w:p>
        </w:tc>
        <w:tc>
          <w:tcPr>
            <w:tcW w:w="523" w:type="pct"/>
            <w:tcBorders>
              <w:top w:val="nil"/>
              <w:bottom w:val="nil"/>
            </w:tcBorders>
            <w:vAlign w:val="center"/>
          </w:tcPr>
          <w:p w:rsidR="00DA0E69" w:rsidRDefault="00DA0E69">
            <w:pPr>
              <w:jc w:val="center"/>
              <w:rPr>
                <w:rFonts w:cs="Arial"/>
                <w:sz w:val="20"/>
                <w:szCs w:val="20"/>
              </w:rPr>
            </w:pPr>
            <w:r>
              <w:rPr>
                <w:rFonts w:cs="Arial"/>
                <w:sz w:val="20"/>
                <w:szCs w:val="20"/>
              </w:rPr>
              <w:t>6.01</w:t>
            </w:r>
          </w:p>
        </w:tc>
        <w:tc>
          <w:tcPr>
            <w:tcW w:w="606" w:type="pct"/>
            <w:tcBorders>
              <w:top w:val="nil"/>
              <w:bottom w:val="nil"/>
            </w:tcBorders>
            <w:vAlign w:val="center"/>
          </w:tcPr>
          <w:p w:rsidR="00DA0E69" w:rsidRDefault="00DA0E69">
            <w:pPr>
              <w:jc w:val="center"/>
              <w:rPr>
                <w:rFonts w:cs="Arial"/>
                <w:sz w:val="20"/>
                <w:szCs w:val="20"/>
              </w:rPr>
            </w:pPr>
            <w:r>
              <w:rPr>
                <w:rFonts w:cs="Arial"/>
                <w:sz w:val="20"/>
                <w:szCs w:val="20"/>
              </w:rPr>
              <w:t>5.69</w:t>
            </w:r>
          </w:p>
        </w:tc>
        <w:tc>
          <w:tcPr>
            <w:tcW w:w="532" w:type="pct"/>
            <w:tcBorders>
              <w:top w:val="nil"/>
              <w:bottom w:val="nil"/>
            </w:tcBorders>
            <w:vAlign w:val="center"/>
          </w:tcPr>
          <w:p w:rsidR="00DA0E69" w:rsidRDefault="00DA0E69">
            <w:pPr>
              <w:jc w:val="center"/>
              <w:rPr>
                <w:rFonts w:cs="Arial"/>
                <w:sz w:val="20"/>
                <w:szCs w:val="20"/>
              </w:rPr>
            </w:pPr>
            <w:r>
              <w:rPr>
                <w:rFonts w:cs="Arial"/>
                <w:sz w:val="20"/>
                <w:szCs w:val="20"/>
              </w:rPr>
              <w:t>5.70</w:t>
            </w:r>
          </w:p>
        </w:tc>
        <w:tc>
          <w:tcPr>
            <w:tcW w:w="525" w:type="pct"/>
            <w:tcBorders>
              <w:top w:val="nil"/>
              <w:bottom w:val="nil"/>
            </w:tcBorders>
            <w:vAlign w:val="center"/>
          </w:tcPr>
          <w:p w:rsidR="00DA0E69" w:rsidRDefault="00DA0E69">
            <w:pPr>
              <w:jc w:val="center"/>
              <w:rPr>
                <w:rFonts w:cs="Arial"/>
                <w:sz w:val="20"/>
                <w:szCs w:val="20"/>
              </w:rPr>
            </w:pPr>
            <w:r>
              <w:rPr>
                <w:rFonts w:cs="Arial"/>
                <w:sz w:val="20"/>
                <w:szCs w:val="20"/>
              </w:rPr>
              <w:t>5.78</w:t>
            </w:r>
          </w:p>
        </w:tc>
        <w:tc>
          <w:tcPr>
            <w:tcW w:w="522" w:type="pct"/>
            <w:tcBorders>
              <w:top w:val="nil"/>
              <w:bottom w:val="nil"/>
            </w:tcBorders>
            <w:vAlign w:val="center"/>
          </w:tcPr>
          <w:p w:rsidR="00DA0E69" w:rsidRDefault="00DA0E69">
            <w:pPr>
              <w:jc w:val="center"/>
              <w:rPr>
                <w:rFonts w:cs="Arial"/>
                <w:sz w:val="20"/>
                <w:szCs w:val="20"/>
              </w:rPr>
            </w:pPr>
            <w:r>
              <w:rPr>
                <w:rFonts w:cs="Arial"/>
                <w:sz w:val="20"/>
                <w:szCs w:val="20"/>
              </w:rPr>
              <w:t>6.33</w:t>
            </w:r>
          </w:p>
        </w:tc>
        <w:tc>
          <w:tcPr>
            <w:tcW w:w="595" w:type="pct"/>
            <w:tcBorders>
              <w:top w:val="nil"/>
              <w:bottom w:val="nil"/>
            </w:tcBorders>
            <w:vAlign w:val="center"/>
          </w:tcPr>
          <w:p w:rsidR="00DA0E69" w:rsidRDefault="00DA0E69">
            <w:pPr>
              <w:jc w:val="center"/>
              <w:rPr>
                <w:rFonts w:cs="Arial"/>
                <w:sz w:val="20"/>
                <w:szCs w:val="20"/>
              </w:rPr>
            </w:pPr>
            <w:r>
              <w:rPr>
                <w:rFonts w:cs="Arial"/>
                <w:sz w:val="20"/>
                <w:szCs w:val="20"/>
              </w:rPr>
              <w:t>5.96</w:t>
            </w:r>
          </w:p>
        </w:tc>
      </w:tr>
      <w:tr w:rsidR="00DA0E69" w:rsidRPr="00405CDE" w:rsidTr="00ED3374">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single" w:sz="4" w:space="0" w:color="auto"/>
            </w:tcBorders>
            <w:vAlign w:val="center"/>
          </w:tcPr>
          <w:p w:rsidR="00DA0E69" w:rsidRDefault="00DA0E69">
            <w:pPr>
              <w:rPr>
                <w:rFonts w:cs="Arial"/>
                <w:sz w:val="20"/>
                <w:szCs w:val="20"/>
              </w:rPr>
            </w:pPr>
            <w:r>
              <w:rPr>
                <w:rFonts w:cs="Arial"/>
                <w:sz w:val="20"/>
                <w:szCs w:val="20"/>
              </w:rPr>
              <w:t>Ex post quantity (TJ)</w:t>
            </w:r>
          </w:p>
        </w:tc>
        <w:tc>
          <w:tcPr>
            <w:tcW w:w="597" w:type="pct"/>
            <w:tcBorders>
              <w:top w:val="nil"/>
              <w:bottom w:val="single" w:sz="4" w:space="0" w:color="auto"/>
            </w:tcBorders>
            <w:vAlign w:val="center"/>
          </w:tcPr>
          <w:p w:rsidR="00DA0E69" w:rsidRDefault="00DA0E69">
            <w:pPr>
              <w:jc w:val="center"/>
              <w:rPr>
                <w:rFonts w:cs="Arial"/>
                <w:sz w:val="20"/>
                <w:szCs w:val="20"/>
              </w:rPr>
            </w:pPr>
            <w:r>
              <w:rPr>
                <w:rFonts w:cs="Arial"/>
                <w:sz w:val="20"/>
                <w:szCs w:val="20"/>
              </w:rPr>
              <w:t>53</w:t>
            </w:r>
          </w:p>
        </w:tc>
        <w:tc>
          <w:tcPr>
            <w:tcW w:w="523" w:type="pct"/>
            <w:tcBorders>
              <w:top w:val="nil"/>
              <w:bottom w:val="single" w:sz="4" w:space="0" w:color="auto"/>
            </w:tcBorders>
            <w:vAlign w:val="center"/>
          </w:tcPr>
          <w:p w:rsidR="00DA0E69" w:rsidRDefault="00DA0E69">
            <w:pPr>
              <w:jc w:val="center"/>
              <w:rPr>
                <w:rFonts w:cs="Arial"/>
                <w:sz w:val="20"/>
                <w:szCs w:val="20"/>
              </w:rPr>
            </w:pPr>
            <w:r>
              <w:rPr>
                <w:rFonts w:cs="Arial"/>
                <w:sz w:val="20"/>
                <w:szCs w:val="20"/>
              </w:rPr>
              <w:t>48</w:t>
            </w:r>
          </w:p>
        </w:tc>
        <w:tc>
          <w:tcPr>
            <w:tcW w:w="606" w:type="pct"/>
            <w:tcBorders>
              <w:top w:val="nil"/>
              <w:bottom w:val="single" w:sz="4" w:space="0" w:color="auto"/>
            </w:tcBorders>
            <w:vAlign w:val="center"/>
          </w:tcPr>
          <w:p w:rsidR="00DA0E69" w:rsidRDefault="00DA0E69">
            <w:pPr>
              <w:jc w:val="center"/>
              <w:rPr>
                <w:rFonts w:cs="Arial"/>
                <w:sz w:val="20"/>
                <w:szCs w:val="20"/>
              </w:rPr>
            </w:pPr>
            <w:r>
              <w:rPr>
                <w:rFonts w:cs="Arial"/>
                <w:sz w:val="20"/>
                <w:szCs w:val="20"/>
              </w:rPr>
              <w:t>47</w:t>
            </w:r>
          </w:p>
        </w:tc>
        <w:tc>
          <w:tcPr>
            <w:tcW w:w="532" w:type="pct"/>
            <w:tcBorders>
              <w:top w:val="nil"/>
              <w:bottom w:val="single" w:sz="4" w:space="0" w:color="auto"/>
            </w:tcBorders>
            <w:vAlign w:val="center"/>
          </w:tcPr>
          <w:p w:rsidR="00DA0E69" w:rsidRDefault="00DA0E69">
            <w:pPr>
              <w:jc w:val="center"/>
              <w:rPr>
                <w:rFonts w:cs="Arial"/>
                <w:sz w:val="20"/>
                <w:szCs w:val="20"/>
              </w:rPr>
            </w:pPr>
            <w:r>
              <w:rPr>
                <w:rFonts w:cs="Arial"/>
                <w:sz w:val="20"/>
                <w:szCs w:val="20"/>
              </w:rPr>
              <w:t>47</w:t>
            </w:r>
          </w:p>
        </w:tc>
        <w:tc>
          <w:tcPr>
            <w:tcW w:w="525" w:type="pct"/>
            <w:tcBorders>
              <w:top w:val="nil"/>
              <w:bottom w:val="single" w:sz="4" w:space="0" w:color="auto"/>
            </w:tcBorders>
            <w:vAlign w:val="center"/>
          </w:tcPr>
          <w:p w:rsidR="00DA0E69" w:rsidRDefault="00DA0E69">
            <w:pPr>
              <w:jc w:val="center"/>
              <w:rPr>
                <w:rFonts w:cs="Arial"/>
                <w:sz w:val="20"/>
                <w:szCs w:val="20"/>
              </w:rPr>
            </w:pPr>
            <w:r>
              <w:rPr>
                <w:rFonts w:cs="Arial"/>
                <w:sz w:val="20"/>
                <w:szCs w:val="20"/>
              </w:rPr>
              <w:t>39</w:t>
            </w:r>
          </w:p>
        </w:tc>
        <w:tc>
          <w:tcPr>
            <w:tcW w:w="522" w:type="pct"/>
            <w:tcBorders>
              <w:top w:val="nil"/>
              <w:bottom w:val="single" w:sz="4" w:space="0" w:color="auto"/>
            </w:tcBorders>
            <w:vAlign w:val="center"/>
          </w:tcPr>
          <w:p w:rsidR="00DA0E69" w:rsidRDefault="00DA0E69">
            <w:pPr>
              <w:jc w:val="center"/>
              <w:rPr>
                <w:rFonts w:cs="Arial"/>
                <w:sz w:val="20"/>
                <w:szCs w:val="20"/>
              </w:rPr>
            </w:pPr>
            <w:r>
              <w:rPr>
                <w:rFonts w:cs="Arial"/>
                <w:sz w:val="20"/>
                <w:szCs w:val="20"/>
              </w:rPr>
              <w:t>40</w:t>
            </w:r>
          </w:p>
        </w:tc>
        <w:tc>
          <w:tcPr>
            <w:tcW w:w="595" w:type="pct"/>
            <w:tcBorders>
              <w:top w:val="nil"/>
              <w:bottom w:val="single" w:sz="4" w:space="0" w:color="auto"/>
            </w:tcBorders>
            <w:vAlign w:val="center"/>
          </w:tcPr>
          <w:p w:rsidR="00DA0E69" w:rsidRDefault="00DA0E69">
            <w:pPr>
              <w:jc w:val="center"/>
              <w:rPr>
                <w:rFonts w:cs="Arial"/>
                <w:sz w:val="20"/>
                <w:szCs w:val="20"/>
              </w:rPr>
            </w:pPr>
            <w:r>
              <w:rPr>
                <w:rFonts w:cs="Arial"/>
                <w:sz w:val="20"/>
                <w:szCs w:val="20"/>
              </w:rPr>
              <w:t>41</w:t>
            </w:r>
          </w:p>
        </w:tc>
      </w:tr>
    </w:tbl>
    <w:p w:rsidR="00BC18FB" w:rsidRPr="00DD0358" w:rsidRDefault="003625A6" w:rsidP="00FF0D8A">
      <w:pPr>
        <w:pStyle w:val="Heading4"/>
        <w:ind w:hanging="338"/>
        <w:rPr>
          <w:color w:val="2272A3"/>
          <w:sz w:val="24"/>
        </w:rPr>
      </w:pPr>
      <w:r w:rsidRPr="00DD0358">
        <w:rPr>
          <w:color w:val="2272A3"/>
          <w:sz w:val="24"/>
          <w:szCs w:val="24"/>
        </w:rPr>
        <w:t>ADL daily hub offers and daily hub bids in price bands ($/GJ)</w:t>
      </w:r>
    </w:p>
    <w:p w:rsidR="00362B9A" w:rsidRPr="00362B9A" w:rsidRDefault="006B5D41" w:rsidP="00362B9A">
      <w:r>
        <w:pict>
          <v:shape id="_x0000_i1033" type="#_x0000_t75" alt="Figure 3.2 shows the daily hub offers and bid in within certain price bands in Adelaide this week. The line indicates the scheduled quantity for each day. For a more detailed description of this figure, please refer to the user guide." style="width:475.45pt;height:170.5pt">
            <v:imagedata r:id="rId22" o:title=""/>
          </v:shape>
        </w:pict>
      </w:r>
    </w:p>
    <w:p w:rsidR="00BC18FB" w:rsidRPr="00DD0358" w:rsidRDefault="003625A6" w:rsidP="00FF0D8A">
      <w:pPr>
        <w:pStyle w:val="Heading4"/>
        <w:ind w:hanging="338"/>
        <w:rPr>
          <w:color w:val="2272A3"/>
          <w:sz w:val="24"/>
        </w:rPr>
      </w:pPr>
      <w:r w:rsidRPr="00DD0358">
        <w:rPr>
          <w:color w:val="2272A3"/>
          <w:sz w:val="24"/>
          <w:szCs w:val="24"/>
        </w:rPr>
        <w:t>ADL net scheduled and allocated gas hub supply (excluding MOS)</w:t>
      </w:r>
    </w:p>
    <w:p w:rsidR="00362B9A" w:rsidRPr="00362B9A" w:rsidRDefault="006B5D41" w:rsidP="00362B9A">
      <w:r>
        <w:pict>
          <v:shape id="_x0000_i1034" type="#_x0000_t75" alt="Figure 3.3 shows the daily scheduled and allocated quantities sorted by facility for Adelaide this week. For a more detailed description of this figure, please refer to the user guide." style="width:477.5pt;height:105.95pt">
            <v:imagedata r:id="rId23" o:title=""/>
          </v:shape>
        </w:pict>
      </w:r>
    </w:p>
    <w:p w:rsidR="00BC18FB" w:rsidRPr="00DD0358" w:rsidRDefault="004560B0" w:rsidP="003625A6">
      <w:pPr>
        <w:pStyle w:val="Heading4"/>
        <w:ind w:hanging="338"/>
        <w:rPr>
          <w:color w:val="2272A3"/>
          <w:sz w:val="24"/>
          <w:szCs w:val="24"/>
        </w:rPr>
      </w:pPr>
      <w:r w:rsidRPr="00DD0358">
        <w:rPr>
          <w:color w:val="2272A3"/>
          <w:sz w:val="24"/>
          <w:szCs w:val="24"/>
        </w:rPr>
        <w:t>ADL</w:t>
      </w:r>
      <w:r w:rsidR="003625A6" w:rsidRPr="00DD0358">
        <w:rPr>
          <w:color w:val="2272A3"/>
          <w:sz w:val="24"/>
          <w:szCs w:val="24"/>
        </w:rPr>
        <w:t xml:space="preserve"> MOS allocations (TJ), service payments and commodity payments/charges ($000)</w:t>
      </w:r>
    </w:p>
    <w:p w:rsidR="00362B9A" w:rsidRDefault="006B5D41" w:rsidP="00362B9A">
      <w:r>
        <w:pict>
          <v:shape id="_x0000_i1035" type="#_x0000_t75" alt="Figure 3.4 shows the daily MOS allocations sorted by facility for each facility in Adelaide this week. The figure also shows the daily breakdown of costs associated with the MOS provided. For a more detailed description of this figure, please refer to the user guide." style="width:476.15pt;height:149.45pt">
            <v:imagedata r:id="rId24" o:title=""/>
          </v:shape>
        </w:pict>
      </w:r>
    </w:p>
    <w:p w:rsidR="00BC18FB" w:rsidRDefault="00AE309F" w:rsidP="003625A6">
      <w:pPr>
        <w:pStyle w:val="Heading3"/>
        <w:ind w:firstLine="0"/>
        <w:rPr>
          <w:color w:val="2272A3"/>
          <w:sz w:val="32"/>
          <w:szCs w:val="32"/>
        </w:rPr>
      </w:pPr>
      <w:r>
        <w:rPr>
          <w:color w:val="2272A3"/>
          <w:sz w:val="32"/>
          <w:szCs w:val="32"/>
        </w:rPr>
        <w:br w:type="page"/>
      </w:r>
      <w:r w:rsidR="00BC18FB" w:rsidRPr="003625A6">
        <w:rPr>
          <w:color w:val="2272A3"/>
          <w:sz w:val="32"/>
          <w:szCs w:val="32"/>
        </w:rPr>
        <w:lastRenderedPageBreak/>
        <w:t>B</w:t>
      </w:r>
      <w:r w:rsidR="00362B9A" w:rsidRPr="003625A6">
        <w:rPr>
          <w:color w:val="2272A3"/>
          <w:sz w:val="32"/>
          <w:szCs w:val="32"/>
        </w:rPr>
        <w:t>risbane STTM</w:t>
      </w:r>
    </w:p>
    <w:p w:rsidR="003625A6" w:rsidRPr="003625A6" w:rsidRDefault="003625A6" w:rsidP="00345444">
      <w:pPr>
        <w:jc w:val="both"/>
      </w:pPr>
      <w:r>
        <w:t>The Brisbane STTM hub functions in the same way as the Sydney STTM hub.  The same data that was presented for the Sydney hub is presented for the Brisbane hub in the figures below.</w:t>
      </w:r>
    </w:p>
    <w:p w:rsidR="00BC18FB" w:rsidRDefault="003625A6" w:rsidP="00FF0D8A">
      <w:pPr>
        <w:pStyle w:val="Heading4"/>
        <w:ind w:hanging="338"/>
        <w:rPr>
          <w:color w:val="2272A3"/>
          <w:sz w:val="24"/>
          <w:szCs w:val="24"/>
        </w:rPr>
      </w:pPr>
      <w:r>
        <w:rPr>
          <w:color w:val="2272A3"/>
          <w:sz w:val="24"/>
          <w:szCs w:val="24"/>
        </w:rPr>
        <w:t>BRI</w:t>
      </w:r>
      <w:r w:rsidRPr="00362B9A">
        <w:rPr>
          <w:color w:val="2272A3"/>
          <w:sz w:val="24"/>
          <w:szCs w:val="24"/>
        </w:rPr>
        <w:t xml:space="preserve"> STTM daily ex ante and ex post prices and quantities</w:t>
      </w:r>
    </w:p>
    <w:tbl>
      <w:tblPr>
        <w:tblStyle w:val="AERTable-Text0"/>
        <w:tblW w:w="4851" w:type="pct"/>
        <w:tblLook w:val="04A0" w:firstRow="1" w:lastRow="0" w:firstColumn="1" w:lastColumn="0" w:noHBand="0" w:noVBand="1"/>
      </w:tblPr>
      <w:tblGrid>
        <w:gridCol w:w="2079"/>
        <w:gridCol w:w="1128"/>
        <w:gridCol w:w="989"/>
        <w:gridCol w:w="1145"/>
        <w:gridCol w:w="1006"/>
        <w:gridCol w:w="992"/>
        <w:gridCol w:w="987"/>
        <w:gridCol w:w="1125"/>
      </w:tblGrid>
      <w:tr w:rsidR="00F114D5" w:rsidRPr="00405CDE" w:rsidTr="00ED3374">
        <w:trPr>
          <w:cnfStyle w:val="100000000000" w:firstRow="1" w:lastRow="0" w:firstColumn="0" w:lastColumn="0" w:oddVBand="0" w:evenVBand="0" w:oddHBand="0" w:evenHBand="0" w:firstRowFirstColumn="0" w:firstRowLastColumn="0" w:lastRowFirstColumn="0" w:lastRowLastColumn="0"/>
          <w:tblHeader/>
        </w:trPr>
        <w:tc>
          <w:tcPr>
            <w:tcW w:w="1100" w:type="pct"/>
            <w:tcBorders>
              <w:bottom w:val="nil"/>
            </w:tcBorders>
            <w:hideMark/>
          </w:tcPr>
          <w:p w:rsidR="00F114D5" w:rsidRPr="00DC24BF" w:rsidRDefault="00F114D5" w:rsidP="007A51E1">
            <w:pPr>
              <w:pStyle w:val="TableHeading"/>
              <w:spacing w:before="0" w:after="0"/>
              <w:jc w:val="center"/>
              <w:rPr>
                <w:rFonts w:cs="Arial"/>
                <w:sz w:val="20"/>
                <w:szCs w:val="20"/>
              </w:rPr>
            </w:pPr>
          </w:p>
        </w:tc>
        <w:tc>
          <w:tcPr>
            <w:tcW w:w="597"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Sun</w:t>
            </w:r>
          </w:p>
        </w:tc>
        <w:tc>
          <w:tcPr>
            <w:tcW w:w="523"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Mon</w:t>
            </w:r>
          </w:p>
        </w:tc>
        <w:tc>
          <w:tcPr>
            <w:tcW w:w="606"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Tue</w:t>
            </w:r>
          </w:p>
        </w:tc>
        <w:tc>
          <w:tcPr>
            <w:tcW w:w="532"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Wed</w:t>
            </w:r>
          </w:p>
        </w:tc>
        <w:tc>
          <w:tcPr>
            <w:tcW w:w="525"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Thu</w:t>
            </w:r>
          </w:p>
        </w:tc>
        <w:tc>
          <w:tcPr>
            <w:tcW w:w="522"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Fri</w:t>
            </w:r>
          </w:p>
        </w:tc>
        <w:tc>
          <w:tcPr>
            <w:tcW w:w="595"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Sat</w:t>
            </w:r>
          </w:p>
        </w:tc>
      </w:tr>
      <w:tr w:rsidR="00DA0E69" w:rsidRPr="00405CDE" w:rsidTr="00ED3374">
        <w:trPr>
          <w:trHeight w:val="510"/>
        </w:trPr>
        <w:tc>
          <w:tcPr>
            <w:tcW w:w="1100" w:type="pct"/>
            <w:tcBorders>
              <w:top w:val="nil"/>
              <w:bottom w:val="nil"/>
            </w:tcBorders>
            <w:vAlign w:val="center"/>
          </w:tcPr>
          <w:p w:rsidR="00DA0E69" w:rsidRDefault="00DA0E69">
            <w:pPr>
              <w:rPr>
                <w:rFonts w:cs="Arial"/>
                <w:sz w:val="20"/>
                <w:szCs w:val="20"/>
              </w:rPr>
            </w:pPr>
            <w:r>
              <w:rPr>
                <w:rFonts w:cs="Arial"/>
                <w:sz w:val="20"/>
                <w:szCs w:val="20"/>
              </w:rPr>
              <w:t>Ex ante price ($/GJ)</w:t>
            </w:r>
          </w:p>
        </w:tc>
        <w:tc>
          <w:tcPr>
            <w:tcW w:w="597" w:type="pct"/>
            <w:tcBorders>
              <w:top w:val="nil"/>
              <w:bottom w:val="nil"/>
            </w:tcBorders>
            <w:vAlign w:val="center"/>
          </w:tcPr>
          <w:p w:rsidR="00DA0E69" w:rsidRDefault="00DA0E69">
            <w:pPr>
              <w:jc w:val="center"/>
              <w:rPr>
                <w:rFonts w:cs="Arial"/>
                <w:sz w:val="20"/>
                <w:szCs w:val="20"/>
              </w:rPr>
            </w:pPr>
            <w:r>
              <w:rPr>
                <w:rFonts w:cs="Arial"/>
                <w:sz w:val="20"/>
                <w:szCs w:val="20"/>
              </w:rPr>
              <w:t>3.07</w:t>
            </w:r>
          </w:p>
        </w:tc>
        <w:tc>
          <w:tcPr>
            <w:tcW w:w="523" w:type="pct"/>
            <w:tcBorders>
              <w:top w:val="nil"/>
              <w:bottom w:val="nil"/>
            </w:tcBorders>
            <w:vAlign w:val="center"/>
          </w:tcPr>
          <w:p w:rsidR="00DA0E69" w:rsidRDefault="00DA0E69">
            <w:pPr>
              <w:jc w:val="center"/>
              <w:rPr>
                <w:rFonts w:cs="Arial"/>
                <w:sz w:val="20"/>
                <w:szCs w:val="20"/>
              </w:rPr>
            </w:pPr>
            <w:r>
              <w:rPr>
                <w:rFonts w:cs="Arial"/>
                <w:sz w:val="20"/>
                <w:szCs w:val="20"/>
              </w:rPr>
              <w:t>4.17</w:t>
            </w:r>
          </w:p>
        </w:tc>
        <w:tc>
          <w:tcPr>
            <w:tcW w:w="606" w:type="pct"/>
            <w:tcBorders>
              <w:top w:val="nil"/>
              <w:bottom w:val="nil"/>
            </w:tcBorders>
            <w:vAlign w:val="center"/>
          </w:tcPr>
          <w:p w:rsidR="00DA0E69" w:rsidRDefault="00DA0E69">
            <w:pPr>
              <w:jc w:val="center"/>
              <w:rPr>
                <w:rFonts w:cs="Arial"/>
                <w:sz w:val="20"/>
                <w:szCs w:val="20"/>
              </w:rPr>
            </w:pPr>
            <w:r>
              <w:rPr>
                <w:rFonts w:cs="Arial"/>
                <w:sz w:val="20"/>
                <w:szCs w:val="20"/>
              </w:rPr>
              <w:t>3.78</w:t>
            </w:r>
          </w:p>
        </w:tc>
        <w:tc>
          <w:tcPr>
            <w:tcW w:w="532" w:type="pct"/>
            <w:tcBorders>
              <w:top w:val="nil"/>
              <w:bottom w:val="nil"/>
            </w:tcBorders>
            <w:vAlign w:val="center"/>
          </w:tcPr>
          <w:p w:rsidR="00DA0E69" w:rsidRDefault="00DA0E69">
            <w:pPr>
              <w:jc w:val="center"/>
              <w:rPr>
                <w:rFonts w:cs="Arial"/>
                <w:sz w:val="20"/>
                <w:szCs w:val="20"/>
              </w:rPr>
            </w:pPr>
            <w:r>
              <w:rPr>
                <w:rFonts w:cs="Arial"/>
                <w:sz w:val="20"/>
                <w:szCs w:val="20"/>
              </w:rPr>
              <w:t>3.80</w:t>
            </w:r>
          </w:p>
        </w:tc>
        <w:tc>
          <w:tcPr>
            <w:tcW w:w="525" w:type="pct"/>
            <w:tcBorders>
              <w:top w:val="nil"/>
              <w:bottom w:val="nil"/>
            </w:tcBorders>
            <w:vAlign w:val="center"/>
          </w:tcPr>
          <w:p w:rsidR="00DA0E69" w:rsidRDefault="00DA0E69">
            <w:pPr>
              <w:jc w:val="center"/>
              <w:rPr>
                <w:rFonts w:cs="Arial"/>
                <w:sz w:val="20"/>
                <w:szCs w:val="20"/>
              </w:rPr>
            </w:pPr>
            <w:r>
              <w:rPr>
                <w:rFonts w:cs="Arial"/>
                <w:sz w:val="20"/>
                <w:szCs w:val="20"/>
              </w:rPr>
              <w:t>3.70</w:t>
            </w:r>
          </w:p>
        </w:tc>
        <w:tc>
          <w:tcPr>
            <w:tcW w:w="522" w:type="pct"/>
            <w:tcBorders>
              <w:top w:val="nil"/>
              <w:bottom w:val="nil"/>
            </w:tcBorders>
            <w:vAlign w:val="center"/>
          </w:tcPr>
          <w:p w:rsidR="00DA0E69" w:rsidRDefault="00DA0E69">
            <w:pPr>
              <w:jc w:val="center"/>
              <w:rPr>
                <w:rFonts w:cs="Arial"/>
                <w:sz w:val="20"/>
                <w:szCs w:val="20"/>
              </w:rPr>
            </w:pPr>
            <w:r>
              <w:rPr>
                <w:rFonts w:cs="Arial"/>
                <w:sz w:val="20"/>
                <w:szCs w:val="20"/>
              </w:rPr>
              <w:t>3.49</w:t>
            </w:r>
          </w:p>
        </w:tc>
        <w:tc>
          <w:tcPr>
            <w:tcW w:w="595" w:type="pct"/>
            <w:tcBorders>
              <w:top w:val="nil"/>
              <w:bottom w:val="nil"/>
            </w:tcBorders>
            <w:vAlign w:val="center"/>
          </w:tcPr>
          <w:p w:rsidR="00DA0E69" w:rsidRDefault="00DA0E69">
            <w:pPr>
              <w:jc w:val="center"/>
              <w:rPr>
                <w:rFonts w:cs="Arial"/>
                <w:sz w:val="20"/>
                <w:szCs w:val="20"/>
              </w:rPr>
            </w:pPr>
            <w:r>
              <w:rPr>
                <w:rFonts w:cs="Arial"/>
                <w:sz w:val="20"/>
                <w:szCs w:val="20"/>
              </w:rPr>
              <w:t>2.60</w:t>
            </w:r>
          </w:p>
        </w:tc>
      </w:tr>
      <w:tr w:rsidR="00DA0E69" w:rsidRPr="00405CDE" w:rsidTr="00ED3374">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nil"/>
            </w:tcBorders>
            <w:vAlign w:val="center"/>
          </w:tcPr>
          <w:p w:rsidR="00DA0E69" w:rsidRDefault="00DA0E69">
            <w:pPr>
              <w:rPr>
                <w:rFonts w:cs="Arial"/>
                <w:sz w:val="20"/>
                <w:szCs w:val="20"/>
              </w:rPr>
            </w:pPr>
            <w:r>
              <w:rPr>
                <w:rFonts w:cs="Arial"/>
                <w:sz w:val="20"/>
                <w:szCs w:val="20"/>
              </w:rPr>
              <w:t>Ex ante quantity (TJ)</w:t>
            </w:r>
          </w:p>
        </w:tc>
        <w:tc>
          <w:tcPr>
            <w:tcW w:w="597" w:type="pct"/>
            <w:tcBorders>
              <w:top w:val="nil"/>
              <w:bottom w:val="nil"/>
            </w:tcBorders>
            <w:vAlign w:val="center"/>
          </w:tcPr>
          <w:p w:rsidR="00DA0E69" w:rsidRDefault="00DA0E69">
            <w:pPr>
              <w:jc w:val="center"/>
              <w:rPr>
                <w:rFonts w:cs="Arial"/>
                <w:sz w:val="20"/>
                <w:szCs w:val="20"/>
              </w:rPr>
            </w:pPr>
            <w:r>
              <w:rPr>
                <w:rFonts w:cs="Arial"/>
                <w:sz w:val="20"/>
                <w:szCs w:val="20"/>
              </w:rPr>
              <w:t>73</w:t>
            </w:r>
          </w:p>
        </w:tc>
        <w:tc>
          <w:tcPr>
            <w:tcW w:w="523" w:type="pct"/>
            <w:tcBorders>
              <w:top w:val="nil"/>
              <w:bottom w:val="nil"/>
            </w:tcBorders>
            <w:vAlign w:val="center"/>
          </w:tcPr>
          <w:p w:rsidR="00DA0E69" w:rsidRDefault="00DA0E69">
            <w:pPr>
              <w:jc w:val="center"/>
              <w:rPr>
                <w:rFonts w:cs="Arial"/>
                <w:sz w:val="20"/>
                <w:szCs w:val="20"/>
              </w:rPr>
            </w:pPr>
            <w:r>
              <w:rPr>
                <w:rFonts w:cs="Arial"/>
                <w:sz w:val="20"/>
                <w:szCs w:val="20"/>
              </w:rPr>
              <w:t>84</w:t>
            </w:r>
          </w:p>
        </w:tc>
        <w:tc>
          <w:tcPr>
            <w:tcW w:w="606" w:type="pct"/>
            <w:tcBorders>
              <w:top w:val="nil"/>
              <w:bottom w:val="nil"/>
            </w:tcBorders>
            <w:vAlign w:val="center"/>
          </w:tcPr>
          <w:p w:rsidR="00DA0E69" w:rsidRDefault="00DA0E69">
            <w:pPr>
              <w:jc w:val="center"/>
              <w:rPr>
                <w:rFonts w:cs="Arial"/>
                <w:sz w:val="20"/>
                <w:szCs w:val="20"/>
              </w:rPr>
            </w:pPr>
            <w:r>
              <w:rPr>
                <w:rFonts w:cs="Arial"/>
                <w:sz w:val="20"/>
                <w:szCs w:val="20"/>
              </w:rPr>
              <w:t>80</w:t>
            </w:r>
          </w:p>
        </w:tc>
        <w:tc>
          <w:tcPr>
            <w:tcW w:w="532" w:type="pct"/>
            <w:tcBorders>
              <w:top w:val="nil"/>
              <w:bottom w:val="nil"/>
            </w:tcBorders>
            <w:vAlign w:val="center"/>
          </w:tcPr>
          <w:p w:rsidR="00DA0E69" w:rsidRDefault="00DA0E69">
            <w:pPr>
              <w:jc w:val="center"/>
              <w:rPr>
                <w:rFonts w:cs="Arial"/>
                <w:sz w:val="20"/>
                <w:szCs w:val="20"/>
              </w:rPr>
            </w:pPr>
            <w:r>
              <w:rPr>
                <w:rFonts w:cs="Arial"/>
                <w:sz w:val="20"/>
                <w:szCs w:val="20"/>
              </w:rPr>
              <w:t>80</w:t>
            </w:r>
          </w:p>
        </w:tc>
        <w:tc>
          <w:tcPr>
            <w:tcW w:w="525" w:type="pct"/>
            <w:tcBorders>
              <w:top w:val="nil"/>
              <w:bottom w:val="nil"/>
            </w:tcBorders>
            <w:vAlign w:val="center"/>
          </w:tcPr>
          <w:p w:rsidR="00DA0E69" w:rsidRDefault="00DA0E69">
            <w:pPr>
              <w:jc w:val="center"/>
              <w:rPr>
                <w:rFonts w:cs="Arial"/>
                <w:sz w:val="20"/>
                <w:szCs w:val="20"/>
              </w:rPr>
            </w:pPr>
            <w:r>
              <w:rPr>
                <w:rFonts w:cs="Arial"/>
                <w:sz w:val="20"/>
                <w:szCs w:val="20"/>
              </w:rPr>
              <w:t>74</w:t>
            </w:r>
          </w:p>
        </w:tc>
        <w:tc>
          <w:tcPr>
            <w:tcW w:w="522" w:type="pct"/>
            <w:tcBorders>
              <w:top w:val="nil"/>
              <w:bottom w:val="nil"/>
            </w:tcBorders>
            <w:vAlign w:val="center"/>
          </w:tcPr>
          <w:p w:rsidR="00DA0E69" w:rsidRDefault="00DA0E69">
            <w:pPr>
              <w:jc w:val="center"/>
              <w:rPr>
                <w:rFonts w:cs="Arial"/>
                <w:sz w:val="20"/>
                <w:szCs w:val="20"/>
              </w:rPr>
            </w:pPr>
            <w:r>
              <w:rPr>
                <w:rFonts w:cs="Arial"/>
                <w:sz w:val="20"/>
                <w:szCs w:val="20"/>
              </w:rPr>
              <w:t>67</w:t>
            </w:r>
          </w:p>
        </w:tc>
        <w:tc>
          <w:tcPr>
            <w:tcW w:w="595" w:type="pct"/>
            <w:tcBorders>
              <w:top w:val="nil"/>
              <w:bottom w:val="nil"/>
            </w:tcBorders>
            <w:vAlign w:val="center"/>
          </w:tcPr>
          <w:p w:rsidR="00DA0E69" w:rsidRDefault="00DA0E69">
            <w:pPr>
              <w:jc w:val="center"/>
              <w:rPr>
                <w:rFonts w:cs="Arial"/>
                <w:sz w:val="20"/>
                <w:szCs w:val="20"/>
              </w:rPr>
            </w:pPr>
            <w:r>
              <w:rPr>
                <w:rFonts w:cs="Arial"/>
                <w:sz w:val="20"/>
                <w:szCs w:val="20"/>
              </w:rPr>
              <w:t>67</w:t>
            </w:r>
          </w:p>
        </w:tc>
      </w:tr>
      <w:tr w:rsidR="00DA0E69" w:rsidRPr="00405CDE" w:rsidTr="00ED3374">
        <w:trPr>
          <w:trHeight w:val="510"/>
        </w:trPr>
        <w:tc>
          <w:tcPr>
            <w:tcW w:w="1100" w:type="pct"/>
            <w:tcBorders>
              <w:top w:val="nil"/>
              <w:bottom w:val="nil"/>
            </w:tcBorders>
            <w:vAlign w:val="center"/>
          </w:tcPr>
          <w:p w:rsidR="00DA0E69" w:rsidRDefault="00DA0E69">
            <w:pPr>
              <w:rPr>
                <w:rFonts w:cs="Arial"/>
                <w:sz w:val="20"/>
                <w:szCs w:val="20"/>
              </w:rPr>
            </w:pPr>
            <w:r>
              <w:rPr>
                <w:rFonts w:cs="Arial"/>
                <w:sz w:val="20"/>
                <w:szCs w:val="20"/>
              </w:rPr>
              <w:t>Ex post price ($/GJ)</w:t>
            </w:r>
          </w:p>
        </w:tc>
        <w:tc>
          <w:tcPr>
            <w:tcW w:w="597" w:type="pct"/>
            <w:tcBorders>
              <w:top w:val="nil"/>
              <w:bottom w:val="nil"/>
            </w:tcBorders>
            <w:vAlign w:val="center"/>
          </w:tcPr>
          <w:p w:rsidR="00DA0E69" w:rsidRDefault="00DA0E69">
            <w:pPr>
              <w:jc w:val="center"/>
              <w:rPr>
                <w:rFonts w:cs="Arial"/>
                <w:sz w:val="20"/>
                <w:szCs w:val="20"/>
              </w:rPr>
            </w:pPr>
            <w:r>
              <w:rPr>
                <w:rFonts w:cs="Arial"/>
                <w:sz w:val="20"/>
                <w:szCs w:val="20"/>
              </w:rPr>
              <w:t>3.15</w:t>
            </w:r>
          </w:p>
        </w:tc>
        <w:tc>
          <w:tcPr>
            <w:tcW w:w="523" w:type="pct"/>
            <w:tcBorders>
              <w:top w:val="nil"/>
              <w:bottom w:val="nil"/>
            </w:tcBorders>
            <w:vAlign w:val="center"/>
          </w:tcPr>
          <w:p w:rsidR="00DA0E69" w:rsidRDefault="00DA0E69">
            <w:pPr>
              <w:jc w:val="center"/>
              <w:rPr>
                <w:rFonts w:cs="Arial"/>
                <w:sz w:val="20"/>
                <w:szCs w:val="20"/>
              </w:rPr>
            </w:pPr>
            <w:r>
              <w:rPr>
                <w:rFonts w:cs="Arial"/>
                <w:sz w:val="20"/>
                <w:szCs w:val="20"/>
              </w:rPr>
              <w:t>4.40</w:t>
            </w:r>
          </w:p>
        </w:tc>
        <w:tc>
          <w:tcPr>
            <w:tcW w:w="606" w:type="pct"/>
            <w:tcBorders>
              <w:top w:val="nil"/>
              <w:bottom w:val="nil"/>
            </w:tcBorders>
            <w:vAlign w:val="center"/>
          </w:tcPr>
          <w:p w:rsidR="00DA0E69" w:rsidRDefault="00DA0E69">
            <w:pPr>
              <w:jc w:val="center"/>
              <w:rPr>
                <w:rFonts w:cs="Arial"/>
                <w:sz w:val="20"/>
                <w:szCs w:val="20"/>
              </w:rPr>
            </w:pPr>
            <w:r>
              <w:rPr>
                <w:rFonts w:cs="Arial"/>
                <w:sz w:val="20"/>
                <w:szCs w:val="20"/>
              </w:rPr>
              <w:t>5.25</w:t>
            </w:r>
          </w:p>
        </w:tc>
        <w:tc>
          <w:tcPr>
            <w:tcW w:w="532" w:type="pct"/>
            <w:tcBorders>
              <w:top w:val="nil"/>
              <w:bottom w:val="nil"/>
            </w:tcBorders>
            <w:vAlign w:val="center"/>
          </w:tcPr>
          <w:p w:rsidR="00DA0E69" w:rsidRDefault="00DA0E69">
            <w:pPr>
              <w:jc w:val="center"/>
              <w:rPr>
                <w:rFonts w:cs="Arial"/>
                <w:sz w:val="20"/>
                <w:szCs w:val="20"/>
              </w:rPr>
            </w:pPr>
            <w:r>
              <w:rPr>
                <w:rFonts w:cs="Arial"/>
                <w:sz w:val="20"/>
                <w:szCs w:val="20"/>
              </w:rPr>
              <w:t>3.80</w:t>
            </w:r>
          </w:p>
        </w:tc>
        <w:tc>
          <w:tcPr>
            <w:tcW w:w="525" w:type="pct"/>
            <w:tcBorders>
              <w:top w:val="nil"/>
              <w:bottom w:val="nil"/>
            </w:tcBorders>
            <w:vAlign w:val="center"/>
          </w:tcPr>
          <w:p w:rsidR="00DA0E69" w:rsidRDefault="00DA0E69">
            <w:pPr>
              <w:jc w:val="center"/>
              <w:rPr>
                <w:rFonts w:cs="Arial"/>
                <w:sz w:val="20"/>
                <w:szCs w:val="20"/>
              </w:rPr>
            </w:pPr>
            <w:r>
              <w:rPr>
                <w:rFonts w:cs="Arial"/>
                <w:sz w:val="20"/>
                <w:szCs w:val="20"/>
              </w:rPr>
              <w:t>3.70</w:t>
            </w:r>
          </w:p>
        </w:tc>
        <w:tc>
          <w:tcPr>
            <w:tcW w:w="522" w:type="pct"/>
            <w:tcBorders>
              <w:top w:val="nil"/>
              <w:bottom w:val="nil"/>
            </w:tcBorders>
            <w:vAlign w:val="center"/>
          </w:tcPr>
          <w:p w:rsidR="00DA0E69" w:rsidRDefault="00DA0E69">
            <w:pPr>
              <w:jc w:val="center"/>
              <w:rPr>
                <w:rFonts w:cs="Arial"/>
                <w:sz w:val="20"/>
                <w:szCs w:val="20"/>
              </w:rPr>
            </w:pPr>
            <w:r>
              <w:rPr>
                <w:rFonts w:cs="Arial"/>
                <w:sz w:val="20"/>
                <w:szCs w:val="20"/>
              </w:rPr>
              <w:t>3.49</w:t>
            </w:r>
          </w:p>
        </w:tc>
        <w:tc>
          <w:tcPr>
            <w:tcW w:w="595" w:type="pct"/>
            <w:tcBorders>
              <w:top w:val="nil"/>
              <w:bottom w:val="nil"/>
            </w:tcBorders>
            <w:vAlign w:val="center"/>
          </w:tcPr>
          <w:p w:rsidR="00DA0E69" w:rsidRDefault="00DA0E69">
            <w:pPr>
              <w:jc w:val="center"/>
              <w:rPr>
                <w:rFonts w:cs="Arial"/>
                <w:sz w:val="20"/>
                <w:szCs w:val="20"/>
              </w:rPr>
            </w:pPr>
            <w:r>
              <w:rPr>
                <w:rFonts w:cs="Arial"/>
                <w:sz w:val="20"/>
                <w:szCs w:val="20"/>
              </w:rPr>
              <w:t>2.55</w:t>
            </w:r>
          </w:p>
        </w:tc>
      </w:tr>
      <w:tr w:rsidR="00DA0E69" w:rsidRPr="00405CDE" w:rsidTr="00ED3374">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single" w:sz="4" w:space="0" w:color="auto"/>
            </w:tcBorders>
            <w:vAlign w:val="center"/>
          </w:tcPr>
          <w:p w:rsidR="00DA0E69" w:rsidRDefault="00DA0E69">
            <w:pPr>
              <w:rPr>
                <w:rFonts w:cs="Arial"/>
                <w:sz w:val="20"/>
                <w:szCs w:val="20"/>
              </w:rPr>
            </w:pPr>
            <w:r>
              <w:rPr>
                <w:rFonts w:cs="Arial"/>
                <w:sz w:val="20"/>
                <w:szCs w:val="20"/>
              </w:rPr>
              <w:t>Ex post quantity (TJ)</w:t>
            </w:r>
          </w:p>
        </w:tc>
        <w:tc>
          <w:tcPr>
            <w:tcW w:w="597" w:type="pct"/>
            <w:tcBorders>
              <w:top w:val="nil"/>
              <w:bottom w:val="single" w:sz="4" w:space="0" w:color="auto"/>
            </w:tcBorders>
            <w:vAlign w:val="center"/>
          </w:tcPr>
          <w:p w:rsidR="00DA0E69" w:rsidRDefault="00DA0E69">
            <w:pPr>
              <w:jc w:val="center"/>
              <w:rPr>
                <w:rFonts w:cs="Arial"/>
                <w:sz w:val="20"/>
                <w:szCs w:val="20"/>
              </w:rPr>
            </w:pPr>
            <w:r>
              <w:rPr>
                <w:rFonts w:cs="Arial"/>
                <w:sz w:val="20"/>
                <w:szCs w:val="20"/>
              </w:rPr>
              <w:t>76</w:t>
            </w:r>
          </w:p>
        </w:tc>
        <w:tc>
          <w:tcPr>
            <w:tcW w:w="523" w:type="pct"/>
            <w:tcBorders>
              <w:top w:val="nil"/>
              <w:bottom w:val="single" w:sz="4" w:space="0" w:color="auto"/>
            </w:tcBorders>
            <w:vAlign w:val="center"/>
          </w:tcPr>
          <w:p w:rsidR="00DA0E69" w:rsidRDefault="00DA0E69">
            <w:pPr>
              <w:jc w:val="center"/>
              <w:rPr>
                <w:rFonts w:cs="Arial"/>
                <w:sz w:val="20"/>
                <w:szCs w:val="20"/>
              </w:rPr>
            </w:pPr>
            <w:r>
              <w:rPr>
                <w:rFonts w:cs="Arial"/>
                <w:sz w:val="20"/>
                <w:szCs w:val="20"/>
              </w:rPr>
              <w:t>85</w:t>
            </w:r>
          </w:p>
        </w:tc>
        <w:tc>
          <w:tcPr>
            <w:tcW w:w="606" w:type="pct"/>
            <w:tcBorders>
              <w:top w:val="nil"/>
              <w:bottom w:val="single" w:sz="4" w:space="0" w:color="auto"/>
            </w:tcBorders>
            <w:vAlign w:val="center"/>
          </w:tcPr>
          <w:p w:rsidR="00DA0E69" w:rsidRDefault="00DA0E69">
            <w:pPr>
              <w:jc w:val="center"/>
              <w:rPr>
                <w:rFonts w:cs="Arial"/>
                <w:sz w:val="20"/>
                <w:szCs w:val="20"/>
              </w:rPr>
            </w:pPr>
            <w:r>
              <w:rPr>
                <w:rFonts w:cs="Arial"/>
                <w:sz w:val="20"/>
                <w:szCs w:val="20"/>
              </w:rPr>
              <w:t>82</w:t>
            </w:r>
          </w:p>
        </w:tc>
        <w:tc>
          <w:tcPr>
            <w:tcW w:w="532" w:type="pct"/>
            <w:tcBorders>
              <w:top w:val="nil"/>
              <w:bottom w:val="single" w:sz="4" w:space="0" w:color="auto"/>
            </w:tcBorders>
            <w:vAlign w:val="center"/>
          </w:tcPr>
          <w:p w:rsidR="00DA0E69" w:rsidRDefault="00DA0E69">
            <w:pPr>
              <w:jc w:val="center"/>
              <w:rPr>
                <w:rFonts w:cs="Arial"/>
                <w:sz w:val="20"/>
                <w:szCs w:val="20"/>
              </w:rPr>
            </w:pPr>
            <w:r>
              <w:rPr>
                <w:rFonts w:cs="Arial"/>
                <w:sz w:val="20"/>
                <w:szCs w:val="20"/>
              </w:rPr>
              <w:t>80</w:t>
            </w:r>
          </w:p>
        </w:tc>
        <w:tc>
          <w:tcPr>
            <w:tcW w:w="525" w:type="pct"/>
            <w:tcBorders>
              <w:top w:val="nil"/>
              <w:bottom w:val="single" w:sz="4" w:space="0" w:color="auto"/>
            </w:tcBorders>
            <w:vAlign w:val="center"/>
          </w:tcPr>
          <w:p w:rsidR="00DA0E69" w:rsidRDefault="00DA0E69">
            <w:pPr>
              <w:jc w:val="center"/>
              <w:rPr>
                <w:rFonts w:cs="Arial"/>
                <w:sz w:val="20"/>
                <w:szCs w:val="20"/>
              </w:rPr>
            </w:pPr>
            <w:r>
              <w:rPr>
                <w:rFonts w:cs="Arial"/>
                <w:sz w:val="20"/>
                <w:szCs w:val="20"/>
              </w:rPr>
              <w:t>75</w:t>
            </w:r>
          </w:p>
        </w:tc>
        <w:tc>
          <w:tcPr>
            <w:tcW w:w="522" w:type="pct"/>
            <w:tcBorders>
              <w:top w:val="nil"/>
              <w:bottom w:val="single" w:sz="4" w:space="0" w:color="auto"/>
            </w:tcBorders>
            <w:vAlign w:val="center"/>
          </w:tcPr>
          <w:p w:rsidR="00DA0E69" w:rsidRDefault="00DA0E69">
            <w:pPr>
              <w:jc w:val="center"/>
              <w:rPr>
                <w:rFonts w:cs="Arial"/>
                <w:sz w:val="20"/>
                <w:szCs w:val="20"/>
              </w:rPr>
            </w:pPr>
            <w:r>
              <w:rPr>
                <w:rFonts w:cs="Arial"/>
                <w:sz w:val="20"/>
                <w:szCs w:val="20"/>
              </w:rPr>
              <w:t>67</w:t>
            </w:r>
          </w:p>
        </w:tc>
        <w:tc>
          <w:tcPr>
            <w:tcW w:w="595" w:type="pct"/>
            <w:tcBorders>
              <w:top w:val="nil"/>
              <w:bottom w:val="single" w:sz="4" w:space="0" w:color="auto"/>
            </w:tcBorders>
            <w:vAlign w:val="center"/>
          </w:tcPr>
          <w:p w:rsidR="00DA0E69" w:rsidRDefault="00DA0E69">
            <w:pPr>
              <w:jc w:val="center"/>
              <w:rPr>
                <w:rFonts w:cs="Arial"/>
                <w:sz w:val="20"/>
                <w:szCs w:val="20"/>
              </w:rPr>
            </w:pPr>
            <w:r>
              <w:rPr>
                <w:rFonts w:cs="Arial"/>
                <w:sz w:val="20"/>
                <w:szCs w:val="20"/>
              </w:rPr>
              <w:t>65</w:t>
            </w:r>
          </w:p>
        </w:tc>
      </w:tr>
    </w:tbl>
    <w:p w:rsidR="00BC18FB" w:rsidRPr="00DD0358" w:rsidRDefault="003625A6" w:rsidP="00FF0D8A">
      <w:pPr>
        <w:pStyle w:val="Heading4"/>
        <w:ind w:hanging="338"/>
        <w:rPr>
          <w:color w:val="2272A3"/>
          <w:sz w:val="24"/>
        </w:rPr>
      </w:pPr>
      <w:r w:rsidRPr="00DD0358">
        <w:rPr>
          <w:color w:val="2272A3"/>
          <w:sz w:val="24"/>
          <w:szCs w:val="24"/>
        </w:rPr>
        <w:t>BRI daily hub offers and daily hub bids in price bands ($/GJ)</w:t>
      </w:r>
    </w:p>
    <w:p w:rsidR="00362B9A" w:rsidRPr="00362B9A" w:rsidRDefault="006B5D41" w:rsidP="00362B9A">
      <w:r>
        <w:pict>
          <v:shape id="_x0000_i1036" type="#_x0000_t75" alt="Figure 4.2 shows the daily hub offers and bid in within certain price bands in Brisbane this week. The line indicates the scheduled quantity for each day. For a more detailed description of this figure, please refer to the user guide." style="width:475.45pt;height:171.15pt">
            <v:imagedata r:id="rId25" o:title=""/>
          </v:shape>
        </w:pict>
      </w:r>
    </w:p>
    <w:p w:rsidR="00BC18FB" w:rsidRPr="00DD0358" w:rsidRDefault="003625A6" w:rsidP="00FF0D8A">
      <w:pPr>
        <w:pStyle w:val="Heading4"/>
        <w:ind w:hanging="338"/>
        <w:rPr>
          <w:color w:val="2272A3"/>
          <w:sz w:val="24"/>
        </w:rPr>
      </w:pPr>
      <w:r w:rsidRPr="00DD0358">
        <w:rPr>
          <w:color w:val="2272A3"/>
          <w:sz w:val="24"/>
          <w:szCs w:val="24"/>
        </w:rPr>
        <w:t>BRI net scheduled and allocated gas hub supply (excluding MOS)</w:t>
      </w:r>
    </w:p>
    <w:p w:rsidR="00362B9A" w:rsidRPr="00362B9A" w:rsidRDefault="006B5D41" w:rsidP="00362B9A">
      <w:r>
        <w:pict>
          <v:shape id="_x0000_i1037" type="#_x0000_t75" alt="Figure 4.3 shows the daily scheduled and allocated quantities sorted by facility for Brisbane this week. For a more detailed description of this figure, please refer to the user guide." style="width:477.5pt;height:98.5pt;mso-position-vertical:absolute">
            <v:imagedata r:id="rId26" o:title=""/>
          </v:shape>
        </w:pict>
      </w:r>
    </w:p>
    <w:p w:rsidR="00BC18FB" w:rsidRPr="00DD0358" w:rsidRDefault="004560B0" w:rsidP="004560B0">
      <w:pPr>
        <w:pStyle w:val="Heading4"/>
        <w:ind w:hanging="338"/>
        <w:rPr>
          <w:color w:val="2272A3"/>
          <w:sz w:val="24"/>
          <w:szCs w:val="24"/>
        </w:rPr>
      </w:pPr>
      <w:r w:rsidRPr="00DD0358">
        <w:rPr>
          <w:color w:val="2272A3"/>
          <w:sz w:val="24"/>
          <w:szCs w:val="24"/>
        </w:rPr>
        <w:t>BRI MOS allocations (TJ), service payments and commodity payments/charges ($000)</w:t>
      </w:r>
    </w:p>
    <w:p w:rsidR="004560B0" w:rsidRPr="00362B9A" w:rsidRDefault="006B5D41" w:rsidP="00362B9A">
      <w:r>
        <w:pict>
          <v:shape id="_x0000_i1038" type="#_x0000_t75" alt="Figure 4.4 shows the daily MOS allocations sorted by facility for each facility in Brisbane this week. The figure also shows the daily breakdown of costs associated with the MOS provided. For a more detailed description of this figure, please refer to the user guide." style="width:476.15pt;height:156.25pt">
            <v:imagedata r:id="rId27" o:title=""/>
          </v:shape>
        </w:pict>
      </w:r>
    </w:p>
    <w:p w:rsidR="00BC18FB" w:rsidRDefault="007059A9" w:rsidP="00BC18FB">
      <w:pPr>
        <w:pStyle w:val="Heading3"/>
        <w:ind w:firstLine="0"/>
        <w:rPr>
          <w:color w:val="2272A3"/>
          <w:sz w:val="32"/>
          <w:szCs w:val="32"/>
        </w:rPr>
      </w:pPr>
      <w:r>
        <w:rPr>
          <w:color w:val="2272A3"/>
          <w:sz w:val="32"/>
          <w:szCs w:val="32"/>
        </w:rPr>
        <w:br w:type="page"/>
      </w:r>
      <w:r w:rsidR="00362B9A">
        <w:rPr>
          <w:color w:val="2272A3"/>
          <w:sz w:val="32"/>
          <w:szCs w:val="32"/>
        </w:rPr>
        <w:lastRenderedPageBreak/>
        <w:t>National Gas Bulletin Board</w:t>
      </w:r>
    </w:p>
    <w:p w:rsidR="00362B9A" w:rsidRPr="00362B9A" w:rsidRDefault="004560B0" w:rsidP="00345444">
      <w:pPr>
        <w:jc w:val="both"/>
      </w:pPr>
      <w:r w:rsidRPr="00A475A2">
        <w:t xml:space="preserve">Figure </w:t>
      </w:r>
      <w:r>
        <w:t>5</w:t>
      </w:r>
      <w:r w:rsidRPr="00A475A2">
        <w:t xml:space="preserve">.1 shows average daily </w:t>
      </w:r>
      <w:r>
        <w:t xml:space="preserve">actual </w:t>
      </w:r>
      <w:r w:rsidRPr="00A475A2">
        <w:t>flows for the current week</w:t>
      </w:r>
      <w:r>
        <w:rPr>
          <w:rStyle w:val="FootnoteReference"/>
        </w:rPr>
        <w:footnoteReference w:id="9"/>
      </w:r>
      <w:r>
        <w:t xml:space="preserve"> from </w:t>
      </w:r>
      <w:r w:rsidRPr="00A475A2">
        <w:t xml:space="preserve">the Bulletin Board (changes from the </w:t>
      </w:r>
      <w:r>
        <w:t>previous week’s</w:t>
      </w:r>
      <w:r w:rsidRPr="00A475A2">
        <w:t xml:space="preserve"> average are shown in brackets).</w:t>
      </w:r>
      <w:r w:rsidRPr="00DF25FF">
        <w:t xml:space="preserve"> </w:t>
      </w:r>
      <w:r w:rsidR="004E20BF">
        <w:t>A</w:t>
      </w:r>
      <w:r>
        <w:t>verage daily scheduled volumes and prices</w:t>
      </w:r>
      <w:r>
        <w:rPr>
          <w:rStyle w:val="FootnoteReference"/>
        </w:rPr>
        <w:footnoteReference w:id="10"/>
      </w:r>
      <w:r>
        <w:t xml:space="preserve"> </w:t>
      </w:r>
      <w:r w:rsidR="004E20BF">
        <w:t xml:space="preserve">are provided </w:t>
      </w:r>
      <w:r w:rsidR="00A270DD">
        <w:t xml:space="preserve">for </w:t>
      </w:r>
      <w:r w:rsidR="004E20BF">
        <w:t>gas markets and gas powered generation for each region.</w:t>
      </w:r>
    </w:p>
    <w:p w:rsidR="00BC18FB" w:rsidRPr="00DD0358" w:rsidRDefault="004560B0" w:rsidP="00FF0D8A">
      <w:pPr>
        <w:pStyle w:val="Heading4"/>
        <w:ind w:hanging="338"/>
        <w:rPr>
          <w:color w:val="2272A3"/>
          <w:sz w:val="24"/>
          <w:szCs w:val="24"/>
        </w:rPr>
      </w:pPr>
      <w:r w:rsidRPr="00DD0358">
        <w:rPr>
          <w:color w:val="2272A3"/>
          <w:sz w:val="24"/>
          <w:szCs w:val="24"/>
        </w:rPr>
        <w:t>Gas market data ($/GJ, TJ</w:t>
      </w:r>
      <w:r w:rsidR="00C3163F" w:rsidRPr="00DD0358">
        <w:rPr>
          <w:color w:val="2272A3"/>
          <w:sz w:val="24"/>
          <w:szCs w:val="24"/>
        </w:rPr>
        <w:t>/day</w:t>
      </w:r>
      <w:r w:rsidRPr="00DD0358">
        <w:rPr>
          <w:color w:val="2272A3"/>
          <w:sz w:val="24"/>
          <w:szCs w:val="24"/>
        </w:rPr>
        <w:t>); Production, Consumption and Pipeline flows (TJ)</w:t>
      </w:r>
    </w:p>
    <w:p w:rsidR="00362B9A" w:rsidRPr="00362B9A" w:rsidRDefault="006B5D41" w:rsidP="00FB3934">
      <w:r>
        <w:pict>
          <v:shape id="_x0000_i1039" type="#_x0000_t75" alt="Figure 5.1 shows the average daily Bulletin Board flows for this week compared to the previous week. It includes price and demand data for gas markets across the east coast of Australia and gas powered generation usage estimates for each state. For a more detailed description of this figure, please refer to the user guide." style="width:379pt;height:546.8pt">
            <v:imagedata r:id="rId28" o:title=""/>
          </v:shape>
        </w:pict>
      </w:r>
    </w:p>
    <w:p w:rsidR="00BC18FB" w:rsidRDefault="007059A9" w:rsidP="00BC18FB">
      <w:pPr>
        <w:pStyle w:val="Heading3"/>
        <w:ind w:firstLine="0"/>
        <w:rPr>
          <w:color w:val="2272A3"/>
          <w:sz w:val="32"/>
          <w:szCs w:val="32"/>
        </w:rPr>
      </w:pPr>
      <w:r>
        <w:rPr>
          <w:color w:val="2272A3"/>
          <w:sz w:val="32"/>
          <w:szCs w:val="32"/>
        </w:rPr>
        <w:br w:type="page"/>
      </w:r>
      <w:r w:rsidR="00BC18FB" w:rsidRPr="00004A63">
        <w:rPr>
          <w:color w:val="2272A3"/>
          <w:sz w:val="32"/>
          <w:szCs w:val="32"/>
        </w:rPr>
        <w:lastRenderedPageBreak/>
        <w:t>G</w:t>
      </w:r>
      <w:r w:rsidR="004560B0">
        <w:rPr>
          <w:color w:val="2272A3"/>
          <w:sz w:val="32"/>
          <w:szCs w:val="32"/>
        </w:rPr>
        <w:t xml:space="preserve">as </w:t>
      </w:r>
      <w:r w:rsidR="00BC18FB" w:rsidRPr="00004A63">
        <w:rPr>
          <w:color w:val="2272A3"/>
          <w:sz w:val="32"/>
          <w:szCs w:val="32"/>
        </w:rPr>
        <w:t>S</w:t>
      </w:r>
      <w:r w:rsidR="004560B0">
        <w:rPr>
          <w:color w:val="2272A3"/>
          <w:sz w:val="32"/>
          <w:szCs w:val="32"/>
        </w:rPr>
        <w:t xml:space="preserve">upply </w:t>
      </w:r>
      <w:r w:rsidR="00BC18FB" w:rsidRPr="00004A63">
        <w:rPr>
          <w:color w:val="2272A3"/>
          <w:sz w:val="32"/>
          <w:szCs w:val="32"/>
        </w:rPr>
        <w:t>H</w:t>
      </w:r>
      <w:r w:rsidR="004560B0">
        <w:rPr>
          <w:color w:val="2272A3"/>
          <w:sz w:val="32"/>
          <w:szCs w:val="32"/>
        </w:rPr>
        <w:t>ub</w:t>
      </w:r>
    </w:p>
    <w:p w:rsidR="00E37A86" w:rsidRDefault="00E37A86" w:rsidP="00345444">
      <w:pPr>
        <w:jc w:val="both"/>
      </w:pPr>
      <w:r>
        <w:t xml:space="preserve">The Gas Supply Hub </w:t>
      </w:r>
      <w:r>
        <w:rPr>
          <w:b/>
          <w:bCs/>
        </w:rPr>
        <w:t>(GSH)</w:t>
      </w:r>
      <w:r>
        <w:t xml:space="preserve"> was established for the trading of gas at Wallumbilla because it is located in close proximity to significant gas supply sources and demand locations and is a major transit point between Queensland and the gas markets on Australia’s east coast. The GSH is a voluntary market</w:t>
      </w:r>
      <w:r>
        <w:rPr>
          <w:rStyle w:val="FootnoteReference"/>
        </w:rPr>
        <w:footnoteReference w:id="11"/>
      </w:r>
      <w:r>
        <w:t xml:space="preserve"> for the supply of gas traded between separate participants, with products listed for sale and purchase at delivery points on three major connecting </w:t>
      </w:r>
      <w:r w:rsidRPr="005A6687">
        <w:t xml:space="preserve">pipelines at Wallumbilla – the Queensland Gas Pipeline </w:t>
      </w:r>
      <w:r w:rsidRPr="00586C57">
        <w:rPr>
          <w:b/>
        </w:rPr>
        <w:t>(QGP)</w:t>
      </w:r>
      <w:r w:rsidRPr="005A6687">
        <w:t xml:space="preserve">, the South West Queensland Pipeline </w:t>
      </w:r>
      <w:r w:rsidRPr="00586C57">
        <w:rPr>
          <w:b/>
        </w:rPr>
        <w:t>(SWQP)</w:t>
      </w:r>
      <w:r w:rsidRPr="005A6687">
        <w:t xml:space="preserve"> and the Roma to Brisbane Pipeline </w:t>
      </w:r>
      <w:r w:rsidRPr="00586C57">
        <w:rPr>
          <w:b/>
        </w:rPr>
        <w:t>(RBP)</w:t>
      </w:r>
      <w:r w:rsidRPr="005A6687">
        <w:t>. There are separate products for each p</w:t>
      </w:r>
      <w:r>
        <w:t>ipeline (each pipeline is considered a trading location, and each has a number of delivery points) and delivery period (daily, day-ahead, balance-of-day and weekly).</w:t>
      </w:r>
    </w:p>
    <w:p w:rsidR="00E37A86" w:rsidRDefault="00F934D3" w:rsidP="003002F6">
      <w:pPr>
        <w:jc w:val="both"/>
        <w:rPr>
          <w:rFonts w:cs="Arial"/>
          <w:szCs w:val="22"/>
        </w:rPr>
      </w:pPr>
      <w:r w:rsidRPr="00A67089">
        <w:rPr>
          <w:rFonts w:eastAsia="MS Mincho"/>
        </w:rPr>
        <w:t xml:space="preserve">There were </w:t>
      </w:r>
      <w:r w:rsidR="00A67089" w:rsidRPr="00A67089">
        <w:rPr>
          <w:rFonts w:eastAsia="MS Mincho"/>
        </w:rPr>
        <w:t>1</w:t>
      </w:r>
      <w:r w:rsidRPr="00A67089">
        <w:rPr>
          <w:rFonts w:eastAsia="MS Mincho"/>
        </w:rPr>
        <w:t xml:space="preserve">5 trades for </w:t>
      </w:r>
      <w:r w:rsidR="00A67089" w:rsidRPr="00A67089">
        <w:rPr>
          <w:rFonts w:eastAsia="MS Mincho"/>
        </w:rPr>
        <w:t>118</w:t>
      </w:r>
      <w:r w:rsidRPr="00A67089">
        <w:rPr>
          <w:rFonts w:eastAsia="MS Mincho"/>
        </w:rPr>
        <w:t> TJ of gas this week at a volume weighted price of $3.</w:t>
      </w:r>
      <w:r w:rsidR="00A67089" w:rsidRPr="00A67089">
        <w:rPr>
          <w:rFonts w:eastAsia="MS Mincho"/>
        </w:rPr>
        <w:t>90</w:t>
      </w:r>
      <w:r w:rsidRPr="00A67089">
        <w:rPr>
          <w:rFonts w:eastAsia="MS Mincho"/>
        </w:rPr>
        <w:t>/GJ.</w:t>
      </w:r>
      <w:r w:rsidR="003002F6">
        <w:rPr>
          <w:rFonts w:eastAsia="MS Mincho"/>
        </w:rPr>
        <w:t xml:space="preserve"> </w:t>
      </w:r>
      <w:r w:rsidR="00CA275B">
        <w:rPr>
          <w:rFonts w:cs="Arial"/>
          <w:szCs w:val="22"/>
        </w:rPr>
        <w:t xml:space="preserve">These were made up mostly of daily, day-ahead and balance-of-day products. </w:t>
      </w:r>
      <w:r w:rsidR="00FB02CC">
        <w:rPr>
          <w:rFonts w:cs="Arial"/>
          <w:szCs w:val="22"/>
        </w:rPr>
        <w:t>The 47 TJ of gas traded on the SWQP set a volume weighted price of $4.02/GJ. Out of the 71 TJ traded on the RBP this week ($3.83/GJ), t</w:t>
      </w:r>
      <w:r w:rsidR="00CA275B">
        <w:rPr>
          <w:rFonts w:cs="Arial"/>
          <w:szCs w:val="22"/>
        </w:rPr>
        <w:t xml:space="preserve">here were two weekly products traded on the </w:t>
      </w:r>
      <w:r w:rsidR="00FB02CC">
        <w:rPr>
          <w:rFonts w:cs="Arial"/>
          <w:szCs w:val="22"/>
        </w:rPr>
        <w:t xml:space="preserve">pipeline </w:t>
      </w:r>
      <w:r w:rsidR="00CA275B">
        <w:rPr>
          <w:rFonts w:cs="Arial"/>
          <w:szCs w:val="22"/>
        </w:rPr>
        <w:t xml:space="preserve">for 42 TJ of gas. </w:t>
      </w:r>
    </w:p>
    <w:p w:rsidR="00FB02CC" w:rsidRPr="00E37A86" w:rsidRDefault="00FB02CC" w:rsidP="003002F6">
      <w:pPr>
        <w:jc w:val="both"/>
        <w:rPr>
          <w:rFonts w:cs="Arial"/>
          <w:szCs w:val="22"/>
        </w:rPr>
      </w:pPr>
      <w:r w:rsidRPr="00E37A86">
        <w:rPr>
          <w:rFonts w:cs="Arial"/>
          <w:szCs w:val="22"/>
        </w:rPr>
        <w:t>Figure 6.1 shows volumes traded</w:t>
      </w:r>
      <w:r w:rsidRPr="00E37A86">
        <w:rPr>
          <w:rStyle w:val="FootnoteReference"/>
          <w:rFonts w:cs="Arial"/>
          <w:szCs w:val="22"/>
        </w:rPr>
        <w:footnoteReference w:id="12"/>
      </w:r>
      <w:r w:rsidRPr="00E37A86">
        <w:rPr>
          <w:rFonts w:cs="Arial"/>
          <w:szCs w:val="22"/>
        </w:rPr>
        <w:t xml:space="preserve"> on each gas day and trading day </w:t>
      </w:r>
      <w:r>
        <w:rPr>
          <w:rFonts w:cs="Arial"/>
          <w:szCs w:val="22"/>
        </w:rPr>
        <w:t>for the current week</w:t>
      </w:r>
      <w:r w:rsidRPr="00E37A86">
        <w:rPr>
          <w:rFonts w:cs="Arial"/>
          <w:szCs w:val="22"/>
        </w:rPr>
        <w:t>.</w:t>
      </w:r>
    </w:p>
    <w:p w:rsidR="00BC18FB" w:rsidRPr="00DD0358" w:rsidRDefault="00E37A86" w:rsidP="00FF0D8A">
      <w:pPr>
        <w:pStyle w:val="Heading4"/>
        <w:ind w:hanging="338"/>
        <w:rPr>
          <w:color w:val="2272A3"/>
          <w:sz w:val="24"/>
        </w:rPr>
      </w:pPr>
      <w:r w:rsidRPr="00DD0358">
        <w:rPr>
          <w:color w:val="2272A3"/>
          <w:sz w:val="24"/>
        </w:rPr>
        <w:t>Volume Traded (by Gas Day and by Trading Day)</w:t>
      </w:r>
    </w:p>
    <w:bookmarkEnd w:id="0"/>
    <w:bookmarkEnd w:id="1"/>
    <w:p w:rsidR="009E74E3" w:rsidRPr="006520EE" w:rsidRDefault="0059045B" w:rsidP="00E37A86">
      <w:r>
        <w:rPr>
          <w:rFonts w:eastAsia="MS Mincho"/>
        </w:rPr>
        <w:pict>
          <v:shape id="_x0000_i1040" type="#_x0000_t75" alt="Figure 6.1 shows the daily volume of gas traded on each pipeline in the Wallumbilla Gas Supply Hub. The quantities displayed are shown for both the day the gas is traded over the current week and the gas day on which gas has been shipped." style="width:475.45pt;height:201.75pt">
            <v:imagedata r:id="rId29" o:title=""/>
          </v:shape>
        </w:pict>
      </w:r>
      <w:r w:rsidR="00E37A86" w:rsidRPr="006520EE">
        <w:t xml:space="preserve"> </w:t>
      </w:r>
    </w:p>
    <w:sectPr w:rsidR="009E74E3" w:rsidRPr="006520EE" w:rsidSect="00D635F1">
      <w:footerReference w:type="default" r:id="rId30"/>
      <w:footerReference w:type="first" r:id="rId31"/>
      <w:pgSz w:w="11907" w:h="16840" w:code="9"/>
      <w:pgMar w:top="539"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3374" w:rsidRDefault="00ED3374">
      <w:r>
        <w:separator/>
      </w:r>
    </w:p>
  </w:endnote>
  <w:endnote w:type="continuationSeparator" w:id="0">
    <w:p w:rsidR="00ED3374" w:rsidRDefault="00ED33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Bold">
    <w:panose1 w:val="020B07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374" w:rsidRDefault="00ED3374" w:rsidP="00D22793">
    <w:pPr>
      <w:pBdr>
        <w:top w:val="single" w:sz="4" w:space="0" w:color="auto"/>
      </w:pBdr>
      <w:ind w:left="-284" w:right="-329" w:firstLine="284"/>
      <w:jc w:val="center"/>
      <w:rPr>
        <w:i/>
        <w:sz w:val="16"/>
        <w:szCs w:val="16"/>
      </w:rPr>
    </w:pPr>
    <w:r>
      <w:rPr>
        <w:i/>
        <w:sz w:val="20"/>
      </w:rPr>
      <w:t>© Commonwealth of Australia.</w:t>
    </w:r>
  </w:p>
  <w:p w:rsidR="00ED3374" w:rsidRDefault="00ED3374" w:rsidP="005A77AC">
    <w:pPr>
      <w:jc w:val="center"/>
    </w:pPr>
    <w:r>
      <w:fldChar w:fldCharType="begin"/>
    </w:r>
    <w:r>
      <w:instrText xml:space="preserve"> PAGE  \* MERGEFORMAT </w:instrText>
    </w:r>
    <w:r>
      <w:fldChar w:fldCharType="separate"/>
    </w:r>
    <w:r w:rsidR="0059045B">
      <w:rPr>
        <w:noProof/>
      </w:rPr>
      <w:t>11</w:t>
    </w:r>
    <w:r>
      <w:fldChar w:fldCharType="end"/>
    </w:r>
  </w:p>
  <w:p w:rsidR="00ED3374" w:rsidRDefault="00ED3374" w:rsidP="0035758F">
    <w:pPr>
      <w:pStyle w:val="Footer"/>
      <w:pBdr>
        <w:top w:val="none" w:sz="0" w:space="0" w:color="auto"/>
      </w:pBd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374" w:rsidRDefault="00ED3374" w:rsidP="00491029">
    <w:pPr>
      <w:pBdr>
        <w:top w:val="single" w:sz="4" w:space="0" w:color="auto"/>
      </w:pBdr>
      <w:ind w:left="-284" w:right="-329" w:firstLine="284"/>
      <w:jc w:val="center"/>
      <w:rPr>
        <w:i/>
        <w:sz w:val="20"/>
      </w:rPr>
    </w:pPr>
    <w:r>
      <w:rPr>
        <w:i/>
        <w:sz w:val="20"/>
      </w:rPr>
      <w:t>© Commonwealth of Australia.</w:t>
    </w:r>
  </w:p>
  <w:p w:rsidR="00ED3374" w:rsidRPr="002D773A" w:rsidRDefault="00ED3374" w:rsidP="00491029">
    <w:pPr>
      <w:jc w:val="center"/>
    </w:pPr>
    <w:r>
      <w:fldChar w:fldCharType="begin"/>
    </w:r>
    <w:r>
      <w:instrText xml:space="preserve"> PAGE  \* MERGEFORMAT </w:instrText>
    </w:r>
    <w:r>
      <w:fldChar w:fldCharType="separate"/>
    </w:r>
    <w:r w:rsidR="0059045B">
      <w:rPr>
        <w:noProof/>
      </w:rPr>
      <w:t>1</w:t>
    </w:r>
    <w:r>
      <w:fldChar w:fldCharType="end"/>
    </w:r>
  </w:p>
  <w:p w:rsidR="00ED3374" w:rsidRDefault="00ED3374" w:rsidP="00491029">
    <w:pPr>
      <w:pStyle w:val="Footer"/>
      <w:jc w:val="right"/>
    </w:pPr>
    <w:r w:rsidRPr="00F52F00">
      <w:rPr>
        <w:rFonts w:cs="Arial"/>
        <w:i/>
      </w:rPr>
      <w:t>AER reference: 392</w:t>
    </w:r>
    <w:r>
      <w:rPr>
        <w:rFonts w:cs="Arial"/>
        <w:i/>
      </w:rPr>
      <w:t>7</w:t>
    </w:r>
    <w:r w:rsidRPr="00F52F00">
      <w:rPr>
        <w:rFonts w:cs="Arial"/>
        <w:i/>
      </w:rPr>
      <w:t xml:space="preserve">0 – </w:t>
    </w:r>
    <w:r>
      <w:rPr>
        <w:rFonts w:cs="Arial"/>
        <w:i/>
      </w:rPr>
      <w:t>D16/</w:t>
    </w:r>
    <w:r w:rsidR="006D01B4">
      <w:rPr>
        <w:rFonts w:cs="Arial"/>
        <w:i/>
      </w:rPr>
      <w:t>4560</w:t>
    </w:r>
  </w:p>
  <w:p w:rsidR="00ED3374" w:rsidRDefault="00ED337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3374" w:rsidRDefault="00ED3374">
      <w:r>
        <w:separator/>
      </w:r>
    </w:p>
  </w:footnote>
  <w:footnote w:type="continuationSeparator" w:id="0">
    <w:p w:rsidR="00ED3374" w:rsidRDefault="00ED3374">
      <w:r>
        <w:continuationSeparator/>
      </w:r>
    </w:p>
  </w:footnote>
  <w:footnote w:id="1">
    <w:p w:rsidR="00EB1729" w:rsidRDefault="00EB1729" w:rsidP="004E0842">
      <w:pPr>
        <w:pStyle w:val="FootnoteText"/>
        <w:jc w:val="both"/>
      </w:pPr>
      <w:r>
        <w:rPr>
          <w:rStyle w:val="FootnoteReference"/>
        </w:rPr>
        <w:footnoteRef/>
      </w:r>
      <w:r>
        <w:t xml:space="preserve"> </w:t>
      </w:r>
      <w:r>
        <w:tab/>
      </w:r>
      <w:r w:rsidRPr="00EB1729">
        <w:rPr>
          <w:sz w:val="18"/>
        </w:rPr>
        <w:t xml:space="preserve">Planned </w:t>
      </w:r>
      <w:r w:rsidR="004E0842">
        <w:rPr>
          <w:sz w:val="18"/>
        </w:rPr>
        <w:t xml:space="preserve">offshore </w:t>
      </w:r>
      <w:r w:rsidRPr="00EB1729">
        <w:rPr>
          <w:sz w:val="18"/>
        </w:rPr>
        <w:t>maintenance at the production facility is discussed in the previous weekly report</w:t>
      </w:r>
      <w:r>
        <w:rPr>
          <w:sz w:val="18"/>
        </w:rPr>
        <w:t xml:space="preserve"> (</w:t>
      </w:r>
      <w:hyperlink r:id="rId1" w:history="1">
        <w:r w:rsidRPr="008F4C4D">
          <w:rPr>
            <w:rStyle w:val="Hyperlink"/>
            <w:sz w:val="18"/>
          </w:rPr>
          <w:t>13</w:t>
        </w:r>
        <w:r w:rsidR="008F4C4D">
          <w:rPr>
            <w:rStyle w:val="Hyperlink"/>
            <w:sz w:val="18"/>
          </w:rPr>
          <w:t> </w:t>
        </w:r>
        <w:r w:rsidR="008F4C4D">
          <w:rPr>
            <w:rStyle w:val="Hyperlink"/>
            <w:sz w:val="18"/>
          </w:rPr>
          <w:noBreakHyphen/>
          <w:t> </w:t>
        </w:r>
        <w:r w:rsidRPr="008F4C4D">
          <w:rPr>
            <w:rStyle w:val="Hyperlink"/>
            <w:sz w:val="18"/>
          </w:rPr>
          <w:t>19 December 2015</w:t>
        </w:r>
      </w:hyperlink>
      <w:r>
        <w:rPr>
          <w:sz w:val="18"/>
        </w:rPr>
        <w:t>)</w:t>
      </w:r>
      <w:r w:rsidRPr="00EB1729">
        <w:rPr>
          <w:sz w:val="18"/>
        </w:rPr>
        <w:t>.</w:t>
      </w:r>
      <w:r w:rsidR="004E0842">
        <w:rPr>
          <w:sz w:val="18"/>
        </w:rPr>
        <w:t xml:space="preserve"> While Longford maintenance continues, supply from </w:t>
      </w:r>
      <w:r w:rsidR="00D27B6C">
        <w:rPr>
          <w:sz w:val="18"/>
        </w:rPr>
        <w:t xml:space="preserve">the </w:t>
      </w:r>
      <w:r w:rsidR="004E0842">
        <w:rPr>
          <w:sz w:val="18"/>
        </w:rPr>
        <w:t xml:space="preserve">Iona </w:t>
      </w:r>
      <w:r w:rsidR="00D27B6C">
        <w:rPr>
          <w:sz w:val="18"/>
        </w:rPr>
        <w:t xml:space="preserve">gas storage facility </w:t>
      </w:r>
      <w:r w:rsidR="004E0842">
        <w:rPr>
          <w:sz w:val="18"/>
        </w:rPr>
        <w:t xml:space="preserve">decreased. This decrease was influenced by a reduction to </w:t>
      </w:r>
      <w:r w:rsidR="00D27B6C">
        <w:rPr>
          <w:sz w:val="18"/>
        </w:rPr>
        <w:t xml:space="preserve">Iona </w:t>
      </w:r>
      <w:r w:rsidR="004E0842">
        <w:rPr>
          <w:sz w:val="18"/>
        </w:rPr>
        <w:t>injection bid quantities priced at the floor</w:t>
      </w:r>
      <w:r w:rsidR="008F4C4D">
        <w:rPr>
          <w:sz w:val="18"/>
        </w:rPr>
        <w:t>, while there</w:t>
      </w:r>
      <w:r w:rsidR="004E0842">
        <w:rPr>
          <w:sz w:val="18"/>
        </w:rPr>
        <w:t xml:space="preserve"> was also a significant increase </w:t>
      </w:r>
      <w:r w:rsidR="008F4C4D">
        <w:rPr>
          <w:sz w:val="18"/>
        </w:rPr>
        <w:t>to injection bid quantities offered on some days at Longford</w:t>
      </w:r>
      <w:r w:rsidR="007C6F34">
        <w:rPr>
          <w:sz w:val="18"/>
        </w:rPr>
        <w:t xml:space="preserve"> (</w:t>
      </w:r>
      <w:r w:rsidR="00D27B6C">
        <w:rPr>
          <w:sz w:val="18"/>
        </w:rPr>
        <w:t xml:space="preserve">supply </w:t>
      </w:r>
      <w:r w:rsidR="007C6F34">
        <w:rPr>
          <w:sz w:val="18"/>
        </w:rPr>
        <w:t xml:space="preserve">constraints at the </w:t>
      </w:r>
      <w:r w:rsidR="00D27B6C">
        <w:rPr>
          <w:sz w:val="18"/>
        </w:rPr>
        <w:t xml:space="preserve">Longford </w:t>
      </w:r>
      <w:r w:rsidR="007C6F34">
        <w:rPr>
          <w:sz w:val="18"/>
        </w:rPr>
        <w:t xml:space="preserve">facility were also relaxed from 23 December, increasing </w:t>
      </w:r>
      <w:r w:rsidR="00D27B6C">
        <w:rPr>
          <w:sz w:val="18"/>
        </w:rPr>
        <w:t>to around 185 - 220 TJ/day)</w:t>
      </w:r>
      <w:r w:rsidR="008F4C4D">
        <w:rPr>
          <w:sz w:val="18"/>
        </w:rPr>
        <w:t>.</w:t>
      </w:r>
    </w:p>
  </w:footnote>
  <w:footnote w:id="2">
    <w:p w:rsidR="00ED3374" w:rsidRPr="00014986" w:rsidRDefault="00ED3374" w:rsidP="004560B0">
      <w:pPr>
        <w:pStyle w:val="FootnoteText"/>
        <w:spacing w:before="0" w:after="0"/>
        <w:jc w:val="both"/>
        <w:rPr>
          <w:sz w:val="18"/>
        </w:rPr>
      </w:pPr>
      <w:r>
        <w:rPr>
          <w:rStyle w:val="FootnoteReference"/>
        </w:rPr>
        <w:footnoteRef/>
      </w:r>
      <w:r>
        <w:t xml:space="preserve"> </w:t>
      </w:r>
      <w:r>
        <w:tab/>
      </w:r>
      <w:r w:rsidRPr="00014986">
        <w:rPr>
          <w:sz w:val="18"/>
        </w:rPr>
        <w:t>The weighted average daily imbalance price applies for Victoria.</w:t>
      </w:r>
    </w:p>
  </w:footnote>
  <w:footnote w:id="3">
    <w:p w:rsidR="00636FDB" w:rsidRPr="00636FDB" w:rsidRDefault="00636FDB" w:rsidP="00636FDB">
      <w:pPr>
        <w:pStyle w:val="FootnoteText"/>
        <w:jc w:val="both"/>
        <w:rPr>
          <w:sz w:val="18"/>
        </w:rPr>
      </w:pPr>
      <w:r>
        <w:rPr>
          <w:rStyle w:val="FootnoteReference"/>
        </w:rPr>
        <w:footnoteRef/>
      </w:r>
      <w:r>
        <w:t xml:space="preserve"> </w:t>
      </w:r>
      <w:r>
        <w:tab/>
      </w:r>
      <w:r w:rsidRPr="00636FDB">
        <w:rPr>
          <w:sz w:val="18"/>
        </w:rPr>
        <w:t>On 25 December, additional back haul deliveries of 6.1 TJ on MAP were offset by over forecasting in the hub by 2.8 TJ.</w:t>
      </w:r>
    </w:p>
  </w:footnote>
  <w:footnote w:id="4">
    <w:p w:rsidR="00ED3374" w:rsidRPr="00EF58A8" w:rsidRDefault="00ED3374" w:rsidP="00EF58A8">
      <w:pPr>
        <w:pStyle w:val="FootnoteText"/>
        <w:spacing w:before="0" w:after="0"/>
        <w:jc w:val="both"/>
      </w:pPr>
      <w:r w:rsidRPr="00EF58A8">
        <w:rPr>
          <w:rStyle w:val="FootnoteReference"/>
        </w:rPr>
        <w:footnoteRef/>
      </w:r>
      <w:r w:rsidRPr="00EF58A8">
        <w:t xml:space="preserve"> </w:t>
      </w:r>
      <w:r w:rsidRPr="00EF58A8">
        <w:tab/>
      </w:r>
      <w:r w:rsidRPr="00EF58A8">
        <w:rPr>
          <w:sz w:val="18"/>
        </w:rPr>
        <w:t>Prices for subsequent schedules are applied only to the differences in scheduled quantities (imbalances) to calculate the weighted price. The 6 am price applies to the entire scheduled quantity in the initial schedule.</w:t>
      </w:r>
    </w:p>
  </w:footnote>
  <w:footnote w:id="5">
    <w:p w:rsidR="00ED3374" w:rsidRPr="00EF58A8" w:rsidRDefault="00ED3374" w:rsidP="00EF58A8">
      <w:pPr>
        <w:pStyle w:val="FootnoteText"/>
        <w:spacing w:before="0" w:after="0"/>
        <w:jc w:val="both"/>
        <w:rPr>
          <w:sz w:val="18"/>
          <w:szCs w:val="18"/>
        </w:rPr>
      </w:pPr>
      <w:r w:rsidRPr="00EF58A8">
        <w:rPr>
          <w:rStyle w:val="FootnoteReference"/>
        </w:rPr>
        <w:footnoteRef/>
      </w:r>
      <w:r w:rsidRPr="00EF58A8">
        <w:t xml:space="preserve"> </w:t>
      </w:r>
      <w:r w:rsidRPr="00EF58A8">
        <w:tab/>
      </w:r>
      <w:r w:rsidRPr="00EF58A8">
        <w:rPr>
          <w:sz w:val="18"/>
          <w:szCs w:val="18"/>
        </w:rPr>
        <w:t>The price might also be affected by transmission or production (contractual) constraints limiting how much gas can be delivered from a locale or System Injection Point (SIP) from time to time.</w:t>
      </w:r>
    </w:p>
  </w:footnote>
  <w:footnote w:id="6">
    <w:p w:rsidR="00ED3374" w:rsidRPr="00EF58A8" w:rsidRDefault="00ED3374" w:rsidP="00EF58A8">
      <w:pPr>
        <w:pStyle w:val="FootnoteText"/>
        <w:spacing w:before="0" w:after="0"/>
        <w:jc w:val="both"/>
      </w:pPr>
      <w:r w:rsidRPr="00EF58A8">
        <w:rPr>
          <w:rStyle w:val="FootnoteReference"/>
        </w:rPr>
        <w:footnoteRef/>
      </w:r>
      <w:r w:rsidRPr="00EF58A8">
        <w:t xml:space="preserve">  </w:t>
      </w:r>
      <w:r w:rsidRPr="00EF58A8">
        <w:tab/>
      </w:r>
      <w:r w:rsidRPr="00EF58A8">
        <w:rPr>
          <w:sz w:val="18"/>
          <w:szCs w:val="18"/>
        </w:rPr>
        <w:t>These are Market Participants’ aggregate demand forecasts adjusted for any override as applied by AEMO from time to time. These forecasts must be scheduled and cannot respond to price like withdrawal bids.</w:t>
      </w:r>
    </w:p>
  </w:footnote>
  <w:footnote w:id="7">
    <w:p w:rsidR="00ED3374" w:rsidRPr="00362B9A" w:rsidRDefault="00ED3374" w:rsidP="00586C57">
      <w:pPr>
        <w:pStyle w:val="FootnoteText"/>
        <w:spacing w:before="0" w:after="0"/>
        <w:jc w:val="both"/>
        <w:rPr>
          <w:sz w:val="18"/>
          <w:szCs w:val="18"/>
        </w:rPr>
      </w:pPr>
      <w:r w:rsidRPr="003F7E55">
        <w:rPr>
          <w:rStyle w:val="FootnoteReference"/>
        </w:rPr>
        <w:footnoteRef/>
      </w:r>
      <w:r w:rsidRPr="003F7E55">
        <w:t xml:space="preserve"> </w:t>
      </w:r>
      <w:r w:rsidRPr="003F7E55">
        <w:tab/>
      </w:r>
      <w:r w:rsidRPr="00362B9A">
        <w:rPr>
          <w:sz w:val="18"/>
          <w:szCs w:val="18"/>
        </w:rPr>
        <w:t>The main driver of the amount of gas scheduled on a gas day is the ‘price-taker’ bid, which is forecast hub demand that cannot respond to price and which must be delivered, regardless of the price.</w:t>
      </w:r>
    </w:p>
  </w:footnote>
  <w:footnote w:id="8">
    <w:p w:rsidR="00ED3374" w:rsidRDefault="00ED3374" w:rsidP="00586C57">
      <w:pPr>
        <w:pStyle w:val="AERbodytext"/>
        <w:spacing w:before="0" w:line="240" w:lineRule="auto"/>
        <w:ind w:left="340" w:hanging="340"/>
        <w:jc w:val="both"/>
      </w:pPr>
      <w:r w:rsidRPr="002E7E9E">
        <w:rPr>
          <w:rStyle w:val="FootnoteReference"/>
          <w:sz w:val="20"/>
        </w:rPr>
        <w:footnoteRef/>
      </w:r>
      <w:r w:rsidRPr="002E7E9E">
        <w:rPr>
          <w:sz w:val="20"/>
          <w:szCs w:val="20"/>
        </w:rPr>
        <w:t xml:space="preserve"> </w:t>
      </w:r>
      <w:r>
        <w:rPr>
          <w:sz w:val="20"/>
          <w:szCs w:val="20"/>
        </w:rPr>
        <w:tab/>
      </w:r>
      <w:r w:rsidRPr="002E7E9E">
        <w:rPr>
          <w:sz w:val="18"/>
          <w:szCs w:val="18"/>
        </w:rPr>
        <w:t>MOS service payments involve a payment for a MOS increase service when the actual quantity delivered exceeds final gas nominations for delivery to a hub, and a payment for a MOS decrease service when the actual quantity delivered is less than final nominations. As well as a MOS ‘service’ payment, as shown in figure 2.4, MOS providers are paid for or pay for the quantity of MOS sold into the market or bought from the market (MOS ‘commodity’ payments/charges).</w:t>
      </w:r>
    </w:p>
  </w:footnote>
  <w:footnote w:id="9">
    <w:p w:rsidR="00ED3374" w:rsidRPr="002E7E9E" w:rsidRDefault="00ED3374" w:rsidP="004560B0">
      <w:pPr>
        <w:pStyle w:val="FootnoteText"/>
        <w:spacing w:before="0" w:after="0"/>
        <w:rPr>
          <w:sz w:val="18"/>
          <w:szCs w:val="18"/>
        </w:rPr>
      </w:pPr>
      <w:r>
        <w:rPr>
          <w:rStyle w:val="FootnoteReference"/>
        </w:rPr>
        <w:footnoteRef/>
      </w:r>
      <w:r>
        <w:t xml:space="preserve"> </w:t>
      </w:r>
      <w:r>
        <w:tab/>
      </w:r>
      <w:r w:rsidRPr="002E7E9E">
        <w:rPr>
          <w:sz w:val="18"/>
          <w:szCs w:val="18"/>
        </w:rPr>
        <w:t xml:space="preserve">Gas </w:t>
      </w:r>
      <w:r>
        <w:rPr>
          <w:sz w:val="18"/>
          <w:szCs w:val="18"/>
        </w:rPr>
        <w:t>f</w:t>
      </w:r>
      <w:r w:rsidRPr="002E7E9E">
        <w:rPr>
          <w:sz w:val="18"/>
          <w:szCs w:val="18"/>
        </w:rPr>
        <w:t>lows</w:t>
      </w:r>
      <w:r>
        <w:rPr>
          <w:sz w:val="18"/>
          <w:szCs w:val="18"/>
        </w:rPr>
        <w:t xml:space="preserve"> shown under regional headings</w:t>
      </w:r>
      <w:r w:rsidRPr="002E7E9E">
        <w:rPr>
          <w:sz w:val="18"/>
          <w:szCs w:val="18"/>
        </w:rPr>
        <w:t xml:space="preserve">:  </w:t>
      </w:r>
      <w:r w:rsidRPr="002E7E9E">
        <w:rPr>
          <w:b/>
          <w:sz w:val="18"/>
          <w:szCs w:val="18"/>
        </w:rPr>
        <w:t>SA</w:t>
      </w:r>
      <w:r w:rsidRPr="002E7E9E">
        <w:rPr>
          <w:sz w:val="18"/>
          <w:szCs w:val="18"/>
        </w:rPr>
        <w:t xml:space="preserve"> = MAP + SEAGAS, </w:t>
      </w:r>
      <w:r w:rsidRPr="002E7E9E">
        <w:rPr>
          <w:b/>
          <w:sz w:val="18"/>
          <w:szCs w:val="18"/>
        </w:rPr>
        <w:t>VIC</w:t>
      </w:r>
      <w:r w:rsidRPr="002E7E9E">
        <w:rPr>
          <w:sz w:val="18"/>
          <w:szCs w:val="18"/>
        </w:rPr>
        <w:t xml:space="preserve"> = SWP + LMP – negative(NSW-VIC), </w:t>
      </w:r>
    </w:p>
    <w:p w:rsidR="00ED3374" w:rsidRDefault="00ED3374" w:rsidP="004560B0">
      <w:pPr>
        <w:pStyle w:val="FootnoteText"/>
        <w:spacing w:before="0" w:after="0"/>
        <w:ind w:firstLine="0"/>
        <w:rPr>
          <w:sz w:val="18"/>
          <w:szCs w:val="18"/>
        </w:rPr>
      </w:pPr>
      <w:r w:rsidRPr="002E7E9E">
        <w:rPr>
          <w:b/>
          <w:sz w:val="18"/>
          <w:szCs w:val="18"/>
        </w:rPr>
        <w:t>NSW/ACT</w:t>
      </w:r>
      <w:r w:rsidRPr="002E7E9E">
        <w:rPr>
          <w:sz w:val="18"/>
          <w:szCs w:val="18"/>
        </w:rPr>
        <w:t xml:space="preserve"> = EGP + MSP, </w:t>
      </w:r>
      <w:r w:rsidRPr="002E7E9E">
        <w:rPr>
          <w:b/>
          <w:sz w:val="18"/>
          <w:szCs w:val="18"/>
        </w:rPr>
        <w:t>TAS</w:t>
      </w:r>
      <w:r w:rsidRPr="002E7E9E">
        <w:rPr>
          <w:sz w:val="18"/>
          <w:szCs w:val="18"/>
        </w:rPr>
        <w:t xml:space="preserve"> = TGP, </w:t>
      </w:r>
      <w:r w:rsidRPr="002E7E9E">
        <w:rPr>
          <w:b/>
          <w:sz w:val="18"/>
          <w:szCs w:val="18"/>
        </w:rPr>
        <w:t>QLD (Brisbane)</w:t>
      </w:r>
      <w:r w:rsidRPr="002E7E9E">
        <w:rPr>
          <w:sz w:val="18"/>
          <w:szCs w:val="18"/>
        </w:rPr>
        <w:t xml:space="preserve"> = RBP, </w:t>
      </w:r>
      <w:r w:rsidRPr="002E7E9E">
        <w:rPr>
          <w:b/>
          <w:sz w:val="18"/>
          <w:szCs w:val="18"/>
        </w:rPr>
        <w:t>QLD (Mt Isa)</w:t>
      </w:r>
      <w:r w:rsidRPr="002E7E9E">
        <w:rPr>
          <w:sz w:val="18"/>
          <w:szCs w:val="18"/>
        </w:rPr>
        <w:t xml:space="preserve"> = CGP, </w:t>
      </w:r>
      <w:r w:rsidRPr="002E7E9E">
        <w:rPr>
          <w:b/>
          <w:sz w:val="18"/>
          <w:szCs w:val="18"/>
        </w:rPr>
        <w:t>QLD (Gladstone)</w:t>
      </w:r>
      <w:r w:rsidRPr="002E7E9E">
        <w:rPr>
          <w:sz w:val="18"/>
          <w:szCs w:val="18"/>
        </w:rPr>
        <w:t xml:space="preserve"> = QGP</w:t>
      </w:r>
    </w:p>
    <w:p w:rsidR="00ED3374" w:rsidRDefault="00ED3374" w:rsidP="004560B0">
      <w:pPr>
        <w:pStyle w:val="FootnoteText"/>
        <w:spacing w:before="0" w:after="0"/>
        <w:ind w:firstLine="0"/>
        <w:rPr>
          <w:sz w:val="18"/>
          <w:szCs w:val="18"/>
        </w:rPr>
      </w:pPr>
      <w:r w:rsidRPr="002E7E9E">
        <w:rPr>
          <w:sz w:val="18"/>
          <w:szCs w:val="18"/>
        </w:rPr>
        <w:t xml:space="preserve">GPG volumes </w:t>
      </w:r>
      <w:r>
        <w:rPr>
          <w:sz w:val="18"/>
          <w:szCs w:val="18"/>
        </w:rPr>
        <w:t xml:space="preserve">may </w:t>
      </w:r>
      <w:r w:rsidRPr="002E7E9E">
        <w:rPr>
          <w:sz w:val="18"/>
          <w:szCs w:val="18"/>
        </w:rPr>
        <w:t xml:space="preserve">include gas usage that </w:t>
      </w:r>
      <w:r>
        <w:rPr>
          <w:sz w:val="18"/>
          <w:szCs w:val="18"/>
        </w:rPr>
        <w:t>does</w:t>
      </w:r>
      <w:r w:rsidRPr="002E7E9E">
        <w:rPr>
          <w:sz w:val="18"/>
          <w:szCs w:val="18"/>
        </w:rPr>
        <w:t xml:space="preserve"> not show up on Bulletin Board pipeline flows.</w:t>
      </w:r>
    </w:p>
    <w:p w:rsidR="00ED3374" w:rsidRPr="002E7E9E" w:rsidRDefault="00ED3374" w:rsidP="004560B0">
      <w:pPr>
        <w:pStyle w:val="FootnoteText"/>
        <w:spacing w:before="0" w:after="0"/>
        <w:ind w:firstLine="0"/>
        <w:rPr>
          <w:sz w:val="18"/>
          <w:szCs w:val="18"/>
        </w:rPr>
      </w:pPr>
      <w:r>
        <w:rPr>
          <w:sz w:val="18"/>
          <w:szCs w:val="18"/>
        </w:rPr>
        <w:t>Roma included export LNG production from October 2014 and LNG pipeline flows are shown from October 2015.</w:t>
      </w:r>
    </w:p>
  </w:footnote>
  <w:footnote w:id="10">
    <w:p w:rsidR="00ED3374" w:rsidRDefault="00ED3374" w:rsidP="004560B0">
      <w:pPr>
        <w:pStyle w:val="FootnoteText"/>
        <w:spacing w:before="0" w:after="0"/>
      </w:pPr>
      <w:r>
        <w:rPr>
          <w:rStyle w:val="FootnoteReference"/>
        </w:rPr>
        <w:footnoteRef/>
      </w:r>
      <w:r>
        <w:t xml:space="preserve"> </w:t>
      </w:r>
      <w:r>
        <w:tab/>
      </w:r>
      <w:r w:rsidRPr="00651341">
        <w:rPr>
          <w:sz w:val="18"/>
        </w:rPr>
        <w:t>Wallumbilla supply is the average daily volume of gas ‘traded’, while price is a volume weighted average.</w:t>
      </w:r>
    </w:p>
  </w:footnote>
  <w:footnote w:id="11">
    <w:p w:rsidR="00ED3374" w:rsidRPr="009E74E3" w:rsidRDefault="00ED3374" w:rsidP="00E37A86">
      <w:pPr>
        <w:pStyle w:val="FootnoteText"/>
        <w:spacing w:before="0" w:after="0"/>
        <w:ind w:left="284" w:hanging="284"/>
        <w:jc w:val="both"/>
        <w:rPr>
          <w:sz w:val="18"/>
          <w:szCs w:val="18"/>
        </w:rPr>
      </w:pPr>
      <w:r>
        <w:rPr>
          <w:rStyle w:val="FootnoteReference"/>
        </w:rPr>
        <w:footnoteRef/>
      </w:r>
      <w:r>
        <w:t xml:space="preserve"> </w:t>
      </w:r>
      <w:r>
        <w:tab/>
      </w:r>
      <w:r w:rsidRPr="009E74E3">
        <w:rPr>
          <w:sz w:val="18"/>
          <w:szCs w:val="18"/>
        </w:rPr>
        <w:t>Market trade is facilitated through an electronic trading platform, with standardised terms and conditions and a market settlement facility for the short-term trading of physical gas and related products. The market is designed to complement existing bilateral gas supply arrangements and gas transportation agreements, through the placement of anonymous offers (to sell) or bids (to buy) at specified quantity and price increments, which are automatically matched on the exchange to form transactions.</w:t>
      </w:r>
    </w:p>
  </w:footnote>
  <w:footnote w:id="12">
    <w:p w:rsidR="00FB02CC" w:rsidRPr="007300C3" w:rsidRDefault="00FB02CC" w:rsidP="006B5D41">
      <w:pPr>
        <w:pStyle w:val="FootnoteText"/>
        <w:spacing w:before="0" w:after="0"/>
        <w:ind w:left="284" w:hanging="284"/>
        <w:jc w:val="both"/>
        <w:rPr>
          <w:sz w:val="18"/>
          <w:szCs w:val="18"/>
        </w:rPr>
      </w:pPr>
      <w:r>
        <w:rPr>
          <w:rStyle w:val="FootnoteReference"/>
        </w:rPr>
        <w:footnoteRef/>
      </w:r>
      <w:r>
        <w:t xml:space="preserve"> </w:t>
      </w:r>
      <w:r>
        <w:tab/>
      </w:r>
      <w:r w:rsidRPr="007300C3">
        <w:rPr>
          <w:sz w:val="18"/>
          <w:szCs w:val="18"/>
        </w:rPr>
        <w:t xml:space="preserve">Volumes shown for weekly products include the </w:t>
      </w:r>
      <w:bookmarkStart w:id="2" w:name="_GoBack"/>
      <w:bookmarkEnd w:id="2"/>
      <w:r>
        <w:rPr>
          <w:sz w:val="18"/>
          <w:szCs w:val="18"/>
        </w:rPr>
        <w:t>‘daily’ volume for each relevant ‘gas day’, and the ‘weekly’ volume for each relevant ‘trading day’.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47E6E"/>
    <w:multiLevelType w:val="multilevel"/>
    <w:tmpl w:val="4BAC67F8"/>
    <w:lvl w:ilvl="0">
      <w:start w:val="1"/>
      <w:numFmt w:val="upperLetter"/>
      <w:pStyle w:val="AERappendixheading1"/>
      <w:lvlText w:val="%1"/>
      <w:lvlJc w:val="left"/>
      <w:pPr>
        <w:tabs>
          <w:tab w:val="num" w:pos="851"/>
        </w:tabs>
        <w:ind w:left="851" w:hanging="851"/>
      </w:pPr>
      <w:rPr>
        <w:rFonts w:hint="default"/>
      </w:rPr>
    </w:lvl>
    <w:lvl w:ilvl="1">
      <w:start w:val="1"/>
      <w:numFmt w:val="decimal"/>
      <w:pStyle w:val="AERappendixheading2"/>
      <w:lvlText w:val="%1.%2"/>
      <w:lvlJc w:val="left"/>
      <w:pPr>
        <w:tabs>
          <w:tab w:val="num" w:pos="851"/>
        </w:tabs>
        <w:ind w:left="851" w:hanging="851"/>
      </w:pPr>
      <w:rPr>
        <w:rFonts w:hint="default"/>
      </w:rPr>
    </w:lvl>
    <w:lvl w:ilvl="2">
      <w:start w:val="1"/>
      <w:numFmt w:val="decimal"/>
      <w:pStyle w:val="AERappendixheading3"/>
      <w:lvlText w:val="%1.%2.%3"/>
      <w:lvlJc w:val="left"/>
      <w:pPr>
        <w:tabs>
          <w:tab w:val="num" w:pos="851"/>
        </w:tabs>
        <w:ind w:left="851" w:hanging="851"/>
      </w:pPr>
      <w:rPr>
        <w:rFonts w:hint="default"/>
      </w:rPr>
    </w:lvl>
    <w:lvl w:ilvl="3">
      <w:start w:val="1"/>
      <w:numFmt w:val="decimal"/>
      <w:pStyle w:val="AERappendixheading4"/>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pStyle w:val="AERappendixfigureheading"/>
      <w:lvlText w:val="Figure %1.%6"/>
      <w:lvlJc w:val="left"/>
      <w:pPr>
        <w:tabs>
          <w:tab w:val="num" w:pos="1361"/>
        </w:tabs>
        <w:ind w:left="1361" w:hanging="136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nsid w:val="0BDD4AC5"/>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1A3A6266"/>
    <w:multiLevelType w:val="multilevel"/>
    <w:tmpl w:val="A93864D8"/>
    <w:lvl w:ilvl="0">
      <w:start w:val="1"/>
      <w:numFmt w:val="bullet"/>
      <w:pStyle w:val="AERbulletlistsecondstyle"/>
      <w:lvlText w:val=""/>
      <w:lvlJc w:val="left"/>
      <w:pPr>
        <w:tabs>
          <w:tab w:val="num" w:pos="714"/>
        </w:tabs>
        <w:ind w:left="714" w:hanging="357"/>
      </w:pPr>
      <w:rPr>
        <w:rFonts w:ascii="Wingdings" w:hAnsi="Wingdings" w:hint="default"/>
        <w:sz w:val="24"/>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sz w:val="20"/>
        <w:szCs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
    <w:nsid w:val="21AD2891"/>
    <w:multiLevelType w:val="multilevel"/>
    <w:tmpl w:val="427C2556"/>
    <w:lvl w:ilvl="0">
      <w:start w:val="1"/>
      <w:numFmt w:val="none"/>
      <w:pStyle w:val="Heading1"/>
      <w:lvlText w:val="%1"/>
      <w:lvlJc w:val="left"/>
      <w:pPr>
        <w:ind w:left="0" w:firstLine="0"/>
      </w:pPr>
      <w:rPr>
        <w:rFonts w:ascii="Arial Bold" w:hAnsi="Arial Bold" w:hint="default"/>
        <w:b/>
        <w:i w:val="0"/>
        <w:color w:val="2272A3"/>
        <w:sz w:val="32"/>
      </w:rPr>
    </w:lvl>
    <w:lvl w:ilvl="1">
      <w:start w:val="1"/>
      <w:numFmt w:val="decimal"/>
      <w:pStyle w:val="Heading2"/>
      <w:lvlText w:val="Figure %2:"/>
      <w:lvlJc w:val="left"/>
      <w:pPr>
        <w:ind w:left="0" w:firstLine="360"/>
      </w:pPr>
      <w:rPr>
        <w:rFonts w:ascii="Arial Bold" w:hAnsi="Arial Bold" w:hint="default"/>
        <w:b/>
        <w:i w:val="0"/>
        <w:color w:val="2272A3"/>
        <w:sz w:val="24"/>
      </w:rPr>
    </w:lvl>
    <w:lvl w:ilvl="2">
      <w:start w:val="1"/>
      <w:numFmt w:val="decimal"/>
      <w:pStyle w:val="Heading3"/>
      <w:lvlText w:val="%3."/>
      <w:lvlJc w:val="left"/>
      <w:pPr>
        <w:ind w:left="0" w:firstLine="720"/>
      </w:pPr>
      <w:rPr>
        <w:rFonts w:ascii="Arial Bold" w:hAnsi="Arial Bold" w:hint="default"/>
        <w:b/>
        <w:i w:val="0"/>
        <w:color w:val="2272A3"/>
        <w:sz w:val="32"/>
      </w:rPr>
    </w:lvl>
    <w:lvl w:ilvl="3">
      <w:start w:val="1"/>
      <w:numFmt w:val="decimal"/>
      <w:pStyle w:val="Heading4"/>
      <w:lvlText w:val="Figure %3.%4:"/>
      <w:lvlJc w:val="left"/>
      <w:pPr>
        <w:ind w:left="338" w:firstLine="1080"/>
      </w:pPr>
      <w:rPr>
        <w:rFonts w:ascii="Arial Bold" w:hAnsi="Arial Bold" w:hint="default"/>
        <w:b/>
        <w:i w:val="0"/>
        <w:color w:val="2272A3"/>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22B401B7"/>
    <w:multiLevelType w:val="hybridMultilevel"/>
    <w:tmpl w:val="ABCA068E"/>
    <w:lvl w:ilvl="0" w:tplc="BE58AF30">
      <w:start w:val="1"/>
      <w:numFmt w:val="decimal"/>
      <w:pStyle w:val="AERNumberedheading1nonewpage"/>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2B127A5F"/>
    <w:multiLevelType w:val="multilevel"/>
    <w:tmpl w:val="C7BE72A6"/>
    <w:lvl w:ilvl="0">
      <w:start w:val="1"/>
      <w:numFmt w:val="lowerRoman"/>
      <w:pStyle w:val="AERnumberedlistthirdstyle"/>
      <w:lvlText w:val="%1."/>
      <w:lvlJc w:val="left"/>
      <w:pPr>
        <w:tabs>
          <w:tab w:val="num" w:pos="1440"/>
        </w:tabs>
        <w:ind w:left="144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6">
    <w:nsid w:val="2B4A6D4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301B31FF"/>
    <w:multiLevelType w:val="multilevel"/>
    <w:tmpl w:val="228CA4AE"/>
    <w:lvl w:ilvl="0">
      <w:start w:val="1"/>
      <w:numFmt w:val="lowerLetter"/>
      <w:pStyle w:val="AERnumberedlistsecondstyle"/>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8">
    <w:nsid w:val="313919EB"/>
    <w:multiLevelType w:val="multilevel"/>
    <w:tmpl w:val="3D1013E2"/>
    <w:lvl w:ilvl="0">
      <w:start w:val="1"/>
      <w:numFmt w:val="decimal"/>
      <w:lvlText w:val="Figure %1:"/>
      <w:lvlJc w:val="left"/>
      <w:pPr>
        <w:tabs>
          <w:tab w:val="num" w:pos="0"/>
        </w:tabs>
        <w:ind w:left="1134" w:hanging="1134"/>
      </w:pPr>
      <w:rPr>
        <w:rFonts w:hint="default"/>
      </w:rPr>
    </w:lvl>
    <w:lvl w:ilvl="1">
      <w:start w:val="2"/>
      <w:numFmt w:val="decimal"/>
      <w:lvlRestart w:val="0"/>
      <w:pStyle w:val="FigHeadingN"/>
      <w:lvlText w:val="Figure N%2:"/>
      <w:lvlJc w:val="left"/>
      <w:pPr>
        <w:tabs>
          <w:tab w:val="num" w:pos="0"/>
        </w:tabs>
        <w:ind w:left="1134" w:hanging="1134"/>
      </w:pPr>
      <w:rPr>
        <w:rFonts w:hint="default"/>
      </w:rPr>
    </w:lvl>
    <w:lvl w:ilvl="2">
      <w:start w:val="1"/>
      <w:numFmt w:val="decimal"/>
      <w:lvlRestart w:val="0"/>
      <w:pStyle w:val="FigHeadingV"/>
      <w:lvlText w:val="Figure V%3:"/>
      <w:lvlJc w:val="left"/>
      <w:pPr>
        <w:tabs>
          <w:tab w:val="num" w:pos="0"/>
        </w:tabs>
        <w:ind w:left="1134" w:hanging="1134"/>
      </w:pPr>
      <w:rPr>
        <w:rFonts w:hint="default"/>
      </w:rPr>
    </w:lvl>
    <w:lvl w:ilvl="3">
      <w:start w:val="1"/>
      <w:numFmt w:val="decimal"/>
      <w:lvlRestart w:val="0"/>
      <w:lvlText w:val="Figure S%4:"/>
      <w:lvlJc w:val="left"/>
      <w:pPr>
        <w:tabs>
          <w:tab w:val="num" w:pos="0"/>
        </w:tabs>
        <w:ind w:left="1134" w:hanging="113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lvlText w:val="Figure A%6:"/>
      <w:lvlJc w:val="left"/>
      <w:pPr>
        <w:tabs>
          <w:tab w:val="num" w:pos="1134"/>
        </w:tabs>
        <w:ind w:left="113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9">
    <w:nsid w:val="3BA8635F"/>
    <w:multiLevelType w:val="hybridMultilevel"/>
    <w:tmpl w:val="A3B4D3C6"/>
    <w:lvl w:ilvl="0" w:tplc="45E48EE6">
      <w:start w:val="1"/>
      <w:numFmt w:val="bullet"/>
      <w:lvlText w:val=""/>
      <w:lvlJc w:val="left"/>
      <w:pPr>
        <w:tabs>
          <w:tab w:val="num" w:pos="1588"/>
        </w:tabs>
        <w:ind w:left="1588" w:hanging="1588"/>
      </w:pPr>
      <w:rPr>
        <w:rFonts w:ascii="Wingdings" w:hAnsi="Wingdings" w:hint="default"/>
        <w:color w:val="auto"/>
        <w:sz w:val="16"/>
        <w:szCs w:val="28"/>
      </w:rPr>
    </w:lvl>
    <w:lvl w:ilvl="1" w:tplc="FC2E1422">
      <w:start w:val="1"/>
      <w:numFmt w:val="bullet"/>
      <w:pStyle w:val="AERquotebullet1"/>
      <w:lvlText w:val=""/>
      <w:lvlJc w:val="left"/>
      <w:pPr>
        <w:tabs>
          <w:tab w:val="num" w:pos="1378"/>
        </w:tabs>
        <w:ind w:left="1378" w:hanging="357"/>
      </w:pPr>
      <w:rPr>
        <w:rFonts w:ascii="Wingdings" w:hAnsi="Wingdings" w:hint="default"/>
        <w:color w:val="auto"/>
        <w:sz w:val="16"/>
        <w:szCs w:val="28"/>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44385E0E"/>
    <w:multiLevelType w:val="multilevel"/>
    <w:tmpl w:val="5074CBC8"/>
    <w:lvl w:ilvl="0">
      <w:start w:val="1"/>
      <w:numFmt w:val="decimal"/>
      <w:pStyle w:val="FigHeading"/>
      <w:lvlText w:val="Figure %1:"/>
      <w:lvlJc w:val="left"/>
      <w:pPr>
        <w:tabs>
          <w:tab w:val="num" w:pos="0"/>
        </w:tabs>
        <w:ind w:left="1134" w:hanging="1134"/>
      </w:pPr>
      <w:rPr>
        <w:rFonts w:hint="default"/>
      </w:rPr>
    </w:lvl>
    <w:lvl w:ilvl="1">
      <w:start w:val="2"/>
      <w:numFmt w:val="decimal"/>
      <w:lvlRestart w:val="0"/>
      <w:lvlText w:val="Figure N%2:"/>
      <w:lvlJc w:val="left"/>
      <w:pPr>
        <w:tabs>
          <w:tab w:val="num" w:pos="0"/>
        </w:tabs>
        <w:ind w:left="1134" w:hanging="1134"/>
      </w:pPr>
      <w:rPr>
        <w:rFonts w:hint="default"/>
      </w:rPr>
    </w:lvl>
    <w:lvl w:ilvl="2">
      <w:start w:val="1"/>
      <w:numFmt w:val="decimal"/>
      <w:lvlRestart w:val="0"/>
      <w:lvlText w:val="Figure V%3:"/>
      <w:lvlJc w:val="left"/>
      <w:pPr>
        <w:tabs>
          <w:tab w:val="num" w:pos="0"/>
        </w:tabs>
        <w:ind w:left="1134" w:hanging="1134"/>
      </w:pPr>
      <w:rPr>
        <w:rFonts w:hint="default"/>
      </w:rPr>
    </w:lvl>
    <w:lvl w:ilvl="3">
      <w:start w:val="1"/>
      <w:numFmt w:val="decimal"/>
      <w:lvlRestart w:val="0"/>
      <w:pStyle w:val="FigHeadingS"/>
      <w:lvlText w:val="Figure S%4:"/>
      <w:lvlJc w:val="left"/>
      <w:pPr>
        <w:tabs>
          <w:tab w:val="num" w:pos="0"/>
        </w:tabs>
        <w:ind w:left="1134" w:hanging="1134"/>
      </w:pPr>
      <w:rPr>
        <w:rFonts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pStyle w:val="FigheadingA"/>
      <w:lvlText w:val="Figure A%6:"/>
      <w:lvlJc w:val="left"/>
      <w:pPr>
        <w:tabs>
          <w:tab w:val="num" w:pos="5814"/>
        </w:tabs>
        <w:ind w:left="581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11">
    <w:nsid w:val="443F74CB"/>
    <w:multiLevelType w:val="hybridMultilevel"/>
    <w:tmpl w:val="D5F80586"/>
    <w:lvl w:ilvl="0" w:tplc="95F8B2D2">
      <w:start w:val="1"/>
      <w:numFmt w:val="decimal"/>
      <w:pStyle w:val="AERnumberedlistfirststyle"/>
      <w:lvlText w:val="%1."/>
      <w:lvlJc w:val="left"/>
      <w:pPr>
        <w:tabs>
          <w:tab w:val="num" w:pos="357"/>
        </w:tabs>
        <w:ind w:left="357" w:hanging="357"/>
      </w:pPr>
      <w:rPr>
        <w:rFonts w:ascii="Times New Roman" w:hAnsi="Times New Roman" w:hint="default"/>
        <w:b w:val="0"/>
        <w:i w:val="0"/>
        <w:sz w:val="24"/>
      </w:rPr>
    </w:lvl>
    <w:lvl w:ilvl="1" w:tplc="ED80F18C" w:tentative="1">
      <w:start w:val="1"/>
      <w:numFmt w:val="lowerLetter"/>
      <w:lvlText w:val="%2."/>
      <w:lvlJc w:val="left"/>
      <w:pPr>
        <w:tabs>
          <w:tab w:val="num" w:pos="1440"/>
        </w:tabs>
        <w:ind w:left="1440" w:hanging="360"/>
      </w:pPr>
    </w:lvl>
    <w:lvl w:ilvl="2" w:tplc="204668FE" w:tentative="1">
      <w:start w:val="1"/>
      <w:numFmt w:val="lowerRoman"/>
      <w:lvlText w:val="%3."/>
      <w:lvlJc w:val="right"/>
      <w:pPr>
        <w:tabs>
          <w:tab w:val="num" w:pos="2160"/>
        </w:tabs>
        <w:ind w:left="2160" w:hanging="180"/>
      </w:pPr>
    </w:lvl>
    <w:lvl w:ilvl="3" w:tplc="447A85C8" w:tentative="1">
      <w:start w:val="1"/>
      <w:numFmt w:val="decimal"/>
      <w:lvlText w:val="%4."/>
      <w:lvlJc w:val="left"/>
      <w:pPr>
        <w:tabs>
          <w:tab w:val="num" w:pos="2880"/>
        </w:tabs>
        <w:ind w:left="2880" w:hanging="360"/>
      </w:pPr>
    </w:lvl>
    <w:lvl w:ilvl="4" w:tplc="C0949998">
      <w:start w:val="1"/>
      <w:numFmt w:val="lowerLetter"/>
      <w:lvlText w:val="%5."/>
      <w:lvlJc w:val="left"/>
      <w:pPr>
        <w:tabs>
          <w:tab w:val="num" w:pos="3600"/>
        </w:tabs>
        <w:ind w:left="3600" w:hanging="360"/>
      </w:pPr>
    </w:lvl>
    <w:lvl w:ilvl="5" w:tplc="CC56BE38">
      <w:start w:val="1"/>
      <w:numFmt w:val="lowerRoman"/>
      <w:lvlText w:val="%6."/>
      <w:lvlJc w:val="right"/>
      <w:pPr>
        <w:tabs>
          <w:tab w:val="num" w:pos="4320"/>
        </w:tabs>
        <w:ind w:left="4320" w:hanging="180"/>
      </w:pPr>
    </w:lvl>
    <w:lvl w:ilvl="6" w:tplc="0D306B9E" w:tentative="1">
      <w:start w:val="1"/>
      <w:numFmt w:val="decimal"/>
      <w:lvlText w:val="%7."/>
      <w:lvlJc w:val="left"/>
      <w:pPr>
        <w:tabs>
          <w:tab w:val="num" w:pos="5040"/>
        </w:tabs>
        <w:ind w:left="5040" w:hanging="360"/>
      </w:pPr>
    </w:lvl>
    <w:lvl w:ilvl="7" w:tplc="F5E62C96" w:tentative="1">
      <w:start w:val="1"/>
      <w:numFmt w:val="lowerLetter"/>
      <w:lvlText w:val="%8."/>
      <w:lvlJc w:val="left"/>
      <w:pPr>
        <w:tabs>
          <w:tab w:val="num" w:pos="5760"/>
        </w:tabs>
        <w:ind w:left="5760" w:hanging="360"/>
      </w:pPr>
    </w:lvl>
    <w:lvl w:ilvl="8" w:tplc="FF946138" w:tentative="1">
      <w:start w:val="1"/>
      <w:numFmt w:val="lowerRoman"/>
      <w:lvlText w:val="%9."/>
      <w:lvlJc w:val="right"/>
      <w:pPr>
        <w:tabs>
          <w:tab w:val="num" w:pos="6480"/>
        </w:tabs>
        <w:ind w:left="6480" w:hanging="180"/>
      </w:pPr>
    </w:lvl>
  </w:abstractNum>
  <w:abstractNum w:abstractNumId="12">
    <w:nsid w:val="50895FE3"/>
    <w:multiLevelType w:val="multilevel"/>
    <w:tmpl w:val="CFB02304"/>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 w:ilvl="8">
      <w:start w:val="1"/>
      <w:numFmt w:val="none"/>
      <w:lvlText w:val=""/>
      <w:lvlJc w:val="right"/>
      <w:pPr>
        <w:tabs>
          <w:tab w:val="num" w:pos="1584"/>
        </w:tabs>
        <w:ind w:left="1584" w:hanging="144"/>
      </w:pPr>
      <w:rPr>
        <w:rFonts w:hint="default"/>
      </w:rPr>
    </w:lvl>
  </w:abstractNum>
  <w:abstractNum w:abstractNumId="13">
    <w:nsid w:val="51487971"/>
    <w:multiLevelType w:val="multilevel"/>
    <w:tmpl w:val="1E5C0EAA"/>
    <w:styleLink w:val="AERnumberedlist"/>
    <w:lvl w:ilvl="0">
      <w:start w:val="1"/>
      <w:numFmt w:val="none"/>
      <w:lvlText w:val="%1"/>
      <w:lvlJc w:val="left"/>
      <w:pPr>
        <w:tabs>
          <w:tab w:val="num" w:pos="0"/>
        </w:tabs>
        <w:ind w:left="0" w:firstLine="0"/>
      </w:pPr>
      <w:rPr>
        <w:rFonts w:hint="default"/>
      </w:rPr>
    </w:lvl>
    <w:lvl w:ilvl="1">
      <w:start w:val="1"/>
      <w:numFmt w:val="bullet"/>
      <w:lvlText w:val=""/>
      <w:lvlJc w:val="left"/>
      <w:pPr>
        <w:tabs>
          <w:tab w:val="num" w:pos="357"/>
        </w:tabs>
        <w:ind w:left="357" w:hanging="357"/>
      </w:pPr>
      <w:rPr>
        <w:rFonts w:ascii="Symbol" w:hAnsi="Symbol"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Restart w:val="1"/>
      <w:lvlText w:val="(%5)"/>
      <w:lvlJc w:val="left"/>
      <w:pPr>
        <w:tabs>
          <w:tab w:val="num" w:pos="357"/>
        </w:tabs>
        <w:ind w:left="357" w:hanging="357"/>
      </w:pPr>
      <w:rPr>
        <w:rFonts w:hint="default"/>
      </w:rPr>
    </w:lvl>
    <w:lvl w:ilvl="5">
      <w:start w:val="1"/>
      <w:numFmt w:val="lowerLetter"/>
      <w:lvlRestart w:val="2"/>
      <w:lvlText w:val="(%6)"/>
      <w:lvlJc w:val="left"/>
      <w:pPr>
        <w:tabs>
          <w:tab w:val="num" w:pos="720"/>
        </w:tabs>
        <w:ind w:left="720" w:hanging="363"/>
      </w:pPr>
      <w:rPr>
        <w:rFonts w:hint="default"/>
      </w:rPr>
    </w:lvl>
    <w:lvl w:ilvl="6">
      <w:start w:val="1"/>
      <w:numFmt w:val="lowerRoman"/>
      <w:lvlRestart w:val="3"/>
      <w:lvlText w:val="(%7)"/>
      <w:lvlJc w:val="left"/>
      <w:pPr>
        <w:tabs>
          <w:tab w:val="num" w:pos="1077"/>
        </w:tabs>
        <w:ind w:left="1077" w:hanging="357"/>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5AE679F7"/>
    <w:multiLevelType w:val="hybridMultilevel"/>
    <w:tmpl w:val="7EB8E4DC"/>
    <w:lvl w:ilvl="0" w:tplc="83B2D3EC">
      <w:start w:val="1"/>
      <w:numFmt w:val="bullet"/>
      <w:pStyle w:val="AERBullet1"/>
      <w:lvlText w:val=""/>
      <w:lvlJc w:val="left"/>
      <w:pPr>
        <w:tabs>
          <w:tab w:val="num" w:pos="360"/>
        </w:tabs>
        <w:ind w:left="360" w:hanging="360"/>
      </w:pPr>
      <w:rPr>
        <w:rFonts w:ascii="Wingdings" w:hAnsi="Wingdings" w:hint="default"/>
        <w:sz w:val="28"/>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5">
    <w:nsid w:val="62BF0570"/>
    <w:multiLevelType w:val="hybridMultilevel"/>
    <w:tmpl w:val="2C38EE7E"/>
    <w:lvl w:ilvl="0" w:tplc="09AC5D42">
      <w:start w:val="1"/>
      <w:numFmt w:val="bullet"/>
      <w:pStyle w:val="AERbulletlistthirdstyle"/>
      <w:lvlText w:val=""/>
      <w:lvlJc w:val="left"/>
      <w:pPr>
        <w:tabs>
          <w:tab w:val="num" w:pos="870"/>
        </w:tabs>
        <w:ind w:left="870" w:hanging="360"/>
      </w:pPr>
      <w:rPr>
        <w:rFonts w:ascii="Wingdings" w:hAnsi="Wingdings" w:hint="default"/>
        <w:color w:val="auto"/>
        <w:sz w:val="16"/>
        <w:szCs w:val="16"/>
      </w:rPr>
    </w:lvl>
    <w:lvl w:ilvl="1" w:tplc="0C090003" w:tentative="1">
      <w:start w:val="1"/>
      <w:numFmt w:val="bullet"/>
      <w:lvlText w:val="o"/>
      <w:lvlJc w:val="left"/>
      <w:pPr>
        <w:tabs>
          <w:tab w:val="num" w:pos="1590"/>
        </w:tabs>
        <w:ind w:left="1590" w:hanging="360"/>
      </w:pPr>
      <w:rPr>
        <w:rFonts w:ascii="Courier New" w:hAnsi="Courier New" w:cs="Courier New" w:hint="default"/>
      </w:rPr>
    </w:lvl>
    <w:lvl w:ilvl="2" w:tplc="0C090005" w:tentative="1">
      <w:start w:val="1"/>
      <w:numFmt w:val="bullet"/>
      <w:lvlText w:val=""/>
      <w:lvlJc w:val="left"/>
      <w:pPr>
        <w:tabs>
          <w:tab w:val="num" w:pos="2310"/>
        </w:tabs>
        <w:ind w:left="2310" w:hanging="360"/>
      </w:pPr>
      <w:rPr>
        <w:rFonts w:ascii="Wingdings" w:hAnsi="Wingdings" w:hint="default"/>
      </w:rPr>
    </w:lvl>
    <w:lvl w:ilvl="3" w:tplc="0C090001" w:tentative="1">
      <w:start w:val="1"/>
      <w:numFmt w:val="bullet"/>
      <w:lvlText w:val=""/>
      <w:lvlJc w:val="left"/>
      <w:pPr>
        <w:tabs>
          <w:tab w:val="num" w:pos="3030"/>
        </w:tabs>
        <w:ind w:left="3030" w:hanging="360"/>
      </w:pPr>
      <w:rPr>
        <w:rFonts w:ascii="Symbol" w:hAnsi="Symbol" w:hint="default"/>
      </w:rPr>
    </w:lvl>
    <w:lvl w:ilvl="4" w:tplc="0C090003" w:tentative="1">
      <w:start w:val="1"/>
      <w:numFmt w:val="bullet"/>
      <w:lvlText w:val="o"/>
      <w:lvlJc w:val="left"/>
      <w:pPr>
        <w:tabs>
          <w:tab w:val="num" w:pos="3750"/>
        </w:tabs>
        <w:ind w:left="3750" w:hanging="360"/>
      </w:pPr>
      <w:rPr>
        <w:rFonts w:ascii="Courier New" w:hAnsi="Courier New" w:cs="Courier New" w:hint="default"/>
      </w:rPr>
    </w:lvl>
    <w:lvl w:ilvl="5" w:tplc="0C090005" w:tentative="1">
      <w:start w:val="1"/>
      <w:numFmt w:val="bullet"/>
      <w:lvlText w:val=""/>
      <w:lvlJc w:val="left"/>
      <w:pPr>
        <w:tabs>
          <w:tab w:val="num" w:pos="4470"/>
        </w:tabs>
        <w:ind w:left="4470" w:hanging="360"/>
      </w:pPr>
      <w:rPr>
        <w:rFonts w:ascii="Wingdings" w:hAnsi="Wingdings" w:hint="default"/>
      </w:rPr>
    </w:lvl>
    <w:lvl w:ilvl="6" w:tplc="0C090001" w:tentative="1">
      <w:start w:val="1"/>
      <w:numFmt w:val="bullet"/>
      <w:lvlText w:val=""/>
      <w:lvlJc w:val="left"/>
      <w:pPr>
        <w:tabs>
          <w:tab w:val="num" w:pos="5190"/>
        </w:tabs>
        <w:ind w:left="5190" w:hanging="360"/>
      </w:pPr>
      <w:rPr>
        <w:rFonts w:ascii="Symbol" w:hAnsi="Symbol" w:hint="default"/>
      </w:rPr>
    </w:lvl>
    <w:lvl w:ilvl="7" w:tplc="0C090003" w:tentative="1">
      <w:start w:val="1"/>
      <w:numFmt w:val="bullet"/>
      <w:lvlText w:val="o"/>
      <w:lvlJc w:val="left"/>
      <w:pPr>
        <w:tabs>
          <w:tab w:val="num" w:pos="5910"/>
        </w:tabs>
        <w:ind w:left="5910" w:hanging="360"/>
      </w:pPr>
      <w:rPr>
        <w:rFonts w:ascii="Courier New" w:hAnsi="Courier New" w:cs="Courier New" w:hint="default"/>
      </w:rPr>
    </w:lvl>
    <w:lvl w:ilvl="8" w:tplc="0C090005" w:tentative="1">
      <w:start w:val="1"/>
      <w:numFmt w:val="bullet"/>
      <w:lvlText w:val=""/>
      <w:lvlJc w:val="left"/>
      <w:pPr>
        <w:tabs>
          <w:tab w:val="num" w:pos="6630"/>
        </w:tabs>
        <w:ind w:left="6630" w:hanging="360"/>
      </w:pPr>
      <w:rPr>
        <w:rFonts w:ascii="Wingdings" w:hAnsi="Wingdings" w:hint="default"/>
      </w:rPr>
    </w:lvl>
  </w:abstractNum>
  <w:abstractNum w:abstractNumId="16">
    <w:nsid w:val="713E3892"/>
    <w:multiLevelType w:val="multilevel"/>
    <w:tmpl w:val="98546364"/>
    <w:lvl w:ilvl="0">
      <w:start w:val="2"/>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0"/>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 w:ilvl="8">
      <w:start w:val="1"/>
      <w:numFmt w:val="none"/>
      <w:lvlText w:val=""/>
      <w:lvlJc w:val="right"/>
      <w:pPr>
        <w:tabs>
          <w:tab w:val="num" w:pos="1584"/>
        </w:tabs>
        <w:ind w:left="1584" w:hanging="144"/>
      </w:pPr>
      <w:rPr>
        <w:rFonts w:hint="default"/>
      </w:rPr>
    </w:lvl>
  </w:abstractNum>
  <w:abstractNum w:abstractNumId="17">
    <w:nsid w:val="78F3491B"/>
    <w:multiLevelType w:val="multilevel"/>
    <w:tmpl w:val="0A222A44"/>
    <w:styleLink w:val="Style1"/>
    <w:lvl w:ilvl="0">
      <w:start w:val="2"/>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2"/>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 w:ilvl="8">
      <w:start w:val="1"/>
      <w:numFmt w:val="none"/>
      <w:lvlText w:val=""/>
      <w:lvlJc w:val="right"/>
      <w:pPr>
        <w:tabs>
          <w:tab w:val="num" w:pos="1584"/>
        </w:tabs>
        <w:ind w:left="1584" w:hanging="144"/>
      </w:pPr>
      <w:rPr>
        <w:rFonts w:hint="default"/>
      </w:rPr>
    </w:lvl>
  </w:abstractNum>
  <w:abstractNum w:abstractNumId="18">
    <w:nsid w:val="7AEF67FF"/>
    <w:multiLevelType w:val="multilevel"/>
    <w:tmpl w:val="7AAEDBAA"/>
    <w:lvl w:ilvl="0">
      <w:start w:val="1"/>
      <w:numFmt w:val="bullet"/>
      <w:pStyle w:val="AERbulletlistfirststyle"/>
      <w:lvlText w:val=""/>
      <w:lvlJc w:val="left"/>
      <w:pPr>
        <w:tabs>
          <w:tab w:val="num" w:pos="357"/>
        </w:tabs>
        <w:ind w:left="357" w:hanging="357"/>
      </w:pPr>
      <w:rPr>
        <w:rFonts w:ascii="Wingdings" w:hAnsi="Wingdings" w:hint="default"/>
        <w:sz w:val="28"/>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8"/>
  </w:num>
  <w:num w:numId="3">
    <w:abstractNumId w:val="10"/>
  </w:num>
  <w:num w:numId="4">
    <w:abstractNumId w:val="18"/>
  </w:num>
  <w:num w:numId="5">
    <w:abstractNumId w:val="2"/>
  </w:num>
  <w:num w:numId="6">
    <w:abstractNumId w:val="15"/>
  </w:num>
  <w:num w:numId="7">
    <w:abstractNumId w:val="11"/>
  </w:num>
  <w:num w:numId="8">
    <w:abstractNumId w:val="7"/>
  </w:num>
  <w:num w:numId="9">
    <w:abstractNumId w:val="5"/>
  </w:num>
  <w:num w:numId="10">
    <w:abstractNumId w:val="9"/>
  </w:num>
  <w:num w:numId="11">
    <w:abstractNumId w:val="0"/>
  </w:num>
  <w:num w:numId="12">
    <w:abstractNumId w:val="12"/>
  </w:num>
  <w:num w:numId="13">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14">
    <w:abstractNumId w:val="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15">
    <w:abstractNumId w:val="4"/>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lvl w:ilvl="0">
        <w:start w:val="1"/>
        <w:numFmt w:val="decimal"/>
        <w:lvlText w:val="%1"/>
        <w:lvlJc w:val="left"/>
        <w:pPr>
          <w:tabs>
            <w:tab w:val="num" w:pos="851"/>
          </w:tabs>
          <w:ind w:left="851" w:hanging="851"/>
        </w:pPr>
        <w:rPr>
          <w:rFonts w:hint="default"/>
        </w:rPr>
      </w:lvl>
    </w:lvlOverride>
    <w:lvlOverride w:ilvl="1">
      <w:lvl w:ilvl="1">
        <w:start w:val="1"/>
        <w:numFmt w:val="decimal"/>
        <w:lvlText w:val="%1.%2"/>
        <w:lvlJc w:val="left"/>
        <w:pPr>
          <w:tabs>
            <w:tab w:val="num" w:pos="851"/>
          </w:tabs>
          <w:ind w:left="851" w:hanging="851"/>
        </w:pPr>
        <w:rPr>
          <w:rFonts w:hint="default"/>
        </w:rPr>
      </w:lvl>
    </w:lvlOverride>
    <w:lvlOverride w:ilvl="2">
      <w:lvl w:ilvl="2">
        <w:start w:val="1"/>
        <w:numFmt w:val="decimal"/>
        <w:lvlText w:val="%1.%2.%3"/>
        <w:lvlJc w:val="left"/>
        <w:pPr>
          <w:tabs>
            <w:tab w:val="num" w:pos="851"/>
          </w:tabs>
          <w:ind w:left="851" w:hanging="851"/>
        </w:pPr>
        <w:rPr>
          <w:rFonts w:hint="default"/>
        </w:rPr>
      </w:lvl>
    </w:lvlOverride>
    <w:lvlOverride w:ilvl="3">
      <w:lvl w:ilvl="3">
        <w:start w:val="1"/>
        <w:numFmt w:val="decimal"/>
        <w:lvlText w:val="%1.%2.%3.%4"/>
        <w:lvlJc w:val="left"/>
        <w:pPr>
          <w:tabs>
            <w:tab w:val="num" w:pos="851"/>
          </w:tabs>
          <w:ind w:left="851" w:hanging="851"/>
        </w:pPr>
        <w:rPr>
          <w:rFonts w:hint="default"/>
        </w:rPr>
      </w:lvl>
    </w:lvlOverride>
    <w:lvlOverride w:ilvl="4">
      <w:lvl w:ilvl="4">
        <w:start w:val="1"/>
        <w:numFmt w:val="decimal"/>
        <w:lvlRestart w:val="1"/>
        <w:lvlText w:val="Table %1.%5"/>
        <w:lvlJc w:val="left"/>
        <w:pPr>
          <w:tabs>
            <w:tab w:val="num" w:pos="1361"/>
          </w:tabs>
          <w:ind w:left="1361" w:hanging="1361"/>
        </w:pPr>
        <w:rPr>
          <w:rFonts w:hint="default"/>
        </w:rPr>
      </w:lvl>
    </w:lvlOverride>
    <w:lvlOverride w:ilvl="5">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Override>
    <w:lvlOverride w:ilvl="6">
      <w:lvl w:ilvl="6">
        <w:start w:val="1"/>
        <w:numFmt w:val="lowerLetter"/>
        <w:lvlRestart w:val="0"/>
        <w:lvlText w:val="Figure 2.2 (%7)"/>
        <w:lvlJc w:val="left"/>
        <w:pPr>
          <w:tabs>
            <w:tab w:val="num" w:pos="1361"/>
          </w:tabs>
          <w:ind w:left="1361" w:hanging="1361"/>
        </w:pPr>
        <w:rPr>
          <w:rFonts w:hint="default"/>
        </w:rPr>
      </w:lvl>
    </w:lvlOverride>
    <w:lvlOverride w:ilvl="7">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Override>
    <w:lvlOverride w:ilvl="8">
      <w:lvl w:ilvl="8">
        <w:start w:val="1"/>
        <w:numFmt w:val="none"/>
        <w:lvlText w:val=""/>
        <w:lvlJc w:val="right"/>
        <w:pPr>
          <w:tabs>
            <w:tab w:val="num" w:pos="1584"/>
          </w:tabs>
          <w:ind w:left="1584" w:hanging="144"/>
        </w:pPr>
        <w:rPr>
          <w:rFonts w:hint="default"/>
        </w:rPr>
      </w:lvl>
    </w:lvlOverride>
  </w:num>
  <w:num w:numId="18">
    <w:abstractNumId w:val="12"/>
    <w:lvlOverride w:ilvl="0">
      <w:lvl w:ilvl="0">
        <w:start w:val="1"/>
        <w:numFmt w:val="decimal"/>
        <w:lvlText w:val="%1"/>
        <w:lvlJc w:val="left"/>
        <w:pPr>
          <w:tabs>
            <w:tab w:val="num" w:pos="851"/>
          </w:tabs>
          <w:ind w:left="851" w:hanging="851"/>
        </w:pPr>
        <w:rPr>
          <w:rFonts w:hint="default"/>
        </w:rPr>
      </w:lvl>
    </w:lvlOverride>
    <w:lvlOverride w:ilvl="1">
      <w:lvl w:ilvl="1">
        <w:start w:val="1"/>
        <w:numFmt w:val="decimal"/>
        <w:lvlText w:val="%1.%2"/>
        <w:lvlJc w:val="left"/>
        <w:pPr>
          <w:tabs>
            <w:tab w:val="num" w:pos="851"/>
          </w:tabs>
          <w:ind w:left="851" w:hanging="851"/>
        </w:pPr>
        <w:rPr>
          <w:rFonts w:hint="default"/>
        </w:rPr>
      </w:lvl>
    </w:lvlOverride>
    <w:lvlOverride w:ilvl="2">
      <w:lvl w:ilvl="2">
        <w:start w:val="1"/>
        <w:numFmt w:val="decimal"/>
        <w:lvlText w:val="%1.%2.%3"/>
        <w:lvlJc w:val="left"/>
        <w:pPr>
          <w:tabs>
            <w:tab w:val="num" w:pos="851"/>
          </w:tabs>
          <w:ind w:left="851" w:hanging="851"/>
        </w:pPr>
        <w:rPr>
          <w:rFonts w:hint="default"/>
        </w:rPr>
      </w:lvl>
    </w:lvlOverride>
    <w:lvlOverride w:ilvl="3">
      <w:lvl w:ilvl="3">
        <w:start w:val="1"/>
        <w:numFmt w:val="decimal"/>
        <w:lvlText w:val="%1.%2.%3.%4"/>
        <w:lvlJc w:val="left"/>
        <w:pPr>
          <w:tabs>
            <w:tab w:val="num" w:pos="851"/>
          </w:tabs>
          <w:ind w:left="851" w:hanging="851"/>
        </w:pPr>
        <w:rPr>
          <w:rFonts w:hint="default"/>
        </w:rPr>
      </w:lvl>
    </w:lvlOverride>
    <w:lvlOverride w:ilvl="4">
      <w:lvl w:ilvl="4">
        <w:start w:val="1"/>
        <w:numFmt w:val="decimal"/>
        <w:lvlRestart w:val="1"/>
        <w:lvlText w:val="Table %1.%5"/>
        <w:lvlJc w:val="left"/>
        <w:pPr>
          <w:tabs>
            <w:tab w:val="num" w:pos="1361"/>
          </w:tabs>
          <w:ind w:left="1361" w:hanging="1361"/>
        </w:pPr>
        <w:rPr>
          <w:rFonts w:hint="default"/>
        </w:rPr>
      </w:lvl>
    </w:lvlOverride>
    <w:lvlOverride w:ilvl="5">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Override>
    <w:lvlOverride w:ilvl="6">
      <w:lvl w:ilvl="6">
        <w:start w:val="1"/>
        <w:numFmt w:val="lowerLetter"/>
        <w:lvlRestart w:val="0"/>
        <w:lvlText w:val="Figure 2.2 (%7)"/>
        <w:lvlJc w:val="left"/>
        <w:pPr>
          <w:tabs>
            <w:tab w:val="num" w:pos="1361"/>
          </w:tabs>
          <w:ind w:left="1361" w:hanging="1361"/>
        </w:pPr>
        <w:rPr>
          <w:rFonts w:hint="default"/>
        </w:rPr>
      </w:lvl>
    </w:lvlOverride>
    <w:lvlOverride w:ilvl="7">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Override>
    <w:lvlOverride w:ilvl="8">
      <w:lvl w:ilvl="8">
        <w:start w:val="1"/>
        <w:numFmt w:val="none"/>
        <w:lvlText w:val=""/>
        <w:lvlJc w:val="right"/>
        <w:pPr>
          <w:tabs>
            <w:tab w:val="num" w:pos="1584"/>
          </w:tabs>
          <w:ind w:left="1584" w:hanging="144"/>
        </w:pPr>
        <w:rPr>
          <w:rFonts w:hint="default"/>
        </w:rPr>
      </w:lvl>
    </w:lvlOverride>
  </w:num>
  <w:num w:numId="19">
    <w:abstractNumId w:val="16"/>
  </w:num>
  <w:num w:numId="20">
    <w:abstractNumId w:val="17"/>
  </w:num>
  <w:num w:numId="21">
    <w:abstractNumId w:val="1"/>
  </w:num>
  <w:num w:numId="22">
    <w:abstractNumId w:val="6"/>
  </w:num>
  <w:num w:numId="23">
    <w:abstractNumId w:val="3"/>
  </w:num>
  <w:num w:numId="24">
    <w:abstractNumId w:val="3"/>
    <w:lvlOverride w:ilvl="0">
      <w:lvl w:ilvl="0">
        <w:start w:val="1"/>
        <w:numFmt w:val="none"/>
        <w:pStyle w:val="Heading1"/>
        <w:lvlText w:val="%1"/>
        <w:lvlJc w:val="left"/>
        <w:pPr>
          <w:ind w:left="0" w:firstLine="0"/>
        </w:pPr>
        <w:rPr>
          <w:rFonts w:ascii="Arial Bold" w:hAnsi="Arial Bold" w:hint="default"/>
          <w:b/>
          <w:i w:val="0"/>
          <w:color w:val="365F91" w:themeColor="accent1" w:themeShade="BF"/>
          <w:sz w:val="32"/>
        </w:rPr>
      </w:lvl>
    </w:lvlOverride>
    <w:lvlOverride w:ilvl="1">
      <w:lvl w:ilvl="1">
        <w:start w:val="1"/>
        <w:numFmt w:val="decimal"/>
        <w:pStyle w:val="Heading2"/>
        <w:lvlText w:val="Figure %2"/>
        <w:lvlJc w:val="left"/>
        <w:pPr>
          <w:ind w:left="0" w:firstLine="0"/>
        </w:pPr>
        <w:rPr>
          <w:rFonts w:ascii="Arial Bold" w:hAnsi="Arial Bold" w:hint="default"/>
          <w:b/>
          <w:i w:val="0"/>
          <w:color w:val="365F91" w:themeColor="accent1" w:themeShade="BF"/>
          <w:sz w:val="24"/>
        </w:rPr>
      </w:lvl>
    </w:lvlOverride>
    <w:lvlOverride w:ilvl="2">
      <w:lvl w:ilvl="2">
        <w:start w:val="1"/>
        <w:numFmt w:val="decimal"/>
        <w:pStyle w:val="Heading3"/>
        <w:lvlText w:val="%3"/>
        <w:lvlJc w:val="left"/>
        <w:pPr>
          <w:ind w:left="0" w:firstLine="0"/>
        </w:pPr>
        <w:rPr>
          <w:rFonts w:ascii="Arial Bold" w:hAnsi="Arial Bold" w:hint="default"/>
          <w:b/>
          <w:i w:val="0"/>
          <w:color w:val="365F91" w:themeColor="accent1" w:themeShade="BF"/>
          <w:sz w:val="24"/>
        </w:rPr>
      </w:lvl>
    </w:lvlOverride>
    <w:lvlOverride w:ilvl="3">
      <w:lvl w:ilvl="3">
        <w:start w:val="1"/>
        <w:numFmt w:val="decimal"/>
        <w:pStyle w:val="Heading4"/>
        <w:lvlText w:val="Figure %3.%4"/>
        <w:lvlJc w:val="left"/>
        <w:pPr>
          <w:ind w:left="0" w:firstLine="0"/>
        </w:pPr>
        <w:rPr>
          <w:rFonts w:ascii="Arial Bold" w:hAnsi="Arial Bold" w:hint="default"/>
          <w:b/>
          <w:i w:val="0"/>
          <w:color w:val="365F91" w:themeColor="accent1" w:themeShade="BF"/>
          <w:sz w:val="24"/>
        </w:rPr>
      </w:lvl>
    </w:lvlOverride>
    <w:lvlOverride w:ilvl="4">
      <w:lvl w:ilvl="4">
        <w:start w:val="1"/>
        <w:numFmt w:val="lowerLetter"/>
        <w:lvlText w:val="(%5)"/>
        <w:lvlJc w:val="left"/>
        <w:pPr>
          <w:ind w:left="0" w:firstLine="0"/>
        </w:pPr>
        <w:rPr>
          <w:rFonts w:hint="default"/>
        </w:rPr>
      </w:lvl>
    </w:lvlOverride>
    <w:lvlOverride w:ilvl="5">
      <w:lvl w:ilvl="5">
        <w:start w:val="1"/>
        <w:numFmt w:val="lowerRoman"/>
        <w:lvlText w:val="(%6)"/>
        <w:lvlJc w:val="left"/>
        <w:pPr>
          <w:ind w:left="0" w:firstLine="0"/>
        </w:pPr>
        <w:rPr>
          <w:rFonts w:hint="default"/>
        </w:rPr>
      </w:lvl>
    </w:lvlOverride>
    <w:lvlOverride w:ilvl="6">
      <w:lvl w:ilvl="6">
        <w:start w:val="1"/>
        <w:numFmt w:val="decimal"/>
        <w:lvlText w:val="%7."/>
        <w:lvlJc w:val="left"/>
        <w:pPr>
          <w:ind w:left="0" w:firstLine="0"/>
        </w:pPr>
        <w:rPr>
          <w:rFonts w:hint="default"/>
        </w:rPr>
      </w:lvl>
    </w:lvlOverride>
    <w:lvlOverride w:ilvl="7">
      <w:lvl w:ilvl="7">
        <w:start w:val="1"/>
        <w:numFmt w:val="lowerLetter"/>
        <w:lvlText w:val="%8."/>
        <w:lvlJc w:val="left"/>
        <w:pPr>
          <w:ind w:left="0" w:firstLine="0"/>
        </w:pPr>
        <w:rPr>
          <w:rFonts w:hint="default"/>
        </w:rPr>
      </w:lvl>
    </w:lvlOverride>
    <w:lvlOverride w:ilvl="8">
      <w:lvl w:ilvl="8">
        <w:start w:val="1"/>
        <w:numFmt w:val="lowerRoman"/>
        <w:lvlText w:val="%9."/>
        <w:lvlJc w:val="left"/>
        <w:pPr>
          <w:ind w:left="0" w:firstLine="0"/>
        </w:pPr>
        <w:rPr>
          <w:rFonts w:hint="default"/>
        </w:rPr>
      </w:lvl>
    </w:lvlOverride>
  </w:num>
  <w:num w:numId="25">
    <w:abstractNumId w:val="3"/>
  </w:num>
  <w:num w:numId="26">
    <w:abstractNumId w:val="3"/>
  </w:num>
  <w:num w:numId="27">
    <w:abstractNumId w:val="3"/>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num>
  <w:num w:numId="30">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oNotTrackMoves/>
  <w:defaultTabStop w:val="720"/>
  <w:characterSpacingControl w:val="doNotCompress"/>
  <w:hdrShapeDefaults>
    <o:shapedefaults v:ext="edit" spidmax="8192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urrentname" w:val="\\cdchnas-evs02\home$\adrae\Desktop\AER gas weekly report - 20 – 26 December 2015.docx"/>
  </w:docVars>
  <w:rsids>
    <w:rsidRoot w:val="005F18AD"/>
    <w:rsid w:val="000013C1"/>
    <w:rsid w:val="00001BFB"/>
    <w:rsid w:val="00002313"/>
    <w:rsid w:val="00004A63"/>
    <w:rsid w:val="00010025"/>
    <w:rsid w:val="000123CA"/>
    <w:rsid w:val="00014986"/>
    <w:rsid w:val="00020978"/>
    <w:rsid w:val="0002268D"/>
    <w:rsid w:val="00027115"/>
    <w:rsid w:val="000323BA"/>
    <w:rsid w:val="00033456"/>
    <w:rsid w:val="00040F6B"/>
    <w:rsid w:val="000552AF"/>
    <w:rsid w:val="00055584"/>
    <w:rsid w:val="00061656"/>
    <w:rsid w:val="0006609A"/>
    <w:rsid w:val="00073D01"/>
    <w:rsid w:val="00076046"/>
    <w:rsid w:val="000813BF"/>
    <w:rsid w:val="0008491C"/>
    <w:rsid w:val="00085092"/>
    <w:rsid w:val="000876E7"/>
    <w:rsid w:val="00093854"/>
    <w:rsid w:val="000974A2"/>
    <w:rsid w:val="00097D40"/>
    <w:rsid w:val="000A0552"/>
    <w:rsid w:val="000B4A1F"/>
    <w:rsid w:val="000B6397"/>
    <w:rsid w:val="000B69E0"/>
    <w:rsid w:val="000B7FAF"/>
    <w:rsid w:val="000C2657"/>
    <w:rsid w:val="000C2D2F"/>
    <w:rsid w:val="000C750C"/>
    <w:rsid w:val="000D1FEB"/>
    <w:rsid w:val="000E1F9A"/>
    <w:rsid w:val="000F0BBB"/>
    <w:rsid w:val="000F2287"/>
    <w:rsid w:val="000F3B46"/>
    <w:rsid w:val="000F59F8"/>
    <w:rsid w:val="000F5F5E"/>
    <w:rsid w:val="000F6D05"/>
    <w:rsid w:val="00113D67"/>
    <w:rsid w:val="00117C98"/>
    <w:rsid w:val="00125818"/>
    <w:rsid w:val="001347FC"/>
    <w:rsid w:val="001420EB"/>
    <w:rsid w:val="001452B3"/>
    <w:rsid w:val="00150A19"/>
    <w:rsid w:val="00153729"/>
    <w:rsid w:val="001544BD"/>
    <w:rsid w:val="00157AFD"/>
    <w:rsid w:val="001608BE"/>
    <w:rsid w:val="001656C3"/>
    <w:rsid w:val="00171BD5"/>
    <w:rsid w:val="00181F4A"/>
    <w:rsid w:val="00182F3D"/>
    <w:rsid w:val="001831BF"/>
    <w:rsid w:val="001835B2"/>
    <w:rsid w:val="00183D85"/>
    <w:rsid w:val="00191758"/>
    <w:rsid w:val="00193ECC"/>
    <w:rsid w:val="001A41B4"/>
    <w:rsid w:val="001A5893"/>
    <w:rsid w:val="001A5B94"/>
    <w:rsid w:val="001A5C1A"/>
    <w:rsid w:val="001A765F"/>
    <w:rsid w:val="001B294E"/>
    <w:rsid w:val="001B2ADA"/>
    <w:rsid w:val="001B3823"/>
    <w:rsid w:val="001C006C"/>
    <w:rsid w:val="001C5A74"/>
    <w:rsid w:val="001E79FF"/>
    <w:rsid w:val="001F0F9B"/>
    <w:rsid w:val="002052B6"/>
    <w:rsid w:val="00205786"/>
    <w:rsid w:val="00206559"/>
    <w:rsid w:val="002168D4"/>
    <w:rsid w:val="002312F5"/>
    <w:rsid w:val="00231B0A"/>
    <w:rsid w:val="00233988"/>
    <w:rsid w:val="00234764"/>
    <w:rsid w:val="00252A22"/>
    <w:rsid w:val="00254746"/>
    <w:rsid w:val="00266CA5"/>
    <w:rsid w:val="0026725A"/>
    <w:rsid w:val="0026764C"/>
    <w:rsid w:val="00270B82"/>
    <w:rsid w:val="002733D6"/>
    <w:rsid w:val="002765A2"/>
    <w:rsid w:val="00285E00"/>
    <w:rsid w:val="002861A9"/>
    <w:rsid w:val="00290C57"/>
    <w:rsid w:val="002910A1"/>
    <w:rsid w:val="002A0CD1"/>
    <w:rsid w:val="002A30E7"/>
    <w:rsid w:val="002A3E5D"/>
    <w:rsid w:val="002A46AC"/>
    <w:rsid w:val="002A5634"/>
    <w:rsid w:val="002B1803"/>
    <w:rsid w:val="002B3D3C"/>
    <w:rsid w:val="002B4D21"/>
    <w:rsid w:val="002C0499"/>
    <w:rsid w:val="002C2576"/>
    <w:rsid w:val="002D0C16"/>
    <w:rsid w:val="002D59B3"/>
    <w:rsid w:val="002D5CEC"/>
    <w:rsid w:val="002E0688"/>
    <w:rsid w:val="002E2C96"/>
    <w:rsid w:val="002E2E46"/>
    <w:rsid w:val="002E7E9E"/>
    <w:rsid w:val="002F0AE7"/>
    <w:rsid w:val="002F139A"/>
    <w:rsid w:val="002F4250"/>
    <w:rsid w:val="003002F6"/>
    <w:rsid w:val="0030240F"/>
    <w:rsid w:val="00310156"/>
    <w:rsid w:val="00311A09"/>
    <w:rsid w:val="00314A8B"/>
    <w:rsid w:val="00320141"/>
    <w:rsid w:val="003216CA"/>
    <w:rsid w:val="0032174C"/>
    <w:rsid w:val="00323327"/>
    <w:rsid w:val="00330B70"/>
    <w:rsid w:val="003314EE"/>
    <w:rsid w:val="003348F7"/>
    <w:rsid w:val="00336E8E"/>
    <w:rsid w:val="003410C4"/>
    <w:rsid w:val="00345444"/>
    <w:rsid w:val="00347FBB"/>
    <w:rsid w:val="003548AA"/>
    <w:rsid w:val="0035758F"/>
    <w:rsid w:val="00357C72"/>
    <w:rsid w:val="003625A6"/>
    <w:rsid w:val="00362B9A"/>
    <w:rsid w:val="003632A4"/>
    <w:rsid w:val="003664D0"/>
    <w:rsid w:val="00366BDF"/>
    <w:rsid w:val="00372976"/>
    <w:rsid w:val="00374CF9"/>
    <w:rsid w:val="003800B4"/>
    <w:rsid w:val="00387B66"/>
    <w:rsid w:val="00396C2C"/>
    <w:rsid w:val="00396C7A"/>
    <w:rsid w:val="003977B4"/>
    <w:rsid w:val="003A1F03"/>
    <w:rsid w:val="003B0AAD"/>
    <w:rsid w:val="003B65E0"/>
    <w:rsid w:val="003C5272"/>
    <w:rsid w:val="003C5482"/>
    <w:rsid w:val="003D59BF"/>
    <w:rsid w:val="003E313D"/>
    <w:rsid w:val="003F3391"/>
    <w:rsid w:val="003F44AD"/>
    <w:rsid w:val="003F44B7"/>
    <w:rsid w:val="003F51E6"/>
    <w:rsid w:val="003F7FD2"/>
    <w:rsid w:val="0040076C"/>
    <w:rsid w:val="004055AC"/>
    <w:rsid w:val="00411C3F"/>
    <w:rsid w:val="004149DB"/>
    <w:rsid w:val="00420328"/>
    <w:rsid w:val="00421FFF"/>
    <w:rsid w:val="00433231"/>
    <w:rsid w:val="00434FC1"/>
    <w:rsid w:val="004420C4"/>
    <w:rsid w:val="00442756"/>
    <w:rsid w:val="00445D38"/>
    <w:rsid w:val="00447C09"/>
    <w:rsid w:val="004505EA"/>
    <w:rsid w:val="004509F7"/>
    <w:rsid w:val="0045204B"/>
    <w:rsid w:val="00452149"/>
    <w:rsid w:val="00452AAD"/>
    <w:rsid w:val="004560B0"/>
    <w:rsid w:val="00460629"/>
    <w:rsid w:val="00463EFA"/>
    <w:rsid w:val="004777B8"/>
    <w:rsid w:val="004814EE"/>
    <w:rsid w:val="00483EDA"/>
    <w:rsid w:val="00491029"/>
    <w:rsid w:val="00492501"/>
    <w:rsid w:val="00496CEF"/>
    <w:rsid w:val="004A09D6"/>
    <w:rsid w:val="004A10A7"/>
    <w:rsid w:val="004B068E"/>
    <w:rsid w:val="004B18D8"/>
    <w:rsid w:val="004B2256"/>
    <w:rsid w:val="004B2A1A"/>
    <w:rsid w:val="004B5AEA"/>
    <w:rsid w:val="004B6D60"/>
    <w:rsid w:val="004D09C9"/>
    <w:rsid w:val="004D1EBF"/>
    <w:rsid w:val="004D3B99"/>
    <w:rsid w:val="004D3E78"/>
    <w:rsid w:val="004E0842"/>
    <w:rsid w:val="004E20BF"/>
    <w:rsid w:val="004F3D13"/>
    <w:rsid w:val="00502181"/>
    <w:rsid w:val="00505139"/>
    <w:rsid w:val="005136B1"/>
    <w:rsid w:val="00514A82"/>
    <w:rsid w:val="005157B0"/>
    <w:rsid w:val="005178FC"/>
    <w:rsid w:val="00522E00"/>
    <w:rsid w:val="005244DA"/>
    <w:rsid w:val="00524B11"/>
    <w:rsid w:val="00527765"/>
    <w:rsid w:val="0053609E"/>
    <w:rsid w:val="00541108"/>
    <w:rsid w:val="00547827"/>
    <w:rsid w:val="00563C94"/>
    <w:rsid w:val="00564C71"/>
    <w:rsid w:val="0056618C"/>
    <w:rsid w:val="0058198F"/>
    <w:rsid w:val="00582F1C"/>
    <w:rsid w:val="005859CC"/>
    <w:rsid w:val="00586C57"/>
    <w:rsid w:val="00587CD1"/>
    <w:rsid w:val="0059045B"/>
    <w:rsid w:val="005A1650"/>
    <w:rsid w:val="005A4569"/>
    <w:rsid w:val="005A6687"/>
    <w:rsid w:val="005A77AC"/>
    <w:rsid w:val="005B4A4F"/>
    <w:rsid w:val="005C4B8B"/>
    <w:rsid w:val="005C68CE"/>
    <w:rsid w:val="005D1037"/>
    <w:rsid w:val="005D4097"/>
    <w:rsid w:val="005D6652"/>
    <w:rsid w:val="005E3DFB"/>
    <w:rsid w:val="005E4C48"/>
    <w:rsid w:val="005F18AD"/>
    <w:rsid w:val="005F31D0"/>
    <w:rsid w:val="00601A25"/>
    <w:rsid w:val="00601C18"/>
    <w:rsid w:val="00601E71"/>
    <w:rsid w:val="0060661E"/>
    <w:rsid w:val="00612663"/>
    <w:rsid w:val="00636FDB"/>
    <w:rsid w:val="00642B9F"/>
    <w:rsid w:val="00645036"/>
    <w:rsid w:val="00647DD2"/>
    <w:rsid w:val="006520EE"/>
    <w:rsid w:val="00652A42"/>
    <w:rsid w:val="006540A8"/>
    <w:rsid w:val="006705A4"/>
    <w:rsid w:val="006722EB"/>
    <w:rsid w:val="00686F6E"/>
    <w:rsid w:val="00697E41"/>
    <w:rsid w:val="006A5317"/>
    <w:rsid w:val="006A7228"/>
    <w:rsid w:val="006B004C"/>
    <w:rsid w:val="006B33CE"/>
    <w:rsid w:val="006B5D41"/>
    <w:rsid w:val="006C1858"/>
    <w:rsid w:val="006C242A"/>
    <w:rsid w:val="006C2B2B"/>
    <w:rsid w:val="006C57B2"/>
    <w:rsid w:val="006C5A2C"/>
    <w:rsid w:val="006C6D60"/>
    <w:rsid w:val="006D01B4"/>
    <w:rsid w:val="006D6E0B"/>
    <w:rsid w:val="006E1063"/>
    <w:rsid w:val="006E312B"/>
    <w:rsid w:val="006E40BD"/>
    <w:rsid w:val="006E7E57"/>
    <w:rsid w:val="006F4169"/>
    <w:rsid w:val="007001FF"/>
    <w:rsid w:val="007059A9"/>
    <w:rsid w:val="00706720"/>
    <w:rsid w:val="00710600"/>
    <w:rsid w:val="0071106C"/>
    <w:rsid w:val="00715BED"/>
    <w:rsid w:val="00716B82"/>
    <w:rsid w:val="007201F8"/>
    <w:rsid w:val="007209C0"/>
    <w:rsid w:val="00722B62"/>
    <w:rsid w:val="0072650E"/>
    <w:rsid w:val="007306EC"/>
    <w:rsid w:val="00740EE4"/>
    <w:rsid w:val="00747724"/>
    <w:rsid w:val="00750C0F"/>
    <w:rsid w:val="00763150"/>
    <w:rsid w:val="0076429B"/>
    <w:rsid w:val="007671DC"/>
    <w:rsid w:val="00767397"/>
    <w:rsid w:val="00773AE0"/>
    <w:rsid w:val="00776BBA"/>
    <w:rsid w:val="00780129"/>
    <w:rsid w:val="00781A4A"/>
    <w:rsid w:val="00783901"/>
    <w:rsid w:val="00791198"/>
    <w:rsid w:val="007941C2"/>
    <w:rsid w:val="00795966"/>
    <w:rsid w:val="007966A5"/>
    <w:rsid w:val="007A12DE"/>
    <w:rsid w:val="007A24B5"/>
    <w:rsid w:val="007A51E1"/>
    <w:rsid w:val="007A7E7A"/>
    <w:rsid w:val="007B7771"/>
    <w:rsid w:val="007C6F34"/>
    <w:rsid w:val="007D470C"/>
    <w:rsid w:val="007D4B14"/>
    <w:rsid w:val="007D4F53"/>
    <w:rsid w:val="007D7254"/>
    <w:rsid w:val="007E52F7"/>
    <w:rsid w:val="007E5F68"/>
    <w:rsid w:val="0080456D"/>
    <w:rsid w:val="00811D1C"/>
    <w:rsid w:val="008133CF"/>
    <w:rsid w:val="008170C0"/>
    <w:rsid w:val="008205ED"/>
    <w:rsid w:val="0082168C"/>
    <w:rsid w:val="008344A6"/>
    <w:rsid w:val="00847BA4"/>
    <w:rsid w:val="00875D0C"/>
    <w:rsid w:val="008776EF"/>
    <w:rsid w:val="00882958"/>
    <w:rsid w:val="008936C5"/>
    <w:rsid w:val="00895965"/>
    <w:rsid w:val="008A6DB5"/>
    <w:rsid w:val="008B4A16"/>
    <w:rsid w:val="008B7161"/>
    <w:rsid w:val="008C0EC8"/>
    <w:rsid w:val="008C268E"/>
    <w:rsid w:val="008C7F3A"/>
    <w:rsid w:val="008D39F4"/>
    <w:rsid w:val="008D4DAB"/>
    <w:rsid w:val="008D70A4"/>
    <w:rsid w:val="008E2239"/>
    <w:rsid w:val="008E24DA"/>
    <w:rsid w:val="008E4885"/>
    <w:rsid w:val="008E6E8A"/>
    <w:rsid w:val="008F4BF5"/>
    <w:rsid w:val="008F4C4D"/>
    <w:rsid w:val="008F4EAE"/>
    <w:rsid w:val="008F5409"/>
    <w:rsid w:val="0090044A"/>
    <w:rsid w:val="00900CEB"/>
    <w:rsid w:val="00903620"/>
    <w:rsid w:val="009136B3"/>
    <w:rsid w:val="009143E0"/>
    <w:rsid w:val="0091453B"/>
    <w:rsid w:val="00936A7B"/>
    <w:rsid w:val="00937543"/>
    <w:rsid w:val="00942622"/>
    <w:rsid w:val="00942640"/>
    <w:rsid w:val="00947C34"/>
    <w:rsid w:val="00950C55"/>
    <w:rsid w:val="00951926"/>
    <w:rsid w:val="00956CE9"/>
    <w:rsid w:val="009629B5"/>
    <w:rsid w:val="00976584"/>
    <w:rsid w:val="00987973"/>
    <w:rsid w:val="00990F83"/>
    <w:rsid w:val="009962A0"/>
    <w:rsid w:val="009A04DD"/>
    <w:rsid w:val="009A1BBA"/>
    <w:rsid w:val="009B2F99"/>
    <w:rsid w:val="009B4053"/>
    <w:rsid w:val="009B48FB"/>
    <w:rsid w:val="009B6259"/>
    <w:rsid w:val="009B77E9"/>
    <w:rsid w:val="009B7937"/>
    <w:rsid w:val="009C2C0E"/>
    <w:rsid w:val="009C30E2"/>
    <w:rsid w:val="009C4CBD"/>
    <w:rsid w:val="009C7F8C"/>
    <w:rsid w:val="009D061B"/>
    <w:rsid w:val="009D2B17"/>
    <w:rsid w:val="009D7763"/>
    <w:rsid w:val="009D7D0F"/>
    <w:rsid w:val="009E18FE"/>
    <w:rsid w:val="009E74E3"/>
    <w:rsid w:val="009F43B1"/>
    <w:rsid w:val="009F4655"/>
    <w:rsid w:val="009F4DF7"/>
    <w:rsid w:val="009F6FA3"/>
    <w:rsid w:val="00A0223D"/>
    <w:rsid w:val="00A13F97"/>
    <w:rsid w:val="00A156EE"/>
    <w:rsid w:val="00A200D0"/>
    <w:rsid w:val="00A26940"/>
    <w:rsid w:val="00A270DD"/>
    <w:rsid w:val="00A324A8"/>
    <w:rsid w:val="00A33244"/>
    <w:rsid w:val="00A349B0"/>
    <w:rsid w:val="00A475A2"/>
    <w:rsid w:val="00A51DDD"/>
    <w:rsid w:val="00A55660"/>
    <w:rsid w:val="00A55C96"/>
    <w:rsid w:val="00A642B8"/>
    <w:rsid w:val="00A66FD2"/>
    <w:rsid w:val="00A67089"/>
    <w:rsid w:val="00A67716"/>
    <w:rsid w:val="00A677D8"/>
    <w:rsid w:val="00A71E47"/>
    <w:rsid w:val="00A805E2"/>
    <w:rsid w:val="00A834DF"/>
    <w:rsid w:val="00A91C53"/>
    <w:rsid w:val="00A936AE"/>
    <w:rsid w:val="00AA1D87"/>
    <w:rsid w:val="00AC0C68"/>
    <w:rsid w:val="00AD3EBD"/>
    <w:rsid w:val="00AE03A4"/>
    <w:rsid w:val="00AE309F"/>
    <w:rsid w:val="00AE4633"/>
    <w:rsid w:val="00AE748C"/>
    <w:rsid w:val="00AF2164"/>
    <w:rsid w:val="00AF2281"/>
    <w:rsid w:val="00B00058"/>
    <w:rsid w:val="00B015F8"/>
    <w:rsid w:val="00B1081E"/>
    <w:rsid w:val="00B16118"/>
    <w:rsid w:val="00B17A8A"/>
    <w:rsid w:val="00B24A61"/>
    <w:rsid w:val="00B254F8"/>
    <w:rsid w:val="00B30EB3"/>
    <w:rsid w:val="00B3322A"/>
    <w:rsid w:val="00B33F8C"/>
    <w:rsid w:val="00B4302A"/>
    <w:rsid w:val="00B4661F"/>
    <w:rsid w:val="00B46A79"/>
    <w:rsid w:val="00B507D2"/>
    <w:rsid w:val="00B529D0"/>
    <w:rsid w:val="00B56814"/>
    <w:rsid w:val="00B60F88"/>
    <w:rsid w:val="00B61751"/>
    <w:rsid w:val="00B659EE"/>
    <w:rsid w:val="00B66BAB"/>
    <w:rsid w:val="00B66E50"/>
    <w:rsid w:val="00B70A9F"/>
    <w:rsid w:val="00B71A5E"/>
    <w:rsid w:val="00B76529"/>
    <w:rsid w:val="00B77F79"/>
    <w:rsid w:val="00B82478"/>
    <w:rsid w:val="00B8698C"/>
    <w:rsid w:val="00B9666A"/>
    <w:rsid w:val="00BA16E2"/>
    <w:rsid w:val="00BA31C3"/>
    <w:rsid w:val="00BA65E6"/>
    <w:rsid w:val="00BA6C2E"/>
    <w:rsid w:val="00BB2FF6"/>
    <w:rsid w:val="00BC18FB"/>
    <w:rsid w:val="00BC21AB"/>
    <w:rsid w:val="00BC254C"/>
    <w:rsid w:val="00BC4C5B"/>
    <w:rsid w:val="00BC77F9"/>
    <w:rsid w:val="00BD0E23"/>
    <w:rsid w:val="00BD3A40"/>
    <w:rsid w:val="00BD60AA"/>
    <w:rsid w:val="00BE18D0"/>
    <w:rsid w:val="00BE240C"/>
    <w:rsid w:val="00BE4577"/>
    <w:rsid w:val="00BF1D01"/>
    <w:rsid w:val="00BF3080"/>
    <w:rsid w:val="00C12B36"/>
    <w:rsid w:val="00C21D81"/>
    <w:rsid w:val="00C25FEB"/>
    <w:rsid w:val="00C26B1D"/>
    <w:rsid w:val="00C26E38"/>
    <w:rsid w:val="00C3163F"/>
    <w:rsid w:val="00C560C2"/>
    <w:rsid w:val="00C60857"/>
    <w:rsid w:val="00C60E80"/>
    <w:rsid w:val="00C75920"/>
    <w:rsid w:val="00C80FD8"/>
    <w:rsid w:val="00C83657"/>
    <w:rsid w:val="00C859CC"/>
    <w:rsid w:val="00C94431"/>
    <w:rsid w:val="00C9498F"/>
    <w:rsid w:val="00CA0EE1"/>
    <w:rsid w:val="00CA1B04"/>
    <w:rsid w:val="00CA275B"/>
    <w:rsid w:val="00CB0C0E"/>
    <w:rsid w:val="00CC0E98"/>
    <w:rsid w:val="00CC300D"/>
    <w:rsid w:val="00CC385B"/>
    <w:rsid w:val="00CC4A35"/>
    <w:rsid w:val="00CD3544"/>
    <w:rsid w:val="00CE48FC"/>
    <w:rsid w:val="00CE58FB"/>
    <w:rsid w:val="00CE5DB6"/>
    <w:rsid w:val="00CE75EF"/>
    <w:rsid w:val="00CF32A8"/>
    <w:rsid w:val="00CF53CA"/>
    <w:rsid w:val="00CF5471"/>
    <w:rsid w:val="00D10FA6"/>
    <w:rsid w:val="00D11DDB"/>
    <w:rsid w:val="00D161D7"/>
    <w:rsid w:val="00D1641C"/>
    <w:rsid w:val="00D16FE8"/>
    <w:rsid w:val="00D22793"/>
    <w:rsid w:val="00D27B6C"/>
    <w:rsid w:val="00D329E0"/>
    <w:rsid w:val="00D40430"/>
    <w:rsid w:val="00D41D64"/>
    <w:rsid w:val="00D50980"/>
    <w:rsid w:val="00D60D45"/>
    <w:rsid w:val="00D635F1"/>
    <w:rsid w:val="00D67440"/>
    <w:rsid w:val="00D71951"/>
    <w:rsid w:val="00D76436"/>
    <w:rsid w:val="00D770D5"/>
    <w:rsid w:val="00D83864"/>
    <w:rsid w:val="00D84A8C"/>
    <w:rsid w:val="00DA0113"/>
    <w:rsid w:val="00DA0E69"/>
    <w:rsid w:val="00DA37EC"/>
    <w:rsid w:val="00DA38A8"/>
    <w:rsid w:val="00DA3AAA"/>
    <w:rsid w:val="00DB0182"/>
    <w:rsid w:val="00DB12E4"/>
    <w:rsid w:val="00DB3B79"/>
    <w:rsid w:val="00DB3D7F"/>
    <w:rsid w:val="00DB5A3A"/>
    <w:rsid w:val="00DC0A52"/>
    <w:rsid w:val="00DC12FF"/>
    <w:rsid w:val="00DC154F"/>
    <w:rsid w:val="00DC158D"/>
    <w:rsid w:val="00DD0358"/>
    <w:rsid w:val="00DD5ACD"/>
    <w:rsid w:val="00E01475"/>
    <w:rsid w:val="00E032F3"/>
    <w:rsid w:val="00E16C03"/>
    <w:rsid w:val="00E2040E"/>
    <w:rsid w:val="00E2256B"/>
    <w:rsid w:val="00E27FEA"/>
    <w:rsid w:val="00E377B8"/>
    <w:rsid w:val="00E37A86"/>
    <w:rsid w:val="00E40361"/>
    <w:rsid w:val="00E41452"/>
    <w:rsid w:val="00E453F1"/>
    <w:rsid w:val="00E524B2"/>
    <w:rsid w:val="00E52E2A"/>
    <w:rsid w:val="00E74D68"/>
    <w:rsid w:val="00E7533D"/>
    <w:rsid w:val="00E7639D"/>
    <w:rsid w:val="00E7683D"/>
    <w:rsid w:val="00E77449"/>
    <w:rsid w:val="00E7755A"/>
    <w:rsid w:val="00E8378F"/>
    <w:rsid w:val="00E86AAA"/>
    <w:rsid w:val="00E92E1D"/>
    <w:rsid w:val="00E938B4"/>
    <w:rsid w:val="00E93C7C"/>
    <w:rsid w:val="00E94C7D"/>
    <w:rsid w:val="00EA2F65"/>
    <w:rsid w:val="00EA4813"/>
    <w:rsid w:val="00EA6E29"/>
    <w:rsid w:val="00EB1729"/>
    <w:rsid w:val="00ED3374"/>
    <w:rsid w:val="00ED5E08"/>
    <w:rsid w:val="00EE2B5F"/>
    <w:rsid w:val="00EE51D2"/>
    <w:rsid w:val="00EE6F2C"/>
    <w:rsid w:val="00EF4E45"/>
    <w:rsid w:val="00EF58A8"/>
    <w:rsid w:val="00EF5A5D"/>
    <w:rsid w:val="00EF6B0C"/>
    <w:rsid w:val="00F01843"/>
    <w:rsid w:val="00F02D8D"/>
    <w:rsid w:val="00F114D5"/>
    <w:rsid w:val="00F16C55"/>
    <w:rsid w:val="00F25FA8"/>
    <w:rsid w:val="00F415E2"/>
    <w:rsid w:val="00F427B4"/>
    <w:rsid w:val="00F45735"/>
    <w:rsid w:val="00F5024F"/>
    <w:rsid w:val="00F50297"/>
    <w:rsid w:val="00F51FA1"/>
    <w:rsid w:val="00F5594F"/>
    <w:rsid w:val="00F55D61"/>
    <w:rsid w:val="00F621E8"/>
    <w:rsid w:val="00F63042"/>
    <w:rsid w:val="00F645EC"/>
    <w:rsid w:val="00F67024"/>
    <w:rsid w:val="00F67559"/>
    <w:rsid w:val="00F705F1"/>
    <w:rsid w:val="00F71200"/>
    <w:rsid w:val="00F73DCA"/>
    <w:rsid w:val="00F76C75"/>
    <w:rsid w:val="00F77722"/>
    <w:rsid w:val="00F803DE"/>
    <w:rsid w:val="00F87375"/>
    <w:rsid w:val="00F934D3"/>
    <w:rsid w:val="00F96C04"/>
    <w:rsid w:val="00F976F4"/>
    <w:rsid w:val="00FB02CC"/>
    <w:rsid w:val="00FB3934"/>
    <w:rsid w:val="00FB594A"/>
    <w:rsid w:val="00FB7DD0"/>
    <w:rsid w:val="00FC4B88"/>
    <w:rsid w:val="00FD083B"/>
    <w:rsid w:val="00FD08B1"/>
    <w:rsid w:val="00FD7009"/>
    <w:rsid w:val="00FD7231"/>
    <w:rsid w:val="00FE0150"/>
    <w:rsid w:val="00FE30E3"/>
    <w:rsid w:val="00FF0D8A"/>
    <w:rsid w:val="00FF2760"/>
    <w:rsid w:val="00FF328C"/>
    <w:rsid w:val="00FF442C"/>
    <w:rsid w:val="00FF6C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footnote text" w:qFormat="1"/>
    <w:lsdException w:name="annotation text" w:uiPriority="99"/>
    <w:lsdException w:name="caption" w:qFormat="1"/>
    <w:lsdException w:name="annotation reference" w:uiPriority="99"/>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6A7B"/>
    <w:pPr>
      <w:spacing w:before="120" w:after="120"/>
    </w:pPr>
    <w:rPr>
      <w:rFonts w:ascii="Arial" w:hAnsi="Arial"/>
      <w:sz w:val="22"/>
      <w:szCs w:val="24"/>
    </w:rPr>
  </w:style>
  <w:style w:type="paragraph" w:styleId="Heading1">
    <w:name w:val="heading 1"/>
    <w:basedOn w:val="Normal"/>
    <w:next w:val="Normal"/>
    <w:link w:val="Heading1Char"/>
    <w:qFormat/>
    <w:rsid w:val="005F18AD"/>
    <w:pPr>
      <w:keepNext/>
      <w:numPr>
        <w:numId w:val="23"/>
      </w:numPr>
      <w:spacing w:before="240" w:after="60"/>
      <w:outlineLvl w:val="0"/>
    </w:pPr>
    <w:rPr>
      <w:rFonts w:cs="Arial"/>
      <w:b/>
      <w:bCs/>
      <w:kern w:val="32"/>
      <w:sz w:val="32"/>
      <w:szCs w:val="32"/>
    </w:rPr>
  </w:style>
  <w:style w:type="paragraph" w:styleId="Heading2">
    <w:name w:val="heading 2"/>
    <w:basedOn w:val="Normal"/>
    <w:next w:val="Normal"/>
    <w:link w:val="Heading2Char"/>
    <w:qFormat/>
    <w:rsid w:val="005F18AD"/>
    <w:pPr>
      <w:keepNext/>
      <w:numPr>
        <w:ilvl w:val="1"/>
        <w:numId w:val="23"/>
      </w:numPr>
      <w:spacing w:before="240" w:after="60"/>
      <w:outlineLvl w:val="1"/>
    </w:pPr>
    <w:rPr>
      <w:rFonts w:cs="Arial"/>
      <w:b/>
      <w:bCs/>
      <w:i/>
      <w:iCs/>
      <w:sz w:val="28"/>
      <w:szCs w:val="28"/>
    </w:rPr>
  </w:style>
  <w:style w:type="paragraph" w:styleId="Heading3">
    <w:name w:val="heading 3"/>
    <w:basedOn w:val="Normal"/>
    <w:next w:val="Normal"/>
    <w:link w:val="Heading3Char"/>
    <w:qFormat/>
    <w:rsid w:val="005F18AD"/>
    <w:pPr>
      <w:keepNext/>
      <w:numPr>
        <w:ilvl w:val="2"/>
        <w:numId w:val="23"/>
      </w:numPr>
      <w:spacing w:before="240" w:after="60"/>
      <w:outlineLvl w:val="2"/>
    </w:pPr>
    <w:rPr>
      <w:rFonts w:cs="Arial"/>
      <w:b/>
      <w:bCs/>
      <w:sz w:val="26"/>
      <w:szCs w:val="26"/>
    </w:rPr>
  </w:style>
  <w:style w:type="paragraph" w:styleId="Heading4">
    <w:name w:val="heading 4"/>
    <w:basedOn w:val="Normal"/>
    <w:next w:val="Normal"/>
    <w:link w:val="Heading4Char"/>
    <w:qFormat/>
    <w:rsid w:val="005F18AD"/>
    <w:pPr>
      <w:keepNext/>
      <w:numPr>
        <w:ilvl w:val="3"/>
        <w:numId w:val="23"/>
      </w:numPr>
      <w:spacing w:before="240" w:after="60"/>
      <w:outlineLvl w:val="3"/>
    </w:pPr>
    <w:rPr>
      <w:b/>
      <w:bCs/>
      <w:sz w:val="28"/>
      <w:szCs w:val="28"/>
    </w:rPr>
  </w:style>
  <w:style w:type="paragraph" w:styleId="Heading5">
    <w:name w:val="heading 5"/>
    <w:basedOn w:val="Normal"/>
    <w:next w:val="Normal"/>
    <w:link w:val="Heading5Char"/>
    <w:qFormat/>
    <w:rsid w:val="005F18AD"/>
    <w:pPr>
      <w:spacing w:before="240" w:after="60"/>
      <w:outlineLvl w:val="4"/>
    </w:pPr>
    <w:rPr>
      <w:b/>
      <w:bCs/>
      <w:i/>
      <w:iCs/>
      <w:sz w:val="26"/>
      <w:szCs w:val="26"/>
    </w:rPr>
  </w:style>
  <w:style w:type="paragraph" w:styleId="Heading6">
    <w:name w:val="heading 6"/>
    <w:basedOn w:val="Normal"/>
    <w:next w:val="Normal"/>
    <w:link w:val="Heading6Char"/>
    <w:qFormat/>
    <w:rsid w:val="005F18AD"/>
    <w:pPr>
      <w:spacing w:before="240" w:after="60"/>
      <w:outlineLvl w:val="5"/>
    </w:pPr>
    <w:rPr>
      <w:b/>
      <w:bCs/>
      <w:szCs w:val="22"/>
    </w:rPr>
  </w:style>
  <w:style w:type="paragraph" w:styleId="Heading8">
    <w:name w:val="heading 8"/>
    <w:basedOn w:val="Normal"/>
    <w:next w:val="Normal"/>
    <w:link w:val="Heading8Char"/>
    <w:qFormat/>
    <w:rsid w:val="005F18AD"/>
    <w:pPr>
      <w:spacing w:before="240" w:after="60"/>
      <w:outlineLvl w:val="7"/>
    </w:pPr>
    <w:rPr>
      <w:rFonts w:eastAsia="Batang"/>
      <w:i/>
      <w:iCs/>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F18AD"/>
    <w:rPr>
      <w:rFonts w:ascii="Arial" w:hAnsi="Arial" w:cs="Arial"/>
      <w:b/>
      <w:bCs/>
      <w:kern w:val="32"/>
      <w:sz w:val="32"/>
      <w:szCs w:val="32"/>
    </w:rPr>
  </w:style>
  <w:style w:type="character" w:customStyle="1" w:styleId="Heading2Char">
    <w:name w:val="Heading 2 Char"/>
    <w:link w:val="Heading2"/>
    <w:locked/>
    <w:rsid w:val="005F18AD"/>
    <w:rPr>
      <w:rFonts w:ascii="Arial" w:hAnsi="Arial" w:cs="Arial"/>
      <w:b/>
      <w:bCs/>
      <w:i/>
      <w:iCs/>
      <w:sz w:val="28"/>
      <w:szCs w:val="28"/>
    </w:rPr>
  </w:style>
  <w:style w:type="character" w:customStyle="1" w:styleId="Heading3Char">
    <w:name w:val="Heading 3 Char"/>
    <w:link w:val="Heading3"/>
    <w:locked/>
    <w:rsid w:val="005F18AD"/>
    <w:rPr>
      <w:rFonts w:ascii="Arial" w:hAnsi="Arial" w:cs="Arial"/>
      <w:b/>
      <w:bCs/>
      <w:sz w:val="26"/>
      <w:szCs w:val="26"/>
    </w:rPr>
  </w:style>
  <w:style w:type="character" w:customStyle="1" w:styleId="Heading4Char">
    <w:name w:val="Heading 4 Char"/>
    <w:link w:val="Heading4"/>
    <w:locked/>
    <w:rsid w:val="005F18AD"/>
    <w:rPr>
      <w:rFonts w:ascii="Arial" w:hAnsi="Arial"/>
      <w:b/>
      <w:bCs/>
      <w:sz w:val="28"/>
      <w:szCs w:val="28"/>
    </w:rPr>
  </w:style>
  <w:style w:type="character" w:customStyle="1" w:styleId="Heading5Char">
    <w:name w:val="Heading 5 Char"/>
    <w:link w:val="Heading5"/>
    <w:semiHidden/>
    <w:locked/>
    <w:rsid w:val="005F18AD"/>
    <w:rPr>
      <w:b/>
      <w:bCs/>
      <w:i/>
      <w:iCs/>
      <w:sz w:val="26"/>
      <w:szCs w:val="26"/>
      <w:lang w:val="en-AU" w:eastAsia="en-AU" w:bidi="ar-SA"/>
    </w:rPr>
  </w:style>
  <w:style w:type="character" w:customStyle="1" w:styleId="Heading6Char">
    <w:name w:val="Heading 6 Char"/>
    <w:link w:val="Heading6"/>
    <w:semiHidden/>
    <w:locked/>
    <w:rsid w:val="005F18AD"/>
    <w:rPr>
      <w:b/>
      <w:bCs/>
      <w:sz w:val="22"/>
      <w:szCs w:val="22"/>
      <w:lang w:val="en-AU" w:eastAsia="en-AU" w:bidi="ar-SA"/>
    </w:rPr>
  </w:style>
  <w:style w:type="character" w:customStyle="1" w:styleId="Heading8Char">
    <w:name w:val="Heading 8 Char"/>
    <w:link w:val="Heading8"/>
    <w:semiHidden/>
    <w:locked/>
    <w:rsid w:val="005F18AD"/>
    <w:rPr>
      <w:rFonts w:eastAsia="Batang"/>
      <w:i/>
      <w:iCs/>
      <w:sz w:val="24"/>
      <w:szCs w:val="24"/>
      <w:lang w:val="en-AU" w:eastAsia="ko-KR" w:bidi="ar-SA"/>
    </w:rPr>
  </w:style>
  <w:style w:type="paragraph" w:styleId="Header">
    <w:name w:val="header"/>
    <w:basedOn w:val="Normal"/>
    <w:link w:val="HeaderChar"/>
    <w:rsid w:val="005F18AD"/>
    <w:pPr>
      <w:tabs>
        <w:tab w:val="center" w:pos="4153"/>
        <w:tab w:val="right" w:pos="8306"/>
      </w:tabs>
    </w:pPr>
    <w:rPr>
      <w:lang w:eastAsia="en-US"/>
    </w:rPr>
  </w:style>
  <w:style w:type="character" w:customStyle="1" w:styleId="HeaderChar">
    <w:name w:val="Header Char"/>
    <w:link w:val="Header"/>
    <w:semiHidden/>
    <w:locked/>
    <w:rsid w:val="005F18AD"/>
    <w:rPr>
      <w:sz w:val="24"/>
      <w:szCs w:val="24"/>
      <w:lang w:val="en-AU" w:eastAsia="en-US" w:bidi="ar-SA"/>
    </w:rPr>
  </w:style>
  <w:style w:type="paragraph" w:styleId="Footer">
    <w:name w:val="footer"/>
    <w:basedOn w:val="Normal"/>
    <w:link w:val="FooterChar"/>
    <w:rsid w:val="005F18AD"/>
    <w:pPr>
      <w:pBdr>
        <w:top w:val="single" w:sz="4" w:space="4" w:color="auto"/>
      </w:pBdr>
      <w:tabs>
        <w:tab w:val="right" w:pos="8306"/>
      </w:tabs>
    </w:pPr>
    <w:rPr>
      <w:smallCaps/>
      <w:sz w:val="20"/>
      <w:lang w:eastAsia="en-US"/>
    </w:rPr>
  </w:style>
  <w:style w:type="character" w:customStyle="1" w:styleId="FooterChar">
    <w:name w:val="Footer Char"/>
    <w:link w:val="Footer"/>
    <w:locked/>
    <w:rsid w:val="005F18AD"/>
    <w:rPr>
      <w:rFonts w:ascii="Arial" w:hAnsi="Arial"/>
      <w:smallCaps/>
      <w:szCs w:val="24"/>
      <w:lang w:val="en-AU" w:eastAsia="en-US" w:bidi="ar-SA"/>
    </w:rPr>
  </w:style>
  <w:style w:type="paragraph" w:styleId="BodyText">
    <w:name w:val="Body Text"/>
    <w:basedOn w:val="Normal"/>
    <w:link w:val="BodyTextChar"/>
    <w:rsid w:val="005F18AD"/>
    <w:pPr>
      <w:spacing w:after="240"/>
    </w:pPr>
  </w:style>
  <w:style w:type="character" w:customStyle="1" w:styleId="BodyTextChar">
    <w:name w:val="Body Text Char"/>
    <w:link w:val="BodyText"/>
    <w:locked/>
    <w:rsid w:val="005F18AD"/>
    <w:rPr>
      <w:sz w:val="24"/>
      <w:szCs w:val="24"/>
      <w:lang w:val="en-AU" w:eastAsia="en-AU" w:bidi="ar-SA"/>
    </w:rPr>
  </w:style>
  <w:style w:type="paragraph" w:styleId="CommentText">
    <w:name w:val="annotation text"/>
    <w:basedOn w:val="Normal"/>
    <w:link w:val="CommentTextChar"/>
    <w:uiPriority w:val="99"/>
    <w:semiHidden/>
    <w:rsid w:val="005F18AD"/>
    <w:rPr>
      <w:sz w:val="20"/>
    </w:rPr>
  </w:style>
  <w:style w:type="character" w:customStyle="1" w:styleId="CommentTextChar">
    <w:name w:val="Comment Text Char"/>
    <w:link w:val="CommentText"/>
    <w:uiPriority w:val="99"/>
    <w:semiHidden/>
    <w:locked/>
    <w:rsid w:val="005F18AD"/>
    <w:rPr>
      <w:szCs w:val="24"/>
      <w:lang w:val="en-AU" w:eastAsia="en-AU" w:bidi="ar-SA"/>
    </w:rPr>
  </w:style>
  <w:style w:type="paragraph" w:styleId="CommentSubject">
    <w:name w:val="annotation subject"/>
    <w:basedOn w:val="CommentText"/>
    <w:next w:val="CommentText"/>
    <w:link w:val="CommentSubjectChar"/>
    <w:semiHidden/>
    <w:rsid w:val="005F18AD"/>
    <w:rPr>
      <w:b/>
      <w:bCs/>
    </w:rPr>
  </w:style>
  <w:style w:type="character" w:customStyle="1" w:styleId="CommentSubjectChar">
    <w:name w:val="Comment Subject Char"/>
    <w:link w:val="CommentSubject"/>
    <w:semiHidden/>
    <w:locked/>
    <w:rsid w:val="005F18AD"/>
    <w:rPr>
      <w:b/>
      <w:bCs/>
      <w:szCs w:val="24"/>
      <w:lang w:val="en-AU" w:eastAsia="en-AU" w:bidi="ar-SA"/>
    </w:rPr>
  </w:style>
  <w:style w:type="paragraph" w:styleId="BalloonText">
    <w:name w:val="Balloon Text"/>
    <w:basedOn w:val="Normal"/>
    <w:link w:val="BalloonTextChar"/>
    <w:semiHidden/>
    <w:rsid w:val="005F18AD"/>
    <w:rPr>
      <w:rFonts w:ascii="Tahoma" w:hAnsi="Tahoma" w:cs="Tahoma"/>
      <w:sz w:val="16"/>
      <w:szCs w:val="16"/>
    </w:rPr>
  </w:style>
  <w:style w:type="character" w:customStyle="1" w:styleId="BalloonTextChar">
    <w:name w:val="Balloon Text Char"/>
    <w:link w:val="BalloonText"/>
    <w:semiHidden/>
    <w:locked/>
    <w:rsid w:val="005F18AD"/>
    <w:rPr>
      <w:rFonts w:ascii="Tahoma" w:hAnsi="Tahoma" w:cs="Tahoma"/>
      <w:sz w:val="16"/>
      <w:szCs w:val="16"/>
      <w:lang w:val="en-AU" w:eastAsia="en-AU" w:bidi="ar-SA"/>
    </w:rPr>
  </w:style>
  <w:style w:type="paragraph" w:customStyle="1" w:styleId="FigHeading">
    <w:name w:val="Fig Heading"/>
    <w:basedOn w:val="Normal"/>
    <w:link w:val="FigHeadingCharChar"/>
    <w:rsid w:val="005F18AD"/>
    <w:pPr>
      <w:keepNext/>
      <w:numPr>
        <w:numId w:val="3"/>
      </w:numPr>
    </w:pPr>
    <w:rPr>
      <w:rFonts w:cs="Arial"/>
      <w:b/>
      <w:sz w:val="20"/>
    </w:rPr>
  </w:style>
  <w:style w:type="character" w:customStyle="1" w:styleId="FigHeadingCharChar">
    <w:name w:val="Fig Heading Char Char"/>
    <w:link w:val="FigHeading"/>
    <w:rsid w:val="005F18AD"/>
    <w:rPr>
      <w:rFonts w:ascii="Arial" w:hAnsi="Arial" w:cs="Arial"/>
      <w:b/>
      <w:szCs w:val="24"/>
    </w:rPr>
  </w:style>
  <w:style w:type="paragraph" w:customStyle="1" w:styleId="AERbodytext">
    <w:name w:val="AER body text"/>
    <w:basedOn w:val="Normal"/>
    <w:qFormat/>
    <w:rsid w:val="00936A7B"/>
    <w:pPr>
      <w:spacing w:before="200" w:after="0" w:line="276" w:lineRule="auto"/>
    </w:pPr>
    <w:rPr>
      <w:lang w:eastAsia="en-US"/>
    </w:rPr>
  </w:style>
  <w:style w:type="character" w:customStyle="1" w:styleId="AERbodytextChar">
    <w:name w:val="AER body text Char"/>
    <w:locked/>
    <w:rsid w:val="005F18AD"/>
    <w:rPr>
      <w:rFonts w:cs="Times New Roman"/>
      <w:sz w:val="24"/>
      <w:lang w:val="en-AU" w:eastAsia="en-AU" w:bidi="ar-SA"/>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rsid w:val="005F18AD"/>
    <w:rPr>
      <w:vertAlign w:val="superscript"/>
    </w:rPr>
  </w:style>
  <w:style w:type="paragraph" w:styleId="FootnoteText">
    <w:name w:val="footnote text"/>
    <w:aliases w:val="Footnote Text Char1 Char,Footnote Text Char Char Char,Footnote Text Char2 Char Char Char,ALTS FOOTNOTE Char2 Char Char Char,Footnote Text Char1 Char1 Char Char Char,Footnote Text Char Char Char1 Char Char Char,Footnote Text2,Footnote Text1"/>
    <w:basedOn w:val="Normal"/>
    <w:link w:val="FootnoteTextChar"/>
    <w:qFormat/>
    <w:rsid w:val="005F18AD"/>
    <w:pPr>
      <w:ind w:left="340" w:hanging="340"/>
    </w:pPr>
    <w:rPr>
      <w:sz w:val="20"/>
      <w:szCs w:val="20"/>
      <w:lang w:eastAsia="en-US"/>
    </w:rPr>
  </w:style>
  <w:style w:type="character" w:customStyle="1" w:styleId="FootnoteTextChar">
    <w:name w:val="Footnote Text Char"/>
    <w:aliases w:val="Footnote Text Char1 Char Char,Footnote Text Char Char Char Char,Footnote Text Char2 Char Char Char Char,ALTS FOOTNOTE Char2 Char Char Char Char,Footnote Text Char1 Char1 Char Char Char Char,Footnote Text2 Char,Footnote Text1 Char"/>
    <w:link w:val="FootnoteText"/>
    <w:locked/>
    <w:rsid w:val="005F18AD"/>
    <w:rPr>
      <w:lang w:val="en-AU" w:eastAsia="en-US" w:bidi="ar-SA"/>
    </w:rPr>
  </w:style>
  <w:style w:type="paragraph" w:styleId="Caption">
    <w:name w:val="caption"/>
    <w:basedOn w:val="Normal"/>
    <w:next w:val="Normal"/>
    <w:qFormat/>
    <w:rsid w:val="000F2287"/>
    <w:pPr>
      <w:keepNext/>
      <w:spacing w:before="240" w:line="276" w:lineRule="auto"/>
    </w:pPr>
    <w:rPr>
      <w:rFonts w:eastAsiaTheme="minorHAnsi" w:cstheme="minorBidi"/>
      <w:b/>
      <w:bCs/>
      <w:color w:val="0070C0"/>
      <w:szCs w:val="22"/>
      <w:lang w:eastAsia="en-US"/>
    </w:rPr>
  </w:style>
  <w:style w:type="character" w:styleId="Hyperlink">
    <w:name w:val="Hyperlink"/>
    <w:semiHidden/>
    <w:rsid w:val="005F18AD"/>
    <w:rPr>
      <w:color w:val="0000FF"/>
      <w:u w:val="single"/>
    </w:rPr>
  </w:style>
  <w:style w:type="character" w:customStyle="1" w:styleId="FigHeadingChar">
    <w:name w:val="Fig Heading Char"/>
    <w:locked/>
    <w:rsid w:val="005F18AD"/>
    <w:rPr>
      <w:b/>
      <w:i/>
      <w:sz w:val="22"/>
      <w:szCs w:val="24"/>
      <w:lang w:val="en-AU" w:eastAsia="en-AU" w:bidi="ar-SA"/>
    </w:rPr>
  </w:style>
  <w:style w:type="paragraph" w:customStyle="1" w:styleId="TableHeader">
    <w:name w:val="Table Header"/>
    <w:basedOn w:val="Normal"/>
    <w:rsid w:val="005F18AD"/>
    <w:pPr>
      <w:jc w:val="center"/>
    </w:pPr>
    <w:rPr>
      <w:b/>
      <w:bCs/>
    </w:rPr>
  </w:style>
  <w:style w:type="paragraph" w:styleId="DocumentMap">
    <w:name w:val="Document Map"/>
    <w:basedOn w:val="Normal"/>
    <w:link w:val="DocumentMapChar"/>
    <w:semiHidden/>
    <w:rsid w:val="005F18AD"/>
    <w:pPr>
      <w:shd w:val="clear" w:color="auto" w:fill="000080"/>
    </w:pPr>
    <w:rPr>
      <w:rFonts w:ascii="Tahoma" w:hAnsi="Tahoma" w:cs="Tahoma"/>
      <w:sz w:val="20"/>
    </w:rPr>
  </w:style>
  <w:style w:type="character" w:customStyle="1" w:styleId="DocumentMapChar">
    <w:name w:val="Document Map Char"/>
    <w:link w:val="DocumentMap"/>
    <w:semiHidden/>
    <w:locked/>
    <w:rsid w:val="005F18AD"/>
    <w:rPr>
      <w:rFonts w:ascii="Tahoma" w:hAnsi="Tahoma" w:cs="Tahoma"/>
      <w:szCs w:val="24"/>
      <w:lang w:val="en-AU" w:eastAsia="en-AU" w:bidi="ar-SA"/>
    </w:rPr>
  </w:style>
  <w:style w:type="paragraph" w:customStyle="1" w:styleId="Tabletext">
    <w:name w:val="Table text"/>
    <w:basedOn w:val="Normal"/>
    <w:rsid w:val="005F18AD"/>
    <w:pPr>
      <w:jc w:val="center"/>
    </w:pPr>
  </w:style>
  <w:style w:type="paragraph" w:customStyle="1" w:styleId="Char">
    <w:name w:val="Char"/>
    <w:basedOn w:val="Normal"/>
    <w:rsid w:val="005F18AD"/>
    <w:pPr>
      <w:spacing w:after="160" w:line="240" w:lineRule="exact"/>
    </w:pPr>
    <w:rPr>
      <w:rFonts w:ascii="Tahoma" w:hAnsi="Tahoma"/>
      <w:sz w:val="20"/>
      <w:lang w:val="en-US"/>
    </w:rPr>
  </w:style>
  <w:style w:type="character" w:styleId="FollowedHyperlink">
    <w:name w:val="FollowedHyperlink"/>
    <w:rsid w:val="005F18AD"/>
    <w:rPr>
      <w:rFonts w:cs="Times New Roman"/>
      <w:color w:val="800080"/>
      <w:u w:val="single"/>
    </w:rPr>
  </w:style>
  <w:style w:type="paragraph" w:styleId="Date">
    <w:name w:val="Date"/>
    <w:basedOn w:val="Normal"/>
    <w:next w:val="Normal"/>
    <w:link w:val="DateChar"/>
    <w:rsid w:val="005F18AD"/>
  </w:style>
  <w:style w:type="character" w:customStyle="1" w:styleId="DateChar">
    <w:name w:val="Date Char"/>
    <w:link w:val="Date"/>
    <w:semiHidden/>
    <w:locked/>
    <w:rsid w:val="005F18AD"/>
    <w:rPr>
      <w:sz w:val="24"/>
      <w:szCs w:val="24"/>
      <w:lang w:val="en-AU" w:eastAsia="en-AU" w:bidi="ar-SA"/>
    </w:rPr>
  </w:style>
  <w:style w:type="paragraph" w:styleId="NormalWeb">
    <w:name w:val="Normal (Web)"/>
    <w:basedOn w:val="Normal"/>
    <w:uiPriority w:val="99"/>
    <w:rsid w:val="005F18AD"/>
    <w:pPr>
      <w:spacing w:before="100" w:beforeAutospacing="1" w:after="100" w:afterAutospacing="1"/>
    </w:pPr>
  </w:style>
  <w:style w:type="paragraph" w:customStyle="1" w:styleId="AERBullet1">
    <w:name w:val="AER Bullet 1"/>
    <w:basedOn w:val="AERbodytext"/>
    <w:rsid w:val="005F18AD"/>
    <w:pPr>
      <w:numPr>
        <w:numId w:val="1"/>
      </w:numPr>
    </w:pPr>
  </w:style>
  <w:style w:type="paragraph" w:customStyle="1" w:styleId="Default">
    <w:name w:val="Default"/>
    <w:rsid w:val="005F18AD"/>
    <w:pPr>
      <w:autoSpaceDE w:val="0"/>
      <w:autoSpaceDN w:val="0"/>
      <w:adjustRightInd w:val="0"/>
    </w:pPr>
    <w:rPr>
      <w:color w:val="000000"/>
      <w:sz w:val="24"/>
      <w:szCs w:val="24"/>
    </w:rPr>
  </w:style>
  <w:style w:type="paragraph" w:styleId="ListContinue">
    <w:name w:val="List Continue"/>
    <w:basedOn w:val="Normal"/>
    <w:rsid w:val="005F18AD"/>
    <w:pPr>
      <w:ind w:left="283"/>
    </w:pPr>
  </w:style>
  <w:style w:type="paragraph" w:customStyle="1" w:styleId="Char0">
    <w:name w:val="Char"/>
    <w:basedOn w:val="Normal"/>
    <w:rsid w:val="005F18AD"/>
    <w:pPr>
      <w:spacing w:after="160" w:line="240" w:lineRule="exact"/>
    </w:pPr>
    <w:rPr>
      <w:rFonts w:ascii="Tahoma" w:hAnsi="Tahoma"/>
      <w:sz w:val="20"/>
      <w:lang w:val="en-US"/>
    </w:rPr>
  </w:style>
  <w:style w:type="paragraph" w:customStyle="1" w:styleId="Body1">
    <w:name w:val="Body 1"/>
    <w:basedOn w:val="Normal"/>
    <w:rsid w:val="005F18AD"/>
    <w:pPr>
      <w:keepLines/>
      <w:overflowPunct w:val="0"/>
      <w:autoSpaceDE w:val="0"/>
      <w:autoSpaceDN w:val="0"/>
      <w:adjustRightInd w:val="0"/>
      <w:spacing w:before="60" w:after="60"/>
      <w:textAlignment w:val="baseline"/>
    </w:pPr>
    <w:rPr>
      <w:rFonts w:cs="Arial"/>
      <w:sz w:val="20"/>
      <w:lang w:val="en-IE" w:eastAsia="en-GB"/>
    </w:rPr>
  </w:style>
  <w:style w:type="character" w:styleId="Emphasis">
    <w:name w:val="Emphasis"/>
    <w:qFormat/>
    <w:rsid w:val="005F18AD"/>
    <w:rPr>
      <w:i/>
      <w:iCs/>
    </w:rPr>
  </w:style>
  <w:style w:type="paragraph" w:customStyle="1" w:styleId="Footnote">
    <w:name w:val="Footnote"/>
    <w:basedOn w:val="Normal"/>
    <w:link w:val="FootnoteChar"/>
    <w:rsid w:val="005F18AD"/>
    <w:pPr>
      <w:tabs>
        <w:tab w:val="left" w:pos="7380"/>
      </w:tabs>
      <w:autoSpaceDE w:val="0"/>
      <w:autoSpaceDN w:val="0"/>
      <w:adjustRightInd w:val="0"/>
      <w:jc w:val="both"/>
    </w:pPr>
    <w:rPr>
      <w:sz w:val="20"/>
    </w:rPr>
  </w:style>
  <w:style w:type="paragraph" w:customStyle="1" w:styleId="AERunnumberedheading5">
    <w:name w:val="AER unnumbered heading 5"/>
    <w:basedOn w:val="Heading5"/>
    <w:next w:val="AERbodytext"/>
    <w:rsid w:val="005F18AD"/>
    <w:pPr>
      <w:keepNext/>
      <w:spacing w:line="240" w:lineRule="atLeast"/>
    </w:pPr>
    <w:rPr>
      <w:sz w:val="22"/>
    </w:rPr>
  </w:style>
  <w:style w:type="paragraph" w:customStyle="1" w:styleId="AERtabletextheading">
    <w:name w:val="AER table text heading"/>
    <w:basedOn w:val="AERtabletext"/>
    <w:rsid w:val="005F18AD"/>
    <w:rPr>
      <w:b/>
    </w:rPr>
  </w:style>
  <w:style w:type="paragraph" w:customStyle="1" w:styleId="FigHeadingN">
    <w:name w:val="Fig Heading N"/>
    <w:basedOn w:val="FigHeading"/>
    <w:rsid w:val="005F18AD"/>
    <w:pPr>
      <w:numPr>
        <w:ilvl w:val="1"/>
        <w:numId w:val="2"/>
      </w:numPr>
      <w:tabs>
        <w:tab w:val="clear" w:pos="0"/>
        <w:tab w:val="num" w:pos="360"/>
      </w:tabs>
    </w:pPr>
  </w:style>
  <w:style w:type="paragraph" w:customStyle="1" w:styleId="AERheading2">
    <w:name w:val="AER heading 2"/>
    <w:basedOn w:val="Heading2"/>
    <w:next w:val="AERbodytext"/>
    <w:rsid w:val="005F18AD"/>
    <w:pPr>
      <w:spacing w:after="120"/>
    </w:pPr>
    <w:rPr>
      <w:i w:val="0"/>
      <w:sz w:val="30"/>
      <w:lang w:eastAsia="en-US"/>
    </w:rPr>
  </w:style>
  <w:style w:type="paragraph" w:customStyle="1" w:styleId="AERheading3">
    <w:name w:val="AER heading 3"/>
    <w:basedOn w:val="Heading3"/>
    <w:next w:val="AERbodytext"/>
    <w:rsid w:val="005F18AD"/>
    <w:pPr>
      <w:spacing w:after="120"/>
    </w:pPr>
    <w:rPr>
      <w:rFonts w:ascii="Arial Bold" w:hAnsi="Arial Bold"/>
      <w:sz w:val="24"/>
      <w:szCs w:val="24"/>
      <w:lang w:eastAsia="en-US"/>
    </w:rPr>
  </w:style>
  <w:style w:type="paragraph" w:customStyle="1" w:styleId="AERheading4">
    <w:name w:val="AER heading 4"/>
    <w:basedOn w:val="Heading4"/>
    <w:next w:val="AERbodytext"/>
    <w:rsid w:val="005F18AD"/>
    <w:pPr>
      <w:spacing w:after="120"/>
    </w:pPr>
    <w:rPr>
      <w:sz w:val="22"/>
      <w:lang w:eastAsia="en-US"/>
    </w:rPr>
  </w:style>
  <w:style w:type="paragraph" w:customStyle="1" w:styleId="AERtableheading">
    <w:name w:val="AER table heading"/>
    <w:basedOn w:val="Normal"/>
    <w:next w:val="Normal"/>
    <w:rsid w:val="005F18AD"/>
    <w:pPr>
      <w:keepNext/>
      <w:spacing w:before="240"/>
      <w:outlineLvl w:val="3"/>
    </w:pPr>
    <w:rPr>
      <w:b/>
      <w:lang w:eastAsia="en-US"/>
    </w:rPr>
  </w:style>
  <w:style w:type="paragraph" w:customStyle="1" w:styleId="AERfigureheading">
    <w:name w:val="AER figure heading"/>
    <w:basedOn w:val="Normal"/>
    <w:next w:val="AERbodytext"/>
    <w:rsid w:val="000F2287"/>
    <w:pPr>
      <w:keepNext/>
      <w:spacing w:before="240"/>
      <w:outlineLvl w:val="3"/>
    </w:pPr>
    <w:rPr>
      <w:b/>
      <w:color w:val="0070C0"/>
      <w:lang w:eastAsia="en-US"/>
    </w:rPr>
  </w:style>
  <w:style w:type="paragraph" w:customStyle="1" w:styleId="AERtableheading-unnumbered">
    <w:name w:val="AER table heading - unnumbered"/>
    <w:basedOn w:val="AERtableheading"/>
    <w:rsid w:val="005F18AD"/>
    <w:pPr>
      <w:numPr>
        <w:ilvl w:val="6"/>
      </w:numPr>
    </w:pPr>
  </w:style>
  <w:style w:type="paragraph" w:customStyle="1" w:styleId="AERfigureheading-unnumbered">
    <w:name w:val="AER figure heading - unnumbered"/>
    <w:basedOn w:val="AERfigureheading"/>
    <w:rsid w:val="005F18AD"/>
    <w:pPr>
      <w:tabs>
        <w:tab w:val="num" w:pos="1134"/>
      </w:tabs>
      <w:ind w:left="1361" w:hanging="1361"/>
    </w:pPr>
  </w:style>
  <w:style w:type="paragraph" w:customStyle="1" w:styleId="FigHeadingV">
    <w:name w:val="Fig Heading V"/>
    <w:basedOn w:val="FigHeading"/>
    <w:rsid w:val="005F18AD"/>
    <w:pPr>
      <w:numPr>
        <w:ilvl w:val="2"/>
        <w:numId w:val="2"/>
      </w:numPr>
      <w:tabs>
        <w:tab w:val="clear" w:pos="0"/>
        <w:tab w:val="num" w:pos="360"/>
      </w:tabs>
    </w:pPr>
  </w:style>
  <w:style w:type="paragraph" w:customStyle="1" w:styleId="FigHeadingS">
    <w:name w:val="Fig Heading S"/>
    <w:basedOn w:val="FigHeading"/>
    <w:link w:val="FigHeadingSChar"/>
    <w:rsid w:val="005F18AD"/>
    <w:pPr>
      <w:numPr>
        <w:ilvl w:val="3"/>
      </w:numPr>
    </w:pPr>
  </w:style>
  <w:style w:type="character" w:customStyle="1" w:styleId="FigHeadingSChar">
    <w:name w:val="Fig Heading S Char"/>
    <w:basedOn w:val="FigHeadingCharChar"/>
    <w:link w:val="FigHeadingS"/>
    <w:rsid w:val="005F18AD"/>
    <w:rPr>
      <w:rFonts w:ascii="Arial" w:hAnsi="Arial" w:cs="Arial"/>
      <w:b/>
      <w:szCs w:val="24"/>
    </w:rPr>
  </w:style>
  <w:style w:type="paragraph" w:customStyle="1" w:styleId="FigheadingA">
    <w:name w:val="Fig heading A"/>
    <w:basedOn w:val="Heading6"/>
    <w:rsid w:val="005F18AD"/>
    <w:pPr>
      <w:numPr>
        <w:ilvl w:val="5"/>
        <w:numId w:val="3"/>
      </w:numPr>
      <w:spacing w:before="0" w:after="120"/>
    </w:pPr>
    <w:rPr>
      <w:rFonts w:cs="Arial"/>
      <w:sz w:val="20"/>
      <w:szCs w:val="20"/>
    </w:rPr>
  </w:style>
  <w:style w:type="paragraph" w:customStyle="1" w:styleId="aerbodytext0">
    <w:name w:val="aerbodytext"/>
    <w:basedOn w:val="Normal"/>
    <w:rsid w:val="005F18AD"/>
    <w:pPr>
      <w:spacing w:after="240"/>
    </w:pPr>
  </w:style>
  <w:style w:type="character" w:styleId="CommentReference">
    <w:name w:val="annotation reference"/>
    <w:uiPriority w:val="99"/>
    <w:semiHidden/>
    <w:rsid w:val="005F18AD"/>
    <w:rPr>
      <w:sz w:val="16"/>
      <w:szCs w:val="16"/>
    </w:rPr>
  </w:style>
  <w:style w:type="table" w:styleId="TableGrid">
    <w:name w:val="Table Grid"/>
    <w:basedOn w:val="TableNormal"/>
    <w:rsid w:val="005F18AD"/>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R1indentalphalista">
    <w:name w:val="AER (1) indent alpha list (a)"/>
    <w:basedOn w:val="Normal"/>
    <w:next w:val="Normal"/>
    <w:locked/>
    <w:rsid w:val="005F18AD"/>
    <w:pPr>
      <w:widowControl w:val="0"/>
      <w:tabs>
        <w:tab w:val="left" w:pos="1260"/>
      </w:tabs>
      <w:spacing w:after="240"/>
      <w:ind w:left="1259" w:hanging="539"/>
    </w:pPr>
    <w:rPr>
      <w:lang w:eastAsia="en-US"/>
    </w:rPr>
  </w:style>
  <w:style w:type="paragraph" w:customStyle="1" w:styleId="AERAindentcapalphalista1">
    <w:name w:val="AER (A.)  indent cap alpha list (a)(1)"/>
    <w:basedOn w:val="Normal"/>
    <w:next w:val="Normal"/>
    <w:locked/>
    <w:rsid w:val="005F18AD"/>
    <w:pPr>
      <w:tabs>
        <w:tab w:val="left" w:pos="1800"/>
      </w:tabs>
      <w:spacing w:after="240"/>
      <w:ind w:left="1798" w:hanging="539"/>
    </w:pPr>
    <w:rPr>
      <w:lang w:eastAsia="en-US"/>
    </w:rPr>
  </w:style>
  <w:style w:type="paragraph" w:customStyle="1" w:styleId="AERalphalist1">
    <w:name w:val="AER alpha list (1)"/>
    <w:basedOn w:val="Normal"/>
    <w:locked/>
    <w:rsid w:val="005F18AD"/>
    <w:pPr>
      <w:widowControl w:val="0"/>
      <w:tabs>
        <w:tab w:val="left" w:pos="1260"/>
      </w:tabs>
      <w:spacing w:after="240"/>
      <w:ind w:left="1797" w:hanging="1077"/>
    </w:pPr>
    <w:rPr>
      <w:lang w:eastAsia="en-US"/>
    </w:rPr>
  </w:style>
  <w:style w:type="paragraph" w:customStyle="1" w:styleId="AERalphalista">
    <w:name w:val="AER alpha list (a)"/>
    <w:basedOn w:val="Normal"/>
    <w:locked/>
    <w:rsid w:val="005F18AD"/>
    <w:pPr>
      <w:spacing w:after="240"/>
      <w:ind w:left="720" w:hanging="720"/>
    </w:pPr>
    <w:rPr>
      <w:lang w:eastAsia="en-US"/>
    </w:rPr>
  </w:style>
  <w:style w:type="paragraph" w:customStyle="1" w:styleId="AERappendixfigureheading">
    <w:name w:val="AER appendix figure heading"/>
    <w:basedOn w:val="Normal"/>
    <w:next w:val="Normal"/>
    <w:rsid w:val="005F18AD"/>
    <w:pPr>
      <w:keepNext/>
      <w:numPr>
        <w:ilvl w:val="5"/>
        <w:numId w:val="11"/>
      </w:numPr>
      <w:spacing w:before="240"/>
      <w:outlineLvl w:val="3"/>
    </w:pPr>
    <w:rPr>
      <w:b/>
      <w:lang w:eastAsia="en-US"/>
    </w:rPr>
  </w:style>
  <w:style w:type="paragraph" w:customStyle="1" w:styleId="AERappendixheading1">
    <w:name w:val="AER appendix heading 1"/>
    <w:basedOn w:val="AERheading1"/>
    <w:next w:val="AERbodytext"/>
    <w:rsid w:val="005F18AD"/>
    <w:pPr>
      <w:widowControl w:val="0"/>
      <w:numPr>
        <w:numId w:val="11"/>
      </w:numPr>
      <w:jc w:val="both"/>
    </w:pPr>
    <w:rPr>
      <w:rFonts w:ascii="Arial Bold" w:hAnsi="Arial Bold"/>
      <w:b w:val="0"/>
      <w:bCs w:val="0"/>
      <w:spacing w:val="5"/>
      <w:kern w:val="36"/>
      <w:szCs w:val="27"/>
    </w:rPr>
  </w:style>
  <w:style w:type="paragraph" w:customStyle="1" w:styleId="AERappendixheading2">
    <w:name w:val="AER appendix heading 2"/>
    <w:basedOn w:val="AERappendixheading1"/>
    <w:next w:val="AERbodytext"/>
    <w:rsid w:val="005F18AD"/>
    <w:pPr>
      <w:pageBreakBefore w:val="0"/>
      <w:numPr>
        <w:ilvl w:val="1"/>
      </w:numPr>
    </w:pPr>
    <w:rPr>
      <w:sz w:val="30"/>
    </w:rPr>
  </w:style>
  <w:style w:type="paragraph" w:customStyle="1" w:styleId="AERappendixheading3">
    <w:name w:val="AER appendix heading 3"/>
    <w:basedOn w:val="AERappendixheading2"/>
    <w:next w:val="AERbodytext"/>
    <w:rsid w:val="005F18AD"/>
    <w:pPr>
      <w:numPr>
        <w:ilvl w:val="2"/>
      </w:numPr>
    </w:pPr>
    <w:rPr>
      <w:sz w:val="24"/>
    </w:rPr>
  </w:style>
  <w:style w:type="paragraph" w:customStyle="1" w:styleId="AERappendixheading4">
    <w:name w:val="AER appendix heading 4"/>
    <w:basedOn w:val="AERheading4"/>
    <w:next w:val="AERbodytext"/>
    <w:rsid w:val="005F18AD"/>
    <w:pPr>
      <w:numPr>
        <w:numId w:val="11"/>
      </w:numPr>
    </w:pPr>
  </w:style>
  <w:style w:type="paragraph" w:customStyle="1" w:styleId="AERappendixtableheading">
    <w:name w:val="AER appendix table heading"/>
    <w:basedOn w:val="AERtableheading"/>
    <w:next w:val="AERbodytext"/>
    <w:rsid w:val="005F18AD"/>
    <w:pPr>
      <w:tabs>
        <w:tab w:val="num" w:pos="851"/>
      </w:tabs>
      <w:ind w:left="851" w:hanging="851"/>
    </w:pPr>
  </w:style>
  <w:style w:type="character" w:customStyle="1" w:styleId="AERbold">
    <w:name w:val="AER bold"/>
    <w:rsid w:val="005F18AD"/>
    <w:rPr>
      <w:b/>
    </w:rPr>
  </w:style>
  <w:style w:type="character" w:customStyle="1" w:styleId="AERbolditals">
    <w:name w:val="AER bold itals"/>
    <w:rsid w:val="005F18AD"/>
    <w:rPr>
      <w:b/>
      <w:i/>
    </w:rPr>
  </w:style>
  <w:style w:type="paragraph" w:customStyle="1" w:styleId="AERbulletlistfirststyle">
    <w:name w:val="AER bullet list (first style)"/>
    <w:basedOn w:val="Normal"/>
    <w:rsid w:val="005F18AD"/>
    <w:pPr>
      <w:numPr>
        <w:numId w:val="4"/>
      </w:numPr>
      <w:spacing w:after="240" w:line="240" w:lineRule="atLeast"/>
    </w:pPr>
    <w:rPr>
      <w:lang w:eastAsia="en-US"/>
    </w:rPr>
  </w:style>
  <w:style w:type="paragraph" w:customStyle="1" w:styleId="AERbulletlistsecondstyle">
    <w:name w:val="AER bullet list (second style)"/>
    <w:basedOn w:val="AERbodytext"/>
    <w:rsid w:val="005F18AD"/>
    <w:pPr>
      <w:numPr>
        <w:numId w:val="5"/>
      </w:numPr>
      <w:tabs>
        <w:tab w:val="clear" w:pos="714"/>
        <w:tab w:val="left" w:pos="720"/>
      </w:tabs>
      <w:ind w:left="720" w:hanging="363"/>
    </w:pPr>
  </w:style>
  <w:style w:type="paragraph" w:customStyle="1" w:styleId="AERbulletlistthirdstyle">
    <w:name w:val="AER bullet list (third style)"/>
    <w:basedOn w:val="Normal"/>
    <w:rsid w:val="005F18AD"/>
    <w:pPr>
      <w:numPr>
        <w:numId w:val="6"/>
      </w:numPr>
      <w:tabs>
        <w:tab w:val="clear" w:pos="870"/>
        <w:tab w:val="left" w:pos="1077"/>
      </w:tabs>
      <w:ind w:left="1077" w:hanging="357"/>
    </w:pPr>
    <w:rPr>
      <w:lang w:eastAsia="en-US"/>
    </w:rPr>
  </w:style>
  <w:style w:type="paragraph" w:customStyle="1" w:styleId="AERcopyrighttext">
    <w:name w:val="AER copyright text"/>
    <w:basedOn w:val="Normal"/>
    <w:rsid w:val="005F18AD"/>
    <w:pPr>
      <w:spacing w:before="240" w:after="240"/>
    </w:pPr>
    <w:rPr>
      <w:sz w:val="20"/>
      <w:lang w:eastAsia="en-US"/>
    </w:rPr>
  </w:style>
  <w:style w:type="paragraph" w:customStyle="1" w:styleId="AERDecisionBox">
    <w:name w:val="AER Decision Box"/>
    <w:basedOn w:val="AERbodytext"/>
    <w:rsid w:val="005F18AD"/>
    <w:pPr>
      <w:keepLines/>
      <w:pBdr>
        <w:top w:val="single" w:sz="4" w:space="5" w:color="auto"/>
        <w:left w:val="single" w:sz="4" w:space="5" w:color="auto"/>
        <w:bottom w:val="single" w:sz="4" w:space="5" w:color="auto"/>
        <w:right w:val="single" w:sz="4" w:space="5" w:color="auto"/>
      </w:pBdr>
      <w:shd w:val="clear" w:color="auto" w:fill="CCCCCC"/>
    </w:pPr>
  </w:style>
  <w:style w:type="paragraph" w:customStyle="1" w:styleId="AERdraftfinalminortitle">
    <w:name w:val="AER 'draft/final' minor title"/>
    <w:next w:val="Title"/>
    <w:rsid w:val="005F18AD"/>
    <w:pPr>
      <w:spacing w:before="3600" w:after="600"/>
      <w:jc w:val="center"/>
      <w:outlineLvl w:val="1"/>
    </w:pPr>
    <w:rPr>
      <w:rFonts w:ascii="Arial" w:hAnsi="Arial"/>
      <w:sz w:val="32"/>
      <w:lang w:eastAsia="en-US"/>
    </w:rPr>
  </w:style>
  <w:style w:type="paragraph" w:styleId="Title">
    <w:name w:val="Title"/>
    <w:next w:val="Subtitle"/>
    <w:link w:val="TitleChar"/>
    <w:qFormat/>
    <w:rsid w:val="00231B0A"/>
    <w:pPr>
      <w:spacing w:before="100" w:beforeAutospacing="1" w:after="100" w:afterAutospacing="1"/>
    </w:pPr>
    <w:rPr>
      <w:rFonts w:ascii="Arial" w:hAnsi="Arial" w:cs="Arial"/>
      <w:b/>
      <w:bCs/>
      <w:kern w:val="28"/>
      <w:sz w:val="36"/>
      <w:szCs w:val="32"/>
      <w:lang w:eastAsia="en-US"/>
    </w:rPr>
  </w:style>
  <w:style w:type="paragraph" w:customStyle="1" w:styleId="AERFinalminortitle">
    <w:name w:val="AER 'Final' minor title"/>
    <w:next w:val="Title"/>
    <w:rsid w:val="005F18AD"/>
    <w:pPr>
      <w:spacing w:before="3600" w:after="600"/>
      <w:jc w:val="center"/>
    </w:pPr>
    <w:rPr>
      <w:rFonts w:ascii="Arial" w:hAnsi="Arial" w:cs="Arial"/>
      <w:sz w:val="32"/>
      <w:szCs w:val="24"/>
      <w:lang w:eastAsia="en-US"/>
    </w:rPr>
  </w:style>
  <w:style w:type="paragraph" w:customStyle="1" w:styleId="AERheading1">
    <w:name w:val="AER heading 1"/>
    <w:basedOn w:val="Heading1"/>
    <w:next w:val="AERbodytext"/>
    <w:rsid w:val="005F18AD"/>
    <w:pPr>
      <w:pageBreakBefore/>
      <w:spacing w:after="120"/>
    </w:pPr>
    <w:rPr>
      <w:sz w:val="36"/>
      <w:lang w:eastAsia="en-US"/>
    </w:rPr>
  </w:style>
  <w:style w:type="character" w:customStyle="1" w:styleId="AERitals">
    <w:name w:val="AER itals"/>
    <w:rsid w:val="005F18AD"/>
    <w:rPr>
      <w:i/>
    </w:rPr>
  </w:style>
  <w:style w:type="paragraph" w:customStyle="1" w:styleId="AERmaintitle">
    <w:name w:val="AER main title"/>
    <w:next w:val="AERdraftfinalminortitle"/>
    <w:rsid w:val="005F18AD"/>
    <w:pPr>
      <w:spacing w:before="2400" w:after="2000"/>
    </w:pPr>
    <w:rPr>
      <w:rFonts w:ascii="Arial" w:hAnsi="Arial" w:cs="Arial"/>
      <w:b/>
      <w:bCs/>
      <w:kern w:val="28"/>
      <w:sz w:val="32"/>
      <w:szCs w:val="32"/>
      <w:lang w:eastAsia="en-US"/>
    </w:rPr>
  </w:style>
  <w:style w:type="paragraph" w:customStyle="1" w:styleId="AERnumberedlistfirststyle">
    <w:name w:val="AER numbered list (first style)"/>
    <w:qFormat/>
    <w:rsid w:val="005F18AD"/>
    <w:pPr>
      <w:numPr>
        <w:numId w:val="7"/>
      </w:numPr>
      <w:spacing w:before="120" w:after="120" w:line="240" w:lineRule="atLeast"/>
    </w:pPr>
    <w:rPr>
      <w:sz w:val="24"/>
      <w:szCs w:val="24"/>
      <w:lang w:eastAsia="en-US"/>
    </w:rPr>
  </w:style>
  <w:style w:type="paragraph" w:customStyle="1" w:styleId="AERnumberedlistsecondstyle">
    <w:name w:val="AER numbered list (second style)"/>
    <w:basedOn w:val="AERnumberedlistfirststyle"/>
    <w:qFormat/>
    <w:rsid w:val="005F18AD"/>
    <w:pPr>
      <w:numPr>
        <w:numId w:val="8"/>
      </w:numPr>
      <w:tabs>
        <w:tab w:val="left" w:pos="720"/>
      </w:tabs>
      <w:ind w:hanging="363"/>
    </w:pPr>
  </w:style>
  <w:style w:type="paragraph" w:customStyle="1" w:styleId="AERnumberedlistthirdstyle">
    <w:name w:val="AER numbered list (third style)"/>
    <w:basedOn w:val="AERnumberedlistsecondstyle"/>
    <w:qFormat/>
    <w:rsid w:val="005F18AD"/>
    <w:pPr>
      <w:numPr>
        <w:numId w:val="9"/>
      </w:numPr>
      <w:tabs>
        <w:tab w:val="clear" w:pos="1440"/>
        <w:tab w:val="left" w:pos="720"/>
        <w:tab w:val="left" w:pos="1077"/>
      </w:tabs>
      <w:ind w:left="1077" w:hanging="357"/>
    </w:pPr>
  </w:style>
  <w:style w:type="paragraph" w:customStyle="1" w:styleId="AERquote">
    <w:name w:val="AER quote"/>
    <w:basedOn w:val="Normal"/>
    <w:next w:val="AERbodytext"/>
    <w:rsid w:val="005F18AD"/>
    <w:pPr>
      <w:spacing w:after="240"/>
      <w:ind w:left="1077" w:right="1077"/>
    </w:pPr>
    <w:rPr>
      <w:color w:val="000000"/>
      <w:sz w:val="20"/>
      <w:lang w:eastAsia="en-US"/>
    </w:rPr>
  </w:style>
  <w:style w:type="paragraph" w:customStyle="1" w:styleId="AERquotebullet1">
    <w:name w:val="AER quote bullet 1"/>
    <w:basedOn w:val="AERquote"/>
    <w:rsid w:val="005F18AD"/>
    <w:pPr>
      <w:numPr>
        <w:ilvl w:val="1"/>
        <w:numId w:val="10"/>
      </w:numPr>
      <w:tabs>
        <w:tab w:val="clear" w:pos="1378"/>
        <w:tab w:val="left" w:pos="1440"/>
      </w:tabs>
      <w:ind w:left="1440" w:hanging="363"/>
    </w:pPr>
  </w:style>
  <w:style w:type="character" w:customStyle="1" w:styleId="AERsubscript">
    <w:name w:val="AER subscript"/>
    <w:rsid w:val="005F18AD"/>
    <w:rPr>
      <w:vertAlign w:val="subscript"/>
    </w:rPr>
  </w:style>
  <w:style w:type="character" w:customStyle="1" w:styleId="AERsuperscript">
    <w:name w:val="AER superscript"/>
    <w:rsid w:val="005F18AD"/>
    <w:rPr>
      <w:vertAlign w:val="superscript"/>
    </w:rPr>
  </w:style>
  <w:style w:type="table" w:customStyle="1" w:styleId="AERtable-numbers">
    <w:name w:val="AER table - numbers"/>
    <w:basedOn w:val="TableNormal"/>
    <w:rsid w:val="005F18AD"/>
    <w:pPr>
      <w:keepNext/>
      <w:spacing w:before="40" w:after="40"/>
      <w:jc w:val="right"/>
    </w:pPr>
    <w:tblPr>
      <w:tblStyleRowBandSize w:val="1"/>
      <w:tblBorders>
        <w:top w:val="single" w:sz="12" w:space="0" w:color="auto"/>
        <w:bottom w:val="single" w:sz="4" w:space="0" w:color="auto"/>
      </w:tblBorders>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tablesource">
    <w:name w:val="AER table source"/>
    <w:next w:val="AERbodytext"/>
    <w:rsid w:val="005F18AD"/>
    <w:pPr>
      <w:tabs>
        <w:tab w:val="left" w:pos="1361"/>
      </w:tabs>
      <w:spacing w:before="40" w:after="240"/>
      <w:ind w:left="794" w:right="1077" w:hanging="794"/>
      <w:contextualSpacing/>
    </w:pPr>
    <w:rPr>
      <w:szCs w:val="24"/>
      <w:lang w:eastAsia="en-US"/>
    </w:rPr>
  </w:style>
  <w:style w:type="paragraph" w:customStyle="1" w:styleId="AERtabletext">
    <w:name w:val="AER table text"/>
    <w:basedOn w:val="Normal"/>
    <w:rsid w:val="005F18AD"/>
    <w:pPr>
      <w:widowControl w:val="0"/>
    </w:pPr>
    <w:rPr>
      <w:sz w:val="20"/>
      <w:lang w:eastAsia="en-US"/>
    </w:rPr>
  </w:style>
  <w:style w:type="character" w:customStyle="1" w:styleId="AERunderline">
    <w:name w:val="AER underline"/>
    <w:rsid w:val="005F18AD"/>
    <w:rPr>
      <w:u w:val="single"/>
    </w:rPr>
  </w:style>
  <w:style w:type="paragraph" w:customStyle="1" w:styleId="AERunnumberedheading1">
    <w:name w:val="AER unnumbered heading 1"/>
    <w:basedOn w:val="Normal"/>
    <w:next w:val="AERbodytext"/>
    <w:rsid w:val="005F18AD"/>
    <w:pPr>
      <w:pageBreakBefore/>
      <w:widowControl w:val="0"/>
      <w:tabs>
        <w:tab w:val="left" w:pos="851"/>
      </w:tabs>
      <w:spacing w:before="240"/>
      <w:outlineLvl w:val="0"/>
    </w:pPr>
    <w:rPr>
      <w:rFonts w:ascii="Arial Bold" w:hAnsi="Arial Bold"/>
      <w:b/>
      <w:bCs/>
      <w:spacing w:val="5"/>
      <w:kern w:val="36"/>
      <w:sz w:val="36"/>
      <w:szCs w:val="27"/>
      <w:lang w:eastAsia="en-US"/>
    </w:rPr>
  </w:style>
  <w:style w:type="paragraph" w:customStyle="1" w:styleId="AERunnumberedheading2">
    <w:name w:val="AER unnumbered heading 2"/>
    <w:basedOn w:val="Normal"/>
    <w:next w:val="AERbodytext"/>
    <w:rsid w:val="005F18AD"/>
    <w:pPr>
      <w:keepNext/>
      <w:tabs>
        <w:tab w:val="left" w:pos="851"/>
      </w:tabs>
      <w:spacing w:before="240"/>
    </w:pPr>
    <w:rPr>
      <w:rFonts w:ascii="Arial Bold" w:hAnsi="Arial Bold"/>
      <w:sz w:val="30"/>
      <w:lang w:eastAsia="en-US"/>
    </w:rPr>
  </w:style>
  <w:style w:type="paragraph" w:customStyle="1" w:styleId="AERunnumberedheading3">
    <w:name w:val="AER unnumbered heading 3"/>
    <w:basedOn w:val="AERHeading10"/>
    <w:next w:val="AERbodytext"/>
    <w:rsid w:val="00936A7B"/>
  </w:style>
  <w:style w:type="paragraph" w:customStyle="1" w:styleId="AERunnumberedheading4">
    <w:name w:val="AER unnumbered heading 4"/>
    <w:basedOn w:val="Normal"/>
    <w:next w:val="AERbodytext"/>
    <w:rsid w:val="005F18AD"/>
    <w:pPr>
      <w:keepNext/>
      <w:tabs>
        <w:tab w:val="left" w:pos="851"/>
        <w:tab w:val="left" w:pos="1080"/>
      </w:tabs>
      <w:spacing w:before="240"/>
      <w:outlineLvl w:val="3"/>
    </w:pPr>
    <w:rPr>
      <w:b/>
      <w:lang w:eastAsia="en-US"/>
    </w:rPr>
  </w:style>
  <w:style w:type="character" w:styleId="PageNumber">
    <w:name w:val="page number"/>
    <w:rsid w:val="005F18AD"/>
    <w:rPr>
      <w:rFonts w:ascii="Arial" w:hAnsi="Arial"/>
      <w:sz w:val="20"/>
    </w:rPr>
  </w:style>
  <w:style w:type="paragraph" w:styleId="Subtitle">
    <w:name w:val="Subtitle"/>
    <w:link w:val="SubtitleChar"/>
    <w:qFormat/>
    <w:rsid w:val="005F18AD"/>
    <w:pPr>
      <w:spacing w:after="60"/>
      <w:jc w:val="center"/>
      <w:outlineLvl w:val="1"/>
    </w:pPr>
    <w:rPr>
      <w:rFonts w:ascii="Arial" w:hAnsi="Arial" w:cs="Arial"/>
      <w:sz w:val="28"/>
      <w:szCs w:val="24"/>
      <w:lang w:eastAsia="en-US"/>
    </w:rPr>
  </w:style>
  <w:style w:type="paragraph" w:styleId="TOC1">
    <w:name w:val="toc 1"/>
    <w:basedOn w:val="Normal"/>
    <w:next w:val="Normal"/>
    <w:rsid w:val="005F18AD"/>
    <w:pPr>
      <w:tabs>
        <w:tab w:val="left" w:pos="567"/>
        <w:tab w:val="right" w:leader="dot" w:pos="8307"/>
      </w:tabs>
    </w:pPr>
    <w:rPr>
      <w:b/>
      <w:lang w:eastAsia="en-US"/>
    </w:rPr>
  </w:style>
  <w:style w:type="paragraph" w:styleId="TOC2">
    <w:name w:val="toc 2"/>
    <w:basedOn w:val="Normal"/>
    <w:next w:val="Normal"/>
    <w:rsid w:val="005F18AD"/>
    <w:pPr>
      <w:tabs>
        <w:tab w:val="left" w:pos="1080"/>
        <w:tab w:val="right" w:leader="dot" w:pos="8307"/>
      </w:tabs>
      <w:ind w:left="1134" w:hanging="567"/>
    </w:pPr>
    <w:rPr>
      <w:lang w:eastAsia="en-US"/>
    </w:rPr>
  </w:style>
  <w:style w:type="paragraph" w:styleId="TOC3">
    <w:name w:val="toc 3"/>
    <w:basedOn w:val="Normal"/>
    <w:next w:val="Normal"/>
    <w:rsid w:val="005F18AD"/>
    <w:pPr>
      <w:tabs>
        <w:tab w:val="left" w:pos="1980"/>
        <w:tab w:val="right" w:leader="dot" w:pos="8307"/>
      </w:tabs>
      <w:ind w:left="1980" w:hanging="900"/>
    </w:pPr>
    <w:rPr>
      <w:lang w:eastAsia="en-US"/>
    </w:rPr>
  </w:style>
  <w:style w:type="table" w:customStyle="1" w:styleId="AERtable-text">
    <w:name w:val="AER table - text"/>
    <w:basedOn w:val="AERtable-numbers"/>
    <w:rsid w:val="005F18AD"/>
    <w:pPr>
      <w:jc w:val="left"/>
    </w:pPr>
    <w:tbl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quoteindent1">
    <w:name w:val="AER quote (indent 1)"/>
    <w:basedOn w:val="AERquote"/>
    <w:rsid w:val="005F18AD"/>
    <w:pPr>
      <w:ind w:left="1440" w:right="1440"/>
    </w:pPr>
  </w:style>
  <w:style w:type="paragraph" w:customStyle="1" w:styleId="AERbodytextindent2">
    <w:name w:val="AER body text (indent 2)"/>
    <w:basedOn w:val="AERbodytext"/>
    <w:rsid w:val="005F18AD"/>
    <w:pPr>
      <w:ind w:left="720"/>
    </w:pPr>
  </w:style>
  <w:style w:type="paragraph" w:customStyle="1" w:styleId="AERbodytextindent1">
    <w:name w:val="AER body text (indent 1)"/>
    <w:basedOn w:val="AERbodytext"/>
    <w:rsid w:val="005F18AD"/>
    <w:pPr>
      <w:ind w:left="357"/>
    </w:pPr>
  </w:style>
  <w:style w:type="paragraph" w:customStyle="1" w:styleId="AERbodytextindent3">
    <w:name w:val="AER body text (indent 3)"/>
    <w:basedOn w:val="AERbodytext"/>
    <w:rsid w:val="005F18AD"/>
    <w:pPr>
      <w:ind w:left="1077"/>
    </w:pPr>
  </w:style>
  <w:style w:type="paragraph" w:customStyle="1" w:styleId="AERunnumberedheading6">
    <w:name w:val="AER unnumbered heading 6"/>
    <w:basedOn w:val="Heading6"/>
    <w:next w:val="AERbodytext"/>
    <w:rsid w:val="005F18AD"/>
    <w:pPr>
      <w:spacing w:before="120" w:after="0"/>
    </w:pPr>
    <w:rPr>
      <w:b w:val="0"/>
      <w:i/>
      <w:lang w:eastAsia="en-US"/>
    </w:rPr>
  </w:style>
  <w:style w:type="paragraph" w:customStyle="1" w:styleId="AERquoteindent2">
    <w:name w:val="AER quote (indent 2)"/>
    <w:basedOn w:val="AERquoteindent1"/>
    <w:rsid w:val="005F18AD"/>
    <w:pPr>
      <w:ind w:left="1797" w:right="1797"/>
    </w:pPr>
  </w:style>
  <w:style w:type="paragraph" w:customStyle="1" w:styleId="AERquoteindent3">
    <w:name w:val="AER quote (indent 3)"/>
    <w:basedOn w:val="AERquoteindent2"/>
    <w:rsid w:val="005F18AD"/>
    <w:pPr>
      <w:ind w:left="2160" w:right="2160"/>
    </w:pPr>
  </w:style>
  <w:style w:type="character" w:customStyle="1" w:styleId="FigHeadingChar1">
    <w:name w:val="Fig Heading Char1"/>
    <w:rsid w:val="00CF53CA"/>
    <w:rPr>
      <w:rFonts w:ascii="Arial" w:hAnsi="Arial" w:cs="Arial"/>
      <w:b/>
      <w:lang w:val="en-AU" w:eastAsia="en-US" w:bidi="ar-SA"/>
    </w:rPr>
  </w:style>
  <w:style w:type="character" w:customStyle="1" w:styleId="FootnoteChar">
    <w:name w:val="Footnote Char"/>
    <w:link w:val="Footnote"/>
    <w:rsid w:val="006F4169"/>
    <w:rPr>
      <w:szCs w:val="24"/>
      <w:lang w:val="en-AU" w:eastAsia="en-AU" w:bidi="ar-SA"/>
    </w:rPr>
  </w:style>
  <w:style w:type="paragraph" w:styleId="ListParagraph">
    <w:name w:val="List Paragraph"/>
    <w:basedOn w:val="Normal"/>
    <w:uiPriority w:val="34"/>
    <w:qFormat/>
    <w:rsid w:val="002052B6"/>
    <w:pPr>
      <w:ind w:left="720"/>
      <w:contextualSpacing/>
    </w:pPr>
    <w:rPr>
      <w:rFonts w:ascii="Calibri" w:eastAsia="Calibri" w:hAnsi="Calibri" w:cs="Calibri"/>
      <w:sz w:val="20"/>
      <w:szCs w:val="20"/>
    </w:rPr>
  </w:style>
  <w:style w:type="table" w:customStyle="1" w:styleId="AERTable-Text0">
    <w:name w:val="AER Table - Text"/>
    <w:basedOn w:val="TableNormal"/>
    <w:uiPriority w:val="99"/>
    <w:rsid w:val="00936A7B"/>
    <w:pPr>
      <w:spacing w:before="120" w:after="120"/>
    </w:pPr>
    <w:rPr>
      <w:rFonts w:ascii="Arial" w:eastAsia="Arial" w:hAnsi="Arial"/>
      <w:sz w:val="18"/>
      <w:szCs w:val="22"/>
      <w:lang w:eastAsia="en-US"/>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AERHeading10">
    <w:name w:val="AER Heading 1"/>
    <w:basedOn w:val="Normal"/>
    <w:link w:val="AERHeading1Char"/>
    <w:qFormat/>
    <w:rsid w:val="00936A7B"/>
    <w:pPr>
      <w:tabs>
        <w:tab w:val="left" w:pos="680"/>
      </w:tabs>
      <w:spacing w:before="200" w:after="0" w:line="240" w:lineRule="atLeast"/>
      <w:outlineLvl w:val="1"/>
    </w:pPr>
    <w:rPr>
      <w:b/>
      <w:bCs/>
      <w:color w:val="2272A3"/>
      <w:sz w:val="32"/>
      <w:szCs w:val="20"/>
      <w:lang w:eastAsia="en-US"/>
    </w:rPr>
  </w:style>
  <w:style w:type="character" w:customStyle="1" w:styleId="AERHeading1Char">
    <w:name w:val="AER Heading 1 Char"/>
    <w:link w:val="AERHeading10"/>
    <w:rsid w:val="00936A7B"/>
    <w:rPr>
      <w:rFonts w:ascii="Arial" w:hAnsi="Arial"/>
      <w:b/>
      <w:bCs/>
      <w:color w:val="2272A3"/>
      <w:sz w:val="32"/>
      <w:lang w:eastAsia="en-US"/>
    </w:rPr>
  </w:style>
  <w:style w:type="paragraph" w:customStyle="1" w:styleId="AERNumberedheading1nonewpage">
    <w:name w:val="AER Numbered heading 1 no new page"/>
    <w:basedOn w:val="AERHeading10"/>
    <w:link w:val="AERNumberedheading1nonewpageChar"/>
    <w:qFormat/>
    <w:rsid w:val="000F2287"/>
    <w:pPr>
      <w:numPr>
        <w:numId w:val="15"/>
      </w:numPr>
      <w:tabs>
        <w:tab w:val="clear" w:pos="680"/>
        <w:tab w:val="left" w:pos="709"/>
      </w:tabs>
    </w:pPr>
  </w:style>
  <w:style w:type="character" w:customStyle="1" w:styleId="AERNumberedheading1nonewpageChar">
    <w:name w:val="AER Numbered heading 1 no new page Char"/>
    <w:basedOn w:val="AERHeading1Char"/>
    <w:link w:val="AERNumberedheading1nonewpage"/>
    <w:rsid w:val="000F2287"/>
    <w:rPr>
      <w:rFonts w:ascii="Arial" w:hAnsi="Arial"/>
      <w:b/>
      <w:bCs/>
      <w:color w:val="2272A3"/>
      <w:sz w:val="32"/>
      <w:lang w:eastAsia="en-US"/>
    </w:rPr>
  </w:style>
  <w:style w:type="numbering" w:customStyle="1" w:styleId="Style1">
    <w:name w:val="Style1"/>
    <w:uiPriority w:val="99"/>
    <w:rsid w:val="00E2040E"/>
    <w:pPr>
      <w:numPr>
        <w:numId w:val="20"/>
      </w:numPr>
    </w:pPr>
  </w:style>
  <w:style w:type="character" w:customStyle="1" w:styleId="TitleChar">
    <w:name w:val="Title Char"/>
    <w:link w:val="Title"/>
    <w:rsid w:val="00004A63"/>
    <w:rPr>
      <w:rFonts w:ascii="Arial" w:hAnsi="Arial" w:cs="Arial"/>
      <w:b/>
      <w:bCs/>
      <w:kern w:val="28"/>
      <w:sz w:val="36"/>
      <w:szCs w:val="32"/>
      <w:lang w:eastAsia="en-US"/>
    </w:rPr>
  </w:style>
  <w:style w:type="character" w:customStyle="1" w:styleId="SubtitleChar">
    <w:name w:val="Subtitle Char"/>
    <w:link w:val="Subtitle"/>
    <w:rsid w:val="00004A63"/>
    <w:rPr>
      <w:rFonts w:ascii="Arial" w:hAnsi="Arial" w:cs="Arial"/>
      <w:sz w:val="28"/>
      <w:szCs w:val="24"/>
      <w:lang w:eastAsia="en-US"/>
    </w:rPr>
  </w:style>
  <w:style w:type="paragraph" w:customStyle="1" w:styleId="TableHeading">
    <w:name w:val="Table Heading"/>
    <w:basedOn w:val="Tabletext"/>
    <w:link w:val="TableHeadingChar"/>
    <w:qFormat/>
    <w:rsid w:val="0091453B"/>
    <w:pPr>
      <w:spacing w:before="60" w:after="60" w:line="276" w:lineRule="auto"/>
      <w:jc w:val="left"/>
    </w:pPr>
    <w:rPr>
      <w:rFonts w:eastAsia="Arial"/>
      <w:color w:val="FFFFFF"/>
      <w:sz w:val="18"/>
      <w:szCs w:val="22"/>
      <w:lang w:eastAsia="en-US"/>
    </w:rPr>
  </w:style>
  <w:style w:type="character" w:customStyle="1" w:styleId="TableHeadingChar">
    <w:name w:val="Table Heading Char"/>
    <w:link w:val="TableHeading"/>
    <w:rsid w:val="0091453B"/>
    <w:rPr>
      <w:rFonts w:ascii="Arial" w:eastAsia="Arial" w:hAnsi="Arial"/>
      <w:color w:val="FFFFFF"/>
      <w:sz w:val="18"/>
      <w:szCs w:val="22"/>
      <w:lang w:eastAsia="en-US"/>
    </w:rPr>
  </w:style>
  <w:style w:type="paragraph" w:customStyle="1" w:styleId="tableheadingline2">
    <w:name w:val="table heading line 2"/>
    <w:basedOn w:val="Normal"/>
    <w:link w:val="tableheadingline2Char"/>
    <w:qFormat/>
    <w:rsid w:val="0091453B"/>
    <w:pPr>
      <w:spacing w:before="0" w:line="276" w:lineRule="auto"/>
      <w:jc w:val="center"/>
    </w:pPr>
    <w:rPr>
      <w:rFonts w:eastAsia="Arial"/>
      <w:b/>
      <w:sz w:val="18"/>
      <w:szCs w:val="22"/>
      <w:lang w:eastAsia="en-US"/>
    </w:rPr>
  </w:style>
  <w:style w:type="character" w:customStyle="1" w:styleId="tableheadingline2Char">
    <w:name w:val="table heading line 2 Char"/>
    <w:link w:val="tableheadingline2"/>
    <w:rsid w:val="0091453B"/>
    <w:rPr>
      <w:rFonts w:ascii="Arial" w:eastAsia="Arial" w:hAnsi="Arial"/>
      <w:b/>
      <w:sz w:val="18"/>
      <w:szCs w:val="22"/>
      <w:lang w:eastAsia="en-US"/>
    </w:rPr>
  </w:style>
  <w:style w:type="numbering" w:customStyle="1" w:styleId="AERnumberedlist">
    <w:name w:val="AER numbered list"/>
    <w:uiPriority w:val="99"/>
    <w:rsid w:val="009A1BBA"/>
    <w:pPr>
      <w:numPr>
        <w:numId w:val="30"/>
      </w:numPr>
    </w:pPr>
  </w:style>
  <w:style w:type="paragraph" w:customStyle="1" w:styleId="AERnumberedlist2first">
    <w:name w:val="AER numbered list 2 first"/>
    <w:basedOn w:val="AERbodytext"/>
    <w:qFormat/>
    <w:rsid w:val="009A1BBA"/>
    <w:pPr>
      <w:tabs>
        <w:tab w:val="num" w:pos="357"/>
      </w:tabs>
      <w:spacing w:before="0" w:after="240" w:line="288" w:lineRule="auto"/>
      <w:ind w:left="357" w:hanging="357"/>
      <w:jc w:val="both"/>
    </w:pPr>
    <w:rPr>
      <w:rFonts w:ascii="Calibri" w:hAnsi="Calibri"/>
      <w:sz w:val="20"/>
    </w:rPr>
  </w:style>
  <w:style w:type="paragraph" w:customStyle="1" w:styleId="AERnumberedlist2second">
    <w:name w:val="AER numbered list 2 second"/>
    <w:basedOn w:val="AERnumberedlist2first"/>
    <w:qFormat/>
    <w:rsid w:val="009A1BBA"/>
    <w:pPr>
      <w:tabs>
        <w:tab w:val="clear" w:pos="357"/>
        <w:tab w:val="num" w:pos="720"/>
      </w:tabs>
      <w:ind w:left="720" w:hanging="363"/>
    </w:pPr>
  </w:style>
  <w:style w:type="paragraph" w:customStyle="1" w:styleId="AERnumberedlist2third">
    <w:name w:val="AER numbered list 2 third"/>
    <w:basedOn w:val="AERnumberedlist2second"/>
    <w:qFormat/>
    <w:rsid w:val="009A1BBA"/>
    <w:pPr>
      <w:tabs>
        <w:tab w:val="clear" w:pos="720"/>
        <w:tab w:val="num" w:pos="1361"/>
      </w:tabs>
      <w:ind w:left="1361" w:hanging="136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Style1"/>
    <w:pPr>
      <w:numPr>
        <w:numId w:val="20"/>
      </w:numPr>
    </w:pPr>
  </w:style>
  <w:style w:type="numbering" w:customStyle="1" w:styleId="Heading2Char">
    <w:name w:val="AERnumberedlist"/>
    <w:pPr>
      <w:numPr>
        <w:numId w:val="3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882389">
      <w:bodyDiv w:val="1"/>
      <w:marLeft w:val="0"/>
      <w:marRight w:val="0"/>
      <w:marTop w:val="0"/>
      <w:marBottom w:val="0"/>
      <w:divBdr>
        <w:top w:val="none" w:sz="0" w:space="0" w:color="auto"/>
        <w:left w:val="none" w:sz="0" w:space="0" w:color="auto"/>
        <w:bottom w:val="none" w:sz="0" w:space="0" w:color="auto"/>
        <w:right w:val="none" w:sz="0" w:space="0" w:color="auto"/>
      </w:divBdr>
    </w:div>
    <w:div w:id="700863153">
      <w:bodyDiv w:val="1"/>
      <w:marLeft w:val="0"/>
      <w:marRight w:val="0"/>
      <w:marTop w:val="0"/>
      <w:marBottom w:val="0"/>
      <w:divBdr>
        <w:top w:val="none" w:sz="0" w:space="0" w:color="auto"/>
        <w:left w:val="none" w:sz="0" w:space="0" w:color="auto"/>
        <w:bottom w:val="none" w:sz="0" w:space="0" w:color="auto"/>
        <w:right w:val="none" w:sz="0" w:space="0" w:color="auto"/>
      </w:divBdr>
    </w:div>
    <w:div w:id="872185116">
      <w:bodyDiv w:val="1"/>
      <w:marLeft w:val="0"/>
      <w:marRight w:val="0"/>
      <w:marTop w:val="0"/>
      <w:marBottom w:val="0"/>
      <w:divBdr>
        <w:top w:val="none" w:sz="0" w:space="0" w:color="auto"/>
        <w:left w:val="none" w:sz="0" w:space="0" w:color="auto"/>
        <w:bottom w:val="none" w:sz="0" w:space="0" w:color="auto"/>
        <w:right w:val="none" w:sz="0" w:space="0" w:color="auto"/>
      </w:divBdr>
    </w:div>
    <w:div w:id="1117607492">
      <w:bodyDiv w:val="1"/>
      <w:marLeft w:val="0"/>
      <w:marRight w:val="0"/>
      <w:marTop w:val="0"/>
      <w:marBottom w:val="0"/>
      <w:divBdr>
        <w:top w:val="none" w:sz="0" w:space="0" w:color="auto"/>
        <w:left w:val="none" w:sz="0" w:space="0" w:color="auto"/>
        <w:bottom w:val="none" w:sz="0" w:space="0" w:color="auto"/>
        <w:right w:val="none" w:sz="0" w:space="0" w:color="auto"/>
      </w:divBdr>
    </w:div>
    <w:div w:id="1458179203">
      <w:bodyDiv w:val="1"/>
      <w:marLeft w:val="0"/>
      <w:marRight w:val="0"/>
      <w:marTop w:val="0"/>
      <w:marBottom w:val="0"/>
      <w:divBdr>
        <w:top w:val="none" w:sz="0" w:space="0" w:color="auto"/>
        <w:left w:val="none" w:sz="0" w:space="0" w:color="auto"/>
        <w:bottom w:val="none" w:sz="0" w:space="0" w:color="auto"/>
        <w:right w:val="none" w:sz="0" w:space="0" w:color="auto"/>
      </w:divBdr>
    </w:div>
    <w:div w:id="1761367070">
      <w:bodyDiv w:val="1"/>
      <w:marLeft w:val="0"/>
      <w:marRight w:val="0"/>
      <w:marTop w:val="0"/>
      <w:marBottom w:val="0"/>
      <w:divBdr>
        <w:top w:val="none" w:sz="0" w:space="0" w:color="auto"/>
        <w:left w:val="none" w:sz="0" w:space="0" w:color="auto"/>
        <w:bottom w:val="none" w:sz="0" w:space="0" w:color="auto"/>
        <w:right w:val="none" w:sz="0" w:space="0" w:color="auto"/>
      </w:divBdr>
    </w:div>
    <w:div w:id="1795439920">
      <w:bodyDiv w:val="1"/>
      <w:marLeft w:val="0"/>
      <w:marRight w:val="0"/>
      <w:marTop w:val="0"/>
      <w:marBottom w:val="0"/>
      <w:divBdr>
        <w:top w:val="none" w:sz="0" w:space="0" w:color="auto"/>
        <w:left w:val="none" w:sz="0" w:space="0" w:color="auto"/>
        <w:bottom w:val="none" w:sz="0" w:space="0" w:color="auto"/>
        <w:right w:val="none" w:sz="0" w:space="0" w:color="auto"/>
      </w:divBdr>
    </w:div>
    <w:div w:id="185633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hyperlink" Target="http://www.aer.gov.au/node/451" TargetMode="External"/><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hyperlink" Target="http://www.aer.gov.au/node/456" TargetMode="External"/><Relationship Id="rId17" Type="http://schemas.openxmlformats.org/officeDocument/2006/relationships/image" Target="media/image7.emf"/><Relationship Id="rId25" Type="http://schemas.openxmlformats.org/officeDocument/2006/relationships/image" Target="media/image14.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er.gov.au/node/451" TargetMode="External"/><Relationship Id="rId24" Type="http://schemas.openxmlformats.org/officeDocument/2006/relationships/image" Target="media/image13.e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7.emf"/><Relationship Id="rId10" Type="http://schemas.openxmlformats.org/officeDocument/2006/relationships/image" Target="media/image2.emf"/><Relationship Id="rId19" Type="http://schemas.openxmlformats.org/officeDocument/2006/relationships/image" Target="media/image8.emf"/><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aer.gov.au/system/files/AER%20gas%20weekly%20report%20-%2013%20%E2%80%93%2019%20December%202015.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47DC59-D6C4-4136-9883-92FF9D4B0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8D770D8D.dotm</Template>
  <TotalTime>0</TotalTime>
  <Pages>11</Pages>
  <Words>1898</Words>
  <Characters>8947</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10824</CharactersWithSpaces>
  <SharedDoc>false</SharedDoc>
  <HLinks>
    <vt:vector size="12" baseType="variant">
      <vt:variant>
        <vt:i4>7274559</vt:i4>
      </vt:variant>
      <vt:variant>
        <vt:i4>3</vt:i4>
      </vt:variant>
      <vt:variant>
        <vt:i4>0</vt:i4>
      </vt:variant>
      <vt:variant>
        <vt:i4>5</vt:i4>
      </vt:variant>
      <vt:variant>
        <vt:lpwstr>http://www.aer.gov.au/node/456</vt:lpwstr>
      </vt:variant>
      <vt:variant>
        <vt:lpwstr/>
      </vt:variant>
      <vt:variant>
        <vt:i4>6815807</vt:i4>
      </vt:variant>
      <vt:variant>
        <vt:i4>0</vt:i4>
      </vt:variant>
      <vt:variant>
        <vt:i4>0</vt:i4>
      </vt:variant>
      <vt:variant>
        <vt:i4>5</vt:i4>
      </vt:variant>
      <vt:variant>
        <vt:lpwstr>http://www.aer.gov.au/node/451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2016-01-19T06:29:00Z</dcterms:created>
  <dcterms:modified xsi:type="dcterms:W3CDTF">2016-01-19T06:37:00Z</dcterms:modified>
</cp:coreProperties>
</file>