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BF2669" w:rsidP="00286866">
      <w:pPr>
        <w:pStyle w:val="Heading2"/>
        <w:rPr>
          <w:i/>
        </w:rPr>
      </w:pPr>
      <w:r>
        <w:rPr>
          <w:sz w:val="36"/>
          <w:szCs w:val="36"/>
        </w:rPr>
        <w:t>18</w:t>
      </w:r>
      <w:r w:rsidR="00F07CFA">
        <w:rPr>
          <w:sz w:val="36"/>
          <w:szCs w:val="36"/>
        </w:rPr>
        <w:t xml:space="preserve"> – </w:t>
      </w:r>
      <w:r>
        <w:rPr>
          <w:sz w:val="36"/>
          <w:szCs w:val="36"/>
        </w:rPr>
        <w:t>24</w:t>
      </w:r>
      <w:r w:rsidR="00F07CFA">
        <w:rPr>
          <w:sz w:val="36"/>
          <w:szCs w:val="36"/>
        </w:rPr>
        <w:t xml:space="preserve"> December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Default="00015294" w:rsidP="00F26128">
      <w:pPr>
        <w:jc w:val="both"/>
      </w:pPr>
      <w:r>
        <w:t>Prices increased in all regions this week, the most significant rises occurring in Sydney (24 per cent) and Brisbane (25 per cent). The highest price was set in Brisbane at $13.25/GJ on 19 December.</w:t>
      </w:r>
    </w:p>
    <w:p w:rsidR="003F40C0" w:rsidRPr="00146B2B" w:rsidRDefault="003F40C0" w:rsidP="00F26128">
      <w:pPr>
        <w:jc w:val="both"/>
      </w:pPr>
      <w:r w:rsidRPr="00146B2B">
        <w:t xml:space="preserve">Less gas was available from Victoria’s Gippsland Basin due to constraints on injections from the Longford Gas Plant. The constraints </w:t>
      </w:r>
      <w:r w:rsidR="00CA11C8" w:rsidRPr="00146B2B">
        <w:t>were applied due to maintenance schedules at Longford and persisted throughout the week</w:t>
      </w:r>
      <w:r w:rsidR="00C67D06" w:rsidRPr="00146B2B">
        <w:t xml:space="preserve"> (figure 5.1 below shows 124 TJ/d less gas was delivered from Gippsland than in the previous week also affected by Longford outages)</w:t>
      </w:r>
      <w:r w:rsidR="00CA11C8" w:rsidRPr="00146B2B">
        <w:t>.</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52620B" w:rsidRDefault="0052620B" w:rsidP="000835F4">
      <w:pPr>
        <w:jc w:val="both"/>
      </w:pPr>
    </w:p>
    <w:p w:rsidR="0052620B" w:rsidRDefault="0052620B" w:rsidP="000835F4">
      <w:pPr>
        <w:jc w:val="both"/>
      </w:pPr>
    </w:p>
    <w:p w:rsidR="000835F4" w:rsidRDefault="000835F4" w:rsidP="000835F4">
      <w:pPr>
        <w:pStyle w:val="Caption"/>
        <w:rPr>
          <w:color w:val="2272A3"/>
          <w:szCs w:val="24"/>
        </w:rPr>
      </w:pPr>
      <w:r w:rsidRPr="00BE2075">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BF2669" w:rsidRPr="006A7228" w:rsidTr="00534DD9">
        <w:trPr>
          <w:trHeight w:val="510"/>
        </w:trPr>
        <w:tc>
          <w:tcPr>
            <w:tcW w:w="749" w:type="pct"/>
            <w:tcBorders>
              <w:top w:val="nil"/>
              <w:bottom w:val="nil"/>
            </w:tcBorders>
            <w:vAlign w:val="center"/>
          </w:tcPr>
          <w:p w:rsidR="00BF2669" w:rsidRDefault="00BF2669">
            <w:pPr>
              <w:rPr>
                <w:rFonts w:cs="Arial"/>
                <w:sz w:val="16"/>
                <w:szCs w:val="16"/>
              </w:rPr>
            </w:pPr>
            <w:r>
              <w:rPr>
                <w:rFonts w:cs="Arial"/>
                <w:sz w:val="16"/>
                <w:szCs w:val="16"/>
              </w:rPr>
              <w:t>18 Dec - 24 Dec 2016</w:t>
            </w:r>
          </w:p>
        </w:tc>
        <w:tc>
          <w:tcPr>
            <w:tcW w:w="329"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9.62</w:t>
            </w:r>
          </w:p>
        </w:tc>
        <w:tc>
          <w:tcPr>
            <w:tcW w:w="441"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319</w:t>
            </w:r>
          </w:p>
        </w:tc>
        <w:tc>
          <w:tcPr>
            <w:tcW w:w="329"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9.41</w:t>
            </w:r>
          </w:p>
        </w:tc>
        <w:tc>
          <w:tcPr>
            <w:tcW w:w="417"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198</w:t>
            </w:r>
          </w:p>
        </w:tc>
        <w:tc>
          <w:tcPr>
            <w:tcW w:w="329"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9.63</w:t>
            </w:r>
          </w:p>
        </w:tc>
        <w:tc>
          <w:tcPr>
            <w:tcW w:w="310"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44</w:t>
            </w:r>
          </w:p>
        </w:tc>
        <w:tc>
          <w:tcPr>
            <w:tcW w:w="329"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10.89</w:t>
            </w:r>
          </w:p>
        </w:tc>
        <w:tc>
          <w:tcPr>
            <w:tcW w:w="363"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81</w:t>
            </w:r>
          </w:p>
        </w:tc>
        <w:tc>
          <w:tcPr>
            <w:tcW w:w="330"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8.75</w:t>
            </w:r>
          </w:p>
        </w:tc>
        <w:tc>
          <w:tcPr>
            <w:tcW w:w="359"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62</w:t>
            </w:r>
          </w:p>
        </w:tc>
        <w:tc>
          <w:tcPr>
            <w:tcW w:w="303" w:type="pct"/>
            <w:gridSpan w:val="2"/>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w:t>
            </w:r>
          </w:p>
        </w:tc>
      </w:tr>
      <w:tr w:rsidR="00BF2669"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BF2669" w:rsidRDefault="00BF2669">
            <w:pPr>
              <w:rPr>
                <w:rFonts w:cs="Arial"/>
                <w:sz w:val="16"/>
                <w:szCs w:val="16"/>
              </w:rPr>
            </w:pPr>
            <w:r>
              <w:rPr>
                <w:rFonts w:cs="Arial"/>
                <w:sz w:val="16"/>
                <w:szCs w:val="16"/>
              </w:rPr>
              <w:t>% change from previous week</w:t>
            </w:r>
          </w:p>
        </w:tc>
        <w:tc>
          <w:tcPr>
            <w:tcW w:w="329" w:type="pct"/>
            <w:tcBorders>
              <w:top w:val="nil"/>
              <w:bottom w:val="nil"/>
            </w:tcBorders>
            <w:vAlign w:val="center"/>
          </w:tcPr>
          <w:p w:rsidR="00BF2669" w:rsidRDefault="00BF2669" w:rsidP="00BF2669">
            <w:pPr>
              <w:ind w:left="-106" w:right="-70"/>
              <w:jc w:val="center"/>
              <w:rPr>
                <w:rFonts w:cs="Arial"/>
                <w:szCs w:val="20"/>
              </w:rPr>
            </w:pPr>
            <w:r>
              <w:rPr>
                <w:rFonts w:cs="Arial"/>
                <w:szCs w:val="20"/>
              </w:rPr>
              <w:t>11</w:t>
            </w:r>
          </w:p>
        </w:tc>
        <w:tc>
          <w:tcPr>
            <w:tcW w:w="441" w:type="pct"/>
            <w:tcBorders>
              <w:top w:val="nil"/>
              <w:bottom w:val="nil"/>
            </w:tcBorders>
            <w:vAlign w:val="center"/>
          </w:tcPr>
          <w:p w:rsidR="00BF2669" w:rsidRDefault="00BF2669" w:rsidP="00BF2669">
            <w:pPr>
              <w:ind w:left="-106" w:right="-70"/>
              <w:jc w:val="center"/>
              <w:rPr>
                <w:rFonts w:cs="Arial"/>
                <w:szCs w:val="20"/>
              </w:rPr>
            </w:pPr>
            <w:r>
              <w:rPr>
                <w:rFonts w:cs="Arial"/>
                <w:szCs w:val="20"/>
              </w:rPr>
              <w:t>-8</w:t>
            </w:r>
          </w:p>
        </w:tc>
        <w:tc>
          <w:tcPr>
            <w:tcW w:w="329" w:type="pct"/>
            <w:tcBorders>
              <w:top w:val="nil"/>
              <w:bottom w:val="nil"/>
            </w:tcBorders>
            <w:vAlign w:val="center"/>
          </w:tcPr>
          <w:p w:rsidR="00BF2669" w:rsidRDefault="00BF2669" w:rsidP="00BF2669">
            <w:pPr>
              <w:ind w:left="-106" w:right="-70"/>
              <w:jc w:val="center"/>
              <w:rPr>
                <w:rFonts w:cs="Arial"/>
                <w:szCs w:val="20"/>
              </w:rPr>
            </w:pPr>
            <w:r>
              <w:rPr>
                <w:rFonts w:cs="Arial"/>
                <w:szCs w:val="20"/>
              </w:rPr>
              <w:t>24</w:t>
            </w:r>
          </w:p>
        </w:tc>
        <w:tc>
          <w:tcPr>
            <w:tcW w:w="417" w:type="pct"/>
            <w:tcBorders>
              <w:top w:val="nil"/>
              <w:bottom w:val="nil"/>
            </w:tcBorders>
            <w:vAlign w:val="center"/>
          </w:tcPr>
          <w:p w:rsidR="00BF2669" w:rsidRDefault="00BF2669" w:rsidP="00BF2669">
            <w:pPr>
              <w:ind w:left="-106" w:right="-70"/>
              <w:jc w:val="center"/>
              <w:rPr>
                <w:rFonts w:cs="Arial"/>
                <w:szCs w:val="20"/>
              </w:rPr>
            </w:pPr>
            <w:r>
              <w:rPr>
                <w:rFonts w:cs="Arial"/>
                <w:szCs w:val="20"/>
              </w:rPr>
              <w:t>-5</w:t>
            </w:r>
          </w:p>
        </w:tc>
        <w:tc>
          <w:tcPr>
            <w:tcW w:w="329" w:type="pct"/>
            <w:tcBorders>
              <w:top w:val="nil"/>
              <w:bottom w:val="nil"/>
            </w:tcBorders>
            <w:vAlign w:val="center"/>
          </w:tcPr>
          <w:p w:rsidR="00BF2669" w:rsidRDefault="00BF2669" w:rsidP="00BF2669">
            <w:pPr>
              <w:ind w:left="-106" w:right="-70"/>
              <w:jc w:val="center"/>
              <w:rPr>
                <w:rFonts w:cs="Arial"/>
                <w:szCs w:val="20"/>
              </w:rPr>
            </w:pPr>
            <w:r>
              <w:rPr>
                <w:rFonts w:cs="Arial"/>
                <w:szCs w:val="20"/>
              </w:rPr>
              <w:t>4</w:t>
            </w:r>
          </w:p>
        </w:tc>
        <w:tc>
          <w:tcPr>
            <w:tcW w:w="310" w:type="pct"/>
            <w:tcBorders>
              <w:top w:val="nil"/>
              <w:bottom w:val="nil"/>
            </w:tcBorders>
            <w:vAlign w:val="center"/>
          </w:tcPr>
          <w:p w:rsidR="00BF2669" w:rsidRDefault="00BF2669" w:rsidP="00BF2669">
            <w:pPr>
              <w:ind w:left="-106" w:right="-70"/>
              <w:jc w:val="center"/>
              <w:rPr>
                <w:rFonts w:cs="Arial"/>
                <w:szCs w:val="20"/>
              </w:rPr>
            </w:pPr>
            <w:r>
              <w:rPr>
                <w:rFonts w:cs="Arial"/>
                <w:szCs w:val="20"/>
              </w:rPr>
              <w:t>-8</w:t>
            </w:r>
          </w:p>
        </w:tc>
        <w:tc>
          <w:tcPr>
            <w:tcW w:w="329" w:type="pct"/>
            <w:tcBorders>
              <w:top w:val="nil"/>
              <w:bottom w:val="nil"/>
            </w:tcBorders>
            <w:vAlign w:val="center"/>
          </w:tcPr>
          <w:p w:rsidR="00BF2669" w:rsidRDefault="00BF2669" w:rsidP="00BF2669">
            <w:pPr>
              <w:ind w:left="-106" w:right="-70"/>
              <w:jc w:val="center"/>
              <w:rPr>
                <w:rFonts w:cs="Arial"/>
                <w:szCs w:val="20"/>
              </w:rPr>
            </w:pPr>
            <w:r>
              <w:rPr>
                <w:rFonts w:cs="Arial"/>
                <w:szCs w:val="20"/>
              </w:rPr>
              <w:t>25</w:t>
            </w:r>
          </w:p>
        </w:tc>
        <w:tc>
          <w:tcPr>
            <w:tcW w:w="363" w:type="pct"/>
            <w:tcBorders>
              <w:top w:val="nil"/>
              <w:bottom w:val="nil"/>
            </w:tcBorders>
            <w:vAlign w:val="center"/>
          </w:tcPr>
          <w:p w:rsidR="00BF2669" w:rsidRDefault="00BF2669" w:rsidP="00BF2669">
            <w:pPr>
              <w:ind w:left="-106" w:right="-70"/>
              <w:jc w:val="center"/>
              <w:rPr>
                <w:rFonts w:cs="Arial"/>
                <w:szCs w:val="20"/>
              </w:rPr>
            </w:pPr>
            <w:r>
              <w:rPr>
                <w:rFonts w:cs="Arial"/>
                <w:szCs w:val="20"/>
              </w:rPr>
              <w:t>-5</w:t>
            </w:r>
          </w:p>
        </w:tc>
        <w:tc>
          <w:tcPr>
            <w:tcW w:w="330" w:type="pct"/>
            <w:tcBorders>
              <w:top w:val="nil"/>
              <w:bottom w:val="nil"/>
            </w:tcBorders>
            <w:vAlign w:val="center"/>
          </w:tcPr>
          <w:p w:rsidR="00BF2669" w:rsidRDefault="00BF2669" w:rsidP="00BF2669">
            <w:pPr>
              <w:ind w:left="-106" w:right="-70"/>
              <w:jc w:val="center"/>
              <w:rPr>
                <w:rFonts w:cs="Arial"/>
                <w:szCs w:val="20"/>
              </w:rPr>
            </w:pPr>
            <w:r>
              <w:rPr>
                <w:rFonts w:cs="Arial"/>
                <w:szCs w:val="20"/>
              </w:rPr>
              <w:t>7</w:t>
            </w:r>
          </w:p>
        </w:tc>
        <w:tc>
          <w:tcPr>
            <w:tcW w:w="359" w:type="pct"/>
            <w:tcBorders>
              <w:top w:val="nil"/>
              <w:bottom w:val="nil"/>
            </w:tcBorders>
            <w:vAlign w:val="center"/>
          </w:tcPr>
          <w:p w:rsidR="00BF2669" w:rsidRDefault="00BF2669" w:rsidP="00BF2669">
            <w:pPr>
              <w:ind w:left="-106" w:right="-70"/>
              <w:jc w:val="center"/>
              <w:rPr>
                <w:rFonts w:cs="Arial"/>
                <w:szCs w:val="20"/>
              </w:rPr>
            </w:pPr>
            <w:r>
              <w:rPr>
                <w:rFonts w:cs="Arial"/>
                <w:szCs w:val="20"/>
              </w:rPr>
              <w:t>-86</w:t>
            </w:r>
          </w:p>
        </w:tc>
        <w:tc>
          <w:tcPr>
            <w:tcW w:w="303" w:type="pct"/>
            <w:gridSpan w:val="2"/>
            <w:tcBorders>
              <w:top w:val="nil"/>
              <w:bottom w:val="nil"/>
            </w:tcBorders>
            <w:vAlign w:val="center"/>
          </w:tcPr>
          <w:p w:rsidR="00BF2669" w:rsidRDefault="00BF2669" w:rsidP="00BF2669">
            <w:pPr>
              <w:ind w:left="-106" w:right="-70"/>
              <w:jc w:val="center"/>
              <w:rPr>
                <w:rFonts w:cs="Arial"/>
                <w:szCs w:val="20"/>
              </w:rPr>
            </w:pPr>
            <w:r>
              <w:rPr>
                <w:rFonts w:cs="Arial"/>
                <w:szCs w:val="20"/>
              </w:rPr>
              <w:t>-</w:t>
            </w:r>
          </w:p>
        </w:tc>
        <w:tc>
          <w:tcPr>
            <w:tcW w:w="412" w:type="pct"/>
            <w:tcBorders>
              <w:top w:val="nil"/>
              <w:bottom w:val="nil"/>
            </w:tcBorders>
            <w:vAlign w:val="center"/>
          </w:tcPr>
          <w:p w:rsidR="00BF2669" w:rsidRDefault="00BF2669" w:rsidP="00BF2669">
            <w:pPr>
              <w:ind w:left="-106" w:right="-70"/>
              <w:jc w:val="center"/>
              <w:rPr>
                <w:rFonts w:cs="Arial"/>
                <w:szCs w:val="20"/>
              </w:rPr>
            </w:pPr>
            <w:r>
              <w:rPr>
                <w:rFonts w:cs="Arial"/>
                <w:szCs w:val="20"/>
              </w:rPr>
              <w:t>-</w:t>
            </w:r>
          </w:p>
        </w:tc>
      </w:tr>
      <w:tr w:rsidR="00BF2669" w:rsidRPr="006A7228" w:rsidTr="00534DD9">
        <w:trPr>
          <w:trHeight w:val="510"/>
        </w:trPr>
        <w:tc>
          <w:tcPr>
            <w:tcW w:w="749" w:type="pct"/>
            <w:tcBorders>
              <w:top w:val="nil"/>
              <w:bottom w:val="nil"/>
            </w:tcBorders>
            <w:vAlign w:val="center"/>
          </w:tcPr>
          <w:p w:rsidR="00BF2669" w:rsidRDefault="00BF2669">
            <w:pPr>
              <w:rPr>
                <w:rFonts w:cs="Arial"/>
                <w:sz w:val="16"/>
                <w:szCs w:val="16"/>
              </w:rPr>
            </w:pPr>
            <w:r>
              <w:rPr>
                <w:rFonts w:cs="Arial"/>
                <w:sz w:val="16"/>
                <w:szCs w:val="16"/>
              </w:rPr>
              <w:lastRenderedPageBreak/>
              <w:t>16-17 financial YTD</w:t>
            </w:r>
          </w:p>
        </w:tc>
        <w:tc>
          <w:tcPr>
            <w:tcW w:w="329"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8.00</w:t>
            </w:r>
          </w:p>
        </w:tc>
        <w:tc>
          <w:tcPr>
            <w:tcW w:w="441"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633</w:t>
            </w:r>
          </w:p>
        </w:tc>
        <w:tc>
          <w:tcPr>
            <w:tcW w:w="329"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7.42</w:t>
            </w:r>
          </w:p>
        </w:tc>
        <w:tc>
          <w:tcPr>
            <w:tcW w:w="417"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256</w:t>
            </w:r>
          </w:p>
        </w:tc>
        <w:tc>
          <w:tcPr>
            <w:tcW w:w="329"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8.45</w:t>
            </w:r>
          </w:p>
        </w:tc>
        <w:tc>
          <w:tcPr>
            <w:tcW w:w="310"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69</w:t>
            </w:r>
          </w:p>
        </w:tc>
        <w:tc>
          <w:tcPr>
            <w:tcW w:w="329"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7.28</w:t>
            </w:r>
          </w:p>
        </w:tc>
        <w:tc>
          <w:tcPr>
            <w:tcW w:w="363"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86</w:t>
            </w:r>
          </w:p>
        </w:tc>
        <w:tc>
          <w:tcPr>
            <w:tcW w:w="330"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7.90</w:t>
            </w:r>
          </w:p>
        </w:tc>
        <w:tc>
          <w:tcPr>
            <w:tcW w:w="359"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5142</w:t>
            </w:r>
          </w:p>
        </w:tc>
        <w:tc>
          <w:tcPr>
            <w:tcW w:w="303" w:type="pct"/>
            <w:gridSpan w:val="2"/>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BF2669" w:rsidRDefault="00BF2669" w:rsidP="00BF2669">
            <w:pPr>
              <w:ind w:left="-106" w:right="-70"/>
              <w:jc w:val="center"/>
              <w:rPr>
                <w:rFonts w:cs="Arial"/>
                <w:sz w:val="20"/>
                <w:szCs w:val="20"/>
              </w:rPr>
            </w:pPr>
            <w:r>
              <w:rPr>
                <w:rFonts w:cs="Arial"/>
                <w:sz w:val="20"/>
                <w:szCs w:val="20"/>
              </w:rPr>
              <w:t>-</w:t>
            </w:r>
          </w:p>
        </w:tc>
      </w:tr>
      <w:tr w:rsidR="00BF2669"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BF2669" w:rsidRDefault="00BF2669">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80</w:t>
            </w:r>
          </w:p>
        </w:tc>
        <w:tc>
          <w:tcPr>
            <w:tcW w:w="441" w:type="pct"/>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-2</w:t>
            </w:r>
          </w:p>
        </w:tc>
        <w:tc>
          <w:tcPr>
            <w:tcW w:w="329" w:type="pct"/>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60</w:t>
            </w:r>
          </w:p>
        </w:tc>
        <w:tc>
          <w:tcPr>
            <w:tcW w:w="417" w:type="pct"/>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5</w:t>
            </w:r>
          </w:p>
        </w:tc>
        <w:tc>
          <w:tcPr>
            <w:tcW w:w="329" w:type="pct"/>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67</w:t>
            </w:r>
          </w:p>
        </w:tc>
        <w:tc>
          <w:tcPr>
            <w:tcW w:w="310" w:type="pct"/>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2</w:t>
            </w:r>
          </w:p>
        </w:tc>
        <w:tc>
          <w:tcPr>
            <w:tcW w:w="329" w:type="pct"/>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98</w:t>
            </w:r>
          </w:p>
        </w:tc>
        <w:tc>
          <w:tcPr>
            <w:tcW w:w="363" w:type="pct"/>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-5</w:t>
            </w:r>
          </w:p>
        </w:tc>
        <w:tc>
          <w:tcPr>
            <w:tcW w:w="330" w:type="pct"/>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121</w:t>
            </w:r>
          </w:p>
        </w:tc>
        <w:tc>
          <w:tcPr>
            <w:tcW w:w="359" w:type="pct"/>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8</w:t>
            </w:r>
          </w:p>
        </w:tc>
        <w:tc>
          <w:tcPr>
            <w:tcW w:w="303" w:type="pct"/>
            <w:gridSpan w:val="2"/>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w:t>
            </w:r>
          </w:p>
        </w:tc>
        <w:tc>
          <w:tcPr>
            <w:tcW w:w="412" w:type="pct"/>
            <w:tcBorders>
              <w:top w:val="nil"/>
              <w:bottom w:val="single" w:sz="4" w:space="0" w:color="auto"/>
            </w:tcBorders>
            <w:vAlign w:val="center"/>
          </w:tcPr>
          <w:p w:rsidR="00BF2669" w:rsidRDefault="00BF2669" w:rsidP="00BF2669">
            <w:pPr>
              <w:ind w:left="-106" w:right="-70"/>
              <w:jc w:val="center"/>
              <w:rPr>
                <w:rFonts w:cs="Arial"/>
                <w:szCs w:val="20"/>
              </w:rPr>
            </w:pPr>
            <w:r>
              <w:rPr>
                <w:rFonts w:cs="Arial"/>
                <w:szCs w:val="20"/>
              </w:rPr>
              <w:t>-</w:t>
            </w:r>
          </w:p>
        </w:tc>
      </w:tr>
    </w:tbl>
    <w:p w:rsidR="001521CB" w:rsidRPr="008D4DAB" w:rsidRDefault="001521CB" w:rsidP="00A226E9">
      <w:pPr>
        <w:pStyle w:val="AERbodytext"/>
        <w:keepNext/>
      </w:pPr>
      <w:r w:rsidRPr="00EC137F">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BF2669" w:rsidP="001521CB">
      <w:r w:rsidRPr="00BF2669">
        <w:rPr>
          <w:noProof/>
          <w:lang w:eastAsia="en-AU"/>
        </w:rPr>
        <w:drawing>
          <wp:inline distT="0" distB="0" distL="0" distR="0" wp14:anchorId="6805221D" wp14:editId="27FAA63A">
            <wp:extent cx="5731510" cy="3547765"/>
            <wp:effectExtent l="0" t="0" r="2540" b="0"/>
            <wp:docPr id="3" name="Picture 3"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fldSimple w:instr=" SEQ Figure \* ARABIC ">
        <w:r>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BF2669" w:rsidRPr="00405CDE" w:rsidTr="00534DD9">
        <w:trPr>
          <w:trHeight w:val="510"/>
        </w:trPr>
        <w:tc>
          <w:tcPr>
            <w:tcW w:w="1585" w:type="pct"/>
            <w:tcBorders>
              <w:top w:val="nil"/>
              <w:bottom w:val="nil"/>
            </w:tcBorders>
            <w:vAlign w:val="center"/>
          </w:tcPr>
          <w:p w:rsidR="00BF2669" w:rsidRDefault="00BF2669">
            <w:pPr>
              <w:rPr>
                <w:rFonts w:cs="Arial"/>
                <w:sz w:val="16"/>
                <w:szCs w:val="16"/>
              </w:rPr>
            </w:pPr>
            <w:r>
              <w:rPr>
                <w:rFonts w:cs="Arial"/>
                <w:sz w:val="16"/>
                <w:szCs w:val="16"/>
              </w:rPr>
              <w:t>18 Dec - 24 Dec 2016</w:t>
            </w:r>
          </w:p>
        </w:tc>
        <w:tc>
          <w:tcPr>
            <w:tcW w:w="993" w:type="pct"/>
            <w:tcBorders>
              <w:top w:val="nil"/>
              <w:bottom w:val="nil"/>
            </w:tcBorders>
            <w:vAlign w:val="center"/>
          </w:tcPr>
          <w:p w:rsidR="00BF2669" w:rsidRDefault="00BF2669">
            <w:pPr>
              <w:jc w:val="center"/>
              <w:rPr>
                <w:rFonts w:cs="Arial"/>
                <w:sz w:val="20"/>
                <w:szCs w:val="20"/>
              </w:rPr>
            </w:pPr>
            <w:r>
              <w:rPr>
                <w:rFonts w:cs="Arial"/>
                <w:sz w:val="20"/>
                <w:szCs w:val="20"/>
              </w:rPr>
              <w:t>-</w:t>
            </w:r>
          </w:p>
        </w:tc>
        <w:tc>
          <w:tcPr>
            <w:tcW w:w="758" w:type="pct"/>
            <w:tcBorders>
              <w:top w:val="nil"/>
              <w:bottom w:val="nil"/>
            </w:tcBorders>
            <w:vAlign w:val="center"/>
          </w:tcPr>
          <w:p w:rsidR="00BF2669" w:rsidRDefault="00BF2669">
            <w:pPr>
              <w:jc w:val="center"/>
              <w:rPr>
                <w:rFonts w:cs="Arial"/>
                <w:sz w:val="20"/>
                <w:szCs w:val="20"/>
              </w:rPr>
            </w:pPr>
            <w:r>
              <w:rPr>
                <w:rFonts w:cs="Arial"/>
                <w:sz w:val="20"/>
                <w:szCs w:val="20"/>
              </w:rPr>
              <w:t>41.20</w:t>
            </w:r>
          </w:p>
        </w:tc>
        <w:tc>
          <w:tcPr>
            <w:tcW w:w="831" w:type="pct"/>
            <w:tcBorders>
              <w:top w:val="nil"/>
              <w:bottom w:val="nil"/>
            </w:tcBorders>
            <w:vAlign w:val="center"/>
          </w:tcPr>
          <w:p w:rsidR="00BF2669" w:rsidRDefault="00BF2669">
            <w:pPr>
              <w:jc w:val="center"/>
              <w:rPr>
                <w:rFonts w:cs="Arial"/>
                <w:sz w:val="20"/>
                <w:szCs w:val="20"/>
              </w:rPr>
            </w:pPr>
            <w:r>
              <w:rPr>
                <w:rFonts w:cs="Arial"/>
                <w:sz w:val="20"/>
                <w:szCs w:val="20"/>
              </w:rPr>
              <w:t>4.47</w:t>
            </w:r>
          </w:p>
        </w:tc>
        <w:tc>
          <w:tcPr>
            <w:tcW w:w="833" w:type="pct"/>
            <w:tcBorders>
              <w:top w:val="nil"/>
              <w:bottom w:val="nil"/>
            </w:tcBorders>
            <w:vAlign w:val="center"/>
          </w:tcPr>
          <w:p w:rsidR="00BF2669" w:rsidRDefault="00BF2669">
            <w:pPr>
              <w:jc w:val="center"/>
              <w:rPr>
                <w:rFonts w:cs="Arial"/>
                <w:sz w:val="20"/>
                <w:szCs w:val="20"/>
              </w:rPr>
            </w:pPr>
            <w:r>
              <w:rPr>
                <w:rFonts w:cs="Arial"/>
                <w:sz w:val="20"/>
                <w:szCs w:val="20"/>
              </w:rPr>
              <w:t>1.54</w:t>
            </w:r>
          </w:p>
        </w:tc>
      </w:tr>
      <w:tr w:rsidR="00BF2669"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BF2669" w:rsidRDefault="00BF2669">
            <w:pPr>
              <w:rPr>
                <w:rFonts w:cs="Arial"/>
                <w:sz w:val="16"/>
                <w:szCs w:val="16"/>
              </w:rPr>
            </w:pPr>
            <w:r>
              <w:rPr>
                <w:rFonts w:cs="Arial"/>
                <w:sz w:val="16"/>
                <w:szCs w:val="16"/>
              </w:rPr>
              <w:t>% change from previous week</w:t>
            </w:r>
          </w:p>
        </w:tc>
        <w:tc>
          <w:tcPr>
            <w:tcW w:w="993" w:type="pct"/>
            <w:tcBorders>
              <w:top w:val="nil"/>
              <w:bottom w:val="nil"/>
            </w:tcBorders>
            <w:vAlign w:val="center"/>
          </w:tcPr>
          <w:p w:rsidR="00BF2669" w:rsidRDefault="00BF2669">
            <w:pPr>
              <w:jc w:val="center"/>
              <w:rPr>
                <w:rFonts w:cs="Arial"/>
                <w:szCs w:val="20"/>
              </w:rPr>
            </w:pPr>
            <w:r>
              <w:rPr>
                <w:rFonts w:cs="Arial"/>
                <w:szCs w:val="20"/>
              </w:rPr>
              <w:t>-</w:t>
            </w:r>
          </w:p>
        </w:tc>
        <w:tc>
          <w:tcPr>
            <w:tcW w:w="758" w:type="pct"/>
            <w:tcBorders>
              <w:top w:val="nil"/>
              <w:bottom w:val="nil"/>
            </w:tcBorders>
            <w:vAlign w:val="center"/>
          </w:tcPr>
          <w:p w:rsidR="00BF2669" w:rsidRDefault="00BF2669">
            <w:pPr>
              <w:jc w:val="center"/>
              <w:rPr>
                <w:rFonts w:cs="Arial"/>
                <w:szCs w:val="20"/>
              </w:rPr>
            </w:pPr>
            <w:r>
              <w:rPr>
                <w:rFonts w:cs="Arial"/>
                <w:szCs w:val="20"/>
              </w:rPr>
              <w:t>-10</w:t>
            </w:r>
          </w:p>
        </w:tc>
        <w:tc>
          <w:tcPr>
            <w:tcW w:w="831" w:type="pct"/>
            <w:tcBorders>
              <w:top w:val="nil"/>
              <w:bottom w:val="nil"/>
            </w:tcBorders>
            <w:vAlign w:val="center"/>
          </w:tcPr>
          <w:p w:rsidR="00BF2669" w:rsidRDefault="00BF2669">
            <w:pPr>
              <w:jc w:val="center"/>
              <w:rPr>
                <w:rFonts w:cs="Arial"/>
                <w:szCs w:val="20"/>
              </w:rPr>
            </w:pPr>
            <w:r>
              <w:rPr>
                <w:rFonts w:cs="Arial"/>
                <w:szCs w:val="20"/>
              </w:rPr>
              <w:t>-42</w:t>
            </w:r>
          </w:p>
        </w:tc>
        <w:tc>
          <w:tcPr>
            <w:tcW w:w="833" w:type="pct"/>
            <w:tcBorders>
              <w:top w:val="nil"/>
              <w:bottom w:val="nil"/>
            </w:tcBorders>
            <w:vAlign w:val="center"/>
          </w:tcPr>
          <w:p w:rsidR="00BF2669" w:rsidRDefault="00BF2669">
            <w:pPr>
              <w:jc w:val="center"/>
              <w:rPr>
                <w:rFonts w:cs="Arial"/>
                <w:szCs w:val="20"/>
              </w:rPr>
            </w:pPr>
            <w:r>
              <w:rPr>
                <w:rFonts w:cs="Arial"/>
                <w:szCs w:val="20"/>
              </w:rPr>
              <w:t>4</w:t>
            </w:r>
          </w:p>
        </w:tc>
      </w:tr>
      <w:tr w:rsidR="00BF2669" w:rsidRPr="00405CDE" w:rsidTr="00534DD9">
        <w:trPr>
          <w:trHeight w:val="510"/>
        </w:trPr>
        <w:tc>
          <w:tcPr>
            <w:tcW w:w="1585" w:type="pct"/>
            <w:tcBorders>
              <w:top w:val="nil"/>
              <w:bottom w:val="nil"/>
            </w:tcBorders>
            <w:vAlign w:val="center"/>
          </w:tcPr>
          <w:p w:rsidR="00BF2669" w:rsidRDefault="00BF2669">
            <w:pPr>
              <w:rPr>
                <w:rFonts w:cs="Arial"/>
                <w:sz w:val="16"/>
                <w:szCs w:val="16"/>
              </w:rPr>
            </w:pPr>
            <w:r>
              <w:rPr>
                <w:rFonts w:cs="Arial"/>
                <w:sz w:val="16"/>
                <w:szCs w:val="16"/>
              </w:rPr>
              <w:t>16-17 financial YTD</w:t>
            </w:r>
          </w:p>
        </w:tc>
        <w:tc>
          <w:tcPr>
            <w:tcW w:w="993" w:type="pct"/>
            <w:tcBorders>
              <w:top w:val="nil"/>
              <w:bottom w:val="nil"/>
            </w:tcBorders>
            <w:vAlign w:val="center"/>
          </w:tcPr>
          <w:p w:rsidR="00BF2669" w:rsidRDefault="00BF2669">
            <w:pPr>
              <w:jc w:val="center"/>
              <w:rPr>
                <w:rFonts w:cs="Arial"/>
                <w:sz w:val="20"/>
                <w:szCs w:val="20"/>
              </w:rPr>
            </w:pPr>
            <w:r>
              <w:rPr>
                <w:rFonts w:cs="Arial"/>
                <w:sz w:val="20"/>
                <w:szCs w:val="20"/>
              </w:rPr>
              <w:t> </w:t>
            </w:r>
          </w:p>
        </w:tc>
        <w:tc>
          <w:tcPr>
            <w:tcW w:w="758" w:type="pct"/>
            <w:tcBorders>
              <w:top w:val="nil"/>
              <w:bottom w:val="nil"/>
            </w:tcBorders>
            <w:vAlign w:val="center"/>
          </w:tcPr>
          <w:p w:rsidR="00BF2669" w:rsidRDefault="00BF2669">
            <w:pPr>
              <w:jc w:val="center"/>
              <w:rPr>
                <w:rFonts w:cs="Arial"/>
                <w:sz w:val="20"/>
                <w:szCs w:val="20"/>
              </w:rPr>
            </w:pPr>
            <w:r>
              <w:rPr>
                <w:rFonts w:cs="Arial"/>
                <w:sz w:val="20"/>
                <w:szCs w:val="20"/>
              </w:rPr>
              <w:t>59.54</w:t>
            </w:r>
          </w:p>
        </w:tc>
        <w:tc>
          <w:tcPr>
            <w:tcW w:w="831" w:type="pct"/>
            <w:tcBorders>
              <w:top w:val="nil"/>
              <w:bottom w:val="nil"/>
            </w:tcBorders>
            <w:vAlign w:val="center"/>
          </w:tcPr>
          <w:p w:rsidR="00BF2669" w:rsidRDefault="00BF2669">
            <w:pPr>
              <w:jc w:val="center"/>
              <w:rPr>
                <w:rFonts w:cs="Arial"/>
                <w:sz w:val="20"/>
                <w:szCs w:val="20"/>
              </w:rPr>
            </w:pPr>
            <w:r>
              <w:rPr>
                <w:rFonts w:cs="Arial"/>
                <w:sz w:val="20"/>
                <w:szCs w:val="20"/>
              </w:rPr>
              <w:t>26.72</w:t>
            </w:r>
          </w:p>
        </w:tc>
        <w:tc>
          <w:tcPr>
            <w:tcW w:w="833" w:type="pct"/>
            <w:tcBorders>
              <w:top w:val="nil"/>
              <w:bottom w:val="nil"/>
            </w:tcBorders>
            <w:vAlign w:val="center"/>
          </w:tcPr>
          <w:p w:rsidR="00BF2669" w:rsidRDefault="00BF2669">
            <w:pPr>
              <w:jc w:val="center"/>
              <w:rPr>
                <w:rFonts w:cs="Arial"/>
                <w:sz w:val="20"/>
                <w:szCs w:val="20"/>
              </w:rPr>
            </w:pPr>
            <w:r>
              <w:rPr>
                <w:rFonts w:cs="Arial"/>
                <w:sz w:val="20"/>
                <w:szCs w:val="20"/>
              </w:rPr>
              <w:t>1.48</w:t>
            </w:r>
          </w:p>
        </w:tc>
      </w:tr>
      <w:tr w:rsidR="00BF2669"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BF2669" w:rsidRDefault="00BF2669">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BF2669" w:rsidRDefault="00BF2669">
            <w:pPr>
              <w:jc w:val="center"/>
              <w:rPr>
                <w:rFonts w:cs="Arial"/>
                <w:szCs w:val="20"/>
              </w:rPr>
            </w:pPr>
            <w:r>
              <w:rPr>
                <w:rFonts w:cs="Arial"/>
                <w:szCs w:val="20"/>
              </w:rPr>
              <w:t> </w:t>
            </w:r>
          </w:p>
        </w:tc>
        <w:tc>
          <w:tcPr>
            <w:tcW w:w="758" w:type="pct"/>
            <w:tcBorders>
              <w:top w:val="nil"/>
              <w:bottom w:val="single" w:sz="4" w:space="0" w:color="auto"/>
            </w:tcBorders>
            <w:vAlign w:val="center"/>
          </w:tcPr>
          <w:p w:rsidR="00BF2669" w:rsidRDefault="00BF2669">
            <w:pPr>
              <w:jc w:val="center"/>
              <w:rPr>
                <w:rFonts w:cs="Arial"/>
                <w:szCs w:val="20"/>
              </w:rPr>
            </w:pPr>
            <w:r>
              <w:rPr>
                <w:rFonts w:cs="Arial"/>
                <w:szCs w:val="20"/>
              </w:rPr>
              <w:t>144</w:t>
            </w:r>
          </w:p>
        </w:tc>
        <w:tc>
          <w:tcPr>
            <w:tcW w:w="831" w:type="pct"/>
            <w:tcBorders>
              <w:top w:val="nil"/>
              <w:bottom w:val="single" w:sz="4" w:space="0" w:color="auto"/>
            </w:tcBorders>
            <w:vAlign w:val="center"/>
          </w:tcPr>
          <w:p w:rsidR="00BF2669" w:rsidRDefault="00BF2669">
            <w:pPr>
              <w:jc w:val="center"/>
              <w:rPr>
                <w:rFonts w:cs="Arial"/>
                <w:szCs w:val="20"/>
              </w:rPr>
            </w:pPr>
            <w:r>
              <w:rPr>
                <w:rFonts w:cs="Arial"/>
                <w:szCs w:val="20"/>
              </w:rPr>
              <w:t>188</w:t>
            </w:r>
          </w:p>
        </w:tc>
        <w:tc>
          <w:tcPr>
            <w:tcW w:w="833" w:type="pct"/>
            <w:tcBorders>
              <w:top w:val="nil"/>
              <w:bottom w:val="single" w:sz="4" w:space="0" w:color="auto"/>
            </w:tcBorders>
            <w:vAlign w:val="center"/>
          </w:tcPr>
          <w:p w:rsidR="00BF2669" w:rsidRDefault="00BF2669">
            <w:pPr>
              <w:jc w:val="center"/>
              <w:rPr>
                <w:rFonts w:cs="Arial"/>
                <w:szCs w:val="20"/>
              </w:rPr>
            </w:pPr>
            <w:r>
              <w:rPr>
                <w:rFonts w:cs="Arial"/>
                <w:szCs w:val="20"/>
              </w:rPr>
              <w:t>6</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4C571B" w:rsidRPr="00552F68" w:rsidRDefault="004C571B" w:rsidP="0052620B">
      <w:pPr>
        <w:spacing w:line="240" w:lineRule="auto"/>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fldSimple w:instr=" SEQ Figure \* ARABIC ">
        <w:r w:rsidR="00587CFB" w:rsidRPr="00552F68">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920" w:type="pct"/>
        <w:tblLayout w:type="fixed"/>
        <w:tblLook w:val="04A0" w:firstRow="1" w:lastRow="0" w:firstColumn="1" w:lastColumn="0" w:noHBand="0" w:noVBand="1"/>
      </w:tblPr>
      <w:tblGrid>
        <w:gridCol w:w="1391"/>
        <w:gridCol w:w="708"/>
        <w:gridCol w:w="629"/>
        <w:gridCol w:w="646"/>
        <w:gridCol w:w="620"/>
        <w:gridCol w:w="646"/>
        <w:gridCol w:w="624"/>
        <w:gridCol w:w="571"/>
        <w:gridCol w:w="620"/>
        <w:gridCol w:w="597"/>
        <w:gridCol w:w="711"/>
        <w:gridCol w:w="618"/>
        <w:gridCol w:w="713"/>
      </w:tblGrid>
      <w:tr w:rsidR="009434AF" w:rsidRPr="00E16EDC" w:rsidTr="00842A14">
        <w:trPr>
          <w:cnfStyle w:val="100000000000" w:firstRow="1" w:lastRow="0" w:firstColumn="0" w:lastColumn="0" w:oddVBand="0" w:evenVBand="0" w:oddHBand="0" w:evenHBand="0" w:firstRowFirstColumn="0" w:firstRowLastColumn="0" w:lastRowFirstColumn="0" w:lastRowLastColumn="0"/>
          <w:trHeight w:val="404"/>
          <w:tblHeader/>
        </w:trPr>
        <w:tc>
          <w:tcPr>
            <w:tcW w:w="765" w:type="pct"/>
            <w:tcBorders>
              <w:bottom w:val="nil"/>
            </w:tcBorders>
            <w:vAlign w:val="center"/>
          </w:tcPr>
          <w:p w:rsidR="009434AF" w:rsidRPr="00E16EDC" w:rsidRDefault="009434AF" w:rsidP="00842A14">
            <w:pPr>
              <w:pStyle w:val="TableHeading"/>
              <w:spacing w:before="120" w:after="0" w:line="240" w:lineRule="auto"/>
              <w:jc w:val="center"/>
              <w:rPr>
                <w:rFonts w:cs="Arial"/>
                <w:sz w:val="20"/>
                <w:szCs w:val="20"/>
              </w:rPr>
            </w:pPr>
          </w:p>
        </w:tc>
        <w:tc>
          <w:tcPr>
            <w:tcW w:w="735" w:type="pct"/>
            <w:gridSpan w:val="2"/>
            <w:tcBorders>
              <w:bottom w:val="nil"/>
            </w:tcBorders>
            <w:vAlign w:val="center"/>
          </w:tcPr>
          <w:p w:rsidR="009434AF" w:rsidRPr="00E16EDC" w:rsidRDefault="009434AF" w:rsidP="00842A14">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696" w:type="pct"/>
            <w:gridSpan w:val="2"/>
            <w:tcBorders>
              <w:bottom w:val="nil"/>
            </w:tcBorders>
            <w:vAlign w:val="center"/>
          </w:tcPr>
          <w:p w:rsidR="009434AF" w:rsidRPr="00E16EDC" w:rsidRDefault="009434AF" w:rsidP="00842A14">
            <w:pPr>
              <w:spacing w:before="120" w:after="0" w:line="240" w:lineRule="auto"/>
              <w:jc w:val="center"/>
              <w:rPr>
                <w:rFonts w:cs="Arial"/>
                <w:bCs/>
                <w:color w:val="FFFFFF"/>
                <w:sz w:val="20"/>
                <w:szCs w:val="20"/>
              </w:rPr>
            </w:pPr>
            <w:r>
              <w:rPr>
                <w:rFonts w:cs="Arial"/>
                <w:bCs/>
                <w:color w:val="FFFFFF"/>
                <w:sz w:val="20"/>
                <w:szCs w:val="20"/>
              </w:rPr>
              <w:t>SWQP</w:t>
            </w:r>
          </w:p>
        </w:tc>
        <w:tc>
          <w:tcPr>
            <w:tcW w:w="698" w:type="pct"/>
            <w:gridSpan w:val="2"/>
            <w:tcBorders>
              <w:bottom w:val="nil"/>
            </w:tcBorders>
            <w:vAlign w:val="center"/>
          </w:tcPr>
          <w:p w:rsidR="009434AF" w:rsidRPr="00E16EDC" w:rsidRDefault="009434AF" w:rsidP="00842A14">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655" w:type="pct"/>
            <w:gridSpan w:val="2"/>
            <w:tcBorders>
              <w:bottom w:val="nil"/>
            </w:tcBorders>
            <w:vAlign w:val="center"/>
          </w:tcPr>
          <w:p w:rsidR="009434AF" w:rsidRPr="00E16EDC" w:rsidRDefault="009434AF" w:rsidP="00842A14">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19" w:type="pct"/>
            <w:gridSpan w:val="2"/>
            <w:tcBorders>
              <w:bottom w:val="nil"/>
            </w:tcBorders>
            <w:vAlign w:val="center"/>
          </w:tcPr>
          <w:p w:rsidR="009434AF" w:rsidRPr="00E16EDC" w:rsidRDefault="009434AF" w:rsidP="00842A14">
            <w:pPr>
              <w:spacing w:before="120" w:after="0" w:line="240" w:lineRule="auto"/>
              <w:jc w:val="center"/>
              <w:rPr>
                <w:rFonts w:cs="Arial"/>
                <w:bCs/>
                <w:color w:val="FFFFFF"/>
                <w:sz w:val="20"/>
                <w:szCs w:val="20"/>
              </w:rPr>
            </w:pPr>
            <w:r w:rsidRPr="00E16EDC">
              <w:rPr>
                <w:rFonts w:cs="Arial"/>
                <w:bCs/>
                <w:color w:val="FFFFFF"/>
                <w:sz w:val="20"/>
                <w:szCs w:val="20"/>
              </w:rPr>
              <w:t>QGP</w:t>
            </w:r>
          </w:p>
        </w:tc>
        <w:tc>
          <w:tcPr>
            <w:tcW w:w="732" w:type="pct"/>
            <w:gridSpan w:val="2"/>
            <w:tcBorders>
              <w:bottom w:val="nil"/>
            </w:tcBorders>
            <w:vAlign w:val="center"/>
          </w:tcPr>
          <w:p w:rsidR="009434AF" w:rsidRPr="00E16EDC" w:rsidRDefault="009434AF" w:rsidP="00842A14">
            <w:pPr>
              <w:spacing w:before="120" w:after="0" w:line="240" w:lineRule="auto"/>
              <w:jc w:val="center"/>
              <w:rPr>
                <w:rFonts w:cs="Arial"/>
                <w:bCs/>
                <w:color w:val="FFFFFF"/>
                <w:sz w:val="20"/>
                <w:szCs w:val="20"/>
              </w:rPr>
            </w:pPr>
            <w:r>
              <w:rPr>
                <w:rFonts w:cs="Arial"/>
                <w:bCs/>
                <w:color w:val="FFFFFF"/>
                <w:sz w:val="20"/>
                <w:szCs w:val="20"/>
              </w:rPr>
              <w:t>WAL non</w:t>
            </w:r>
            <w:r>
              <w:rPr>
                <w:rFonts w:cs="Arial"/>
                <w:bCs/>
                <w:color w:val="FFFFFF"/>
                <w:sz w:val="20"/>
                <w:szCs w:val="20"/>
              </w:rPr>
              <w:noBreakHyphen/>
              <w:t>netted</w:t>
            </w:r>
          </w:p>
        </w:tc>
      </w:tr>
      <w:tr w:rsidR="009434AF" w:rsidRPr="00587CFB" w:rsidTr="00842A14">
        <w:trPr>
          <w:cnfStyle w:val="100000000000" w:firstRow="1" w:lastRow="0" w:firstColumn="0" w:lastColumn="0" w:oddVBand="0" w:evenVBand="0" w:oddHBand="0" w:evenHBand="0" w:firstRowFirstColumn="0" w:firstRowLastColumn="0" w:lastRowFirstColumn="0" w:lastRowLastColumn="0"/>
          <w:trHeight w:val="1134"/>
          <w:tblHeader/>
        </w:trPr>
        <w:tc>
          <w:tcPr>
            <w:tcW w:w="765" w:type="pct"/>
            <w:tcBorders>
              <w:bottom w:val="nil"/>
            </w:tcBorders>
            <w:vAlign w:val="center"/>
          </w:tcPr>
          <w:p w:rsidR="009434AF" w:rsidRPr="00587CFB" w:rsidRDefault="009434AF" w:rsidP="00842A14">
            <w:pPr>
              <w:pStyle w:val="TableHeading"/>
              <w:jc w:val="center"/>
              <w:rPr>
                <w:rFonts w:cs="Arial"/>
                <w:sz w:val="20"/>
                <w:szCs w:val="20"/>
              </w:rPr>
            </w:pPr>
          </w:p>
        </w:tc>
        <w:tc>
          <w:tcPr>
            <w:tcW w:w="389" w:type="pct"/>
            <w:tcBorders>
              <w:bottom w:val="nil"/>
            </w:tcBorders>
            <w:textDirection w:val="btLr"/>
            <w:vAlign w:val="center"/>
            <w:hideMark/>
          </w:tcPr>
          <w:p w:rsidR="009434AF" w:rsidRPr="00587CFB" w:rsidRDefault="009434AF" w:rsidP="00842A1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6" w:type="pct"/>
            <w:tcBorders>
              <w:bottom w:val="nil"/>
            </w:tcBorders>
            <w:textDirection w:val="btLr"/>
            <w:vAlign w:val="center"/>
            <w:hideMark/>
          </w:tcPr>
          <w:p w:rsidR="009434AF" w:rsidRPr="00587CFB" w:rsidRDefault="009434AF" w:rsidP="00842A14">
            <w:pPr>
              <w:ind w:left="113" w:right="113"/>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textDirection w:val="btLr"/>
            <w:vAlign w:val="center"/>
            <w:hideMark/>
          </w:tcPr>
          <w:p w:rsidR="009434AF" w:rsidRPr="00587CFB" w:rsidRDefault="009434AF" w:rsidP="00842A1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tcPr>
          <w:p w:rsidR="009434AF" w:rsidRPr="00587CFB" w:rsidRDefault="009434AF" w:rsidP="00842A14">
            <w:pPr>
              <w:ind w:left="113" w:right="113"/>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textDirection w:val="btLr"/>
            <w:vAlign w:val="center"/>
          </w:tcPr>
          <w:p w:rsidR="009434AF" w:rsidRPr="00587CFB" w:rsidRDefault="009434AF" w:rsidP="00842A1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3" w:type="pct"/>
            <w:tcBorders>
              <w:bottom w:val="nil"/>
            </w:tcBorders>
            <w:textDirection w:val="btLr"/>
            <w:vAlign w:val="center"/>
          </w:tcPr>
          <w:p w:rsidR="009434AF" w:rsidRPr="00587CFB" w:rsidRDefault="009434AF" w:rsidP="00842A14">
            <w:pPr>
              <w:ind w:left="113" w:right="113"/>
              <w:jc w:val="center"/>
              <w:rPr>
                <w:rFonts w:cs="Arial"/>
                <w:bCs/>
                <w:color w:val="FFFFFF"/>
                <w:sz w:val="14"/>
                <w:szCs w:val="20"/>
                <w:highlight w:val="cyan"/>
              </w:rPr>
            </w:pPr>
            <w:r>
              <w:rPr>
                <w:rFonts w:cs="Arial"/>
                <w:bCs/>
                <w:color w:val="FFFFFF"/>
                <w:sz w:val="14"/>
                <w:szCs w:val="20"/>
              </w:rPr>
              <w:t>Quantity</w:t>
            </w:r>
          </w:p>
        </w:tc>
        <w:tc>
          <w:tcPr>
            <w:tcW w:w="314" w:type="pct"/>
            <w:tcBorders>
              <w:bottom w:val="nil"/>
            </w:tcBorders>
            <w:textDirection w:val="btLr"/>
            <w:vAlign w:val="center"/>
          </w:tcPr>
          <w:p w:rsidR="009434AF" w:rsidRPr="00587CFB" w:rsidRDefault="009434AF" w:rsidP="00842A1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tcPr>
          <w:p w:rsidR="009434AF" w:rsidRPr="00587CFB" w:rsidRDefault="009434AF" w:rsidP="00842A14">
            <w:pPr>
              <w:ind w:left="113" w:right="113"/>
              <w:jc w:val="center"/>
              <w:rPr>
                <w:rFonts w:cs="Arial"/>
                <w:bCs/>
                <w:color w:val="FFFFFF"/>
                <w:sz w:val="14"/>
                <w:szCs w:val="20"/>
                <w:highlight w:val="cyan"/>
              </w:rPr>
            </w:pPr>
            <w:r>
              <w:rPr>
                <w:rFonts w:cs="Arial"/>
                <w:bCs/>
                <w:color w:val="FFFFFF"/>
                <w:sz w:val="14"/>
                <w:szCs w:val="20"/>
              </w:rPr>
              <w:t>Quantity</w:t>
            </w:r>
          </w:p>
        </w:tc>
        <w:tc>
          <w:tcPr>
            <w:tcW w:w="328" w:type="pct"/>
            <w:tcBorders>
              <w:bottom w:val="nil"/>
            </w:tcBorders>
            <w:textDirection w:val="btLr"/>
            <w:vAlign w:val="center"/>
          </w:tcPr>
          <w:p w:rsidR="009434AF" w:rsidRPr="00587CFB" w:rsidRDefault="009434AF" w:rsidP="00842A1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91" w:type="pct"/>
            <w:tcBorders>
              <w:bottom w:val="nil"/>
            </w:tcBorders>
            <w:textDirection w:val="btLr"/>
            <w:vAlign w:val="center"/>
          </w:tcPr>
          <w:p w:rsidR="009434AF" w:rsidRPr="00587CFB" w:rsidRDefault="009434AF" w:rsidP="00842A14">
            <w:pPr>
              <w:ind w:left="113" w:right="113"/>
              <w:jc w:val="center"/>
              <w:rPr>
                <w:rFonts w:cs="Arial"/>
                <w:bCs/>
                <w:color w:val="FFFFFF"/>
                <w:sz w:val="14"/>
                <w:szCs w:val="20"/>
                <w:highlight w:val="cyan"/>
              </w:rPr>
            </w:pPr>
            <w:r>
              <w:rPr>
                <w:rFonts w:cs="Arial"/>
                <w:bCs/>
                <w:color w:val="FFFFFF"/>
                <w:sz w:val="14"/>
                <w:szCs w:val="20"/>
              </w:rPr>
              <w:t>Quantity</w:t>
            </w:r>
          </w:p>
        </w:tc>
        <w:tc>
          <w:tcPr>
            <w:tcW w:w="340" w:type="pct"/>
            <w:tcBorders>
              <w:bottom w:val="nil"/>
            </w:tcBorders>
            <w:textDirection w:val="btLr"/>
            <w:vAlign w:val="center"/>
          </w:tcPr>
          <w:p w:rsidR="009434AF" w:rsidRPr="00587CFB" w:rsidRDefault="009434AF" w:rsidP="00842A14">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92" w:type="pct"/>
            <w:tcBorders>
              <w:bottom w:val="nil"/>
            </w:tcBorders>
            <w:textDirection w:val="btLr"/>
            <w:vAlign w:val="center"/>
          </w:tcPr>
          <w:p w:rsidR="009434AF" w:rsidRPr="00587CFB" w:rsidRDefault="009434AF" w:rsidP="00842A14">
            <w:pPr>
              <w:ind w:left="113" w:right="113"/>
              <w:jc w:val="center"/>
              <w:rPr>
                <w:rFonts w:cs="Arial"/>
                <w:bCs/>
                <w:color w:val="FFFFFF"/>
                <w:sz w:val="14"/>
                <w:szCs w:val="20"/>
                <w:highlight w:val="cyan"/>
              </w:rPr>
            </w:pPr>
            <w:r>
              <w:rPr>
                <w:rFonts w:cs="Arial"/>
                <w:bCs/>
                <w:color w:val="FFFFFF"/>
                <w:sz w:val="14"/>
                <w:szCs w:val="20"/>
              </w:rPr>
              <w:t>Quantity</w:t>
            </w:r>
          </w:p>
        </w:tc>
      </w:tr>
      <w:tr w:rsidR="00BF2669" w:rsidTr="00842A14">
        <w:trPr>
          <w:trHeight w:val="510"/>
        </w:trPr>
        <w:tc>
          <w:tcPr>
            <w:tcW w:w="765" w:type="pct"/>
            <w:tcBorders>
              <w:top w:val="nil"/>
              <w:bottom w:val="nil"/>
            </w:tcBorders>
            <w:vAlign w:val="center"/>
          </w:tcPr>
          <w:p w:rsidR="00BF2669" w:rsidRPr="000B4AD5" w:rsidRDefault="00BF2669" w:rsidP="00842A14">
            <w:pPr>
              <w:rPr>
                <w:rFonts w:cs="Arial"/>
                <w:b/>
                <w:bCs/>
                <w:sz w:val="16"/>
                <w:szCs w:val="20"/>
              </w:rPr>
            </w:pPr>
            <w:r w:rsidRPr="000B4AD5">
              <w:rPr>
                <w:rFonts w:cs="Arial"/>
                <w:b/>
                <w:bCs/>
                <w:sz w:val="16"/>
                <w:szCs w:val="20"/>
              </w:rPr>
              <w:t>Balance of day</w:t>
            </w:r>
          </w:p>
        </w:tc>
        <w:tc>
          <w:tcPr>
            <w:tcW w:w="389"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10.50</w:t>
            </w:r>
          </w:p>
        </w:tc>
        <w:tc>
          <w:tcPr>
            <w:tcW w:w="346"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5.0</w:t>
            </w:r>
          </w:p>
        </w:tc>
        <w:tc>
          <w:tcPr>
            <w:tcW w:w="355"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10.35</w:t>
            </w:r>
          </w:p>
        </w:tc>
        <w:tc>
          <w:tcPr>
            <w:tcW w:w="341"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8.8</w:t>
            </w:r>
          </w:p>
        </w:tc>
        <w:tc>
          <w:tcPr>
            <w:tcW w:w="355"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43"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14"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41"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28"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91"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40"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92"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r>
      <w:tr w:rsidR="00BF2669" w:rsidTr="00842A14">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BF2669" w:rsidRPr="000B4AD5" w:rsidRDefault="00BF2669" w:rsidP="00842A14">
            <w:pPr>
              <w:rPr>
                <w:rFonts w:cs="Arial"/>
                <w:b/>
                <w:bCs/>
                <w:sz w:val="16"/>
                <w:szCs w:val="20"/>
              </w:rPr>
            </w:pPr>
            <w:r w:rsidRPr="000B4AD5">
              <w:rPr>
                <w:rFonts w:cs="Arial"/>
                <w:b/>
                <w:bCs/>
                <w:sz w:val="16"/>
                <w:szCs w:val="20"/>
              </w:rPr>
              <w:t>Daily</w:t>
            </w:r>
          </w:p>
        </w:tc>
        <w:tc>
          <w:tcPr>
            <w:tcW w:w="389" w:type="pct"/>
            <w:tcBorders>
              <w:top w:val="nil"/>
              <w:bottom w:val="nil"/>
            </w:tcBorders>
            <w:vAlign w:val="center"/>
          </w:tcPr>
          <w:p w:rsidR="00BF2669" w:rsidRDefault="00BF2669" w:rsidP="00BF2669">
            <w:pPr>
              <w:ind w:left="-115" w:right="-102"/>
              <w:jc w:val="center"/>
              <w:rPr>
                <w:rFonts w:cs="Arial"/>
                <w:szCs w:val="20"/>
              </w:rPr>
            </w:pPr>
            <w:r>
              <w:rPr>
                <w:rFonts w:cs="Arial"/>
                <w:szCs w:val="20"/>
              </w:rPr>
              <w:t>8.25</w:t>
            </w:r>
          </w:p>
        </w:tc>
        <w:tc>
          <w:tcPr>
            <w:tcW w:w="346" w:type="pct"/>
            <w:tcBorders>
              <w:top w:val="nil"/>
              <w:bottom w:val="nil"/>
            </w:tcBorders>
            <w:vAlign w:val="center"/>
          </w:tcPr>
          <w:p w:rsidR="00BF2669" w:rsidRDefault="00BF2669" w:rsidP="00BF2669">
            <w:pPr>
              <w:ind w:left="-115" w:right="-102"/>
              <w:jc w:val="center"/>
              <w:rPr>
                <w:rFonts w:cs="Arial"/>
                <w:szCs w:val="20"/>
              </w:rPr>
            </w:pPr>
            <w:r>
              <w:rPr>
                <w:rFonts w:cs="Arial"/>
                <w:szCs w:val="20"/>
              </w:rPr>
              <w:t>2.0</w:t>
            </w:r>
          </w:p>
        </w:tc>
        <w:tc>
          <w:tcPr>
            <w:tcW w:w="355"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41"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55"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43"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14"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41"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28"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91"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40"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92"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r>
      <w:tr w:rsidR="00BF2669" w:rsidTr="00842A14">
        <w:trPr>
          <w:trHeight w:val="510"/>
        </w:trPr>
        <w:tc>
          <w:tcPr>
            <w:tcW w:w="765" w:type="pct"/>
            <w:tcBorders>
              <w:top w:val="nil"/>
              <w:bottom w:val="nil"/>
            </w:tcBorders>
            <w:vAlign w:val="center"/>
          </w:tcPr>
          <w:p w:rsidR="00BF2669" w:rsidRPr="000B4AD5" w:rsidRDefault="00BF2669" w:rsidP="00842A14">
            <w:pPr>
              <w:rPr>
                <w:rFonts w:cs="Arial"/>
                <w:b/>
                <w:bCs/>
                <w:sz w:val="16"/>
                <w:szCs w:val="20"/>
              </w:rPr>
            </w:pPr>
            <w:r w:rsidRPr="000B4AD5">
              <w:rPr>
                <w:rFonts w:cs="Arial"/>
                <w:b/>
                <w:bCs/>
                <w:sz w:val="16"/>
                <w:szCs w:val="20"/>
              </w:rPr>
              <w:t>Day ahead</w:t>
            </w:r>
          </w:p>
        </w:tc>
        <w:tc>
          <w:tcPr>
            <w:tcW w:w="389"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8.32</w:t>
            </w:r>
          </w:p>
        </w:tc>
        <w:tc>
          <w:tcPr>
            <w:tcW w:w="346"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6.0</w:t>
            </w:r>
          </w:p>
        </w:tc>
        <w:tc>
          <w:tcPr>
            <w:tcW w:w="355"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10.50</w:t>
            </w:r>
          </w:p>
        </w:tc>
        <w:tc>
          <w:tcPr>
            <w:tcW w:w="341"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5.0</w:t>
            </w:r>
          </w:p>
        </w:tc>
        <w:tc>
          <w:tcPr>
            <w:tcW w:w="355"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43"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14"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41"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28"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91"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40"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c>
          <w:tcPr>
            <w:tcW w:w="392" w:type="pct"/>
            <w:tcBorders>
              <w:top w:val="nil"/>
              <w:bottom w:val="nil"/>
            </w:tcBorders>
            <w:vAlign w:val="center"/>
          </w:tcPr>
          <w:p w:rsidR="00BF2669" w:rsidRDefault="00BF2669" w:rsidP="00BF2669">
            <w:pPr>
              <w:ind w:left="-115" w:right="-102"/>
              <w:jc w:val="center"/>
              <w:rPr>
                <w:rFonts w:cs="Arial"/>
                <w:sz w:val="20"/>
                <w:szCs w:val="20"/>
              </w:rPr>
            </w:pPr>
            <w:r>
              <w:rPr>
                <w:rFonts w:cs="Arial"/>
                <w:sz w:val="20"/>
                <w:szCs w:val="20"/>
              </w:rPr>
              <w:t>-</w:t>
            </w:r>
          </w:p>
        </w:tc>
      </w:tr>
      <w:tr w:rsidR="00BF2669" w:rsidTr="00842A14">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BF2669" w:rsidRPr="000B4AD5" w:rsidRDefault="00BF2669" w:rsidP="00842A14">
            <w:pPr>
              <w:rPr>
                <w:rFonts w:cs="Arial"/>
                <w:b/>
                <w:bCs/>
                <w:sz w:val="16"/>
                <w:szCs w:val="20"/>
              </w:rPr>
            </w:pPr>
            <w:r w:rsidRPr="000B4AD5">
              <w:rPr>
                <w:rFonts w:cs="Arial"/>
                <w:b/>
                <w:bCs/>
                <w:sz w:val="16"/>
                <w:szCs w:val="20"/>
              </w:rPr>
              <w:t>Weekly</w:t>
            </w:r>
          </w:p>
        </w:tc>
        <w:tc>
          <w:tcPr>
            <w:tcW w:w="389" w:type="pct"/>
            <w:tcBorders>
              <w:top w:val="nil"/>
              <w:bottom w:val="nil"/>
            </w:tcBorders>
            <w:vAlign w:val="center"/>
          </w:tcPr>
          <w:p w:rsidR="00BF2669" w:rsidRDefault="00BF2669" w:rsidP="00BF2669">
            <w:pPr>
              <w:ind w:left="-115" w:right="-102"/>
              <w:jc w:val="center"/>
              <w:rPr>
                <w:rFonts w:cs="Arial"/>
                <w:szCs w:val="20"/>
              </w:rPr>
            </w:pPr>
            <w:r>
              <w:rPr>
                <w:rFonts w:cs="Arial"/>
                <w:szCs w:val="20"/>
              </w:rPr>
              <w:t>7.75</w:t>
            </w:r>
          </w:p>
        </w:tc>
        <w:tc>
          <w:tcPr>
            <w:tcW w:w="346" w:type="pct"/>
            <w:tcBorders>
              <w:top w:val="nil"/>
              <w:bottom w:val="nil"/>
            </w:tcBorders>
            <w:vAlign w:val="center"/>
          </w:tcPr>
          <w:p w:rsidR="00BF2669" w:rsidRDefault="00BF2669" w:rsidP="00BF2669">
            <w:pPr>
              <w:ind w:left="-115" w:right="-102"/>
              <w:jc w:val="center"/>
              <w:rPr>
                <w:rFonts w:cs="Arial"/>
                <w:szCs w:val="20"/>
              </w:rPr>
            </w:pPr>
            <w:r>
              <w:rPr>
                <w:rFonts w:cs="Arial"/>
                <w:szCs w:val="20"/>
              </w:rPr>
              <w:t>21.0</w:t>
            </w:r>
          </w:p>
        </w:tc>
        <w:tc>
          <w:tcPr>
            <w:tcW w:w="355"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41"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55"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43"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14"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41"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28"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91" w:type="pct"/>
            <w:tcBorders>
              <w:top w:val="nil"/>
              <w:bottom w:val="nil"/>
            </w:tcBorders>
            <w:vAlign w:val="center"/>
          </w:tcPr>
          <w:p w:rsidR="00BF2669" w:rsidRDefault="00BF2669" w:rsidP="00BF2669">
            <w:pPr>
              <w:ind w:left="-115" w:right="-102"/>
              <w:jc w:val="center"/>
              <w:rPr>
                <w:rFonts w:cs="Arial"/>
                <w:szCs w:val="20"/>
              </w:rPr>
            </w:pPr>
            <w:r>
              <w:rPr>
                <w:rFonts w:cs="Arial"/>
                <w:szCs w:val="20"/>
              </w:rPr>
              <w:t>-</w:t>
            </w:r>
          </w:p>
        </w:tc>
        <w:tc>
          <w:tcPr>
            <w:tcW w:w="340" w:type="pct"/>
            <w:tcBorders>
              <w:top w:val="nil"/>
              <w:bottom w:val="nil"/>
            </w:tcBorders>
            <w:vAlign w:val="center"/>
          </w:tcPr>
          <w:p w:rsidR="00BF2669" w:rsidRDefault="00BF2669" w:rsidP="00BF2669">
            <w:pPr>
              <w:ind w:left="-115" w:right="-102"/>
              <w:jc w:val="center"/>
              <w:rPr>
                <w:rFonts w:cs="Arial"/>
                <w:szCs w:val="20"/>
              </w:rPr>
            </w:pPr>
            <w:r>
              <w:rPr>
                <w:rFonts w:cs="Arial"/>
                <w:szCs w:val="20"/>
              </w:rPr>
              <w:t>8.25</w:t>
            </w:r>
          </w:p>
        </w:tc>
        <w:tc>
          <w:tcPr>
            <w:tcW w:w="392" w:type="pct"/>
            <w:tcBorders>
              <w:top w:val="nil"/>
              <w:bottom w:val="nil"/>
            </w:tcBorders>
            <w:vAlign w:val="center"/>
          </w:tcPr>
          <w:p w:rsidR="00BF2669" w:rsidRDefault="00BF2669" w:rsidP="00BF2669">
            <w:pPr>
              <w:ind w:left="-115" w:right="-102"/>
              <w:jc w:val="center"/>
              <w:rPr>
                <w:rFonts w:cs="Arial"/>
                <w:szCs w:val="20"/>
              </w:rPr>
            </w:pPr>
            <w:r>
              <w:rPr>
                <w:rFonts w:cs="Arial"/>
                <w:szCs w:val="20"/>
              </w:rPr>
              <w:t>14.0</w:t>
            </w:r>
          </w:p>
        </w:tc>
      </w:tr>
      <w:tr w:rsidR="00BF2669" w:rsidTr="00842A14">
        <w:trPr>
          <w:trHeight w:val="510"/>
        </w:trPr>
        <w:tc>
          <w:tcPr>
            <w:tcW w:w="765" w:type="pct"/>
            <w:tcBorders>
              <w:top w:val="nil"/>
              <w:bottom w:val="single" w:sz="4" w:space="0" w:color="auto"/>
            </w:tcBorders>
            <w:vAlign w:val="center"/>
          </w:tcPr>
          <w:p w:rsidR="00BF2669" w:rsidRPr="000B4AD5" w:rsidRDefault="00BF2669" w:rsidP="00842A14">
            <w:pPr>
              <w:rPr>
                <w:rFonts w:cs="Arial"/>
                <w:b/>
                <w:bCs/>
                <w:sz w:val="16"/>
                <w:szCs w:val="20"/>
              </w:rPr>
            </w:pPr>
            <w:r w:rsidRPr="000B4AD5">
              <w:rPr>
                <w:rFonts w:cs="Arial"/>
                <w:b/>
                <w:bCs/>
                <w:sz w:val="16"/>
                <w:szCs w:val="20"/>
              </w:rPr>
              <w:t>Monthly</w:t>
            </w:r>
          </w:p>
        </w:tc>
        <w:tc>
          <w:tcPr>
            <w:tcW w:w="389"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c>
          <w:tcPr>
            <w:tcW w:w="346"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c>
          <w:tcPr>
            <w:tcW w:w="343"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c>
          <w:tcPr>
            <w:tcW w:w="314"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c>
          <w:tcPr>
            <w:tcW w:w="328"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c>
          <w:tcPr>
            <w:tcW w:w="391"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c>
          <w:tcPr>
            <w:tcW w:w="340"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c>
          <w:tcPr>
            <w:tcW w:w="392" w:type="pct"/>
            <w:tcBorders>
              <w:top w:val="nil"/>
              <w:bottom w:val="single" w:sz="4" w:space="0" w:color="auto"/>
            </w:tcBorders>
            <w:vAlign w:val="center"/>
          </w:tcPr>
          <w:p w:rsidR="00BF2669" w:rsidRDefault="00BF2669" w:rsidP="00BF2669">
            <w:pPr>
              <w:ind w:left="-115" w:right="-102"/>
              <w:jc w:val="center"/>
              <w:rPr>
                <w:rFonts w:cs="Arial"/>
                <w:sz w:val="20"/>
                <w:szCs w:val="20"/>
              </w:rPr>
            </w:pPr>
            <w:r>
              <w:rPr>
                <w:rFonts w:cs="Arial"/>
                <w:sz w:val="20"/>
                <w:szCs w:val="20"/>
              </w:rPr>
              <w:t>-</w:t>
            </w:r>
          </w:p>
        </w:tc>
      </w:tr>
    </w:tbl>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587CFB">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BF2669" w:rsidP="00E16EDC">
      <w:r w:rsidRPr="00BF2669">
        <w:rPr>
          <w:noProof/>
          <w:lang w:eastAsia="en-AU"/>
        </w:rPr>
        <w:drawing>
          <wp:inline distT="0" distB="0" distL="0" distR="0" wp14:anchorId="6C610430" wp14:editId="60EA9993">
            <wp:extent cx="5724524" cy="2238375"/>
            <wp:effectExtent l="0" t="0" r="0" b="0"/>
            <wp:docPr id="6" name="Picture 6" descr="Figure 5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241107"/>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9A554D" w:rsidRPr="00146B2B" w:rsidRDefault="008641F5" w:rsidP="00E940D9">
      <w:pPr>
        <w:jc w:val="both"/>
      </w:pPr>
      <w:r w:rsidRPr="00146B2B">
        <w:t xml:space="preserve">On 24 December, the 2 pm schedule price in Victoria increased to $15.99/GJ following </w:t>
      </w:r>
      <w:r w:rsidR="002C3995" w:rsidRPr="00146B2B">
        <w:t xml:space="preserve">the revision of a constraint applied to injections </w:t>
      </w:r>
      <w:r w:rsidR="00AD1234" w:rsidRPr="00146B2B">
        <w:t>at</w:t>
      </w:r>
      <w:r w:rsidR="002C3995" w:rsidRPr="00146B2B">
        <w:t xml:space="preserve"> the</w:t>
      </w:r>
      <w:r w:rsidRPr="00146B2B">
        <w:t xml:space="preserve"> Longford</w:t>
      </w:r>
      <w:r w:rsidR="00A73A84" w:rsidRPr="00146B2B">
        <w:t xml:space="preserve"> </w:t>
      </w:r>
      <w:r w:rsidR="002C3995" w:rsidRPr="00146B2B">
        <w:t>Gas Plant</w:t>
      </w:r>
      <w:r w:rsidRPr="00146B2B">
        <w:t xml:space="preserve"> from 270 TJ/day to 150.7 TJ/day.</w:t>
      </w:r>
      <w:r w:rsidR="00A73A84" w:rsidRPr="00146B2B">
        <w:t xml:space="preserve"> </w:t>
      </w:r>
      <w:r w:rsidR="00AD1234" w:rsidRPr="00146B2B">
        <w:t>C</w:t>
      </w:r>
      <w:r w:rsidR="0091352B" w:rsidRPr="00146B2B">
        <w:t>onstraint</w:t>
      </w:r>
      <w:r w:rsidR="00AD1234" w:rsidRPr="00146B2B">
        <w:t>s were applied to Longford injections between 15 and 24 December</w:t>
      </w:r>
      <w:r w:rsidR="002C3995" w:rsidRPr="00146B2B">
        <w:t xml:space="preserve"> due to planned maintenance</w:t>
      </w:r>
      <w:r w:rsidR="00AD1234" w:rsidRPr="00146B2B">
        <w:t xml:space="preserve"> works at the gas plant</w:t>
      </w:r>
      <w:r w:rsidR="00A03FE6" w:rsidRPr="00146B2B">
        <w:t>.</w:t>
      </w:r>
    </w:p>
    <w:p w:rsidR="00E940D9" w:rsidRDefault="00E940D9" w:rsidP="00E940D9">
      <w:pPr>
        <w:jc w:val="both"/>
      </w:pPr>
      <w:r w:rsidRPr="00895032">
        <w:t>Over forecast</w:t>
      </w:r>
      <w:r>
        <w:t>ing</w:t>
      </w:r>
      <w:r w:rsidRPr="00895032">
        <w:t xml:space="preserve"> in </w:t>
      </w:r>
      <w:r>
        <w:t xml:space="preserve">the </w:t>
      </w:r>
      <w:r w:rsidRPr="00895032">
        <w:t xml:space="preserve">Sydney </w:t>
      </w:r>
      <w:r>
        <w:t xml:space="preserve">hub on 2 days this week </w:t>
      </w:r>
      <w:r w:rsidRPr="00895032">
        <w:t xml:space="preserve">led to MOS </w:t>
      </w:r>
      <w:r>
        <w:t>service payments of around $68 400 (13.6 TJ hub demand error on 22 December) and $148 400 (22.6 TJ hub demand error on 23 December).</w:t>
      </w:r>
      <w:r w:rsidR="008641F5">
        <w:t xml:space="preserve"> The large negative imbalance also saw the ex post price decrease to $6.92/GJ (from $9.10/GJ ex ante, see figure 2.1).</w:t>
      </w:r>
    </w:p>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BF2669" w:rsidP="003171C6">
      <w:r w:rsidRPr="00BF2669">
        <w:rPr>
          <w:noProof/>
          <w:lang w:eastAsia="en-AU"/>
        </w:rPr>
        <w:drawing>
          <wp:inline distT="0" distB="0" distL="0" distR="0" wp14:anchorId="0BB62283" wp14:editId="6556C491">
            <wp:extent cx="5731510" cy="1650203"/>
            <wp:effectExtent l="0" t="0" r="2540" b="7620"/>
            <wp:docPr id="8" name="Picture 8" descr="Figure 1.1 shows the five Victorian schedule prices for each day this week. The marker indicates the daily imbalance weighted average price for each day. For a more detailed description of this figure, please refer to the user guide.    &#10;    &#10;" title=" 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BF2669" w:rsidP="003171C6">
      <w:r w:rsidRPr="00BF2669">
        <w:rPr>
          <w:noProof/>
          <w:lang w:eastAsia="en-AU"/>
        </w:rPr>
        <w:drawing>
          <wp:inline distT="0" distB="0" distL="0" distR="0" wp14:anchorId="7211FF24" wp14:editId="3775EF8E">
            <wp:extent cx="5731510" cy="2132322"/>
            <wp:effectExtent l="0" t="0" r="2540" b="1905"/>
            <wp:docPr id="9" name="Picture 9"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BF2669" w:rsidP="003171C6">
      <w:r w:rsidRPr="00BF2669">
        <w:rPr>
          <w:noProof/>
          <w:lang w:eastAsia="en-AU"/>
        </w:rPr>
        <w:drawing>
          <wp:inline distT="0" distB="0" distL="0" distR="0" wp14:anchorId="62D51D6C" wp14:editId="24D6A974">
            <wp:extent cx="5731510" cy="2486687"/>
            <wp:effectExtent l="0" t="0" r="2540" b="8890"/>
            <wp:docPr id="13" name="Picture 13" descr="Figure 1.3 shows the injection bids within certain price bands for each trading interval in Victoria this week. For a more detailed description of this figure, please refer to the user guide." title="Injection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BF2669" w:rsidP="003171C6">
      <w:r w:rsidRPr="00BF2669">
        <w:rPr>
          <w:noProof/>
          <w:lang w:eastAsia="en-AU"/>
        </w:rPr>
        <w:drawing>
          <wp:inline distT="0" distB="0" distL="0" distR="0" wp14:anchorId="048FFA88" wp14:editId="228AE41D">
            <wp:extent cx="5731510" cy="1958582"/>
            <wp:effectExtent l="0" t="0" r="2540" b="3810"/>
            <wp:docPr id="14" name="Picture 14"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BF2669" w:rsidP="003171C6">
      <w:r w:rsidRPr="00BF2669">
        <w:rPr>
          <w:noProof/>
          <w:lang w:eastAsia="en-AU"/>
        </w:rPr>
        <w:drawing>
          <wp:inline distT="0" distB="0" distL="0" distR="0" wp14:anchorId="6309DAB8" wp14:editId="0C18B16B">
            <wp:extent cx="5731510" cy="2142691"/>
            <wp:effectExtent l="0" t="0" r="2540" b="0"/>
            <wp:docPr id="15" name="Picture 15" descr="Figure 1.5 shows the metered injections sorted by facility for each 4 hour interval in Victoria this week. For a more detailed description of this figure, please refer to the user guide." title="Metered injections by system injec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BF2669" w:rsidRPr="00405CDE" w:rsidTr="00A226E9">
        <w:trPr>
          <w:trHeight w:val="510"/>
        </w:trPr>
        <w:tc>
          <w:tcPr>
            <w:tcW w:w="1211" w:type="pct"/>
            <w:tcBorders>
              <w:top w:val="nil"/>
              <w:bottom w:val="nil"/>
            </w:tcBorders>
            <w:vAlign w:val="center"/>
          </w:tcPr>
          <w:p w:rsidR="00BF2669" w:rsidRDefault="00BF2669">
            <w:pPr>
              <w:rPr>
                <w:rFonts w:cs="Arial"/>
                <w:sz w:val="20"/>
                <w:szCs w:val="20"/>
              </w:rPr>
            </w:pPr>
            <w:r>
              <w:rPr>
                <w:rFonts w:cs="Arial"/>
                <w:sz w:val="20"/>
                <w:szCs w:val="20"/>
              </w:rPr>
              <w:t>Ex ante price ($/GJ)</w:t>
            </w:r>
          </w:p>
        </w:tc>
        <w:tc>
          <w:tcPr>
            <w:tcW w:w="580" w:type="pct"/>
            <w:tcBorders>
              <w:top w:val="nil"/>
              <w:bottom w:val="nil"/>
            </w:tcBorders>
            <w:vAlign w:val="center"/>
          </w:tcPr>
          <w:p w:rsidR="00BF2669" w:rsidRDefault="00BF2669">
            <w:pPr>
              <w:jc w:val="center"/>
              <w:rPr>
                <w:rFonts w:cs="Arial"/>
                <w:sz w:val="20"/>
                <w:szCs w:val="20"/>
              </w:rPr>
            </w:pPr>
            <w:r>
              <w:rPr>
                <w:rFonts w:cs="Arial"/>
                <w:sz w:val="20"/>
                <w:szCs w:val="20"/>
              </w:rPr>
              <w:t>9.49</w:t>
            </w:r>
          </w:p>
        </w:tc>
        <w:tc>
          <w:tcPr>
            <w:tcW w:w="508" w:type="pct"/>
            <w:tcBorders>
              <w:top w:val="nil"/>
              <w:bottom w:val="nil"/>
            </w:tcBorders>
            <w:vAlign w:val="center"/>
          </w:tcPr>
          <w:p w:rsidR="00BF2669" w:rsidRDefault="00BF2669">
            <w:pPr>
              <w:jc w:val="center"/>
              <w:rPr>
                <w:rFonts w:cs="Arial"/>
                <w:sz w:val="20"/>
                <w:szCs w:val="20"/>
              </w:rPr>
            </w:pPr>
            <w:r>
              <w:rPr>
                <w:rFonts w:cs="Arial"/>
                <w:sz w:val="20"/>
                <w:szCs w:val="20"/>
              </w:rPr>
              <w:t>9.99</w:t>
            </w:r>
          </w:p>
        </w:tc>
        <w:tc>
          <w:tcPr>
            <w:tcW w:w="589" w:type="pct"/>
            <w:tcBorders>
              <w:top w:val="nil"/>
              <w:bottom w:val="nil"/>
            </w:tcBorders>
            <w:vAlign w:val="center"/>
          </w:tcPr>
          <w:p w:rsidR="00BF2669" w:rsidRDefault="00BF2669">
            <w:pPr>
              <w:jc w:val="center"/>
              <w:rPr>
                <w:rFonts w:cs="Arial"/>
                <w:sz w:val="20"/>
                <w:szCs w:val="20"/>
              </w:rPr>
            </w:pPr>
            <w:r>
              <w:rPr>
                <w:rFonts w:cs="Arial"/>
                <w:sz w:val="20"/>
                <w:szCs w:val="20"/>
              </w:rPr>
              <w:t>9.79</w:t>
            </w:r>
          </w:p>
        </w:tc>
        <w:tc>
          <w:tcPr>
            <w:tcW w:w="517" w:type="pct"/>
            <w:tcBorders>
              <w:top w:val="nil"/>
              <w:bottom w:val="nil"/>
            </w:tcBorders>
            <w:vAlign w:val="center"/>
          </w:tcPr>
          <w:p w:rsidR="00BF2669" w:rsidRDefault="00BF2669">
            <w:pPr>
              <w:jc w:val="center"/>
              <w:rPr>
                <w:rFonts w:cs="Arial"/>
                <w:sz w:val="20"/>
                <w:szCs w:val="20"/>
              </w:rPr>
            </w:pPr>
            <w:r>
              <w:rPr>
                <w:rFonts w:cs="Arial"/>
                <w:sz w:val="20"/>
                <w:szCs w:val="20"/>
              </w:rPr>
              <w:t>9.67</w:t>
            </w:r>
          </w:p>
        </w:tc>
        <w:tc>
          <w:tcPr>
            <w:tcW w:w="510" w:type="pct"/>
            <w:tcBorders>
              <w:top w:val="nil"/>
              <w:bottom w:val="nil"/>
            </w:tcBorders>
            <w:vAlign w:val="center"/>
          </w:tcPr>
          <w:p w:rsidR="00BF2669" w:rsidRDefault="00BF2669">
            <w:pPr>
              <w:jc w:val="center"/>
              <w:rPr>
                <w:rFonts w:cs="Arial"/>
                <w:sz w:val="20"/>
                <w:szCs w:val="20"/>
              </w:rPr>
            </w:pPr>
            <w:r>
              <w:rPr>
                <w:rFonts w:cs="Arial"/>
                <w:sz w:val="20"/>
                <w:szCs w:val="20"/>
              </w:rPr>
              <w:t>9.00</w:t>
            </w:r>
          </w:p>
        </w:tc>
        <w:tc>
          <w:tcPr>
            <w:tcW w:w="507" w:type="pct"/>
            <w:tcBorders>
              <w:top w:val="nil"/>
              <w:bottom w:val="nil"/>
            </w:tcBorders>
            <w:vAlign w:val="center"/>
          </w:tcPr>
          <w:p w:rsidR="00BF2669" w:rsidRDefault="00BF2669">
            <w:pPr>
              <w:jc w:val="center"/>
              <w:rPr>
                <w:rFonts w:cs="Arial"/>
                <w:sz w:val="20"/>
                <w:szCs w:val="20"/>
              </w:rPr>
            </w:pPr>
            <w:r>
              <w:rPr>
                <w:rFonts w:cs="Arial"/>
                <w:sz w:val="20"/>
                <w:szCs w:val="20"/>
              </w:rPr>
              <w:t>9.10</w:t>
            </w:r>
          </w:p>
        </w:tc>
        <w:tc>
          <w:tcPr>
            <w:tcW w:w="578" w:type="pct"/>
            <w:tcBorders>
              <w:top w:val="nil"/>
              <w:bottom w:val="nil"/>
            </w:tcBorders>
            <w:vAlign w:val="center"/>
          </w:tcPr>
          <w:p w:rsidR="00BF2669" w:rsidRDefault="00BF2669">
            <w:pPr>
              <w:jc w:val="center"/>
              <w:rPr>
                <w:rFonts w:cs="Arial"/>
                <w:sz w:val="20"/>
                <w:szCs w:val="20"/>
              </w:rPr>
            </w:pPr>
            <w:r>
              <w:rPr>
                <w:rFonts w:cs="Arial"/>
                <w:sz w:val="20"/>
                <w:szCs w:val="20"/>
              </w:rPr>
              <w:t>8.81</w:t>
            </w:r>
          </w:p>
        </w:tc>
      </w:tr>
      <w:tr w:rsidR="00BF266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BF2669" w:rsidRDefault="00BF2669">
            <w:pPr>
              <w:rPr>
                <w:rFonts w:cs="Arial"/>
                <w:szCs w:val="20"/>
              </w:rPr>
            </w:pPr>
            <w:r>
              <w:rPr>
                <w:rFonts w:cs="Arial"/>
                <w:szCs w:val="20"/>
              </w:rPr>
              <w:t>Ex ante quantity (TJ)</w:t>
            </w:r>
          </w:p>
        </w:tc>
        <w:tc>
          <w:tcPr>
            <w:tcW w:w="580" w:type="pct"/>
            <w:tcBorders>
              <w:top w:val="nil"/>
              <w:bottom w:val="nil"/>
            </w:tcBorders>
            <w:vAlign w:val="center"/>
          </w:tcPr>
          <w:p w:rsidR="00BF2669" w:rsidRDefault="00BF2669">
            <w:pPr>
              <w:jc w:val="center"/>
              <w:rPr>
                <w:rFonts w:cs="Arial"/>
                <w:szCs w:val="20"/>
              </w:rPr>
            </w:pPr>
            <w:r>
              <w:rPr>
                <w:rFonts w:cs="Arial"/>
                <w:szCs w:val="20"/>
              </w:rPr>
              <w:t>183</w:t>
            </w:r>
          </w:p>
        </w:tc>
        <w:tc>
          <w:tcPr>
            <w:tcW w:w="508" w:type="pct"/>
            <w:tcBorders>
              <w:top w:val="nil"/>
              <w:bottom w:val="nil"/>
            </w:tcBorders>
            <w:vAlign w:val="center"/>
          </w:tcPr>
          <w:p w:rsidR="00BF2669" w:rsidRDefault="00BF2669">
            <w:pPr>
              <w:jc w:val="center"/>
              <w:rPr>
                <w:rFonts w:cs="Arial"/>
                <w:szCs w:val="20"/>
              </w:rPr>
            </w:pPr>
            <w:r>
              <w:rPr>
                <w:rFonts w:cs="Arial"/>
                <w:szCs w:val="20"/>
              </w:rPr>
              <w:t>218</w:t>
            </w:r>
          </w:p>
        </w:tc>
        <w:tc>
          <w:tcPr>
            <w:tcW w:w="589" w:type="pct"/>
            <w:tcBorders>
              <w:top w:val="nil"/>
              <w:bottom w:val="nil"/>
            </w:tcBorders>
            <w:vAlign w:val="center"/>
          </w:tcPr>
          <w:p w:rsidR="00BF2669" w:rsidRDefault="00BF2669">
            <w:pPr>
              <w:jc w:val="center"/>
              <w:rPr>
                <w:rFonts w:cs="Arial"/>
                <w:szCs w:val="20"/>
              </w:rPr>
            </w:pPr>
            <w:r>
              <w:rPr>
                <w:rFonts w:cs="Arial"/>
                <w:szCs w:val="20"/>
              </w:rPr>
              <w:t>204</w:t>
            </w:r>
          </w:p>
        </w:tc>
        <w:tc>
          <w:tcPr>
            <w:tcW w:w="517" w:type="pct"/>
            <w:tcBorders>
              <w:top w:val="nil"/>
              <w:bottom w:val="nil"/>
            </w:tcBorders>
            <w:vAlign w:val="center"/>
          </w:tcPr>
          <w:p w:rsidR="00BF2669" w:rsidRDefault="00BF2669">
            <w:pPr>
              <w:jc w:val="center"/>
              <w:rPr>
                <w:rFonts w:cs="Arial"/>
                <w:szCs w:val="20"/>
              </w:rPr>
            </w:pPr>
            <w:r>
              <w:rPr>
                <w:rFonts w:cs="Arial"/>
                <w:szCs w:val="20"/>
              </w:rPr>
              <w:t>206</w:t>
            </w:r>
          </w:p>
        </w:tc>
        <w:tc>
          <w:tcPr>
            <w:tcW w:w="510" w:type="pct"/>
            <w:tcBorders>
              <w:top w:val="nil"/>
              <w:bottom w:val="nil"/>
            </w:tcBorders>
            <w:vAlign w:val="center"/>
          </w:tcPr>
          <w:p w:rsidR="00BF2669" w:rsidRDefault="00BF2669">
            <w:pPr>
              <w:jc w:val="center"/>
              <w:rPr>
                <w:rFonts w:cs="Arial"/>
                <w:szCs w:val="20"/>
              </w:rPr>
            </w:pPr>
            <w:r>
              <w:rPr>
                <w:rFonts w:cs="Arial"/>
                <w:szCs w:val="20"/>
              </w:rPr>
              <w:t>210</w:t>
            </w:r>
          </w:p>
        </w:tc>
        <w:tc>
          <w:tcPr>
            <w:tcW w:w="507" w:type="pct"/>
            <w:tcBorders>
              <w:top w:val="nil"/>
              <w:bottom w:val="nil"/>
            </w:tcBorders>
            <w:vAlign w:val="center"/>
          </w:tcPr>
          <w:p w:rsidR="00BF2669" w:rsidRDefault="00BF2669">
            <w:pPr>
              <w:jc w:val="center"/>
              <w:rPr>
                <w:rFonts w:cs="Arial"/>
                <w:szCs w:val="20"/>
              </w:rPr>
            </w:pPr>
            <w:r>
              <w:rPr>
                <w:rFonts w:cs="Arial"/>
                <w:szCs w:val="20"/>
              </w:rPr>
              <w:t>202</w:t>
            </w:r>
          </w:p>
        </w:tc>
        <w:tc>
          <w:tcPr>
            <w:tcW w:w="578" w:type="pct"/>
            <w:tcBorders>
              <w:top w:val="nil"/>
              <w:bottom w:val="nil"/>
            </w:tcBorders>
            <w:vAlign w:val="center"/>
          </w:tcPr>
          <w:p w:rsidR="00BF2669" w:rsidRDefault="00BF2669">
            <w:pPr>
              <w:jc w:val="center"/>
              <w:rPr>
                <w:rFonts w:cs="Arial"/>
                <w:szCs w:val="20"/>
              </w:rPr>
            </w:pPr>
            <w:r>
              <w:rPr>
                <w:rFonts w:cs="Arial"/>
                <w:szCs w:val="20"/>
              </w:rPr>
              <w:t>167</w:t>
            </w:r>
          </w:p>
        </w:tc>
      </w:tr>
      <w:tr w:rsidR="00BF2669" w:rsidRPr="00405CDE" w:rsidTr="00A226E9">
        <w:trPr>
          <w:trHeight w:val="510"/>
        </w:trPr>
        <w:tc>
          <w:tcPr>
            <w:tcW w:w="1211" w:type="pct"/>
            <w:tcBorders>
              <w:top w:val="nil"/>
              <w:bottom w:val="nil"/>
            </w:tcBorders>
            <w:vAlign w:val="center"/>
          </w:tcPr>
          <w:p w:rsidR="00BF2669" w:rsidRDefault="00BF2669">
            <w:pPr>
              <w:rPr>
                <w:rFonts w:cs="Arial"/>
                <w:sz w:val="20"/>
                <w:szCs w:val="20"/>
              </w:rPr>
            </w:pPr>
            <w:r>
              <w:rPr>
                <w:rFonts w:cs="Arial"/>
                <w:sz w:val="20"/>
                <w:szCs w:val="20"/>
              </w:rPr>
              <w:t>Ex post price ($/GJ)</w:t>
            </w:r>
          </w:p>
        </w:tc>
        <w:tc>
          <w:tcPr>
            <w:tcW w:w="580" w:type="pct"/>
            <w:tcBorders>
              <w:top w:val="nil"/>
              <w:bottom w:val="nil"/>
            </w:tcBorders>
            <w:vAlign w:val="center"/>
          </w:tcPr>
          <w:p w:rsidR="00BF2669" w:rsidRDefault="00BF2669">
            <w:pPr>
              <w:jc w:val="center"/>
              <w:rPr>
                <w:rFonts w:cs="Arial"/>
                <w:sz w:val="20"/>
                <w:szCs w:val="20"/>
              </w:rPr>
            </w:pPr>
            <w:r>
              <w:rPr>
                <w:rFonts w:cs="Arial"/>
                <w:sz w:val="20"/>
                <w:szCs w:val="20"/>
              </w:rPr>
              <w:t>10.03</w:t>
            </w:r>
          </w:p>
        </w:tc>
        <w:tc>
          <w:tcPr>
            <w:tcW w:w="508" w:type="pct"/>
            <w:tcBorders>
              <w:top w:val="nil"/>
              <w:bottom w:val="nil"/>
            </w:tcBorders>
            <w:vAlign w:val="center"/>
          </w:tcPr>
          <w:p w:rsidR="00BF2669" w:rsidRDefault="00BF2669">
            <w:pPr>
              <w:jc w:val="center"/>
              <w:rPr>
                <w:rFonts w:cs="Arial"/>
                <w:sz w:val="20"/>
                <w:szCs w:val="20"/>
              </w:rPr>
            </w:pPr>
            <w:r>
              <w:rPr>
                <w:rFonts w:cs="Arial"/>
                <w:sz w:val="20"/>
                <w:szCs w:val="20"/>
              </w:rPr>
              <w:t>9.99</w:t>
            </w:r>
          </w:p>
        </w:tc>
        <w:tc>
          <w:tcPr>
            <w:tcW w:w="589" w:type="pct"/>
            <w:tcBorders>
              <w:top w:val="nil"/>
              <w:bottom w:val="nil"/>
            </w:tcBorders>
            <w:vAlign w:val="center"/>
          </w:tcPr>
          <w:p w:rsidR="00BF2669" w:rsidRDefault="00BF2669">
            <w:pPr>
              <w:jc w:val="center"/>
              <w:rPr>
                <w:rFonts w:cs="Arial"/>
                <w:sz w:val="20"/>
                <w:szCs w:val="20"/>
              </w:rPr>
            </w:pPr>
            <w:r>
              <w:rPr>
                <w:rFonts w:cs="Arial"/>
                <w:sz w:val="20"/>
                <w:szCs w:val="20"/>
              </w:rPr>
              <w:t>9.69</w:t>
            </w:r>
          </w:p>
        </w:tc>
        <w:tc>
          <w:tcPr>
            <w:tcW w:w="517" w:type="pct"/>
            <w:tcBorders>
              <w:top w:val="nil"/>
              <w:bottom w:val="nil"/>
            </w:tcBorders>
            <w:vAlign w:val="center"/>
          </w:tcPr>
          <w:p w:rsidR="00BF2669" w:rsidRDefault="00BF2669">
            <w:pPr>
              <w:jc w:val="center"/>
              <w:rPr>
                <w:rFonts w:cs="Arial"/>
                <w:sz w:val="20"/>
                <w:szCs w:val="20"/>
              </w:rPr>
            </w:pPr>
            <w:r>
              <w:rPr>
                <w:rFonts w:cs="Arial"/>
                <w:sz w:val="20"/>
                <w:szCs w:val="20"/>
              </w:rPr>
              <w:t>8.99</w:t>
            </w:r>
          </w:p>
        </w:tc>
        <w:tc>
          <w:tcPr>
            <w:tcW w:w="510" w:type="pct"/>
            <w:tcBorders>
              <w:top w:val="nil"/>
              <w:bottom w:val="nil"/>
            </w:tcBorders>
            <w:vAlign w:val="center"/>
          </w:tcPr>
          <w:p w:rsidR="00BF2669" w:rsidRDefault="00BF2669">
            <w:pPr>
              <w:jc w:val="center"/>
              <w:rPr>
                <w:rFonts w:cs="Arial"/>
                <w:sz w:val="20"/>
                <w:szCs w:val="20"/>
              </w:rPr>
            </w:pPr>
            <w:r>
              <w:rPr>
                <w:rFonts w:cs="Arial"/>
                <w:sz w:val="20"/>
                <w:szCs w:val="20"/>
              </w:rPr>
              <w:t>8.50</w:t>
            </w:r>
          </w:p>
        </w:tc>
        <w:tc>
          <w:tcPr>
            <w:tcW w:w="507" w:type="pct"/>
            <w:tcBorders>
              <w:top w:val="nil"/>
              <w:bottom w:val="nil"/>
            </w:tcBorders>
            <w:vAlign w:val="center"/>
          </w:tcPr>
          <w:p w:rsidR="00BF2669" w:rsidRDefault="00BF2669">
            <w:pPr>
              <w:jc w:val="center"/>
              <w:rPr>
                <w:rFonts w:cs="Arial"/>
                <w:sz w:val="20"/>
                <w:szCs w:val="20"/>
              </w:rPr>
            </w:pPr>
            <w:r>
              <w:rPr>
                <w:rFonts w:cs="Arial"/>
                <w:sz w:val="20"/>
                <w:szCs w:val="20"/>
              </w:rPr>
              <w:t>6.92</w:t>
            </w:r>
          </w:p>
        </w:tc>
        <w:tc>
          <w:tcPr>
            <w:tcW w:w="578" w:type="pct"/>
            <w:tcBorders>
              <w:top w:val="nil"/>
              <w:bottom w:val="nil"/>
            </w:tcBorders>
            <w:vAlign w:val="center"/>
          </w:tcPr>
          <w:p w:rsidR="00BF2669" w:rsidRDefault="00BF2669">
            <w:pPr>
              <w:jc w:val="center"/>
              <w:rPr>
                <w:rFonts w:cs="Arial"/>
                <w:sz w:val="20"/>
                <w:szCs w:val="20"/>
              </w:rPr>
            </w:pPr>
            <w:r>
              <w:rPr>
                <w:rFonts w:cs="Arial"/>
                <w:sz w:val="20"/>
                <w:szCs w:val="20"/>
              </w:rPr>
              <w:t>8.81</w:t>
            </w:r>
          </w:p>
        </w:tc>
      </w:tr>
      <w:tr w:rsidR="00BF266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BF2669" w:rsidRDefault="00BF2669">
            <w:pPr>
              <w:rPr>
                <w:rFonts w:cs="Arial"/>
                <w:szCs w:val="20"/>
              </w:rPr>
            </w:pPr>
            <w:r>
              <w:rPr>
                <w:rFonts w:cs="Arial"/>
                <w:szCs w:val="20"/>
              </w:rPr>
              <w:t>Ex post quantity (TJ)</w:t>
            </w:r>
          </w:p>
        </w:tc>
        <w:tc>
          <w:tcPr>
            <w:tcW w:w="580" w:type="pct"/>
            <w:tcBorders>
              <w:top w:val="nil"/>
              <w:bottom w:val="single" w:sz="4" w:space="0" w:color="auto"/>
            </w:tcBorders>
            <w:vAlign w:val="center"/>
          </w:tcPr>
          <w:p w:rsidR="00BF2669" w:rsidRDefault="00BF2669">
            <w:pPr>
              <w:jc w:val="center"/>
              <w:rPr>
                <w:rFonts w:cs="Arial"/>
                <w:szCs w:val="20"/>
              </w:rPr>
            </w:pPr>
            <w:r>
              <w:rPr>
                <w:rFonts w:cs="Arial"/>
                <w:szCs w:val="20"/>
              </w:rPr>
              <w:t>191</w:t>
            </w:r>
          </w:p>
        </w:tc>
        <w:tc>
          <w:tcPr>
            <w:tcW w:w="508" w:type="pct"/>
            <w:tcBorders>
              <w:top w:val="nil"/>
              <w:bottom w:val="single" w:sz="4" w:space="0" w:color="auto"/>
            </w:tcBorders>
            <w:vAlign w:val="center"/>
          </w:tcPr>
          <w:p w:rsidR="00BF2669" w:rsidRDefault="00BF2669">
            <w:pPr>
              <w:jc w:val="center"/>
              <w:rPr>
                <w:rFonts w:cs="Arial"/>
                <w:szCs w:val="20"/>
              </w:rPr>
            </w:pPr>
            <w:r>
              <w:rPr>
                <w:rFonts w:cs="Arial"/>
                <w:szCs w:val="20"/>
              </w:rPr>
              <w:t>218</w:t>
            </w:r>
          </w:p>
        </w:tc>
        <w:tc>
          <w:tcPr>
            <w:tcW w:w="589" w:type="pct"/>
            <w:tcBorders>
              <w:top w:val="nil"/>
              <w:bottom w:val="single" w:sz="4" w:space="0" w:color="auto"/>
            </w:tcBorders>
            <w:vAlign w:val="center"/>
          </w:tcPr>
          <w:p w:rsidR="00BF2669" w:rsidRDefault="00BF2669">
            <w:pPr>
              <w:jc w:val="center"/>
              <w:rPr>
                <w:rFonts w:cs="Arial"/>
                <w:szCs w:val="20"/>
              </w:rPr>
            </w:pPr>
            <w:r>
              <w:rPr>
                <w:rFonts w:cs="Arial"/>
                <w:szCs w:val="20"/>
              </w:rPr>
              <w:t>200</w:t>
            </w:r>
          </w:p>
        </w:tc>
        <w:tc>
          <w:tcPr>
            <w:tcW w:w="517" w:type="pct"/>
            <w:tcBorders>
              <w:top w:val="nil"/>
              <w:bottom w:val="single" w:sz="4" w:space="0" w:color="auto"/>
            </w:tcBorders>
            <w:vAlign w:val="center"/>
          </w:tcPr>
          <w:p w:rsidR="00BF2669" w:rsidRDefault="00BF2669">
            <w:pPr>
              <w:jc w:val="center"/>
              <w:rPr>
                <w:rFonts w:cs="Arial"/>
                <w:szCs w:val="20"/>
              </w:rPr>
            </w:pPr>
            <w:r>
              <w:rPr>
                <w:rFonts w:cs="Arial"/>
                <w:szCs w:val="20"/>
              </w:rPr>
              <w:t>198</w:t>
            </w:r>
          </w:p>
        </w:tc>
        <w:tc>
          <w:tcPr>
            <w:tcW w:w="510" w:type="pct"/>
            <w:tcBorders>
              <w:top w:val="nil"/>
              <w:bottom w:val="single" w:sz="4" w:space="0" w:color="auto"/>
            </w:tcBorders>
            <w:vAlign w:val="center"/>
          </w:tcPr>
          <w:p w:rsidR="00BF2669" w:rsidRDefault="00BF2669">
            <w:pPr>
              <w:jc w:val="center"/>
              <w:rPr>
                <w:rFonts w:cs="Arial"/>
                <w:szCs w:val="20"/>
              </w:rPr>
            </w:pPr>
            <w:r>
              <w:rPr>
                <w:rFonts w:cs="Arial"/>
                <w:szCs w:val="20"/>
              </w:rPr>
              <w:t>196</w:t>
            </w:r>
          </w:p>
        </w:tc>
        <w:tc>
          <w:tcPr>
            <w:tcW w:w="507" w:type="pct"/>
            <w:tcBorders>
              <w:top w:val="nil"/>
              <w:bottom w:val="single" w:sz="4" w:space="0" w:color="auto"/>
            </w:tcBorders>
            <w:vAlign w:val="center"/>
          </w:tcPr>
          <w:p w:rsidR="00BF2669" w:rsidRDefault="00BF2669">
            <w:pPr>
              <w:jc w:val="center"/>
              <w:rPr>
                <w:rFonts w:cs="Arial"/>
                <w:szCs w:val="20"/>
              </w:rPr>
            </w:pPr>
            <w:r>
              <w:rPr>
                <w:rFonts w:cs="Arial"/>
                <w:szCs w:val="20"/>
              </w:rPr>
              <w:t>180</w:t>
            </w:r>
          </w:p>
        </w:tc>
        <w:tc>
          <w:tcPr>
            <w:tcW w:w="578" w:type="pct"/>
            <w:tcBorders>
              <w:top w:val="nil"/>
              <w:bottom w:val="single" w:sz="4" w:space="0" w:color="auto"/>
            </w:tcBorders>
            <w:vAlign w:val="center"/>
          </w:tcPr>
          <w:p w:rsidR="00BF2669" w:rsidRDefault="00BF2669">
            <w:pPr>
              <w:jc w:val="center"/>
              <w:rPr>
                <w:rFonts w:cs="Arial"/>
                <w:szCs w:val="20"/>
              </w:rPr>
            </w:pPr>
            <w:r>
              <w:rPr>
                <w:rFonts w:cs="Arial"/>
                <w:szCs w:val="20"/>
              </w:rPr>
              <w:t>168</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BF2669" w:rsidP="00EC2CB1">
      <w:r w:rsidRPr="00BF2669">
        <w:rPr>
          <w:noProof/>
          <w:lang w:eastAsia="en-AU"/>
        </w:rPr>
        <w:drawing>
          <wp:inline distT="0" distB="0" distL="0" distR="0" wp14:anchorId="2731463F" wp14:editId="2860A805">
            <wp:extent cx="5731510" cy="2046203"/>
            <wp:effectExtent l="0" t="0" r="0" b="0"/>
            <wp:docPr id="20" name="Picture 20" descr="Figure 2.2 shows the daily hub offers and bid in within certain price bands in Sydney this week. The line indicates the scheduled quantity for each day. For a more detailed description of this figure, please refer to the user guide." title="Syd daily hub offers and daily hub bids in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BF2669" w:rsidP="00EC2CB1">
      <w:r w:rsidRPr="00BF2669">
        <w:rPr>
          <w:noProof/>
          <w:lang w:eastAsia="en-AU"/>
        </w:rPr>
        <w:drawing>
          <wp:inline distT="0" distB="0" distL="0" distR="0" wp14:anchorId="46339196" wp14:editId="43650C7F">
            <wp:extent cx="5731510" cy="2555336"/>
            <wp:effectExtent l="0" t="0" r="2540" b="0"/>
            <wp:docPr id="25" name="Picture 25" descr="Figure 2.3 shows the daily scheduled and allocated quantities sorted by facility for Sydney this week. For a more detailed description of this figure, please refer to the user guide." title="Sydney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7"/>
      </w:r>
    </w:p>
    <w:p w:rsidR="00EC2CB1" w:rsidRDefault="00BF2669" w:rsidP="00EC2CB1">
      <w:r w:rsidRPr="00BF2669">
        <w:rPr>
          <w:noProof/>
          <w:lang w:eastAsia="en-AU"/>
        </w:rPr>
        <w:drawing>
          <wp:inline distT="0" distB="0" distL="0" distR="0" wp14:anchorId="17BC2EDD" wp14:editId="295E83B7">
            <wp:extent cx="5731510" cy="2175613"/>
            <wp:effectExtent l="0" t="0" r="2540" b="0"/>
            <wp:docPr id="37" name="Picture 37"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BF2669" w:rsidRPr="00405CDE" w:rsidTr="00A226E9">
        <w:trPr>
          <w:trHeight w:val="389"/>
        </w:trPr>
        <w:tc>
          <w:tcPr>
            <w:tcW w:w="1152" w:type="pct"/>
            <w:tcBorders>
              <w:top w:val="nil"/>
              <w:bottom w:val="nil"/>
            </w:tcBorders>
            <w:vAlign w:val="center"/>
          </w:tcPr>
          <w:p w:rsidR="00BF2669" w:rsidRDefault="00BF2669">
            <w:pPr>
              <w:rPr>
                <w:rFonts w:cs="Arial"/>
                <w:sz w:val="20"/>
                <w:szCs w:val="20"/>
              </w:rPr>
            </w:pPr>
            <w:r>
              <w:rPr>
                <w:rFonts w:cs="Arial"/>
                <w:sz w:val="20"/>
                <w:szCs w:val="20"/>
              </w:rPr>
              <w:t>Ex ante price ($/GJ)</w:t>
            </w:r>
          </w:p>
        </w:tc>
        <w:tc>
          <w:tcPr>
            <w:tcW w:w="589" w:type="pct"/>
            <w:tcBorders>
              <w:top w:val="nil"/>
              <w:bottom w:val="nil"/>
            </w:tcBorders>
            <w:vAlign w:val="center"/>
          </w:tcPr>
          <w:p w:rsidR="00BF2669" w:rsidRDefault="00BF2669">
            <w:pPr>
              <w:jc w:val="center"/>
              <w:rPr>
                <w:rFonts w:cs="Arial"/>
                <w:sz w:val="20"/>
                <w:szCs w:val="20"/>
              </w:rPr>
            </w:pPr>
            <w:r>
              <w:rPr>
                <w:rFonts w:cs="Arial"/>
                <w:sz w:val="20"/>
                <w:szCs w:val="20"/>
              </w:rPr>
              <w:t>10.05</w:t>
            </w:r>
          </w:p>
        </w:tc>
        <w:tc>
          <w:tcPr>
            <w:tcW w:w="516" w:type="pct"/>
            <w:tcBorders>
              <w:top w:val="nil"/>
              <w:bottom w:val="nil"/>
            </w:tcBorders>
            <w:vAlign w:val="center"/>
          </w:tcPr>
          <w:p w:rsidR="00BF2669" w:rsidRDefault="00BF2669">
            <w:pPr>
              <w:jc w:val="center"/>
              <w:rPr>
                <w:rFonts w:cs="Arial"/>
                <w:sz w:val="20"/>
                <w:szCs w:val="20"/>
              </w:rPr>
            </w:pPr>
            <w:r>
              <w:rPr>
                <w:rFonts w:cs="Arial"/>
                <w:sz w:val="20"/>
                <w:szCs w:val="20"/>
              </w:rPr>
              <w:t>10.01</w:t>
            </w:r>
          </w:p>
        </w:tc>
        <w:tc>
          <w:tcPr>
            <w:tcW w:w="598" w:type="pct"/>
            <w:tcBorders>
              <w:top w:val="nil"/>
              <w:bottom w:val="nil"/>
            </w:tcBorders>
            <w:vAlign w:val="center"/>
          </w:tcPr>
          <w:p w:rsidR="00BF2669" w:rsidRDefault="00BF2669">
            <w:pPr>
              <w:jc w:val="center"/>
              <w:rPr>
                <w:rFonts w:cs="Arial"/>
                <w:sz w:val="20"/>
                <w:szCs w:val="20"/>
              </w:rPr>
            </w:pPr>
            <w:r>
              <w:rPr>
                <w:rFonts w:cs="Arial"/>
                <w:sz w:val="20"/>
                <w:szCs w:val="20"/>
              </w:rPr>
              <w:t>9.64</w:t>
            </w:r>
          </w:p>
        </w:tc>
        <w:tc>
          <w:tcPr>
            <w:tcW w:w="525" w:type="pct"/>
            <w:tcBorders>
              <w:top w:val="nil"/>
              <w:bottom w:val="nil"/>
            </w:tcBorders>
            <w:vAlign w:val="center"/>
          </w:tcPr>
          <w:p w:rsidR="00BF2669" w:rsidRDefault="00BF2669">
            <w:pPr>
              <w:jc w:val="center"/>
              <w:rPr>
                <w:rFonts w:cs="Arial"/>
                <w:sz w:val="20"/>
                <w:szCs w:val="20"/>
              </w:rPr>
            </w:pPr>
            <w:r>
              <w:rPr>
                <w:rFonts w:cs="Arial"/>
                <w:sz w:val="20"/>
                <w:szCs w:val="20"/>
              </w:rPr>
              <w:t>9.66</w:t>
            </w:r>
          </w:p>
        </w:tc>
        <w:tc>
          <w:tcPr>
            <w:tcW w:w="518" w:type="pct"/>
            <w:tcBorders>
              <w:top w:val="nil"/>
              <w:bottom w:val="nil"/>
            </w:tcBorders>
            <w:vAlign w:val="center"/>
          </w:tcPr>
          <w:p w:rsidR="00BF2669" w:rsidRDefault="00BF2669">
            <w:pPr>
              <w:jc w:val="center"/>
              <w:rPr>
                <w:rFonts w:cs="Arial"/>
                <w:sz w:val="20"/>
                <w:szCs w:val="20"/>
              </w:rPr>
            </w:pPr>
            <w:r>
              <w:rPr>
                <w:rFonts w:cs="Arial"/>
                <w:sz w:val="20"/>
                <w:szCs w:val="20"/>
              </w:rPr>
              <w:t>9.66</w:t>
            </w:r>
          </w:p>
        </w:tc>
        <w:tc>
          <w:tcPr>
            <w:tcW w:w="515" w:type="pct"/>
            <w:tcBorders>
              <w:top w:val="nil"/>
              <w:bottom w:val="nil"/>
            </w:tcBorders>
            <w:vAlign w:val="center"/>
          </w:tcPr>
          <w:p w:rsidR="00BF2669" w:rsidRDefault="00BF2669">
            <w:pPr>
              <w:jc w:val="center"/>
              <w:rPr>
                <w:rFonts w:cs="Arial"/>
                <w:sz w:val="20"/>
                <w:szCs w:val="20"/>
              </w:rPr>
            </w:pPr>
            <w:r>
              <w:rPr>
                <w:rFonts w:cs="Arial"/>
                <w:sz w:val="20"/>
                <w:szCs w:val="20"/>
              </w:rPr>
              <w:t>9.47</w:t>
            </w:r>
          </w:p>
        </w:tc>
        <w:tc>
          <w:tcPr>
            <w:tcW w:w="587" w:type="pct"/>
            <w:tcBorders>
              <w:top w:val="nil"/>
              <w:bottom w:val="nil"/>
            </w:tcBorders>
            <w:vAlign w:val="center"/>
          </w:tcPr>
          <w:p w:rsidR="00BF2669" w:rsidRDefault="00BF2669">
            <w:pPr>
              <w:jc w:val="center"/>
              <w:rPr>
                <w:rFonts w:cs="Arial"/>
                <w:sz w:val="20"/>
                <w:szCs w:val="20"/>
              </w:rPr>
            </w:pPr>
            <w:r>
              <w:rPr>
                <w:rFonts w:cs="Arial"/>
                <w:sz w:val="20"/>
                <w:szCs w:val="20"/>
              </w:rPr>
              <w:t>8.91</w:t>
            </w:r>
          </w:p>
        </w:tc>
      </w:tr>
      <w:tr w:rsidR="00BF2669"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BF2669" w:rsidRDefault="00BF2669">
            <w:pPr>
              <w:rPr>
                <w:rFonts w:cs="Arial"/>
                <w:szCs w:val="20"/>
              </w:rPr>
            </w:pPr>
            <w:r>
              <w:rPr>
                <w:rFonts w:cs="Arial"/>
                <w:szCs w:val="20"/>
              </w:rPr>
              <w:t>Ex ante quantity (TJ)</w:t>
            </w:r>
          </w:p>
        </w:tc>
        <w:tc>
          <w:tcPr>
            <w:tcW w:w="589" w:type="pct"/>
            <w:tcBorders>
              <w:top w:val="nil"/>
              <w:bottom w:val="nil"/>
            </w:tcBorders>
            <w:vAlign w:val="center"/>
          </w:tcPr>
          <w:p w:rsidR="00BF2669" w:rsidRDefault="00BF2669">
            <w:pPr>
              <w:jc w:val="center"/>
              <w:rPr>
                <w:rFonts w:cs="Arial"/>
                <w:szCs w:val="20"/>
              </w:rPr>
            </w:pPr>
            <w:r>
              <w:rPr>
                <w:rFonts w:cs="Arial"/>
                <w:szCs w:val="20"/>
              </w:rPr>
              <w:t>39</w:t>
            </w:r>
          </w:p>
        </w:tc>
        <w:tc>
          <w:tcPr>
            <w:tcW w:w="516" w:type="pct"/>
            <w:tcBorders>
              <w:top w:val="nil"/>
              <w:bottom w:val="nil"/>
            </w:tcBorders>
            <w:vAlign w:val="center"/>
          </w:tcPr>
          <w:p w:rsidR="00BF2669" w:rsidRDefault="00BF2669">
            <w:pPr>
              <w:jc w:val="center"/>
              <w:rPr>
                <w:rFonts w:cs="Arial"/>
                <w:szCs w:val="20"/>
              </w:rPr>
            </w:pPr>
            <w:r>
              <w:rPr>
                <w:rFonts w:cs="Arial"/>
                <w:szCs w:val="20"/>
              </w:rPr>
              <w:t>47</w:t>
            </w:r>
          </w:p>
        </w:tc>
        <w:tc>
          <w:tcPr>
            <w:tcW w:w="598" w:type="pct"/>
            <w:tcBorders>
              <w:top w:val="nil"/>
              <w:bottom w:val="nil"/>
            </w:tcBorders>
            <w:vAlign w:val="center"/>
          </w:tcPr>
          <w:p w:rsidR="00BF2669" w:rsidRDefault="00BF2669">
            <w:pPr>
              <w:jc w:val="center"/>
              <w:rPr>
                <w:rFonts w:cs="Arial"/>
                <w:szCs w:val="20"/>
              </w:rPr>
            </w:pPr>
            <w:r>
              <w:rPr>
                <w:rFonts w:cs="Arial"/>
                <w:szCs w:val="20"/>
              </w:rPr>
              <w:t>50</w:t>
            </w:r>
          </w:p>
        </w:tc>
        <w:tc>
          <w:tcPr>
            <w:tcW w:w="525" w:type="pct"/>
            <w:tcBorders>
              <w:top w:val="nil"/>
              <w:bottom w:val="nil"/>
            </w:tcBorders>
            <w:vAlign w:val="center"/>
          </w:tcPr>
          <w:p w:rsidR="00BF2669" w:rsidRDefault="00BF2669">
            <w:pPr>
              <w:jc w:val="center"/>
              <w:rPr>
                <w:rFonts w:cs="Arial"/>
                <w:szCs w:val="20"/>
              </w:rPr>
            </w:pPr>
            <w:r>
              <w:rPr>
                <w:rFonts w:cs="Arial"/>
                <w:szCs w:val="20"/>
              </w:rPr>
              <w:t>49</w:t>
            </w:r>
          </w:p>
        </w:tc>
        <w:tc>
          <w:tcPr>
            <w:tcW w:w="518" w:type="pct"/>
            <w:tcBorders>
              <w:top w:val="nil"/>
              <w:bottom w:val="nil"/>
            </w:tcBorders>
            <w:vAlign w:val="center"/>
          </w:tcPr>
          <w:p w:rsidR="00BF2669" w:rsidRDefault="00BF2669">
            <w:pPr>
              <w:jc w:val="center"/>
              <w:rPr>
                <w:rFonts w:cs="Arial"/>
                <w:szCs w:val="20"/>
              </w:rPr>
            </w:pPr>
            <w:r>
              <w:rPr>
                <w:rFonts w:cs="Arial"/>
                <w:szCs w:val="20"/>
              </w:rPr>
              <w:t>46</w:t>
            </w:r>
          </w:p>
        </w:tc>
        <w:tc>
          <w:tcPr>
            <w:tcW w:w="515" w:type="pct"/>
            <w:tcBorders>
              <w:top w:val="nil"/>
              <w:bottom w:val="nil"/>
            </w:tcBorders>
            <w:vAlign w:val="center"/>
          </w:tcPr>
          <w:p w:rsidR="00BF2669" w:rsidRDefault="00BF2669">
            <w:pPr>
              <w:jc w:val="center"/>
              <w:rPr>
                <w:rFonts w:cs="Arial"/>
                <w:szCs w:val="20"/>
              </w:rPr>
            </w:pPr>
            <w:r>
              <w:rPr>
                <w:rFonts w:cs="Arial"/>
                <w:szCs w:val="20"/>
              </w:rPr>
              <w:t>43</w:t>
            </w:r>
          </w:p>
        </w:tc>
        <w:tc>
          <w:tcPr>
            <w:tcW w:w="587" w:type="pct"/>
            <w:tcBorders>
              <w:top w:val="nil"/>
              <w:bottom w:val="nil"/>
            </w:tcBorders>
            <w:vAlign w:val="center"/>
          </w:tcPr>
          <w:p w:rsidR="00BF2669" w:rsidRDefault="00BF2669">
            <w:pPr>
              <w:jc w:val="center"/>
              <w:rPr>
                <w:rFonts w:cs="Arial"/>
                <w:szCs w:val="20"/>
              </w:rPr>
            </w:pPr>
            <w:r>
              <w:rPr>
                <w:rFonts w:cs="Arial"/>
                <w:szCs w:val="20"/>
              </w:rPr>
              <w:t>34</w:t>
            </w:r>
          </w:p>
        </w:tc>
      </w:tr>
      <w:tr w:rsidR="00BF2669" w:rsidRPr="00405CDE" w:rsidTr="00A226E9">
        <w:trPr>
          <w:trHeight w:val="87"/>
        </w:trPr>
        <w:tc>
          <w:tcPr>
            <w:tcW w:w="1152" w:type="pct"/>
            <w:tcBorders>
              <w:top w:val="nil"/>
              <w:bottom w:val="nil"/>
            </w:tcBorders>
            <w:vAlign w:val="center"/>
          </w:tcPr>
          <w:p w:rsidR="00BF2669" w:rsidRDefault="00BF2669">
            <w:pPr>
              <w:rPr>
                <w:rFonts w:cs="Arial"/>
                <w:sz w:val="20"/>
                <w:szCs w:val="20"/>
              </w:rPr>
            </w:pPr>
            <w:r>
              <w:rPr>
                <w:rFonts w:cs="Arial"/>
                <w:sz w:val="20"/>
                <w:szCs w:val="20"/>
              </w:rPr>
              <w:t>Ex post price ($/GJ)</w:t>
            </w:r>
          </w:p>
        </w:tc>
        <w:tc>
          <w:tcPr>
            <w:tcW w:w="589" w:type="pct"/>
            <w:tcBorders>
              <w:top w:val="nil"/>
              <w:bottom w:val="nil"/>
            </w:tcBorders>
            <w:vAlign w:val="center"/>
          </w:tcPr>
          <w:p w:rsidR="00BF2669" w:rsidRDefault="00BF2669">
            <w:pPr>
              <w:jc w:val="center"/>
              <w:rPr>
                <w:rFonts w:cs="Arial"/>
                <w:sz w:val="20"/>
                <w:szCs w:val="20"/>
              </w:rPr>
            </w:pPr>
            <w:r>
              <w:rPr>
                <w:rFonts w:cs="Arial"/>
                <w:sz w:val="20"/>
                <w:szCs w:val="20"/>
              </w:rPr>
              <w:t>10.99</w:t>
            </w:r>
          </w:p>
        </w:tc>
        <w:tc>
          <w:tcPr>
            <w:tcW w:w="516" w:type="pct"/>
            <w:tcBorders>
              <w:top w:val="nil"/>
              <w:bottom w:val="nil"/>
            </w:tcBorders>
            <w:vAlign w:val="center"/>
          </w:tcPr>
          <w:p w:rsidR="00BF2669" w:rsidRDefault="00BF2669">
            <w:pPr>
              <w:jc w:val="center"/>
              <w:rPr>
                <w:rFonts w:cs="Arial"/>
                <w:sz w:val="20"/>
                <w:szCs w:val="20"/>
              </w:rPr>
            </w:pPr>
            <w:r>
              <w:rPr>
                <w:rFonts w:cs="Arial"/>
                <w:sz w:val="20"/>
                <w:szCs w:val="20"/>
              </w:rPr>
              <w:t>10.01</w:t>
            </w:r>
          </w:p>
        </w:tc>
        <w:tc>
          <w:tcPr>
            <w:tcW w:w="598" w:type="pct"/>
            <w:tcBorders>
              <w:top w:val="nil"/>
              <w:bottom w:val="nil"/>
            </w:tcBorders>
            <w:vAlign w:val="center"/>
          </w:tcPr>
          <w:p w:rsidR="00BF2669" w:rsidRDefault="00BF2669">
            <w:pPr>
              <w:jc w:val="center"/>
              <w:rPr>
                <w:rFonts w:cs="Arial"/>
                <w:sz w:val="20"/>
                <w:szCs w:val="20"/>
              </w:rPr>
            </w:pPr>
            <w:r>
              <w:rPr>
                <w:rFonts w:cs="Arial"/>
                <w:sz w:val="20"/>
                <w:szCs w:val="20"/>
              </w:rPr>
              <w:t>9.88</w:t>
            </w:r>
          </w:p>
        </w:tc>
        <w:tc>
          <w:tcPr>
            <w:tcW w:w="525" w:type="pct"/>
            <w:tcBorders>
              <w:top w:val="nil"/>
              <w:bottom w:val="nil"/>
            </w:tcBorders>
            <w:vAlign w:val="center"/>
          </w:tcPr>
          <w:p w:rsidR="00BF2669" w:rsidRDefault="00BF2669">
            <w:pPr>
              <w:jc w:val="center"/>
              <w:rPr>
                <w:rFonts w:cs="Arial"/>
                <w:sz w:val="20"/>
                <w:szCs w:val="20"/>
              </w:rPr>
            </w:pPr>
            <w:r>
              <w:rPr>
                <w:rFonts w:cs="Arial"/>
                <w:sz w:val="20"/>
                <w:szCs w:val="20"/>
              </w:rPr>
              <w:t>9.66</w:t>
            </w:r>
          </w:p>
        </w:tc>
        <w:tc>
          <w:tcPr>
            <w:tcW w:w="518" w:type="pct"/>
            <w:tcBorders>
              <w:top w:val="nil"/>
              <w:bottom w:val="nil"/>
            </w:tcBorders>
            <w:vAlign w:val="center"/>
          </w:tcPr>
          <w:p w:rsidR="00BF2669" w:rsidRDefault="00BF2669">
            <w:pPr>
              <w:jc w:val="center"/>
              <w:rPr>
                <w:rFonts w:cs="Arial"/>
                <w:sz w:val="20"/>
                <w:szCs w:val="20"/>
              </w:rPr>
            </w:pPr>
            <w:r>
              <w:rPr>
                <w:rFonts w:cs="Arial"/>
                <w:sz w:val="20"/>
                <w:szCs w:val="20"/>
              </w:rPr>
              <w:t>9.66</w:t>
            </w:r>
          </w:p>
        </w:tc>
        <w:tc>
          <w:tcPr>
            <w:tcW w:w="515" w:type="pct"/>
            <w:tcBorders>
              <w:top w:val="nil"/>
              <w:bottom w:val="nil"/>
            </w:tcBorders>
            <w:vAlign w:val="center"/>
          </w:tcPr>
          <w:p w:rsidR="00BF2669" w:rsidRDefault="00BF2669">
            <w:pPr>
              <w:jc w:val="center"/>
              <w:rPr>
                <w:rFonts w:cs="Arial"/>
                <w:sz w:val="20"/>
                <w:szCs w:val="20"/>
              </w:rPr>
            </w:pPr>
            <w:r>
              <w:rPr>
                <w:rFonts w:cs="Arial"/>
                <w:sz w:val="20"/>
                <w:szCs w:val="20"/>
              </w:rPr>
              <w:t>9.39</w:t>
            </w:r>
          </w:p>
        </w:tc>
        <w:tc>
          <w:tcPr>
            <w:tcW w:w="587" w:type="pct"/>
            <w:tcBorders>
              <w:top w:val="nil"/>
              <w:bottom w:val="nil"/>
            </w:tcBorders>
            <w:vAlign w:val="center"/>
          </w:tcPr>
          <w:p w:rsidR="00BF2669" w:rsidRDefault="00BF2669">
            <w:pPr>
              <w:jc w:val="center"/>
              <w:rPr>
                <w:rFonts w:cs="Arial"/>
                <w:sz w:val="20"/>
                <w:szCs w:val="20"/>
              </w:rPr>
            </w:pPr>
            <w:r>
              <w:rPr>
                <w:rFonts w:cs="Arial"/>
                <w:sz w:val="20"/>
                <w:szCs w:val="20"/>
              </w:rPr>
              <w:t>8.91</w:t>
            </w:r>
          </w:p>
        </w:tc>
      </w:tr>
      <w:tr w:rsidR="00BF2669"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BF2669" w:rsidRDefault="00BF2669">
            <w:pPr>
              <w:rPr>
                <w:rFonts w:cs="Arial"/>
                <w:szCs w:val="20"/>
              </w:rPr>
            </w:pPr>
            <w:r>
              <w:rPr>
                <w:rFonts w:cs="Arial"/>
                <w:szCs w:val="20"/>
              </w:rPr>
              <w:t>Ex post quantity (TJ)</w:t>
            </w:r>
          </w:p>
        </w:tc>
        <w:tc>
          <w:tcPr>
            <w:tcW w:w="589" w:type="pct"/>
            <w:tcBorders>
              <w:top w:val="nil"/>
              <w:bottom w:val="single" w:sz="4" w:space="0" w:color="auto"/>
            </w:tcBorders>
            <w:vAlign w:val="center"/>
          </w:tcPr>
          <w:p w:rsidR="00BF2669" w:rsidRDefault="00BF2669">
            <w:pPr>
              <w:jc w:val="center"/>
              <w:rPr>
                <w:rFonts w:cs="Arial"/>
                <w:szCs w:val="20"/>
              </w:rPr>
            </w:pPr>
            <w:r>
              <w:rPr>
                <w:rFonts w:cs="Arial"/>
                <w:szCs w:val="20"/>
              </w:rPr>
              <w:t>42</w:t>
            </w:r>
          </w:p>
        </w:tc>
        <w:tc>
          <w:tcPr>
            <w:tcW w:w="516" w:type="pct"/>
            <w:tcBorders>
              <w:top w:val="nil"/>
              <w:bottom w:val="single" w:sz="4" w:space="0" w:color="auto"/>
            </w:tcBorders>
            <w:vAlign w:val="center"/>
          </w:tcPr>
          <w:p w:rsidR="00BF2669" w:rsidRDefault="00BF2669">
            <w:pPr>
              <w:jc w:val="center"/>
              <w:rPr>
                <w:rFonts w:cs="Arial"/>
                <w:szCs w:val="20"/>
              </w:rPr>
            </w:pPr>
            <w:r>
              <w:rPr>
                <w:rFonts w:cs="Arial"/>
                <w:szCs w:val="20"/>
              </w:rPr>
              <w:t>48</w:t>
            </w:r>
          </w:p>
        </w:tc>
        <w:tc>
          <w:tcPr>
            <w:tcW w:w="598" w:type="pct"/>
            <w:tcBorders>
              <w:top w:val="nil"/>
              <w:bottom w:val="single" w:sz="4" w:space="0" w:color="auto"/>
            </w:tcBorders>
            <w:vAlign w:val="center"/>
          </w:tcPr>
          <w:p w:rsidR="00BF2669" w:rsidRDefault="00BF2669">
            <w:pPr>
              <w:jc w:val="center"/>
              <w:rPr>
                <w:rFonts w:cs="Arial"/>
                <w:szCs w:val="20"/>
              </w:rPr>
            </w:pPr>
            <w:r>
              <w:rPr>
                <w:rFonts w:cs="Arial"/>
                <w:szCs w:val="20"/>
              </w:rPr>
              <w:t>54</w:t>
            </w:r>
          </w:p>
        </w:tc>
        <w:tc>
          <w:tcPr>
            <w:tcW w:w="525" w:type="pct"/>
            <w:tcBorders>
              <w:top w:val="nil"/>
              <w:bottom w:val="single" w:sz="4" w:space="0" w:color="auto"/>
            </w:tcBorders>
            <w:vAlign w:val="center"/>
          </w:tcPr>
          <w:p w:rsidR="00BF2669" w:rsidRDefault="00BF2669">
            <w:pPr>
              <w:jc w:val="center"/>
              <w:rPr>
                <w:rFonts w:cs="Arial"/>
                <w:szCs w:val="20"/>
              </w:rPr>
            </w:pPr>
            <w:r>
              <w:rPr>
                <w:rFonts w:cs="Arial"/>
                <w:szCs w:val="20"/>
              </w:rPr>
              <w:t>51</w:t>
            </w:r>
          </w:p>
        </w:tc>
        <w:tc>
          <w:tcPr>
            <w:tcW w:w="518" w:type="pct"/>
            <w:tcBorders>
              <w:top w:val="nil"/>
              <w:bottom w:val="single" w:sz="4" w:space="0" w:color="auto"/>
            </w:tcBorders>
            <w:vAlign w:val="center"/>
          </w:tcPr>
          <w:p w:rsidR="00BF2669" w:rsidRDefault="00BF2669">
            <w:pPr>
              <w:jc w:val="center"/>
              <w:rPr>
                <w:rFonts w:cs="Arial"/>
                <w:szCs w:val="20"/>
              </w:rPr>
            </w:pPr>
            <w:r>
              <w:rPr>
                <w:rFonts w:cs="Arial"/>
                <w:szCs w:val="20"/>
              </w:rPr>
              <w:t>46</w:t>
            </w:r>
          </w:p>
        </w:tc>
        <w:tc>
          <w:tcPr>
            <w:tcW w:w="515" w:type="pct"/>
            <w:tcBorders>
              <w:top w:val="nil"/>
              <w:bottom w:val="single" w:sz="4" w:space="0" w:color="auto"/>
            </w:tcBorders>
            <w:vAlign w:val="center"/>
          </w:tcPr>
          <w:p w:rsidR="00BF2669" w:rsidRDefault="00BF2669">
            <w:pPr>
              <w:jc w:val="center"/>
              <w:rPr>
                <w:rFonts w:cs="Arial"/>
                <w:szCs w:val="20"/>
              </w:rPr>
            </w:pPr>
            <w:r>
              <w:rPr>
                <w:rFonts w:cs="Arial"/>
                <w:szCs w:val="20"/>
              </w:rPr>
              <w:t>40</w:t>
            </w:r>
          </w:p>
        </w:tc>
        <w:tc>
          <w:tcPr>
            <w:tcW w:w="587" w:type="pct"/>
            <w:tcBorders>
              <w:top w:val="nil"/>
              <w:bottom w:val="single" w:sz="4" w:space="0" w:color="auto"/>
            </w:tcBorders>
            <w:vAlign w:val="center"/>
          </w:tcPr>
          <w:p w:rsidR="00BF2669" w:rsidRDefault="00BF2669">
            <w:pPr>
              <w:jc w:val="center"/>
              <w:rPr>
                <w:rFonts w:cs="Arial"/>
                <w:szCs w:val="20"/>
              </w:rPr>
            </w:pPr>
            <w:r>
              <w:rPr>
                <w:rFonts w:cs="Arial"/>
                <w:szCs w:val="20"/>
              </w:rPr>
              <w:t>33</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BF2669" w:rsidP="00EC2CB1">
      <w:r w:rsidRPr="00BF2669">
        <w:rPr>
          <w:noProof/>
          <w:lang w:eastAsia="en-AU"/>
        </w:rPr>
        <w:drawing>
          <wp:inline distT="0" distB="0" distL="0" distR="0" wp14:anchorId="34C02F61" wp14:editId="4BE66CDC">
            <wp:extent cx="5731510" cy="1739923"/>
            <wp:effectExtent l="0" t="0" r="2540" b="0"/>
            <wp:docPr id="18" name="Picture 18" descr="Figure 3.2 shows the daily hub offers and bid in within certain price bands in Adelaide this week. The line indicates the scheduled quantity for each day. For a more detailed description of this figure, please refer to the user guide." title="ADL STTM daily ex-ante and ex-post prices and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BF2669" w:rsidP="00EC2CB1">
      <w:r w:rsidRPr="00BF2669">
        <w:rPr>
          <w:noProof/>
          <w:lang w:eastAsia="en-AU"/>
        </w:rPr>
        <w:drawing>
          <wp:inline distT="0" distB="0" distL="0" distR="0" wp14:anchorId="360A8BE3" wp14:editId="4DA548C6">
            <wp:extent cx="5731510" cy="1511607"/>
            <wp:effectExtent l="0" t="0" r="2540" b="0"/>
            <wp:docPr id="33" name="Picture 33" descr="Figure 3.3 shows the daily scheduled and allocated quantities sorted by facility for Adelaide this week. For a more detailed description of this figure, please refer to the user guide." title="Adelaide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BF2669" w:rsidP="00A226E9">
      <w:r w:rsidRPr="00BF2669">
        <w:rPr>
          <w:noProof/>
          <w:lang w:eastAsia="en-AU"/>
        </w:rPr>
        <w:drawing>
          <wp:inline distT="0" distB="0" distL="0" distR="0" wp14:anchorId="132493D7" wp14:editId="7D48488A">
            <wp:extent cx="5731510" cy="1802652"/>
            <wp:effectExtent l="0" t="0" r="2540" b="7620"/>
            <wp:docPr id="36" name="Picture 36"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BF2669" w:rsidRPr="00405CDE" w:rsidTr="00A226E9">
        <w:trPr>
          <w:trHeight w:val="510"/>
        </w:trPr>
        <w:tc>
          <w:tcPr>
            <w:tcW w:w="1152" w:type="pct"/>
            <w:tcBorders>
              <w:top w:val="nil"/>
              <w:bottom w:val="nil"/>
            </w:tcBorders>
            <w:vAlign w:val="center"/>
          </w:tcPr>
          <w:p w:rsidR="00BF2669" w:rsidRDefault="00BF2669">
            <w:pPr>
              <w:rPr>
                <w:rFonts w:cs="Arial"/>
                <w:sz w:val="20"/>
                <w:szCs w:val="20"/>
              </w:rPr>
            </w:pPr>
            <w:r>
              <w:rPr>
                <w:rFonts w:cs="Arial"/>
                <w:sz w:val="20"/>
                <w:szCs w:val="20"/>
              </w:rPr>
              <w:t>Ex ante price ($/GJ)</w:t>
            </w:r>
          </w:p>
        </w:tc>
        <w:tc>
          <w:tcPr>
            <w:tcW w:w="589" w:type="pct"/>
            <w:tcBorders>
              <w:top w:val="nil"/>
              <w:bottom w:val="nil"/>
            </w:tcBorders>
            <w:vAlign w:val="center"/>
          </w:tcPr>
          <w:p w:rsidR="00BF2669" w:rsidRDefault="00BF2669">
            <w:pPr>
              <w:jc w:val="center"/>
              <w:rPr>
                <w:rFonts w:cs="Arial"/>
                <w:sz w:val="20"/>
                <w:szCs w:val="20"/>
              </w:rPr>
            </w:pPr>
            <w:r>
              <w:rPr>
                <w:rFonts w:cs="Arial"/>
                <w:sz w:val="20"/>
                <w:szCs w:val="20"/>
              </w:rPr>
              <w:t>12.50</w:t>
            </w:r>
          </w:p>
        </w:tc>
        <w:tc>
          <w:tcPr>
            <w:tcW w:w="516" w:type="pct"/>
            <w:tcBorders>
              <w:top w:val="nil"/>
              <w:bottom w:val="nil"/>
            </w:tcBorders>
            <w:vAlign w:val="center"/>
          </w:tcPr>
          <w:p w:rsidR="00BF2669" w:rsidRDefault="00BF2669">
            <w:pPr>
              <w:jc w:val="center"/>
              <w:rPr>
                <w:rFonts w:cs="Arial"/>
                <w:sz w:val="20"/>
                <w:szCs w:val="20"/>
              </w:rPr>
            </w:pPr>
            <w:r>
              <w:rPr>
                <w:rFonts w:cs="Arial"/>
                <w:sz w:val="20"/>
                <w:szCs w:val="20"/>
              </w:rPr>
              <w:t>13.25</w:t>
            </w:r>
          </w:p>
        </w:tc>
        <w:tc>
          <w:tcPr>
            <w:tcW w:w="598" w:type="pct"/>
            <w:tcBorders>
              <w:top w:val="nil"/>
              <w:bottom w:val="nil"/>
            </w:tcBorders>
            <w:vAlign w:val="center"/>
          </w:tcPr>
          <w:p w:rsidR="00BF2669" w:rsidRDefault="00BF2669">
            <w:pPr>
              <w:jc w:val="center"/>
              <w:rPr>
                <w:rFonts w:cs="Arial"/>
                <w:sz w:val="20"/>
                <w:szCs w:val="20"/>
              </w:rPr>
            </w:pPr>
            <w:r>
              <w:rPr>
                <w:rFonts w:cs="Arial"/>
                <w:sz w:val="20"/>
                <w:szCs w:val="20"/>
              </w:rPr>
              <w:t>12.33</w:t>
            </w:r>
          </w:p>
        </w:tc>
        <w:tc>
          <w:tcPr>
            <w:tcW w:w="525" w:type="pct"/>
            <w:tcBorders>
              <w:top w:val="nil"/>
              <w:bottom w:val="nil"/>
            </w:tcBorders>
            <w:vAlign w:val="center"/>
          </w:tcPr>
          <w:p w:rsidR="00BF2669" w:rsidRDefault="00BF2669">
            <w:pPr>
              <w:jc w:val="center"/>
              <w:rPr>
                <w:rFonts w:cs="Arial"/>
                <w:sz w:val="20"/>
                <w:szCs w:val="20"/>
              </w:rPr>
            </w:pPr>
            <w:r>
              <w:rPr>
                <w:rFonts w:cs="Arial"/>
                <w:sz w:val="20"/>
                <w:szCs w:val="20"/>
              </w:rPr>
              <w:t>10.05</w:t>
            </w:r>
          </w:p>
        </w:tc>
        <w:tc>
          <w:tcPr>
            <w:tcW w:w="518" w:type="pct"/>
            <w:tcBorders>
              <w:top w:val="nil"/>
              <w:bottom w:val="nil"/>
            </w:tcBorders>
            <w:vAlign w:val="center"/>
          </w:tcPr>
          <w:p w:rsidR="00BF2669" w:rsidRDefault="00BF2669">
            <w:pPr>
              <w:jc w:val="center"/>
              <w:rPr>
                <w:rFonts w:cs="Arial"/>
                <w:sz w:val="20"/>
                <w:szCs w:val="20"/>
              </w:rPr>
            </w:pPr>
            <w:r>
              <w:rPr>
                <w:rFonts w:cs="Arial"/>
                <w:sz w:val="20"/>
                <w:szCs w:val="20"/>
              </w:rPr>
              <w:t>11.49</w:t>
            </w:r>
          </w:p>
        </w:tc>
        <w:tc>
          <w:tcPr>
            <w:tcW w:w="515" w:type="pct"/>
            <w:tcBorders>
              <w:top w:val="nil"/>
              <w:bottom w:val="nil"/>
            </w:tcBorders>
            <w:vAlign w:val="center"/>
          </w:tcPr>
          <w:p w:rsidR="00BF2669" w:rsidRDefault="00BF2669">
            <w:pPr>
              <w:jc w:val="center"/>
              <w:rPr>
                <w:rFonts w:cs="Arial"/>
                <w:sz w:val="20"/>
                <w:szCs w:val="20"/>
              </w:rPr>
            </w:pPr>
            <w:r>
              <w:rPr>
                <w:rFonts w:cs="Arial"/>
                <w:sz w:val="20"/>
                <w:szCs w:val="20"/>
              </w:rPr>
              <w:t>10.06</w:t>
            </w:r>
          </w:p>
        </w:tc>
        <w:tc>
          <w:tcPr>
            <w:tcW w:w="587" w:type="pct"/>
            <w:tcBorders>
              <w:top w:val="nil"/>
              <w:bottom w:val="nil"/>
            </w:tcBorders>
            <w:vAlign w:val="center"/>
          </w:tcPr>
          <w:p w:rsidR="00BF2669" w:rsidRDefault="00BF2669">
            <w:pPr>
              <w:jc w:val="center"/>
              <w:rPr>
                <w:rFonts w:cs="Arial"/>
                <w:sz w:val="20"/>
                <w:szCs w:val="20"/>
              </w:rPr>
            </w:pPr>
            <w:r>
              <w:rPr>
                <w:rFonts w:cs="Arial"/>
                <w:sz w:val="20"/>
                <w:szCs w:val="20"/>
              </w:rPr>
              <w:t>6.57</w:t>
            </w:r>
          </w:p>
        </w:tc>
      </w:tr>
      <w:tr w:rsidR="00BF266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BF2669" w:rsidRDefault="00BF2669">
            <w:pPr>
              <w:rPr>
                <w:rFonts w:cs="Arial"/>
                <w:szCs w:val="20"/>
              </w:rPr>
            </w:pPr>
            <w:r>
              <w:rPr>
                <w:rFonts w:cs="Arial"/>
                <w:szCs w:val="20"/>
              </w:rPr>
              <w:t>Ex ante quantity (TJ)</w:t>
            </w:r>
          </w:p>
        </w:tc>
        <w:tc>
          <w:tcPr>
            <w:tcW w:w="589" w:type="pct"/>
            <w:tcBorders>
              <w:top w:val="nil"/>
              <w:bottom w:val="nil"/>
            </w:tcBorders>
            <w:vAlign w:val="center"/>
          </w:tcPr>
          <w:p w:rsidR="00BF2669" w:rsidRDefault="00BF2669">
            <w:pPr>
              <w:jc w:val="center"/>
              <w:rPr>
                <w:rFonts w:cs="Arial"/>
                <w:szCs w:val="20"/>
              </w:rPr>
            </w:pPr>
            <w:r>
              <w:rPr>
                <w:rFonts w:cs="Arial"/>
                <w:szCs w:val="20"/>
              </w:rPr>
              <w:t>73</w:t>
            </w:r>
          </w:p>
        </w:tc>
        <w:tc>
          <w:tcPr>
            <w:tcW w:w="516" w:type="pct"/>
            <w:tcBorders>
              <w:top w:val="nil"/>
              <w:bottom w:val="nil"/>
            </w:tcBorders>
            <w:vAlign w:val="center"/>
          </w:tcPr>
          <w:p w:rsidR="00BF2669" w:rsidRDefault="00BF2669">
            <w:pPr>
              <w:jc w:val="center"/>
              <w:rPr>
                <w:rFonts w:cs="Arial"/>
                <w:szCs w:val="20"/>
              </w:rPr>
            </w:pPr>
            <w:r>
              <w:rPr>
                <w:rFonts w:cs="Arial"/>
                <w:szCs w:val="20"/>
              </w:rPr>
              <w:t>89</w:t>
            </w:r>
          </w:p>
        </w:tc>
        <w:tc>
          <w:tcPr>
            <w:tcW w:w="598" w:type="pct"/>
            <w:tcBorders>
              <w:top w:val="nil"/>
              <w:bottom w:val="nil"/>
            </w:tcBorders>
            <w:vAlign w:val="center"/>
          </w:tcPr>
          <w:p w:rsidR="00BF2669" w:rsidRDefault="00BF2669">
            <w:pPr>
              <w:jc w:val="center"/>
              <w:rPr>
                <w:rFonts w:cs="Arial"/>
                <w:szCs w:val="20"/>
              </w:rPr>
            </w:pPr>
            <w:r>
              <w:rPr>
                <w:rFonts w:cs="Arial"/>
                <w:szCs w:val="20"/>
              </w:rPr>
              <w:t>91</w:t>
            </w:r>
          </w:p>
        </w:tc>
        <w:tc>
          <w:tcPr>
            <w:tcW w:w="525" w:type="pct"/>
            <w:tcBorders>
              <w:top w:val="nil"/>
              <w:bottom w:val="nil"/>
            </w:tcBorders>
            <w:vAlign w:val="center"/>
          </w:tcPr>
          <w:p w:rsidR="00BF2669" w:rsidRDefault="00BF2669">
            <w:pPr>
              <w:jc w:val="center"/>
              <w:rPr>
                <w:rFonts w:cs="Arial"/>
                <w:szCs w:val="20"/>
              </w:rPr>
            </w:pPr>
            <w:r>
              <w:rPr>
                <w:rFonts w:cs="Arial"/>
                <w:szCs w:val="20"/>
              </w:rPr>
              <w:t>88</w:t>
            </w:r>
          </w:p>
        </w:tc>
        <w:tc>
          <w:tcPr>
            <w:tcW w:w="518" w:type="pct"/>
            <w:tcBorders>
              <w:top w:val="nil"/>
              <w:bottom w:val="nil"/>
            </w:tcBorders>
            <w:vAlign w:val="center"/>
          </w:tcPr>
          <w:p w:rsidR="00BF2669" w:rsidRDefault="00BF2669">
            <w:pPr>
              <w:jc w:val="center"/>
              <w:rPr>
                <w:rFonts w:cs="Arial"/>
                <w:szCs w:val="20"/>
              </w:rPr>
            </w:pPr>
            <w:r>
              <w:rPr>
                <w:rFonts w:cs="Arial"/>
                <w:szCs w:val="20"/>
              </w:rPr>
              <w:t>84</w:t>
            </w:r>
          </w:p>
        </w:tc>
        <w:tc>
          <w:tcPr>
            <w:tcW w:w="515" w:type="pct"/>
            <w:tcBorders>
              <w:top w:val="nil"/>
              <w:bottom w:val="nil"/>
            </w:tcBorders>
            <w:vAlign w:val="center"/>
          </w:tcPr>
          <w:p w:rsidR="00BF2669" w:rsidRDefault="00BF2669">
            <w:pPr>
              <w:jc w:val="center"/>
              <w:rPr>
                <w:rFonts w:cs="Arial"/>
                <w:szCs w:val="20"/>
              </w:rPr>
            </w:pPr>
            <w:r>
              <w:rPr>
                <w:rFonts w:cs="Arial"/>
                <w:szCs w:val="20"/>
              </w:rPr>
              <w:t>77</w:t>
            </w:r>
          </w:p>
        </w:tc>
        <w:tc>
          <w:tcPr>
            <w:tcW w:w="587" w:type="pct"/>
            <w:tcBorders>
              <w:top w:val="nil"/>
              <w:bottom w:val="nil"/>
            </w:tcBorders>
            <w:vAlign w:val="center"/>
          </w:tcPr>
          <w:p w:rsidR="00BF2669" w:rsidRDefault="00BF2669">
            <w:pPr>
              <w:jc w:val="center"/>
              <w:rPr>
                <w:rFonts w:cs="Arial"/>
                <w:szCs w:val="20"/>
              </w:rPr>
            </w:pPr>
            <w:r>
              <w:rPr>
                <w:rFonts w:cs="Arial"/>
                <w:szCs w:val="20"/>
              </w:rPr>
              <w:t>67</w:t>
            </w:r>
          </w:p>
        </w:tc>
      </w:tr>
      <w:tr w:rsidR="00BF2669" w:rsidRPr="00405CDE" w:rsidTr="00A226E9">
        <w:trPr>
          <w:trHeight w:val="510"/>
        </w:trPr>
        <w:tc>
          <w:tcPr>
            <w:tcW w:w="1152" w:type="pct"/>
            <w:tcBorders>
              <w:top w:val="nil"/>
              <w:bottom w:val="nil"/>
            </w:tcBorders>
            <w:vAlign w:val="center"/>
          </w:tcPr>
          <w:p w:rsidR="00BF2669" w:rsidRDefault="00BF2669">
            <w:pPr>
              <w:rPr>
                <w:rFonts w:cs="Arial"/>
                <w:sz w:val="20"/>
                <w:szCs w:val="20"/>
              </w:rPr>
            </w:pPr>
            <w:r>
              <w:rPr>
                <w:rFonts w:cs="Arial"/>
                <w:sz w:val="20"/>
                <w:szCs w:val="20"/>
              </w:rPr>
              <w:t>Ex post price ($/GJ)</w:t>
            </w:r>
          </w:p>
        </w:tc>
        <w:tc>
          <w:tcPr>
            <w:tcW w:w="589" w:type="pct"/>
            <w:tcBorders>
              <w:top w:val="nil"/>
              <w:bottom w:val="nil"/>
            </w:tcBorders>
            <w:vAlign w:val="center"/>
          </w:tcPr>
          <w:p w:rsidR="00BF2669" w:rsidRDefault="00BF2669">
            <w:pPr>
              <w:jc w:val="center"/>
              <w:rPr>
                <w:rFonts w:cs="Arial"/>
                <w:sz w:val="20"/>
                <w:szCs w:val="20"/>
              </w:rPr>
            </w:pPr>
            <w:r>
              <w:rPr>
                <w:rFonts w:cs="Arial"/>
                <w:sz w:val="20"/>
                <w:szCs w:val="20"/>
              </w:rPr>
              <w:t>13.70</w:t>
            </w:r>
          </w:p>
        </w:tc>
        <w:tc>
          <w:tcPr>
            <w:tcW w:w="516" w:type="pct"/>
            <w:tcBorders>
              <w:top w:val="nil"/>
              <w:bottom w:val="nil"/>
            </w:tcBorders>
            <w:vAlign w:val="center"/>
          </w:tcPr>
          <w:p w:rsidR="00BF2669" w:rsidRDefault="00BF2669">
            <w:pPr>
              <w:jc w:val="center"/>
              <w:rPr>
                <w:rFonts w:cs="Arial"/>
                <w:sz w:val="20"/>
                <w:szCs w:val="20"/>
              </w:rPr>
            </w:pPr>
            <w:r>
              <w:rPr>
                <w:rFonts w:cs="Arial"/>
                <w:sz w:val="20"/>
                <w:szCs w:val="20"/>
              </w:rPr>
              <w:t>13.25</w:t>
            </w:r>
          </w:p>
        </w:tc>
        <w:tc>
          <w:tcPr>
            <w:tcW w:w="598" w:type="pct"/>
            <w:tcBorders>
              <w:top w:val="nil"/>
              <w:bottom w:val="nil"/>
            </w:tcBorders>
            <w:vAlign w:val="center"/>
          </w:tcPr>
          <w:p w:rsidR="00BF2669" w:rsidRDefault="00BF2669">
            <w:pPr>
              <w:jc w:val="center"/>
              <w:rPr>
                <w:rFonts w:cs="Arial"/>
                <w:sz w:val="20"/>
                <w:szCs w:val="20"/>
              </w:rPr>
            </w:pPr>
            <w:r>
              <w:rPr>
                <w:rFonts w:cs="Arial"/>
                <w:sz w:val="20"/>
                <w:szCs w:val="20"/>
              </w:rPr>
              <w:t>12.33</w:t>
            </w:r>
          </w:p>
        </w:tc>
        <w:tc>
          <w:tcPr>
            <w:tcW w:w="525" w:type="pct"/>
            <w:tcBorders>
              <w:top w:val="nil"/>
              <w:bottom w:val="nil"/>
            </w:tcBorders>
            <w:vAlign w:val="center"/>
          </w:tcPr>
          <w:p w:rsidR="00BF2669" w:rsidRDefault="00BF2669">
            <w:pPr>
              <w:jc w:val="center"/>
              <w:rPr>
                <w:rFonts w:cs="Arial"/>
                <w:sz w:val="20"/>
                <w:szCs w:val="20"/>
              </w:rPr>
            </w:pPr>
            <w:r>
              <w:rPr>
                <w:rFonts w:cs="Arial"/>
                <w:sz w:val="20"/>
                <w:szCs w:val="20"/>
              </w:rPr>
              <w:t>9.69</w:t>
            </w:r>
          </w:p>
        </w:tc>
        <w:tc>
          <w:tcPr>
            <w:tcW w:w="518" w:type="pct"/>
            <w:tcBorders>
              <w:top w:val="nil"/>
              <w:bottom w:val="nil"/>
            </w:tcBorders>
            <w:vAlign w:val="center"/>
          </w:tcPr>
          <w:p w:rsidR="00BF2669" w:rsidRDefault="00BF2669">
            <w:pPr>
              <w:jc w:val="center"/>
              <w:rPr>
                <w:rFonts w:cs="Arial"/>
                <w:sz w:val="20"/>
                <w:szCs w:val="20"/>
              </w:rPr>
            </w:pPr>
            <w:r>
              <w:rPr>
                <w:rFonts w:cs="Arial"/>
                <w:sz w:val="20"/>
                <w:szCs w:val="20"/>
              </w:rPr>
              <w:t>11.49</w:t>
            </w:r>
          </w:p>
        </w:tc>
        <w:tc>
          <w:tcPr>
            <w:tcW w:w="515" w:type="pct"/>
            <w:tcBorders>
              <w:top w:val="nil"/>
              <w:bottom w:val="nil"/>
            </w:tcBorders>
            <w:vAlign w:val="center"/>
          </w:tcPr>
          <w:p w:rsidR="00BF2669" w:rsidRDefault="00BF2669">
            <w:pPr>
              <w:jc w:val="center"/>
              <w:rPr>
                <w:rFonts w:cs="Arial"/>
                <w:sz w:val="20"/>
                <w:szCs w:val="20"/>
              </w:rPr>
            </w:pPr>
            <w:r>
              <w:rPr>
                <w:rFonts w:cs="Arial"/>
                <w:sz w:val="20"/>
                <w:szCs w:val="20"/>
              </w:rPr>
              <w:t>10.06</w:t>
            </w:r>
          </w:p>
        </w:tc>
        <w:tc>
          <w:tcPr>
            <w:tcW w:w="587" w:type="pct"/>
            <w:tcBorders>
              <w:top w:val="nil"/>
              <w:bottom w:val="nil"/>
            </w:tcBorders>
            <w:vAlign w:val="center"/>
          </w:tcPr>
          <w:p w:rsidR="00BF2669" w:rsidRDefault="00BF2669">
            <w:pPr>
              <w:jc w:val="center"/>
              <w:rPr>
                <w:rFonts w:cs="Arial"/>
                <w:sz w:val="20"/>
                <w:szCs w:val="20"/>
              </w:rPr>
            </w:pPr>
            <w:r>
              <w:rPr>
                <w:rFonts w:cs="Arial"/>
                <w:sz w:val="20"/>
                <w:szCs w:val="20"/>
              </w:rPr>
              <w:t>6.57</w:t>
            </w:r>
          </w:p>
        </w:tc>
      </w:tr>
      <w:tr w:rsidR="00BF266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BF2669" w:rsidRDefault="00BF2669">
            <w:pPr>
              <w:rPr>
                <w:rFonts w:cs="Arial"/>
                <w:szCs w:val="20"/>
              </w:rPr>
            </w:pPr>
            <w:r>
              <w:rPr>
                <w:rFonts w:cs="Arial"/>
                <w:szCs w:val="20"/>
              </w:rPr>
              <w:t>Ex post quantity (TJ)</w:t>
            </w:r>
          </w:p>
        </w:tc>
        <w:tc>
          <w:tcPr>
            <w:tcW w:w="589" w:type="pct"/>
            <w:tcBorders>
              <w:top w:val="nil"/>
              <w:bottom w:val="single" w:sz="4" w:space="0" w:color="auto"/>
            </w:tcBorders>
            <w:vAlign w:val="center"/>
          </w:tcPr>
          <w:p w:rsidR="00BF2669" w:rsidRDefault="00BF2669">
            <w:pPr>
              <w:jc w:val="center"/>
              <w:rPr>
                <w:rFonts w:cs="Arial"/>
                <w:szCs w:val="20"/>
              </w:rPr>
            </w:pPr>
            <w:r>
              <w:rPr>
                <w:rFonts w:cs="Arial"/>
                <w:szCs w:val="20"/>
              </w:rPr>
              <w:t>79</w:t>
            </w:r>
          </w:p>
        </w:tc>
        <w:tc>
          <w:tcPr>
            <w:tcW w:w="516" w:type="pct"/>
            <w:tcBorders>
              <w:top w:val="nil"/>
              <w:bottom w:val="single" w:sz="4" w:space="0" w:color="auto"/>
            </w:tcBorders>
            <w:vAlign w:val="center"/>
          </w:tcPr>
          <w:p w:rsidR="00BF2669" w:rsidRDefault="00BF2669">
            <w:pPr>
              <w:jc w:val="center"/>
              <w:rPr>
                <w:rFonts w:cs="Arial"/>
                <w:szCs w:val="20"/>
              </w:rPr>
            </w:pPr>
            <w:r>
              <w:rPr>
                <w:rFonts w:cs="Arial"/>
                <w:szCs w:val="20"/>
              </w:rPr>
              <w:t>92</w:t>
            </w:r>
          </w:p>
        </w:tc>
        <w:tc>
          <w:tcPr>
            <w:tcW w:w="598" w:type="pct"/>
            <w:tcBorders>
              <w:top w:val="nil"/>
              <w:bottom w:val="single" w:sz="4" w:space="0" w:color="auto"/>
            </w:tcBorders>
            <w:vAlign w:val="center"/>
          </w:tcPr>
          <w:p w:rsidR="00BF2669" w:rsidRDefault="00BF2669">
            <w:pPr>
              <w:jc w:val="center"/>
              <w:rPr>
                <w:rFonts w:cs="Arial"/>
                <w:szCs w:val="20"/>
              </w:rPr>
            </w:pPr>
            <w:r>
              <w:rPr>
                <w:rFonts w:cs="Arial"/>
                <w:szCs w:val="20"/>
              </w:rPr>
              <w:t>92</w:t>
            </w:r>
          </w:p>
        </w:tc>
        <w:tc>
          <w:tcPr>
            <w:tcW w:w="525" w:type="pct"/>
            <w:tcBorders>
              <w:top w:val="nil"/>
              <w:bottom w:val="single" w:sz="4" w:space="0" w:color="auto"/>
            </w:tcBorders>
            <w:vAlign w:val="center"/>
          </w:tcPr>
          <w:p w:rsidR="00BF2669" w:rsidRDefault="00BF2669">
            <w:pPr>
              <w:jc w:val="center"/>
              <w:rPr>
                <w:rFonts w:cs="Arial"/>
                <w:szCs w:val="20"/>
              </w:rPr>
            </w:pPr>
            <w:r>
              <w:rPr>
                <w:rFonts w:cs="Arial"/>
                <w:szCs w:val="20"/>
              </w:rPr>
              <w:t>87</w:t>
            </w:r>
          </w:p>
        </w:tc>
        <w:tc>
          <w:tcPr>
            <w:tcW w:w="518" w:type="pct"/>
            <w:tcBorders>
              <w:top w:val="nil"/>
              <w:bottom w:val="single" w:sz="4" w:space="0" w:color="auto"/>
            </w:tcBorders>
            <w:vAlign w:val="center"/>
          </w:tcPr>
          <w:p w:rsidR="00BF2669" w:rsidRDefault="00BF2669">
            <w:pPr>
              <w:jc w:val="center"/>
              <w:rPr>
                <w:rFonts w:cs="Arial"/>
                <w:szCs w:val="20"/>
              </w:rPr>
            </w:pPr>
            <w:r>
              <w:rPr>
                <w:rFonts w:cs="Arial"/>
                <w:szCs w:val="20"/>
              </w:rPr>
              <w:t>84</w:t>
            </w:r>
          </w:p>
        </w:tc>
        <w:tc>
          <w:tcPr>
            <w:tcW w:w="515" w:type="pct"/>
            <w:tcBorders>
              <w:top w:val="nil"/>
              <w:bottom w:val="single" w:sz="4" w:space="0" w:color="auto"/>
            </w:tcBorders>
            <w:vAlign w:val="center"/>
          </w:tcPr>
          <w:p w:rsidR="00BF2669" w:rsidRDefault="00BF2669">
            <w:pPr>
              <w:jc w:val="center"/>
              <w:rPr>
                <w:rFonts w:cs="Arial"/>
                <w:szCs w:val="20"/>
              </w:rPr>
            </w:pPr>
            <w:r>
              <w:rPr>
                <w:rFonts w:cs="Arial"/>
                <w:szCs w:val="20"/>
              </w:rPr>
              <w:t>75</w:t>
            </w:r>
          </w:p>
        </w:tc>
        <w:tc>
          <w:tcPr>
            <w:tcW w:w="587" w:type="pct"/>
            <w:tcBorders>
              <w:top w:val="nil"/>
              <w:bottom w:val="single" w:sz="4" w:space="0" w:color="auto"/>
            </w:tcBorders>
            <w:vAlign w:val="center"/>
          </w:tcPr>
          <w:p w:rsidR="00BF2669" w:rsidRDefault="00BF2669">
            <w:pPr>
              <w:jc w:val="center"/>
              <w:rPr>
                <w:rFonts w:cs="Arial"/>
                <w:szCs w:val="20"/>
              </w:rPr>
            </w:pPr>
            <w:r>
              <w:rPr>
                <w:rFonts w:cs="Arial"/>
                <w:szCs w:val="20"/>
              </w:rPr>
              <w:t>65</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BF2669" w:rsidP="00EC2CB1">
      <w:r w:rsidRPr="00BF2669">
        <w:rPr>
          <w:noProof/>
          <w:lang w:eastAsia="en-AU"/>
        </w:rPr>
        <w:drawing>
          <wp:inline distT="0" distB="0" distL="0" distR="0" wp14:anchorId="3342EB02" wp14:editId="293E7B4D">
            <wp:extent cx="5731510" cy="1725905"/>
            <wp:effectExtent l="0" t="0" r="2540" b="0"/>
            <wp:docPr id="16" name="Picture 16" descr="Figure 4.2 shows the daily hub offers and bid in within certain price bands in Brisbane this week. The line indicates the scheduled quantity for each day. For a more detailed description of this figure, please refer to the user guide." title="Brisbane daily hub offers and daily hub bids in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BF2669" w:rsidP="00EC2CB1">
      <w:r w:rsidRPr="00BF2669">
        <w:rPr>
          <w:noProof/>
          <w:lang w:eastAsia="en-AU"/>
        </w:rPr>
        <w:drawing>
          <wp:inline distT="0" distB="0" distL="0" distR="0" wp14:anchorId="4512F958" wp14:editId="03F48960">
            <wp:extent cx="5731510" cy="1475616"/>
            <wp:effectExtent l="0" t="0" r="2540" b="0"/>
            <wp:docPr id="34" name="Picture 34" descr="Figure 4.3 shows the daily scheduled and allocated quantities sorted by facility for Brisbane this week. For a more detailed description of this figure, please refer to the user guide.      &#10;      &#10;      &#10;" title="Brisbane net scheduled and allocated gas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BF2669" w:rsidP="00A226E9">
      <w:r w:rsidRPr="00BF2669">
        <w:rPr>
          <w:noProof/>
          <w:lang w:eastAsia="en-AU"/>
        </w:rPr>
        <w:drawing>
          <wp:inline distT="0" distB="0" distL="0" distR="0" wp14:anchorId="51F575BD" wp14:editId="50B2A482">
            <wp:extent cx="5731510" cy="1883137"/>
            <wp:effectExtent l="0" t="0" r="2540" b="3175"/>
            <wp:docPr id="35" name="Picture 35"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9"/>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r w:rsidR="0087350F">
        <w:rPr>
          <w:rStyle w:val="FootnoteReference"/>
          <w:color w:val="2272A3"/>
          <w:szCs w:val="24"/>
        </w:rPr>
        <w:footnoteReference w:id="10"/>
      </w:r>
    </w:p>
    <w:p w:rsidR="00665C0C" w:rsidRDefault="00BF2669">
      <w:pPr>
        <w:spacing w:line="240" w:lineRule="auto"/>
      </w:pPr>
      <w:r>
        <w:rPr>
          <w:b/>
          <w:bCs/>
          <w:noProof/>
          <w:lang w:eastAsia="en-AU"/>
        </w:rPr>
        <w:drawing>
          <wp:inline distT="0" distB="0" distL="0" distR="0">
            <wp:extent cx="5731510" cy="6142275"/>
            <wp:effectExtent l="0" t="0" r="2540" b="0"/>
            <wp:docPr id="38" name="Picture 38"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market data, production and pipeline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393989" w:rsidRDefault="00393989" w:rsidP="00393989">
      <w:pPr>
        <w:jc w:val="both"/>
      </w:pPr>
      <w:r>
        <w:t xml:space="preserve">The Gas Supply </w:t>
      </w:r>
      <w:r w:rsidRPr="00552F68">
        <w:t xml:space="preserve">Hub </w:t>
      </w:r>
      <w:r w:rsidRPr="00552F68">
        <w:rPr>
          <w:b/>
          <w:bCs/>
        </w:rPr>
        <w:t>(GSH)</w:t>
      </w:r>
      <w:r w:rsidRPr="00552F68">
        <w:t xml:space="preserve"> was established in March 2014 for the </w:t>
      </w:r>
      <w:r w:rsidRPr="004D6A5C">
        <w:rPr>
          <w:color w:val="000000" w:themeColor="text1"/>
        </w:rPr>
        <w:t xml:space="preserve">exchange based </w:t>
      </w:r>
      <w:r w:rsidRPr="00552F68">
        <w:t>trading of gas at Wallumbilla</w:t>
      </w:r>
      <w:r w:rsidRPr="00552F68">
        <w:rPr>
          <w:rStyle w:val="FootnoteReference"/>
        </w:rPr>
        <w:footnoteReference w:id="11"/>
      </w:r>
      <w:r w:rsidRPr="00552F68">
        <w:t xml:space="preserve">. The GSH is a voluntary market for the supply of gas traded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w:t>
      </w:r>
      <w:r>
        <w:rPr>
          <w:b/>
        </w:rPr>
        <w:t>P</w:t>
      </w:r>
      <w:r w:rsidRPr="00552F68">
        <w:t>.</w:t>
      </w:r>
    </w:p>
    <w:p w:rsidR="00393989" w:rsidRPr="0052620B" w:rsidRDefault="00393989" w:rsidP="009434AF">
      <w:pPr>
        <w:jc w:val="both"/>
      </w:pPr>
      <w:r w:rsidRPr="00552F68">
        <w:t>There are separate products for each pipeline (each pipeline is considered a trading location, and each has a number of delivery points) and delivery period (daily, day-ahead, balance-of-day, weekly and monthly products).</w:t>
      </w:r>
      <w:r w:rsidRPr="00552F68">
        <w:rPr>
          <w:color w:val="FF0000"/>
        </w:rPr>
        <w:t xml:space="preserve"> </w:t>
      </w:r>
      <w:r w:rsidRPr="00552F68">
        <w:t xml:space="preserve">In June 2016, a new supply hub at Moomba was created to facilitate trade on the </w:t>
      </w:r>
      <w:r w:rsidRPr="000E7D8C">
        <w:rPr>
          <w:b/>
        </w:rPr>
        <w:t>MAP</w:t>
      </w:r>
      <w:r w:rsidRPr="00552F68">
        <w:t xml:space="preserve"> and </w:t>
      </w:r>
      <w:r w:rsidRPr="000E7D8C">
        <w:rPr>
          <w:b/>
        </w:rPr>
        <w:t>MSP</w:t>
      </w:r>
      <w:r w:rsidRPr="00552F68">
        <w:t xml:space="preserve">, and also allow for trading between the Wallumbilla and Moomba markets on the SWQP through a spread product (representing the price differential between the two hubs). </w:t>
      </w:r>
    </w:p>
    <w:p w:rsidR="005169C3" w:rsidRPr="006E2596" w:rsidRDefault="00BF2669" w:rsidP="009434AF">
      <w:pPr>
        <w:jc w:val="both"/>
      </w:pPr>
      <w:r w:rsidRPr="006E2596">
        <w:t xml:space="preserve">This week in the Wallumbilla hub there were 10 trades for </w:t>
      </w:r>
      <w:r w:rsidR="006E2596" w:rsidRPr="00C277BB">
        <w:t xml:space="preserve">61.75TJ </w:t>
      </w:r>
      <w:r w:rsidRPr="00C277BB">
        <w:t xml:space="preserve">of gas at a volume weighted price of </w:t>
      </w:r>
      <w:r w:rsidR="001E0AD9" w:rsidRPr="00C277BB">
        <w:t>$8.75/GJ. One</w:t>
      </w:r>
      <w:r w:rsidRPr="00C277BB">
        <w:t xml:space="preserve"> non-netted weekly product w</w:t>
      </w:r>
      <w:r w:rsidR="001D6C72" w:rsidRPr="00C277BB">
        <w:t>as traded (</w:t>
      </w:r>
      <w:r w:rsidR="006E2596" w:rsidRPr="00C277BB">
        <w:t xml:space="preserve">14TJ, </w:t>
      </w:r>
      <w:r w:rsidR="00C277BB" w:rsidRPr="00C277BB">
        <w:t>$8.25/GJ).</w:t>
      </w:r>
    </w:p>
    <w:p w:rsidR="0052620B" w:rsidRDefault="000C1A94" w:rsidP="0052620B">
      <w:pPr>
        <w:spacing w:before="0" w:line="240" w:lineRule="auto"/>
        <w:rPr>
          <w:rFonts w:ascii="Times New Roman" w:hAnsi="Times New Roman" w:cs="Times New Roman"/>
          <w:sz w:val="24"/>
          <w:szCs w:val="24"/>
          <w:lang w:eastAsia="en-AU"/>
        </w:rPr>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52620B">
        <w:rPr>
          <w:rStyle w:val="FootnoteReference"/>
        </w:rPr>
        <w:footnoteReference w:id="12"/>
      </w:r>
      <w:r w:rsidR="0052620B">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46493C" w:rsidP="00E16EDC">
      <w:r w:rsidRPr="0046493C">
        <w:rPr>
          <w:noProof/>
          <w:lang w:eastAsia="en-AU"/>
        </w:rPr>
        <w:drawing>
          <wp:inline distT="0" distB="0" distL="0" distR="0" wp14:anchorId="689781C6" wp14:editId="175A7EB8">
            <wp:extent cx="5731510" cy="3125521"/>
            <wp:effectExtent l="0" t="0" r="2540" b="0"/>
            <wp:docPr id="2" name="Picture 2"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5521"/>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C277BB">
        <w:t xml:space="preserve">December </w:t>
      </w:r>
      <w:r w:rsidR="00C4712A" w:rsidRPr="009434AF">
        <w:t>2016</w:t>
      </w:r>
      <w:bookmarkStart w:id="6" w:name="_GoBack"/>
      <w:bookmarkEnd w:id="6"/>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A14" w:rsidRDefault="00842A14" w:rsidP="004B4412">
      <w:pPr>
        <w:spacing w:before="0"/>
      </w:pPr>
      <w:r>
        <w:separator/>
      </w:r>
    </w:p>
  </w:endnote>
  <w:endnote w:type="continuationSeparator" w:id="0">
    <w:p w:rsidR="00842A14" w:rsidRDefault="00842A14"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A14" w:rsidRPr="00A91A9E" w:rsidRDefault="00842A14"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842A14" w:rsidRDefault="00842A14"/>
  <w:p w:rsidR="00842A14" w:rsidRDefault="00842A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A14" w:rsidRPr="00A94D89" w:rsidRDefault="00842A14"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9E5C4C">
      <w:rPr>
        <w:rFonts w:cs="Arial"/>
        <w:i/>
        <w:noProof/>
      </w:rPr>
      <w:t>11</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A14" w:rsidRPr="00A94D89" w:rsidRDefault="00842A14"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9E5C4C">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sidR="00015294">
      <w:rPr>
        <w:rFonts w:cs="Arial"/>
        <w:i/>
        <w:szCs w:val="18"/>
      </w:rPr>
      <w:t>7/590</w:t>
    </w:r>
  </w:p>
  <w:p w:rsidR="00842A14" w:rsidRDefault="00842A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A14" w:rsidRDefault="00842A14" w:rsidP="004B4412">
      <w:pPr>
        <w:spacing w:before="0"/>
      </w:pPr>
      <w:r>
        <w:separator/>
      </w:r>
    </w:p>
  </w:footnote>
  <w:footnote w:type="continuationSeparator" w:id="0">
    <w:p w:rsidR="00842A14" w:rsidRDefault="00842A14" w:rsidP="004B4412">
      <w:pPr>
        <w:spacing w:before="0"/>
      </w:pPr>
      <w:r>
        <w:continuationSeparator/>
      </w:r>
    </w:p>
  </w:footnote>
  <w:footnote w:id="1">
    <w:p w:rsidR="00842A14" w:rsidRPr="000835F4" w:rsidRDefault="00842A14"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842A14" w:rsidRPr="00EC2CB1" w:rsidRDefault="00842A1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3">
    <w:p w:rsidR="00842A14" w:rsidRPr="00EC2CB1" w:rsidRDefault="00842A1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4">
    <w:p w:rsidR="00842A14" w:rsidRPr="00EC2CB1" w:rsidRDefault="00842A14"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5">
    <w:p w:rsidR="00842A14" w:rsidRPr="00551D6B" w:rsidRDefault="00842A14"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6">
    <w:p w:rsidR="00842A14" w:rsidRPr="00551D6B" w:rsidRDefault="00842A14"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842A14" w:rsidRPr="00552F68" w:rsidRDefault="00842A14"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8">
    <w:p w:rsidR="00842A14" w:rsidRPr="0087350F" w:rsidRDefault="00842A14" w:rsidP="00034A40">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842A14" w:rsidRPr="0087350F" w:rsidRDefault="00842A14" w:rsidP="003D30EE">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842A14" w:rsidRPr="0087350F" w:rsidRDefault="00842A14" w:rsidP="00551D6B">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9">
    <w:p w:rsidR="00842A14" w:rsidRPr="0087350F" w:rsidRDefault="00842A14" w:rsidP="001C3452">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p>
  </w:footnote>
  <w:footnote w:id="10">
    <w:p w:rsidR="00842A14" w:rsidRDefault="00842A14" w:rsidP="00743977">
      <w:pPr>
        <w:pStyle w:val="FootnoteText"/>
        <w:spacing w:before="0"/>
        <w:ind w:left="709" w:hanging="709"/>
        <w:jc w:val="both"/>
      </w:pPr>
      <w:r w:rsidRPr="0087350F">
        <w:rPr>
          <w:rStyle w:val="FootnoteReference"/>
          <w:sz w:val="20"/>
        </w:rPr>
        <w:footnoteRef/>
      </w:r>
      <w:r w:rsidRPr="0087350F">
        <w:rPr>
          <w:sz w:val="20"/>
        </w:rPr>
        <w:t xml:space="preserve"> </w:t>
      </w:r>
      <w:r>
        <w:tab/>
      </w:r>
      <w:r w:rsidRPr="008C414B">
        <w:t>Numbers for QSN Link, Port Campbell (Otway basin) and Gippsland (Eastern Victoria) have been adjusted to account for changes to Bulletin Board flows which came into effect from 6 October</w:t>
      </w:r>
      <w:r>
        <w:t xml:space="preserve"> (see </w:t>
      </w:r>
      <w:hyperlink r:id="rId1" w:history="1">
        <w:r w:rsidRPr="00C7790E">
          <w:rPr>
            <w:rStyle w:val="Hyperlink"/>
            <w:sz w:val="16"/>
          </w:rPr>
          <w:t>gas</w:t>
        </w:r>
        <w:r>
          <w:rPr>
            <w:rStyle w:val="Hyperlink"/>
            <w:sz w:val="16"/>
          </w:rPr>
          <w:t xml:space="preserve"> </w:t>
        </w:r>
        <w:r w:rsidRPr="00C7790E">
          <w:rPr>
            <w:rStyle w:val="Hyperlink"/>
            <w:sz w:val="16"/>
          </w:rPr>
          <w:t>report</w:t>
        </w:r>
        <w:r>
          <w:rPr>
            <w:rStyle w:val="Hyperlink"/>
            <w:sz w:val="16"/>
          </w:rPr>
          <w:t xml:space="preserve"> </w:t>
        </w:r>
        <w:r w:rsidRPr="00C7790E">
          <w:rPr>
            <w:rStyle w:val="Hyperlink"/>
            <w:sz w:val="16"/>
          </w:rPr>
          <w:t>2-8</w:t>
        </w:r>
        <w:r>
          <w:rPr>
            <w:rStyle w:val="Hyperlink"/>
            <w:sz w:val="16"/>
          </w:rPr>
          <w:t xml:space="preserve"> O</w:t>
        </w:r>
        <w:r w:rsidRPr="00C7790E">
          <w:rPr>
            <w:rStyle w:val="Hyperlink"/>
            <w:sz w:val="16"/>
          </w:rPr>
          <w:t>ctober</w:t>
        </w:r>
        <w:r>
          <w:rPr>
            <w:rStyle w:val="Hyperlink"/>
            <w:sz w:val="16"/>
          </w:rPr>
          <w:t xml:space="preserve"> </w:t>
        </w:r>
        <w:r w:rsidRPr="00C7790E">
          <w:rPr>
            <w:rStyle w:val="Hyperlink"/>
            <w:sz w:val="16"/>
          </w:rPr>
          <w:t>2016</w:t>
        </w:r>
      </w:hyperlink>
      <w:r>
        <w:t>)</w:t>
      </w:r>
      <w:r w:rsidRPr="008C414B">
        <w:t>. Individual facilities are now required to report ‘receipts’ separate to ‘deliveries’, rather than net flows.</w:t>
      </w:r>
    </w:p>
  </w:footnote>
  <w:footnote w:id="11">
    <w:p w:rsidR="00393989" w:rsidRPr="00CD62F0" w:rsidRDefault="00393989" w:rsidP="00393989">
      <w:pPr>
        <w:pStyle w:val="FootnoteText"/>
        <w:spacing w:before="0"/>
        <w:ind w:left="709" w:hanging="709"/>
        <w:jc w:val="both"/>
        <w:rPr>
          <w:color w:val="000000" w:themeColor="text1"/>
          <w:szCs w:val="16"/>
        </w:rPr>
      </w:pPr>
      <w:r w:rsidRPr="00CD62F0">
        <w:rPr>
          <w:rStyle w:val="FootnoteReference"/>
          <w:sz w:val="22"/>
          <w:szCs w:val="22"/>
        </w:rPr>
        <w:footnoteRef/>
      </w:r>
      <w:r w:rsidRPr="001C3452">
        <w:rPr>
          <w:szCs w:val="16"/>
        </w:rPr>
        <w:t xml:space="preserve"> </w:t>
      </w:r>
      <w:r w:rsidRPr="001C3452">
        <w:rPr>
          <w:szCs w:val="16"/>
        </w:rPr>
        <w:tab/>
        <w:t xml:space="preserve">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w:t>
      </w:r>
      <w:r w:rsidRPr="00CD62F0">
        <w:rPr>
          <w:color w:val="000000" w:themeColor="text1"/>
          <w:szCs w:val="16"/>
        </w:rPr>
        <w:t>matched on the exchange to form transactions.</w:t>
      </w:r>
    </w:p>
  </w:footnote>
  <w:footnote w:id="12">
    <w:p w:rsidR="0052620B" w:rsidRDefault="0052620B" w:rsidP="0052620B">
      <w:pPr>
        <w:pStyle w:val="FootnoteText"/>
        <w:ind w:left="709" w:hanging="709"/>
        <w:jc w:val="both"/>
      </w:pPr>
      <w:r w:rsidRPr="008A0165">
        <w:rPr>
          <w:rStyle w:val="FootnoteReference"/>
          <w:sz w:val="20"/>
        </w:rPr>
        <w:footnoteRef/>
      </w:r>
      <w:r w:rsidRPr="008A0165">
        <w:rPr>
          <w:sz w:val="20"/>
        </w:rPr>
        <w:t xml:space="preserve"> </w:t>
      </w:r>
      <w:r w:rsidRPr="008A0165">
        <w:rPr>
          <w:sz w:val="20"/>
        </w:rPr>
        <w:tab/>
      </w:r>
      <w:r>
        <w:t>Non-netted (off-market) trades, allowing the selection of specific delivery point at a trading location, are denoted as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3644\D17 590  20161218 - 20161224 gas weekly report (WAL non-netted).DOCX"/>
  </w:docVars>
  <w:rsids>
    <w:rsidRoot w:val="00275002"/>
    <w:rsid w:val="00000817"/>
    <w:rsid w:val="00000BFE"/>
    <w:rsid w:val="00000CC3"/>
    <w:rsid w:val="00003169"/>
    <w:rsid w:val="00005D12"/>
    <w:rsid w:val="0000728F"/>
    <w:rsid w:val="00007624"/>
    <w:rsid w:val="000128E1"/>
    <w:rsid w:val="0001415C"/>
    <w:rsid w:val="000147C1"/>
    <w:rsid w:val="00014D5F"/>
    <w:rsid w:val="00015294"/>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212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B2B"/>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157E"/>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6C72"/>
    <w:rsid w:val="001D7698"/>
    <w:rsid w:val="001D7FB7"/>
    <w:rsid w:val="001E01B4"/>
    <w:rsid w:val="001E0AD9"/>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67F53"/>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995"/>
    <w:rsid w:val="002C3E5B"/>
    <w:rsid w:val="002C42B0"/>
    <w:rsid w:val="002C4965"/>
    <w:rsid w:val="002C581B"/>
    <w:rsid w:val="002C621D"/>
    <w:rsid w:val="002C6B96"/>
    <w:rsid w:val="002C6DD3"/>
    <w:rsid w:val="002D1734"/>
    <w:rsid w:val="002D37FB"/>
    <w:rsid w:val="002D484E"/>
    <w:rsid w:val="002D4A1F"/>
    <w:rsid w:val="002D767C"/>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3989"/>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40C0"/>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493C"/>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905"/>
    <w:rsid w:val="00505B5E"/>
    <w:rsid w:val="00506624"/>
    <w:rsid w:val="00510A43"/>
    <w:rsid w:val="005169C3"/>
    <w:rsid w:val="005177C0"/>
    <w:rsid w:val="00522360"/>
    <w:rsid w:val="00522486"/>
    <w:rsid w:val="00522668"/>
    <w:rsid w:val="00523AD2"/>
    <w:rsid w:val="00524513"/>
    <w:rsid w:val="0052620B"/>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6F04"/>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2596"/>
    <w:rsid w:val="006E5F3E"/>
    <w:rsid w:val="006E78CF"/>
    <w:rsid w:val="006F0601"/>
    <w:rsid w:val="006F0B54"/>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6D30"/>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26AA"/>
    <w:rsid w:val="008033C4"/>
    <w:rsid w:val="00804BF1"/>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2A14"/>
    <w:rsid w:val="008445D3"/>
    <w:rsid w:val="00845396"/>
    <w:rsid w:val="00847ED9"/>
    <w:rsid w:val="00851209"/>
    <w:rsid w:val="0085188E"/>
    <w:rsid w:val="00851B46"/>
    <w:rsid w:val="00852B3D"/>
    <w:rsid w:val="008556A5"/>
    <w:rsid w:val="00856965"/>
    <w:rsid w:val="00857917"/>
    <w:rsid w:val="00861AED"/>
    <w:rsid w:val="008641F5"/>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0165"/>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52B"/>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34AF"/>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54D"/>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5C4C"/>
    <w:rsid w:val="009E6668"/>
    <w:rsid w:val="009E7749"/>
    <w:rsid w:val="009E7AC6"/>
    <w:rsid w:val="009E7D2D"/>
    <w:rsid w:val="009F0A79"/>
    <w:rsid w:val="009F1D03"/>
    <w:rsid w:val="009F1E42"/>
    <w:rsid w:val="009F2CAC"/>
    <w:rsid w:val="009F4806"/>
    <w:rsid w:val="009F4940"/>
    <w:rsid w:val="00A03FE6"/>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3A84"/>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6A55"/>
    <w:rsid w:val="00AA73F0"/>
    <w:rsid w:val="00AB6478"/>
    <w:rsid w:val="00AB6927"/>
    <w:rsid w:val="00AC0FE9"/>
    <w:rsid w:val="00AC1B2C"/>
    <w:rsid w:val="00AC1CF3"/>
    <w:rsid w:val="00AC242C"/>
    <w:rsid w:val="00AC3264"/>
    <w:rsid w:val="00AC48DA"/>
    <w:rsid w:val="00AC4BF5"/>
    <w:rsid w:val="00AD0424"/>
    <w:rsid w:val="00AD1234"/>
    <w:rsid w:val="00AD36D0"/>
    <w:rsid w:val="00AD3987"/>
    <w:rsid w:val="00AD3D69"/>
    <w:rsid w:val="00AD592F"/>
    <w:rsid w:val="00AD6D98"/>
    <w:rsid w:val="00AD76AE"/>
    <w:rsid w:val="00AE0399"/>
    <w:rsid w:val="00AE18EA"/>
    <w:rsid w:val="00AE1BF1"/>
    <w:rsid w:val="00AE1CBF"/>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3F42"/>
    <w:rsid w:val="00BC4CD2"/>
    <w:rsid w:val="00BC614B"/>
    <w:rsid w:val="00BC6398"/>
    <w:rsid w:val="00BC675F"/>
    <w:rsid w:val="00BC7369"/>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044"/>
    <w:rsid w:val="00BE7DBC"/>
    <w:rsid w:val="00BF19CB"/>
    <w:rsid w:val="00BF1BF5"/>
    <w:rsid w:val="00BF1E45"/>
    <w:rsid w:val="00BF2669"/>
    <w:rsid w:val="00BF295F"/>
    <w:rsid w:val="00BF4639"/>
    <w:rsid w:val="00BF65C1"/>
    <w:rsid w:val="00BF771C"/>
    <w:rsid w:val="00C008E0"/>
    <w:rsid w:val="00C008FE"/>
    <w:rsid w:val="00C01734"/>
    <w:rsid w:val="00C024A5"/>
    <w:rsid w:val="00C030BB"/>
    <w:rsid w:val="00C03C71"/>
    <w:rsid w:val="00C04914"/>
    <w:rsid w:val="00C052D7"/>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277BB"/>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CA"/>
    <w:rsid w:val="00C672E0"/>
    <w:rsid w:val="00C67D06"/>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11C8"/>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170DD"/>
    <w:rsid w:val="00D22BD4"/>
    <w:rsid w:val="00D22E23"/>
    <w:rsid w:val="00D2306D"/>
    <w:rsid w:val="00D250AC"/>
    <w:rsid w:val="00D270E1"/>
    <w:rsid w:val="00D323D0"/>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40D9"/>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3D6"/>
    <w:rsid w:val="00EF1961"/>
    <w:rsid w:val="00EF3FB8"/>
    <w:rsid w:val="00EF5110"/>
    <w:rsid w:val="00EF62CA"/>
    <w:rsid w:val="00EF69CB"/>
    <w:rsid w:val="00F00587"/>
    <w:rsid w:val="00F019C5"/>
    <w:rsid w:val="00F02D9B"/>
    <w:rsid w:val="00F031FE"/>
    <w:rsid w:val="00F05EAD"/>
    <w:rsid w:val="00F06B5B"/>
    <w:rsid w:val="00F072C7"/>
    <w:rsid w:val="00F07CFA"/>
    <w:rsid w:val="00F10CDA"/>
    <w:rsid w:val="00F113FD"/>
    <w:rsid w:val="00F13B99"/>
    <w:rsid w:val="00F13EAA"/>
    <w:rsid w:val="00F1535C"/>
    <w:rsid w:val="00F15882"/>
    <w:rsid w:val="00F15AB9"/>
    <w:rsid w:val="00F167CF"/>
    <w:rsid w:val="00F16858"/>
    <w:rsid w:val="00F1785E"/>
    <w:rsid w:val="00F20BD3"/>
    <w:rsid w:val="00F23C6C"/>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453B"/>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0834"/>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499248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258831142">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aer.gov.au/wholesale-markets/market-performance/gas-report-2-8-october2016"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654D66-D00D-456B-9840-D6B2262B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526BFE33.dotm</Template>
  <TotalTime>0</TotalTime>
  <Pages>11</Pages>
  <Words>1600</Words>
  <Characters>9124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2017-03-17T04:34:00Z</dcterms:created>
  <dcterms:modified xsi:type="dcterms:W3CDTF">2017-03-17T04:34:00Z</dcterms:modified>
</cp:coreProperties>
</file>