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106EEF" w:rsidP="00286866">
      <w:pPr>
        <w:pStyle w:val="Heading2"/>
        <w:rPr>
          <w:i/>
        </w:rPr>
      </w:pPr>
      <w:r>
        <w:rPr>
          <w:sz w:val="36"/>
          <w:szCs w:val="36"/>
        </w:rPr>
        <w:t>17 – 23 July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282369" w:rsidRDefault="00282369" w:rsidP="00F26128">
      <w:pPr>
        <w:jc w:val="both"/>
      </w:pPr>
      <w:r w:rsidRPr="00282369">
        <w:t>Average prices, and demand in southern markets, decreased this week</w:t>
      </w:r>
      <w:r w:rsidR="003B24AD">
        <w:t xml:space="preserve"> compared to the previous week</w:t>
      </w:r>
      <w:r w:rsidRPr="00282369">
        <w:t xml:space="preserve">. Figure 2 shows the daily prices reduced to </w:t>
      </w:r>
      <w:r w:rsidR="003B24AD">
        <w:t xml:space="preserve">between </w:t>
      </w:r>
      <w:r w:rsidRPr="00282369">
        <w:t>$6</w:t>
      </w:r>
      <w:r w:rsidR="00E14B2B">
        <w:t>/GJ</w:t>
      </w:r>
      <w:r w:rsidRPr="00282369">
        <w:t xml:space="preserve"> </w:t>
      </w:r>
      <w:r w:rsidR="00275508">
        <w:t>–</w:t>
      </w:r>
      <w:r w:rsidRPr="00282369">
        <w:t xml:space="preserve"> $10/GJ across most of the week, with the exception of Adelaide where ex ante prices remained above $14/GJ until mid-week.</w:t>
      </w:r>
      <w:r w:rsidRPr="00282369">
        <w:rPr>
          <w:rStyle w:val="FootnoteReference"/>
        </w:rPr>
        <w:footnoteReference w:id="1"/>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w:t>
      </w:r>
      <w:r w:rsidR="00320329">
        <w:t xml:space="preserve"> </w:t>
      </w:r>
      <w:r w:rsidRPr="00EC137F">
        <w:t>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D159F8">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C5445B" w:rsidRPr="006A7228" w:rsidTr="00534DD9">
        <w:trPr>
          <w:trHeight w:val="510"/>
        </w:trPr>
        <w:tc>
          <w:tcPr>
            <w:tcW w:w="749" w:type="pct"/>
            <w:tcBorders>
              <w:top w:val="nil"/>
              <w:bottom w:val="nil"/>
            </w:tcBorders>
            <w:vAlign w:val="center"/>
          </w:tcPr>
          <w:p w:rsidR="00C5445B" w:rsidRDefault="00C5445B">
            <w:pPr>
              <w:rPr>
                <w:rFonts w:cs="Arial"/>
                <w:sz w:val="16"/>
                <w:szCs w:val="16"/>
              </w:rPr>
            </w:pPr>
            <w:r>
              <w:rPr>
                <w:rFonts w:cs="Arial"/>
                <w:sz w:val="16"/>
                <w:szCs w:val="16"/>
              </w:rPr>
              <w:t>17 Jul - 23 Jul 2016</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9.42</w:t>
            </w:r>
          </w:p>
        </w:tc>
        <w:tc>
          <w:tcPr>
            <w:tcW w:w="441"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806</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7.91</w:t>
            </w:r>
          </w:p>
        </w:tc>
        <w:tc>
          <w:tcPr>
            <w:tcW w:w="417"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267</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12.18</w:t>
            </w:r>
          </w:p>
        </w:tc>
        <w:tc>
          <w:tcPr>
            <w:tcW w:w="310"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84</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7.52</w:t>
            </w:r>
          </w:p>
        </w:tc>
        <w:tc>
          <w:tcPr>
            <w:tcW w:w="363"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96</w:t>
            </w:r>
          </w:p>
        </w:tc>
        <w:tc>
          <w:tcPr>
            <w:tcW w:w="330"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7.29</w:t>
            </w:r>
          </w:p>
        </w:tc>
        <w:tc>
          <w:tcPr>
            <w:tcW w:w="35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79</w:t>
            </w:r>
          </w:p>
        </w:tc>
        <w:tc>
          <w:tcPr>
            <w:tcW w:w="303" w:type="pct"/>
            <w:gridSpan w:val="2"/>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w:t>
            </w:r>
          </w:p>
        </w:tc>
      </w:tr>
      <w:tr w:rsidR="00C5445B"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C5445B" w:rsidRDefault="00C5445B">
            <w:pPr>
              <w:rPr>
                <w:rFonts w:cs="Arial"/>
                <w:sz w:val="16"/>
                <w:szCs w:val="16"/>
              </w:rPr>
            </w:pPr>
            <w:r>
              <w:rPr>
                <w:rFonts w:cs="Arial"/>
                <w:sz w:val="16"/>
                <w:szCs w:val="16"/>
              </w:rPr>
              <w:t>% change from previous week</w:t>
            </w:r>
          </w:p>
        </w:tc>
        <w:tc>
          <w:tcPr>
            <w:tcW w:w="329" w:type="pct"/>
            <w:tcBorders>
              <w:top w:val="nil"/>
              <w:bottom w:val="nil"/>
            </w:tcBorders>
            <w:vAlign w:val="center"/>
          </w:tcPr>
          <w:p w:rsidR="00C5445B" w:rsidRDefault="00C5445B" w:rsidP="00C5445B">
            <w:pPr>
              <w:ind w:left="-106" w:right="-70"/>
              <w:jc w:val="center"/>
              <w:rPr>
                <w:rFonts w:cs="Arial"/>
                <w:szCs w:val="20"/>
              </w:rPr>
            </w:pPr>
            <w:r>
              <w:rPr>
                <w:rFonts w:cs="Arial"/>
                <w:szCs w:val="20"/>
              </w:rPr>
              <w:t>-47</w:t>
            </w:r>
          </w:p>
        </w:tc>
        <w:tc>
          <w:tcPr>
            <w:tcW w:w="441" w:type="pct"/>
            <w:tcBorders>
              <w:top w:val="nil"/>
              <w:bottom w:val="nil"/>
            </w:tcBorders>
            <w:vAlign w:val="center"/>
          </w:tcPr>
          <w:p w:rsidR="00C5445B" w:rsidRDefault="00C5445B" w:rsidP="00C5445B">
            <w:pPr>
              <w:ind w:left="-106" w:right="-70"/>
              <w:jc w:val="center"/>
              <w:rPr>
                <w:rFonts w:cs="Arial"/>
                <w:szCs w:val="20"/>
              </w:rPr>
            </w:pPr>
            <w:r>
              <w:rPr>
                <w:rFonts w:cs="Arial"/>
                <w:szCs w:val="20"/>
              </w:rPr>
              <w:t>-17</w:t>
            </w:r>
          </w:p>
        </w:tc>
        <w:tc>
          <w:tcPr>
            <w:tcW w:w="329" w:type="pct"/>
            <w:tcBorders>
              <w:top w:val="nil"/>
              <w:bottom w:val="nil"/>
            </w:tcBorders>
            <w:vAlign w:val="center"/>
          </w:tcPr>
          <w:p w:rsidR="00C5445B" w:rsidRDefault="00C5445B" w:rsidP="00C5445B">
            <w:pPr>
              <w:ind w:left="-106" w:right="-70"/>
              <w:jc w:val="center"/>
              <w:rPr>
                <w:rFonts w:cs="Arial"/>
                <w:szCs w:val="20"/>
              </w:rPr>
            </w:pPr>
            <w:r>
              <w:rPr>
                <w:rFonts w:cs="Arial"/>
                <w:szCs w:val="20"/>
              </w:rPr>
              <w:t>-34</w:t>
            </w:r>
          </w:p>
        </w:tc>
        <w:tc>
          <w:tcPr>
            <w:tcW w:w="417" w:type="pct"/>
            <w:tcBorders>
              <w:top w:val="nil"/>
              <w:bottom w:val="nil"/>
            </w:tcBorders>
            <w:vAlign w:val="center"/>
          </w:tcPr>
          <w:p w:rsidR="00C5445B" w:rsidRDefault="00C5445B" w:rsidP="00C5445B">
            <w:pPr>
              <w:ind w:left="-106" w:right="-70"/>
              <w:jc w:val="center"/>
              <w:rPr>
                <w:rFonts w:cs="Arial"/>
                <w:szCs w:val="20"/>
              </w:rPr>
            </w:pPr>
            <w:r>
              <w:rPr>
                <w:rFonts w:cs="Arial"/>
                <w:szCs w:val="20"/>
              </w:rPr>
              <w:t>-13</w:t>
            </w:r>
          </w:p>
        </w:tc>
        <w:tc>
          <w:tcPr>
            <w:tcW w:w="329" w:type="pct"/>
            <w:tcBorders>
              <w:top w:val="nil"/>
              <w:bottom w:val="nil"/>
            </w:tcBorders>
            <w:vAlign w:val="center"/>
          </w:tcPr>
          <w:p w:rsidR="00C5445B" w:rsidRDefault="00C5445B" w:rsidP="00C5445B">
            <w:pPr>
              <w:ind w:left="-106" w:right="-70"/>
              <w:jc w:val="center"/>
              <w:rPr>
                <w:rFonts w:cs="Arial"/>
                <w:szCs w:val="20"/>
              </w:rPr>
            </w:pPr>
            <w:r>
              <w:rPr>
                <w:rFonts w:cs="Arial"/>
                <w:szCs w:val="20"/>
              </w:rPr>
              <w:t>-33</w:t>
            </w:r>
          </w:p>
        </w:tc>
        <w:tc>
          <w:tcPr>
            <w:tcW w:w="310" w:type="pct"/>
            <w:tcBorders>
              <w:top w:val="nil"/>
              <w:bottom w:val="nil"/>
            </w:tcBorders>
            <w:vAlign w:val="center"/>
          </w:tcPr>
          <w:p w:rsidR="00C5445B" w:rsidRDefault="00C5445B" w:rsidP="00C5445B">
            <w:pPr>
              <w:ind w:left="-106" w:right="-70"/>
              <w:jc w:val="center"/>
              <w:rPr>
                <w:rFonts w:cs="Arial"/>
                <w:szCs w:val="20"/>
              </w:rPr>
            </w:pPr>
            <w:r>
              <w:rPr>
                <w:rFonts w:cs="Arial"/>
                <w:szCs w:val="20"/>
              </w:rPr>
              <w:t>-12</w:t>
            </w:r>
          </w:p>
        </w:tc>
        <w:tc>
          <w:tcPr>
            <w:tcW w:w="329" w:type="pct"/>
            <w:tcBorders>
              <w:top w:val="nil"/>
              <w:bottom w:val="nil"/>
            </w:tcBorders>
            <w:vAlign w:val="center"/>
          </w:tcPr>
          <w:p w:rsidR="00C5445B" w:rsidRDefault="00C5445B" w:rsidP="00C5445B">
            <w:pPr>
              <w:ind w:left="-106" w:right="-70"/>
              <w:jc w:val="center"/>
              <w:rPr>
                <w:rFonts w:cs="Arial"/>
                <w:szCs w:val="20"/>
              </w:rPr>
            </w:pPr>
            <w:r>
              <w:rPr>
                <w:rFonts w:cs="Arial"/>
                <w:szCs w:val="20"/>
              </w:rPr>
              <w:t>-33</w:t>
            </w:r>
          </w:p>
        </w:tc>
        <w:tc>
          <w:tcPr>
            <w:tcW w:w="363" w:type="pct"/>
            <w:tcBorders>
              <w:top w:val="nil"/>
              <w:bottom w:val="nil"/>
            </w:tcBorders>
            <w:vAlign w:val="center"/>
          </w:tcPr>
          <w:p w:rsidR="00C5445B" w:rsidRDefault="00C5445B" w:rsidP="00C5445B">
            <w:pPr>
              <w:ind w:left="-106" w:right="-70"/>
              <w:jc w:val="center"/>
              <w:rPr>
                <w:rFonts w:cs="Arial"/>
                <w:szCs w:val="20"/>
              </w:rPr>
            </w:pPr>
            <w:r>
              <w:rPr>
                <w:rFonts w:cs="Arial"/>
                <w:szCs w:val="20"/>
              </w:rPr>
              <w:t>1</w:t>
            </w:r>
          </w:p>
        </w:tc>
        <w:tc>
          <w:tcPr>
            <w:tcW w:w="330" w:type="pct"/>
            <w:tcBorders>
              <w:top w:val="nil"/>
              <w:bottom w:val="nil"/>
            </w:tcBorders>
            <w:vAlign w:val="center"/>
          </w:tcPr>
          <w:p w:rsidR="00C5445B" w:rsidRDefault="00C5445B" w:rsidP="00C5445B">
            <w:pPr>
              <w:ind w:left="-106" w:right="-70"/>
              <w:jc w:val="center"/>
              <w:rPr>
                <w:rFonts w:cs="Arial"/>
                <w:szCs w:val="20"/>
              </w:rPr>
            </w:pPr>
            <w:r>
              <w:rPr>
                <w:rFonts w:cs="Arial"/>
                <w:szCs w:val="20"/>
              </w:rPr>
              <w:t>-24</w:t>
            </w:r>
          </w:p>
        </w:tc>
        <w:tc>
          <w:tcPr>
            <w:tcW w:w="359" w:type="pct"/>
            <w:tcBorders>
              <w:top w:val="nil"/>
              <w:bottom w:val="nil"/>
            </w:tcBorders>
            <w:vAlign w:val="center"/>
          </w:tcPr>
          <w:p w:rsidR="00C5445B" w:rsidRDefault="00C5445B" w:rsidP="00C5445B">
            <w:pPr>
              <w:ind w:left="-106" w:right="-70"/>
              <w:jc w:val="center"/>
              <w:rPr>
                <w:rFonts w:cs="Arial"/>
                <w:szCs w:val="20"/>
              </w:rPr>
            </w:pPr>
            <w:r>
              <w:rPr>
                <w:rFonts w:cs="Arial"/>
                <w:szCs w:val="20"/>
              </w:rPr>
              <w:t>-69</w:t>
            </w:r>
          </w:p>
        </w:tc>
        <w:tc>
          <w:tcPr>
            <w:tcW w:w="303" w:type="pct"/>
            <w:gridSpan w:val="2"/>
            <w:tcBorders>
              <w:top w:val="nil"/>
              <w:bottom w:val="nil"/>
            </w:tcBorders>
            <w:vAlign w:val="center"/>
          </w:tcPr>
          <w:p w:rsidR="00C5445B" w:rsidRDefault="00C5445B" w:rsidP="00C5445B">
            <w:pPr>
              <w:ind w:left="-106" w:right="-70"/>
              <w:jc w:val="center"/>
              <w:rPr>
                <w:rFonts w:cs="Arial"/>
                <w:szCs w:val="20"/>
              </w:rPr>
            </w:pPr>
            <w:r>
              <w:rPr>
                <w:rFonts w:cs="Arial"/>
                <w:szCs w:val="20"/>
              </w:rPr>
              <w:t>-</w:t>
            </w:r>
          </w:p>
        </w:tc>
        <w:tc>
          <w:tcPr>
            <w:tcW w:w="412" w:type="pct"/>
            <w:tcBorders>
              <w:top w:val="nil"/>
              <w:bottom w:val="nil"/>
            </w:tcBorders>
            <w:vAlign w:val="center"/>
          </w:tcPr>
          <w:p w:rsidR="00C5445B" w:rsidRDefault="00C5445B" w:rsidP="00C5445B">
            <w:pPr>
              <w:ind w:left="-106" w:right="-70"/>
              <w:jc w:val="center"/>
              <w:rPr>
                <w:rFonts w:cs="Arial"/>
                <w:szCs w:val="20"/>
              </w:rPr>
            </w:pPr>
            <w:r>
              <w:rPr>
                <w:rFonts w:cs="Arial"/>
                <w:szCs w:val="20"/>
              </w:rPr>
              <w:t>-</w:t>
            </w:r>
          </w:p>
        </w:tc>
      </w:tr>
      <w:tr w:rsidR="00C5445B" w:rsidRPr="006A7228" w:rsidTr="00534DD9">
        <w:trPr>
          <w:trHeight w:val="510"/>
        </w:trPr>
        <w:tc>
          <w:tcPr>
            <w:tcW w:w="749" w:type="pct"/>
            <w:tcBorders>
              <w:top w:val="nil"/>
              <w:bottom w:val="nil"/>
            </w:tcBorders>
            <w:vAlign w:val="center"/>
          </w:tcPr>
          <w:p w:rsidR="00C5445B" w:rsidRDefault="00C5445B">
            <w:pPr>
              <w:rPr>
                <w:rFonts w:cs="Arial"/>
                <w:sz w:val="16"/>
                <w:szCs w:val="16"/>
              </w:rPr>
            </w:pPr>
            <w:r>
              <w:rPr>
                <w:rFonts w:cs="Arial"/>
                <w:sz w:val="16"/>
                <w:szCs w:val="16"/>
              </w:rPr>
              <w:t>16-17 financial YTD</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13.54</w:t>
            </w:r>
          </w:p>
        </w:tc>
        <w:tc>
          <w:tcPr>
            <w:tcW w:w="441"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903</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10.88</w:t>
            </w:r>
          </w:p>
        </w:tc>
        <w:tc>
          <w:tcPr>
            <w:tcW w:w="417"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292</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16.56</w:t>
            </w:r>
          </w:p>
        </w:tc>
        <w:tc>
          <w:tcPr>
            <w:tcW w:w="310"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90</w:t>
            </w:r>
          </w:p>
        </w:tc>
        <w:tc>
          <w:tcPr>
            <w:tcW w:w="32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11.61</w:t>
            </w:r>
          </w:p>
        </w:tc>
        <w:tc>
          <w:tcPr>
            <w:tcW w:w="363"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96</w:t>
            </w:r>
          </w:p>
        </w:tc>
        <w:tc>
          <w:tcPr>
            <w:tcW w:w="330"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9.23</w:t>
            </w:r>
          </w:p>
        </w:tc>
        <w:tc>
          <w:tcPr>
            <w:tcW w:w="359"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2717</w:t>
            </w:r>
          </w:p>
        </w:tc>
        <w:tc>
          <w:tcPr>
            <w:tcW w:w="303" w:type="pct"/>
            <w:gridSpan w:val="2"/>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5445B" w:rsidRDefault="00C5445B" w:rsidP="00C5445B">
            <w:pPr>
              <w:ind w:left="-106" w:right="-70"/>
              <w:jc w:val="center"/>
              <w:rPr>
                <w:rFonts w:cs="Arial"/>
                <w:sz w:val="20"/>
                <w:szCs w:val="20"/>
              </w:rPr>
            </w:pPr>
            <w:r>
              <w:rPr>
                <w:rFonts w:cs="Arial"/>
                <w:sz w:val="20"/>
                <w:szCs w:val="20"/>
              </w:rPr>
              <w:t>-</w:t>
            </w:r>
          </w:p>
        </w:tc>
      </w:tr>
      <w:tr w:rsidR="00C5445B"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C5445B" w:rsidRDefault="00C5445B">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165</w:t>
            </w:r>
          </w:p>
        </w:tc>
        <w:tc>
          <w:tcPr>
            <w:tcW w:w="441"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-11</w:t>
            </w:r>
          </w:p>
        </w:tc>
        <w:tc>
          <w:tcPr>
            <w:tcW w:w="329"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98</w:t>
            </w:r>
          </w:p>
        </w:tc>
        <w:tc>
          <w:tcPr>
            <w:tcW w:w="417"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-3</w:t>
            </w:r>
          </w:p>
        </w:tc>
        <w:tc>
          <w:tcPr>
            <w:tcW w:w="329"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195</w:t>
            </w:r>
          </w:p>
        </w:tc>
        <w:tc>
          <w:tcPr>
            <w:tcW w:w="310"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133</w:t>
            </w:r>
          </w:p>
        </w:tc>
        <w:tc>
          <w:tcPr>
            <w:tcW w:w="363"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-2</w:t>
            </w:r>
          </w:p>
        </w:tc>
        <w:tc>
          <w:tcPr>
            <w:tcW w:w="330"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86</w:t>
            </w:r>
          </w:p>
        </w:tc>
        <w:tc>
          <w:tcPr>
            <w:tcW w:w="359"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351</w:t>
            </w:r>
          </w:p>
        </w:tc>
        <w:tc>
          <w:tcPr>
            <w:tcW w:w="303" w:type="pct"/>
            <w:gridSpan w:val="2"/>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C5445B" w:rsidRDefault="00C5445B" w:rsidP="00C5445B">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sidR="00D159F8">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A9366A" w:rsidP="001521CB">
      <w:r w:rsidRPr="00A9366A">
        <w:rPr>
          <w:noProof/>
          <w:lang w:eastAsia="en-AU"/>
        </w:rPr>
        <w:drawing>
          <wp:inline distT="0" distB="0" distL="0" distR="0" wp14:anchorId="2C93F6E8" wp14:editId="4373E844">
            <wp:extent cx="5731510" cy="3548203"/>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8203"/>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sidR="00D159F8">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A9366A" w:rsidRPr="00405CDE" w:rsidTr="00534DD9">
        <w:trPr>
          <w:trHeight w:val="510"/>
        </w:trPr>
        <w:tc>
          <w:tcPr>
            <w:tcW w:w="1585" w:type="pct"/>
            <w:tcBorders>
              <w:top w:val="nil"/>
              <w:bottom w:val="nil"/>
            </w:tcBorders>
            <w:vAlign w:val="center"/>
          </w:tcPr>
          <w:p w:rsidR="00A9366A" w:rsidRDefault="00A9366A">
            <w:pPr>
              <w:rPr>
                <w:rFonts w:cs="Arial"/>
                <w:sz w:val="16"/>
                <w:szCs w:val="16"/>
              </w:rPr>
            </w:pPr>
            <w:r>
              <w:rPr>
                <w:rFonts w:cs="Arial"/>
                <w:sz w:val="16"/>
                <w:szCs w:val="16"/>
              </w:rPr>
              <w:t>17 Jul - 23 Jul 2016</w:t>
            </w:r>
          </w:p>
        </w:tc>
        <w:tc>
          <w:tcPr>
            <w:tcW w:w="993" w:type="pct"/>
            <w:tcBorders>
              <w:top w:val="nil"/>
              <w:bottom w:val="nil"/>
            </w:tcBorders>
            <w:vAlign w:val="center"/>
          </w:tcPr>
          <w:p w:rsidR="00A9366A" w:rsidRDefault="00A9366A">
            <w:pPr>
              <w:jc w:val="center"/>
              <w:rPr>
                <w:rFonts w:cs="Arial"/>
                <w:sz w:val="20"/>
                <w:szCs w:val="20"/>
              </w:rPr>
            </w:pPr>
            <w:r>
              <w:rPr>
                <w:rFonts w:cs="Arial"/>
                <w:sz w:val="20"/>
                <w:szCs w:val="20"/>
              </w:rPr>
              <w:t>-</w:t>
            </w:r>
          </w:p>
        </w:tc>
        <w:tc>
          <w:tcPr>
            <w:tcW w:w="758" w:type="pct"/>
            <w:tcBorders>
              <w:top w:val="nil"/>
              <w:bottom w:val="nil"/>
            </w:tcBorders>
            <w:vAlign w:val="center"/>
          </w:tcPr>
          <w:p w:rsidR="00A9366A" w:rsidRDefault="00A9366A">
            <w:pPr>
              <w:jc w:val="center"/>
              <w:rPr>
                <w:rFonts w:cs="Arial"/>
                <w:sz w:val="20"/>
                <w:szCs w:val="20"/>
              </w:rPr>
            </w:pPr>
            <w:r>
              <w:rPr>
                <w:rFonts w:cs="Arial"/>
                <w:sz w:val="20"/>
                <w:szCs w:val="20"/>
              </w:rPr>
              <w:t>67.35</w:t>
            </w:r>
          </w:p>
        </w:tc>
        <w:tc>
          <w:tcPr>
            <w:tcW w:w="831" w:type="pct"/>
            <w:tcBorders>
              <w:top w:val="nil"/>
              <w:bottom w:val="nil"/>
            </w:tcBorders>
            <w:vAlign w:val="center"/>
          </w:tcPr>
          <w:p w:rsidR="00A9366A" w:rsidRDefault="00A9366A">
            <w:pPr>
              <w:jc w:val="center"/>
              <w:rPr>
                <w:rFonts w:cs="Arial"/>
                <w:sz w:val="20"/>
                <w:szCs w:val="20"/>
              </w:rPr>
            </w:pPr>
            <w:r>
              <w:rPr>
                <w:rFonts w:cs="Arial"/>
                <w:sz w:val="20"/>
                <w:szCs w:val="20"/>
              </w:rPr>
              <w:t>15.49</w:t>
            </w:r>
          </w:p>
        </w:tc>
        <w:tc>
          <w:tcPr>
            <w:tcW w:w="833" w:type="pct"/>
            <w:tcBorders>
              <w:top w:val="nil"/>
              <w:bottom w:val="nil"/>
            </w:tcBorders>
            <w:vAlign w:val="center"/>
          </w:tcPr>
          <w:p w:rsidR="00A9366A" w:rsidRDefault="00A9366A">
            <w:pPr>
              <w:jc w:val="center"/>
              <w:rPr>
                <w:rFonts w:cs="Arial"/>
                <w:sz w:val="20"/>
                <w:szCs w:val="20"/>
              </w:rPr>
            </w:pPr>
            <w:r>
              <w:rPr>
                <w:rFonts w:cs="Arial"/>
                <w:sz w:val="20"/>
                <w:szCs w:val="20"/>
              </w:rPr>
              <w:t>1.44</w:t>
            </w:r>
          </w:p>
        </w:tc>
      </w:tr>
      <w:tr w:rsidR="00A9366A"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A9366A" w:rsidRDefault="00A9366A">
            <w:pPr>
              <w:rPr>
                <w:rFonts w:cs="Arial"/>
                <w:sz w:val="16"/>
                <w:szCs w:val="16"/>
              </w:rPr>
            </w:pPr>
            <w:r>
              <w:rPr>
                <w:rFonts w:cs="Arial"/>
                <w:sz w:val="16"/>
                <w:szCs w:val="16"/>
              </w:rPr>
              <w:t>% change from previous week</w:t>
            </w:r>
          </w:p>
        </w:tc>
        <w:tc>
          <w:tcPr>
            <w:tcW w:w="993" w:type="pct"/>
            <w:tcBorders>
              <w:top w:val="nil"/>
              <w:bottom w:val="nil"/>
            </w:tcBorders>
            <w:vAlign w:val="center"/>
          </w:tcPr>
          <w:p w:rsidR="00A9366A" w:rsidRDefault="00A9366A">
            <w:pPr>
              <w:jc w:val="center"/>
              <w:rPr>
                <w:rFonts w:cs="Arial"/>
                <w:szCs w:val="20"/>
              </w:rPr>
            </w:pPr>
            <w:r>
              <w:rPr>
                <w:rFonts w:cs="Arial"/>
                <w:szCs w:val="20"/>
              </w:rPr>
              <w:t>-</w:t>
            </w:r>
          </w:p>
        </w:tc>
        <w:tc>
          <w:tcPr>
            <w:tcW w:w="758" w:type="pct"/>
            <w:tcBorders>
              <w:top w:val="nil"/>
              <w:bottom w:val="nil"/>
            </w:tcBorders>
            <w:vAlign w:val="center"/>
          </w:tcPr>
          <w:p w:rsidR="00A9366A" w:rsidRDefault="00A9366A">
            <w:pPr>
              <w:jc w:val="center"/>
              <w:rPr>
                <w:rFonts w:cs="Arial"/>
                <w:szCs w:val="20"/>
              </w:rPr>
            </w:pPr>
            <w:r>
              <w:rPr>
                <w:rFonts w:cs="Arial"/>
                <w:szCs w:val="20"/>
              </w:rPr>
              <w:t>-35</w:t>
            </w:r>
          </w:p>
        </w:tc>
        <w:tc>
          <w:tcPr>
            <w:tcW w:w="831" w:type="pct"/>
            <w:tcBorders>
              <w:top w:val="nil"/>
              <w:bottom w:val="nil"/>
            </w:tcBorders>
            <w:vAlign w:val="center"/>
          </w:tcPr>
          <w:p w:rsidR="00A9366A" w:rsidRDefault="00A9366A">
            <w:pPr>
              <w:jc w:val="center"/>
              <w:rPr>
                <w:rFonts w:cs="Arial"/>
                <w:szCs w:val="20"/>
              </w:rPr>
            </w:pPr>
            <w:r>
              <w:rPr>
                <w:rFonts w:cs="Arial"/>
                <w:szCs w:val="20"/>
              </w:rPr>
              <w:t>84</w:t>
            </w:r>
          </w:p>
        </w:tc>
        <w:tc>
          <w:tcPr>
            <w:tcW w:w="833" w:type="pct"/>
            <w:tcBorders>
              <w:top w:val="nil"/>
              <w:bottom w:val="nil"/>
            </w:tcBorders>
            <w:vAlign w:val="center"/>
          </w:tcPr>
          <w:p w:rsidR="00A9366A" w:rsidRDefault="00A9366A">
            <w:pPr>
              <w:jc w:val="center"/>
              <w:rPr>
                <w:rFonts w:cs="Arial"/>
                <w:szCs w:val="20"/>
              </w:rPr>
            </w:pPr>
            <w:r>
              <w:rPr>
                <w:rFonts w:cs="Arial"/>
                <w:szCs w:val="20"/>
              </w:rPr>
              <w:t>-6</w:t>
            </w:r>
          </w:p>
        </w:tc>
      </w:tr>
      <w:tr w:rsidR="00A9366A" w:rsidRPr="00405CDE" w:rsidTr="00534DD9">
        <w:trPr>
          <w:trHeight w:val="510"/>
        </w:trPr>
        <w:tc>
          <w:tcPr>
            <w:tcW w:w="1585" w:type="pct"/>
            <w:tcBorders>
              <w:top w:val="nil"/>
              <w:bottom w:val="nil"/>
            </w:tcBorders>
            <w:vAlign w:val="center"/>
          </w:tcPr>
          <w:p w:rsidR="00A9366A" w:rsidRDefault="00A9366A">
            <w:pPr>
              <w:rPr>
                <w:rFonts w:cs="Arial"/>
                <w:sz w:val="16"/>
                <w:szCs w:val="16"/>
              </w:rPr>
            </w:pPr>
            <w:r>
              <w:rPr>
                <w:rFonts w:cs="Arial"/>
                <w:sz w:val="16"/>
                <w:szCs w:val="16"/>
              </w:rPr>
              <w:t>16-17 financial YTD</w:t>
            </w:r>
          </w:p>
        </w:tc>
        <w:tc>
          <w:tcPr>
            <w:tcW w:w="993" w:type="pct"/>
            <w:tcBorders>
              <w:top w:val="nil"/>
              <w:bottom w:val="nil"/>
            </w:tcBorders>
            <w:vAlign w:val="center"/>
          </w:tcPr>
          <w:p w:rsidR="00A9366A" w:rsidRDefault="00A9366A">
            <w:pPr>
              <w:jc w:val="center"/>
              <w:rPr>
                <w:rFonts w:cs="Arial"/>
                <w:sz w:val="20"/>
                <w:szCs w:val="20"/>
              </w:rPr>
            </w:pPr>
            <w:r>
              <w:rPr>
                <w:rFonts w:cs="Arial"/>
                <w:sz w:val="20"/>
                <w:szCs w:val="20"/>
              </w:rPr>
              <w:t> </w:t>
            </w:r>
          </w:p>
        </w:tc>
        <w:tc>
          <w:tcPr>
            <w:tcW w:w="758" w:type="pct"/>
            <w:tcBorders>
              <w:top w:val="nil"/>
              <w:bottom w:val="nil"/>
            </w:tcBorders>
            <w:vAlign w:val="center"/>
          </w:tcPr>
          <w:p w:rsidR="00A9366A" w:rsidRDefault="00A9366A">
            <w:pPr>
              <w:jc w:val="center"/>
              <w:rPr>
                <w:rFonts w:cs="Arial"/>
                <w:sz w:val="20"/>
                <w:szCs w:val="20"/>
              </w:rPr>
            </w:pPr>
            <w:r>
              <w:rPr>
                <w:rFonts w:cs="Arial"/>
                <w:sz w:val="20"/>
                <w:szCs w:val="20"/>
              </w:rPr>
              <w:t>81.69</w:t>
            </w:r>
          </w:p>
        </w:tc>
        <w:tc>
          <w:tcPr>
            <w:tcW w:w="831" w:type="pct"/>
            <w:tcBorders>
              <w:top w:val="nil"/>
              <w:bottom w:val="nil"/>
            </w:tcBorders>
            <w:vAlign w:val="center"/>
          </w:tcPr>
          <w:p w:rsidR="00A9366A" w:rsidRDefault="00A9366A">
            <w:pPr>
              <w:jc w:val="center"/>
              <w:rPr>
                <w:rFonts w:cs="Arial"/>
                <w:sz w:val="20"/>
                <w:szCs w:val="20"/>
              </w:rPr>
            </w:pPr>
            <w:r>
              <w:rPr>
                <w:rFonts w:cs="Arial"/>
                <w:sz w:val="20"/>
                <w:szCs w:val="20"/>
              </w:rPr>
              <w:t>15.74</w:t>
            </w:r>
          </w:p>
        </w:tc>
        <w:tc>
          <w:tcPr>
            <w:tcW w:w="833" w:type="pct"/>
            <w:tcBorders>
              <w:top w:val="nil"/>
              <w:bottom w:val="nil"/>
            </w:tcBorders>
            <w:vAlign w:val="center"/>
          </w:tcPr>
          <w:p w:rsidR="00A9366A" w:rsidRDefault="00A9366A">
            <w:pPr>
              <w:jc w:val="center"/>
              <w:rPr>
                <w:rFonts w:cs="Arial"/>
                <w:sz w:val="20"/>
                <w:szCs w:val="20"/>
              </w:rPr>
            </w:pPr>
            <w:r>
              <w:rPr>
                <w:rFonts w:cs="Arial"/>
                <w:sz w:val="20"/>
                <w:szCs w:val="20"/>
              </w:rPr>
              <w:t>1.32</w:t>
            </w:r>
          </w:p>
        </w:tc>
      </w:tr>
      <w:tr w:rsidR="00A9366A"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A9366A" w:rsidRDefault="00A9366A">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A9366A" w:rsidRDefault="00A9366A">
            <w:pPr>
              <w:jc w:val="center"/>
              <w:rPr>
                <w:rFonts w:cs="Arial"/>
                <w:szCs w:val="20"/>
              </w:rPr>
            </w:pPr>
            <w:r>
              <w:rPr>
                <w:rFonts w:cs="Arial"/>
                <w:szCs w:val="20"/>
              </w:rPr>
              <w:t> </w:t>
            </w:r>
          </w:p>
        </w:tc>
        <w:tc>
          <w:tcPr>
            <w:tcW w:w="758" w:type="pct"/>
            <w:tcBorders>
              <w:top w:val="nil"/>
              <w:bottom w:val="single" w:sz="4" w:space="0" w:color="auto"/>
            </w:tcBorders>
            <w:vAlign w:val="center"/>
          </w:tcPr>
          <w:p w:rsidR="00A9366A" w:rsidRDefault="00A9366A">
            <w:pPr>
              <w:jc w:val="center"/>
              <w:rPr>
                <w:rFonts w:cs="Arial"/>
                <w:szCs w:val="20"/>
              </w:rPr>
            </w:pPr>
            <w:r>
              <w:rPr>
                <w:rFonts w:cs="Arial"/>
                <w:szCs w:val="20"/>
              </w:rPr>
              <w:t>124</w:t>
            </w:r>
          </w:p>
        </w:tc>
        <w:tc>
          <w:tcPr>
            <w:tcW w:w="831" w:type="pct"/>
            <w:tcBorders>
              <w:top w:val="nil"/>
              <w:bottom w:val="single" w:sz="4" w:space="0" w:color="auto"/>
            </w:tcBorders>
            <w:vAlign w:val="center"/>
          </w:tcPr>
          <w:p w:rsidR="00A9366A" w:rsidRDefault="00A9366A">
            <w:pPr>
              <w:jc w:val="center"/>
              <w:rPr>
                <w:rFonts w:cs="Arial"/>
                <w:szCs w:val="20"/>
              </w:rPr>
            </w:pPr>
            <w:r>
              <w:rPr>
                <w:rFonts w:cs="Arial"/>
                <w:szCs w:val="20"/>
              </w:rPr>
              <w:t>-16</w:t>
            </w:r>
          </w:p>
        </w:tc>
        <w:tc>
          <w:tcPr>
            <w:tcW w:w="833" w:type="pct"/>
            <w:tcBorders>
              <w:top w:val="nil"/>
              <w:bottom w:val="single" w:sz="4" w:space="0" w:color="auto"/>
            </w:tcBorders>
            <w:vAlign w:val="center"/>
          </w:tcPr>
          <w:p w:rsidR="00A9366A" w:rsidRDefault="00A9366A">
            <w:pPr>
              <w:jc w:val="center"/>
              <w:rPr>
                <w:rFonts w:cs="Arial"/>
                <w:szCs w:val="20"/>
              </w:rPr>
            </w:pPr>
            <w:r>
              <w:rPr>
                <w:rFonts w:cs="Arial"/>
                <w:szCs w:val="20"/>
              </w:rPr>
              <w:t>-10</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D159F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D67ED1">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D67ED1">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D67ED1">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D67ED1">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D67ED1">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D67ED1">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D67ED1">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D67ED1">
            <w:pPr>
              <w:jc w:val="center"/>
              <w:rPr>
                <w:rFonts w:cs="Arial"/>
                <w:bCs/>
                <w:color w:val="FFFFFF"/>
                <w:sz w:val="14"/>
                <w:szCs w:val="20"/>
                <w:highlight w:val="cyan"/>
              </w:rPr>
            </w:pPr>
            <w:r>
              <w:rPr>
                <w:rFonts w:cs="Arial"/>
                <w:bCs/>
                <w:color w:val="FFFFFF"/>
                <w:sz w:val="14"/>
                <w:szCs w:val="20"/>
              </w:rPr>
              <w:t>Quantity</w:t>
            </w:r>
          </w:p>
        </w:tc>
      </w:tr>
      <w:tr w:rsidR="00A9366A" w:rsidRPr="006A7228" w:rsidTr="00B302BF">
        <w:trPr>
          <w:trHeight w:val="510"/>
        </w:trPr>
        <w:tc>
          <w:tcPr>
            <w:tcW w:w="932" w:type="pct"/>
            <w:tcBorders>
              <w:top w:val="nil"/>
              <w:bottom w:val="nil"/>
            </w:tcBorders>
            <w:vAlign w:val="center"/>
          </w:tcPr>
          <w:p w:rsidR="00A9366A" w:rsidRDefault="00A9366A">
            <w:pPr>
              <w:rPr>
                <w:rFonts w:cs="Arial"/>
                <w:b/>
                <w:bCs/>
                <w:sz w:val="20"/>
                <w:szCs w:val="20"/>
              </w:rPr>
            </w:pPr>
            <w:r>
              <w:rPr>
                <w:rFonts w:cs="Arial"/>
                <w:b/>
                <w:bCs/>
                <w:sz w:val="20"/>
                <w:szCs w:val="20"/>
              </w:rPr>
              <w:t>Balance of day</w:t>
            </w:r>
          </w:p>
        </w:tc>
        <w:tc>
          <w:tcPr>
            <w:tcW w:w="35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6.17</w:t>
            </w:r>
          </w:p>
        </w:tc>
        <w:tc>
          <w:tcPr>
            <w:tcW w:w="44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21.6</w:t>
            </w:r>
          </w:p>
        </w:tc>
        <w:tc>
          <w:tcPr>
            <w:tcW w:w="40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1"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35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2"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0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1"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349"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r>
      <w:tr w:rsidR="00A9366A"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A9366A" w:rsidRDefault="00A9366A">
            <w:pPr>
              <w:rPr>
                <w:rFonts w:cs="Arial"/>
                <w:b/>
                <w:bCs/>
                <w:szCs w:val="20"/>
              </w:rPr>
            </w:pPr>
            <w:r>
              <w:rPr>
                <w:rFonts w:cs="Arial"/>
                <w:b/>
                <w:bCs/>
                <w:szCs w:val="20"/>
              </w:rPr>
              <w:t>Daily</w:t>
            </w:r>
          </w:p>
        </w:tc>
        <w:tc>
          <w:tcPr>
            <w:tcW w:w="35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0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12.00</w:t>
            </w:r>
          </w:p>
        </w:tc>
        <w:tc>
          <w:tcPr>
            <w:tcW w:w="441"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5.0</w:t>
            </w:r>
          </w:p>
        </w:tc>
        <w:tc>
          <w:tcPr>
            <w:tcW w:w="35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2"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0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1"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349"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r>
      <w:tr w:rsidR="00A9366A" w:rsidRPr="006A7228" w:rsidTr="00B302BF">
        <w:trPr>
          <w:trHeight w:val="510"/>
        </w:trPr>
        <w:tc>
          <w:tcPr>
            <w:tcW w:w="932" w:type="pct"/>
            <w:tcBorders>
              <w:top w:val="nil"/>
              <w:bottom w:val="nil"/>
            </w:tcBorders>
            <w:vAlign w:val="center"/>
          </w:tcPr>
          <w:p w:rsidR="00A9366A" w:rsidRDefault="00A9366A">
            <w:pPr>
              <w:rPr>
                <w:rFonts w:cs="Arial"/>
                <w:b/>
                <w:bCs/>
                <w:sz w:val="20"/>
                <w:szCs w:val="20"/>
              </w:rPr>
            </w:pPr>
            <w:r>
              <w:rPr>
                <w:rFonts w:cs="Arial"/>
                <w:b/>
                <w:bCs/>
                <w:sz w:val="20"/>
                <w:szCs w:val="20"/>
              </w:rPr>
              <w:t>Day ahead</w:t>
            </w:r>
          </w:p>
        </w:tc>
        <w:tc>
          <w:tcPr>
            <w:tcW w:w="35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6.44</w:t>
            </w:r>
          </w:p>
        </w:tc>
        <w:tc>
          <w:tcPr>
            <w:tcW w:w="44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37.0</w:t>
            </w:r>
          </w:p>
        </w:tc>
        <w:tc>
          <w:tcPr>
            <w:tcW w:w="40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9.43</w:t>
            </w:r>
          </w:p>
        </w:tc>
        <w:tc>
          <w:tcPr>
            <w:tcW w:w="441"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15.0</w:t>
            </w:r>
          </w:p>
        </w:tc>
        <w:tc>
          <w:tcPr>
            <w:tcW w:w="35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2"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05"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1"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349"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0" w:type="pct"/>
            <w:tcBorders>
              <w:top w:val="nil"/>
              <w:bottom w:val="nil"/>
            </w:tcBorders>
            <w:vAlign w:val="center"/>
          </w:tcPr>
          <w:p w:rsidR="00A9366A" w:rsidRDefault="00A9366A" w:rsidP="00A9366A">
            <w:pPr>
              <w:ind w:left="-105" w:right="-53" w:firstLine="1"/>
              <w:jc w:val="center"/>
              <w:rPr>
                <w:rFonts w:cs="Arial"/>
                <w:sz w:val="20"/>
                <w:szCs w:val="20"/>
              </w:rPr>
            </w:pPr>
            <w:r>
              <w:rPr>
                <w:rFonts w:cs="Arial"/>
                <w:sz w:val="20"/>
                <w:szCs w:val="20"/>
              </w:rPr>
              <w:t>-</w:t>
            </w:r>
          </w:p>
        </w:tc>
      </w:tr>
      <w:tr w:rsidR="00A9366A"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A9366A" w:rsidRDefault="00A9366A">
            <w:pPr>
              <w:rPr>
                <w:rFonts w:cs="Arial"/>
                <w:b/>
                <w:bCs/>
                <w:szCs w:val="20"/>
              </w:rPr>
            </w:pPr>
            <w:r>
              <w:rPr>
                <w:rFonts w:cs="Arial"/>
                <w:b/>
                <w:bCs/>
                <w:szCs w:val="20"/>
              </w:rPr>
              <w:t>Weekly</w:t>
            </w:r>
          </w:p>
        </w:tc>
        <w:tc>
          <w:tcPr>
            <w:tcW w:w="35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0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1"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35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2"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05"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1"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349"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c>
          <w:tcPr>
            <w:tcW w:w="440" w:type="pct"/>
            <w:tcBorders>
              <w:top w:val="nil"/>
              <w:bottom w:val="nil"/>
            </w:tcBorders>
            <w:vAlign w:val="center"/>
          </w:tcPr>
          <w:p w:rsidR="00A9366A" w:rsidRDefault="00A9366A" w:rsidP="00A9366A">
            <w:pPr>
              <w:ind w:left="-105" w:right="-53" w:firstLine="1"/>
              <w:jc w:val="center"/>
              <w:rPr>
                <w:rFonts w:cs="Arial"/>
                <w:szCs w:val="20"/>
              </w:rPr>
            </w:pPr>
            <w:r>
              <w:rPr>
                <w:rFonts w:cs="Arial"/>
                <w:szCs w:val="20"/>
              </w:rPr>
              <w:t>-</w:t>
            </w:r>
          </w:p>
        </w:tc>
      </w:tr>
      <w:tr w:rsidR="00A9366A" w:rsidRPr="006A7228" w:rsidTr="00B302BF">
        <w:trPr>
          <w:trHeight w:val="510"/>
        </w:trPr>
        <w:tc>
          <w:tcPr>
            <w:tcW w:w="932" w:type="pct"/>
            <w:tcBorders>
              <w:top w:val="nil"/>
              <w:bottom w:val="single" w:sz="4" w:space="0" w:color="auto"/>
            </w:tcBorders>
            <w:vAlign w:val="center"/>
          </w:tcPr>
          <w:p w:rsidR="00A9366A" w:rsidRDefault="00A9366A">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A9366A" w:rsidRDefault="00A9366A" w:rsidP="00A9366A">
            <w:pPr>
              <w:ind w:left="-105" w:right="-53" w:firstLine="1"/>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D159F8">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p>
    <w:p w:rsidR="001934E9" w:rsidRPr="00E16EDC" w:rsidRDefault="00A9366A" w:rsidP="00E16EDC">
      <w:r w:rsidRPr="00A9366A">
        <w:rPr>
          <w:noProof/>
          <w:lang w:eastAsia="en-AU"/>
        </w:rPr>
        <w:drawing>
          <wp:inline distT="0" distB="0" distL="0" distR="0" wp14:anchorId="240FA5C7" wp14:editId="075785D5">
            <wp:extent cx="5731510" cy="3180852"/>
            <wp:effectExtent l="0" t="0" r="2540" b="635"/>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0852"/>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521CB" w:rsidRPr="00282369" w:rsidRDefault="00282369" w:rsidP="001521CB">
      <w:pPr>
        <w:rPr>
          <w:i/>
        </w:rPr>
      </w:pPr>
      <w:r w:rsidRPr="00282369">
        <w:rPr>
          <w:i/>
        </w:rPr>
        <w:t>Victoria</w:t>
      </w:r>
    </w:p>
    <w:p w:rsidR="00282369" w:rsidRDefault="00282369" w:rsidP="00282369">
      <w:pPr>
        <w:jc w:val="both"/>
      </w:pPr>
      <w:r>
        <w:t xml:space="preserve">Following the higher prices during the previous week, imbalance prices in Victoria reduced </w:t>
      </w:r>
      <w:r w:rsidR="00320329">
        <w:t xml:space="preserve">to </w:t>
      </w:r>
      <w:r>
        <w:t xml:space="preserve">below $9/GJ </w:t>
      </w:r>
      <w:r w:rsidR="00320329">
        <w:t xml:space="preserve">but </w:t>
      </w:r>
      <w:r>
        <w:t xml:space="preserve">increased to just under $12/GJ again on Saturday as forecast demand climbed above 1 TJ. </w:t>
      </w:r>
    </w:p>
    <w:p w:rsidR="00282369" w:rsidRDefault="00282369" w:rsidP="00282369">
      <w:pPr>
        <w:jc w:val="both"/>
      </w:pPr>
      <w:r>
        <w:t xml:space="preserve">Coinciding with this, flows on the South West Pipeline changed direction from Mon 18 July, delivering gas away from Melbourne towards Iona as </w:t>
      </w:r>
      <w:r w:rsidR="00B75932">
        <w:t>participant</w:t>
      </w:r>
      <w:r w:rsidR="00636976">
        <w:t xml:space="preserve">s </w:t>
      </w:r>
      <w:r>
        <w:t xml:space="preserve">withdrew gas from the </w:t>
      </w:r>
      <w:r>
        <w:lastRenderedPageBreak/>
        <w:t>Victorian market to top-up its storage levels during the period of relatively lower prices this week.</w:t>
      </w:r>
    </w:p>
    <w:p w:rsidR="00282369" w:rsidRPr="00282369" w:rsidRDefault="00282369" w:rsidP="00005D30">
      <w:pPr>
        <w:jc w:val="both"/>
        <w:rPr>
          <w:i/>
        </w:rPr>
      </w:pPr>
      <w:r w:rsidRPr="00282369">
        <w:rPr>
          <w:i/>
        </w:rPr>
        <w:t>Adelaide</w:t>
      </w:r>
    </w:p>
    <w:p w:rsidR="00282369" w:rsidRDefault="00E175AC" w:rsidP="00005D30">
      <w:pPr>
        <w:jc w:val="both"/>
      </w:pPr>
      <w:r w:rsidRPr="00E175AC">
        <w:t xml:space="preserve">Prices in Adelaide </w:t>
      </w:r>
      <w:r w:rsidR="00282369">
        <w:t xml:space="preserve">also </w:t>
      </w:r>
      <w:r w:rsidR="00320329">
        <w:t>decreased this week,</w:t>
      </w:r>
      <w:r w:rsidRPr="00E175AC">
        <w:t xml:space="preserve"> falling below $10/GJ</w:t>
      </w:r>
      <w:r w:rsidR="00320329">
        <w:t xml:space="preserve"> from 21 July, coinciding </w:t>
      </w:r>
      <w:r w:rsidRPr="00E175AC">
        <w:t xml:space="preserve">with a reduction in </w:t>
      </w:r>
      <w:r w:rsidR="00282369">
        <w:t>gas generation</w:t>
      </w:r>
      <w:r w:rsidRPr="00E175AC">
        <w:t xml:space="preserve"> (Pelican Point</w:t>
      </w:r>
      <w:r w:rsidR="00320329">
        <w:t xml:space="preserve"> p</w:t>
      </w:r>
      <w:r w:rsidR="00282369">
        <w:t xml:space="preserve">ower station, which was returned to service </w:t>
      </w:r>
      <w:r w:rsidR="009B381C">
        <w:t>on 14 July</w:t>
      </w:r>
      <w:r w:rsidR="00282369">
        <w:t>,</w:t>
      </w:r>
      <w:r w:rsidRPr="00E175AC">
        <w:t xml:space="preserve"> reduced its availability from the morning of 21</w:t>
      </w:r>
      <w:r w:rsidR="00282369">
        <w:t> </w:t>
      </w:r>
      <w:r w:rsidRPr="00E175AC">
        <w:t xml:space="preserve">July). </w:t>
      </w:r>
    </w:p>
    <w:p w:rsidR="00E175AC" w:rsidRPr="00282369" w:rsidRDefault="00320329" w:rsidP="00005D30">
      <w:pPr>
        <w:jc w:val="both"/>
        <w:rPr>
          <w:color w:val="FF0000"/>
        </w:rPr>
      </w:pPr>
      <w:r>
        <w:t>P</w:t>
      </w:r>
      <w:r w:rsidR="00E175AC" w:rsidRPr="00E175AC">
        <w:t>rice</w:t>
      </w:r>
      <w:r>
        <w:t xml:space="preserve">s above $10/GJ early in the week </w:t>
      </w:r>
      <w:r w:rsidR="00E175AC" w:rsidRPr="00E175AC">
        <w:t>were influenced by over forecast demand</w:t>
      </w:r>
      <w:r w:rsidR="00E175AC">
        <w:t xml:space="preserve"> in the hub. Figures 3.1 and 3.4 illustrate the </w:t>
      </w:r>
      <w:r>
        <w:t xml:space="preserve">two </w:t>
      </w:r>
      <w:r w:rsidR="00E175AC">
        <w:t>effect</w:t>
      </w:r>
      <w:r>
        <w:t>s</w:t>
      </w:r>
      <w:r w:rsidR="00E175AC">
        <w:t xml:space="preserve"> of the lower actual demand as a combination of reduced ex post quantities (reduce supply</w:t>
      </w:r>
      <w:r w:rsidR="001413E5">
        <w:t xml:space="preserve"> nominations</w:t>
      </w:r>
      <w:r w:rsidR="00E175AC">
        <w:t>) or decrease MOS.</w:t>
      </w:r>
      <w:r w:rsidR="00D67ED1">
        <w:rPr>
          <w:rStyle w:val="FootnoteReference"/>
        </w:rPr>
        <w:footnoteReference w:id="3"/>
      </w:r>
      <w:r w:rsidR="00E175AC">
        <w:t xml:space="preserve"> </w:t>
      </w:r>
    </w:p>
    <w:p w:rsidR="00D67ED1" w:rsidRPr="00D67ED1" w:rsidRDefault="00D67ED1" w:rsidP="00005D30">
      <w:pPr>
        <w:jc w:val="both"/>
        <w:rPr>
          <w:i/>
        </w:rPr>
      </w:pPr>
      <w:r w:rsidRPr="00D67ED1">
        <w:rPr>
          <w:i/>
        </w:rPr>
        <w:t>Sydney</w:t>
      </w:r>
    </w:p>
    <w:p w:rsidR="00C54CE5" w:rsidRDefault="00C54CE5" w:rsidP="00005D30">
      <w:pPr>
        <w:jc w:val="both"/>
      </w:pPr>
      <w:r>
        <w:t xml:space="preserve">In Sydney, MOS service costs exceeded $50 000 on four occasions this week, reaching $146 258 on Tuesday 19 July. These </w:t>
      </w:r>
      <w:r w:rsidR="009B381C">
        <w:t xml:space="preserve">costs </w:t>
      </w:r>
      <w:r>
        <w:t>were the result of over forecasting demand within the hub across the week combined with counteracting MOS allocations on the EGP and MSP.</w:t>
      </w:r>
      <w:r>
        <w:rPr>
          <w:rStyle w:val="FootnoteReference"/>
        </w:rPr>
        <w:footnoteReference w:id="4"/>
      </w:r>
    </w:p>
    <w:p w:rsidR="00E175AC" w:rsidRPr="00D67ED1" w:rsidRDefault="00D67ED1" w:rsidP="00005D30">
      <w:pPr>
        <w:jc w:val="both"/>
        <w:rPr>
          <w:i/>
        </w:rPr>
      </w:pPr>
      <w:r>
        <w:rPr>
          <w:i/>
        </w:rPr>
        <w:t>Queensland</w:t>
      </w:r>
    </w:p>
    <w:p w:rsidR="00320329" w:rsidRPr="003D5EC4" w:rsidRDefault="00D67ED1" w:rsidP="003D5EC4">
      <w:pPr>
        <w:jc w:val="both"/>
      </w:pPr>
      <w:r>
        <w:t>While demand remained relatively stable in Brisbane, prices also decreased in the STTM by roughly half compared to the previous fortnight.</w:t>
      </w:r>
      <w:r>
        <w:rPr>
          <w:rStyle w:val="FootnoteReference"/>
        </w:rPr>
        <w:footnoteReference w:id="5"/>
      </w:r>
      <w:r>
        <w:t xml:space="preserve"> This followed a decrease in the price of trades at Wallumbilla during the previous week, while trade levels in the gas supply hub also reduced significantly.</w:t>
      </w:r>
    </w:p>
    <w:p w:rsidR="00320329" w:rsidRDefault="00320329" w:rsidP="00320329">
      <w:pPr>
        <w:spacing w:line="240" w:lineRule="auto"/>
        <w:rPr>
          <w:i/>
        </w:rPr>
      </w:pPr>
      <w:r>
        <w:rPr>
          <w:i/>
        </w:rPr>
        <w:t>Demand Forecasting</w:t>
      </w:r>
    </w:p>
    <w:p w:rsidR="001521CB" w:rsidRDefault="003D5EC4" w:rsidP="00275508">
      <w:pPr>
        <w:spacing w:line="240" w:lineRule="auto"/>
        <w:jc w:val="both"/>
      </w:pPr>
      <w:r>
        <w:t>In Sydney and Adelaide this week over forecasting of demand had an impact on prices being (higher) than they otherwise would have been and led to significant MOS service payments</w:t>
      </w:r>
      <w:r w:rsidR="00275508">
        <w:t>,</w:t>
      </w:r>
      <w:r>
        <w:t xml:space="preserve"> particularly in Sydney. </w:t>
      </w:r>
      <w:r w:rsidR="009B381C">
        <w:t>The AER is reviewing participant demand forecasting across markets, and the apparent trend towards over forecasting as identified earlier in the year</w:t>
      </w:r>
      <w:r w:rsidR="009B381C">
        <w:rPr>
          <w:rStyle w:val="FootnoteReference"/>
        </w:rPr>
        <w:footnoteReference w:id="6"/>
      </w:r>
      <w:r w:rsidR="009B381C">
        <w:t xml:space="preserve"> as part of preparing its Significant Price Variation reports for high priced June and July gas days. </w:t>
      </w:r>
      <w:r w:rsidR="001521CB">
        <w:br w:type="page"/>
      </w:r>
    </w:p>
    <w:p w:rsidR="00320329" w:rsidRDefault="00320329" w:rsidP="00C54CE5">
      <w:pPr>
        <w:spacing w:line="240" w:lineRule="auto"/>
        <w:ind w:left="709" w:hanging="709"/>
        <w:rPr>
          <w:rFonts w:eastAsiaTheme="majorEastAsia" w:cstheme="majorBidi"/>
          <w:b/>
          <w:bCs/>
          <w:color w:val="51626F"/>
          <w:sz w:val="28"/>
          <w:szCs w:val="26"/>
        </w:rPr>
      </w:pP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7"/>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8"/>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9"/>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A9366A" w:rsidP="003171C6">
      <w:r w:rsidRPr="00A9366A">
        <w:rPr>
          <w:noProof/>
          <w:lang w:eastAsia="en-AU"/>
        </w:rPr>
        <w:drawing>
          <wp:inline distT="0" distB="0" distL="0" distR="0" wp14:anchorId="2565F7E9" wp14:editId="53E4764E">
            <wp:extent cx="5731510" cy="1653150"/>
            <wp:effectExtent l="0" t="0" r="2540" b="4445"/>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3150"/>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A9366A" w:rsidP="003171C6">
      <w:r w:rsidRPr="00A9366A">
        <w:rPr>
          <w:noProof/>
          <w:lang w:eastAsia="en-AU"/>
        </w:rPr>
        <w:drawing>
          <wp:inline distT="0" distB="0" distL="0" distR="0" wp14:anchorId="3D3A5F0E" wp14:editId="035D6751">
            <wp:extent cx="5731510" cy="2130549"/>
            <wp:effectExtent l="0" t="0" r="2540" b="317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0549"/>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A9366A" w:rsidP="003171C6">
      <w:r w:rsidRPr="00A9366A">
        <w:rPr>
          <w:noProof/>
          <w:lang w:eastAsia="en-AU"/>
        </w:rPr>
        <w:drawing>
          <wp:inline distT="0" distB="0" distL="0" distR="0" wp14:anchorId="5FEE81A1" wp14:editId="5BEFEA22">
            <wp:extent cx="5731510" cy="2483048"/>
            <wp:effectExtent l="0" t="0" r="2540" b="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304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A9366A" w:rsidP="003171C6">
      <w:r w:rsidRPr="00A9366A">
        <w:rPr>
          <w:noProof/>
          <w:lang w:eastAsia="en-AU"/>
        </w:rPr>
        <w:drawing>
          <wp:inline distT="0" distB="0" distL="0" distR="0" wp14:anchorId="410EB1A9" wp14:editId="6BC2719D">
            <wp:extent cx="5731510" cy="1960993"/>
            <wp:effectExtent l="0" t="0" r="2540" b="127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60993"/>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A9366A" w:rsidP="003171C6">
      <w:r w:rsidRPr="00A9366A">
        <w:rPr>
          <w:noProof/>
          <w:lang w:eastAsia="en-AU"/>
        </w:rPr>
        <w:drawing>
          <wp:inline distT="0" distB="0" distL="0" distR="0" wp14:anchorId="7A746676" wp14:editId="5E8BB7BF">
            <wp:extent cx="5731510" cy="2143258"/>
            <wp:effectExtent l="0" t="0" r="2540" b="9525"/>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3258"/>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0"/>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1"/>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9366A" w:rsidRPr="00405CDE" w:rsidTr="00A226E9">
        <w:trPr>
          <w:trHeight w:val="510"/>
        </w:trPr>
        <w:tc>
          <w:tcPr>
            <w:tcW w:w="1211" w:type="pct"/>
            <w:tcBorders>
              <w:top w:val="nil"/>
              <w:bottom w:val="nil"/>
            </w:tcBorders>
            <w:vAlign w:val="center"/>
          </w:tcPr>
          <w:p w:rsidR="00A9366A" w:rsidRDefault="00A9366A">
            <w:pPr>
              <w:rPr>
                <w:rFonts w:cs="Arial"/>
                <w:sz w:val="20"/>
                <w:szCs w:val="20"/>
              </w:rPr>
            </w:pPr>
            <w:r>
              <w:rPr>
                <w:rFonts w:cs="Arial"/>
                <w:sz w:val="20"/>
                <w:szCs w:val="20"/>
              </w:rPr>
              <w:t>Ex ante price ($/GJ)</w:t>
            </w:r>
          </w:p>
        </w:tc>
        <w:tc>
          <w:tcPr>
            <w:tcW w:w="580" w:type="pct"/>
            <w:tcBorders>
              <w:top w:val="nil"/>
              <w:bottom w:val="nil"/>
            </w:tcBorders>
            <w:vAlign w:val="center"/>
          </w:tcPr>
          <w:p w:rsidR="00A9366A" w:rsidRDefault="00A9366A">
            <w:pPr>
              <w:jc w:val="center"/>
              <w:rPr>
                <w:rFonts w:cs="Arial"/>
                <w:sz w:val="20"/>
                <w:szCs w:val="20"/>
              </w:rPr>
            </w:pPr>
            <w:r>
              <w:rPr>
                <w:rFonts w:cs="Arial"/>
                <w:sz w:val="20"/>
                <w:szCs w:val="20"/>
              </w:rPr>
              <w:t>10.00</w:t>
            </w:r>
          </w:p>
        </w:tc>
        <w:tc>
          <w:tcPr>
            <w:tcW w:w="508" w:type="pct"/>
            <w:tcBorders>
              <w:top w:val="nil"/>
              <w:bottom w:val="nil"/>
            </w:tcBorders>
            <w:vAlign w:val="center"/>
          </w:tcPr>
          <w:p w:rsidR="00A9366A" w:rsidRDefault="00A9366A">
            <w:pPr>
              <w:jc w:val="center"/>
              <w:rPr>
                <w:rFonts w:cs="Arial"/>
                <w:sz w:val="20"/>
                <w:szCs w:val="20"/>
              </w:rPr>
            </w:pPr>
            <w:r>
              <w:rPr>
                <w:rFonts w:cs="Arial"/>
                <w:sz w:val="20"/>
                <w:szCs w:val="20"/>
              </w:rPr>
              <w:t>10.23</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7.03</w:t>
            </w:r>
          </w:p>
        </w:tc>
        <w:tc>
          <w:tcPr>
            <w:tcW w:w="517" w:type="pct"/>
            <w:tcBorders>
              <w:top w:val="nil"/>
              <w:bottom w:val="nil"/>
            </w:tcBorders>
            <w:vAlign w:val="center"/>
          </w:tcPr>
          <w:p w:rsidR="00A9366A" w:rsidRDefault="00A9366A">
            <w:pPr>
              <w:jc w:val="center"/>
              <w:rPr>
                <w:rFonts w:cs="Arial"/>
                <w:sz w:val="20"/>
                <w:szCs w:val="20"/>
              </w:rPr>
            </w:pPr>
            <w:r>
              <w:rPr>
                <w:rFonts w:cs="Arial"/>
                <w:sz w:val="20"/>
                <w:szCs w:val="20"/>
              </w:rPr>
              <w:t>6.66</w:t>
            </w:r>
          </w:p>
        </w:tc>
        <w:tc>
          <w:tcPr>
            <w:tcW w:w="510" w:type="pct"/>
            <w:tcBorders>
              <w:top w:val="nil"/>
              <w:bottom w:val="nil"/>
            </w:tcBorders>
            <w:vAlign w:val="center"/>
          </w:tcPr>
          <w:p w:rsidR="00A9366A" w:rsidRDefault="00A9366A">
            <w:pPr>
              <w:jc w:val="center"/>
              <w:rPr>
                <w:rFonts w:cs="Arial"/>
                <w:sz w:val="20"/>
                <w:szCs w:val="20"/>
              </w:rPr>
            </w:pPr>
            <w:r>
              <w:rPr>
                <w:rFonts w:cs="Arial"/>
                <w:sz w:val="20"/>
                <w:szCs w:val="20"/>
              </w:rPr>
              <w:t>7.10</w:t>
            </w:r>
          </w:p>
        </w:tc>
        <w:tc>
          <w:tcPr>
            <w:tcW w:w="507" w:type="pct"/>
            <w:tcBorders>
              <w:top w:val="nil"/>
              <w:bottom w:val="nil"/>
            </w:tcBorders>
            <w:vAlign w:val="center"/>
          </w:tcPr>
          <w:p w:rsidR="00A9366A" w:rsidRDefault="00A9366A">
            <w:pPr>
              <w:jc w:val="center"/>
              <w:rPr>
                <w:rFonts w:cs="Arial"/>
                <w:sz w:val="20"/>
                <w:szCs w:val="20"/>
              </w:rPr>
            </w:pPr>
            <w:r>
              <w:rPr>
                <w:rFonts w:cs="Arial"/>
                <w:sz w:val="20"/>
                <w:szCs w:val="20"/>
              </w:rPr>
              <w:t>7.10</w:t>
            </w:r>
          </w:p>
        </w:tc>
        <w:tc>
          <w:tcPr>
            <w:tcW w:w="578" w:type="pct"/>
            <w:tcBorders>
              <w:top w:val="nil"/>
              <w:bottom w:val="nil"/>
            </w:tcBorders>
            <w:vAlign w:val="center"/>
          </w:tcPr>
          <w:p w:rsidR="00A9366A" w:rsidRDefault="00A9366A">
            <w:pPr>
              <w:jc w:val="center"/>
              <w:rPr>
                <w:rFonts w:cs="Arial"/>
                <w:sz w:val="20"/>
                <w:szCs w:val="20"/>
              </w:rPr>
            </w:pPr>
            <w:r>
              <w:rPr>
                <w:rFonts w:cs="Arial"/>
                <w:sz w:val="20"/>
                <w:szCs w:val="20"/>
              </w:rPr>
              <w:t>7.26</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A9366A" w:rsidRDefault="00A9366A">
            <w:pPr>
              <w:rPr>
                <w:rFonts w:cs="Arial"/>
                <w:szCs w:val="20"/>
              </w:rPr>
            </w:pPr>
            <w:r>
              <w:rPr>
                <w:rFonts w:cs="Arial"/>
                <w:szCs w:val="20"/>
              </w:rPr>
              <w:t>Ex ante quantity (TJ)</w:t>
            </w:r>
          </w:p>
        </w:tc>
        <w:tc>
          <w:tcPr>
            <w:tcW w:w="580" w:type="pct"/>
            <w:tcBorders>
              <w:top w:val="nil"/>
              <w:bottom w:val="nil"/>
            </w:tcBorders>
            <w:vAlign w:val="center"/>
          </w:tcPr>
          <w:p w:rsidR="00A9366A" w:rsidRDefault="00A9366A">
            <w:pPr>
              <w:jc w:val="center"/>
              <w:rPr>
                <w:rFonts w:cs="Arial"/>
                <w:szCs w:val="20"/>
              </w:rPr>
            </w:pPr>
            <w:r>
              <w:rPr>
                <w:rFonts w:cs="Arial"/>
                <w:szCs w:val="20"/>
              </w:rPr>
              <w:t>269</w:t>
            </w:r>
          </w:p>
        </w:tc>
        <w:tc>
          <w:tcPr>
            <w:tcW w:w="508" w:type="pct"/>
            <w:tcBorders>
              <w:top w:val="nil"/>
              <w:bottom w:val="nil"/>
            </w:tcBorders>
            <w:vAlign w:val="center"/>
          </w:tcPr>
          <w:p w:rsidR="00A9366A" w:rsidRDefault="00A9366A">
            <w:pPr>
              <w:jc w:val="center"/>
              <w:rPr>
                <w:rFonts w:cs="Arial"/>
                <w:szCs w:val="20"/>
              </w:rPr>
            </w:pPr>
            <w:r>
              <w:rPr>
                <w:rFonts w:cs="Arial"/>
                <w:szCs w:val="20"/>
              </w:rPr>
              <w:t>285</w:t>
            </w:r>
          </w:p>
        </w:tc>
        <w:tc>
          <w:tcPr>
            <w:tcW w:w="589" w:type="pct"/>
            <w:tcBorders>
              <w:top w:val="nil"/>
              <w:bottom w:val="nil"/>
            </w:tcBorders>
            <w:vAlign w:val="center"/>
          </w:tcPr>
          <w:p w:rsidR="00A9366A" w:rsidRDefault="00A9366A">
            <w:pPr>
              <w:jc w:val="center"/>
              <w:rPr>
                <w:rFonts w:cs="Arial"/>
                <w:szCs w:val="20"/>
              </w:rPr>
            </w:pPr>
            <w:r>
              <w:rPr>
                <w:rFonts w:cs="Arial"/>
                <w:szCs w:val="20"/>
              </w:rPr>
              <w:t>267</w:t>
            </w:r>
          </w:p>
        </w:tc>
        <w:tc>
          <w:tcPr>
            <w:tcW w:w="517" w:type="pct"/>
            <w:tcBorders>
              <w:top w:val="nil"/>
              <w:bottom w:val="nil"/>
            </w:tcBorders>
            <w:vAlign w:val="center"/>
          </w:tcPr>
          <w:p w:rsidR="00A9366A" w:rsidRDefault="00A9366A">
            <w:pPr>
              <w:jc w:val="center"/>
              <w:rPr>
                <w:rFonts w:cs="Arial"/>
                <w:szCs w:val="20"/>
              </w:rPr>
            </w:pPr>
            <w:r>
              <w:rPr>
                <w:rFonts w:cs="Arial"/>
                <w:szCs w:val="20"/>
              </w:rPr>
              <w:t>264</w:t>
            </w:r>
          </w:p>
        </w:tc>
        <w:tc>
          <w:tcPr>
            <w:tcW w:w="510" w:type="pct"/>
            <w:tcBorders>
              <w:top w:val="nil"/>
              <w:bottom w:val="nil"/>
            </w:tcBorders>
            <w:vAlign w:val="center"/>
          </w:tcPr>
          <w:p w:rsidR="00A9366A" w:rsidRDefault="00A9366A">
            <w:pPr>
              <w:jc w:val="center"/>
              <w:rPr>
                <w:rFonts w:cs="Arial"/>
                <w:szCs w:val="20"/>
              </w:rPr>
            </w:pPr>
            <w:r>
              <w:rPr>
                <w:rFonts w:cs="Arial"/>
                <w:szCs w:val="20"/>
              </w:rPr>
              <w:t>270</w:t>
            </w:r>
          </w:p>
        </w:tc>
        <w:tc>
          <w:tcPr>
            <w:tcW w:w="507" w:type="pct"/>
            <w:tcBorders>
              <w:top w:val="nil"/>
              <w:bottom w:val="nil"/>
            </w:tcBorders>
            <w:vAlign w:val="center"/>
          </w:tcPr>
          <w:p w:rsidR="00A9366A" w:rsidRDefault="00A9366A">
            <w:pPr>
              <w:jc w:val="center"/>
              <w:rPr>
                <w:rFonts w:cs="Arial"/>
                <w:szCs w:val="20"/>
              </w:rPr>
            </w:pPr>
            <w:r>
              <w:rPr>
                <w:rFonts w:cs="Arial"/>
                <w:szCs w:val="20"/>
              </w:rPr>
              <w:t>260</w:t>
            </w:r>
          </w:p>
        </w:tc>
        <w:tc>
          <w:tcPr>
            <w:tcW w:w="578" w:type="pct"/>
            <w:tcBorders>
              <w:top w:val="nil"/>
              <w:bottom w:val="nil"/>
            </w:tcBorders>
            <w:vAlign w:val="center"/>
          </w:tcPr>
          <w:p w:rsidR="00A9366A" w:rsidRDefault="00A9366A">
            <w:pPr>
              <w:jc w:val="center"/>
              <w:rPr>
                <w:rFonts w:cs="Arial"/>
                <w:szCs w:val="20"/>
              </w:rPr>
            </w:pPr>
            <w:r>
              <w:rPr>
                <w:rFonts w:cs="Arial"/>
                <w:szCs w:val="20"/>
              </w:rPr>
              <w:t>251</w:t>
            </w:r>
          </w:p>
        </w:tc>
      </w:tr>
      <w:tr w:rsidR="00A9366A" w:rsidRPr="00405CDE" w:rsidTr="00A226E9">
        <w:trPr>
          <w:trHeight w:val="510"/>
        </w:trPr>
        <w:tc>
          <w:tcPr>
            <w:tcW w:w="1211" w:type="pct"/>
            <w:tcBorders>
              <w:top w:val="nil"/>
              <w:bottom w:val="nil"/>
            </w:tcBorders>
            <w:vAlign w:val="center"/>
          </w:tcPr>
          <w:p w:rsidR="00A9366A" w:rsidRDefault="00A9366A">
            <w:pPr>
              <w:rPr>
                <w:rFonts w:cs="Arial"/>
                <w:sz w:val="20"/>
                <w:szCs w:val="20"/>
              </w:rPr>
            </w:pPr>
            <w:r>
              <w:rPr>
                <w:rFonts w:cs="Arial"/>
                <w:sz w:val="20"/>
                <w:szCs w:val="20"/>
              </w:rPr>
              <w:t>Ex post price ($/GJ)</w:t>
            </w:r>
          </w:p>
        </w:tc>
        <w:tc>
          <w:tcPr>
            <w:tcW w:w="580" w:type="pct"/>
            <w:tcBorders>
              <w:top w:val="nil"/>
              <w:bottom w:val="nil"/>
            </w:tcBorders>
            <w:vAlign w:val="center"/>
          </w:tcPr>
          <w:p w:rsidR="00A9366A" w:rsidRDefault="00A9366A">
            <w:pPr>
              <w:jc w:val="center"/>
              <w:rPr>
                <w:rFonts w:cs="Arial"/>
                <w:sz w:val="20"/>
                <w:szCs w:val="20"/>
              </w:rPr>
            </w:pPr>
            <w:r>
              <w:rPr>
                <w:rFonts w:cs="Arial"/>
                <w:sz w:val="20"/>
                <w:szCs w:val="20"/>
              </w:rPr>
              <w:t>9.52</w:t>
            </w:r>
          </w:p>
        </w:tc>
        <w:tc>
          <w:tcPr>
            <w:tcW w:w="508" w:type="pct"/>
            <w:tcBorders>
              <w:top w:val="nil"/>
              <w:bottom w:val="nil"/>
            </w:tcBorders>
            <w:vAlign w:val="center"/>
          </w:tcPr>
          <w:p w:rsidR="00A9366A" w:rsidRDefault="00A9366A">
            <w:pPr>
              <w:jc w:val="center"/>
              <w:rPr>
                <w:rFonts w:cs="Arial"/>
                <w:sz w:val="20"/>
                <w:szCs w:val="20"/>
              </w:rPr>
            </w:pPr>
            <w:r>
              <w:rPr>
                <w:rFonts w:cs="Arial"/>
                <w:sz w:val="20"/>
                <w:szCs w:val="20"/>
              </w:rPr>
              <w:t>9.62</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6.50</w:t>
            </w:r>
          </w:p>
        </w:tc>
        <w:tc>
          <w:tcPr>
            <w:tcW w:w="517" w:type="pct"/>
            <w:tcBorders>
              <w:top w:val="nil"/>
              <w:bottom w:val="nil"/>
            </w:tcBorders>
            <w:vAlign w:val="center"/>
          </w:tcPr>
          <w:p w:rsidR="00A9366A" w:rsidRDefault="00A9366A">
            <w:pPr>
              <w:jc w:val="center"/>
              <w:rPr>
                <w:rFonts w:cs="Arial"/>
                <w:sz w:val="20"/>
                <w:szCs w:val="20"/>
              </w:rPr>
            </w:pPr>
            <w:r>
              <w:rPr>
                <w:rFonts w:cs="Arial"/>
                <w:sz w:val="20"/>
                <w:szCs w:val="20"/>
              </w:rPr>
              <w:t>6.60</w:t>
            </w:r>
          </w:p>
        </w:tc>
        <w:tc>
          <w:tcPr>
            <w:tcW w:w="510" w:type="pct"/>
            <w:tcBorders>
              <w:top w:val="nil"/>
              <w:bottom w:val="nil"/>
            </w:tcBorders>
            <w:vAlign w:val="center"/>
          </w:tcPr>
          <w:p w:rsidR="00A9366A" w:rsidRDefault="00A9366A">
            <w:pPr>
              <w:jc w:val="center"/>
              <w:rPr>
                <w:rFonts w:cs="Arial"/>
                <w:sz w:val="20"/>
                <w:szCs w:val="20"/>
              </w:rPr>
            </w:pPr>
            <w:r>
              <w:rPr>
                <w:rFonts w:cs="Arial"/>
                <w:sz w:val="20"/>
                <w:szCs w:val="20"/>
              </w:rPr>
              <w:t>7.05</w:t>
            </w:r>
          </w:p>
        </w:tc>
        <w:tc>
          <w:tcPr>
            <w:tcW w:w="507" w:type="pct"/>
            <w:tcBorders>
              <w:top w:val="nil"/>
              <w:bottom w:val="nil"/>
            </w:tcBorders>
            <w:vAlign w:val="center"/>
          </w:tcPr>
          <w:p w:rsidR="00A9366A" w:rsidRDefault="00A9366A">
            <w:pPr>
              <w:jc w:val="center"/>
              <w:rPr>
                <w:rFonts w:cs="Arial"/>
                <w:sz w:val="20"/>
                <w:szCs w:val="20"/>
              </w:rPr>
            </w:pPr>
            <w:r>
              <w:rPr>
                <w:rFonts w:cs="Arial"/>
                <w:sz w:val="20"/>
                <w:szCs w:val="20"/>
              </w:rPr>
              <w:t>6.58</w:t>
            </w:r>
          </w:p>
        </w:tc>
        <w:tc>
          <w:tcPr>
            <w:tcW w:w="578" w:type="pct"/>
            <w:tcBorders>
              <w:top w:val="nil"/>
              <w:bottom w:val="nil"/>
            </w:tcBorders>
            <w:vAlign w:val="center"/>
          </w:tcPr>
          <w:p w:rsidR="00A9366A" w:rsidRDefault="00A9366A">
            <w:pPr>
              <w:jc w:val="center"/>
              <w:rPr>
                <w:rFonts w:cs="Arial"/>
                <w:sz w:val="20"/>
                <w:szCs w:val="20"/>
              </w:rPr>
            </w:pPr>
            <w:r>
              <w:rPr>
                <w:rFonts w:cs="Arial"/>
                <w:sz w:val="20"/>
                <w:szCs w:val="20"/>
              </w:rPr>
              <w:t>6.51</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A9366A" w:rsidRDefault="00A9366A">
            <w:pPr>
              <w:rPr>
                <w:rFonts w:cs="Arial"/>
                <w:szCs w:val="20"/>
              </w:rPr>
            </w:pPr>
            <w:r>
              <w:rPr>
                <w:rFonts w:cs="Arial"/>
                <w:szCs w:val="20"/>
              </w:rPr>
              <w:t>Ex post quantity (TJ)</w:t>
            </w:r>
          </w:p>
        </w:tc>
        <w:tc>
          <w:tcPr>
            <w:tcW w:w="580" w:type="pct"/>
            <w:tcBorders>
              <w:top w:val="nil"/>
              <w:bottom w:val="single" w:sz="4" w:space="0" w:color="auto"/>
            </w:tcBorders>
            <w:vAlign w:val="center"/>
          </w:tcPr>
          <w:p w:rsidR="00A9366A" w:rsidRDefault="00A9366A">
            <w:pPr>
              <w:jc w:val="center"/>
              <w:rPr>
                <w:rFonts w:cs="Arial"/>
                <w:szCs w:val="20"/>
              </w:rPr>
            </w:pPr>
            <w:r>
              <w:rPr>
                <w:rFonts w:cs="Arial"/>
                <w:szCs w:val="20"/>
              </w:rPr>
              <w:t>264</w:t>
            </w:r>
          </w:p>
        </w:tc>
        <w:tc>
          <w:tcPr>
            <w:tcW w:w="508" w:type="pct"/>
            <w:tcBorders>
              <w:top w:val="nil"/>
              <w:bottom w:val="single" w:sz="4" w:space="0" w:color="auto"/>
            </w:tcBorders>
            <w:vAlign w:val="center"/>
          </w:tcPr>
          <w:p w:rsidR="00A9366A" w:rsidRDefault="00A9366A">
            <w:pPr>
              <w:jc w:val="center"/>
              <w:rPr>
                <w:rFonts w:cs="Arial"/>
                <w:szCs w:val="20"/>
              </w:rPr>
            </w:pPr>
            <w:r>
              <w:rPr>
                <w:rFonts w:cs="Arial"/>
                <w:szCs w:val="20"/>
              </w:rPr>
              <w:t>271</w:t>
            </w:r>
          </w:p>
        </w:tc>
        <w:tc>
          <w:tcPr>
            <w:tcW w:w="589" w:type="pct"/>
            <w:tcBorders>
              <w:top w:val="nil"/>
              <w:bottom w:val="single" w:sz="4" w:space="0" w:color="auto"/>
            </w:tcBorders>
            <w:vAlign w:val="center"/>
          </w:tcPr>
          <w:p w:rsidR="00A9366A" w:rsidRDefault="00A9366A">
            <w:pPr>
              <w:jc w:val="center"/>
              <w:rPr>
                <w:rFonts w:cs="Arial"/>
                <w:szCs w:val="20"/>
              </w:rPr>
            </w:pPr>
            <w:r>
              <w:rPr>
                <w:rFonts w:cs="Arial"/>
                <w:szCs w:val="20"/>
              </w:rPr>
              <w:t>243</w:t>
            </w:r>
          </w:p>
        </w:tc>
        <w:tc>
          <w:tcPr>
            <w:tcW w:w="517" w:type="pct"/>
            <w:tcBorders>
              <w:top w:val="nil"/>
              <w:bottom w:val="single" w:sz="4" w:space="0" w:color="auto"/>
            </w:tcBorders>
            <w:vAlign w:val="center"/>
          </w:tcPr>
          <w:p w:rsidR="00A9366A" w:rsidRDefault="00A9366A">
            <w:pPr>
              <w:jc w:val="center"/>
              <w:rPr>
                <w:rFonts w:cs="Arial"/>
                <w:szCs w:val="20"/>
              </w:rPr>
            </w:pPr>
            <w:r>
              <w:rPr>
                <w:rFonts w:cs="Arial"/>
                <w:szCs w:val="20"/>
              </w:rPr>
              <w:t>257</w:t>
            </w:r>
          </w:p>
        </w:tc>
        <w:tc>
          <w:tcPr>
            <w:tcW w:w="510" w:type="pct"/>
            <w:tcBorders>
              <w:top w:val="nil"/>
              <w:bottom w:val="single" w:sz="4" w:space="0" w:color="auto"/>
            </w:tcBorders>
            <w:vAlign w:val="center"/>
          </w:tcPr>
          <w:p w:rsidR="00A9366A" w:rsidRDefault="00A9366A">
            <w:pPr>
              <w:jc w:val="center"/>
              <w:rPr>
                <w:rFonts w:cs="Arial"/>
                <w:szCs w:val="20"/>
              </w:rPr>
            </w:pPr>
            <w:r>
              <w:rPr>
                <w:rFonts w:cs="Arial"/>
                <w:szCs w:val="20"/>
              </w:rPr>
              <w:t>267</w:t>
            </w:r>
          </w:p>
        </w:tc>
        <w:tc>
          <w:tcPr>
            <w:tcW w:w="507" w:type="pct"/>
            <w:tcBorders>
              <w:top w:val="nil"/>
              <w:bottom w:val="single" w:sz="4" w:space="0" w:color="auto"/>
            </w:tcBorders>
            <w:vAlign w:val="center"/>
          </w:tcPr>
          <w:p w:rsidR="00A9366A" w:rsidRDefault="00A9366A">
            <w:pPr>
              <w:jc w:val="center"/>
              <w:rPr>
                <w:rFonts w:cs="Arial"/>
                <w:szCs w:val="20"/>
              </w:rPr>
            </w:pPr>
            <w:r>
              <w:rPr>
                <w:rFonts w:cs="Arial"/>
                <w:szCs w:val="20"/>
              </w:rPr>
              <w:t>242</w:t>
            </w:r>
          </w:p>
        </w:tc>
        <w:tc>
          <w:tcPr>
            <w:tcW w:w="578" w:type="pct"/>
            <w:tcBorders>
              <w:top w:val="nil"/>
              <w:bottom w:val="single" w:sz="4" w:space="0" w:color="auto"/>
            </w:tcBorders>
            <w:vAlign w:val="center"/>
          </w:tcPr>
          <w:p w:rsidR="00A9366A" w:rsidRDefault="00A9366A">
            <w:pPr>
              <w:jc w:val="center"/>
              <w:rPr>
                <w:rFonts w:cs="Arial"/>
                <w:szCs w:val="20"/>
              </w:rPr>
            </w:pPr>
            <w:r>
              <w:rPr>
                <w:rFonts w:cs="Arial"/>
                <w:szCs w:val="20"/>
              </w:rPr>
              <w:t>242</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A9366A" w:rsidP="00EC2CB1">
      <w:r w:rsidRPr="00A9366A">
        <w:rPr>
          <w:noProof/>
          <w:lang w:eastAsia="en-AU"/>
        </w:rPr>
        <w:drawing>
          <wp:inline distT="0" distB="0" distL="0" distR="0" wp14:anchorId="3DCA888F" wp14:editId="1DE5B32A">
            <wp:extent cx="5731510" cy="2050642"/>
            <wp:effectExtent l="0" t="0" r="0" b="6985"/>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0642"/>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D0C09" w:rsidP="00EC2CB1">
      <w:bookmarkStart w:id="6" w:name="_GoBack"/>
      <w:r w:rsidRPr="002D0C09">
        <w:drawing>
          <wp:inline distT="0" distB="0" distL="0" distR="0" wp14:anchorId="5D8218E7" wp14:editId="63024F86">
            <wp:extent cx="5731510" cy="2549536"/>
            <wp:effectExtent l="0" t="0" r="2540" b="3175"/>
            <wp:docPr id="3" name="Picture 3"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49536"/>
                    </a:xfrm>
                    <a:prstGeom prst="rect">
                      <a:avLst/>
                    </a:prstGeom>
                    <a:noFill/>
                    <a:ln>
                      <a:noFill/>
                    </a:ln>
                  </pic:spPr>
                </pic:pic>
              </a:graphicData>
            </a:graphic>
          </wp:inline>
        </w:drawing>
      </w:r>
      <w:bookmarkEnd w:id="6"/>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2"/>
      </w:r>
    </w:p>
    <w:p w:rsidR="00EC2CB1" w:rsidRDefault="00A9366A" w:rsidP="00EC2CB1">
      <w:r w:rsidRPr="00A9366A">
        <w:rPr>
          <w:noProof/>
          <w:lang w:eastAsia="en-AU"/>
        </w:rPr>
        <w:drawing>
          <wp:inline distT="0" distB="0" distL="0" distR="0" wp14:anchorId="3CAC493C" wp14:editId="38825631">
            <wp:extent cx="5731510" cy="2174800"/>
            <wp:effectExtent l="0" t="0" r="2540" b="0"/>
            <wp:docPr id="28" name="Picture 28" descr="Figure 2.4 shows the daily MOS allocations sorted by facility for each facility in Sydney this week. The figure also shows the daily breakdown of costs associated with the MOS provided.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4800"/>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9366A" w:rsidRPr="00405CDE" w:rsidTr="00A226E9">
        <w:trPr>
          <w:trHeight w:val="389"/>
        </w:trPr>
        <w:tc>
          <w:tcPr>
            <w:tcW w:w="1152" w:type="pct"/>
            <w:tcBorders>
              <w:top w:val="nil"/>
              <w:bottom w:val="nil"/>
            </w:tcBorders>
            <w:vAlign w:val="center"/>
          </w:tcPr>
          <w:p w:rsidR="00A9366A" w:rsidRDefault="00A9366A">
            <w:pPr>
              <w:rPr>
                <w:rFonts w:cs="Arial"/>
                <w:sz w:val="20"/>
                <w:szCs w:val="20"/>
              </w:rPr>
            </w:pPr>
            <w:r>
              <w:rPr>
                <w:rFonts w:cs="Arial"/>
                <w:sz w:val="20"/>
                <w:szCs w:val="20"/>
              </w:rPr>
              <w:t>Ex ante price ($/GJ)</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14.99</w:t>
            </w:r>
          </w:p>
        </w:tc>
        <w:tc>
          <w:tcPr>
            <w:tcW w:w="516" w:type="pct"/>
            <w:tcBorders>
              <w:top w:val="nil"/>
              <w:bottom w:val="nil"/>
            </w:tcBorders>
            <w:vAlign w:val="center"/>
          </w:tcPr>
          <w:p w:rsidR="00A9366A" w:rsidRDefault="00A9366A">
            <w:pPr>
              <w:jc w:val="center"/>
              <w:rPr>
                <w:rFonts w:cs="Arial"/>
                <w:sz w:val="20"/>
                <w:szCs w:val="20"/>
              </w:rPr>
            </w:pPr>
            <w:r>
              <w:rPr>
                <w:rFonts w:cs="Arial"/>
                <w:sz w:val="20"/>
                <w:szCs w:val="20"/>
              </w:rPr>
              <w:t>14.36</w:t>
            </w:r>
          </w:p>
        </w:tc>
        <w:tc>
          <w:tcPr>
            <w:tcW w:w="598" w:type="pct"/>
            <w:tcBorders>
              <w:top w:val="nil"/>
              <w:bottom w:val="nil"/>
            </w:tcBorders>
            <w:vAlign w:val="center"/>
          </w:tcPr>
          <w:p w:rsidR="00A9366A" w:rsidRDefault="00A9366A">
            <w:pPr>
              <w:jc w:val="center"/>
              <w:rPr>
                <w:rFonts w:cs="Arial"/>
                <w:sz w:val="20"/>
                <w:szCs w:val="20"/>
              </w:rPr>
            </w:pPr>
            <w:r>
              <w:rPr>
                <w:rFonts w:cs="Arial"/>
                <w:sz w:val="20"/>
                <w:szCs w:val="20"/>
              </w:rPr>
              <w:t>14.71</w:t>
            </w:r>
          </w:p>
        </w:tc>
        <w:tc>
          <w:tcPr>
            <w:tcW w:w="525" w:type="pct"/>
            <w:tcBorders>
              <w:top w:val="nil"/>
              <w:bottom w:val="nil"/>
            </w:tcBorders>
            <w:vAlign w:val="center"/>
          </w:tcPr>
          <w:p w:rsidR="00A9366A" w:rsidRDefault="00A9366A">
            <w:pPr>
              <w:jc w:val="center"/>
              <w:rPr>
                <w:rFonts w:cs="Arial"/>
                <w:sz w:val="20"/>
                <w:szCs w:val="20"/>
              </w:rPr>
            </w:pPr>
            <w:r>
              <w:rPr>
                <w:rFonts w:cs="Arial"/>
                <w:sz w:val="20"/>
                <w:szCs w:val="20"/>
              </w:rPr>
              <w:t>14.99</w:t>
            </w:r>
          </w:p>
        </w:tc>
        <w:tc>
          <w:tcPr>
            <w:tcW w:w="518" w:type="pct"/>
            <w:tcBorders>
              <w:top w:val="nil"/>
              <w:bottom w:val="nil"/>
            </w:tcBorders>
            <w:vAlign w:val="center"/>
          </w:tcPr>
          <w:p w:rsidR="00A9366A" w:rsidRDefault="00A9366A">
            <w:pPr>
              <w:jc w:val="center"/>
              <w:rPr>
                <w:rFonts w:cs="Arial"/>
                <w:sz w:val="20"/>
                <w:szCs w:val="20"/>
              </w:rPr>
            </w:pPr>
            <w:r>
              <w:rPr>
                <w:rFonts w:cs="Arial"/>
                <w:sz w:val="20"/>
                <w:szCs w:val="20"/>
              </w:rPr>
              <w:t>8.85</w:t>
            </w:r>
          </w:p>
        </w:tc>
        <w:tc>
          <w:tcPr>
            <w:tcW w:w="515" w:type="pct"/>
            <w:tcBorders>
              <w:top w:val="nil"/>
              <w:bottom w:val="nil"/>
            </w:tcBorders>
            <w:vAlign w:val="center"/>
          </w:tcPr>
          <w:p w:rsidR="00A9366A" w:rsidRDefault="00A9366A">
            <w:pPr>
              <w:jc w:val="center"/>
              <w:rPr>
                <w:rFonts w:cs="Arial"/>
                <w:sz w:val="20"/>
                <w:szCs w:val="20"/>
              </w:rPr>
            </w:pPr>
            <w:r>
              <w:rPr>
                <w:rFonts w:cs="Arial"/>
                <w:sz w:val="20"/>
                <w:szCs w:val="20"/>
              </w:rPr>
              <w:t>8.90</w:t>
            </w:r>
          </w:p>
        </w:tc>
        <w:tc>
          <w:tcPr>
            <w:tcW w:w="587" w:type="pct"/>
            <w:tcBorders>
              <w:top w:val="nil"/>
              <w:bottom w:val="nil"/>
            </w:tcBorders>
            <w:vAlign w:val="center"/>
          </w:tcPr>
          <w:p w:rsidR="00A9366A" w:rsidRDefault="00A9366A">
            <w:pPr>
              <w:jc w:val="center"/>
              <w:rPr>
                <w:rFonts w:cs="Arial"/>
                <w:sz w:val="20"/>
                <w:szCs w:val="20"/>
              </w:rPr>
            </w:pPr>
            <w:r>
              <w:rPr>
                <w:rFonts w:cs="Arial"/>
                <w:sz w:val="20"/>
                <w:szCs w:val="20"/>
              </w:rPr>
              <w:t>8.43</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A9366A" w:rsidRDefault="00A9366A">
            <w:pPr>
              <w:rPr>
                <w:rFonts w:cs="Arial"/>
                <w:szCs w:val="20"/>
              </w:rPr>
            </w:pPr>
            <w:r>
              <w:rPr>
                <w:rFonts w:cs="Arial"/>
                <w:szCs w:val="20"/>
              </w:rPr>
              <w:t>Ex ante quantity (TJ)</w:t>
            </w:r>
          </w:p>
        </w:tc>
        <w:tc>
          <w:tcPr>
            <w:tcW w:w="589" w:type="pct"/>
            <w:tcBorders>
              <w:top w:val="nil"/>
              <w:bottom w:val="nil"/>
            </w:tcBorders>
            <w:vAlign w:val="center"/>
          </w:tcPr>
          <w:p w:rsidR="00A9366A" w:rsidRDefault="00A9366A">
            <w:pPr>
              <w:jc w:val="center"/>
              <w:rPr>
                <w:rFonts w:cs="Arial"/>
                <w:szCs w:val="20"/>
              </w:rPr>
            </w:pPr>
            <w:r>
              <w:rPr>
                <w:rFonts w:cs="Arial"/>
                <w:szCs w:val="20"/>
              </w:rPr>
              <w:t>80</w:t>
            </w:r>
          </w:p>
        </w:tc>
        <w:tc>
          <w:tcPr>
            <w:tcW w:w="516" w:type="pct"/>
            <w:tcBorders>
              <w:top w:val="nil"/>
              <w:bottom w:val="nil"/>
            </w:tcBorders>
            <w:vAlign w:val="center"/>
          </w:tcPr>
          <w:p w:rsidR="00A9366A" w:rsidRDefault="00A9366A">
            <w:pPr>
              <w:jc w:val="center"/>
              <w:rPr>
                <w:rFonts w:cs="Arial"/>
                <w:szCs w:val="20"/>
              </w:rPr>
            </w:pPr>
            <w:r>
              <w:rPr>
                <w:rFonts w:cs="Arial"/>
                <w:szCs w:val="20"/>
              </w:rPr>
              <w:t>94</w:t>
            </w:r>
          </w:p>
        </w:tc>
        <w:tc>
          <w:tcPr>
            <w:tcW w:w="598" w:type="pct"/>
            <w:tcBorders>
              <w:top w:val="nil"/>
              <w:bottom w:val="nil"/>
            </w:tcBorders>
            <w:vAlign w:val="center"/>
          </w:tcPr>
          <w:p w:rsidR="00A9366A" w:rsidRDefault="00A9366A">
            <w:pPr>
              <w:jc w:val="center"/>
              <w:rPr>
                <w:rFonts w:cs="Arial"/>
                <w:szCs w:val="20"/>
              </w:rPr>
            </w:pPr>
            <w:r>
              <w:rPr>
                <w:rFonts w:cs="Arial"/>
                <w:szCs w:val="20"/>
              </w:rPr>
              <w:t>93</w:t>
            </w:r>
          </w:p>
        </w:tc>
        <w:tc>
          <w:tcPr>
            <w:tcW w:w="525" w:type="pct"/>
            <w:tcBorders>
              <w:top w:val="nil"/>
              <w:bottom w:val="nil"/>
            </w:tcBorders>
            <w:vAlign w:val="center"/>
          </w:tcPr>
          <w:p w:rsidR="00A9366A" w:rsidRDefault="00A9366A">
            <w:pPr>
              <w:jc w:val="center"/>
              <w:rPr>
                <w:rFonts w:cs="Arial"/>
                <w:szCs w:val="20"/>
              </w:rPr>
            </w:pPr>
            <w:r>
              <w:rPr>
                <w:rFonts w:cs="Arial"/>
                <w:szCs w:val="20"/>
              </w:rPr>
              <w:t>84</w:t>
            </w:r>
          </w:p>
        </w:tc>
        <w:tc>
          <w:tcPr>
            <w:tcW w:w="518" w:type="pct"/>
            <w:tcBorders>
              <w:top w:val="nil"/>
              <w:bottom w:val="nil"/>
            </w:tcBorders>
            <w:vAlign w:val="center"/>
          </w:tcPr>
          <w:p w:rsidR="00A9366A" w:rsidRDefault="00A9366A">
            <w:pPr>
              <w:jc w:val="center"/>
              <w:rPr>
                <w:rFonts w:cs="Arial"/>
                <w:szCs w:val="20"/>
              </w:rPr>
            </w:pPr>
            <w:r>
              <w:rPr>
                <w:rFonts w:cs="Arial"/>
                <w:szCs w:val="20"/>
              </w:rPr>
              <w:t>75</w:t>
            </w:r>
          </w:p>
        </w:tc>
        <w:tc>
          <w:tcPr>
            <w:tcW w:w="515" w:type="pct"/>
            <w:tcBorders>
              <w:top w:val="nil"/>
              <w:bottom w:val="nil"/>
            </w:tcBorders>
            <w:vAlign w:val="center"/>
          </w:tcPr>
          <w:p w:rsidR="00A9366A" w:rsidRDefault="00A9366A">
            <w:pPr>
              <w:jc w:val="center"/>
              <w:rPr>
                <w:rFonts w:cs="Arial"/>
                <w:szCs w:val="20"/>
              </w:rPr>
            </w:pPr>
            <w:r>
              <w:rPr>
                <w:rFonts w:cs="Arial"/>
                <w:szCs w:val="20"/>
              </w:rPr>
              <w:t>82</w:t>
            </w:r>
          </w:p>
        </w:tc>
        <w:tc>
          <w:tcPr>
            <w:tcW w:w="587" w:type="pct"/>
            <w:tcBorders>
              <w:top w:val="nil"/>
              <w:bottom w:val="nil"/>
            </w:tcBorders>
            <w:vAlign w:val="center"/>
          </w:tcPr>
          <w:p w:rsidR="00A9366A" w:rsidRDefault="00A9366A">
            <w:pPr>
              <w:jc w:val="center"/>
              <w:rPr>
                <w:rFonts w:cs="Arial"/>
                <w:szCs w:val="20"/>
              </w:rPr>
            </w:pPr>
            <w:r>
              <w:rPr>
                <w:rFonts w:cs="Arial"/>
                <w:szCs w:val="20"/>
              </w:rPr>
              <w:t>79</w:t>
            </w:r>
          </w:p>
        </w:tc>
      </w:tr>
      <w:tr w:rsidR="00A9366A" w:rsidRPr="00405CDE" w:rsidTr="00A226E9">
        <w:trPr>
          <w:trHeight w:val="87"/>
        </w:trPr>
        <w:tc>
          <w:tcPr>
            <w:tcW w:w="1152" w:type="pct"/>
            <w:tcBorders>
              <w:top w:val="nil"/>
              <w:bottom w:val="nil"/>
            </w:tcBorders>
            <w:vAlign w:val="center"/>
          </w:tcPr>
          <w:p w:rsidR="00A9366A" w:rsidRDefault="00A9366A">
            <w:pPr>
              <w:rPr>
                <w:rFonts w:cs="Arial"/>
                <w:sz w:val="20"/>
                <w:szCs w:val="20"/>
              </w:rPr>
            </w:pPr>
            <w:r>
              <w:rPr>
                <w:rFonts w:cs="Arial"/>
                <w:sz w:val="20"/>
                <w:szCs w:val="20"/>
              </w:rPr>
              <w:t>Ex post price ($/GJ)</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11.60</w:t>
            </w:r>
          </w:p>
        </w:tc>
        <w:tc>
          <w:tcPr>
            <w:tcW w:w="516" w:type="pct"/>
            <w:tcBorders>
              <w:top w:val="nil"/>
              <w:bottom w:val="nil"/>
            </w:tcBorders>
            <w:vAlign w:val="center"/>
          </w:tcPr>
          <w:p w:rsidR="00A9366A" w:rsidRDefault="00A9366A">
            <w:pPr>
              <w:jc w:val="center"/>
              <w:rPr>
                <w:rFonts w:cs="Arial"/>
                <w:sz w:val="20"/>
                <w:szCs w:val="20"/>
              </w:rPr>
            </w:pPr>
            <w:r>
              <w:rPr>
                <w:rFonts w:cs="Arial"/>
                <w:sz w:val="20"/>
                <w:szCs w:val="20"/>
              </w:rPr>
              <w:t>11.00</w:t>
            </w:r>
          </w:p>
        </w:tc>
        <w:tc>
          <w:tcPr>
            <w:tcW w:w="598" w:type="pct"/>
            <w:tcBorders>
              <w:top w:val="nil"/>
              <w:bottom w:val="nil"/>
            </w:tcBorders>
            <w:vAlign w:val="center"/>
          </w:tcPr>
          <w:p w:rsidR="00A9366A" w:rsidRDefault="00A9366A">
            <w:pPr>
              <w:jc w:val="center"/>
              <w:rPr>
                <w:rFonts w:cs="Arial"/>
                <w:sz w:val="20"/>
                <w:szCs w:val="20"/>
              </w:rPr>
            </w:pPr>
            <w:r>
              <w:rPr>
                <w:rFonts w:cs="Arial"/>
                <w:sz w:val="20"/>
                <w:szCs w:val="20"/>
              </w:rPr>
              <w:t>9.79</w:t>
            </w:r>
          </w:p>
        </w:tc>
        <w:tc>
          <w:tcPr>
            <w:tcW w:w="525" w:type="pct"/>
            <w:tcBorders>
              <w:top w:val="nil"/>
              <w:bottom w:val="nil"/>
            </w:tcBorders>
            <w:vAlign w:val="center"/>
          </w:tcPr>
          <w:p w:rsidR="00A9366A" w:rsidRDefault="00A9366A">
            <w:pPr>
              <w:jc w:val="center"/>
              <w:rPr>
                <w:rFonts w:cs="Arial"/>
                <w:sz w:val="20"/>
                <w:szCs w:val="20"/>
              </w:rPr>
            </w:pPr>
            <w:r>
              <w:rPr>
                <w:rFonts w:cs="Arial"/>
                <w:sz w:val="20"/>
                <w:szCs w:val="20"/>
              </w:rPr>
              <w:t>14.69</w:t>
            </w:r>
          </w:p>
        </w:tc>
        <w:tc>
          <w:tcPr>
            <w:tcW w:w="518" w:type="pct"/>
            <w:tcBorders>
              <w:top w:val="nil"/>
              <w:bottom w:val="nil"/>
            </w:tcBorders>
            <w:vAlign w:val="center"/>
          </w:tcPr>
          <w:p w:rsidR="00A9366A" w:rsidRDefault="00A9366A">
            <w:pPr>
              <w:jc w:val="center"/>
              <w:rPr>
                <w:rFonts w:cs="Arial"/>
                <w:sz w:val="20"/>
                <w:szCs w:val="20"/>
              </w:rPr>
            </w:pPr>
            <w:r>
              <w:rPr>
                <w:rFonts w:cs="Arial"/>
                <w:sz w:val="20"/>
                <w:szCs w:val="20"/>
              </w:rPr>
              <w:t>8.50</w:t>
            </w:r>
          </w:p>
        </w:tc>
        <w:tc>
          <w:tcPr>
            <w:tcW w:w="515" w:type="pct"/>
            <w:tcBorders>
              <w:top w:val="nil"/>
              <w:bottom w:val="nil"/>
            </w:tcBorders>
            <w:vAlign w:val="center"/>
          </w:tcPr>
          <w:p w:rsidR="00A9366A" w:rsidRDefault="00A9366A">
            <w:pPr>
              <w:jc w:val="center"/>
              <w:rPr>
                <w:rFonts w:cs="Arial"/>
                <w:sz w:val="20"/>
                <w:szCs w:val="20"/>
              </w:rPr>
            </w:pPr>
            <w:r>
              <w:rPr>
                <w:rFonts w:cs="Arial"/>
                <w:sz w:val="20"/>
                <w:szCs w:val="20"/>
              </w:rPr>
              <w:t>8.03</w:t>
            </w:r>
          </w:p>
        </w:tc>
        <w:tc>
          <w:tcPr>
            <w:tcW w:w="587" w:type="pct"/>
            <w:tcBorders>
              <w:top w:val="nil"/>
              <w:bottom w:val="nil"/>
            </w:tcBorders>
            <w:vAlign w:val="center"/>
          </w:tcPr>
          <w:p w:rsidR="00A9366A" w:rsidRDefault="00A9366A">
            <w:pPr>
              <w:jc w:val="center"/>
              <w:rPr>
                <w:rFonts w:cs="Arial"/>
                <w:sz w:val="20"/>
                <w:szCs w:val="20"/>
              </w:rPr>
            </w:pPr>
            <w:r>
              <w:rPr>
                <w:rFonts w:cs="Arial"/>
                <w:sz w:val="20"/>
                <w:szCs w:val="20"/>
              </w:rPr>
              <w:t>7.64</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A9366A" w:rsidRDefault="00A9366A">
            <w:pPr>
              <w:rPr>
                <w:rFonts w:cs="Arial"/>
                <w:szCs w:val="20"/>
              </w:rPr>
            </w:pPr>
            <w:r>
              <w:rPr>
                <w:rFonts w:cs="Arial"/>
                <w:szCs w:val="20"/>
              </w:rPr>
              <w:t>Ex post quantity (TJ)</w:t>
            </w:r>
          </w:p>
        </w:tc>
        <w:tc>
          <w:tcPr>
            <w:tcW w:w="589" w:type="pct"/>
            <w:tcBorders>
              <w:top w:val="nil"/>
              <w:bottom w:val="single" w:sz="4" w:space="0" w:color="auto"/>
            </w:tcBorders>
            <w:vAlign w:val="center"/>
          </w:tcPr>
          <w:p w:rsidR="00A9366A" w:rsidRDefault="00A9366A">
            <w:pPr>
              <w:jc w:val="center"/>
              <w:rPr>
                <w:rFonts w:cs="Arial"/>
                <w:szCs w:val="20"/>
              </w:rPr>
            </w:pPr>
            <w:r>
              <w:rPr>
                <w:rFonts w:cs="Arial"/>
                <w:szCs w:val="20"/>
              </w:rPr>
              <w:t>75</w:t>
            </w:r>
          </w:p>
        </w:tc>
        <w:tc>
          <w:tcPr>
            <w:tcW w:w="516" w:type="pct"/>
            <w:tcBorders>
              <w:top w:val="nil"/>
              <w:bottom w:val="single" w:sz="4" w:space="0" w:color="auto"/>
            </w:tcBorders>
            <w:vAlign w:val="center"/>
          </w:tcPr>
          <w:p w:rsidR="00A9366A" w:rsidRDefault="00A9366A">
            <w:pPr>
              <w:jc w:val="center"/>
              <w:rPr>
                <w:rFonts w:cs="Arial"/>
                <w:szCs w:val="20"/>
              </w:rPr>
            </w:pPr>
            <w:r>
              <w:rPr>
                <w:rFonts w:cs="Arial"/>
                <w:szCs w:val="20"/>
              </w:rPr>
              <w:t>88</w:t>
            </w:r>
          </w:p>
        </w:tc>
        <w:tc>
          <w:tcPr>
            <w:tcW w:w="598" w:type="pct"/>
            <w:tcBorders>
              <w:top w:val="nil"/>
              <w:bottom w:val="single" w:sz="4" w:space="0" w:color="auto"/>
            </w:tcBorders>
            <w:vAlign w:val="center"/>
          </w:tcPr>
          <w:p w:rsidR="00A9366A" w:rsidRDefault="00A9366A">
            <w:pPr>
              <w:jc w:val="center"/>
              <w:rPr>
                <w:rFonts w:cs="Arial"/>
                <w:szCs w:val="20"/>
              </w:rPr>
            </w:pPr>
            <w:r>
              <w:rPr>
                <w:rFonts w:cs="Arial"/>
                <w:szCs w:val="20"/>
              </w:rPr>
              <w:t>81</w:t>
            </w:r>
          </w:p>
        </w:tc>
        <w:tc>
          <w:tcPr>
            <w:tcW w:w="525" w:type="pct"/>
            <w:tcBorders>
              <w:top w:val="nil"/>
              <w:bottom w:val="single" w:sz="4" w:space="0" w:color="auto"/>
            </w:tcBorders>
            <w:vAlign w:val="center"/>
          </w:tcPr>
          <w:p w:rsidR="00A9366A" w:rsidRDefault="00A9366A">
            <w:pPr>
              <w:jc w:val="center"/>
              <w:rPr>
                <w:rFonts w:cs="Arial"/>
                <w:szCs w:val="20"/>
              </w:rPr>
            </w:pPr>
            <w:r>
              <w:rPr>
                <w:rFonts w:cs="Arial"/>
                <w:szCs w:val="20"/>
              </w:rPr>
              <w:t>80</w:t>
            </w:r>
          </w:p>
        </w:tc>
        <w:tc>
          <w:tcPr>
            <w:tcW w:w="518" w:type="pct"/>
            <w:tcBorders>
              <w:top w:val="nil"/>
              <w:bottom w:val="single" w:sz="4" w:space="0" w:color="auto"/>
            </w:tcBorders>
            <w:vAlign w:val="center"/>
          </w:tcPr>
          <w:p w:rsidR="00A9366A" w:rsidRDefault="00A9366A">
            <w:pPr>
              <w:jc w:val="center"/>
              <w:rPr>
                <w:rFonts w:cs="Arial"/>
                <w:szCs w:val="20"/>
              </w:rPr>
            </w:pPr>
            <w:r>
              <w:rPr>
                <w:rFonts w:cs="Arial"/>
                <w:szCs w:val="20"/>
              </w:rPr>
              <w:t>65</w:t>
            </w:r>
          </w:p>
        </w:tc>
        <w:tc>
          <w:tcPr>
            <w:tcW w:w="515" w:type="pct"/>
            <w:tcBorders>
              <w:top w:val="nil"/>
              <w:bottom w:val="single" w:sz="4" w:space="0" w:color="auto"/>
            </w:tcBorders>
            <w:vAlign w:val="center"/>
          </w:tcPr>
          <w:p w:rsidR="00A9366A" w:rsidRDefault="00A9366A">
            <w:pPr>
              <w:jc w:val="center"/>
              <w:rPr>
                <w:rFonts w:cs="Arial"/>
                <w:szCs w:val="20"/>
              </w:rPr>
            </w:pPr>
            <w:r>
              <w:rPr>
                <w:rFonts w:cs="Arial"/>
                <w:szCs w:val="20"/>
              </w:rPr>
              <w:t>77</w:t>
            </w:r>
          </w:p>
        </w:tc>
        <w:tc>
          <w:tcPr>
            <w:tcW w:w="587" w:type="pct"/>
            <w:tcBorders>
              <w:top w:val="nil"/>
              <w:bottom w:val="single" w:sz="4" w:space="0" w:color="auto"/>
            </w:tcBorders>
            <w:vAlign w:val="center"/>
          </w:tcPr>
          <w:p w:rsidR="00A9366A" w:rsidRDefault="00A9366A">
            <w:pPr>
              <w:jc w:val="center"/>
              <w:rPr>
                <w:rFonts w:cs="Arial"/>
                <w:szCs w:val="20"/>
              </w:rPr>
            </w:pPr>
            <w:r>
              <w:rPr>
                <w:rFonts w:cs="Arial"/>
                <w:szCs w:val="20"/>
              </w:rPr>
              <w:t>72</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A9366A" w:rsidP="00EC2CB1">
      <w:r w:rsidRPr="00A9366A">
        <w:rPr>
          <w:noProof/>
          <w:lang w:eastAsia="en-AU"/>
        </w:rPr>
        <w:drawing>
          <wp:inline distT="0" distB="0" distL="0" distR="0" wp14:anchorId="48AD03FB" wp14:editId="307E9A50">
            <wp:extent cx="5731510" cy="1738365"/>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8365"/>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A9366A" w:rsidP="00EC2CB1">
      <w:r w:rsidRPr="00A9366A">
        <w:rPr>
          <w:noProof/>
          <w:lang w:eastAsia="en-AU"/>
        </w:rPr>
        <w:drawing>
          <wp:inline distT="0" distB="0" distL="0" distR="0" wp14:anchorId="4954CF84" wp14:editId="55A9DFBB">
            <wp:extent cx="5731510" cy="1514448"/>
            <wp:effectExtent l="0" t="0" r="2540" b="0"/>
            <wp:docPr id="22" name="Picture 22" descr="Figure 3.3 shows the daily scheduled and allocated quantities sorted by facility for Adelaide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4448"/>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A9366A" w:rsidP="00A226E9">
      <w:r w:rsidRPr="00A9366A">
        <w:rPr>
          <w:noProof/>
          <w:lang w:eastAsia="en-AU"/>
        </w:rPr>
        <w:drawing>
          <wp:inline distT="0" distB="0" distL="0" distR="0" wp14:anchorId="5F6246D0" wp14:editId="58438AA1">
            <wp:extent cx="5731510" cy="1805950"/>
            <wp:effectExtent l="0" t="0" r="2540" b="381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595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9366A" w:rsidRPr="00405CDE" w:rsidTr="00A226E9">
        <w:trPr>
          <w:trHeight w:val="510"/>
        </w:trPr>
        <w:tc>
          <w:tcPr>
            <w:tcW w:w="1152" w:type="pct"/>
            <w:tcBorders>
              <w:top w:val="nil"/>
              <w:bottom w:val="nil"/>
            </w:tcBorders>
            <w:vAlign w:val="center"/>
          </w:tcPr>
          <w:p w:rsidR="00A9366A" w:rsidRDefault="00A9366A">
            <w:pPr>
              <w:rPr>
                <w:rFonts w:cs="Arial"/>
                <w:sz w:val="20"/>
                <w:szCs w:val="20"/>
              </w:rPr>
            </w:pPr>
            <w:r>
              <w:rPr>
                <w:rFonts w:cs="Arial"/>
                <w:sz w:val="20"/>
                <w:szCs w:val="20"/>
              </w:rPr>
              <w:t>Ex ante price ($/GJ)</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16"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98"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25" w:type="pct"/>
            <w:tcBorders>
              <w:top w:val="nil"/>
              <w:bottom w:val="nil"/>
            </w:tcBorders>
            <w:vAlign w:val="center"/>
          </w:tcPr>
          <w:p w:rsidR="00A9366A" w:rsidRDefault="00A9366A">
            <w:pPr>
              <w:jc w:val="center"/>
              <w:rPr>
                <w:rFonts w:cs="Arial"/>
                <w:sz w:val="20"/>
                <w:szCs w:val="20"/>
              </w:rPr>
            </w:pPr>
            <w:r>
              <w:rPr>
                <w:rFonts w:cs="Arial"/>
                <w:sz w:val="20"/>
                <w:szCs w:val="20"/>
              </w:rPr>
              <w:t>7.97</w:t>
            </w:r>
          </w:p>
        </w:tc>
        <w:tc>
          <w:tcPr>
            <w:tcW w:w="518" w:type="pct"/>
            <w:tcBorders>
              <w:top w:val="nil"/>
              <w:bottom w:val="nil"/>
            </w:tcBorders>
            <w:vAlign w:val="center"/>
          </w:tcPr>
          <w:p w:rsidR="00A9366A" w:rsidRDefault="00A9366A">
            <w:pPr>
              <w:jc w:val="center"/>
              <w:rPr>
                <w:rFonts w:cs="Arial"/>
                <w:sz w:val="20"/>
                <w:szCs w:val="20"/>
              </w:rPr>
            </w:pPr>
            <w:r>
              <w:rPr>
                <w:rFonts w:cs="Arial"/>
                <w:sz w:val="20"/>
                <w:szCs w:val="20"/>
              </w:rPr>
              <w:t>7.95</w:t>
            </w:r>
          </w:p>
        </w:tc>
        <w:tc>
          <w:tcPr>
            <w:tcW w:w="515" w:type="pct"/>
            <w:tcBorders>
              <w:top w:val="nil"/>
              <w:bottom w:val="nil"/>
            </w:tcBorders>
            <w:vAlign w:val="center"/>
          </w:tcPr>
          <w:p w:rsidR="00A9366A" w:rsidRDefault="00A9366A">
            <w:pPr>
              <w:jc w:val="center"/>
              <w:rPr>
                <w:rFonts w:cs="Arial"/>
                <w:sz w:val="20"/>
                <w:szCs w:val="20"/>
              </w:rPr>
            </w:pPr>
            <w:r>
              <w:rPr>
                <w:rFonts w:cs="Arial"/>
                <w:sz w:val="20"/>
                <w:szCs w:val="20"/>
              </w:rPr>
              <w:t>6.05</w:t>
            </w:r>
          </w:p>
        </w:tc>
        <w:tc>
          <w:tcPr>
            <w:tcW w:w="587" w:type="pct"/>
            <w:tcBorders>
              <w:top w:val="nil"/>
              <w:bottom w:val="nil"/>
            </w:tcBorders>
            <w:vAlign w:val="center"/>
          </w:tcPr>
          <w:p w:rsidR="00A9366A" w:rsidRDefault="00A9366A">
            <w:pPr>
              <w:jc w:val="center"/>
              <w:rPr>
                <w:rFonts w:cs="Arial"/>
                <w:sz w:val="20"/>
                <w:szCs w:val="20"/>
              </w:rPr>
            </w:pPr>
            <w:r>
              <w:rPr>
                <w:rFonts w:cs="Arial"/>
                <w:sz w:val="20"/>
                <w:szCs w:val="20"/>
              </w:rPr>
              <w:t>6.70</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A9366A" w:rsidRDefault="00A9366A">
            <w:pPr>
              <w:rPr>
                <w:rFonts w:cs="Arial"/>
                <w:szCs w:val="20"/>
              </w:rPr>
            </w:pPr>
            <w:r>
              <w:rPr>
                <w:rFonts w:cs="Arial"/>
                <w:szCs w:val="20"/>
              </w:rPr>
              <w:t>Ex ante quantity (TJ)</w:t>
            </w:r>
          </w:p>
        </w:tc>
        <w:tc>
          <w:tcPr>
            <w:tcW w:w="589" w:type="pct"/>
            <w:tcBorders>
              <w:top w:val="nil"/>
              <w:bottom w:val="nil"/>
            </w:tcBorders>
            <w:vAlign w:val="center"/>
          </w:tcPr>
          <w:p w:rsidR="00A9366A" w:rsidRDefault="00A9366A">
            <w:pPr>
              <w:jc w:val="center"/>
              <w:rPr>
                <w:rFonts w:cs="Arial"/>
                <w:szCs w:val="20"/>
              </w:rPr>
            </w:pPr>
            <w:r>
              <w:rPr>
                <w:rFonts w:cs="Arial"/>
                <w:szCs w:val="20"/>
              </w:rPr>
              <w:t>83</w:t>
            </w:r>
          </w:p>
        </w:tc>
        <w:tc>
          <w:tcPr>
            <w:tcW w:w="516" w:type="pct"/>
            <w:tcBorders>
              <w:top w:val="nil"/>
              <w:bottom w:val="nil"/>
            </w:tcBorders>
            <w:vAlign w:val="center"/>
          </w:tcPr>
          <w:p w:rsidR="00A9366A" w:rsidRDefault="00A9366A">
            <w:pPr>
              <w:jc w:val="center"/>
              <w:rPr>
                <w:rFonts w:cs="Arial"/>
                <w:szCs w:val="20"/>
              </w:rPr>
            </w:pPr>
            <w:r>
              <w:rPr>
                <w:rFonts w:cs="Arial"/>
                <w:szCs w:val="20"/>
              </w:rPr>
              <w:t>99</w:t>
            </w:r>
          </w:p>
        </w:tc>
        <w:tc>
          <w:tcPr>
            <w:tcW w:w="598" w:type="pct"/>
            <w:tcBorders>
              <w:top w:val="nil"/>
              <w:bottom w:val="nil"/>
            </w:tcBorders>
            <w:vAlign w:val="center"/>
          </w:tcPr>
          <w:p w:rsidR="00A9366A" w:rsidRDefault="00A9366A">
            <w:pPr>
              <w:jc w:val="center"/>
              <w:rPr>
                <w:rFonts w:cs="Arial"/>
                <w:szCs w:val="20"/>
              </w:rPr>
            </w:pPr>
            <w:r>
              <w:rPr>
                <w:rFonts w:cs="Arial"/>
                <w:szCs w:val="20"/>
              </w:rPr>
              <w:t>103</w:t>
            </w:r>
          </w:p>
        </w:tc>
        <w:tc>
          <w:tcPr>
            <w:tcW w:w="525" w:type="pct"/>
            <w:tcBorders>
              <w:top w:val="nil"/>
              <w:bottom w:val="nil"/>
            </w:tcBorders>
            <w:vAlign w:val="center"/>
          </w:tcPr>
          <w:p w:rsidR="00A9366A" w:rsidRDefault="00A9366A">
            <w:pPr>
              <w:jc w:val="center"/>
              <w:rPr>
                <w:rFonts w:cs="Arial"/>
                <w:szCs w:val="20"/>
              </w:rPr>
            </w:pPr>
            <w:r>
              <w:rPr>
                <w:rFonts w:cs="Arial"/>
                <w:szCs w:val="20"/>
              </w:rPr>
              <w:t>102</w:t>
            </w:r>
          </w:p>
        </w:tc>
        <w:tc>
          <w:tcPr>
            <w:tcW w:w="518" w:type="pct"/>
            <w:tcBorders>
              <w:top w:val="nil"/>
              <w:bottom w:val="nil"/>
            </w:tcBorders>
            <w:vAlign w:val="center"/>
          </w:tcPr>
          <w:p w:rsidR="00A9366A" w:rsidRDefault="00A9366A">
            <w:pPr>
              <w:jc w:val="center"/>
              <w:rPr>
                <w:rFonts w:cs="Arial"/>
                <w:szCs w:val="20"/>
              </w:rPr>
            </w:pPr>
            <w:r>
              <w:rPr>
                <w:rFonts w:cs="Arial"/>
                <w:szCs w:val="20"/>
              </w:rPr>
              <w:t>102</w:t>
            </w:r>
          </w:p>
        </w:tc>
        <w:tc>
          <w:tcPr>
            <w:tcW w:w="515" w:type="pct"/>
            <w:tcBorders>
              <w:top w:val="nil"/>
              <w:bottom w:val="nil"/>
            </w:tcBorders>
            <w:vAlign w:val="center"/>
          </w:tcPr>
          <w:p w:rsidR="00A9366A" w:rsidRDefault="00A9366A">
            <w:pPr>
              <w:jc w:val="center"/>
              <w:rPr>
                <w:rFonts w:cs="Arial"/>
                <w:szCs w:val="20"/>
              </w:rPr>
            </w:pPr>
            <w:r>
              <w:rPr>
                <w:rFonts w:cs="Arial"/>
                <w:szCs w:val="20"/>
              </w:rPr>
              <w:t>98</w:t>
            </w:r>
          </w:p>
        </w:tc>
        <w:tc>
          <w:tcPr>
            <w:tcW w:w="587" w:type="pct"/>
            <w:tcBorders>
              <w:top w:val="nil"/>
              <w:bottom w:val="nil"/>
            </w:tcBorders>
            <w:vAlign w:val="center"/>
          </w:tcPr>
          <w:p w:rsidR="00A9366A" w:rsidRDefault="00A9366A">
            <w:pPr>
              <w:jc w:val="center"/>
              <w:rPr>
                <w:rFonts w:cs="Arial"/>
                <w:szCs w:val="20"/>
              </w:rPr>
            </w:pPr>
            <w:r>
              <w:rPr>
                <w:rFonts w:cs="Arial"/>
                <w:szCs w:val="20"/>
              </w:rPr>
              <w:t>88</w:t>
            </w:r>
          </w:p>
        </w:tc>
      </w:tr>
      <w:tr w:rsidR="00A9366A" w:rsidRPr="00405CDE" w:rsidTr="00A226E9">
        <w:trPr>
          <w:trHeight w:val="510"/>
        </w:trPr>
        <w:tc>
          <w:tcPr>
            <w:tcW w:w="1152" w:type="pct"/>
            <w:tcBorders>
              <w:top w:val="nil"/>
              <w:bottom w:val="nil"/>
            </w:tcBorders>
            <w:vAlign w:val="center"/>
          </w:tcPr>
          <w:p w:rsidR="00A9366A" w:rsidRDefault="00A9366A">
            <w:pPr>
              <w:rPr>
                <w:rFonts w:cs="Arial"/>
                <w:sz w:val="20"/>
                <w:szCs w:val="20"/>
              </w:rPr>
            </w:pPr>
            <w:r>
              <w:rPr>
                <w:rFonts w:cs="Arial"/>
                <w:sz w:val="20"/>
                <w:szCs w:val="20"/>
              </w:rPr>
              <w:t>Ex post price ($/GJ)</w:t>
            </w:r>
          </w:p>
        </w:tc>
        <w:tc>
          <w:tcPr>
            <w:tcW w:w="589"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16"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98" w:type="pct"/>
            <w:tcBorders>
              <w:top w:val="nil"/>
              <w:bottom w:val="nil"/>
            </w:tcBorders>
            <w:vAlign w:val="center"/>
          </w:tcPr>
          <w:p w:rsidR="00A9366A" w:rsidRDefault="00A9366A">
            <w:pPr>
              <w:jc w:val="center"/>
              <w:rPr>
                <w:rFonts w:cs="Arial"/>
                <w:sz w:val="20"/>
                <w:szCs w:val="20"/>
              </w:rPr>
            </w:pPr>
            <w:r>
              <w:rPr>
                <w:rFonts w:cs="Arial"/>
                <w:sz w:val="20"/>
                <w:szCs w:val="20"/>
              </w:rPr>
              <w:t>8.00</w:t>
            </w:r>
          </w:p>
        </w:tc>
        <w:tc>
          <w:tcPr>
            <w:tcW w:w="525" w:type="pct"/>
            <w:tcBorders>
              <w:top w:val="nil"/>
              <w:bottom w:val="nil"/>
            </w:tcBorders>
            <w:vAlign w:val="center"/>
          </w:tcPr>
          <w:p w:rsidR="00A9366A" w:rsidRDefault="00A9366A">
            <w:pPr>
              <w:jc w:val="center"/>
              <w:rPr>
                <w:rFonts w:cs="Arial"/>
                <w:sz w:val="20"/>
                <w:szCs w:val="20"/>
              </w:rPr>
            </w:pPr>
            <w:r>
              <w:rPr>
                <w:rFonts w:cs="Arial"/>
                <w:sz w:val="20"/>
                <w:szCs w:val="20"/>
              </w:rPr>
              <w:t>7.97</w:t>
            </w:r>
          </w:p>
        </w:tc>
        <w:tc>
          <w:tcPr>
            <w:tcW w:w="518" w:type="pct"/>
            <w:tcBorders>
              <w:top w:val="nil"/>
              <w:bottom w:val="nil"/>
            </w:tcBorders>
            <w:vAlign w:val="center"/>
          </w:tcPr>
          <w:p w:rsidR="00A9366A" w:rsidRDefault="00A9366A">
            <w:pPr>
              <w:jc w:val="center"/>
              <w:rPr>
                <w:rFonts w:cs="Arial"/>
                <w:sz w:val="20"/>
                <w:szCs w:val="20"/>
              </w:rPr>
            </w:pPr>
            <w:r>
              <w:rPr>
                <w:rFonts w:cs="Arial"/>
                <w:sz w:val="20"/>
                <w:szCs w:val="20"/>
              </w:rPr>
              <w:t>6.15</w:t>
            </w:r>
          </w:p>
        </w:tc>
        <w:tc>
          <w:tcPr>
            <w:tcW w:w="515" w:type="pct"/>
            <w:tcBorders>
              <w:top w:val="nil"/>
              <w:bottom w:val="nil"/>
            </w:tcBorders>
            <w:vAlign w:val="center"/>
          </w:tcPr>
          <w:p w:rsidR="00A9366A" w:rsidRDefault="00A9366A">
            <w:pPr>
              <w:jc w:val="center"/>
              <w:rPr>
                <w:rFonts w:cs="Arial"/>
                <w:sz w:val="20"/>
                <w:szCs w:val="20"/>
              </w:rPr>
            </w:pPr>
            <w:r>
              <w:rPr>
                <w:rFonts w:cs="Arial"/>
                <w:sz w:val="20"/>
                <w:szCs w:val="20"/>
              </w:rPr>
              <w:t>6.05</w:t>
            </w:r>
          </w:p>
        </w:tc>
        <w:tc>
          <w:tcPr>
            <w:tcW w:w="587" w:type="pct"/>
            <w:tcBorders>
              <w:top w:val="nil"/>
              <w:bottom w:val="nil"/>
            </w:tcBorders>
            <w:vAlign w:val="center"/>
          </w:tcPr>
          <w:p w:rsidR="00A9366A" w:rsidRDefault="00A9366A">
            <w:pPr>
              <w:jc w:val="center"/>
              <w:rPr>
                <w:rFonts w:cs="Arial"/>
                <w:sz w:val="20"/>
                <w:szCs w:val="20"/>
              </w:rPr>
            </w:pPr>
            <w:r>
              <w:rPr>
                <w:rFonts w:cs="Arial"/>
                <w:sz w:val="20"/>
                <w:szCs w:val="20"/>
              </w:rPr>
              <w:t>5.10</w:t>
            </w:r>
          </w:p>
        </w:tc>
      </w:tr>
      <w:tr w:rsidR="00A9366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A9366A" w:rsidRDefault="00A9366A">
            <w:pPr>
              <w:rPr>
                <w:rFonts w:cs="Arial"/>
                <w:szCs w:val="20"/>
              </w:rPr>
            </w:pPr>
            <w:r>
              <w:rPr>
                <w:rFonts w:cs="Arial"/>
                <w:szCs w:val="20"/>
              </w:rPr>
              <w:t>Ex post quantity (TJ)</w:t>
            </w:r>
          </w:p>
        </w:tc>
        <w:tc>
          <w:tcPr>
            <w:tcW w:w="589" w:type="pct"/>
            <w:tcBorders>
              <w:top w:val="nil"/>
              <w:bottom w:val="single" w:sz="4" w:space="0" w:color="auto"/>
            </w:tcBorders>
            <w:vAlign w:val="center"/>
          </w:tcPr>
          <w:p w:rsidR="00A9366A" w:rsidRDefault="00A9366A">
            <w:pPr>
              <w:jc w:val="center"/>
              <w:rPr>
                <w:rFonts w:cs="Arial"/>
                <w:szCs w:val="20"/>
              </w:rPr>
            </w:pPr>
            <w:r>
              <w:rPr>
                <w:rFonts w:cs="Arial"/>
                <w:szCs w:val="20"/>
              </w:rPr>
              <w:t>84</w:t>
            </w:r>
          </w:p>
        </w:tc>
        <w:tc>
          <w:tcPr>
            <w:tcW w:w="516" w:type="pct"/>
            <w:tcBorders>
              <w:top w:val="nil"/>
              <w:bottom w:val="single" w:sz="4" w:space="0" w:color="auto"/>
            </w:tcBorders>
            <w:vAlign w:val="center"/>
          </w:tcPr>
          <w:p w:rsidR="00A9366A" w:rsidRDefault="00A9366A">
            <w:pPr>
              <w:jc w:val="center"/>
              <w:rPr>
                <w:rFonts w:cs="Arial"/>
                <w:szCs w:val="20"/>
              </w:rPr>
            </w:pPr>
            <w:r>
              <w:rPr>
                <w:rFonts w:cs="Arial"/>
                <w:szCs w:val="20"/>
              </w:rPr>
              <w:t>102</w:t>
            </w:r>
          </w:p>
        </w:tc>
        <w:tc>
          <w:tcPr>
            <w:tcW w:w="598" w:type="pct"/>
            <w:tcBorders>
              <w:top w:val="nil"/>
              <w:bottom w:val="single" w:sz="4" w:space="0" w:color="auto"/>
            </w:tcBorders>
            <w:vAlign w:val="center"/>
          </w:tcPr>
          <w:p w:rsidR="00A9366A" w:rsidRDefault="00A9366A">
            <w:pPr>
              <w:jc w:val="center"/>
              <w:rPr>
                <w:rFonts w:cs="Arial"/>
                <w:szCs w:val="20"/>
              </w:rPr>
            </w:pPr>
            <w:r>
              <w:rPr>
                <w:rFonts w:cs="Arial"/>
                <w:szCs w:val="20"/>
              </w:rPr>
              <w:t>104</w:t>
            </w:r>
          </w:p>
        </w:tc>
        <w:tc>
          <w:tcPr>
            <w:tcW w:w="525" w:type="pct"/>
            <w:tcBorders>
              <w:top w:val="nil"/>
              <w:bottom w:val="single" w:sz="4" w:space="0" w:color="auto"/>
            </w:tcBorders>
            <w:vAlign w:val="center"/>
          </w:tcPr>
          <w:p w:rsidR="00A9366A" w:rsidRDefault="00A9366A">
            <w:pPr>
              <w:jc w:val="center"/>
              <w:rPr>
                <w:rFonts w:cs="Arial"/>
                <w:szCs w:val="20"/>
              </w:rPr>
            </w:pPr>
            <w:r>
              <w:rPr>
                <w:rFonts w:cs="Arial"/>
                <w:szCs w:val="20"/>
              </w:rPr>
              <w:t>100</w:t>
            </w:r>
          </w:p>
        </w:tc>
        <w:tc>
          <w:tcPr>
            <w:tcW w:w="518" w:type="pct"/>
            <w:tcBorders>
              <w:top w:val="nil"/>
              <w:bottom w:val="single" w:sz="4" w:space="0" w:color="auto"/>
            </w:tcBorders>
            <w:vAlign w:val="center"/>
          </w:tcPr>
          <w:p w:rsidR="00A9366A" w:rsidRDefault="00A9366A">
            <w:pPr>
              <w:jc w:val="center"/>
              <w:rPr>
                <w:rFonts w:cs="Arial"/>
                <w:szCs w:val="20"/>
              </w:rPr>
            </w:pPr>
            <w:r>
              <w:rPr>
                <w:rFonts w:cs="Arial"/>
                <w:szCs w:val="20"/>
              </w:rPr>
              <w:t>99</w:t>
            </w:r>
          </w:p>
        </w:tc>
        <w:tc>
          <w:tcPr>
            <w:tcW w:w="515" w:type="pct"/>
            <w:tcBorders>
              <w:top w:val="nil"/>
              <w:bottom w:val="single" w:sz="4" w:space="0" w:color="auto"/>
            </w:tcBorders>
            <w:vAlign w:val="center"/>
          </w:tcPr>
          <w:p w:rsidR="00A9366A" w:rsidRDefault="00A9366A">
            <w:pPr>
              <w:jc w:val="center"/>
              <w:rPr>
                <w:rFonts w:cs="Arial"/>
                <w:szCs w:val="20"/>
              </w:rPr>
            </w:pPr>
            <w:r>
              <w:rPr>
                <w:rFonts w:cs="Arial"/>
                <w:szCs w:val="20"/>
              </w:rPr>
              <w:t>92</w:t>
            </w:r>
          </w:p>
        </w:tc>
        <w:tc>
          <w:tcPr>
            <w:tcW w:w="587" w:type="pct"/>
            <w:tcBorders>
              <w:top w:val="nil"/>
              <w:bottom w:val="single" w:sz="4" w:space="0" w:color="auto"/>
            </w:tcBorders>
            <w:vAlign w:val="center"/>
          </w:tcPr>
          <w:p w:rsidR="00A9366A" w:rsidRDefault="00A9366A">
            <w:pPr>
              <w:jc w:val="center"/>
              <w:rPr>
                <w:rFonts w:cs="Arial"/>
                <w:szCs w:val="20"/>
              </w:rPr>
            </w:pPr>
            <w:r>
              <w:rPr>
                <w:rFonts w:cs="Arial"/>
                <w:szCs w:val="20"/>
              </w:rPr>
              <w:t>79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A9366A" w:rsidP="00EC2CB1">
      <w:r w:rsidRPr="00A9366A">
        <w:rPr>
          <w:noProof/>
          <w:lang w:eastAsia="en-AU"/>
        </w:rPr>
        <w:drawing>
          <wp:inline distT="0" distB="0" distL="0" distR="0" wp14:anchorId="67F0D516" wp14:editId="1D2B9632">
            <wp:extent cx="5731510" cy="1729489"/>
            <wp:effectExtent l="0" t="0" r="2540" b="0"/>
            <wp:docPr id="12" name="Picture 12" descr="Figure 4.2 shows the daily hub offers and bid in within certain price bands in Brisban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9489"/>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A9366A" w:rsidP="00EC2CB1">
      <w:r w:rsidRPr="00A9366A">
        <w:rPr>
          <w:noProof/>
          <w:lang w:eastAsia="en-AU"/>
        </w:rPr>
        <w:drawing>
          <wp:inline distT="0" distB="0" distL="0" distR="0" wp14:anchorId="149FB767" wp14:editId="4E4B9547">
            <wp:extent cx="5731510" cy="1469464"/>
            <wp:effectExtent l="0" t="0" r="2540" b="0"/>
            <wp:docPr id="23" name="Picture 23" descr="Figure 4.3 shows the daily scheduled and allocated quantities sorted by facility for Brisbane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69464"/>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A9366A" w:rsidP="00A226E9">
      <w:r w:rsidRPr="00A9366A">
        <w:rPr>
          <w:noProof/>
          <w:lang w:eastAsia="en-AU"/>
        </w:rPr>
        <w:drawing>
          <wp:inline distT="0" distB="0" distL="0" distR="0" wp14:anchorId="0EF3E117" wp14:editId="3D0EECF2">
            <wp:extent cx="5731510" cy="1880630"/>
            <wp:effectExtent l="0" t="0" r="2540" b="5715"/>
            <wp:docPr id="24" name="Picture 24"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0630"/>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3"/>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4"/>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A9366A">
      <w:pPr>
        <w:spacing w:line="240" w:lineRule="auto"/>
      </w:pPr>
      <w:r>
        <w:rPr>
          <w:b/>
          <w:bCs/>
          <w:noProof/>
          <w:lang w:eastAsia="en-AU"/>
        </w:rPr>
        <w:drawing>
          <wp:inline distT="0" distB="0" distL="0" distR="0">
            <wp:extent cx="5731510" cy="6142877"/>
            <wp:effectExtent l="0" t="0" r="2540" b="0"/>
            <wp:docPr id="29" name="Picture 29"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87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5"/>
      </w:r>
      <w:r w:rsidRPr="00552F68">
        <w:t xml:space="preserve"> for the supply of gas traded</w:t>
      </w:r>
      <w:r w:rsidR="006A1226">
        <w:rPr>
          <w:rStyle w:val="FootnoteReference"/>
        </w:rPr>
        <w:footnoteReference w:id="16"/>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1413E5" w:rsidRDefault="001413E5" w:rsidP="00551D6B">
      <w:pPr>
        <w:jc w:val="both"/>
      </w:pPr>
      <w:r w:rsidRPr="001413E5">
        <w:t>There were 17 trades for just under 79 TJ of gas this week at a volume weighted price of $7.29/GJ. The majority of these trades occurred at lower prices on the RBP (58.6 TJ valued around $6.34/GJ) with 3 higher priced trades on the SWQP (20 TJ valued around $10.08/GJ).</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A9366A" w:rsidP="00E16EDC">
      <w:r w:rsidRPr="00A9366A">
        <w:rPr>
          <w:noProof/>
          <w:lang w:eastAsia="en-AU"/>
        </w:rPr>
        <w:drawing>
          <wp:inline distT="0" distB="0" distL="0" distR="0" wp14:anchorId="05ABC7F1" wp14:editId="2A2223D2">
            <wp:extent cx="5731510" cy="3127585"/>
            <wp:effectExtent l="0" t="0" r="2540" b="0"/>
            <wp:docPr id="30" name="Picture 30"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7585"/>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E06937" w:rsidRPr="001413E5">
        <w:t>Ju</w:t>
      </w:r>
      <w:r w:rsidR="001413E5" w:rsidRPr="001413E5">
        <w:t>ly</w:t>
      </w:r>
      <w:r w:rsidR="004D5447" w:rsidRPr="001413E5">
        <w:t xml:space="preserve"> </w:t>
      </w:r>
      <w:r w:rsidR="00C4712A" w:rsidRPr="001413E5">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81C" w:rsidRDefault="009B381C" w:rsidP="004B4412">
      <w:pPr>
        <w:spacing w:before="0"/>
      </w:pPr>
      <w:r>
        <w:separator/>
      </w:r>
    </w:p>
  </w:endnote>
  <w:endnote w:type="continuationSeparator" w:id="0">
    <w:p w:rsidR="009B381C" w:rsidRDefault="009B381C"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1C" w:rsidRPr="00A91A9E" w:rsidRDefault="009B381C"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9B381C" w:rsidRDefault="009B381C"/>
  <w:p w:rsidR="009B381C" w:rsidRDefault="009B38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1C" w:rsidRPr="00A94D89" w:rsidRDefault="009B381C"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D159F8">
      <w:rPr>
        <w:rFonts w:cs="Arial"/>
        <w:i/>
        <w:noProof/>
      </w:rPr>
      <w:t>8</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1C" w:rsidRPr="00A94D89" w:rsidRDefault="009B381C"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D159F8">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104314</w:t>
    </w:r>
  </w:p>
  <w:p w:rsidR="009B381C" w:rsidRDefault="009B38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81C" w:rsidRDefault="009B381C" w:rsidP="004B4412">
      <w:pPr>
        <w:spacing w:before="0"/>
      </w:pPr>
      <w:r>
        <w:separator/>
      </w:r>
    </w:p>
  </w:footnote>
  <w:footnote w:type="continuationSeparator" w:id="0">
    <w:p w:rsidR="009B381C" w:rsidRDefault="009B381C" w:rsidP="004B4412">
      <w:pPr>
        <w:spacing w:before="0"/>
      </w:pPr>
      <w:r>
        <w:continuationSeparator/>
      </w:r>
    </w:p>
  </w:footnote>
  <w:footnote w:id="1">
    <w:p w:rsidR="009B381C" w:rsidRDefault="009B381C" w:rsidP="002671E5">
      <w:pPr>
        <w:pStyle w:val="FootnoteText"/>
        <w:ind w:left="709" w:hanging="709"/>
        <w:jc w:val="both"/>
      </w:pPr>
      <w:r>
        <w:rPr>
          <w:rStyle w:val="FootnoteReference"/>
        </w:rPr>
        <w:footnoteRef/>
      </w:r>
      <w:r>
        <w:t xml:space="preserve"> </w:t>
      </w:r>
      <w:r>
        <w:tab/>
        <w:t>Figure 3.1 on page 9 shows that Adelaide prices reduced in the ex post schedule on most days this week.</w:t>
      </w:r>
    </w:p>
  </w:footnote>
  <w:footnote w:id="2">
    <w:p w:rsidR="009B381C" w:rsidRPr="000835F4" w:rsidRDefault="009B381C" w:rsidP="002671E5">
      <w:pPr>
        <w:pStyle w:val="FootnoteText"/>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3">
    <w:p w:rsidR="009B381C" w:rsidRDefault="009B381C" w:rsidP="00D67ED1">
      <w:pPr>
        <w:pStyle w:val="FootnoteText"/>
        <w:ind w:left="709" w:hanging="709"/>
        <w:jc w:val="both"/>
      </w:pPr>
      <w:r>
        <w:rPr>
          <w:rStyle w:val="FootnoteReference"/>
        </w:rPr>
        <w:footnoteRef/>
      </w:r>
      <w:r>
        <w:t xml:space="preserve"> </w:t>
      </w:r>
      <w:r>
        <w:tab/>
        <w:t>Supply to the hub was reduced across most days this week, either through renominations during the day or through the provision of decrease MOS services. These instances arose due to a combination of reductions in back haul (17 and 19 July) and over forecast hub demand (all days except 17 July).</w:t>
      </w:r>
    </w:p>
  </w:footnote>
  <w:footnote w:id="4">
    <w:p w:rsidR="009B381C" w:rsidRDefault="009B381C" w:rsidP="00C54CE5">
      <w:pPr>
        <w:pStyle w:val="FootnoteText"/>
        <w:ind w:left="709" w:hanging="709"/>
        <w:jc w:val="both"/>
      </w:pPr>
      <w:r>
        <w:rPr>
          <w:rStyle w:val="FootnoteReference"/>
        </w:rPr>
        <w:footnoteRef/>
      </w:r>
      <w:r>
        <w:t xml:space="preserve"> </w:t>
      </w:r>
      <w:r>
        <w:tab/>
        <w:t>Similar to the previous week, increase MOS on the EGP and decrease MOS on the MSP was allocated on most days resulting in higher service costs.</w:t>
      </w:r>
    </w:p>
  </w:footnote>
  <w:footnote w:id="5">
    <w:p w:rsidR="009B381C" w:rsidRDefault="009B381C" w:rsidP="00D67ED1">
      <w:pPr>
        <w:pStyle w:val="FootnoteText"/>
        <w:ind w:left="709" w:hanging="709"/>
        <w:jc w:val="both"/>
      </w:pPr>
      <w:r>
        <w:rPr>
          <w:rStyle w:val="FootnoteReference"/>
        </w:rPr>
        <w:footnoteRef/>
      </w:r>
      <w:r>
        <w:t xml:space="preserve"> </w:t>
      </w:r>
      <w:r>
        <w:tab/>
        <w:t>The average daily price this week was around $7.50/GJ, compared to $13.17/GJ during the fortnight prior.</w:t>
      </w:r>
    </w:p>
  </w:footnote>
  <w:footnote w:id="6">
    <w:p w:rsidR="009B381C" w:rsidRPr="003D5EC4" w:rsidRDefault="009B381C" w:rsidP="009B381C">
      <w:pPr>
        <w:pStyle w:val="FootnoteText"/>
        <w:ind w:left="709" w:hanging="709"/>
        <w:rPr>
          <w:color w:val="0000FF"/>
          <w:szCs w:val="16"/>
          <w:u w:val="single"/>
        </w:rPr>
      </w:pPr>
      <w:r>
        <w:rPr>
          <w:rStyle w:val="FootnoteReference"/>
        </w:rPr>
        <w:footnoteRef/>
      </w:r>
      <w:r>
        <w:t xml:space="preserve"> </w:t>
      </w:r>
      <w:r>
        <w:tab/>
      </w:r>
      <w:hyperlink r:id="rId1" w:history="1">
        <w:r w:rsidRPr="005145AD">
          <w:rPr>
            <w:rStyle w:val="Hyperlink"/>
            <w:sz w:val="16"/>
          </w:rPr>
          <w:t>http://www.aer.gov.au/system/files/Significant%20price%20variation%20report%20-%2013%20and%2023%20January%202016%20%28Sydney%20STTM%29.pdf</w:t>
        </w:r>
      </w:hyperlink>
      <w:r>
        <w:t xml:space="preserve">  </w:t>
      </w:r>
    </w:p>
  </w:footnote>
  <w:footnote w:id="7">
    <w:p w:rsidR="009B381C" w:rsidRPr="00EC2CB1" w:rsidRDefault="009B381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8">
    <w:p w:rsidR="009B381C" w:rsidRPr="00EC2CB1" w:rsidRDefault="009B381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9">
    <w:p w:rsidR="009B381C" w:rsidRPr="00EC2CB1" w:rsidRDefault="009B381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0">
    <w:p w:rsidR="009B381C" w:rsidRPr="00551D6B" w:rsidRDefault="009B381C"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1">
    <w:p w:rsidR="009B381C" w:rsidRPr="00551D6B" w:rsidRDefault="009B381C"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2">
    <w:p w:rsidR="009B381C" w:rsidRPr="00552F68" w:rsidRDefault="009B381C"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3">
    <w:p w:rsidR="009B381C" w:rsidRDefault="009B381C"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interconnect’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9B381C" w:rsidRPr="00552F68" w:rsidRDefault="009B381C"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9B381C" w:rsidRPr="00552F68" w:rsidRDefault="009B381C"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4">
    <w:p w:rsidR="009B381C" w:rsidRPr="003C7B5B" w:rsidRDefault="009B381C"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5">
    <w:p w:rsidR="009B381C" w:rsidRPr="001C3452" w:rsidRDefault="009B381C"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6">
    <w:p w:rsidR="009B381C" w:rsidRDefault="009B381C"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7 – 23 July 2016.docx"/>
  </w:docVars>
  <w:rsids>
    <w:rsidRoot w:val="00275002"/>
    <w:rsid w:val="00000817"/>
    <w:rsid w:val="00000BFE"/>
    <w:rsid w:val="00000CC3"/>
    <w:rsid w:val="00003169"/>
    <w:rsid w:val="00005D12"/>
    <w:rsid w:val="00005D30"/>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7F2"/>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D122C"/>
    <w:rsid w:val="000D355E"/>
    <w:rsid w:val="000D3C77"/>
    <w:rsid w:val="000D4350"/>
    <w:rsid w:val="000D5ADE"/>
    <w:rsid w:val="000D68C5"/>
    <w:rsid w:val="000E1819"/>
    <w:rsid w:val="000E1A1B"/>
    <w:rsid w:val="000E2946"/>
    <w:rsid w:val="000E336E"/>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06EEF"/>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13E5"/>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E76"/>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17EC7"/>
    <w:rsid w:val="002214D9"/>
    <w:rsid w:val="002216F5"/>
    <w:rsid w:val="00222F04"/>
    <w:rsid w:val="00224DB9"/>
    <w:rsid w:val="00224EE7"/>
    <w:rsid w:val="002276F0"/>
    <w:rsid w:val="00227C97"/>
    <w:rsid w:val="0023022A"/>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1E5"/>
    <w:rsid w:val="0026772D"/>
    <w:rsid w:val="00270A51"/>
    <w:rsid w:val="00270AF4"/>
    <w:rsid w:val="0027318A"/>
    <w:rsid w:val="00275002"/>
    <w:rsid w:val="00275508"/>
    <w:rsid w:val="00275927"/>
    <w:rsid w:val="002762EA"/>
    <w:rsid w:val="00276A9F"/>
    <w:rsid w:val="00277570"/>
    <w:rsid w:val="002817AB"/>
    <w:rsid w:val="00282369"/>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0C09"/>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329"/>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4AD"/>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D5EC4"/>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1C86"/>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6469"/>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3697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1D2E"/>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2D3F"/>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3D"/>
    <w:rsid w:val="009A574C"/>
    <w:rsid w:val="009A6D69"/>
    <w:rsid w:val="009B0884"/>
    <w:rsid w:val="009B1174"/>
    <w:rsid w:val="009B21F2"/>
    <w:rsid w:val="009B381C"/>
    <w:rsid w:val="009B4E65"/>
    <w:rsid w:val="009B533B"/>
    <w:rsid w:val="009B5478"/>
    <w:rsid w:val="009B5D28"/>
    <w:rsid w:val="009B615C"/>
    <w:rsid w:val="009B69AA"/>
    <w:rsid w:val="009B74B0"/>
    <w:rsid w:val="009C01D7"/>
    <w:rsid w:val="009C05B5"/>
    <w:rsid w:val="009C1BE3"/>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366A"/>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6EBB"/>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75932"/>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45B"/>
    <w:rsid w:val="00C54CE5"/>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595B"/>
    <w:rsid w:val="00D159F8"/>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67ED1"/>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4B2B"/>
    <w:rsid w:val="00E15B15"/>
    <w:rsid w:val="00E15F74"/>
    <w:rsid w:val="00E16EDC"/>
    <w:rsid w:val="00E175A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30B7"/>
    <w:rsid w:val="00E8569F"/>
    <w:rsid w:val="00E86851"/>
    <w:rsid w:val="00E91678"/>
    <w:rsid w:val="00E91BED"/>
    <w:rsid w:val="00E926FC"/>
    <w:rsid w:val="00E95390"/>
    <w:rsid w:val="00E95CA7"/>
    <w:rsid w:val="00E96EFF"/>
    <w:rsid w:val="00EA1DEE"/>
    <w:rsid w:val="00EA3D42"/>
    <w:rsid w:val="00EA478F"/>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12E"/>
    <w:rsid w:val="00F072C7"/>
    <w:rsid w:val="00F10CDA"/>
    <w:rsid w:val="00F113FD"/>
    <w:rsid w:val="00F13B99"/>
    <w:rsid w:val="00F13EAA"/>
    <w:rsid w:val="00F1535C"/>
    <w:rsid w:val="00F15882"/>
    <w:rsid w:val="00F15AB9"/>
    <w:rsid w:val="00F167CF"/>
    <w:rsid w:val="00F16858"/>
    <w:rsid w:val="00F1785E"/>
    <w:rsid w:val="00F20BD3"/>
    <w:rsid w:val="00F245DC"/>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system/files/Significant%20price%20variation%20report%20-%2013%20and%2023%20January%202016%20%28Sydney%20STTM%29.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9856B9-5D5C-4822-8946-65E835C2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F625C676.dotm</Template>
  <TotalTime>0</TotalTime>
  <Pages>12</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2016-07-29T05:50:00Z</dcterms:created>
  <dcterms:modified xsi:type="dcterms:W3CDTF">2016-07-29T05:56:00Z</dcterms:modified>
</cp:coreProperties>
</file>