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2C00AC"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C35D9D" w:rsidP="004420C4">
      <w:pPr>
        <w:pStyle w:val="Heading2"/>
        <w:numPr>
          <w:ilvl w:val="0"/>
          <w:numId w:val="0"/>
        </w:numPr>
        <w:rPr>
          <w:i w:val="0"/>
        </w:rPr>
      </w:pPr>
      <w:r>
        <w:rPr>
          <w:i w:val="0"/>
          <w:sz w:val="36"/>
          <w:szCs w:val="36"/>
        </w:rPr>
        <w:t>17 – 23 January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D33F50" w:rsidRDefault="00DE0E9A" w:rsidP="00345444">
      <w:pPr>
        <w:pStyle w:val="AERbodytext"/>
        <w:spacing w:line="240" w:lineRule="auto"/>
        <w:jc w:val="both"/>
      </w:pPr>
      <w:r w:rsidRPr="00D33F50">
        <w:t xml:space="preserve">Figure 1.1 </w:t>
      </w:r>
      <w:r w:rsidR="008351C1">
        <w:t xml:space="preserve">on page 6 </w:t>
      </w:r>
      <w:r w:rsidRPr="00D33F50">
        <w:t xml:space="preserve">shows that some schedule prices </w:t>
      </w:r>
      <w:r w:rsidR="008351C1">
        <w:t xml:space="preserve">in Victoria fell to zero on Wednesday 20 January. Our analysis shows that this was caused by rebidding late in the day. </w:t>
      </w:r>
      <w:r w:rsidR="008D4D1D">
        <w:t xml:space="preserve">Hot weather in South Australia saw high levels of </w:t>
      </w:r>
      <w:r w:rsidR="005E0779">
        <w:t xml:space="preserve">gas </w:t>
      </w:r>
      <w:r w:rsidR="008D4D1D">
        <w:t xml:space="preserve">demand for gas powered generation </w:t>
      </w:r>
      <w:r w:rsidR="005E0779">
        <w:t>driving</w:t>
      </w:r>
      <w:r w:rsidR="008D4D1D">
        <w:t xml:space="preserve"> high </w:t>
      </w:r>
      <w:r w:rsidR="005E0779">
        <w:t xml:space="preserve">prices </w:t>
      </w:r>
      <w:r w:rsidR="008D4D1D">
        <w:t xml:space="preserve">in the Adelaide hub. </w:t>
      </w:r>
      <w:r w:rsidRPr="00D33F50">
        <w:t xml:space="preserve">Average prices in Brisbane and Sydney </w:t>
      </w:r>
      <w:r w:rsidR="008D4D1D">
        <w:t xml:space="preserve">were lower than </w:t>
      </w:r>
      <w:r w:rsidR="00D33F50" w:rsidRPr="00D33F50">
        <w:t>the previous week.</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C6501A">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C6501A">
            <w:pPr>
              <w:jc w:val="center"/>
              <w:rPr>
                <w:sz w:val="20"/>
              </w:rPr>
            </w:pPr>
            <w:r w:rsidRPr="00936A7B">
              <w:rPr>
                <w:sz w:val="20"/>
              </w:rPr>
              <w:t>Victoria</w:t>
            </w:r>
          </w:p>
        </w:tc>
        <w:tc>
          <w:tcPr>
            <w:tcW w:w="749" w:type="pct"/>
            <w:tcBorders>
              <w:bottom w:val="nil"/>
            </w:tcBorders>
            <w:hideMark/>
          </w:tcPr>
          <w:p w:rsidR="003F44B7" w:rsidRPr="00936A7B" w:rsidRDefault="003F44B7" w:rsidP="00C6501A">
            <w:pPr>
              <w:jc w:val="center"/>
              <w:rPr>
                <w:sz w:val="20"/>
              </w:rPr>
            </w:pPr>
            <w:r w:rsidRPr="00936A7B">
              <w:rPr>
                <w:sz w:val="20"/>
              </w:rPr>
              <w:t>Sydney</w:t>
            </w:r>
          </w:p>
        </w:tc>
        <w:tc>
          <w:tcPr>
            <w:tcW w:w="749" w:type="pct"/>
            <w:tcBorders>
              <w:bottom w:val="nil"/>
            </w:tcBorders>
            <w:hideMark/>
          </w:tcPr>
          <w:p w:rsidR="003F44B7" w:rsidRPr="00936A7B" w:rsidRDefault="003F44B7" w:rsidP="00C6501A">
            <w:pPr>
              <w:jc w:val="center"/>
              <w:rPr>
                <w:sz w:val="20"/>
              </w:rPr>
            </w:pPr>
            <w:r w:rsidRPr="00936A7B">
              <w:rPr>
                <w:sz w:val="20"/>
              </w:rPr>
              <w:t>Adelaide</w:t>
            </w:r>
          </w:p>
        </w:tc>
        <w:tc>
          <w:tcPr>
            <w:tcW w:w="823" w:type="pct"/>
            <w:tcBorders>
              <w:bottom w:val="nil"/>
            </w:tcBorders>
            <w:hideMark/>
          </w:tcPr>
          <w:p w:rsidR="003F44B7" w:rsidRPr="00936A7B" w:rsidRDefault="003F44B7" w:rsidP="00C6501A">
            <w:pPr>
              <w:jc w:val="center"/>
              <w:rPr>
                <w:sz w:val="20"/>
              </w:rPr>
            </w:pPr>
            <w:r w:rsidRPr="00936A7B">
              <w:rPr>
                <w:sz w:val="20"/>
              </w:rPr>
              <w:t>Brisbane</w:t>
            </w:r>
          </w:p>
        </w:tc>
      </w:tr>
      <w:tr w:rsidR="009F17F4" w:rsidRPr="0091453B" w:rsidTr="00C6501A">
        <w:trPr>
          <w:trHeight w:val="510"/>
        </w:trPr>
        <w:tc>
          <w:tcPr>
            <w:tcW w:w="1928" w:type="pct"/>
            <w:tcBorders>
              <w:top w:val="nil"/>
              <w:bottom w:val="nil"/>
            </w:tcBorders>
            <w:vAlign w:val="center"/>
          </w:tcPr>
          <w:p w:rsidR="009F17F4" w:rsidRDefault="009F17F4">
            <w:pPr>
              <w:rPr>
                <w:rFonts w:cs="Arial"/>
                <w:sz w:val="20"/>
                <w:szCs w:val="20"/>
              </w:rPr>
            </w:pPr>
            <w:r>
              <w:rPr>
                <w:rFonts w:cs="Arial"/>
                <w:sz w:val="20"/>
                <w:szCs w:val="20"/>
              </w:rPr>
              <w:t>17 Jan - 23 Jan 2016</w:t>
            </w:r>
          </w:p>
        </w:tc>
        <w:tc>
          <w:tcPr>
            <w:tcW w:w="750" w:type="pct"/>
            <w:tcBorders>
              <w:top w:val="nil"/>
              <w:bottom w:val="nil"/>
            </w:tcBorders>
            <w:vAlign w:val="center"/>
          </w:tcPr>
          <w:p w:rsidR="009F17F4" w:rsidRDefault="009F17F4">
            <w:pPr>
              <w:jc w:val="center"/>
              <w:rPr>
                <w:rFonts w:cs="Arial"/>
                <w:sz w:val="20"/>
                <w:szCs w:val="20"/>
              </w:rPr>
            </w:pPr>
            <w:r>
              <w:rPr>
                <w:rFonts w:cs="Arial"/>
                <w:sz w:val="20"/>
                <w:szCs w:val="20"/>
              </w:rPr>
              <w:t>4.54</w:t>
            </w:r>
          </w:p>
        </w:tc>
        <w:tc>
          <w:tcPr>
            <w:tcW w:w="749" w:type="pct"/>
            <w:tcBorders>
              <w:top w:val="nil"/>
              <w:bottom w:val="nil"/>
            </w:tcBorders>
            <w:vAlign w:val="center"/>
          </w:tcPr>
          <w:p w:rsidR="009F17F4" w:rsidRDefault="009F17F4">
            <w:pPr>
              <w:jc w:val="center"/>
              <w:rPr>
                <w:rFonts w:cs="Arial"/>
                <w:sz w:val="20"/>
                <w:szCs w:val="20"/>
              </w:rPr>
            </w:pPr>
            <w:r>
              <w:rPr>
                <w:rFonts w:cs="Arial"/>
                <w:sz w:val="20"/>
                <w:szCs w:val="20"/>
              </w:rPr>
              <w:t>4.36</w:t>
            </w:r>
          </w:p>
        </w:tc>
        <w:tc>
          <w:tcPr>
            <w:tcW w:w="749" w:type="pct"/>
            <w:tcBorders>
              <w:top w:val="nil"/>
              <w:bottom w:val="nil"/>
            </w:tcBorders>
            <w:vAlign w:val="center"/>
          </w:tcPr>
          <w:p w:rsidR="009F17F4" w:rsidRDefault="009F17F4">
            <w:pPr>
              <w:jc w:val="center"/>
              <w:rPr>
                <w:rFonts w:cs="Arial"/>
                <w:sz w:val="20"/>
                <w:szCs w:val="20"/>
              </w:rPr>
            </w:pPr>
            <w:r>
              <w:rPr>
                <w:rFonts w:cs="Arial"/>
                <w:sz w:val="20"/>
                <w:szCs w:val="20"/>
              </w:rPr>
              <w:t>7.22</w:t>
            </w:r>
          </w:p>
        </w:tc>
        <w:tc>
          <w:tcPr>
            <w:tcW w:w="823" w:type="pct"/>
            <w:tcBorders>
              <w:top w:val="nil"/>
              <w:bottom w:val="nil"/>
            </w:tcBorders>
            <w:vAlign w:val="center"/>
          </w:tcPr>
          <w:p w:rsidR="009F17F4" w:rsidRDefault="009F17F4">
            <w:pPr>
              <w:jc w:val="center"/>
              <w:rPr>
                <w:rFonts w:cs="Arial"/>
                <w:sz w:val="20"/>
                <w:szCs w:val="20"/>
              </w:rPr>
            </w:pPr>
            <w:r>
              <w:rPr>
                <w:rFonts w:cs="Arial"/>
                <w:sz w:val="20"/>
                <w:szCs w:val="20"/>
              </w:rPr>
              <w:t>4.83</w:t>
            </w:r>
          </w:p>
        </w:tc>
      </w:tr>
      <w:tr w:rsidR="009F17F4" w:rsidRPr="0091453B" w:rsidTr="00C6501A">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9F17F4" w:rsidRDefault="009F17F4">
            <w:pPr>
              <w:rPr>
                <w:rFonts w:cs="Arial"/>
                <w:sz w:val="20"/>
                <w:szCs w:val="20"/>
              </w:rPr>
            </w:pPr>
            <w:r>
              <w:rPr>
                <w:rFonts w:cs="Arial"/>
                <w:sz w:val="20"/>
                <w:szCs w:val="20"/>
              </w:rPr>
              <w:t>% change from previous week</w:t>
            </w:r>
          </w:p>
        </w:tc>
        <w:tc>
          <w:tcPr>
            <w:tcW w:w="750" w:type="pct"/>
            <w:tcBorders>
              <w:top w:val="nil"/>
              <w:bottom w:val="nil"/>
            </w:tcBorders>
            <w:vAlign w:val="center"/>
          </w:tcPr>
          <w:p w:rsidR="009F17F4" w:rsidRDefault="009F17F4">
            <w:pPr>
              <w:jc w:val="center"/>
              <w:rPr>
                <w:rFonts w:cs="Arial"/>
                <w:sz w:val="20"/>
                <w:szCs w:val="20"/>
              </w:rPr>
            </w:pPr>
            <w:r>
              <w:rPr>
                <w:rFonts w:cs="Arial"/>
                <w:sz w:val="20"/>
                <w:szCs w:val="20"/>
              </w:rPr>
              <w:t>11</w:t>
            </w:r>
          </w:p>
        </w:tc>
        <w:tc>
          <w:tcPr>
            <w:tcW w:w="749" w:type="pct"/>
            <w:tcBorders>
              <w:top w:val="nil"/>
              <w:bottom w:val="nil"/>
            </w:tcBorders>
            <w:vAlign w:val="center"/>
          </w:tcPr>
          <w:p w:rsidR="009F17F4" w:rsidRDefault="009F17F4">
            <w:pPr>
              <w:jc w:val="center"/>
              <w:rPr>
                <w:rFonts w:cs="Arial"/>
                <w:sz w:val="20"/>
                <w:szCs w:val="20"/>
              </w:rPr>
            </w:pPr>
            <w:r>
              <w:rPr>
                <w:rFonts w:cs="Arial"/>
                <w:sz w:val="20"/>
                <w:szCs w:val="20"/>
              </w:rPr>
              <w:t>-10</w:t>
            </w:r>
          </w:p>
        </w:tc>
        <w:tc>
          <w:tcPr>
            <w:tcW w:w="749" w:type="pct"/>
            <w:tcBorders>
              <w:top w:val="nil"/>
              <w:bottom w:val="nil"/>
            </w:tcBorders>
            <w:vAlign w:val="center"/>
          </w:tcPr>
          <w:p w:rsidR="009F17F4" w:rsidRDefault="009F17F4">
            <w:pPr>
              <w:jc w:val="center"/>
              <w:rPr>
                <w:rFonts w:cs="Arial"/>
                <w:sz w:val="20"/>
                <w:szCs w:val="20"/>
              </w:rPr>
            </w:pPr>
            <w:r>
              <w:rPr>
                <w:rFonts w:cs="Arial"/>
                <w:sz w:val="20"/>
                <w:szCs w:val="20"/>
              </w:rPr>
              <w:t>5</w:t>
            </w:r>
          </w:p>
        </w:tc>
        <w:tc>
          <w:tcPr>
            <w:tcW w:w="823" w:type="pct"/>
            <w:tcBorders>
              <w:top w:val="nil"/>
              <w:bottom w:val="nil"/>
            </w:tcBorders>
            <w:vAlign w:val="center"/>
          </w:tcPr>
          <w:p w:rsidR="009F17F4" w:rsidRDefault="009F17F4">
            <w:pPr>
              <w:jc w:val="center"/>
              <w:rPr>
                <w:rFonts w:cs="Arial"/>
                <w:sz w:val="20"/>
                <w:szCs w:val="20"/>
              </w:rPr>
            </w:pPr>
            <w:r>
              <w:rPr>
                <w:rFonts w:cs="Arial"/>
                <w:sz w:val="20"/>
                <w:szCs w:val="20"/>
              </w:rPr>
              <w:t>-18</w:t>
            </w:r>
          </w:p>
        </w:tc>
      </w:tr>
      <w:tr w:rsidR="009F17F4" w:rsidRPr="0091453B" w:rsidTr="00C6501A">
        <w:trPr>
          <w:trHeight w:val="510"/>
        </w:trPr>
        <w:tc>
          <w:tcPr>
            <w:tcW w:w="1928" w:type="pct"/>
            <w:tcBorders>
              <w:top w:val="nil"/>
              <w:bottom w:val="nil"/>
            </w:tcBorders>
            <w:vAlign w:val="center"/>
          </w:tcPr>
          <w:p w:rsidR="009F17F4" w:rsidRDefault="009F17F4">
            <w:pPr>
              <w:rPr>
                <w:rFonts w:cs="Arial"/>
                <w:sz w:val="20"/>
                <w:szCs w:val="20"/>
              </w:rPr>
            </w:pPr>
            <w:r>
              <w:rPr>
                <w:rFonts w:cs="Arial"/>
                <w:sz w:val="20"/>
                <w:szCs w:val="20"/>
              </w:rPr>
              <w:t>15-16 financial YTD</w:t>
            </w:r>
          </w:p>
        </w:tc>
        <w:tc>
          <w:tcPr>
            <w:tcW w:w="750" w:type="pct"/>
            <w:tcBorders>
              <w:top w:val="nil"/>
              <w:bottom w:val="nil"/>
            </w:tcBorders>
            <w:vAlign w:val="center"/>
          </w:tcPr>
          <w:p w:rsidR="009F17F4" w:rsidRDefault="009F17F4">
            <w:pPr>
              <w:jc w:val="center"/>
              <w:rPr>
                <w:rFonts w:cs="Arial"/>
                <w:sz w:val="20"/>
                <w:szCs w:val="20"/>
              </w:rPr>
            </w:pPr>
            <w:r>
              <w:rPr>
                <w:rFonts w:cs="Arial"/>
                <w:sz w:val="20"/>
                <w:szCs w:val="20"/>
              </w:rPr>
              <w:t>4.40</w:t>
            </w:r>
          </w:p>
        </w:tc>
        <w:tc>
          <w:tcPr>
            <w:tcW w:w="749" w:type="pct"/>
            <w:tcBorders>
              <w:top w:val="nil"/>
              <w:bottom w:val="nil"/>
            </w:tcBorders>
            <w:vAlign w:val="center"/>
          </w:tcPr>
          <w:p w:rsidR="009F17F4" w:rsidRDefault="009F17F4">
            <w:pPr>
              <w:jc w:val="center"/>
              <w:rPr>
                <w:rFonts w:cs="Arial"/>
                <w:sz w:val="20"/>
                <w:szCs w:val="20"/>
              </w:rPr>
            </w:pPr>
            <w:r>
              <w:rPr>
                <w:rFonts w:cs="Arial"/>
                <w:sz w:val="20"/>
                <w:szCs w:val="20"/>
              </w:rPr>
              <w:t>4.64</w:t>
            </w:r>
          </w:p>
        </w:tc>
        <w:tc>
          <w:tcPr>
            <w:tcW w:w="749" w:type="pct"/>
            <w:tcBorders>
              <w:top w:val="nil"/>
              <w:bottom w:val="nil"/>
            </w:tcBorders>
            <w:vAlign w:val="center"/>
          </w:tcPr>
          <w:p w:rsidR="009F17F4" w:rsidRDefault="009F17F4">
            <w:pPr>
              <w:jc w:val="center"/>
              <w:rPr>
                <w:rFonts w:cs="Arial"/>
                <w:sz w:val="20"/>
                <w:szCs w:val="20"/>
              </w:rPr>
            </w:pPr>
            <w:r>
              <w:rPr>
                <w:rFonts w:cs="Arial"/>
                <w:sz w:val="20"/>
                <w:szCs w:val="20"/>
              </w:rPr>
              <w:t>5.20</w:t>
            </w:r>
          </w:p>
        </w:tc>
        <w:tc>
          <w:tcPr>
            <w:tcW w:w="823" w:type="pct"/>
            <w:tcBorders>
              <w:top w:val="nil"/>
              <w:bottom w:val="nil"/>
            </w:tcBorders>
            <w:vAlign w:val="center"/>
          </w:tcPr>
          <w:p w:rsidR="009F17F4" w:rsidRDefault="009F17F4">
            <w:pPr>
              <w:jc w:val="center"/>
              <w:rPr>
                <w:rFonts w:cs="Arial"/>
                <w:sz w:val="20"/>
                <w:szCs w:val="20"/>
              </w:rPr>
            </w:pPr>
            <w:r>
              <w:rPr>
                <w:rFonts w:cs="Arial"/>
                <w:sz w:val="20"/>
                <w:szCs w:val="20"/>
              </w:rPr>
              <w:t>3.86</w:t>
            </w:r>
          </w:p>
        </w:tc>
      </w:tr>
      <w:tr w:rsidR="009F17F4" w:rsidRPr="0091453B" w:rsidTr="00C6501A">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9F17F4" w:rsidRDefault="009F17F4">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26</w:t>
            </w:r>
          </w:p>
        </w:tc>
        <w:tc>
          <w:tcPr>
            <w:tcW w:w="749"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45</w:t>
            </w:r>
          </w:p>
        </w:tc>
        <w:tc>
          <w:tcPr>
            <w:tcW w:w="749"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45</w:t>
            </w:r>
          </w:p>
        </w:tc>
        <w:tc>
          <w:tcPr>
            <w:tcW w:w="823"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75</w:t>
            </w:r>
          </w:p>
        </w:tc>
      </w:tr>
    </w:tbl>
    <w:p w:rsidR="00FF0D8A"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33F50" w:rsidRDefault="00D33F50" w:rsidP="00FF0D8A">
      <w:pPr>
        <w:pStyle w:val="AERbodytext"/>
        <w:spacing w:before="120" w:after="120"/>
        <w:jc w:val="both"/>
      </w:pPr>
    </w:p>
    <w:p w:rsidR="00D33F50" w:rsidRDefault="00D33F50" w:rsidP="00FF0D8A">
      <w:pPr>
        <w:pStyle w:val="AERbodytext"/>
        <w:spacing w:before="120" w:after="120"/>
        <w:jc w:val="both"/>
      </w:pPr>
    </w:p>
    <w:p w:rsidR="00D33F50" w:rsidRDefault="00D33F50" w:rsidP="00FF0D8A">
      <w:pPr>
        <w:pStyle w:val="AERbodytext"/>
        <w:spacing w:before="120" w:after="120"/>
        <w:jc w:val="both"/>
      </w:pPr>
    </w:p>
    <w:p w:rsidR="00D33F50" w:rsidRPr="008D4DAB" w:rsidRDefault="00D33F50" w:rsidP="00FF0D8A">
      <w:pPr>
        <w:pStyle w:val="AERbodytext"/>
        <w:spacing w:before="120" w:after="120"/>
        <w:jc w:val="both"/>
      </w:pPr>
    </w:p>
    <w:p w:rsidR="00D1641C" w:rsidRDefault="00FF0D8A" w:rsidP="00D1641C">
      <w:pPr>
        <w:pStyle w:val="Heading2"/>
        <w:ind w:firstLine="0"/>
        <w:rPr>
          <w:i w:val="0"/>
          <w:color w:val="2272A3"/>
          <w:sz w:val="24"/>
          <w:szCs w:val="24"/>
        </w:rPr>
      </w:pPr>
      <w:r w:rsidRPr="006E7E57">
        <w:rPr>
          <w:i w:val="0"/>
          <w:color w:val="2272A3"/>
          <w:sz w:val="24"/>
          <w:szCs w:val="24"/>
        </w:rPr>
        <w:lastRenderedPageBreak/>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C6501A">
            <w:pPr>
              <w:pStyle w:val="TableHeading"/>
              <w:jc w:val="center"/>
              <w:rPr>
                <w:rFonts w:cs="Arial"/>
                <w:sz w:val="20"/>
                <w:szCs w:val="20"/>
              </w:rPr>
            </w:pPr>
          </w:p>
        </w:tc>
        <w:tc>
          <w:tcPr>
            <w:tcW w:w="749" w:type="pct"/>
            <w:tcBorders>
              <w:bottom w:val="nil"/>
            </w:tcBorders>
            <w:hideMark/>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BOD forecast demand quantity (TJ)</w:t>
            </w:r>
          </w:p>
        </w:tc>
      </w:tr>
      <w:tr w:rsidR="009F17F4" w:rsidRPr="0091453B" w:rsidTr="00C6501A">
        <w:trPr>
          <w:trHeight w:val="510"/>
        </w:trPr>
        <w:tc>
          <w:tcPr>
            <w:tcW w:w="1928" w:type="pct"/>
            <w:tcBorders>
              <w:top w:val="nil"/>
              <w:bottom w:val="nil"/>
            </w:tcBorders>
            <w:vAlign w:val="center"/>
          </w:tcPr>
          <w:p w:rsidR="009F17F4" w:rsidRDefault="009F17F4">
            <w:pPr>
              <w:rPr>
                <w:rFonts w:cs="Arial"/>
                <w:sz w:val="20"/>
                <w:szCs w:val="20"/>
              </w:rPr>
            </w:pPr>
            <w:r>
              <w:rPr>
                <w:rFonts w:cs="Arial"/>
                <w:sz w:val="20"/>
                <w:szCs w:val="20"/>
              </w:rPr>
              <w:t>17 Jan - 23 Jan 2016</w:t>
            </w:r>
          </w:p>
        </w:tc>
        <w:tc>
          <w:tcPr>
            <w:tcW w:w="749" w:type="pct"/>
            <w:tcBorders>
              <w:top w:val="nil"/>
              <w:bottom w:val="nil"/>
            </w:tcBorders>
            <w:vAlign w:val="center"/>
          </w:tcPr>
          <w:p w:rsidR="009F17F4" w:rsidRDefault="009F17F4">
            <w:pPr>
              <w:jc w:val="center"/>
              <w:rPr>
                <w:rFonts w:cs="Arial"/>
                <w:sz w:val="20"/>
                <w:szCs w:val="20"/>
              </w:rPr>
            </w:pPr>
            <w:r>
              <w:rPr>
                <w:rFonts w:cs="Arial"/>
                <w:sz w:val="20"/>
                <w:szCs w:val="20"/>
              </w:rPr>
              <w:t>4.54</w:t>
            </w:r>
          </w:p>
        </w:tc>
        <w:tc>
          <w:tcPr>
            <w:tcW w:w="1124" w:type="pct"/>
            <w:tcBorders>
              <w:top w:val="nil"/>
              <w:bottom w:val="nil"/>
            </w:tcBorders>
            <w:vAlign w:val="center"/>
          </w:tcPr>
          <w:p w:rsidR="009F17F4" w:rsidRDefault="009F17F4">
            <w:pPr>
              <w:jc w:val="center"/>
              <w:rPr>
                <w:rFonts w:cs="Arial"/>
                <w:sz w:val="20"/>
                <w:szCs w:val="20"/>
              </w:rPr>
            </w:pPr>
            <w:r>
              <w:rPr>
                <w:rFonts w:cs="Arial"/>
                <w:sz w:val="20"/>
                <w:szCs w:val="20"/>
              </w:rPr>
              <w:t>-</w:t>
            </w:r>
          </w:p>
        </w:tc>
        <w:tc>
          <w:tcPr>
            <w:tcW w:w="1199" w:type="pct"/>
            <w:tcBorders>
              <w:top w:val="nil"/>
              <w:bottom w:val="nil"/>
            </w:tcBorders>
            <w:vAlign w:val="center"/>
          </w:tcPr>
          <w:p w:rsidR="009F17F4" w:rsidRDefault="009F17F4">
            <w:pPr>
              <w:jc w:val="center"/>
              <w:rPr>
                <w:rFonts w:cs="Arial"/>
                <w:sz w:val="20"/>
                <w:szCs w:val="20"/>
              </w:rPr>
            </w:pPr>
            <w:r>
              <w:rPr>
                <w:rFonts w:cs="Arial"/>
                <w:sz w:val="20"/>
                <w:szCs w:val="20"/>
              </w:rPr>
              <w:t>319</w:t>
            </w:r>
          </w:p>
        </w:tc>
      </w:tr>
      <w:tr w:rsidR="009F17F4" w:rsidRPr="0091453B" w:rsidTr="00C6501A">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9F17F4" w:rsidRDefault="009F17F4">
            <w:pPr>
              <w:rPr>
                <w:rFonts w:cs="Arial"/>
                <w:sz w:val="20"/>
                <w:szCs w:val="20"/>
              </w:rPr>
            </w:pPr>
            <w:r>
              <w:rPr>
                <w:rFonts w:cs="Arial"/>
                <w:sz w:val="20"/>
                <w:szCs w:val="20"/>
              </w:rPr>
              <w:t>% change from previous week</w:t>
            </w:r>
          </w:p>
        </w:tc>
        <w:tc>
          <w:tcPr>
            <w:tcW w:w="749" w:type="pct"/>
            <w:tcBorders>
              <w:top w:val="nil"/>
              <w:bottom w:val="nil"/>
            </w:tcBorders>
            <w:vAlign w:val="center"/>
          </w:tcPr>
          <w:p w:rsidR="009F17F4" w:rsidRDefault="009F17F4">
            <w:pPr>
              <w:jc w:val="center"/>
              <w:rPr>
                <w:rFonts w:cs="Arial"/>
                <w:sz w:val="20"/>
                <w:szCs w:val="20"/>
              </w:rPr>
            </w:pPr>
            <w:r>
              <w:rPr>
                <w:rFonts w:cs="Arial"/>
                <w:sz w:val="20"/>
                <w:szCs w:val="20"/>
              </w:rPr>
              <w:t>11</w:t>
            </w:r>
          </w:p>
        </w:tc>
        <w:tc>
          <w:tcPr>
            <w:tcW w:w="1124" w:type="pct"/>
            <w:tcBorders>
              <w:top w:val="nil"/>
              <w:bottom w:val="nil"/>
            </w:tcBorders>
            <w:vAlign w:val="center"/>
          </w:tcPr>
          <w:p w:rsidR="009F17F4" w:rsidRDefault="009F17F4">
            <w:pPr>
              <w:jc w:val="center"/>
              <w:rPr>
                <w:rFonts w:cs="Arial"/>
                <w:sz w:val="20"/>
                <w:szCs w:val="20"/>
              </w:rPr>
            </w:pPr>
            <w:r>
              <w:rPr>
                <w:rFonts w:cs="Arial"/>
                <w:sz w:val="20"/>
                <w:szCs w:val="20"/>
              </w:rPr>
              <w:t>-</w:t>
            </w:r>
          </w:p>
        </w:tc>
        <w:tc>
          <w:tcPr>
            <w:tcW w:w="1199" w:type="pct"/>
            <w:tcBorders>
              <w:top w:val="nil"/>
              <w:bottom w:val="nil"/>
            </w:tcBorders>
            <w:vAlign w:val="center"/>
          </w:tcPr>
          <w:p w:rsidR="009F17F4" w:rsidRDefault="009F17F4">
            <w:pPr>
              <w:jc w:val="center"/>
              <w:rPr>
                <w:rFonts w:cs="Arial"/>
                <w:sz w:val="20"/>
                <w:szCs w:val="20"/>
              </w:rPr>
            </w:pPr>
            <w:r>
              <w:rPr>
                <w:rFonts w:cs="Arial"/>
                <w:sz w:val="20"/>
                <w:szCs w:val="20"/>
              </w:rPr>
              <w:t>-7</w:t>
            </w:r>
          </w:p>
        </w:tc>
      </w:tr>
      <w:tr w:rsidR="009F17F4" w:rsidRPr="0091453B" w:rsidTr="00C6501A">
        <w:trPr>
          <w:trHeight w:val="510"/>
        </w:trPr>
        <w:tc>
          <w:tcPr>
            <w:tcW w:w="1928" w:type="pct"/>
            <w:tcBorders>
              <w:top w:val="nil"/>
              <w:bottom w:val="nil"/>
            </w:tcBorders>
            <w:vAlign w:val="center"/>
          </w:tcPr>
          <w:p w:rsidR="009F17F4" w:rsidRDefault="009F17F4">
            <w:pPr>
              <w:rPr>
                <w:rFonts w:cs="Arial"/>
                <w:sz w:val="20"/>
                <w:szCs w:val="20"/>
              </w:rPr>
            </w:pPr>
            <w:r>
              <w:rPr>
                <w:rFonts w:cs="Arial"/>
                <w:sz w:val="20"/>
                <w:szCs w:val="20"/>
              </w:rPr>
              <w:t>15-16 financial YTD</w:t>
            </w:r>
          </w:p>
        </w:tc>
        <w:tc>
          <w:tcPr>
            <w:tcW w:w="749" w:type="pct"/>
            <w:tcBorders>
              <w:top w:val="nil"/>
              <w:bottom w:val="nil"/>
            </w:tcBorders>
            <w:vAlign w:val="center"/>
          </w:tcPr>
          <w:p w:rsidR="009F17F4" w:rsidRDefault="009F17F4">
            <w:pPr>
              <w:jc w:val="center"/>
              <w:rPr>
                <w:rFonts w:cs="Arial"/>
                <w:sz w:val="20"/>
                <w:szCs w:val="20"/>
              </w:rPr>
            </w:pPr>
            <w:r>
              <w:rPr>
                <w:rFonts w:cs="Arial"/>
                <w:sz w:val="20"/>
                <w:szCs w:val="20"/>
              </w:rPr>
              <w:t>4.40</w:t>
            </w:r>
          </w:p>
        </w:tc>
        <w:tc>
          <w:tcPr>
            <w:tcW w:w="1124" w:type="pct"/>
            <w:tcBorders>
              <w:top w:val="nil"/>
              <w:bottom w:val="nil"/>
            </w:tcBorders>
            <w:vAlign w:val="center"/>
          </w:tcPr>
          <w:p w:rsidR="009F17F4" w:rsidRDefault="009F17F4">
            <w:pPr>
              <w:jc w:val="center"/>
              <w:rPr>
                <w:rFonts w:cs="Arial"/>
                <w:sz w:val="20"/>
                <w:szCs w:val="20"/>
              </w:rPr>
            </w:pPr>
            <w:r>
              <w:rPr>
                <w:rFonts w:cs="Arial"/>
                <w:sz w:val="20"/>
                <w:szCs w:val="20"/>
              </w:rPr>
              <w:t>-</w:t>
            </w:r>
          </w:p>
        </w:tc>
        <w:tc>
          <w:tcPr>
            <w:tcW w:w="1199" w:type="pct"/>
            <w:tcBorders>
              <w:top w:val="nil"/>
              <w:bottom w:val="nil"/>
            </w:tcBorders>
            <w:vAlign w:val="center"/>
          </w:tcPr>
          <w:p w:rsidR="009F17F4" w:rsidRDefault="009F17F4">
            <w:pPr>
              <w:jc w:val="center"/>
              <w:rPr>
                <w:rFonts w:cs="Arial"/>
                <w:sz w:val="20"/>
                <w:szCs w:val="20"/>
              </w:rPr>
            </w:pPr>
            <w:r>
              <w:rPr>
                <w:rFonts w:cs="Arial"/>
                <w:sz w:val="20"/>
                <w:szCs w:val="20"/>
              </w:rPr>
              <w:t>596</w:t>
            </w:r>
          </w:p>
        </w:tc>
      </w:tr>
      <w:tr w:rsidR="009F17F4" w:rsidRPr="0091453B" w:rsidTr="00C6501A">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9F17F4" w:rsidRDefault="009F17F4">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26</w:t>
            </w:r>
          </w:p>
        </w:tc>
        <w:tc>
          <w:tcPr>
            <w:tcW w:w="1124"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7</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C6501A">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C6501A">
            <w:pPr>
              <w:pStyle w:val="TableHeading"/>
              <w:jc w:val="center"/>
              <w:rPr>
                <w:rFonts w:cs="Arial"/>
                <w:sz w:val="20"/>
                <w:szCs w:val="20"/>
              </w:rPr>
            </w:pPr>
          </w:p>
        </w:tc>
        <w:tc>
          <w:tcPr>
            <w:tcW w:w="759" w:type="pct"/>
            <w:tcBorders>
              <w:bottom w:val="nil"/>
            </w:tcBorders>
            <w:hideMark/>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Ex post quantity (TJ)</w:t>
            </w:r>
          </w:p>
        </w:tc>
      </w:tr>
      <w:tr w:rsidR="009F17F4" w:rsidRPr="00405CDE" w:rsidTr="00C6501A">
        <w:trPr>
          <w:trHeight w:val="510"/>
        </w:trPr>
        <w:tc>
          <w:tcPr>
            <w:tcW w:w="1430" w:type="pct"/>
            <w:tcBorders>
              <w:top w:val="nil"/>
              <w:bottom w:val="nil"/>
            </w:tcBorders>
            <w:vAlign w:val="center"/>
          </w:tcPr>
          <w:p w:rsidR="009F17F4" w:rsidRDefault="009F17F4">
            <w:pPr>
              <w:rPr>
                <w:rFonts w:cs="Arial"/>
                <w:sz w:val="20"/>
                <w:szCs w:val="20"/>
              </w:rPr>
            </w:pPr>
            <w:r>
              <w:rPr>
                <w:rFonts w:cs="Arial"/>
                <w:sz w:val="20"/>
                <w:szCs w:val="20"/>
              </w:rPr>
              <w:t>17 Jan - 23 Jan 2016</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4.36</w:t>
            </w:r>
          </w:p>
        </w:tc>
        <w:tc>
          <w:tcPr>
            <w:tcW w:w="758" w:type="pct"/>
            <w:tcBorders>
              <w:top w:val="nil"/>
              <w:bottom w:val="nil"/>
            </w:tcBorders>
            <w:vAlign w:val="center"/>
          </w:tcPr>
          <w:p w:rsidR="009F17F4" w:rsidRDefault="009F17F4">
            <w:pPr>
              <w:jc w:val="center"/>
              <w:rPr>
                <w:rFonts w:cs="Arial"/>
                <w:sz w:val="20"/>
                <w:szCs w:val="20"/>
              </w:rPr>
            </w:pPr>
            <w:r>
              <w:rPr>
                <w:rFonts w:cs="Arial"/>
                <w:sz w:val="20"/>
                <w:szCs w:val="20"/>
              </w:rPr>
              <w:t>3.52</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81.37</w:t>
            </w:r>
          </w:p>
        </w:tc>
        <w:tc>
          <w:tcPr>
            <w:tcW w:w="685" w:type="pct"/>
            <w:tcBorders>
              <w:top w:val="nil"/>
              <w:bottom w:val="nil"/>
            </w:tcBorders>
            <w:vAlign w:val="center"/>
          </w:tcPr>
          <w:p w:rsidR="009F17F4" w:rsidRDefault="009F17F4">
            <w:pPr>
              <w:jc w:val="center"/>
              <w:rPr>
                <w:rFonts w:cs="Arial"/>
                <w:sz w:val="20"/>
                <w:szCs w:val="20"/>
              </w:rPr>
            </w:pPr>
            <w:r>
              <w:rPr>
                <w:rFonts w:cs="Arial"/>
                <w:sz w:val="20"/>
                <w:szCs w:val="20"/>
              </w:rPr>
              <w:t>216</w:t>
            </w:r>
          </w:p>
        </w:tc>
        <w:tc>
          <w:tcPr>
            <w:tcW w:w="608" w:type="pct"/>
            <w:tcBorders>
              <w:top w:val="nil"/>
              <w:bottom w:val="nil"/>
            </w:tcBorders>
            <w:vAlign w:val="center"/>
          </w:tcPr>
          <w:p w:rsidR="009F17F4" w:rsidRDefault="009F17F4">
            <w:pPr>
              <w:jc w:val="center"/>
              <w:rPr>
                <w:rFonts w:cs="Arial"/>
                <w:sz w:val="20"/>
                <w:szCs w:val="20"/>
              </w:rPr>
            </w:pPr>
            <w:r>
              <w:rPr>
                <w:rFonts w:cs="Arial"/>
                <w:sz w:val="20"/>
                <w:szCs w:val="20"/>
              </w:rPr>
              <w:t>208</w:t>
            </w:r>
          </w:p>
        </w:tc>
      </w:tr>
      <w:tr w:rsidR="009F17F4" w:rsidRPr="00405CDE" w:rsidTr="00C6501A">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9F17F4" w:rsidRDefault="009F17F4">
            <w:pPr>
              <w:rPr>
                <w:rFonts w:cs="Arial"/>
                <w:sz w:val="20"/>
                <w:szCs w:val="20"/>
              </w:rPr>
            </w:pPr>
            <w:r>
              <w:rPr>
                <w:rFonts w:cs="Arial"/>
                <w:sz w:val="20"/>
                <w:szCs w:val="20"/>
              </w:rPr>
              <w:t>% change from previous week</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-10</w:t>
            </w:r>
          </w:p>
        </w:tc>
        <w:tc>
          <w:tcPr>
            <w:tcW w:w="758" w:type="pct"/>
            <w:tcBorders>
              <w:top w:val="nil"/>
              <w:bottom w:val="nil"/>
            </w:tcBorders>
            <w:vAlign w:val="center"/>
          </w:tcPr>
          <w:p w:rsidR="009F17F4" w:rsidRDefault="009F17F4">
            <w:pPr>
              <w:jc w:val="center"/>
              <w:rPr>
                <w:rFonts w:cs="Arial"/>
                <w:sz w:val="20"/>
                <w:szCs w:val="20"/>
              </w:rPr>
            </w:pPr>
            <w:r>
              <w:rPr>
                <w:rFonts w:cs="Arial"/>
                <w:sz w:val="20"/>
                <w:szCs w:val="20"/>
              </w:rPr>
              <w:t>-5</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-53</w:t>
            </w:r>
          </w:p>
        </w:tc>
        <w:tc>
          <w:tcPr>
            <w:tcW w:w="685" w:type="pct"/>
            <w:tcBorders>
              <w:top w:val="nil"/>
              <w:bottom w:val="nil"/>
            </w:tcBorders>
            <w:vAlign w:val="center"/>
          </w:tcPr>
          <w:p w:rsidR="009F17F4" w:rsidRDefault="009F17F4">
            <w:pPr>
              <w:jc w:val="center"/>
              <w:rPr>
                <w:rFonts w:cs="Arial"/>
                <w:sz w:val="20"/>
                <w:szCs w:val="20"/>
              </w:rPr>
            </w:pPr>
            <w:r>
              <w:rPr>
                <w:rFonts w:cs="Arial"/>
                <w:sz w:val="20"/>
                <w:szCs w:val="20"/>
              </w:rPr>
              <w:t>-12</w:t>
            </w:r>
          </w:p>
        </w:tc>
        <w:tc>
          <w:tcPr>
            <w:tcW w:w="608" w:type="pct"/>
            <w:tcBorders>
              <w:top w:val="nil"/>
              <w:bottom w:val="nil"/>
            </w:tcBorders>
            <w:vAlign w:val="center"/>
          </w:tcPr>
          <w:p w:rsidR="009F17F4" w:rsidRDefault="009F17F4">
            <w:pPr>
              <w:jc w:val="center"/>
              <w:rPr>
                <w:rFonts w:cs="Arial"/>
                <w:sz w:val="20"/>
                <w:szCs w:val="20"/>
              </w:rPr>
            </w:pPr>
            <w:r>
              <w:rPr>
                <w:rFonts w:cs="Arial"/>
                <w:sz w:val="20"/>
                <w:szCs w:val="20"/>
              </w:rPr>
              <w:t>-7</w:t>
            </w:r>
          </w:p>
        </w:tc>
      </w:tr>
      <w:tr w:rsidR="009F17F4" w:rsidRPr="00405CDE" w:rsidTr="00C6501A">
        <w:trPr>
          <w:trHeight w:val="510"/>
        </w:trPr>
        <w:tc>
          <w:tcPr>
            <w:tcW w:w="1430" w:type="pct"/>
            <w:tcBorders>
              <w:top w:val="nil"/>
              <w:bottom w:val="nil"/>
            </w:tcBorders>
            <w:vAlign w:val="center"/>
          </w:tcPr>
          <w:p w:rsidR="009F17F4" w:rsidRDefault="009F17F4">
            <w:pPr>
              <w:rPr>
                <w:rFonts w:cs="Arial"/>
                <w:sz w:val="20"/>
                <w:szCs w:val="20"/>
              </w:rPr>
            </w:pPr>
            <w:r>
              <w:rPr>
                <w:rFonts w:cs="Arial"/>
                <w:sz w:val="20"/>
                <w:szCs w:val="20"/>
              </w:rPr>
              <w:t>15-16 financial YTD</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4.64</w:t>
            </w:r>
          </w:p>
        </w:tc>
        <w:tc>
          <w:tcPr>
            <w:tcW w:w="758" w:type="pct"/>
            <w:tcBorders>
              <w:top w:val="nil"/>
              <w:bottom w:val="nil"/>
            </w:tcBorders>
            <w:vAlign w:val="center"/>
          </w:tcPr>
          <w:p w:rsidR="009F17F4" w:rsidRDefault="009F17F4">
            <w:pPr>
              <w:jc w:val="center"/>
              <w:rPr>
                <w:rFonts w:cs="Arial"/>
                <w:sz w:val="20"/>
                <w:szCs w:val="20"/>
              </w:rPr>
            </w:pPr>
            <w:r>
              <w:rPr>
                <w:rFonts w:cs="Arial"/>
                <w:sz w:val="20"/>
                <w:szCs w:val="20"/>
              </w:rPr>
              <w:t>4.32</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31.62</w:t>
            </w:r>
          </w:p>
        </w:tc>
        <w:tc>
          <w:tcPr>
            <w:tcW w:w="685" w:type="pct"/>
            <w:tcBorders>
              <w:top w:val="nil"/>
              <w:bottom w:val="nil"/>
            </w:tcBorders>
            <w:vAlign w:val="center"/>
          </w:tcPr>
          <w:p w:rsidR="009F17F4" w:rsidRDefault="009F17F4">
            <w:pPr>
              <w:jc w:val="center"/>
              <w:rPr>
                <w:rFonts w:cs="Arial"/>
                <w:sz w:val="20"/>
                <w:szCs w:val="20"/>
              </w:rPr>
            </w:pPr>
            <w:r>
              <w:rPr>
                <w:rFonts w:cs="Arial"/>
                <w:sz w:val="20"/>
                <w:szCs w:val="20"/>
              </w:rPr>
              <w:t>239</w:t>
            </w:r>
          </w:p>
        </w:tc>
        <w:tc>
          <w:tcPr>
            <w:tcW w:w="608" w:type="pct"/>
            <w:tcBorders>
              <w:top w:val="nil"/>
              <w:bottom w:val="nil"/>
            </w:tcBorders>
            <w:vAlign w:val="center"/>
          </w:tcPr>
          <w:p w:rsidR="009F17F4" w:rsidRDefault="009F17F4">
            <w:pPr>
              <w:jc w:val="center"/>
              <w:rPr>
                <w:rFonts w:cs="Arial"/>
                <w:sz w:val="20"/>
                <w:szCs w:val="20"/>
              </w:rPr>
            </w:pPr>
            <w:r>
              <w:rPr>
                <w:rFonts w:cs="Arial"/>
                <w:sz w:val="20"/>
                <w:szCs w:val="20"/>
              </w:rPr>
              <w:t>233</w:t>
            </w:r>
          </w:p>
        </w:tc>
      </w:tr>
      <w:tr w:rsidR="009F17F4" w:rsidRPr="00405CDE" w:rsidTr="00C6501A">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9F17F4" w:rsidRDefault="009F17F4">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45</w:t>
            </w:r>
          </w:p>
        </w:tc>
        <w:tc>
          <w:tcPr>
            <w:tcW w:w="758"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33</w:t>
            </w:r>
          </w:p>
        </w:tc>
        <w:tc>
          <w:tcPr>
            <w:tcW w:w="759"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130</w:t>
            </w:r>
          </w:p>
        </w:tc>
        <w:tc>
          <w:tcPr>
            <w:tcW w:w="685"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-5</w:t>
            </w:r>
          </w:p>
        </w:tc>
        <w:tc>
          <w:tcPr>
            <w:tcW w:w="608"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-8</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D33F50" w:rsidRPr="00405CDE" w:rsidTr="00C6501A">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D33F50" w:rsidRPr="00DC24BF" w:rsidRDefault="00D33F50" w:rsidP="00C6501A">
            <w:pPr>
              <w:pStyle w:val="TableHeading"/>
              <w:jc w:val="center"/>
              <w:rPr>
                <w:rFonts w:cs="Arial"/>
                <w:sz w:val="20"/>
                <w:szCs w:val="20"/>
              </w:rPr>
            </w:pPr>
          </w:p>
        </w:tc>
        <w:tc>
          <w:tcPr>
            <w:tcW w:w="759" w:type="pct"/>
            <w:tcBorders>
              <w:bottom w:val="nil"/>
            </w:tcBorders>
            <w:hideMark/>
          </w:tcPr>
          <w:p w:rsidR="00D33F50" w:rsidRPr="002861A9" w:rsidRDefault="00D33F50" w:rsidP="00C6501A">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D33F50" w:rsidRPr="002861A9" w:rsidRDefault="00D33F50" w:rsidP="00C6501A">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D33F50" w:rsidRPr="002861A9" w:rsidRDefault="00D33F50" w:rsidP="00C6501A">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D33F50" w:rsidRPr="002861A9" w:rsidRDefault="00D33F50" w:rsidP="00C6501A">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D33F50" w:rsidRPr="002861A9" w:rsidRDefault="00D33F50" w:rsidP="00C6501A">
            <w:pPr>
              <w:keepNext/>
              <w:spacing w:before="40" w:after="40"/>
              <w:jc w:val="center"/>
              <w:rPr>
                <w:rFonts w:cs="Arial"/>
                <w:b w:val="0"/>
                <w:bCs/>
                <w:sz w:val="20"/>
                <w:szCs w:val="20"/>
              </w:rPr>
            </w:pPr>
            <w:r w:rsidRPr="002861A9">
              <w:rPr>
                <w:rFonts w:cs="Arial"/>
                <w:bCs/>
                <w:sz w:val="20"/>
                <w:szCs w:val="20"/>
              </w:rPr>
              <w:t>Ex post quantity (TJ)</w:t>
            </w:r>
          </w:p>
        </w:tc>
      </w:tr>
      <w:tr w:rsidR="00D33F50" w:rsidRPr="00405CDE" w:rsidTr="00C6501A">
        <w:trPr>
          <w:trHeight w:val="510"/>
        </w:trPr>
        <w:tc>
          <w:tcPr>
            <w:tcW w:w="1430" w:type="pct"/>
            <w:tcBorders>
              <w:top w:val="nil"/>
              <w:bottom w:val="nil"/>
            </w:tcBorders>
            <w:vAlign w:val="center"/>
          </w:tcPr>
          <w:p w:rsidR="00D33F50" w:rsidRDefault="00D33F50" w:rsidP="00C6501A">
            <w:pPr>
              <w:rPr>
                <w:rFonts w:cs="Arial"/>
                <w:sz w:val="20"/>
                <w:szCs w:val="20"/>
              </w:rPr>
            </w:pPr>
            <w:r>
              <w:rPr>
                <w:rFonts w:cs="Arial"/>
                <w:sz w:val="20"/>
                <w:szCs w:val="20"/>
              </w:rPr>
              <w:t>17 Jan - 23 Jan 2016</w:t>
            </w:r>
          </w:p>
        </w:tc>
        <w:tc>
          <w:tcPr>
            <w:tcW w:w="759" w:type="pct"/>
            <w:tcBorders>
              <w:top w:val="nil"/>
              <w:bottom w:val="nil"/>
            </w:tcBorders>
            <w:vAlign w:val="center"/>
          </w:tcPr>
          <w:p w:rsidR="00D33F50" w:rsidRDefault="00D33F50" w:rsidP="00C6501A">
            <w:pPr>
              <w:jc w:val="center"/>
              <w:rPr>
                <w:rFonts w:cs="Arial"/>
                <w:sz w:val="20"/>
                <w:szCs w:val="20"/>
              </w:rPr>
            </w:pPr>
            <w:r>
              <w:rPr>
                <w:rFonts w:cs="Arial"/>
                <w:sz w:val="20"/>
                <w:szCs w:val="20"/>
              </w:rPr>
              <w:t>7.22</w:t>
            </w:r>
          </w:p>
        </w:tc>
        <w:tc>
          <w:tcPr>
            <w:tcW w:w="758" w:type="pct"/>
            <w:tcBorders>
              <w:top w:val="nil"/>
              <w:bottom w:val="nil"/>
            </w:tcBorders>
            <w:vAlign w:val="center"/>
          </w:tcPr>
          <w:p w:rsidR="00D33F50" w:rsidRDefault="00D33F50" w:rsidP="00C6501A">
            <w:pPr>
              <w:jc w:val="center"/>
              <w:rPr>
                <w:rFonts w:cs="Arial"/>
                <w:sz w:val="20"/>
                <w:szCs w:val="20"/>
              </w:rPr>
            </w:pPr>
            <w:r>
              <w:rPr>
                <w:rFonts w:cs="Arial"/>
                <w:sz w:val="20"/>
                <w:szCs w:val="20"/>
              </w:rPr>
              <w:t>7.45</w:t>
            </w:r>
          </w:p>
        </w:tc>
        <w:tc>
          <w:tcPr>
            <w:tcW w:w="759" w:type="pct"/>
            <w:tcBorders>
              <w:top w:val="nil"/>
              <w:bottom w:val="nil"/>
            </w:tcBorders>
            <w:vAlign w:val="center"/>
          </w:tcPr>
          <w:p w:rsidR="00D33F50" w:rsidRDefault="00D33F50" w:rsidP="00C6501A">
            <w:pPr>
              <w:jc w:val="center"/>
              <w:rPr>
                <w:rFonts w:cs="Arial"/>
                <w:sz w:val="20"/>
                <w:szCs w:val="20"/>
              </w:rPr>
            </w:pPr>
            <w:r>
              <w:rPr>
                <w:rFonts w:cs="Arial"/>
                <w:sz w:val="20"/>
                <w:szCs w:val="20"/>
              </w:rPr>
              <w:t>9.99</w:t>
            </w:r>
          </w:p>
        </w:tc>
        <w:tc>
          <w:tcPr>
            <w:tcW w:w="685" w:type="pct"/>
            <w:tcBorders>
              <w:top w:val="nil"/>
              <w:bottom w:val="nil"/>
            </w:tcBorders>
            <w:vAlign w:val="center"/>
          </w:tcPr>
          <w:p w:rsidR="00D33F50" w:rsidRDefault="00D33F50" w:rsidP="00C6501A">
            <w:pPr>
              <w:jc w:val="center"/>
              <w:rPr>
                <w:rFonts w:cs="Arial"/>
                <w:sz w:val="20"/>
                <w:szCs w:val="20"/>
              </w:rPr>
            </w:pPr>
            <w:r>
              <w:rPr>
                <w:rFonts w:cs="Arial"/>
                <w:sz w:val="20"/>
                <w:szCs w:val="20"/>
              </w:rPr>
              <w:t>44</w:t>
            </w:r>
          </w:p>
        </w:tc>
        <w:tc>
          <w:tcPr>
            <w:tcW w:w="608" w:type="pct"/>
            <w:tcBorders>
              <w:top w:val="nil"/>
              <w:bottom w:val="nil"/>
            </w:tcBorders>
            <w:vAlign w:val="center"/>
          </w:tcPr>
          <w:p w:rsidR="00D33F50" w:rsidRDefault="00D33F50" w:rsidP="00C6501A">
            <w:pPr>
              <w:jc w:val="center"/>
              <w:rPr>
                <w:rFonts w:cs="Arial"/>
                <w:sz w:val="20"/>
                <w:szCs w:val="20"/>
              </w:rPr>
            </w:pPr>
            <w:r>
              <w:rPr>
                <w:rFonts w:cs="Arial"/>
                <w:sz w:val="20"/>
                <w:szCs w:val="20"/>
              </w:rPr>
              <w:t>45</w:t>
            </w:r>
          </w:p>
        </w:tc>
      </w:tr>
      <w:tr w:rsidR="00D33F50" w:rsidRPr="00405CDE" w:rsidTr="00C6501A">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D33F50" w:rsidRDefault="00D33F50" w:rsidP="00C6501A">
            <w:pPr>
              <w:rPr>
                <w:rFonts w:cs="Arial"/>
                <w:sz w:val="20"/>
                <w:szCs w:val="20"/>
              </w:rPr>
            </w:pPr>
            <w:r>
              <w:rPr>
                <w:rFonts w:cs="Arial"/>
                <w:sz w:val="20"/>
                <w:szCs w:val="20"/>
              </w:rPr>
              <w:t>% change from previous week</w:t>
            </w:r>
          </w:p>
        </w:tc>
        <w:tc>
          <w:tcPr>
            <w:tcW w:w="759" w:type="pct"/>
            <w:tcBorders>
              <w:top w:val="nil"/>
              <w:bottom w:val="nil"/>
            </w:tcBorders>
            <w:vAlign w:val="center"/>
          </w:tcPr>
          <w:p w:rsidR="00D33F50" w:rsidRDefault="00D33F50" w:rsidP="00C6501A">
            <w:pPr>
              <w:jc w:val="center"/>
              <w:rPr>
                <w:rFonts w:cs="Arial"/>
                <w:sz w:val="20"/>
                <w:szCs w:val="20"/>
              </w:rPr>
            </w:pPr>
            <w:r>
              <w:rPr>
                <w:rFonts w:cs="Arial"/>
                <w:sz w:val="20"/>
                <w:szCs w:val="20"/>
              </w:rPr>
              <w:t>5</w:t>
            </w:r>
          </w:p>
        </w:tc>
        <w:tc>
          <w:tcPr>
            <w:tcW w:w="758" w:type="pct"/>
            <w:tcBorders>
              <w:top w:val="nil"/>
              <w:bottom w:val="nil"/>
            </w:tcBorders>
            <w:vAlign w:val="center"/>
          </w:tcPr>
          <w:p w:rsidR="00D33F50" w:rsidRDefault="00D33F50" w:rsidP="00C6501A">
            <w:pPr>
              <w:jc w:val="center"/>
              <w:rPr>
                <w:rFonts w:cs="Arial"/>
                <w:sz w:val="20"/>
                <w:szCs w:val="20"/>
              </w:rPr>
            </w:pPr>
            <w:r>
              <w:rPr>
                <w:rFonts w:cs="Arial"/>
                <w:sz w:val="20"/>
                <w:szCs w:val="20"/>
              </w:rPr>
              <w:t>12</w:t>
            </w:r>
          </w:p>
        </w:tc>
        <w:tc>
          <w:tcPr>
            <w:tcW w:w="759" w:type="pct"/>
            <w:tcBorders>
              <w:top w:val="nil"/>
              <w:bottom w:val="nil"/>
            </w:tcBorders>
            <w:vAlign w:val="center"/>
          </w:tcPr>
          <w:p w:rsidR="00D33F50" w:rsidRDefault="00D33F50" w:rsidP="00C6501A">
            <w:pPr>
              <w:jc w:val="center"/>
              <w:rPr>
                <w:rFonts w:cs="Arial"/>
                <w:sz w:val="20"/>
                <w:szCs w:val="20"/>
              </w:rPr>
            </w:pPr>
            <w:r>
              <w:rPr>
                <w:rFonts w:cs="Arial"/>
                <w:sz w:val="20"/>
                <w:szCs w:val="20"/>
              </w:rPr>
              <w:t>140</w:t>
            </w:r>
          </w:p>
        </w:tc>
        <w:tc>
          <w:tcPr>
            <w:tcW w:w="685" w:type="pct"/>
            <w:tcBorders>
              <w:top w:val="nil"/>
              <w:bottom w:val="nil"/>
            </w:tcBorders>
            <w:vAlign w:val="center"/>
          </w:tcPr>
          <w:p w:rsidR="00D33F50" w:rsidRDefault="00D33F50" w:rsidP="00C6501A">
            <w:pPr>
              <w:jc w:val="center"/>
              <w:rPr>
                <w:rFonts w:cs="Arial"/>
                <w:sz w:val="20"/>
                <w:szCs w:val="20"/>
              </w:rPr>
            </w:pPr>
            <w:r>
              <w:rPr>
                <w:rFonts w:cs="Arial"/>
                <w:sz w:val="20"/>
                <w:szCs w:val="20"/>
              </w:rPr>
              <w:t>-2</w:t>
            </w:r>
          </w:p>
        </w:tc>
        <w:tc>
          <w:tcPr>
            <w:tcW w:w="608" w:type="pct"/>
            <w:tcBorders>
              <w:top w:val="nil"/>
              <w:bottom w:val="nil"/>
            </w:tcBorders>
            <w:vAlign w:val="center"/>
          </w:tcPr>
          <w:p w:rsidR="00D33F50" w:rsidRDefault="00D33F50" w:rsidP="00C6501A">
            <w:pPr>
              <w:jc w:val="center"/>
              <w:rPr>
                <w:rFonts w:cs="Arial"/>
                <w:sz w:val="20"/>
                <w:szCs w:val="20"/>
              </w:rPr>
            </w:pPr>
            <w:r>
              <w:rPr>
                <w:rFonts w:cs="Arial"/>
                <w:sz w:val="20"/>
                <w:szCs w:val="20"/>
              </w:rPr>
              <w:t>7</w:t>
            </w:r>
          </w:p>
        </w:tc>
      </w:tr>
      <w:tr w:rsidR="00D33F50" w:rsidRPr="00405CDE" w:rsidTr="00C6501A">
        <w:trPr>
          <w:trHeight w:val="510"/>
        </w:trPr>
        <w:tc>
          <w:tcPr>
            <w:tcW w:w="1430" w:type="pct"/>
            <w:tcBorders>
              <w:top w:val="nil"/>
              <w:bottom w:val="nil"/>
            </w:tcBorders>
            <w:vAlign w:val="center"/>
          </w:tcPr>
          <w:p w:rsidR="00D33F50" w:rsidRDefault="00D33F50" w:rsidP="00C6501A">
            <w:pPr>
              <w:rPr>
                <w:rFonts w:cs="Arial"/>
                <w:sz w:val="20"/>
                <w:szCs w:val="20"/>
              </w:rPr>
            </w:pPr>
            <w:r>
              <w:rPr>
                <w:rFonts w:cs="Arial"/>
                <w:sz w:val="20"/>
                <w:szCs w:val="20"/>
              </w:rPr>
              <w:t>15-16 financial YTD</w:t>
            </w:r>
          </w:p>
        </w:tc>
        <w:tc>
          <w:tcPr>
            <w:tcW w:w="759" w:type="pct"/>
            <w:tcBorders>
              <w:top w:val="nil"/>
              <w:bottom w:val="nil"/>
            </w:tcBorders>
            <w:vAlign w:val="center"/>
          </w:tcPr>
          <w:p w:rsidR="00D33F50" w:rsidRDefault="00D33F50" w:rsidP="00C6501A">
            <w:pPr>
              <w:jc w:val="center"/>
              <w:rPr>
                <w:rFonts w:cs="Arial"/>
                <w:sz w:val="20"/>
                <w:szCs w:val="20"/>
              </w:rPr>
            </w:pPr>
            <w:r>
              <w:rPr>
                <w:rFonts w:cs="Arial"/>
                <w:sz w:val="20"/>
                <w:szCs w:val="20"/>
              </w:rPr>
              <w:t>5.20</w:t>
            </w:r>
          </w:p>
        </w:tc>
        <w:tc>
          <w:tcPr>
            <w:tcW w:w="758" w:type="pct"/>
            <w:tcBorders>
              <w:top w:val="nil"/>
              <w:bottom w:val="nil"/>
            </w:tcBorders>
            <w:vAlign w:val="center"/>
          </w:tcPr>
          <w:p w:rsidR="00D33F50" w:rsidRDefault="00D33F50" w:rsidP="00C6501A">
            <w:pPr>
              <w:jc w:val="center"/>
              <w:rPr>
                <w:rFonts w:cs="Arial"/>
                <w:sz w:val="20"/>
                <w:szCs w:val="20"/>
              </w:rPr>
            </w:pPr>
            <w:r>
              <w:rPr>
                <w:rFonts w:cs="Arial"/>
                <w:sz w:val="20"/>
                <w:szCs w:val="20"/>
              </w:rPr>
              <w:t>5.32</w:t>
            </w:r>
          </w:p>
        </w:tc>
        <w:tc>
          <w:tcPr>
            <w:tcW w:w="759" w:type="pct"/>
            <w:tcBorders>
              <w:top w:val="nil"/>
              <w:bottom w:val="nil"/>
            </w:tcBorders>
            <w:vAlign w:val="center"/>
          </w:tcPr>
          <w:p w:rsidR="00D33F50" w:rsidRDefault="00D33F50" w:rsidP="00C6501A">
            <w:pPr>
              <w:jc w:val="center"/>
              <w:rPr>
                <w:rFonts w:cs="Arial"/>
                <w:sz w:val="20"/>
                <w:szCs w:val="20"/>
              </w:rPr>
            </w:pPr>
            <w:r>
              <w:rPr>
                <w:rFonts w:cs="Arial"/>
                <w:sz w:val="20"/>
                <w:szCs w:val="20"/>
              </w:rPr>
              <w:t>8.75</w:t>
            </w:r>
          </w:p>
        </w:tc>
        <w:tc>
          <w:tcPr>
            <w:tcW w:w="685" w:type="pct"/>
            <w:tcBorders>
              <w:top w:val="nil"/>
              <w:bottom w:val="nil"/>
            </w:tcBorders>
            <w:vAlign w:val="center"/>
          </w:tcPr>
          <w:p w:rsidR="00D33F50" w:rsidRDefault="00D33F50" w:rsidP="00C6501A">
            <w:pPr>
              <w:jc w:val="center"/>
              <w:rPr>
                <w:rFonts w:cs="Arial"/>
                <w:sz w:val="20"/>
                <w:szCs w:val="20"/>
              </w:rPr>
            </w:pPr>
            <w:r>
              <w:rPr>
                <w:rFonts w:cs="Arial"/>
                <w:sz w:val="20"/>
                <w:szCs w:val="20"/>
              </w:rPr>
              <w:t>64</w:t>
            </w:r>
          </w:p>
        </w:tc>
        <w:tc>
          <w:tcPr>
            <w:tcW w:w="608" w:type="pct"/>
            <w:tcBorders>
              <w:top w:val="nil"/>
              <w:bottom w:val="nil"/>
            </w:tcBorders>
            <w:vAlign w:val="center"/>
          </w:tcPr>
          <w:p w:rsidR="00D33F50" w:rsidRDefault="00D33F50" w:rsidP="00C6501A">
            <w:pPr>
              <w:jc w:val="center"/>
              <w:rPr>
                <w:rFonts w:cs="Arial"/>
                <w:sz w:val="20"/>
                <w:szCs w:val="20"/>
              </w:rPr>
            </w:pPr>
            <w:r>
              <w:rPr>
                <w:rFonts w:cs="Arial"/>
                <w:sz w:val="20"/>
                <w:szCs w:val="20"/>
              </w:rPr>
              <w:t>65</w:t>
            </w:r>
          </w:p>
        </w:tc>
      </w:tr>
      <w:tr w:rsidR="00D33F50" w:rsidRPr="00405CDE" w:rsidTr="00C6501A">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D33F50" w:rsidRDefault="00D33F50" w:rsidP="00C6501A">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D33F50" w:rsidRDefault="00D33F50" w:rsidP="00C6501A">
            <w:pPr>
              <w:jc w:val="center"/>
              <w:rPr>
                <w:rFonts w:cs="Arial"/>
                <w:sz w:val="20"/>
                <w:szCs w:val="20"/>
              </w:rPr>
            </w:pPr>
            <w:r>
              <w:rPr>
                <w:rFonts w:cs="Arial"/>
                <w:sz w:val="20"/>
                <w:szCs w:val="20"/>
              </w:rPr>
              <w:t>45</w:t>
            </w:r>
          </w:p>
        </w:tc>
        <w:tc>
          <w:tcPr>
            <w:tcW w:w="758" w:type="pct"/>
            <w:tcBorders>
              <w:top w:val="nil"/>
              <w:bottom w:val="single" w:sz="4" w:space="0" w:color="auto"/>
            </w:tcBorders>
            <w:vAlign w:val="center"/>
          </w:tcPr>
          <w:p w:rsidR="00D33F50" w:rsidRDefault="00D33F50" w:rsidP="00C6501A">
            <w:pPr>
              <w:jc w:val="center"/>
              <w:rPr>
                <w:rFonts w:cs="Arial"/>
                <w:sz w:val="20"/>
                <w:szCs w:val="20"/>
              </w:rPr>
            </w:pPr>
            <w:r>
              <w:rPr>
                <w:rFonts w:cs="Arial"/>
                <w:sz w:val="20"/>
                <w:szCs w:val="20"/>
              </w:rPr>
              <w:t>50</w:t>
            </w:r>
          </w:p>
        </w:tc>
        <w:tc>
          <w:tcPr>
            <w:tcW w:w="759" w:type="pct"/>
            <w:tcBorders>
              <w:top w:val="nil"/>
              <w:bottom w:val="single" w:sz="4" w:space="0" w:color="auto"/>
            </w:tcBorders>
            <w:vAlign w:val="center"/>
          </w:tcPr>
          <w:p w:rsidR="00D33F50" w:rsidRDefault="00D33F50" w:rsidP="00C6501A">
            <w:pPr>
              <w:jc w:val="center"/>
              <w:rPr>
                <w:rFonts w:cs="Arial"/>
                <w:sz w:val="20"/>
                <w:szCs w:val="20"/>
              </w:rPr>
            </w:pPr>
            <w:r>
              <w:rPr>
                <w:rFonts w:cs="Arial"/>
                <w:sz w:val="20"/>
                <w:szCs w:val="20"/>
              </w:rPr>
              <w:t>-33</w:t>
            </w:r>
          </w:p>
        </w:tc>
        <w:tc>
          <w:tcPr>
            <w:tcW w:w="685" w:type="pct"/>
            <w:tcBorders>
              <w:top w:val="nil"/>
              <w:bottom w:val="single" w:sz="4" w:space="0" w:color="auto"/>
            </w:tcBorders>
            <w:vAlign w:val="center"/>
          </w:tcPr>
          <w:p w:rsidR="00D33F50" w:rsidRDefault="00D33F50" w:rsidP="00C6501A">
            <w:pPr>
              <w:jc w:val="center"/>
              <w:rPr>
                <w:rFonts w:cs="Arial"/>
                <w:sz w:val="20"/>
                <w:szCs w:val="20"/>
              </w:rPr>
            </w:pPr>
            <w:r>
              <w:rPr>
                <w:rFonts w:cs="Arial"/>
                <w:sz w:val="20"/>
                <w:szCs w:val="20"/>
              </w:rPr>
              <w:t>0</w:t>
            </w:r>
          </w:p>
        </w:tc>
        <w:tc>
          <w:tcPr>
            <w:tcW w:w="608" w:type="pct"/>
            <w:tcBorders>
              <w:top w:val="nil"/>
              <w:bottom w:val="single" w:sz="4" w:space="0" w:color="auto"/>
            </w:tcBorders>
            <w:vAlign w:val="center"/>
          </w:tcPr>
          <w:p w:rsidR="00D33F50" w:rsidRDefault="00D33F50" w:rsidP="00C6501A">
            <w:pPr>
              <w:jc w:val="center"/>
              <w:rPr>
                <w:rFonts w:cs="Arial"/>
                <w:sz w:val="20"/>
                <w:szCs w:val="20"/>
              </w:rPr>
            </w:pPr>
            <w:r>
              <w:rPr>
                <w:rFonts w:cs="Arial"/>
                <w:sz w:val="20"/>
                <w:szCs w:val="20"/>
              </w:rPr>
              <w:t>2</w:t>
            </w:r>
          </w:p>
        </w:tc>
      </w:tr>
    </w:tbl>
    <w:p w:rsidR="00D33F50" w:rsidRDefault="00D33F50" w:rsidP="00D33F50"/>
    <w:p w:rsidR="00D33F50" w:rsidRDefault="00D33F50" w:rsidP="00D33F50"/>
    <w:p w:rsidR="00D33F50" w:rsidRDefault="00D33F50" w:rsidP="00D33F50"/>
    <w:p w:rsidR="00D33F50" w:rsidRPr="00D33F50" w:rsidRDefault="00D33F50" w:rsidP="00D33F50"/>
    <w:p w:rsidR="00D1641C" w:rsidRDefault="006E7E57" w:rsidP="00D1641C">
      <w:pPr>
        <w:pStyle w:val="Heading2"/>
        <w:ind w:firstLine="0"/>
        <w:rPr>
          <w:i w:val="0"/>
          <w:color w:val="2272A3"/>
          <w:sz w:val="24"/>
          <w:szCs w:val="24"/>
        </w:rPr>
      </w:pPr>
      <w:r>
        <w:rPr>
          <w:i w:val="0"/>
          <w:color w:val="2272A3"/>
          <w:sz w:val="24"/>
          <w:szCs w:val="24"/>
        </w:rPr>
        <w:lastRenderedPageBreak/>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C6501A">
            <w:pPr>
              <w:keepNext/>
              <w:spacing w:before="40" w:after="40"/>
              <w:jc w:val="center"/>
              <w:rPr>
                <w:rFonts w:cs="Arial"/>
                <w:b w:val="0"/>
                <w:bCs/>
                <w:sz w:val="20"/>
                <w:szCs w:val="20"/>
              </w:rPr>
            </w:pPr>
            <w:r w:rsidRPr="002861A9">
              <w:rPr>
                <w:rFonts w:cs="Arial"/>
                <w:bCs/>
                <w:sz w:val="20"/>
                <w:szCs w:val="20"/>
              </w:rPr>
              <w:t>Ex post quantity (TJ)</w:t>
            </w:r>
          </w:p>
        </w:tc>
      </w:tr>
      <w:tr w:rsidR="009F17F4" w:rsidRPr="00405CDE" w:rsidTr="00C6501A">
        <w:trPr>
          <w:trHeight w:val="510"/>
        </w:trPr>
        <w:tc>
          <w:tcPr>
            <w:tcW w:w="1430" w:type="pct"/>
            <w:tcBorders>
              <w:top w:val="nil"/>
              <w:bottom w:val="nil"/>
            </w:tcBorders>
            <w:vAlign w:val="center"/>
          </w:tcPr>
          <w:p w:rsidR="009F17F4" w:rsidRDefault="009F17F4">
            <w:pPr>
              <w:rPr>
                <w:rFonts w:cs="Arial"/>
                <w:sz w:val="20"/>
                <w:szCs w:val="20"/>
              </w:rPr>
            </w:pPr>
            <w:r>
              <w:rPr>
                <w:rFonts w:cs="Arial"/>
                <w:sz w:val="20"/>
                <w:szCs w:val="20"/>
              </w:rPr>
              <w:t>17 Jan - 23 Jan 2016</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4.83</w:t>
            </w:r>
          </w:p>
        </w:tc>
        <w:tc>
          <w:tcPr>
            <w:tcW w:w="758" w:type="pct"/>
            <w:tcBorders>
              <w:top w:val="nil"/>
              <w:bottom w:val="nil"/>
            </w:tcBorders>
            <w:vAlign w:val="center"/>
          </w:tcPr>
          <w:p w:rsidR="009F17F4" w:rsidRDefault="009F17F4">
            <w:pPr>
              <w:jc w:val="center"/>
              <w:rPr>
                <w:rFonts w:cs="Arial"/>
                <w:sz w:val="20"/>
                <w:szCs w:val="20"/>
              </w:rPr>
            </w:pPr>
            <w:r>
              <w:rPr>
                <w:rFonts w:cs="Arial"/>
                <w:sz w:val="20"/>
                <w:szCs w:val="20"/>
              </w:rPr>
              <w:t>5.11</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2.23</w:t>
            </w:r>
          </w:p>
        </w:tc>
        <w:tc>
          <w:tcPr>
            <w:tcW w:w="685" w:type="pct"/>
            <w:tcBorders>
              <w:top w:val="nil"/>
              <w:bottom w:val="nil"/>
            </w:tcBorders>
            <w:vAlign w:val="center"/>
          </w:tcPr>
          <w:p w:rsidR="009F17F4" w:rsidRDefault="009F17F4">
            <w:pPr>
              <w:jc w:val="center"/>
              <w:rPr>
                <w:rFonts w:cs="Arial"/>
                <w:sz w:val="20"/>
                <w:szCs w:val="20"/>
              </w:rPr>
            </w:pPr>
            <w:r>
              <w:rPr>
                <w:rFonts w:cs="Arial"/>
                <w:sz w:val="20"/>
                <w:szCs w:val="20"/>
              </w:rPr>
              <w:t>81</w:t>
            </w:r>
          </w:p>
        </w:tc>
        <w:tc>
          <w:tcPr>
            <w:tcW w:w="608" w:type="pct"/>
            <w:tcBorders>
              <w:top w:val="nil"/>
              <w:bottom w:val="nil"/>
            </w:tcBorders>
            <w:vAlign w:val="center"/>
          </w:tcPr>
          <w:p w:rsidR="009F17F4" w:rsidRDefault="009F17F4">
            <w:pPr>
              <w:jc w:val="center"/>
              <w:rPr>
                <w:rFonts w:cs="Arial"/>
                <w:sz w:val="20"/>
                <w:szCs w:val="20"/>
              </w:rPr>
            </w:pPr>
            <w:r>
              <w:rPr>
                <w:rFonts w:cs="Arial"/>
                <w:sz w:val="20"/>
                <w:szCs w:val="20"/>
              </w:rPr>
              <w:t>83</w:t>
            </w:r>
          </w:p>
        </w:tc>
      </w:tr>
      <w:tr w:rsidR="009F17F4" w:rsidRPr="00405CDE" w:rsidTr="00C6501A">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9F17F4" w:rsidRDefault="009F17F4">
            <w:pPr>
              <w:rPr>
                <w:rFonts w:cs="Arial"/>
                <w:sz w:val="20"/>
                <w:szCs w:val="20"/>
              </w:rPr>
            </w:pPr>
            <w:r>
              <w:rPr>
                <w:rFonts w:cs="Arial"/>
                <w:sz w:val="20"/>
                <w:szCs w:val="20"/>
              </w:rPr>
              <w:t>% change from previous week</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-18</w:t>
            </w:r>
          </w:p>
        </w:tc>
        <w:tc>
          <w:tcPr>
            <w:tcW w:w="758" w:type="pct"/>
            <w:tcBorders>
              <w:top w:val="nil"/>
              <w:bottom w:val="nil"/>
            </w:tcBorders>
            <w:vAlign w:val="center"/>
          </w:tcPr>
          <w:p w:rsidR="009F17F4" w:rsidRDefault="009F17F4">
            <w:pPr>
              <w:jc w:val="center"/>
              <w:rPr>
                <w:rFonts w:cs="Arial"/>
                <w:sz w:val="20"/>
                <w:szCs w:val="20"/>
              </w:rPr>
            </w:pPr>
            <w:r>
              <w:rPr>
                <w:rFonts w:cs="Arial"/>
                <w:sz w:val="20"/>
                <w:szCs w:val="20"/>
              </w:rPr>
              <w:t>-21</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-20</w:t>
            </w:r>
          </w:p>
        </w:tc>
        <w:tc>
          <w:tcPr>
            <w:tcW w:w="685" w:type="pct"/>
            <w:tcBorders>
              <w:top w:val="nil"/>
              <w:bottom w:val="nil"/>
            </w:tcBorders>
            <w:vAlign w:val="center"/>
          </w:tcPr>
          <w:p w:rsidR="009F17F4" w:rsidRDefault="009F17F4">
            <w:pPr>
              <w:jc w:val="center"/>
              <w:rPr>
                <w:rFonts w:cs="Arial"/>
                <w:sz w:val="20"/>
                <w:szCs w:val="20"/>
              </w:rPr>
            </w:pPr>
            <w:r>
              <w:rPr>
                <w:rFonts w:cs="Arial"/>
                <w:sz w:val="20"/>
                <w:szCs w:val="20"/>
              </w:rPr>
              <w:t>2</w:t>
            </w:r>
          </w:p>
        </w:tc>
        <w:tc>
          <w:tcPr>
            <w:tcW w:w="608" w:type="pct"/>
            <w:tcBorders>
              <w:top w:val="nil"/>
              <w:bottom w:val="nil"/>
            </w:tcBorders>
            <w:vAlign w:val="center"/>
          </w:tcPr>
          <w:p w:rsidR="009F17F4" w:rsidRDefault="009F17F4">
            <w:pPr>
              <w:jc w:val="center"/>
              <w:rPr>
                <w:rFonts w:cs="Arial"/>
                <w:sz w:val="20"/>
                <w:szCs w:val="20"/>
              </w:rPr>
            </w:pPr>
            <w:r>
              <w:rPr>
                <w:rFonts w:cs="Arial"/>
                <w:sz w:val="20"/>
                <w:szCs w:val="20"/>
              </w:rPr>
              <w:t>1</w:t>
            </w:r>
          </w:p>
        </w:tc>
      </w:tr>
      <w:tr w:rsidR="009F17F4" w:rsidRPr="00405CDE" w:rsidTr="00C6501A">
        <w:trPr>
          <w:trHeight w:val="510"/>
        </w:trPr>
        <w:tc>
          <w:tcPr>
            <w:tcW w:w="1430" w:type="pct"/>
            <w:tcBorders>
              <w:top w:val="nil"/>
              <w:bottom w:val="nil"/>
            </w:tcBorders>
            <w:vAlign w:val="center"/>
          </w:tcPr>
          <w:p w:rsidR="009F17F4" w:rsidRDefault="009F17F4">
            <w:pPr>
              <w:rPr>
                <w:rFonts w:cs="Arial"/>
                <w:sz w:val="20"/>
                <w:szCs w:val="20"/>
              </w:rPr>
            </w:pPr>
            <w:r>
              <w:rPr>
                <w:rFonts w:cs="Arial"/>
                <w:sz w:val="20"/>
                <w:szCs w:val="20"/>
              </w:rPr>
              <w:t>15-16 financial YTD</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3.86</w:t>
            </w:r>
          </w:p>
        </w:tc>
        <w:tc>
          <w:tcPr>
            <w:tcW w:w="758" w:type="pct"/>
            <w:tcBorders>
              <w:top w:val="nil"/>
              <w:bottom w:val="nil"/>
            </w:tcBorders>
            <w:vAlign w:val="center"/>
          </w:tcPr>
          <w:p w:rsidR="009F17F4" w:rsidRDefault="009F17F4">
            <w:pPr>
              <w:jc w:val="center"/>
              <w:rPr>
                <w:rFonts w:cs="Arial"/>
                <w:sz w:val="20"/>
                <w:szCs w:val="20"/>
              </w:rPr>
            </w:pPr>
            <w:r>
              <w:rPr>
                <w:rFonts w:cs="Arial"/>
                <w:sz w:val="20"/>
                <w:szCs w:val="20"/>
              </w:rPr>
              <w:t>3.86</w:t>
            </w:r>
          </w:p>
        </w:tc>
        <w:tc>
          <w:tcPr>
            <w:tcW w:w="759" w:type="pct"/>
            <w:tcBorders>
              <w:top w:val="nil"/>
              <w:bottom w:val="nil"/>
            </w:tcBorders>
            <w:vAlign w:val="center"/>
          </w:tcPr>
          <w:p w:rsidR="009F17F4" w:rsidRDefault="009F17F4">
            <w:pPr>
              <w:jc w:val="center"/>
              <w:rPr>
                <w:rFonts w:cs="Arial"/>
                <w:sz w:val="20"/>
                <w:szCs w:val="20"/>
              </w:rPr>
            </w:pPr>
            <w:r>
              <w:rPr>
                <w:rFonts w:cs="Arial"/>
                <w:sz w:val="20"/>
                <w:szCs w:val="20"/>
              </w:rPr>
              <w:t>1.60</w:t>
            </w:r>
          </w:p>
        </w:tc>
        <w:tc>
          <w:tcPr>
            <w:tcW w:w="685" w:type="pct"/>
            <w:tcBorders>
              <w:top w:val="nil"/>
              <w:bottom w:val="nil"/>
            </w:tcBorders>
            <w:vAlign w:val="center"/>
          </w:tcPr>
          <w:p w:rsidR="009F17F4" w:rsidRDefault="009F17F4">
            <w:pPr>
              <w:jc w:val="center"/>
              <w:rPr>
                <w:rFonts w:cs="Arial"/>
                <w:sz w:val="20"/>
                <w:szCs w:val="20"/>
              </w:rPr>
            </w:pPr>
            <w:r>
              <w:rPr>
                <w:rFonts w:cs="Arial"/>
                <w:sz w:val="20"/>
                <w:szCs w:val="20"/>
              </w:rPr>
              <w:t>88</w:t>
            </w:r>
          </w:p>
        </w:tc>
        <w:tc>
          <w:tcPr>
            <w:tcW w:w="608" w:type="pct"/>
            <w:tcBorders>
              <w:top w:val="nil"/>
              <w:bottom w:val="nil"/>
            </w:tcBorders>
            <w:vAlign w:val="center"/>
          </w:tcPr>
          <w:p w:rsidR="009F17F4" w:rsidRDefault="009F17F4">
            <w:pPr>
              <w:jc w:val="center"/>
              <w:rPr>
                <w:rFonts w:cs="Arial"/>
                <w:sz w:val="20"/>
                <w:szCs w:val="20"/>
              </w:rPr>
            </w:pPr>
            <w:r>
              <w:rPr>
                <w:rFonts w:cs="Arial"/>
                <w:sz w:val="20"/>
                <w:szCs w:val="20"/>
              </w:rPr>
              <w:t>88</w:t>
            </w:r>
          </w:p>
        </w:tc>
      </w:tr>
      <w:tr w:rsidR="009F17F4" w:rsidRPr="00405CDE" w:rsidTr="00C6501A">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9F17F4" w:rsidRDefault="009F17F4">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75</w:t>
            </w:r>
          </w:p>
        </w:tc>
        <w:tc>
          <w:tcPr>
            <w:tcW w:w="758"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89</w:t>
            </w:r>
          </w:p>
        </w:tc>
        <w:tc>
          <w:tcPr>
            <w:tcW w:w="759"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10</w:t>
            </w:r>
          </w:p>
        </w:tc>
        <w:tc>
          <w:tcPr>
            <w:tcW w:w="685"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-40</w:t>
            </w:r>
          </w:p>
        </w:tc>
        <w:tc>
          <w:tcPr>
            <w:tcW w:w="608"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-40</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FE30E3" w:rsidP="00BC18FB">
      <w:pPr>
        <w:pStyle w:val="Heading1"/>
        <w:numPr>
          <w:ilvl w:val="0"/>
          <w:numId w:val="0"/>
        </w:numPr>
        <w:rPr>
          <w:color w:val="2272A3"/>
        </w:rPr>
      </w:pPr>
      <w:r>
        <w:rPr>
          <w:color w:val="2272A3"/>
        </w:rPr>
        <w:t>Detailed market analysis</w:t>
      </w:r>
    </w:p>
    <w:p w:rsidR="006A5166" w:rsidRPr="0014157B" w:rsidRDefault="0014157B" w:rsidP="001B3823">
      <w:pPr>
        <w:jc w:val="both"/>
        <w:rPr>
          <w:rFonts w:eastAsia="MS Mincho"/>
          <w:b/>
          <w:i/>
        </w:rPr>
      </w:pPr>
      <w:r w:rsidRPr="0014157B">
        <w:rPr>
          <w:rFonts w:eastAsia="MS Mincho"/>
          <w:b/>
          <w:i/>
        </w:rPr>
        <w:t>Gas powered generation (GPG) in Adelaide</w:t>
      </w:r>
      <w:r w:rsidR="003716C3">
        <w:rPr>
          <w:rFonts w:eastAsia="MS Mincho"/>
          <w:b/>
          <w:i/>
        </w:rPr>
        <w:t xml:space="preserve"> and counteracting MOS</w:t>
      </w:r>
    </w:p>
    <w:p w:rsidR="000D52B9" w:rsidRDefault="000D52B9" w:rsidP="001B3823">
      <w:pPr>
        <w:jc w:val="both"/>
        <w:rPr>
          <w:rFonts w:eastAsia="MS Mincho"/>
        </w:rPr>
      </w:pPr>
      <w:r w:rsidRPr="00FC132E">
        <w:rPr>
          <w:rFonts w:eastAsia="MS Mincho"/>
        </w:rPr>
        <w:t xml:space="preserve">The </w:t>
      </w:r>
      <w:r>
        <w:rPr>
          <w:rFonts w:eastAsia="MS Mincho"/>
        </w:rPr>
        <w:t xml:space="preserve">completion of compressor maintenance saw the </w:t>
      </w:r>
      <w:proofErr w:type="spellStart"/>
      <w:r>
        <w:rPr>
          <w:rFonts w:eastAsia="MS Mincho"/>
        </w:rPr>
        <w:t>l</w:t>
      </w:r>
      <w:r w:rsidRPr="00FC132E">
        <w:rPr>
          <w:rFonts w:eastAsia="MS Mincho"/>
        </w:rPr>
        <w:t>inepack</w:t>
      </w:r>
      <w:proofErr w:type="spellEnd"/>
      <w:r w:rsidRPr="00FC132E">
        <w:rPr>
          <w:rFonts w:eastAsia="MS Mincho"/>
        </w:rPr>
        <w:t xml:space="preserve"> </w:t>
      </w:r>
      <w:r>
        <w:rPr>
          <w:rFonts w:eastAsia="MS Mincho"/>
        </w:rPr>
        <w:t>c</w:t>
      </w:r>
      <w:r w:rsidRPr="00FC132E">
        <w:rPr>
          <w:rFonts w:eastAsia="MS Mincho"/>
        </w:rPr>
        <w:t xml:space="preserve">apacity </w:t>
      </w:r>
      <w:r>
        <w:rPr>
          <w:rFonts w:eastAsia="MS Mincho"/>
        </w:rPr>
        <w:t>a</w:t>
      </w:r>
      <w:r w:rsidRPr="00FC132E">
        <w:rPr>
          <w:rFonts w:eastAsia="MS Mincho"/>
        </w:rPr>
        <w:t xml:space="preserve">dequacy (LCA) flag on the Bulletin Board for the </w:t>
      </w:r>
      <w:proofErr w:type="spellStart"/>
      <w:r w:rsidRPr="00FC132E">
        <w:rPr>
          <w:rFonts w:eastAsia="MS Mincho"/>
        </w:rPr>
        <w:t>SEAGas</w:t>
      </w:r>
      <w:proofErr w:type="spellEnd"/>
      <w:r w:rsidRPr="00FC132E">
        <w:rPr>
          <w:rFonts w:eastAsia="MS Mincho"/>
        </w:rPr>
        <w:t xml:space="preserve"> pipeline change </w:t>
      </w:r>
      <w:r>
        <w:rPr>
          <w:rFonts w:eastAsia="MS Mincho"/>
        </w:rPr>
        <w:t>back to green from amber this week.</w:t>
      </w:r>
    </w:p>
    <w:p w:rsidR="00FC132E" w:rsidRDefault="00FE0F8F" w:rsidP="001B3823">
      <w:pPr>
        <w:jc w:val="both"/>
        <w:rPr>
          <w:rFonts w:eastAsia="MS Mincho"/>
        </w:rPr>
      </w:pPr>
      <w:r>
        <w:rPr>
          <w:rFonts w:eastAsia="MS Mincho"/>
        </w:rPr>
        <w:t xml:space="preserve">Figure 6 shows the </w:t>
      </w:r>
      <w:r w:rsidR="00C07CBC">
        <w:rPr>
          <w:rFonts w:eastAsia="MS Mincho"/>
        </w:rPr>
        <w:t>association between recent high temperatures, demand for gas for GPG and high hub prices in Adelaide.</w:t>
      </w:r>
      <w:r>
        <w:rPr>
          <w:rFonts w:eastAsia="MS Mincho"/>
        </w:rPr>
        <w:t xml:space="preserve"> </w:t>
      </w:r>
      <w:r w:rsidR="00C07CBC">
        <w:rPr>
          <w:rFonts w:eastAsia="MS Mincho"/>
        </w:rPr>
        <w:t xml:space="preserve">With temperatures around </w:t>
      </w:r>
      <w:r w:rsidR="00C07CBC" w:rsidRPr="00FE0F8F">
        <w:rPr>
          <w:rFonts w:eastAsia="MS Mincho"/>
        </w:rPr>
        <w:t>36</w:t>
      </w:r>
      <w:r w:rsidR="00C07CBC">
        <w:rPr>
          <w:rFonts w:eastAsia="MS Mincho"/>
        </w:rPr>
        <w:t> </w:t>
      </w:r>
      <w:r w:rsidR="00C07CBC" w:rsidRPr="00FE0F8F">
        <w:rPr>
          <w:rFonts w:eastAsia="MS Mincho"/>
        </w:rPr>
        <w:t xml:space="preserve">degrees </w:t>
      </w:r>
      <w:r w:rsidR="00C07CBC">
        <w:rPr>
          <w:rFonts w:eastAsia="MS Mincho"/>
        </w:rPr>
        <w:t>for several consecutive days, t</w:t>
      </w:r>
      <w:r w:rsidRPr="00FE0F8F">
        <w:rPr>
          <w:rFonts w:eastAsia="MS Mincho"/>
        </w:rPr>
        <w:t>he price reach</w:t>
      </w:r>
      <w:r>
        <w:rPr>
          <w:rFonts w:eastAsia="MS Mincho"/>
        </w:rPr>
        <w:t>ed</w:t>
      </w:r>
      <w:r w:rsidRPr="00FE0F8F">
        <w:rPr>
          <w:rFonts w:eastAsia="MS Mincho"/>
        </w:rPr>
        <w:t xml:space="preserve"> $9.99/GJ on 21</w:t>
      </w:r>
      <w:r w:rsidR="00A41933">
        <w:rPr>
          <w:rFonts w:eastAsia="MS Mincho"/>
        </w:rPr>
        <w:t> </w:t>
      </w:r>
      <w:r w:rsidRPr="00FE0F8F">
        <w:rPr>
          <w:rFonts w:eastAsia="MS Mincho"/>
        </w:rPr>
        <w:t>January</w:t>
      </w:r>
      <w:r>
        <w:rPr>
          <w:rFonts w:eastAsia="MS Mincho"/>
        </w:rPr>
        <w:t>.</w:t>
      </w:r>
      <w:r w:rsidR="00EA6289">
        <w:rPr>
          <w:rFonts w:eastAsia="MS Mincho"/>
        </w:rPr>
        <w:t xml:space="preserve"> </w:t>
      </w:r>
    </w:p>
    <w:p w:rsidR="0014157B" w:rsidRDefault="000848DE" w:rsidP="001B3823">
      <w:pPr>
        <w:jc w:val="both"/>
        <w:rPr>
          <w:rFonts w:eastAsia="MS Mincho"/>
        </w:rPr>
      </w:pPr>
      <w:r>
        <w:rPr>
          <w:rFonts w:eastAsia="MS Mincho"/>
        </w:rPr>
        <w:t>Our analysis shows that renominations to supply, and back haul on the Moomba to Adelaide Pipeline, potentially contributed to counteracting MOS in the Adelaide hub on 19 and 21 January.</w:t>
      </w:r>
      <w:r w:rsidR="00DC288C">
        <w:rPr>
          <w:rFonts w:eastAsia="MS Mincho"/>
        </w:rPr>
        <w:t xml:space="preserve"> This can be observed in figures 3.3 and 3.4</w:t>
      </w:r>
      <w:r w:rsidR="000D52B9">
        <w:rPr>
          <w:rFonts w:eastAsia="MS Mincho"/>
        </w:rPr>
        <w:t xml:space="preserve"> on page 10, in the changes to net pipeline proportions, and positive and negative allocation quantities in the respective figures</w:t>
      </w:r>
      <w:r w:rsidR="00DC288C">
        <w:rPr>
          <w:rFonts w:eastAsia="MS Mincho"/>
        </w:rPr>
        <w:t>.</w:t>
      </w:r>
      <w:r w:rsidR="00EA6289">
        <w:rPr>
          <w:rFonts w:eastAsia="MS Mincho"/>
        </w:rPr>
        <w:t xml:space="preserve"> </w:t>
      </w:r>
    </w:p>
    <w:p w:rsidR="006A5166" w:rsidRDefault="006A5166" w:rsidP="006A5166">
      <w:pPr>
        <w:pStyle w:val="Heading2"/>
        <w:ind w:firstLine="0"/>
        <w:rPr>
          <w:i w:val="0"/>
          <w:color w:val="2272A3"/>
          <w:sz w:val="24"/>
          <w:szCs w:val="24"/>
        </w:rPr>
      </w:pPr>
      <w:r>
        <w:rPr>
          <w:i w:val="0"/>
          <w:color w:val="2272A3"/>
          <w:sz w:val="24"/>
          <w:szCs w:val="24"/>
        </w:rPr>
        <w:t>Gas powered generation, gas prices and temperature in Adelaide</w:t>
      </w:r>
    </w:p>
    <w:p w:rsidR="006A5166" w:rsidRDefault="00F57E2F" w:rsidP="001B3823">
      <w:pPr>
        <w:jc w:val="both"/>
      </w:pPr>
      <w:r>
        <w:pict>
          <v:shape id="_x0000_i1025" type="#_x0000_t75" alt="Figure 6 shows gas usage estimates for gas powered generation (GPG) in South Australia (primary y-axis) and the price of gas in the Adelaide hub (secondary y-axis) by gas day. Also shown is the daily maximum temperature recorded in Adelaide on the day (tertiary y-axis). Calculation methodology for GPG is the same as that used for figure 5.1. For a more detailed description of the methodology, please refer to the user guide." style="width:476.45pt;height:183.45pt">
            <v:imagedata r:id="rId13" o:title=""/>
          </v:shape>
        </w:pict>
      </w:r>
    </w:p>
    <w:p w:rsidR="00D33F50" w:rsidRDefault="00D33F50" w:rsidP="001B3823">
      <w:pPr>
        <w:jc w:val="both"/>
      </w:pPr>
    </w:p>
    <w:p w:rsidR="00D33F50" w:rsidRPr="0014157B" w:rsidRDefault="0014157B" w:rsidP="001B3823">
      <w:pPr>
        <w:jc w:val="both"/>
        <w:rPr>
          <w:b/>
          <w:i/>
        </w:rPr>
      </w:pPr>
      <w:r w:rsidRPr="0014157B">
        <w:rPr>
          <w:b/>
          <w:i/>
        </w:rPr>
        <w:t>Gas flows to Tasmania</w:t>
      </w:r>
    </w:p>
    <w:p w:rsidR="0014157B" w:rsidRDefault="00CB2E03" w:rsidP="001B3823">
      <w:pPr>
        <w:jc w:val="both"/>
      </w:pPr>
      <w:r>
        <w:t xml:space="preserve">Following </w:t>
      </w:r>
      <w:r w:rsidR="00CD6093">
        <w:t xml:space="preserve">the loss of the </w:t>
      </w:r>
      <w:proofErr w:type="spellStart"/>
      <w:r>
        <w:t>Basslink</w:t>
      </w:r>
      <w:proofErr w:type="spellEnd"/>
      <w:r>
        <w:t xml:space="preserve"> </w:t>
      </w:r>
      <w:r w:rsidR="00CD6093">
        <w:t xml:space="preserve">interconnector </w:t>
      </w:r>
      <w:r>
        <w:t xml:space="preserve">on 20 December 2015, </w:t>
      </w:r>
      <w:r w:rsidR="00CD6093">
        <w:t>Tasmania</w:t>
      </w:r>
      <w:r>
        <w:t xml:space="preserve"> has been isolated from the rest of the N</w:t>
      </w:r>
      <w:r w:rsidR="00032CC4">
        <w:t xml:space="preserve">ational </w:t>
      </w:r>
      <w:r>
        <w:t>E</w:t>
      </w:r>
      <w:r w:rsidR="00032CC4">
        <w:t xml:space="preserve">lectricity </w:t>
      </w:r>
      <w:r>
        <w:t>M</w:t>
      </w:r>
      <w:r w:rsidR="00032CC4">
        <w:t>arket (NEM)</w:t>
      </w:r>
      <w:r>
        <w:t>.</w:t>
      </w:r>
      <w:r w:rsidR="00920670">
        <w:t xml:space="preserve"> </w:t>
      </w:r>
      <w:proofErr w:type="spellStart"/>
      <w:r w:rsidR="00C6501A">
        <w:t>Basslink</w:t>
      </w:r>
      <w:proofErr w:type="spellEnd"/>
      <w:r w:rsidR="00C6501A">
        <w:t xml:space="preserve"> is expected to be repaired </w:t>
      </w:r>
      <w:r w:rsidR="000D52B9">
        <w:t xml:space="preserve">sometime in </w:t>
      </w:r>
      <w:r w:rsidR="00DC288C">
        <w:t>March</w:t>
      </w:r>
      <w:r w:rsidR="00C6501A">
        <w:t xml:space="preserve">. </w:t>
      </w:r>
    </w:p>
    <w:p w:rsidR="00920670" w:rsidRPr="0014157B" w:rsidRDefault="00C6501A" w:rsidP="001B3823">
      <w:pPr>
        <w:jc w:val="both"/>
      </w:pPr>
      <w:r>
        <w:lastRenderedPageBreak/>
        <w:t xml:space="preserve">The loss of the </w:t>
      </w:r>
      <w:proofErr w:type="spellStart"/>
      <w:r>
        <w:t>Basslink</w:t>
      </w:r>
      <w:proofErr w:type="spellEnd"/>
      <w:r>
        <w:t xml:space="preserve"> interconnector, combined with low water reserves placing a constraint on hydro generation (the major source of generation), has seen </w:t>
      </w:r>
      <w:r w:rsidR="00C75361">
        <w:t>the need for Hydro</w:t>
      </w:r>
      <w:r>
        <w:t> </w:t>
      </w:r>
      <w:r w:rsidR="00C75361">
        <w:t>Tasmania to bring their Tamar Valley combined cycle gas generator back into service.</w:t>
      </w:r>
      <w:r w:rsidR="00C75361">
        <w:rPr>
          <w:rStyle w:val="FootnoteReference"/>
        </w:rPr>
        <w:footnoteReference w:id="2"/>
      </w:r>
      <w:r w:rsidR="00C75361">
        <w:t xml:space="preserve"> As a result, flows on the Tasmanian Gas Pipeline have reached their highest level since October 2010. Figure 7 shows flows on the pipeline have increased to around 80 TJ/day following the generator coming online from 19 January. </w:t>
      </w:r>
      <w:r>
        <w:t xml:space="preserve">Before the loss of </w:t>
      </w:r>
      <w:proofErr w:type="spellStart"/>
      <w:r>
        <w:t>Basslink</w:t>
      </w:r>
      <w:proofErr w:type="spellEnd"/>
      <w:r>
        <w:t xml:space="preserve"> </w:t>
      </w:r>
      <w:r w:rsidR="00C75361">
        <w:t>flows were around 20 TJ/day or lower.</w:t>
      </w:r>
    </w:p>
    <w:p w:rsidR="00D33F50" w:rsidRDefault="00D33F50" w:rsidP="00D33F50">
      <w:pPr>
        <w:pStyle w:val="Heading2"/>
        <w:ind w:firstLine="0"/>
        <w:rPr>
          <w:i w:val="0"/>
          <w:color w:val="2272A3"/>
          <w:sz w:val="24"/>
          <w:szCs w:val="24"/>
        </w:rPr>
      </w:pPr>
      <w:r>
        <w:rPr>
          <w:i w:val="0"/>
          <w:color w:val="2272A3"/>
          <w:sz w:val="24"/>
          <w:szCs w:val="24"/>
        </w:rPr>
        <w:t xml:space="preserve">Gas powered generation, </w:t>
      </w:r>
      <w:r w:rsidR="0014157B">
        <w:rPr>
          <w:i w:val="0"/>
          <w:color w:val="2272A3"/>
          <w:sz w:val="24"/>
          <w:szCs w:val="24"/>
        </w:rPr>
        <w:t>and pipeline flows for Tasmania</w:t>
      </w:r>
    </w:p>
    <w:p w:rsidR="00D33F50" w:rsidRDefault="00F57E2F" w:rsidP="001B3823">
      <w:pPr>
        <w:jc w:val="both"/>
      </w:pPr>
      <w:r>
        <w:pict>
          <v:shape id="_x0000_i1026" type="#_x0000_t75" alt="Figure 7 shows gas usage estimates for gas powered generation (GPG) in Tasmania and gas flows on the Tasmanian Gas Pipeline by gas day. Calculation methodology for GPG is the same as that used for figure 5.1. For a more detailed description of the methodology, please refer to the user guide." style="width:475.85pt;height:183.45pt">
            <v:imagedata r:id="rId14" o:title=""/>
          </v:shape>
        </w:pict>
      </w:r>
    </w:p>
    <w:p w:rsidR="003E4798" w:rsidRDefault="003E4798" w:rsidP="001B3823">
      <w:pPr>
        <w:jc w:val="both"/>
      </w:pPr>
    </w:p>
    <w:p w:rsidR="003716C3" w:rsidRDefault="003716C3" w:rsidP="00891595">
      <w:pPr>
        <w:pStyle w:val="ListParagraph"/>
        <w:ind w:left="0"/>
        <w:contextualSpacing w:val="0"/>
        <w:jc w:val="both"/>
        <w:rPr>
          <w:rFonts w:ascii="Arial" w:eastAsia="Times New Roman" w:hAnsi="Arial" w:cs="Arial"/>
          <w:b/>
          <w:i/>
          <w:sz w:val="22"/>
          <w:szCs w:val="24"/>
        </w:rPr>
      </w:pPr>
      <w:r w:rsidRPr="003716C3">
        <w:rPr>
          <w:rFonts w:ascii="Arial" w:eastAsia="Times New Roman" w:hAnsi="Arial" w:cs="Arial"/>
          <w:b/>
          <w:i/>
          <w:sz w:val="22"/>
          <w:szCs w:val="24"/>
        </w:rPr>
        <w:t>Newcastle Gas Storage (NGS)</w:t>
      </w:r>
    </w:p>
    <w:p w:rsidR="003716C3" w:rsidRPr="003716C3" w:rsidRDefault="003716C3" w:rsidP="00891595">
      <w:pPr>
        <w:pStyle w:val="ListParagraph"/>
        <w:ind w:left="0"/>
        <w:contextualSpacing w:val="0"/>
        <w:jc w:val="both"/>
        <w:rPr>
          <w:rFonts w:ascii="Arial" w:eastAsia="Times New Roman" w:hAnsi="Arial" w:cs="Arial"/>
          <w:sz w:val="22"/>
          <w:szCs w:val="24"/>
        </w:rPr>
      </w:pPr>
      <w:r w:rsidRPr="003716C3">
        <w:rPr>
          <w:rFonts w:ascii="Arial" w:eastAsia="Times New Roman" w:hAnsi="Arial" w:cs="Arial"/>
          <w:sz w:val="22"/>
          <w:szCs w:val="24"/>
        </w:rPr>
        <w:t>On 20 January, AGL scheduled gas from its NGS facility in Sydney. This is only the 4</w:t>
      </w:r>
      <w:r w:rsidRPr="00DC288C">
        <w:rPr>
          <w:rFonts w:ascii="Arial" w:eastAsia="Times New Roman" w:hAnsi="Arial" w:cs="Arial"/>
          <w:sz w:val="22"/>
          <w:szCs w:val="24"/>
          <w:vertAlign w:val="superscript"/>
        </w:rPr>
        <w:t>th</w:t>
      </w:r>
      <w:r w:rsidR="00DC288C">
        <w:rPr>
          <w:rFonts w:ascii="Arial" w:eastAsia="Times New Roman" w:hAnsi="Arial" w:cs="Arial"/>
          <w:sz w:val="22"/>
          <w:szCs w:val="24"/>
        </w:rPr>
        <w:t xml:space="preserve"> </w:t>
      </w:r>
      <w:r w:rsidRPr="003716C3">
        <w:rPr>
          <w:rFonts w:ascii="Arial" w:eastAsia="Times New Roman" w:hAnsi="Arial" w:cs="Arial"/>
          <w:sz w:val="22"/>
          <w:szCs w:val="24"/>
        </w:rPr>
        <w:t xml:space="preserve">time the facility has supplied gas to the hub since </w:t>
      </w:r>
      <w:r w:rsidR="00C6501A">
        <w:rPr>
          <w:rFonts w:ascii="Arial" w:eastAsia="Times New Roman" w:hAnsi="Arial" w:cs="Arial"/>
          <w:sz w:val="22"/>
          <w:szCs w:val="24"/>
        </w:rPr>
        <w:t xml:space="preserve">it began operation in </w:t>
      </w:r>
      <w:r w:rsidRPr="003716C3">
        <w:rPr>
          <w:rFonts w:ascii="Arial" w:eastAsia="Times New Roman" w:hAnsi="Arial" w:cs="Arial"/>
          <w:sz w:val="22"/>
          <w:szCs w:val="24"/>
        </w:rPr>
        <w:t>June</w:t>
      </w:r>
      <w:r w:rsidR="00C6501A">
        <w:rPr>
          <w:rFonts w:ascii="Arial" w:eastAsia="Times New Roman" w:hAnsi="Arial" w:cs="Arial"/>
          <w:sz w:val="22"/>
          <w:szCs w:val="24"/>
        </w:rPr>
        <w:t> </w:t>
      </w:r>
      <w:r w:rsidRPr="003716C3">
        <w:rPr>
          <w:rFonts w:ascii="Arial" w:eastAsia="Times New Roman" w:hAnsi="Arial" w:cs="Arial"/>
          <w:sz w:val="22"/>
          <w:szCs w:val="24"/>
        </w:rPr>
        <w:t>2015.</w:t>
      </w:r>
    </w:p>
    <w:p w:rsidR="00891595" w:rsidRPr="005C5733" w:rsidRDefault="00C6501A" w:rsidP="00891595">
      <w:pPr>
        <w:pStyle w:val="ListParagraph"/>
        <w:ind w:left="0"/>
        <w:contextualSpacing w:val="0"/>
        <w:jc w:val="both"/>
        <w:rPr>
          <w:rFonts w:ascii="Arial" w:eastAsia="Times New Roman" w:hAnsi="Arial" w:cs="Arial"/>
          <w:b/>
          <w:i/>
          <w:sz w:val="22"/>
          <w:szCs w:val="24"/>
        </w:rPr>
      </w:pPr>
      <w:r>
        <w:rPr>
          <w:rFonts w:ascii="Arial" w:eastAsia="Times New Roman" w:hAnsi="Arial" w:cs="Arial"/>
          <w:b/>
          <w:i/>
          <w:sz w:val="22"/>
          <w:szCs w:val="24"/>
        </w:rPr>
        <w:t>Large decrease MOS requirement</w:t>
      </w:r>
      <w:r w:rsidRPr="005C5733">
        <w:rPr>
          <w:rFonts w:ascii="Arial" w:eastAsia="Times New Roman" w:hAnsi="Arial" w:cs="Arial"/>
          <w:b/>
          <w:i/>
          <w:sz w:val="22"/>
          <w:szCs w:val="24"/>
        </w:rPr>
        <w:t xml:space="preserve"> </w:t>
      </w:r>
      <w:r>
        <w:rPr>
          <w:rFonts w:ascii="Arial" w:eastAsia="Times New Roman" w:hAnsi="Arial" w:cs="Arial"/>
          <w:b/>
          <w:i/>
          <w:sz w:val="22"/>
          <w:szCs w:val="24"/>
        </w:rPr>
        <w:t xml:space="preserve">and significant price variation </w:t>
      </w:r>
      <w:r w:rsidR="00891595" w:rsidRPr="005C5733">
        <w:rPr>
          <w:rFonts w:ascii="Arial" w:eastAsia="Times New Roman" w:hAnsi="Arial" w:cs="Arial"/>
          <w:b/>
          <w:i/>
          <w:sz w:val="22"/>
          <w:szCs w:val="24"/>
        </w:rPr>
        <w:t>in Sydney</w:t>
      </w:r>
      <w:r w:rsidR="00DC288C">
        <w:rPr>
          <w:rFonts w:ascii="Arial" w:eastAsia="Times New Roman" w:hAnsi="Arial" w:cs="Arial"/>
          <w:b/>
          <w:i/>
          <w:sz w:val="22"/>
          <w:szCs w:val="24"/>
        </w:rPr>
        <w:t xml:space="preserve"> on 23 January</w:t>
      </w:r>
    </w:p>
    <w:p w:rsidR="00417694" w:rsidRDefault="00417694" w:rsidP="00417694">
      <w:pPr>
        <w:jc w:val="both"/>
        <w:rPr>
          <w:highlight w:val="yellow"/>
        </w:rPr>
      </w:pPr>
      <w:r>
        <w:t xml:space="preserve">Figure 2.4 shows </w:t>
      </w:r>
      <w:r w:rsidR="00C6501A">
        <w:t xml:space="preserve">there was a </w:t>
      </w:r>
      <w:r>
        <w:t>significant decrease MOS requirement on the Eastern Gas Pipeline (EGP) fo</w:t>
      </w:r>
      <w:r w:rsidRPr="00417694">
        <w:t xml:space="preserve">r the 23 January gas day. </w:t>
      </w:r>
      <w:r w:rsidR="00C05607" w:rsidRPr="00417694">
        <w:t>The decrease requirement was the result of demand in the hub being over forecast by 18.6 TJ</w:t>
      </w:r>
      <w:r w:rsidR="00C05607">
        <w:t xml:space="preserve"> - </w:t>
      </w:r>
      <w:r w:rsidR="00C05607" w:rsidRPr="00417694">
        <w:t>decrease MOS allocations were supplied entirely on the EGP.</w:t>
      </w:r>
      <w:r w:rsidR="00C05607">
        <w:t xml:space="preserve"> </w:t>
      </w:r>
      <w:r w:rsidRPr="00417694">
        <w:t>MOS decrease payments reached $470</w:t>
      </w:r>
      <w:r w:rsidR="00C05607">
        <w:t> </w:t>
      </w:r>
      <w:r w:rsidRPr="00417694">
        <w:t xml:space="preserve">935, exceeding </w:t>
      </w:r>
      <w:r w:rsidR="00C05607">
        <w:t>our</w:t>
      </w:r>
      <w:r w:rsidR="00C05607" w:rsidRPr="00417694">
        <w:t xml:space="preserve"> </w:t>
      </w:r>
      <w:r w:rsidR="00C05607">
        <w:t xml:space="preserve">significant price variation (SPV) </w:t>
      </w:r>
      <w:r w:rsidR="00C05607" w:rsidRPr="00417694">
        <w:t xml:space="preserve">reporting threshold </w:t>
      </w:r>
      <w:r w:rsidR="00C05607">
        <w:t xml:space="preserve">of </w:t>
      </w:r>
      <w:r w:rsidRPr="00417694">
        <w:t>$250</w:t>
      </w:r>
      <w:r w:rsidR="00C05607">
        <w:t> </w:t>
      </w:r>
      <w:r w:rsidRPr="00417694">
        <w:t>000.</w:t>
      </w:r>
      <w:r w:rsidR="00C05607">
        <w:rPr>
          <w:rStyle w:val="FootnoteReference"/>
        </w:rPr>
        <w:footnoteReference w:id="3"/>
      </w:r>
      <w:r w:rsidRPr="00417694">
        <w:t xml:space="preserve"> </w:t>
      </w:r>
      <w:r w:rsidR="004E7B86">
        <w:t xml:space="preserve"> As required by the Gas Rules, we will be writing a report on the SPV event.</w:t>
      </w:r>
    </w:p>
    <w:p w:rsidR="00681105" w:rsidRDefault="004E7B86" w:rsidP="00417694">
      <w:pPr>
        <w:jc w:val="both"/>
      </w:pPr>
      <w:r>
        <w:t xml:space="preserve">Preliminary analysis shows that </w:t>
      </w:r>
      <w:r w:rsidR="000A32D4">
        <w:t>w</w:t>
      </w:r>
      <w:r w:rsidR="00417694" w:rsidRPr="00417694">
        <w:t xml:space="preserve">hile </w:t>
      </w:r>
      <w:r w:rsidR="00417694">
        <w:t xml:space="preserve">the majority of decrease MOS requirements in the hub are usually supplied on the Moomba to Sydney Pipeline (MSP), events on the day led to </w:t>
      </w:r>
      <w:r w:rsidR="005B002E">
        <w:t xml:space="preserve">zero MOS deliveries on the MSP for the first time since market start. </w:t>
      </w:r>
      <w:r w:rsidRPr="004E7B86">
        <w:t>Injections on the EGP generally have priority over MSP supply as the EGP is a flow-controlled pipeline. The MSP is a pressure-controlled pipeline and usually absorbs decrease MOS when less gas is required to meet demand in the hub.</w:t>
      </w:r>
      <w:r>
        <w:t xml:space="preserve"> </w:t>
      </w:r>
    </w:p>
    <w:p w:rsidR="00417694" w:rsidRDefault="005B002E" w:rsidP="00417694">
      <w:pPr>
        <w:jc w:val="both"/>
      </w:pPr>
      <w:r>
        <w:t xml:space="preserve">Figure 2.3 shows that zero net deliveries to the hub were scheduled on the MSP, with the </w:t>
      </w:r>
      <w:r w:rsidR="004E7B86">
        <w:t xml:space="preserve">entire </w:t>
      </w:r>
      <w:r>
        <w:t>22.1</w:t>
      </w:r>
      <w:r w:rsidR="004E7B86">
        <w:t> </w:t>
      </w:r>
      <w:r>
        <w:t>TJ of scheduled forward haul supply offset by back haul scheduled through the market. This led to zero nominations being received by APA to flow gas through the Wilton Custody Transfer Point (CTP) into the Jemena distribution network.</w:t>
      </w:r>
      <w:r w:rsidR="004E7B86" w:rsidRPr="004E7B86">
        <w:t xml:space="preserve"> </w:t>
      </w:r>
      <w:r w:rsidR="00681105">
        <w:t xml:space="preserve">Additional supply was scheduled on the MSP through the Pipeline Flow Direction Constraint </w:t>
      </w:r>
      <w:r w:rsidR="007564C9">
        <w:t xml:space="preserve">(PFDC) </w:t>
      </w:r>
      <w:r w:rsidR="00681105">
        <w:t>mechanism</w:t>
      </w:r>
      <w:r w:rsidR="007564C9">
        <w:t xml:space="preserve">. This mechanism allows additional </w:t>
      </w:r>
      <w:r w:rsidR="00506437">
        <w:t xml:space="preserve">forward haul </w:t>
      </w:r>
      <w:r w:rsidR="007564C9">
        <w:t>on a pipeline to be scheduled which can economically supply gas to match backhaul bids on the same pipeline. The PFDC price was $1.64/GJ.</w:t>
      </w:r>
    </w:p>
    <w:p w:rsidR="004E7B86" w:rsidRDefault="004E7B86" w:rsidP="001B3823">
      <w:pPr>
        <w:jc w:val="both"/>
      </w:pPr>
      <w:r>
        <w:lastRenderedPageBreak/>
        <w:t>T</w:t>
      </w:r>
      <w:r w:rsidR="00534933">
        <w:t xml:space="preserve">he low quantity of </w:t>
      </w:r>
      <w:r>
        <w:t xml:space="preserve">decrease MOS </w:t>
      </w:r>
      <w:r w:rsidR="00534933">
        <w:t xml:space="preserve">offers </w:t>
      </w:r>
      <w:r w:rsidR="00172992">
        <w:t xml:space="preserve">for </w:t>
      </w:r>
      <w:r w:rsidR="00534933">
        <w:t>the EGP</w:t>
      </w:r>
      <w:r>
        <w:t xml:space="preserve"> meant the</w:t>
      </w:r>
      <w:r w:rsidR="00534933">
        <w:t xml:space="preserve"> demand error </w:t>
      </w:r>
      <w:r>
        <w:t xml:space="preserve">had to be met by </w:t>
      </w:r>
      <w:r w:rsidR="00534933">
        <w:t>overrun MOS</w:t>
      </w:r>
      <w:r>
        <w:t xml:space="preserve"> (priced at </w:t>
      </w:r>
      <w:r w:rsidRPr="004235F4">
        <w:t>$49.50/GJ</w:t>
      </w:r>
      <w:r>
        <w:t>)</w:t>
      </w:r>
      <w:r w:rsidR="00534933">
        <w:t>.</w:t>
      </w:r>
      <w:bookmarkStart w:id="2" w:name="_GoBack"/>
      <w:bookmarkEnd w:id="2"/>
      <w:r w:rsidR="00422080">
        <w:t xml:space="preserve"> </w:t>
      </w:r>
      <w:r w:rsidRPr="004E7B86">
        <w:t>Overrun MOS quantities are residual pipeline deviations allocated when the quantity of a given service in the monthly MOS offer stack has been exhausted. These are allocated to separate underlying contracts for gas delivery, outside of the trading rights for MOS held by participants.</w:t>
      </w:r>
    </w:p>
    <w:p w:rsidR="003E4798" w:rsidRPr="003D59BF" w:rsidRDefault="003E4798" w:rsidP="001B3823">
      <w:pPr>
        <w:jc w:val="both"/>
        <w:rPr>
          <w:color w:val="FF0000"/>
        </w:rPr>
      </w:pP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2C00AC">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2C00AC">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C35D9D" w:rsidP="004420C4">
      <w:pPr>
        <w:pStyle w:val="Heading2"/>
        <w:numPr>
          <w:ilvl w:val="0"/>
          <w:numId w:val="0"/>
        </w:numPr>
        <w:rPr>
          <w:i w:val="0"/>
        </w:rPr>
      </w:pPr>
      <w:r>
        <w:rPr>
          <w:i w:val="0"/>
          <w:sz w:val="36"/>
          <w:szCs w:val="36"/>
        </w:rPr>
        <w:t>17 – 23 January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4"/>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5"/>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6"/>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F57E2F" w:rsidP="00362B9A">
      <w:r>
        <w:pict>
          <v:shape id="_x0000_i1027" type="#_x0000_t75" alt="Figure 1.1 shows the five Victorian schedule prices for each day this week. The marker indicates the daily imbalance weighted average price for each day. For a more detailed description of this figure, please refer to the user guide." style="width:476.45pt;height:137.1pt">
            <v:imagedata r:id="rId15"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F57E2F" w:rsidP="00362B9A">
      <w:r>
        <w:pict>
          <v:shape id="_x0000_i1028" type="#_x0000_t75" alt="Figure 1.2 shows the demand forecast used to calculate the five daily schedule prices for this week. For a more detailed description of this figure, please refer to the user guide." style="width:475.85pt;height:176.55pt">
            <v:imagedata r:id="rId16"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F57E2F" w:rsidP="00362B9A">
      <w:r>
        <w:pict>
          <v:shape id="_x0000_i1029" type="#_x0000_t75" alt="Figure 1.3 shows the injection bids within certain price bands for each trading interval in Victoria this week. For a more detailed description of this figure, please refer to the user guide." style="width:476.45pt;height:206.6pt">
            <v:imagedata r:id="rId17"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F57E2F" w:rsidP="00362B9A">
      <w:r>
        <w:pict>
          <v:shape id="_x0000_i1030" type="#_x0000_t75" alt="Figure 1.4 shows the withdrawal bids within certain price bands for each trading interval in Victoria this week. For a more detailed description of this figure, please refer to the user guide." style="width:476.45pt;height:162.8pt">
            <v:imagedata r:id="rId18"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F57E2F" w:rsidP="00BC18FB">
      <w:r>
        <w:pict>
          <v:shape id="_x0000_i1031" type="#_x0000_t75" alt="Figure 1.5 shows the metered injections sorted by facility for each 4 hour interval in Victoria this week. For a more detailed description of this figure, please refer to the user guide." style="width:475.85pt;height:177.8pt">
            <v:imagedata r:id="rId19"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7"/>
      </w:r>
      <w:r w:rsidRPr="00EF58A8">
        <w:t xml:space="preserve"> Divergences in ex ante and ex post prices for a gas day may occur due to differences in scheduled (forecast) and allocated (actual) quantities.</w:t>
      </w:r>
      <w:r>
        <w:t xml:space="preserve"> Pipeline acronyms are defined in the </w:t>
      </w:r>
      <w:hyperlink r:id="rId20"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8"/>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9F17F4" w:rsidRPr="00405CDE" w:rsidTr="00F114D5">
        <w:trPr>
          <w:trHeight w:val="510"/>
        </w:trPr>
        <w:tc>
          <w:tcPr>
            <w:tcW w:w="1100" w:type="pct"/>
            <w:tcBorders>
              <w:top w:val="nil"/>
              <w:bottom w:val="nil"/>
            </w:tcBorders>
            <w:vAlign w:val="center"/>
          </w:tcPr>
          <w:p w:rsidR="009F17F4" w:rsidRDefault="009F17F4">
            <w:pPr>
              <w:rPr>
                <w:rFonts w:cs="Arial"/>
                <w:sz w:val="20"/>
                <w:szCs w:val="20"/>
              </w:rPr>
            </w:pPr>
            <w:r>
              <w:rPr>
                <w:rFonts w:cs="Arial"/>
                <w:sz w:val="20"/>
                <w:szCs w:val="20"/>
              </w:rPr>
              <w:t>Ex ante price ($/GJ)</w:t>
            </w:r>
          </w:p>
        </w:tc>
        <w:tc>
          <w:tcPr>
            <w:tcW w:w="597" w:type="pct"/>
            <w:tcBorders>
              <w:top w:val="nil"/>
              <w:bottom w:val="nil"/>
            </w:tcBorders>
            <w:vAlign w:val="center"/>
          </w:tcPr>
          <w:p w:rsidR="009F17F4" w:rsidRDefault="009F17F4">
            <w:pPr>
              <w:jc w:val="center"/>
              <w:rPr>
                <w:rFonts w:cs="Arial"/>
                <w:sz w:val="20"/>
                <w:szCs w:val="20"/>
              </w:rPr>
            </w:pPr>
            <w:r>
              <w:rPr>
                <w:rFonts w:cs="Arial"/>
                <w:sz w:val="20"/>
                <w:szCs w:val="20"/>
              </w:rPr>
              <w:t>4.01</w:t>
            </w:r>
          </w:p>
        </w:tc>
        <w:tc>
          <w:tcPr>
            <w:tcW w:w="523" w:type="pct"/>
            <w:tcBorders>
              <w:top w:val="nil"/>
              <w:bottom w:val="nil"/>
            </w:tcBorders>
            <w:vAlign w:val="center"/>
          </w:tcPr>
          <w:p w:rsidR="009F17F4" w:rsidRDefault="009F17F4">
            <w:pPr>
              <w:jc w:val="center"/>
              <w:rPr>
                <w:rFonts w:cs="Arial"/>
                <w:sz w:val="20"/>
                <w:szCs w:val="20"/>
              </w:rPr>
            </w:pPr>
            <w:r>
              <w:rPr>
                <w:rFonts w:cs="Arial"/>
                <w:sz w:val="20"/>
                <w:szCs w:val="20"/>
              </w:rPr>
              <w:t>4.25</w:t>
            </w:r>
          </w:p>
        </w:tc>
        <w:tc>
          <w:tcPr>
            <w:tcW w:w="606" w:type="pct"/>
            <w:tcBorders>
              <w:top w:val="nil"/>
              <w:bottom w:val="nil"/>
            </w:tcBorders>
            <w:vAlign w:val="center"/>
          </w:tcPr>
          <w:p w:rsidR="009F17F4" w:rsidRDefault="009F17F4">
            <w:pPr>
              <w:jc w:val="center"/>
              <w:rPr>
                <w:rFonts w:cs="Arial"/>
                <w:sz w:val="20"/>
                <w:szCs w:val="20"/>
              </w:rPr>
            </w:pPr>
            <w:r>
              <w:rPr>
                <w:rFonts w:cs="Arial"/>
                <w:sz w:val="20"/>
                <w:szCs w:val="20"/>
              </w:rPr>
              <w:t>4.65</w:t>
            </w:r>
          </w:p>
        </w:tc>
        <w:tc>
          <w:tcPr>
            <w:tcW w:w="532" w:type="pct"/>
            <w:tcBorders>
              <w:top w:val="nil"/>
              <w:bottom w:val="nil"/>
            </w:tcBorders>
            <w:vAlign w:val="center"/>
          </w:tcPr>
          <w:p w:rsidR="009F17F4" w:rsidRDefault="009F17F4">
            <w:pPr>
              <w:jc w:val="center"/>
              <w:rPr>
                <w:rFonts w:cs="Arial"/>
                <w:sz w:val="20"/>
                <w:szCs w:val="20"/>
              </w:rPr>
            </w:pPr>
            <w:r>
              <w:rPr>
                <w:rFonts w:cs="Arial"/>
                <w:sz w:val="20"/>
                <w:szCs w:val="20"/>
              </w:rPr>
              <w:t>4.01</w:t>
            </w:r>
          </w:p>
        </w:tc>
        <w:tc>
          <w:tcPr>
            <w:tcW w:w="525" w:type="pct"/>
            <w:tcBorders>
              <w:top w:val="nil"/>
              <w:bottom w:val="nil"/>
            </w:tcBorders>
            <w:vAlign w:val="center"/>
          </w:tcPr>
          <w:p w:rsidR="009F17F4" w:rsidRDefault="009F17F4">
            <w:pPr>
              <w:jc w:val="center"/>
              <w:rPr>
                <w:rFonts w:cs="Arial"/>
                <w:sz w:val="20"/>
                <w:szCs w:val="20"/>
              </w:rPr>
            </w:pPr>
            <w:r>
              <w:rPr>
                <w:rFonts w:cs="Arial"/>
                <w:sz w:val="20"/>
                <w:szCs w:val="20"/>
              </w:rPr>
              <w:t>5.19</w:t>
            </w:r>
          </w:p>
        </w:tc>
        <w:tc>
          <w:tcPr>
            <w:tcW w:w="522" w:type="pct"/>
            <w:tcBorders>
              <w:top w:val="nil"/>
              <w:bottom w:val="nil"/>
            </w:tcBorders>
            <w:vAlign w:val="center"/>
          </w:tcPr>
          <w:p w:rsidR="009F17F4" w:rsidRDefault="009F17F4">
            <w:pPr>
              <w:jc w:val="center"/>
              <w:rPr>
                <w:rFonts w:cs="Arial"/>
                <w:sz w:val="20"/>
                <w:szCs w:val="20"/>
              </w:rPr>
            </w:pPr>
            <w:r>
              <w:rPr>
                <w:rFonts w:cs="Arial"/>
                <w:sz w:val="20"/>
                <w:szCs w:val="20"/>
              </w:rPr>
              <w:t>4.90</w:t>
            </w:r>
          </w:p>
        </w:tc>
        <w:tc>
          <w:tcPr>
            <w:tcW w:w="595" w:type="pct"/>
            <w:tcBorders>
              <w:top w:val="nil"/>
              <w:bottom w:val="nil"/>
            </w:tcBorders>
            <w:vAlign w:val="center"/>
          </w:tcPr>
          <w:p w:rsidR="009F17F4" w:rsidRDefault="009F17F4">
            <w:pPr>
              <w:jc w:val="center"/>
              <w:rPr>
                <w:rFonts w:cs="Arial"/>
                <w:sz w:val="20"/>
                <w:szCs w:val="20"/>
              </w:rPr>
            </w:pPr>
            <w:r>
              <w:rPr>
                <w:rFonts w:cs="Arial"/>
                <w:sz w:val="20"/>
                <w:szCs w:val="20"/>
              </w:rPr>
              <w:t>3.50</w:t>
            </w:r>
          </w:p>
        </w:tc>
      </w:tr>
      <w:tr w:rsidR="009F17F4"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9F17F4" w:rsidRDefault="009F17F4">
            <w:pPr>
              <w:rPr>
                <w:rFonts w:cs="Arial"/>
                <w:sz w:val="20"/>
                <w:szCs w:val="20"/>
              </w:rPr>
            </w:pPr>
            <w:r>
              <w:rPr>
                <w:rFonts w:cs="Arial"/>
                <w:sz w:val="20"/>
                <w:szCs w:val="20"/>
              </w:rPr>
              <w:t>Ex ante quantity (TJ)</w:t>
            </w:r>
          </w:p>
        </w:tc>
        <w:tc>
          <w:tcPr>
            <w:tcW w:w="597" w:type="pct"/>
            <w:tcBorders>
              <w:top w:val="nil"/>
              <w:bottom w:val="nil"/>
            </w:tcBorders>
            <w:vAlign w:val="center"/>
          </w:tcPr>
          <w:p w:rsidR="009F17F4" w:rsidRDefault="009F17F4">
            <w:pPr>
              <w:jc w:val="center"/>
              <w:rPr>
                <w:rFonts w:cs="Arial"/>
                <w:sz w:val="20"/>
                <w:szCs w:val="20"/>
              </w:rPr>
            </w:pPr>
            <w:r>
              <w:rPr>
                <w:rFonts w:cs="Arial"/>
                <w:sz w:val="20"/>
                <w:szCs w:val="20"/>
              </w:rPr>
              <w:t>187</w:t>
            </w:r>
          </w:p>
        </w:tc>
        <w:tc>
          <w:tcPr>
            <w:tcW w:w="523" w:type="pct"/>
            <w:tcBorders>
              <w:top w:val="nil"/>
              <w:bottom w:val="nil"/>
            </w:tcBorders>
            <w:vAlign w:val="center"/>
          </w:tcPr>
          <w:p w:rsidR="009F17F4" w:rsidRDefault="009F17F4">
            <w:pPr>
              <w:jc w:val="center"/>
              <w:rPr>
                <w:rFonts w:cs="Arial"/>
                <w:sz w:val="20"/>
                <w:szCs w:val="20"/>
              </w:rPr>
            </w:pPr>
            <w:r>
              <w:rPr>
                <w:rFonts w:cs="Arial"/>
                <w:sz w:val="20"/>
                <w:szCs w:val="20"/>
              </w:rPr>
              <w:t>223</w:t>
            </w:r>
          </w:p>
        </w:tc>
        <w:tc>
          <w:tcPr>
            <w:tcW w:w="606" w:type="pct"/>
            <w:tcBorders>
              <w:top w:val="nil"/>
              <w:bottom w:val="nil"/>
            </w:tcBorders>
            <w:vAlign w:val="center"/>
          </w:tcPr>
          <w:p w:rsidR="009F17F4" w:rsidRDefault="009F17F4">
            <w:pPr>
              <w:jc w:val="center"/>
              <w:rPr>
                <w:rFonts w:cs="Arial"/>
                <w:sz w:val="20"/>
                <w:szCs w:val="20"/>
              </w:rPr>
            </w:pPr>
            <w:r>
              <w:rPr>
                <w:rFonts w:cs="Arial"/>
                <w:sz w:val="20"/>
                <w:szCs w:val="20"/>
              </w:rPr>
              <w:t>221</w:t>
            </w:r>
          </w:p>
        </w:tc>
        <w:tc>
          <w:tcPr>
            <w:tcW w:w="532" w:type="pct"/>
            <w:tcBorders>
              <w:top w:val="nil"/>
              <w:bottom w:val="nil"/>
            </w:tcBorders>
            <w:vAlign w:val="center"/>
          </w:tcPr>
          <w:p w:rsidR="009F17F4" w:rsidRDefault="009F17F4">
            <w:pPr>
              <w:jc w:val="center"/>
              <w:rPr>
                <w:rFonts w:cs="Arial"/>
                <w:sz w:val="20"/>
                <w:szCs w:val="20"/>
              </w:rPr>
            </w:pPr>
            <w:r>
              <w:rPr>
                <w:rFonts w:cs="Arial"/>
                <w:sz w:val="20"/>
                <w:szCs w:val="20"/>
              </w:rPr>
              <w:t>218</w:t>
            </w:r>
          </w:p>
        </w:tc>
        <w:tc>
          <w:tcPr>
            <w:tcW w:w="525" w:type="pct"/>
            <w:tcBorders>
              <w:top w:val="nil"/>
              <w:bottom w:val="nil"/>
            </w:tcBorders>
            <w:vAlign w:val="center"/>
          </w:tcPr>
          <w:p w:rsidR="009F17F4" w:rsidRDefault="009F17F4">
            <w:pPr>
              <w:jc w:val="center"/>
              <w:rPr>
                <w:rFonts w:cs="Arial"/>
                <w:sz w:val="20"/>
                <w:szCs w:val="20"/>
              </w:rPr>
            </w:pPr>
            <w:r>
              <w:rPr>
                <w:rFonts w:cs="Arial"/>
                <w:sz w:val="20"/>
                <w:szCs w:val="20"/>
              </w:rPr>
              <w:t>234</w:t>
            </w:r>
          </w:p>
        </w:tc>
        <w:tc>
          <w:tcPr>
            <w:tcW w:w="522" w:type="pct"/>
            <w:tcBorders>
              <w:top w:val="nil"/>
              <w:bottom w:val="nil"/>
            </w:tcBorders>
            <w:vAlign w:val="center"/>
          </w:tcPr>
          <w:p w:rsidR="009F17F4" w:rsidRDefault="009F17F4">
            <w:pPr>
              <w:jc w:val="center"/>
              <w:rPr>
                <w:rFonts w:cs="Arial"/>
                <w:sz w:val="20"/>
                <w:szCs w:val="20"/>
              </w:rPr>
            </w:pPr>
            <w:r>
              <w:rPr>
                <w:rFonts w:cs="Arial"/>
                <w:sz w:val="20"/>
                <w:szCs w:val="20"/>
              </w:rPr>
              <w:t>231</w:t>
            </w:r>
          </w:p>
        </w:tc>
        <w:tc>
          <w:tcPr>
            <w:tcW w:w="595" w:type="pct"/>
            <w:tcBorders>
              <w:top w:val="nil"/>
              <w:bottom w:val="nil"/>
            </w:tcBorders>
            <w:vAlign w:val="center"/>
          </w:tcPr>
          <w:p w:rsidR="009F17F4" w:rsidRDefault="009F17F4">
            <w:pPr>
              <w:jc w:val="center"/>
              <w:rPr>
                <w:rFonts w:cs="Arial"/>
                <w:sz w:val="20"/>
                <w:szCs w:val="20"/>
              </w:rPr>
            </w:pPr>
            <w:r>
              <w:rPr>
                <w:rFonts w:cs="Arial"/>
                <w:sz w:val="20"/>
                <w:szCs w:val="20"/>
              </w:rPr>
              <w:t>195</w:t>
            </w:r>
          </w:p>
        </w:tc>
      </w:tr>
      <w:tr w:rsidR="009F17F4" w:rsidRPr="00405CDE" w:rsidTr="00F114D5">
        <w:trPr>
          <w:trHeight w:val="510"/>
        </w:trPr>
        <w:tc>
          <w:tcPr>
            <w:tcW w:w="1100" w:type="pct"/>
            <w:tcBorders>
              <w:top w:val="nil"/>
              <w:bottom w:val="nil"/>
            </w:tcBorders>
            <w:vAlign w:val="center"/>
          </w:tcPr>
          <w:p w:rsidR="009F17F4" w:rsidRDefault="009F17F4">
            <w:pPr>
              <w:rPr>
                <w:rFonts w:cs="Arial"/>
                <w:sz w:val="20"/>
                <w:szCs w:val="20"/>
              </w:rPr>
            </w:pPr>
            <w:r>
              <w:rPr>
                <w:rFonts w:cs="Arial"/>
                <w:sz w:val="20"/>
                <w:szCs w:val="20"/>
              </w:rPr>
              <w:t>Ex post price ($/GJ)</w:t>
            </w:r>
          </w:p>
        </w:tc>
        <w:tc>
          <w:tcPr>
            <w:tcW w:w="597" w:type="pct"/>
            <w:tcBorders>
              <w:top w:val="nil"/>
              <w:bottom w:val="nil"/>
            </w:tcBorders>
            <w:vAlign w:val="center"/>
          </w:tcPr>
          <w:p w:rsidR="009F17F4" w:rsidRDefault="009F17F4">
            <w:pPr>
              <w:jc w:val="center"/>
              <w:rPr>
                <w:rFonts w:cs="Arial"/>
                <w:sz w:val="20"/>
                <w:szCs w:val="20"/>
              </w:rPr>
            </w:pPr>
            <w:r>
              <w:rPr>
                <w:rFonts w:cs="Arial"/>
                <w:sz w:val="20"/>
                <w:szCs w:val="20"/>
              </w:rPr>
              <w:t>3.54</w:t>
            </w:r>
          </w:p>
        </w:tc>
        <w:tc>
          <w:tcPr>
            <w:tcW w:w="523" w:type="pct"/>
            <w:tcBorders>
              <w:top w:val="nil"/>
              <w:bottom w:val="nil"/>
            </w:tcBorders>
            <w:vAlign w:val="center"/>
          </w:tcPr>
          <w:p w:rsidR="009F17F4" w:rsidRDefault="009F17F4">
            <w:pPr>
              <w:jc w:val="center"/>
              <w:rPr>
                <w:rFonts w:cs="Arial"/>
                <w:sz w:val="20"/>
                <w:szCs w:val="20"/>
              </w:rPr>
            </w:pPr>
            <w:r>
              <w:rPr>
                <w:rFonts w:cs="Arial"/>
                <w:sz w:val="20"/>
                <w:szCs w:val="20"/>
              </w:rPr>
              <w:t>3.54</w:t>
            </w:r>
          </w:p>
        </w:tc>
        <w:tc>
          <w:tcPr>
            <w:tcW w:w="606" w:type="pct"/>
            <w:tcBorders>
              <w:top w:val="nil"/>
              <w:bottom w:val="nil"/>
            </w:tcBorders>
            <w:vAlign w:val="center"/>
          </w:tcPr>
          <w:p w:rsidR="009F17F4" w:rsidRDefault="009F17F4">
            <w:pPr>
              <w:jc w:val="center"/>
              <w:rPr>
                <w:rFonts w:cs="Arial"/>
                <w:sz w:val="20"/>
                <w:szCs w:val="20"/>
              </w:rPr>
            </w:pPr>
            <w:r>
              <w:rPr>
                <w:rFonts w:cs="Arial"/>
                <w:sz w:val="20"/>
                <w:szCs w:val="20"/>
              </w:rPr>
              <w:t>3.99</w:t>
            </w:r>
          </w:p>
        </w:tc>
        <w:tc>
          <w:tcPr>
            <w:tcW w:w="532" w:type="pct"/>
            <w:tcBorders>
              <w:top w:val="nil"/>
              <w:bottom w:val="nil"/>
            </w:tcBorders>
            <w:vAlign w:val="center"/>
          </w:tcPr>
          <w:p w:rsidR="009F17F4" w:rsidRDefault="009F17F4">
            <w:pPr>
              <w:jc w:val="center"/>
              <w:rPr>
                <w:rFonts w:cs="Arial"/>
                <w:sz w:val="20"/>
                <w:szCs w:val="20"/>
              </w:rPr>
            </w:pPr>
            <w:r>
              <w:rPr>
                <w:rFonts w:cs="Arial"/>
                <w:sz w:val="20"/>
                <w:szCs w:val="20"/>
              </w:rPr>
              <w:t>3.70</w:t>
            </w:r>
          </w:p>
        </w:tc>
        <w:tc>
          <w:tcPr>
            <w:tcW w:w="525" w:type="pct"/>
            <w:tcBorders>
              <w:top w:val="nil"/>
              <w:bottom w:val="nil"/>
            </w:tcBorders>
            <w:vAlign w:val="center"/>
          </w:tcPr>
          <w:p w:rsidR="009F17F4" w:rsidRDefault="009F17F4">
            <w:pPr>
              <w:jc w:val="center"/>
              <w:rPr>
                <w:rFonts w:cs="Arial"/>
                <w:sz w:val="20"/>
                <w:szCs w:val="20"/>
              </w:rPr>
            </w:pPr>
            <w:r>
              <w:rPr>
                <w:rFonts w:cs="Arial"/>
                <w:sz w:val="20"/>
                <w:szCs w:val="20"/>
              </w:rPr>
              <w:t>5.19</w:t>
            </w:r>
          </w:p>
        </w:tc>
        <w:tc>
          <w:tcPr>
            <w:tcW w:w="522" w:type="pct"/>
            <w:tcBorders>
              <w:top w:val="nil"/>
              <w:bottom w:val="nil"/>
            </w:tcBorders>
            <w:vAlign w:val="center"/>
          </w:tcPr>
          <w:p w:rsidR="009F17F4" w:rsidRDefault="009F17F4">
            <w:pPr>
              <w:jc w:val="center"/>
              <w:rPr>
                <w:rFonts w:cs="Arial"/>
                <w:sz w:val="20"/>
                <w:szCs w:val="20"/>
              </w:rPr>
            </w:pPr>
            <w:r>
              <w:rPr>
                <w:rFonts w:cs="Arial"/>
                <w:sz w:val="20"/>
                <w:szCs w:val="20"/>
              </w:rPr>
              <w:t>4.70</w:t>
            </w:r>
          </w:p>
        </w:tc>
        <w:tc>
          <w:tcPr>
            <w:tcW w:w="595" w:type="pct"/>
            <w:tcBorders>
              <w:top w:val="nil"/>
              <w:bottom w:val="nil"/>
            </w:tcBorders>
            <w:vAlign w:val="center"/>
          </w:tcPr>
          <w:p w:rsidR="009F17F4" w:rsidRDefault="009F17F4">
            <w:pPr>
              <w:jc w:val="center"/>
              <w:rPr>
                <w:rFonts w:cs="Arial"/>
                <w:sz w:val="20"/>
                <w:szCs w:val="20"/>
              </w:rPr>
            </w:pPr>
            <w:r>
              <w:rPr>
                <w:rFonts w:cs="Arial"/>
                <w:sz w:val="20"/>
                <w:szCs w:val="20"/>
              </w:rPr>
              <w:t>0.02</w:t>
            </w:r>
          </w:p>
        </w:tc>
      </w:tr>
      <w:tr w:rsidR="009F17F4"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9F17F4" w:rsidRDefault="009F17F4">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175</w:t>
            </w:r>
          </w:p>
        </w:tc>
        <w:tc>
          <w:tcPr>
            <w:tcW w:w="523"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216</w:t>
            </w:r>
          </w:p>
        </w:tc>
        <w:tc>
          <w:tcPr>
            <w:tcW w:w="606"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216</w:t>
            </w:r>
          </w:p>
        </w:tc>
        <w:tc>
          <w:tcPr>
            <w:tcW w:w="532"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213</w:t>
            </w:r>
          </w:p>
        </w:tc>
        <w:tc>
          <w:tcPr>
            <w:tcW w:w="525"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235</w:t>
            </w:r>
          </w:p>
        </w:tc>
        <w:tc>
          <w:tcPr>
            <w:tcW w:w="522"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224</w:t>
            </w:r>
          </w:p>
        </w:tc>
        <w:tc>
          <w:tcPr>
            <w:tcW w:w="595"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176</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F57E2F" w:rsidP="00362B9A">
      <w:r>
        <w:pict>
          <v:shape id="_x0000_i1032" type="#_x0000_t75" alt="Figure 2.2 shows the daily hub offers and bid in within certain price bands in Sydney this week. The line indicates the scheduled quantity for each day. For a more detailed description of this figure, please refer to the user guide." style="width:475.85pt;height:170.3pt">
            <v:imagedata r:id="rId21"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F57E2F" w:rsidP="00362B9A">
      <w:r>
        <w:pict>
          <v:shape id="_x0000_i1033" type="#_x0000_t75" alt="Figure 2.3 shows the daily scheduled and allocated quantities sorted by facility for Sydney this week. For a more detailed description of this figure, please refer to the user guide." style="width:477.7pt;height:212.85pt">
            <v:imagedata r:id="rId22" o:title=""/>
          </v:shape>
        </w:pict>
      </w:r>
    </w:p>
    <w:p w:rsidR="00BC18FB" w:rsidRPr="00DD0358" w:rsidRDefault="00362B9A" w:rsidP="000D52B9">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F57E2F" w:rsidP="00362B9A">
      <w:r>
        <w:pict>
          <v:shape id="_x0000_i1034"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5.85pt;height:179.7pt">
            <v:imagedata r:id="rId23"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C6501A">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9F17F4" w:rsidRPr="00405CDE" w:rsidTr="00C6501A">
        <w:trPr>
          <w:trHeight w:val="510"/>
        </w:trPr>
        <w:tc>
          <w:tcPr>
            <w:tcW w:w="1100" w:type="pct"/>
            <w:tcBorders>
              <w:top w:val="nil"/>
              <w:bottom w:val="nil"/>
            </w:tcBorders>
            <w:vAlign w:val="center"/>
          </w:tcPr>
          <w:p w:rsidR="009F17F4" w:rsidRDefault="009F17F4">
            <w:pPr>
              <w:rPr>
                <w:rFonts w:cs="Arial"/>
                <w:sz w:val="20"/>
                <w:szCs w:val="20"/>
              </w:rPr>
            </w:pPr>
            <w:r>
              <w:rPr>
                <w:rFonts w:cs="Arial"/>
                <w:sz w:val="20"/>
                <w:szCs w:val="20"/>
              </w:rPr>
              <w:t>Ex ante price ($/GJ)</w:t>
            </w:r>
          </w:p>
        </w:tc>
        <w:tc>
          <w:tcPr>
            <w:tcW w:w="597" w:type="pct"/>
            <w:tcBorders>
              <w:top w:val="nil"/>
              <w:bottom w:val="nil"/>
            </w:tcBorders>
            <w:vAlign w:val="center"/>
          </w:tcPr>
          <w:p w:rsidR="009F17F4" w:rsidRDefault="009F17F4">
            <w:pPr>
              <w:jc w:val="center"/>
              <w:rPr>
                <w:rFonts w:cs="Arial"/>
                <w:sz w:val="20"/>
                <w:szCs w:val="20"/>
              </w:rPr>
            </w:pPr>
            <w:r>
              <w:rPr>
                <w:rFonts w:cs="Arial"/>
                <w:sz w:val="20"/>
                <w:szCs w:val="20"/>
              </w:rPr>
              <w:t>5.01</w:t>
            </w:r>
          </w:p>
        </w:tc>
        <w:tc>
          <w:tcPr>
            <w:tcW w:w="523" w:type="pct"/>
            <w:tcBorders>
              <w:top w:val="nil"/>
              <w:bottom w:val="nil"/>
            </w:tcBorders>
            <w:vAlign w:val="center"/>
          </w:tcPr>
          <w:p w:rsidR="009F17F4" w:rsidRDefault="009F17F4">
            <w:pPr>
              <w:jc w:val="center"/>
              <w:rPr>
                <w:rFonts w:cs="Arial"/>
                <w:sz w:val="20"/>
                <w:szCs w:val="20"/>
              </w:rPr>
            </w:pPr>
            <w:r>
              <w:rPr>
                <w:rFonts w:cs="Arial"/>
                <w:sz w:val="20"/>
                <w:szCs w:val="20"/>
              </w:rPr>
              <w:t>6.99</w:t>
            </w:r>
          </w:p>
        </w:tc>
        <w:tc>
          <w:tcPr>
            <w:tcW w:w="606" w:type="pct"/>
            <w:tcBorders>
              <w:top w:val="nil"/>
              <w:bottom w:val="nil"/>
            </w:tcBorders>
            <w:vAlign w:val="center"/>
          </w:tcPr>
          <w:p w:rsidR="009F17F4" w:rsidRDefault="009F17F4">
            <w:pPr>
              <w:jc w:val="center"/>
              <w:rPr>
                <w:rFonts w:cs="Arial"/>
                <w:sz w:val="20"/>
                <w:szCs w:val="20"/>
              </w:rPr>
            </w:pPr>
            <w:r>
              <w:rPr>
                <w:rFonts w:cs="Arial"/>
                <w:sz w:val="20"/>
                <w:szCs w:val="20"/>
              </w:rPr>
              <w:t>8.00</w:t>
            </w:r>
          </w:p>
        </w:tc>
        <w:tc>
          <w:tcPr>
            <w:tcW w:w="532" w:type="pct"/>
            <w:tcBorders>
              <w:top w:val="nil"/>
              <w:bottom w:val="nil"/>
            </w:tcBorders>
            <w:vAlign w:val="center"/>
          </w:tcPr>
          <w:p w:rsidR="009F17F4" w:rsidRDefault="009F17F4">
            <w:pPr>
              <w:jc w:val="center"/>
              <w:rPr>
                <w:rFonts w:cs="Arial"/>
                <w:sz w:val="20"/>
                <w:szCs w:val="20"/>
              </w:rPr>
            </w:pPr>
            <w:r>
              <w:rPr>
                <w:rFonts w:cs="Arial"/>
                <w:sz w:val="20"/>
                <w:szCs w:val="20"/>
              </w:rPr>
              <w:t>7.49</w:t>
            </w:r>
          </w:p>
        </w:tc>
        <w:tc>
          <w:tcPr>
            <w:tcW w:w="525" w:type="pct"/>
            <w:tcBorders>
              <w:top w:val="nil"/>
              <w:bottom w:val="nil"/>
            </w:tcBorders>
            <w:vAlign w:val="center"/>
          </w:tcPr>
          <w:p w:rsidR="009F17F4" w:rsidRDefault="009F17F4">
            <w:pPr>
              <w:jc w:val="center"/>
              <w:rPr>
                <w:rFonts w:cs="Arial"/>
                <w:sz w:val="20"/>
                <w:szCs w:val="20"/>
              </w:rPr>
            </w:pPr>
            <w:r>
              <w:rPr>
                <w:rFonts w:cs="Arial"/>
                <w:sz w:val="20"/>
                <w:szCs w:val="20"/>
              </w:rPr>
              <w:t>9.99</w:t>
            </w:r>
          </w:p>
        </w:tc>
        <w:tc>
          <w:tcPr>
            <w:tcW w:w="522" w:type="pct"/>
            <w:tcBorders>
              <w:top w:val="nil"/>
              <w:bottom w:val="nil"/>
            </w:tcBorders>
            <w:vAlign w:val="center"/>
          </w:tcPr>
          <w:p w:rsidR="009F17F4" w:rsidRDefault="009F17F4">
            <w:pPr>
              <w:jc w:val="center"/>
              <w:rPr>
                <w:rFonts w:cs="Arial"/>
                <w:sz w:val="20"/>
                <w:szCs w:val="20"/>
              </w:rPr>
            </w:pPr>
            <w:r>
              <w:rPr>
                <w:rFonts w:cs="Arial"/>
                <w:sz w:val="20"/>
                <w:szCs w:val="20"/>
              </w:rPr>
              <w:t>6.70</w:t>
            </w:r>
          </w:p>
        </w:tc>
        <w:tc>
          <w:tcPr>
            <w:tcW w:w="595" w:type="pct"/>
            <w:tcBorders>
              <w:top w:val="nil"/>
              <w:bottom w:val="nil"/>
            </w:tcBorders>
            <w:vAlign w:val="center"/>
          </w:tcPr>
          <w:p w:rsidR="009F17F4" w:rsidRDefault="009F17F4">
            <w:pPr>
              <w:jc w:val="center"/>
              <w:rPr>
                <w:rFonts w:cs="Arial"/>
                <w:sz w:val="20"/>
                <w:szCs w:val="20"/>
              </w:rPr>
            </w:pPr>
            <w:r>
              <w:rPr>
                <w:rFonts w:cs="Arial"/>
                <w:sz w:val="20"/>
                <w:szCs w:val="20"/>
              </w:rPr>
              <w:t>6.36</w:t>
            </w:r>
          </w:p>
        </w:tc>
      </w:tr>
      <w:tr w:rsidR="009F17F4" w:rsidRPr="00405CDE" w:rsidTr="00C6501A">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9F17F4" w:rsidRDefault="009F17F4">
            <w:pPr>
              <w:rPr>
                <w:rFonts w:cs="Arial"/>
                <w:sz w:val="20"/>
                <w:szCs w:val="20"/>
              </w:rPr>
            </w:pPr>
            <w:r>
              <w:rPr>
                <w:rFonts w:cs="Arial"/>
                <w:sz w:val="20"/>
                <w:szCs w:val="20"/>
              </w:rPr>
              <w:t>Ex ante quantity (TJ)</w:t>
            </w:r>
          </w:p>
        </w:tc>
        <w:tc>
          <w:tcPr>
            <w:tcW w:w="597" w:type="pct"/>
            <w:tcBorders>
              <w:top w:val="nil"/>
              <w:bottom w:val="nil"/>
            </w:tcBorders>
            <w:vAlign w:val="center"/>
          </w:tcPr>
          <w:p w:rsidR="009F17F4" w:rsidRDefault="009F17F4">
            <w:pPr>
              <w:jc w:val="center"/>
              <w:rPr>
                <w:rFonts w:cs="Arial"/>
                <w:sz w:val="20"/>
                <w:szCs w:val="20"/>
              </w:rPr>
            </w:pPr>
            <w:r>
              <w:rPr>
                <w:rFonts w:cs="Arial"/>
                <w:sz w:val="20"/>
                <w:szCs w:val="20"/>
              </w:rPr>
              <w:t>37</w:t>
            </w:r>
          </w:p>
        </w:tc>
        <w:tc>
          <w:tcPr>
            <w:tcW w:w="523" w:type="pct"/>
            <w:tcBorders>
              <w:top w:val="nil"/>
              <w:bottom w:val="nil"/>
            </w:tcBorders>
            <w:vAlign w:val="center"/>
          </w:tcPr>
          <w:p w:rsidR="009F17F4" w:rsidRDefault="009F17F4">
            <w:pPr>
              <w:jc w:val="center"/>
              <w:rPr>
                <w:rFonts w:cs="Arial"/>
                <w:sz w:val="20"/>
                <w:szCs w:val="20"/>
              </w:rPr>
            </w:pPr>
            <w:r>
              <w:rPr>
                <w:rFonts w:cs="Arial"/>
                <w:sz w:val="20"/>
                <w:szCs w:val="20"/>
              </w:rPr>
              <w:t>45</w:t>
            </w:r>
          </w:p>
        </w:tc>
        <w:tc>
          <w:tcPr>
            <w:tcW w:w="606" w:type="pct"/>
            <w:tcBorders>
              <w:top w:val="nil"/>
              <w:bottom w:val="nil"/>
            </w:tcBorders>
            <w:vAlign w:val="center"/>
          </w:tcPr>
          <w:p w:rsidR="009F17F4" w:rsidRDefault="009F17F4">
            <w:pPr>
              <w:jc w:val="center"/>
              <w:rPr>
                <w:rFonts w:cs="Arial"/>
                <w:sz w:val="20"/>
                <w:szCs w:val="20"/>
              </w:rPr>
            </w:pPr>
            <w:r>
              <w:rPr>
                <w:rFonts w:cs="Arial"/>
                <w:sz w:val="20"/>
                <w:szCs w:val="20"/>
              </w:rPr>
              <w:t>46</w:t>
            </w:r>
          </w:p>
        </w:tc>
        <w:tc>
          <w:tcPr>
            <w:tcW w:w="532" w:type="pct"/>
            <w:tcBorders>
              <w:top w:val="nil"/>
              <w:bottom w:val="nil"/>
            </w:tcBorders>
            <w:vAlign w:val="center"/>
          </w:tcPr>
          <w:p w:rsidR="009F17F4" w:rsidRDefault="009F17F4">
            <w:pPr>
              <w:jc w:val="center"/>
              <w:rPr>
                <w:rFonts w:cs="Arial"/>
                <w:sz w:val="20"/>
                <w:szCs w:val="20"/>
              </w:rPr>
            </w:pPr>
            <w:r>
              <w:rPr>
                <w:rFonts w:cs="Arial"/>
                <w:sz w:val="20"/>
                <w:szCs w:val="20"/>
              </w:rPr>
              <w:t>47</w:t>
            </w:r>
          </w:p>
        </w:tc>
        <w:tc>
          <w:tcPr>
            <w:tcW w:w="525" w:type="pct"/>
            <w:tcBorders>
              <w:top w:val="nil"/>
              <w:bottom w:val="nil"/>
            </w:tcBorders>
            <w:vAlign w:val="center"/>
          </w:tcPr>
          <w:p w:rsidR="009F17F4" w:rsidRDefault="009F17F4">
            <w:pPr>
              <w:jc w:val="center"/>
              <w:rPr>
                <w:rFonts w:cs="Arial"/>
                <w:sz w:val="20"/>
                <w:szCs w:val="20"/>
              </w:rPr>
            </w:pPr>
            <w:r>
              <w:rPr>
                <w:rFonts w:cs="Arial"/>
                <w:sz w:val="20"/>
                <w:szCs w:val="20"/>
              </w:rPr>
              <w:t>48</w:t>
            </w:r>
          </w:p>
        </w:tc>
        <w:tc>
          <w:tcPr>
            <w:tcW w:w="522" w:type="pct"/>
            <w:tcBorders>
              <w:top w:val="nil"/>
              <w:bottom w:val="nil"/>
            </w:tcBorders>
            <w:vAlign w:val="center"/>
          </w:tcPr>
          <w:p w:rsidR="009F17F4" w:rsidRDefault="009F17F4">
            <w:pPr>
              <w:jc w:val="center"/>
              <w:rPr>
                <w:rFonts w:cs="Arial"/>
                <w:sz w:val="20"/>
                <w:szCs w:val="20"/>
              </w:rPr>
            </w:pPr>
            <w:r>
              <w:rPr>
                <w:rFonts w:cs="Arial"/>
                <w:sz w:val="20"/>
                <w:szCs w:val="20"/>
              </w:rPr>
              <w:t>46</w:t>
            </w:r>
          </w:p>
        </w:tc>
        <w:tc>
          <w:tcPr>
            <w:tcW w:w="595" w:type="pct"/>
            <w:tcBorders>
              <w:top w:val="nil"/>
              <w:bottom w:val="nil"/>
            </w:tcBorders>
            <w:vAlign w:val="center"/>
          </w:tcPr>
          <w:p w:rsidR="009F17F4" w:rsidRDefault="009F17F4">
            <w:pPr>
              <w:jc w:val="center"/>
              <w:rPr>
                <w:rFonts w:cs="Arial"/>
                <w:sz w:val="20"/>
                <w:szCs w:val="20"/>
              </w:rPr>
            </w:pPr>
            <w:r>
              <w:rPr>
                <w:rFonts w:cs="Arial"/>
                <w:sz w:val="20"/>
                <w:szCs w:val="20"/>
              </w:rPr>
              <w:t>37</w:t>
            </w:r>
          </w:p>
        </w:tc>
      </w:tr>
      <w:tr w:rsidR="009F17F4" w:rsidRPr="00405CDE" w:rsidTr="00C6501A">
        <w:trPr>
          <w:trHeight w:val="510"/>
        </w:trPr>
        <w:tc>
          <w:tcPr>
            <w:tcW w:w="1100" w:type="pct"/>
            <w:tcBorders>
              <w:top w:val="nil"/>
              <w:bottom w:val="nil"/>
            </w:tcBorders>
            <w:vAlign w:val="center"/>
          </w:tcPr>
          <w:p w:rsidR="009F17F4" w:rsidRDefault="009F17F4">
            <w:pPr>
              <w:rPr>
                <w:rFonts w:cs="Arial"/>
                <w:sz w:val="20"/>
                <w:szCs w:val="20"/>
              </w:rPr>
            </w:pPr>
            <w:r>
              <w:rPr>
                <w:rFonts w:cs="Arial"/>
                <w:sz w:val="20"/>
                <w:szCs w:val="20"/>
              </w:rPr>
              <w:t>Ex post price ($/GJ)</w:t>
            </w:r>
          </w:p>
        </w:tc>
        <w:tc>
          <w:tcPr>
            <w:tcW w:w="597" w:type="pct"/>
            <w:tcBorders>
              <w:top w:val="nil"/>
              <w:bottom w:val="nil"/>
            </w:tcBorders>
            <w:vAlign w:val="center"/>
          </w:tcPr>
          <w:p w:rsidR="009F17F4" w:rsidRDefault="009F17F4">
            <w:pPr>
              <w:jc w:val="center"/>
              <w:rPr>
                <w:rFonts w:cs="Arial"/>
                <w:sz w:val="20"/>
                <w:szCs w:val="20"/>
              </w:rPr>
            </w:pPr>
            <w:r>
              <w:rPr>
                <w:rFonts w:cs="Arial"/>
                <w:sz w:val="20"/>
                <w:szCs w:val="20"/>
              </w:rPr>
              <w:t>5.10</w:t>
            </w:r>
          </w:p>
        </w:tc>
        <w:tc>
          <w:tcPr>
            <w:tcW w:w="523" w:type="pct"/>
            <w:tcBorders>
              <w:top w:val="nil"/>
              <w:bottom w:val="nil"/>
            </w:tcBorders>
            <w:vAlign w:val="center"/>
          </w:tcPr>
          <w:p w:rsidR="009F17F4" w:rsidRDefault="009F17F4">
            <w:pPr>
              <w:jc w:val="center"/>
              <w:rPr>
                <w:rFonts w:cs="Arial"/>
                <w:sz w:val="20"/>
                <w:szCs w:val="20"/>
              </w:rPr>
            </w:pPr>
            <w:r>
              <w:rPr>
                <w:rFonts w:cs="Arial"/>
                <w:sz w:val="20"/>
                <w:szCs w:val="20"/>
              </w:rPr>
              <w:t>7.28</w:t>
            </w:r>
          </w:p>
        </w:tc>
        <w:tc>
          <w:tcPr>
            <w:tcW w:w="606" w:type="pct"/>
            <w:tcBorders>
              <w:top w:val="nil"/>
              <w:bottom w:val="nil"/>
            </w:tcBorders>
            <w:vAlign w:val="center"/>
          </w:tcPr>
          <w:p w:rsidR="009F17F4" w:rsidRDefault="009F17F4">
            <w:pPr>
              <w:jc w:val="center"/>
              <w:rPr>
                <w:rFonts w:cs="Arial"/>
                <w:sz w:val="20"/>
                <w:szCs w:val="20"/>
              </w:rPr>
            </w:pPr>
            <w:r>
              <w:rPr>
                <w:rFonts w:cs="Arial"/>
                <w:sz w:val="20"/>
                <w:szCs w:val="20"/>
              </w:rPr>
              <w:t>9.41</w:t>
            </w:r>
          </w:p>
        </w:tc>
        <w:tc>
          <w:tcPr>
            <w:tcW w:w="532" w:type="pct"/>
            <w:tcBorders>
              <w:top w:val="nil"/>
              <w:bottom w:val="nil"/>
            </w:tcBorders>
            <w:vAlign w:val="center"/>
          </w:tcPr>
          <w:p w:rsidR="009F17F4" w:rsidRDefault="009F17F4">
            <w:pPr>
              <w:jc w:val="center"/>
              <w:rPr>
                <w:rFonts w:cs="Arial"/>
                <w:sz w:val="20"/>
                <w:szCs w:val="20"/>
              </w:rPr>
            </w:pPr>
            <w:r>
              <w:rPr>
                <w:rFonts w:cs="Arial"/>
                <w:sz w:val="20"/>
                <w:szCs w:val="20"/>
              </w:rPr>
              <w:t>7.50</w:t>
            </w:r>
          </w:p>
        </w:tc>
        <w:tc>
          <w:tcPr>
            <w:tcW w:w="525" w:type="pct"/>
            <w:tcBorders>
              <w:top w:val="nil"/>
              <w:bottom w:val="nil"/>
            </w:tcBorders>
            <w:vAlign w:val="center"/>
          </w:tcPr>
          <w:p w:rsidR="009F17F4" w:rsidRDefault="009F17F4">
            <w:pPr>
              <w:jc w:val="center"/>
              <w:rPr>
                <w:rFonts w:cs="Arial"/>
                <w:sz w:val="20"/>
                <w:szCs w:val="20"/>
              </w:rPr>
            </w:pPr>
            <w:r>
              <w:rPr>
                <w:rFonts w:cs="Arial"/>
                <w:sz w:val="20"/>
                <w:szCs w:val="20"/>
              </w:rPr>
              <w:t>9.99</w:t>
            </w:r>
          </w:p>
        </w:tc>
        <w:tc>
          <w:tcPr>
            <w:tcW w:w="522" w:type="pct"/>
            <w:tcBorders>
              <w:top w:val="nil"/>
              <w:bottom w:val="nil"/>
            </w:tcBorders>
            <w:vAlign w:val="center"/>
          </w:tcPr>
          <w:p w:rsidR="009F17F4" w:rsidRDefault="009F17F4">
            <w:pPr>
              <w:jc w:val="center"/>
              <w:rPr>
                <w:rFonts w:cs="Arial"/>
                <w:sz w:val="20"/>
                <w:szCs w:val="20"/>
              </w:rPr>
            </w:pPr>
            <w:r>
              <w:rPr>
                <w:rFonts w:cs="Arial"/>
                <w:sz w:val="20"/>
                <w:szCs w:val="20"/>
              </w:rPr>
              <w:t>6.48</w:t>
            </w:r>
          </w:p>
        </w:tc>
        <w:tc>
          <w:tcPr>
            <w:tcW w:w="595" w:type="pct"/>
            <w:tcBorders>
              <w:top w:val="nil"/>
              <w:bottom w:val="nil"/>
            </w:tcBorders>
            <w:vAlign w:val="center"/>
          </w:tcPr>
          <w:p w:rsidR="009F17F4" w:rsidRDefault="009F17F4">
            <w:pPr>
              <w:jc w:val="center"/>
              <w:rPr>
                <w:rFonts w:cs="Arial"/>
                <w:sz w:val="20"/>
                <w:szCs w:val="20"/>
              </w:rPr>
            </w:pPr>
            <w:r>
              <w:rPr>
                <w:rFonts w:cs="Arial"/>
                <w:sz w:val="20"/>
                <w:szCs w:val="20"/>
              </w:rPr>
              <w:t>6.36</w:t>
            </w:r>
          </w:p>
        </w:tc>
      </w:tr>
      <w:tr w:rsidR="009F17F4" w:rsidRPr="00405CDE" w:rsidTr="00C6501A">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9F17F4" w:rsidRDefault="009F17F4">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38</w:t>
            </w:r>
          </w:p>
        </w:tc>
        <w:tc>
          <w:tcPr>
            <w:tcW w:w="523"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51</w:t>
            </w:r>
          </w:p>
        </w:tc>
        <w:tc>
          <w:tcPr>
            <w:tcW w:w="606"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50</w:t>
            </w:r>
          </w:p>
        </w:tc>
        <w:tc>
          <w:tcPr>
            <w:tcW w:w="532"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49</w:t>
            </w:r>
          </w:p>
        </w:tc>
        <w:tc>
          <w:tcPr>
            <w:tcW w:w="525"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49</w:t>
            </w:r>
          </w:p>
        </w:tc>
        <w:tc>
          <w:tcPr>
            <w:tcW w:w="522"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43</w:t>
            </w:r>
          </w:p>
        </w:tc>
        <w:tc>
          <w:tcPr>
            <w:tcW w:w="595"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37</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F57E2F" w:rsidP="00362B9A">
      <w:r>
        <w:pict>
          <v:shape id="_x0000_i1035" type="#_x0000_t75" alt="Figure 3.2 shows the daily hub offers and bid in within certain price bands in Adelaide this week. The line indicates the scheduled quantity for each day. For a more detailed description of this figure, please refer to the user guide." style="width:475.85pt;height:170.3pt">
            <v:imagedata r:id="rId24"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F57E2F" w:rsidP="00362B9A">
      <w:r>
        <w:pict>
          <v:shape id="_x0000_i1036" type="#_x0000_t75" alt="Figure 3.3 shows the daily scheduled and allocated quantities sorted by facility for Adelaide this week. For a more detailed description of this figure, please refer to the user guide." style="width:477.7pt;height:105.8pt">
            <v:imagedata r:id="rId25" o:title=""/>
          </v:shape>
        </w:pict>
      </w:r>
    </w:p>
    <w:p w:rsidR="00BC18FB" w:rsidRPr="00DD0358" w:rsidRDefault="004560B0" w:rsidP="000D52B9">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F57E2F" w:rsidP="00362B9A">
      <w:r>
        <w:pict>
          <v:shape id="_x0000_i1037"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45pt;height:149.65pt">
            <v:imagedata r:id="rId26"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C6501A">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9F17F4" w:rsidRPr="00405CDE" w:rsidTr="00C6501A">
        <w:trPr>
          <w:trHeight w:val="510"/>
        </w:trPr>
        <w:tc>
          <w:tcPr>
            <w:tcW w:w="1100" w:type="pct"/>
            <w:tcBorders>
              <w:top w:val="nil"/>
              <w:bottom w:val="nil"/>
            </w:tcBorders>
            <w:vAlign w:val="center"/>
          </w:tcPr>
          <w:p w:rsidR="009F17F4" w:rsidRDefault="009F17F4">
            <w:pPr>
              <w:rPr>
                <w:rFonts w:cs="Arial"/>
                <w:sz w:val="20"/>
                <w:szCs w:val="20"/>
              </w:rPr>
            </w:pPr>
            <w:r>
              <w:rPr>
                <w:rFonts w:cs="Arial"/>
                <w:sz w:val="20"/>
                <w:szCs w:val="20"/>
              </w:rPr>
              <w:t>Ex ante price ($/GJ)</w:t>
            </w:r>
          </w:p>
        </w:tc>
        <w:tc>
          <w:tcPr>
            <w:tcW w:w="597" w:type="pct"/>
            <w:tcBorders>
              <w:top w:val="nil"/>
              <w:bottom w:val="nil"/>
            </w:tcBorders>
            <w:vAlign w:val="center"/>
          </w:tcPr>
          <w:p w:rsidR="009F17F4" w:rsidRDefault="009F17F4">
            <w:pPr>
              <w:jc w:val="center"/>
              <w:rPr>
                <w:rFonts w:cs="Arial"/>
                <w:sz w:val="20"/>
                <w:szCs w:val="20"/>
              </w:rPr>
            </w:pPr>
            <w:r>
              <w:rPr>
                <w:rFonts w:cs="Arial"/>
                <w:sz w:val="20"/>
                <w:szCs w:val="20"/>
              </w:rPr>
              <w:t>4.25</w:t>
            </w:r>
          </w:p>
        </w:tc>
        <w:tc>
          <w:tcPr>
            <w:tcW w:w="523" w:type="pct"/>
            <w:tcBorders>
              <w:top w:val="nil"/>
              <w:bottom w:val="nil"/>
            </w:tcBorders>
            <w:vAlign w:val="center"/>
          </w:tcPr>
          <w:p w:rsidR="009F17F4" w:rsidRDefault="009F17F4">
            <w:pPr>
              <w:jc w:val="center"/>
              <w:rPr>
                <w:rFonts w:cs="Arial"/>
                <w:sz w:val="20"/>
                <w:szCs w:val="20"/>
              </w:rPr>
            </w:pPr>
            <w:r>
              <w:rPr>
                <w:rFonts w:cs="Arial"/>
                <w:sz w:val="20"/>
                <w:szCs w:val="20"/>
              </w:rPr>
              <w:t>5.00</w:t>
            </w:r>
          </w:p>
        </w:tc>
        <w:tc>
          <w:tcPr>
            <w:tcW w:w="606" w:type="pct"/>
            <w:tcBorders>
              <w:top w:val="nil"/>
              <w:bottom w:val="nil"/>
            </w:tcBorders>
            <w:vAlign w:val="center"/>
          </w:tcPr>
          <w:p w:rsidR="009F17F4" w:rsidRDefault="009F17F4">
            <w:pPr>
              <w:jc w:val="center"/>
              <w:rPr>
                <w:rFonts w:cs="Arial"/>
                <w:sz w:val="20"/>
                <w:szCs w:val="20"/>
              </w:rPr>
            </w:pPr>
            <w:r>
              <w:rPr>
                <w:rFonts w:cs="Arial"/>
                <w:sz w:val="20"/>
                <w:szCs w:val="20"/>
              </w:rPr>
              <w:t>4.81</w:t>
            </w:r>
          </w:p>
        </w:tc>
        <w:tc>
          <w:tcPr>
            <w:tcW w:w="532" w:type="pct"/>
            <w:tcBorders>
              <w:top w:val="nil"/>
              <w:bottom w:val="nil"/>
            </w:tcBorders>
            <w:vAlign w:val="center"/>
          </w:tcPr>
          <w:p w:rsidR="009F17F4" w:rsidRDefault="009F17F4">
            <w:pPr>
              <w:jc w:val="center"/>
              <w:rPr>
                <w:rFonts w:cs="Arial"/>
                <w:sz w:val="20"/>
                <w:szCs w:val="20"/>
              </w:rPr>
            </w:pPr>
            <w:r>
              <w:rPr>
                <w:rFonts w:cs="Arial"/>
                <w:sz w:val="20"/>
                <w:szCs w:val="20"/>
              </w:rPr>
              <w:t>5.00</w:t>
            </w:r>
          </w:p>
        </w:tc>
        <w:tc>
          <w:tcPr>
            <w:tcW w:w="525" w:type="pct"/>
            <w:tcBorders>
              <w:top w:val="nil"/>
              <w:bottom w:val="nil"/>
            </w:tcBorders>
            <w:vAlign w:val="center"/>
          </w:tcPr>
          <w:p w:rsidR="009F17F4" w:rsidRDefault="009F17F4">
            <w:pPr>
              <w:jc w:val="center"/>
              <w:rPr>
                <w:rFonts w:cs="Arial"/>
                <w:sz w:val="20"/>
                <w:szCs w:val="20"/>
              </w:rPr>
            </w:pPr>
            <w:r>
              <w:rPr>
                <w:rFonts w:cs="Arial"/>
                <w:sz w:val="20"/>
                <w:szCs w:val="20"/>
              </w:rPr>
              <w:t>5.00</w:t>
            </w:r>
          </w:p>
        </w:tc>
        <w:tc>
          <w:tcPr>
            <w:tcW w:w="522" w:type="pct"/>
            <w:tcBorders>
              <w:top w:val="nil"/>
              <w:bottom w:val="nil"/>
            </w:tcBorders>
            <w:vAlign w:val="center"/>
          </w:tcPr>
          <w:p w:rsidR="009F17F4" w:rsidRDefault="009F17F4">
            <w:pPr>
              <w:jc w:val="center"/>
              <w:rPr>
                <w:rFonts w:cs="Arial"/>
                <w:sz w:val="20"/>
                <w:szCs w:val="20"/>
              </w:rPr>
            </w:pPr>
            <w:r>
              <w:rPr>
                <w:rFonts w:cs="Arial"/>
                <w:sz w:val="20"/>
                <w:szCs w:val="20"/>
              </w:rPr>
              <w:t>5.00</w:t>
            </w:r>
          </w:p>
        </w:tc>
        <w:tc>
          <w:tcPr>
            <w:tcW w:w="595" w:type="pct"/>
            <w:tcBorders>
              <w:top w:val="nil"/>
              <w:bottom w:val="nil"/>
            </w:tcBorders>
            <w:vAlign w:val="center"/>
          </w:tcPr>
          <w:p w:rsidR="009F17F4" w:rsidRDefault="009F17F4">
            <w:pPr>
              <w:jc w:val="center"/>
              <w:rPr>
                <w:rFonts w:cs="Arial"/>
                <w:sz w:val="20"/>
                <w:szCs w:val="20"/>
              </w:rPr>
            </w:pPr>
            <w:r>
              <w:rPr>
                <w:rFonts w:cs="Arial"/>
                <w:sz w:val="20"/>
                <w:szCs w:val="20"/>
              </w:rPr>
              <w:t>4.75</w:t>
            </w:r>
          </w:p>
        </w:tc>
      </w:tr>
      <w:tr w:rsidR="009F17F4" w:rsidRPr="00405CDE" w:rsidTr="00C6501A">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9F17F4" w:rsidRDefault="009F17F4">
            <w:pPr>
              <w:rPr>
                <w:rFonts w:cs="Arial"/>
                <w:sz w:val="20"/>
                <w:szCs w:val="20"/>
              </w:rPr>
            </w:pPr>
            <w:r>
              <w:rPr>
                <w:rFonts w:cs="Arial"/>
                <w:sz w:val="20"/>
                <w:szCs w:val="20"/>
              </w:rPr>
              <w:t>Ex ante quantity (TJ)</w:t>
            </w:r>
          </w:p>
        </w:tc>
        <w:tc>
          <w:tcPr>
            <w:tcW w:w="597" w:type="pct"/>
            <w:tcBorders>
              <w:top w:val="nil"/>
              <w:bottom w:val="nil"/>
            </w:tcBorders>
            <w:vAlign w:val="center"/>
          </w:tcPr>
          <w:p w:rsidR="009F17F4" w:rsidRDefault="009F17F4">
            <w:pPr>
              <w:jc w:val="center"/>
              <w:rPr>
                <w:rFonts w:cs="Arial"/>
                <w:sz w:val="20"/>
                <w:szCs w:val="20"/>
              </w:rPr>
            </w:pPr>
            <w:r>
              <w:rPr>
                <w:rFonts w:cs="Arial"/>
                <w:sz w:val="20"/>
                <w:szCs w:val="20"/>
              </w:rPr>
              <w:t>69</w:t>
            </w:r>
          </w:p>
        </w:tc>
        <w:tc>
          <w:tcPr>
            <w:tcW w:w="523" w:type="pct"/>
            <w:tcBorders>
              <w:top w:val="nil"/>
              <w:bottom w:val="nil"/>
            </w:tcBorders>
            <w:vAlign w:val="center"/>
          </w:tcPr>
          <w:p w:rsidR="009F17F4" w:rsidRDefault="009F17F4">
            <w:pPr>
              <w:jc w:val="center"/>
              <w:rPr>
                <w:rFonts w:cs="Arial"/>
                <w:sz w:val="20"/>
                <w:szCs w:val="20"/>
              </w:rPr>
            </w:pPr>
            <w:r>
              <w:rPr>
                <w:rFonts w:cs="Arial"/>
                <w:sz w:val="20"/>
                <w:szCs w:val="20"/>
              </w:rPr>
              <w:t>86</w:t>
            </w:r>
          </w:p>
        </w:tc>
        <w:tc>
          <w:tcPr>
            <w:tcW w:w="606" w:type="pct"/>
            <w:tcBorders>
              <w:top w:val="nil"/>
              <w:bottom w:val="nil"/>
            </w:tcBorders>
            <w:vAlign w:val="center"/>
          </w:tcPr>
          <w:p w:rsidR="009F17F4" w:rsidRDefault="009F17F4">
            <w:pPr>
              <w:jc w:val="center"/>
              <w:rPr>
                <w:rFonts w:cs="Arial"/>
                <w:sz w:val="20"/>
                <w:szCs w:val="20"/>
              </w:rPr>
            </w:pPr>
            <w:r>
              <w:rPr>
                <w:rFonts w:cs="Arial"/>
                <w:sz w:val="20"/>
                <w:szCs w:val="20"/>
              </w:rPr>
              <w:t>83</w:t>
            </w:r>
          </w:p>
        </w:tc>
        <w:tc>
          <w:tcPr>
            <w:tcW w:w="532" w:type="pct"/>
            <w:tcBorders>
              <w:top w:val="nil"/>
              <w:bottom w:val="nil"/>
            </w:tcBorders>
            <w:vAlign w:val="center"/>
          </w:tcPr>
          <w:p w:rsidR="009F17F4" w:rsidRDefault="009F17F4">
            <w:pPr>
              <w:jc w:val="center"/>
              <w:rPr>
                <w:rFonts w:cs="Arial"/>
                <w:sz w:val="20"/>
                <w:szCs w:val="20"/>
              </w:rPr>
            </w:pPr>
            <w:r>
              <w:rPr>
                <w:rFonts w:cs="Arial"/>
                <w:sz w:val="20"/>
                <w:szCs w:val="20"/>
              </w:rPr>
              <w:t>85</w:t>
            </w:r>
          </w:p>
        </w:tc>
        <w:tc>
          <w:tcPr>
            <w:tcW w:w="525" w:type="pct"/>
            <w:tcBorders>
              <w:top w:val="nil"/>
              <w:bottom w:val="nil"/>
            </w:tcBorders>
            <w:vAlign w:val="center"/>
          </w:tcPr>
          <w:p w:rsidR="009F17F4" w:rsidRDefault="009F17F4">
            <w:pPr>
              <w:jc w:val="center"/>
              <w:rPr>
                <w:rFonts w:cs="Arial"/>
                <w:sz w:val="20"/>
                <w:szCs w:val="20"/>
              </w:rPr>
            </w:pPr>
            <w:r>
              <w:rPr>
                <w:rFonts w:cs="Arial"/>
                <w:sz w:val="20"/>
                <w:szCs w:val="20"/>
              </w:rPr>
              <w:t>87</w:t>
            </w:r>
          </w:p>
        </w:tc>
        <w:tc>
          <w:tcPr>
            <w:tcW w:w="522" w:type="pct"/>
            <w:tcBorders>
              <w:top w:val="nil"/>
              <w:bottom w:val="nil"/>
            </w:tcBorders>
            <w:vAlign w:val="center"/>
          </w:tcPr>
          <w:p w:rsidR="009F17F4" w:rsidRDefault="009F17F4">
            <w:pPr>
              <w:jc w:val="center"/>
              <w:rPr>
                <w:rFonts w:cs="Arial"/>
                <w:sz w:val="20"/>
                <w:szCs w:val="20"/>
              </w:rPr>
            </w:pPr>
            <w:r>
              <w:rPr>
                <w:rFonts w:cs="Arial"/>
                <w:sz w:val="20"/>
                <w:szCs w:val="20"/>
              </w:rPr>
              <w:t>86</w:t>
            </w:r>
          </w:p>
        </w:tc>
        <w:tc>
          <w:tcPr>
            <w:tcW w:w="595" w:type="pct"/>
            <w:tcBorders>
              <w:top w:val="nil"/>
              <w:bottom w:val="nil"/>
            </w:tcBorders>
            <w:vAlign w:val="center"/>
          </w:tcPr>
          <w:p w:rsidR="009F17F4" w:rsidRDefault="009F17F4">
            <w:pPr>
              <w:jc w:val="center"/>
              <w:rPr>
                <w:rFonts w:cs="Arial"/>
                <w:sz w:val="20"/>
                <w:szCs w:val="20"/>
              </w:rPr>
            </w:pPr>
            <w:r>
              <w:rPr>
                <w:rFonts w:cs="Arial"/>
                <w:sz w:val="20"/>
                <w:szCs w:val="20"/>
              </w:rPr>
              <w:t>72</w:t>
            </w:r>
          </w:p>
        </w:tc>
      </w:tr>
      <w:tr w:rsidR="009F17F4" w:rsidRPr="00405CDE" w:rsidTr="00C6501A">
        <w:trPr>
          <w:trHeight w:val="510"/>
        </w:trPr>
        <w:tc>
          <w:tcPr>
            <w:tcW w:w="1100" w:type="pct"/>
            <w:tcBorders>
              <w:top w:val="nil"/>
              <w:bottom w:val="nil"/>
            </w:tcBorders>
            <w:vAlign w:val="center"/>
          </w:tcPr>
          <w:p w:rsidR="009F17F4" w:rsidRDefault="009F17F4">
            <w:pPr>
              <w:rPr>
                <w:rFonts w:cs="Arial"/>
                <w:sz w:val="20"/>
                <w:szCs w:val="20"/>
              </w:rPr>
            </w:pPr>
            <w:r>
              <w:rPr>
                <w:rFonts w:cs="Arial"/>
                <w:sz w:val="20"/>
                <w:szCs w:val="20"/>
              </w:rPr>
              <w:t>Ex post price ($/GJ)</w:t>
            </w:r>
          </w:p>
        </w:tc>
        <w:tc>
          <w:tcPr>
            <w:tcW w:w="597" w:type="pct"/>
            <w:tcBorders>
              <w:top w:val="nil"/>
              <w:bottom w:val="nil"/>
            </w:tcBorders>
            <w:vAlign w:val="center"/>
          </w:tcPr>
          <w:p w:rsidR="009F17F4" w:rsidRDefault="009F17F4">
            <w:pPr>
              <w:jc w:val="center"/>
              <w:rPr>
                <w:rFonts w:cs="Arial"/>
                <w:sz w:val="20"/>
                <w:szCs w:val="20"/>
              </w:rPr>
            </w:pPr>
            <w:r>
              <w:rPr>
                <w:rFonts w:cs="Arial"/>
                <w:sz w:val="20"/>
                <w:szCs w:val="20"/>
              </w:rPr>
              <w:t>5.94</w:t>
            </w:r>
          </w:p>
        </w:tc>
        <w:tc>
          <w:tcPr>
            <w:tcW w:w="523" w:type="pct"/>
            <w:tcBorders>
              <w:top w:val="nil"/>
              <w:bottom w:val="nil"/>
            </w:tcBorders>
            <w:vAlign w:val="center"/>
          </w:tcPr>
          <w:p w:rsidR="009F17F4" w:rsidRDefault="009F17F4">
            <w:pPr>
              <w:jc w:val="center"/>
              <w:rPr>
                <w:rFonts w:cs="Arial"/>
                <w:sz w:val="20"/>
                <w:szCs w:val="20"/>
              </w:rPr>
            </w:pPr>
            <w:r>
              <w:rPr>
                <w:rFonts w:cs="Arial"/>
                <w:sz w:val="20"/>
                <w:szCs w:val="20"/>
              </w:rPr>
              <w:t>5.00</w:t>
            </w:r>
          </w:p>
        </w:tc>
        <w:tc>
          <w:tcPr>
            <w:tcW w:w="606" w:type="pct"/>
            <w:tcBorders>
              <w:top w:val="nil"/>
              <w:bottom w:val="nil"/>
            </w:tcBorders>
            <w:vAlign w:val="center"/>
          </w:tcPr>
          <w:p w:rsidR="009F17F4" w:rsidRDefault="009F17F4">
            <w:pPr>
              <w:jc w:val="center"/>
              <w:rPr>
                <w:rFonts w:cs="Arial"/>
                <w:sz w:val="20"/>
                <w:szCs w:val="20"/>
              </w:rPr>
            </w:pPr>
            <w:r>
              <w:rPr>
                <w:rFonts w:cs="Arial"/>
                <w:sz w:val="20"/>
                <w:szCs w:val="20"/>
              </w:rPr>
              <w:t>5.00</w:t>
            </w:r>
          </w:p>
        </w:tc>
        <w:tc>
          <w:tcPr>
            <w:tcW w:w="532" w:type="pct"/>
            <w:tcBorders>
              <w:top w:val="nil"/>
              <w:bottom w:val="nil"/>
            </w:tcBorders>
            <w:vAlign w:val="center"/>
          </w:tcPr>
          <w:p w:rsidR="009F17F4" w:rsidRDefault="009F17F4">
            <w:pPr>
              <w:jc w:val="center"/>
              <w:rPr>
                <w:rFonts w:cs="Arial"/>
                <w:sz w:val="20"/>
                <w:szCs w:val="20"/>
              </w:rPr>
            </w:pPr>
            <w:r>
              <w:rPr>
                <w:rFonts w:cs="Arial"/>
                <w:sz w:val="20"/>
                <w:szCs w:val="20"/>
              </w:rPr>
              <w:t>5.06</w:t>
            </w:r>
          </w:p>
        </w:tc>
        <w:tc>
          <w:tcPr>
            <w:tcW w:w="525" w:type="pct"/>
            <w:tcBorders>
              <w:top w:val="nil"/>
              <w:bottom w:val="nil"/>
            </w:tcBorders>
            <w:vAlign w:val="center"/>
          </w:tcPr>
          <w:p w:rsidR="009F17F4" w:rsidRDefault="009F17F4">
            <w:pPr>
              <w:jc w:val="center"/>
              <w:rPr>
                <w:rFonts w:cs="Arial"/>
                <w:sz w:val="20"/>
                <w:szCs w:val="20"/>
              </w:rPr>
            </w:pPr>
            <w:r>
              <w:rPr>
                <w:rFonts w:cs="Arial"/>
                <w:sz w:val="20"/>
                <w:szCs w:val="20"/>
              </w:rPr>
              <w:t>5.00</w:t>
            </w:r>
          </w:p>
        </w:tc>
        <w:tc>
          <w:tcPr>
            <w:tcW w:w="522" w:type="pct"/>
            <w:tcBorders>
              <w:top w:val="nil"/>
              <w:bottom w:val="nil"/>
            </w:tcBorders>
            <w:vAlign w:val="center"/>
          </w:tcPr>
          <w:p w:rsidR="009F17F4" w:rsidRDefault="009F17F4">
            <w:pPr>
              <w:jc w:val="center"/>
              <w:rPr>
                <w:rFonts w:cs="Arial"/>
                <w:sz w:val="20"/>
                <w:szCs w:val="20"/>
              </w:rPr>
            </w:pPr>
            <w:r>
              <w:rPr>
                <w:rFonts w:cs="Arial"/>
                <w:sz w:val="20"/>
                <w:szCs w:val="20"/>
              </w:rPr>
              <w:t>5.00</w:t>
            </w:r>
          </w:p>
        </w:tc>
        <w:tc>
          <w:tcPr>
            <w:tcW w:w="595" w:type="pct"/>
            <w:tcBorders>
              <w:top w:val="nil"/>
              <w:bottom w:val="nil"/>
            </w:tcBorders>
            <w:vAlign w:val="center"/>
          </w:tcPr>
          <w:p w:rsidR="009F17F4" w:rsidRDefault="009F17F4">
            <w:pPr>
              <w:jc w:val="center"/>
              <w:rPr>
                <w:rFonts w:cs="Arial"/>
                <w:sz w:val="20"/>
                <w:szCs w:val="20"/>
              </w:rPr>
            </w:pPr>
            <w:r>
              <w:rPr>
                <w:rFonts w:cs="Arial"/>
                <w:sz w:val="20"/>
                <w:szCs w:val="20"/>
              </w:rPr>
              <w:t>4.74</w:t>
            </w:r>
          </w:p>
        </w:tc>
      </w:tr>
      <w:tr w:rsidR="009F17F4" w:rsidRPr="00405CDE" w:rsidTr="00C6501A">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9F17F4" w:rsidRDefault="009F17F4">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74</w:t>
            </w:r>
          </w:p>
        </w:tc>
        <w:tc>
          <w:tcPr>
            <w:tcW w:w="523"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89</w:t>
            </w:r>
          </w:p>
        </w:tc>
        <w:tc>
          <w:tcPr>
            <w:tcW w:w="606"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89</w:t>
            </w:r>
          </w:p>
        </w:tc>
        <w:tc>
          <w:tcPr>
            <w:tcW w:w="532"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89</w:t>
            </w:r>
          </w:p>
        </w:tc>
        <w:tc>
          <w:tcPr>
            <w:tcW w:w="525"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88</w:t>
            </w:r>
          </w:p>
        </w:tc>
        <w:tc>
          <w:tcPr>
            <w:tcW w:w="522"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83</w:t>
            </w:r>
          </w:p>
        </w:tc>
        <w:tc>
          <w:tcPr>
            <w:tcW w:w="595" w:type="pct"/>
            <w:tcBorders>
              <w:top w:val="nil"/>
              <w:bottom w:val="single" w:sz="4" w:space="0" w:color="auto"/>
            </w:tcBorders>
            <w:vAlign w:val="center"/>
          </w:tcPr>
          <w:p w:rsidR="009F17F4" w:rsidRDefault="009F17F4">
            <w:pPr>
              <w:jc w:val="center"/>
              <w:rPr>
                <w:rFonts w:cs="Arial"/>
                <w:sz w:val="20"/>
                <w:szCs w:val="20"/>
              </w:rPr>
            </w:pPr>
            <w:r>
              <w:rPr>
                <w:rFonts w:cs="Arial"/>
                <w:sz w:val="20"/>
                <w:szCs w:val="20"/>
              </w:rPr>
              <w:t>71</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F57E2F" w:rsidP="00362B9A">
      <w:r>
        <w:pict>
          <v:shape id="_x0000_i1038" type="#_x0000_t75" alt="Figure 4.2 shows the daily hub offers and bid in within certain price bands in Brisbane this week. The line indicates the scheduled quantity for each day. For a more detailed description of this figure, please refer to the user guide." style="width:475.85pt;height:170.9pt">
            <v:imagedata r:id="rId27"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F57E2F" w:rsidP="00362B9A">
      <w:r>
        <w:pict>
          <v:shape id="_x0000_i1039" type="#_x0000_t75" alt="Figure 4.3 shows the daily scheduled and allocated quantities sorted by facility for Brisbane this week. For a more detailed description of this figure, please refer to the user guide." style="width:477.7pt;height:98.9pt">
            <v:imagedata r:id="rId28" o:title=""/>
          </v:shape>
        </w:pict>
      </w:r>
    </w:p>
    <w:p w:rsidR="00BC18FB" w:rsidRPr="00DD0358" w:rsidRDefault="004560B0" w:rsidP="000D52B9">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F57E2F" w:rsidP="00362B9A">
      <w:r>
        <w:pict>
          <v:shape id="_x0000_i1040"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5.85pt;height:155.9pt">
            <v:imagedata r:id="rId29"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10"/>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3C229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F57E2F" w:rsidP="00FB3934">
      <w:r>
        <w:rPr>
          <w:noProof/>
        </w:rPr>
        <w:pict>
          <v:shape id="_x0000_i1041"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7.55pt;height:546.55pt;mso-position-vertical:absolute">
            <v:imagedata r:id="rId30"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1"/>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6029C5" w:rsidRDefault="009F17F4" w:rsidP="00345444">
      <w:pPr>
        <w:jc w:val="both"/>
        <w:rPr>
          <w:rFonts w:eastAsia="MS Mincho"/>
        </w:rPr>
      </w:pPr>
      <w:r w:rsidRPr="006029C5">
        <w:rPr>
          <w:rFonts w:eastAsia="MS Mincho"/>
        </w:rPr>
        <w:t>There were 7 products traded this week at a volume weighted price of $5.07/GJ, 21.7 TJ was traded on the RBP at $5/GJ and 55 TJ on the SWQP at $5.10/GJ. There was one weekly product traded this week.</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2"/>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F57E2F" w:rsidP="00E37A86">
      <w:r>
        <w:rPr>
          <w:rFonts w:eastAsia="MS Mincho"/>
        </w:rPr>
        <w:pict>
          <v:shape id="_x0000_i1042" type="#_x0000_t75" alt="Figure 6.1 shows the daily volume of gas traded on each pipeline in the Wallumbilla Gas Supply Hub. The quantities displayed are shown for both the day the gas is traded over the current week and the gas day on which gas has been shipped." style="width:475.85pt;height:201.6pt">
            <v:imagedata r:id="rId31" o:title=""/>
          </v:shape>
        </w:pict>
      </w:r>
      <w:r w:rsidR="00E37A86" w:rsidRPr="006520EE">
        <w:t xml:space="preserve"> </w:t>
      </w:r>
    </w:p>
    <w:sectPr w:rsidR="009E74E3" w:rsidRPr="006520EE" w:rsidSect="00D635F1">
      <w:footerReference w:type="default" r:id="rId32"/>
      <w:footerReference w:type="first" r:id="rId33"/>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992" w:rsidRDefault="00172992">
      <w:r>
        <w:separator/>
      </w:r>
    </w:p>
  </w:endnote>
  <w:endnote w:type="continuationSeparator" w:id="0">
    <w:p w:rsidR="00172992" w:rsidRDefault="00172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992" w:rsidRDefault="00172992" w:rsidP="00D22793">
    <w:pPr>
      <w:pBdr>
        <w:top w:val="single" w:sz="4" w:space="0" w:color="auto"/>
      </w:pBdr>
      <w:ind w:left="-284" w:right="-329" w:firstLine="284"/>
      <w:jc w:val="center"/>
      <w:rPr>
        <w:i/>
        <w:sz w:val="16"/>
        <w:szCs w:val="16"/>
      </w:rPr>
    </w:pPr>
    <w:r>
      <w:rPr>
        <w:i/>
        <w:sz w:val="20"/>
      </w:rPr>
      <w:t>© Commonwealth of Australia.</w:t>
    </w:r>
  </w:p>
  <w:p w:rsidR="00172992" w:rsidRDefault="00172992" w:rsidP="005A77AC">
    <w:pPr>
      <w:jc w:val="center"/>
    </w:pPr>
    <w:r>
      <w:fldChar w:fldCharType="begin"/>
    </w:r>
    <w:r>
      <w:instrText xml:space="preserve"> PAGE  \* MERGEFORMAT </w:instrText>
    </w:r>
    <w:r>
      <w:fldChar w:fldCharType="separate"/>
    </w:r>
    <w:r w:rsidR="002C00AC">
      <w:rPr>
        <w:noProof/>
      </w:rPr>
      <w:t>5</w:t>
    </w:r>
    <w:r>
      <w:fldChar w:fldCharType="end"/>
    </w:r>
  </w:p>
  <w:p w:rsidR="00172992" w:rsidRDefault="00172992"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992" w:rsidRDefault="00172992" w:rsidP="00491029">
    <w:pPr>
      <w:pBdr>
        <w:top w:val="single" w:sz="4" w:space="0" w:color="auto"/>
      </w:pBdr>
      <w:ind w:left="-284" w:right="-329" w:firstLine="284"/>
      <w:jc w:val="center"/>
      <w:rPr>
        <w:i/>
        <w:sz w:val="20"/>
      </w:rPr>
    </w:pPr>
    <w:r>
      <w:rPr>
        <w:i/>
        <w:sz w:val="20"/>
      </w:rPr>
      <w:t>© Commonwealth of Australia.</w:t>
    </w:r>
  </w:p>
  <w:p w:rsidR="00172992" w:rsidRPr="002D773A" w:rsidRDefault="00172992" w:rsidP="00491029">
    <w:pPr>
      <w:jc w:val="center"/>
    </w:pPr>
    <w:r>
      <w:fldChar w:fldCharType="begin"/>
    </w:r>
    <w:r>
      <w:instrText xml:space="preserve"> PAGE  \* MERGEFORMAT </w:instrText>
    </w:r>
    <w:r>
      <w:fldChar w:fldCharType="separate"/>
    </w:r>
    <w:r w:rsidR="002C00AC">
      <w:rPr>
        <w:noProof/>
      </w:rPr>
      <w:t>1</w:t>
    </w:r>
    <w:r>
      <w:fldChar w:fldCharType="end"/>
    </w:r>
  </w:p>
  <w:p w:rsidR="00172992" w:rsidRDefault="00172992"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D16/</w:t>
    </w:r>
    <w:r>
      <w:rPr>
        <w:rFonts w:cs="Arial"/>
        <w:i/>
      </w:rPr>
      <w:t>11781</w:t>
    </w:r>
  </w:p>
  <w:p w:rsidR="00172992" w:rsidRDefault="001729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992" w:rsidRDefault="00172992">
      <w:r>
        <w:separator/>
      </w:r>
    </w:p>
  </w:footnote>
  <w:footnote w:type="continuationSeparator" w:id="0">
    <w:p w:rsidR="00172992" w:rsidRDefault="00172992">
      <w:r>
        <w:continuationSeparator/>
      </w:r>
    </w:p>
  </w:footnote>
  <w:footnote w:id="1">
    <w:p w:rsidR="00172992" w:rsidRPr="00942640" w:rsidRDefault="00172992"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172992" w:rsidRDefault="00172992">
      <w:pPr>
        <w:pStyle w:val="FootnoteText"/>
      </w:pPr>
      <w:r>
        <w:rPr>
          <w:rStyle w:val="FootnoteReference"/>
        </w:rPr>
        <w:footnoteRef/>
      </w:r>
      <w:r>
        <w:t xml:space="preserve"> </w:t>
      </w:r>
      <w:r>
        <w:tab/>
      </w:r>
      <w:r w:rsidRPr="00C75361">
        <w:rPr>
          <w:sz w:val="18"/>
        </w:rPr>
        <w:t>The Tamar Valley 208 MW gas turbine was mothballed in August 2015 and has not generated since June 2014.</w:t>
      </w:r>
    </w:p>
  </w:footnote>
  <w:footnote w:id="3">
    <w:p w:rsidR="00172992" w:rsidRDefault="00172992" w:rsidP="00DC5EC3">
      <w:pPr>
        <w:pStyle w:val="FootnoteText"/>
        <w:jc w:val="both"/>
      </w:pPr>
      <w:r>
        <w:rPr>
          <w:rStyle w:val="FootnoteReference"/>
        </w:rPr>
        <w:footnoteRef/>
      </w:r>
      <w:r>
        <w:t xml:space="preserve"> </w:t>
      </w:r>
      <w:r>
        <w:tab/>
      </w:r>
      <w:hyperlink r:id="rId1" w:history="1">
        <w:r w:rsidRPr="00DC5EC3">
          <w:rPr>
            <w:rStyle w:val="Hyperlink"/>
            <w:sz w:val="18"/>
            <w:szCs w:val="18"/>
          </w:rPr>
          <w:t>http://www.aer.gov.au/wholesale-markets/market-guidelines/significant-price-variations-in-the-sttm-reporting-triggers</w:t>
        </w:r>
      </w:hyperlink>
    </w:p>
  </w:footnote>
  <w:footnote w:id="4">
    <w:p w:rsidR="00172992" w:rsidRPr="00EF58A8" w:rsidRDefault="00172992"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5">
    <w:p w:rsidR="00172992" w:rsidRPr="00EF58A8" w:rsidRDefault="00172992"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6">
    <w:p w:rsidR="00172992" w:rsidRPr="00EF58A8" w:rsidRDefault="00172992"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7">
    <w:p w:rsidR="00172992" w:rsidRPr="00362B9A" w:rsidRDefault="00172992"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8">
    <w:p w:rsidR="00172992" w:rsidRDefault="00172992"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9">
    <w:p w:rsidR="00172992" w:rsidRPr="002E7E9E" w:rsidRDefault="00172992"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Pr>
          <w:sz w:val="18"/>
          <w:szCs w:val="18"/>
        </w:rPr>
        <w:t>f</w:t>
      </w:r>
      <w:r w:rsidRPr="002E7E9E">
        <w:rPr>
          <w:sz w:val="18"/>
          <w:szCs w:val="18"/>
        </w:rPr>
        <w:t>lows</w:t>
      </w:r>
      <w:r>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172992" w:rsidRDefault="00172992"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172992" w:rsidRDefault="00172992"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172992" w:rsidRPr="002E7E9E" w:rsidRDefault="00172992"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10">
    <w:p w:rsidR="00172992" w:rsidRDefault="00172992"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1">
    <w:p w:rsidR="00172992" w:rsidRPr="009E74E3" w:rsidRDefault="00172992"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172992" w:rsidRPr="007300C3" w:rsidRDefault="00172992"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860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17 – 23 January 2016.docx"/>
  </w:docVars>
  <w:rsids>
    <w:rsidRoot w:val="005F18AD"/>
    <w:rsid w:val="000013C1"/>
    <w:rsid w:val="00001BFB"/>
    <w:rsid w:val="00002313"/>
    <w:rsid w:val="00004A63"/>
    <w:rsid w:val="00010025"/>
    <w:rsid w:val="000123CA"/>
    <w:rsid w:val="00020978"/>
    <w:rsid w:val="0002268D"/>
    <w:rsid w:val="00027115"/>
    <w:rsid w:val="000323BA"/>
    <w:rsid w:val="00032CC4"/>
    <w:rsid w:val="00033456"/>
    <w:rsid w:val="00040F6B"/>
    <w:rsid w:val="000552AF"/>
    <w:rsid w:val="00055584"/>
    <w:rsid w:val="00061656"/>
    <w:rsid w:val="0006609A"/>
    <w:rsid w:val="00073D01"/>
    <w:rsid w:val="00076046"/>
    <w:rsid w:val="000813BF"/>
    <w:rsid w:val="000848DE"/>
    <w:rsid w:val="0008491C"/>
    <w:rsid w:val="00085092"/>
    <w:rsid w:val="000876E7"/>
    <w:rsid w:val="0009351E"/>
    <w:rsid w:val="00093854"/>
    <w:rsid w:val="000974A2"/>
    <w:rsid w:val="00097D40"/>
    <w:rsid w:val="000A32D4"/>
    <w:rsid w:val="000B4A1F"/>
    <w:rsid w:val="000B6397"/>
    <w:rsid w:val="000B69E0"/>
    <w:rsid w:val="000B7FAF"/>
    <w:rsid w:val="000D1FEB"/>
    <w:rsid w:val="000D52B9"/>
    <w:rsid w:val="000E1F9A"/>
    <w:rsid w:val="000F0BBB"/>
    <w:rsid w:val="000F2287"/>
    <w:rsid w:val="000F3B46"/>
    <w:rsid w:val="000F59F8"/>
    <w:rsid w:val="000F5F5E"/>
    <w:rsid w:val="000F6D05"/>
    <w:rsid w:val="00113D67"/>
    <w:rsid w:val="00117C98"/>
    <w:rsid w:val="00125818"/>
    <w:rsid w:val="0014157B"/>
    <w:rsid w:val="001420EB"/>
    <w:rsid w:val="001452B3"/>
    <w:rsid w:val="00150A19"/>
    <w:rsid w:val="00153729"/>
    <w:rsid w:val="00157AFD"/>
    <w:rsid w:val="001608BE"/>
    <w:rsid w:val="00171BD5"/>
    <w:rsid w:val="00172992"/>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12F5"/>
    <w:rsid w:val="00231B0A"/>
    <w:rsid w:val="00233988"/>
    <w:rsid w:val="00234764"/>
    <w:rsid w:val="00247083"/>
    <w:rsid w:val="00252A22"/>
    <w:rsid w:val="00254746"/>
    <w:rsid w:val="00263A2C"/>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0AC"/>
    <w:rsid w:val="002C0499"/>
    <w:rsid w:val="002C2576"/>
    <w:rsid w:val="002D0C16"/>
    <w:rsid w:val="002D59B3"/>
    <w:rsid w:val="002D5CEC"/>
    <w:rsid w:val="002E0688"/>
    <w:rsid w:val="002E2C96"/>
    <w:rsid w:val="002E2E46"/>
    <w:rsid w:val="002E673A"/>
    <w:rsid w:val="002E7E9E"/>
    <w:rsid w:val="002F0AE7"/>
    <w:rsid w:val="002F139A"/>
    <w:rsid w:val="002F4250"/>
    <w:rsid w:val="0030240F"/>
    <w:rsid w:val="00311A09"/>
    <w:rsid w:val="00314A8B"/>
    <w:rsid w:val="0032174C"/>
    <w:rsid w:val="00323327"/>
    <w:rsid w:val="00330B70"/>
    <w:rsid w:val="00334682"/>
    <w:rsid w:val="003348F7"/>
    <w:rsid w:val="00336E8E"/>
    <w:rsid w:val="003410C4"/>
    <w:rsid w:val="00345444"/>
    <w:rsid w:val="00347FBB"/>
    <w:rsid w:val="003548AA"/>
    <w:rsid w:val="0035758F"/>
    <w:rsid w:val="00357C72"/>
    <w:rsid w:val="003625A6"/>
    <w:rsid w:val="00362B9A"/>
    <w:rsid w:val="003632A4"/>
    <w:rsid w:val="003664D0"/>
    <w:rsid w:val="00366BDF"/>
    <w:rsid w:val="003716C3"/>
    <w:rsid w:val="00372976"/>
    <w:rsid w:val="00374CF9"/>
    <w:rsid w:val="003800B4"/>
    <w:rsid w:val="00387B66"/>
    <w:rsid w:val="00396C2C"/>
    <w:rsid w:val="00396C7A"/>
    <w:rsid w:val="003977B4"/>
    <w:rsid w:val="003B0AAD"/>
    <w:rsid w:val="003B65E0"/>
    <w:rsid w:val="003C0AD3"/>
    <w:rsid w:val="003C229D"/>
    <w:rsid w:val="003C5272"/>
    <w:rsid w:val="003C5482"/>
    <w:rsid w:val="003D59BF"/>
    <w:rsid w:val="003E313D"/>
    <w:rsid w:val="003E4798"/>
    <w:rsid w:val="003F3391"/>
    <w:rsid w:val="003F44AD"/>
    <w:rsid w:val="003F44B7"/>
    <w:rsid w:val="003F51E6"/>
    <w:rsid w:val="003F7FD2"/>
    <w:rsid w:val="0040076C"/>
    <w:rsid w:val="004055AC"/>
    <w:rsid w:val="00411C3F"/>
    <w:rsid w:val="004149DB"/>
    <w:rsid w:val="00417694"/>
    <w:rsid w:val="004215C7"/>
    <w:rsid w:val="00421FFF"/>
    <w:rsid w:val="00422080"/>
    <w:rsid w:val="004235F4"/>
    <w:rsid w:val="00433231"/>
    <w:rsid w:val="00434FC1"/>
    <w:rsid w:val="004420C4"/>
    <w:rsid w:val="00442756"/>
    <w:rsid w:val="00445D38"/>
    <w:rsid w:val="00447C09"/>
    <w:rsid w:val="004505EA"/>
    <w:rsid w:val="0045204B"/>
    <w:rsid w:val="00452149"/>
    <w:rsid w:val="00452AAD"/>
    <w:rsid w:val="004560B0"/>
    <w:rsid w:val="00460629"/>
    <w:rsid w:val="004615CF"/>
    <w:rsid w:val="004615D5"/>
    <w:rsid w:val="00463EFA"/>
    <w:rsid w:val="004718E5"/>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E20BF"/>
    <w:rsid w:val="004E7B86"/>
    <w:rsid w:val="004F3D13"/>
    <w:rsid w:val="00502181"/>
    <w:rsid w:val="00504464"/>
    <w:rsid w:val="00505139"/>
    <w:rsid w:val="00506437"/>
    <w:rsid w:val="00514A82"/>
    <w:rsid w:val="005157B0"/>
    <w:rsid w:val="005178FC"/>
    <w:rsid w:val="00522E00"/>
    <w:rsid w:val="005244DA"/>
    <w:rsid w:val="00534933"/>
    <w:rsid w:val="0053609E"/>
    <w:rsid w:val="00541108"/>
    <w:rsid w:val="00547827"/>
    <w:rsid w:val="00563C94"/>
    <w:rsid w:val="00564C71"/>
    <w:rsid w:val="0056618C"/>
    <w:rsid w:val="0058198F"/>
    <w:rsid w:val="00582F1C"/>
    <w:rsid w:val="005859CC"/>
    <w:rsid w:val="00586C57"/>
    <w:rsid w:val="00587CD1"/>
    <w:rsid w:val="005A1650"/>
    <w:rsid w:val="005A4569"/>
    <w:rsid w:val="005A6687"/>
    <w:rsid w:val="005A77AC"/>
    <w:rsid w:val="005B002E"/>
    <w:rsid w:val="005C4B8B"/>
    <w:rsid w:val="005C68CE"/>
    <w:rsid w:val="005D1037"/>
    <w:rsid w:val="005D4097"/>
    <w:rsid w:val="005D6652"/>
    <w:rsid w:val="005E0779"/>
    <w:rsid w:val="005E3DFB"/>
    <w:rsid w:val="005E4C48"/>
    <w:rsid w:val="005F18AD"/>
    <w:rsid w:val="005F31D0"/>
    <w:rsid w:val="00601A25"/>
    <w:rsid w:val="00601C18"/>
    <w:rsid w:val="00601E71"/>
    <w:rsid w:val="006029C5"/>
    <w:rsid w:val="0060661E"/>
    <w:rsid w:val="00612663"/>
    <w:rsid w:val="006307D5"/>
    <w:rsid w:val="0064206A"/>
    <w:rsid w:val="00645036"/>
    <w:rsid w:val="00647DD2"/>
    <w:rsid w:val="006520EE"/>
    <w:rsid w:val="00652A42"/>
    <w:rsid w:val="006540A8"/>
    <w:rsid w:val="006705A4"/>
    <w:rsid w:val="006722EB"/>
    <w:rsid w:val="00681105"/>
    <w:rsid w:val="00686F6E"/>
    <w:rsid w:val="00697E41"/>
    <w:rsid w:val="006A5166"/>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543B9"/>
    <w:rsid w:val="007564C9"/>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11D1C"/>
    <w:rsid w:val="008133CF"/>
    <w:rsid w:val="008170C0"/>
    <w:rsid w:val="008344A6"/>
    <w:rsid w:val="008351C1"/>
    <w:rsid w:val="00875D0C"/>
    <w:rsid w:val="008776EF"/>
    <w:rsid w:val="00882958"/>
    <w:rsid w:val="00891595"/>
    <w:rsid w:val="008936C5"/>
    <w:rsid w:val="00895965"/>
    <w:rsid w:val="008A6DB5"/>
    <w:rsid w:val="008B4A16"/>
    <w:rsid w:val="008B7161"/>
    <w:rsid w:val="008C0EC8"/>
    <w:rsid w:val="008C268E"/>
    <w:rsid w:val="008C7F3A"/>
    <w:rsid w:val="008D39F4"/>
    <w:rsid w:val="008D4D1D"/>
    <w:rsid w:val="008D4DAB"/>
    <w:rsid w:val="008D70A4"/>
    <w:rsid w:val="008E2239"/>
    <w:rsid w:val="008E24DA"/>
    <w:rsid w:val="008F4BF5"/>
    <w:rsid w:val="008F4EAE"/>
    <w:rsid w:val="008F5409"/>
    <w:rsid w:val="00900CEB"/>
    <w:rsid w:val="00903620"/>
    <w:rsid w:val="009136B3"/>
    <w:rsid w:val="009143E0"/>
    <w:rsid w:val="0091453B"/>
    <w:rsid w:val="00920670"/>
    <w:rsid w:val="00936A7B"/>
    <w:rsid w:val="00937543"/>
    <w:rsid w:val="00942622"/>
    <w:rsid w:val="00942640"/>
    <w:rsid w:val="00950C55"/>
    <w:rsid w:val="00951926"/>
    <w:rsid w:val="00956CE9"/>
    <w:rsid w:val="00960363"/>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17F4"/>
    <w:rsid w:val="009F43B1"/>
    <w:rsid w:val="009F4655"/>
    <w:rsid w:val="009F4DF7"/>
    <w:rsid w:val="009F6FA3"/>
    <w:rsid w:val="00A0223D"/>
    <w:rsid w:val="00A13F97"/>
    <w:rsid w:val="00A156EE"/>
    <w:rsid w:val="00A200D0"/>
    <w:rsid w:val="00A26940"/>
    <w:rsid w:val="00A270DD"/>
    <w:rsid w:val="00A324A8"/>
    <w:rsid w:val="00A349B0"/>
    <w:rsid w:val="00A41933"/>
    <w:rsid w:val="00A475A2"/>
    <w:rsid w:val="00A51DDD"/>
    <w:rsid w:val="00A55660"/>
    <w:rsid w:val="00A55C96"/>
    <w:rsid w:val="00A642B8"/>
    <w:rsid w:val="00A66FD2"/>
    <w:rsid w:val="00A67716"/>
    <w:rsid w:val="00A677D8"/>
    <w:rsid w:val="00A834DF"/>
    <w:rsid w:val="00A91C53"/>
    <w:rsid w:val="00A936AE"/>
    <w:rsid w:val="00AA1D87"/>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05607"/>
    <w:rsid w:val="00C07CBC"/>
    <w:rsid w:val="00C21D81"/>
    <w:rsid w:val="00C26B1D"/>
    <w:rsid w:val="00C26E38"/>
    <w:rsid w:val="00C3163F"/>
    <w:rsid w:val="00C35D9D"/>
    <w:rsid w:val="00C560C2"/>
    <w:rsid w:val="00C60857"/>
    <w:rsid w:val="00C6501A"/>
    <w:rsid w:val="00C75361"/>
    <w:rsid w:val="00C75920"/>
    <w:rsid w:val="00C80FD8"/>
    <w:rsid w:val="00C83657"/>
    <w:rsid w:val="00C859CC"/>
    <w:rsid w:val="00C94431"/>
    <w:rsid w:val="00C9498F"/>
    <w:rsid w:val="00CA0EE1"/>
    <w:rsid w:val="00CA1D8C"/>
    <w:rsid w:val="00CB0C0E"/>
    <w:rsid w:val="00CB2E03"/>
    <w:rsid w:val="00CC300D"/>
    <w:rsid w:val="00CC385B"/>
    <w:rsid w:val="00CC4A35"/>
    <w:rsid w:val="00CD3544"/>
    <w:rsid w:val="00CD6093"/>
    <w:rsid w:val="00CE48FC"/>
    <w:rsid w:val="00CE5DB6"/>
    <w:rsid w:val="00CE75EF"/>
    <w:rsid w:val="00CF32A8"/>
    <w:rsid w:val="00CF53CA"/>
    <w:rsid w:val="00CF5471"/>
    <w:rsid w:val="00D10FA6"/>
    <w:rsid w:val="00D11DDB"/>
    <w:rsid w:val="00D161D7"/>
    <w:rsid w:val="00D1641C"/>
    <w:rsid w:val="00D16FE8"/>
    <w:rsid w:val="00D22793"/>
    <w:rsid w:val="00D329E0"/>
    <w:rsid w:val="00D33F5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0DB0"/>
    <w:rsid w:val="00DB12E4"/>
    <w:rsid w:val="00DB3B79"/>
    <w:rsid w:val="00DB3D7F"/>
    <w:rsid w:val="00DB5A3A"/>
    <w:rsid w:val="00DC0A52"/>
    <w:rsid w:val="00DC12FF"/>
    <w:rsid w:val="00DC154F"/>
    <w:rsid w:val="00DC158D"/>
    <w:rsid w:val="00DC288C"/>
    <w:rsid w:val="00DC5EC3"/>
    <w:rsid w:val="00DD0358"/>
    <w:rsid w:val="00DD5ACD"/>
    <w:rsid w:val="00DE0E9A"/>
    <w:rsid w:val="00DE5B7B"/>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6289"/>
    <w:rsid w:val="00EA6E29"/>
    <w:rsid w:val="00ED5E08"/>
    <w:rsid w:val="00EE2B5F"/>
    <w:rsid w:val="00EE51D2"/>
    <w:rsid w:val="00EE6F2C"/>
    <w:rsid w:val="00EF4E45"/>
    <w:rsid w:val="00EF58A8"/>
    <w:rsid w:val="00EF5A5D"/>
    <w:rsid w:val="00EF6B0C"/>
    <w:rsid w:val="00F01843"/>
    <w:rsid w:val="00F02D8D"/>
    <w:rsid w:val="00F114D5"/>
    <w:rsid w:val="00F15035"/>
    <w:rsid w:val="00F16C55"/>
    <w:rsid w:val="00F25FA8"/>
    <w:rsid w:val="00F32695"/>
    <w:rsid w:val="00F415E2"/>
    <w:rsid w:val="00F427B4"/>
    <w:rsid w:val="00F45735"/>
    <w:rsid w:val="00F5024F"/>
    <w:rsid w:val="00F50297"/>
    <w:rsid w:val="00F51FA1"/>
    <w:rsid w:val="00F5594F"/>
    <w:rsid w:val="00F55D61"/>
    <w:rsid w:val="00F57E2F"/>
    <w:rsid w:val="00F63042"/>
    <w:rsid w:val="00F645EC"/>
    <w:rsid w:val="00F67024"/>
    <w:rsid w:val="00F67559"/>
    <w:rsid w:val="00F71200"/>
    <w:rsid w:val="00F73DCA"/>
    <w:rsid w:val="00F76C75"/>
    <w:rsid w:val="00F77722"/>
    <w:rsid w:val="00F803DE"/>
    <w:rsid w:val="00F81A7C"/>
    <w:rsid w:val="00F96C04"/>
    <w:rsid w:val="00F976F4"/>
    <w:rsid w:val="00F977E2"/>
    <w:rsid w:val="00FB3934"/>
    <w:rsid w:val="00FB594A"/>
    <w:rsid w:val="00FB7DD0"/>
    <w:rsid w:val="00FC132E"/>
    <w:rsid w:val="00FC4B88"/>
    <w:rsid w:val="00FD08B1"/>
    <w:rsid w:val="00FD7009"/>
    <w:rsid w:val="00FD7231"/>
    <w:rsid w:val="00FD7413"/>
    <w:rsid w:val="00FE0150"/>
    <w:rsid w:val="00FE0F8F"/>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aer.gov.au/node/451"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er.gov.au/wholesale-markets/market-guidelines/significant-price-variations-in-the-sttm-reporting-trigg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A86983-A3B1-4437-BAE0-3D47C22CE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1CCB3C65.dotm</Template>
  <TotalTime>0</TotalTime>
  <Pages>13</Pages>
  <Words>2292</Words>
  <Characters>10947</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13213</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2016-02-10T04:46:00Z</dcterms:created>
  <dcterms:modified xsi:type="dcterms:W3CDTF">2016-02-10T23:59:00Z</dcterms:modified>
</cp:coreProperties>
</file>