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764249DA" wp14:editId="681836D7">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A37C64" w:rsidP="00286866">
      <w:pPr>
        <w:pStyle w:val="Heading2"/>
        <w:rPr>
          <w:i/>
        </w:rPr>
      </w:pPr>
      <w:r>
        <w:rPr>
          <w:sz w:val="36"/>
          <w:szCs w:val="36"/>
        </w:rPr>
        <w:t>16 – 22 July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1127DF" w:rsidRPr="00E47331" w:rsidRDefault="001127DF" w:rsidP="00F26128">
      <w:pPr>
        <w:jc w:val="both"/>
      </w:pPr>
      <w:r w:rsidRPr="00E47331">
        <w:t>There was minimal change to the average price in the southe</w:t>
      </w:r>
      <w:r w:rsidR="00E47331" w:rsidRPr="00E47331">
        <w:t>rn</w:t>
      </w:r>
      <w:r w:rsidRPr="00E47331">
        <w:t xml:space="preserve"> ma</w:t>
      </w:r>
      <w:r w:rsidR="00E47331" w:rsidRPr="00E47331">
        <w:t>r</w:t>
      </w:r>
      <w:r w:rsidRPr="00E47331">
        <w:t xml:space="preserve">kets compared to the previous week. While the price in Brisbane did increase to some extent, they still remain well below levels in the south. </w:t>
      </w:r>
    </w:p>
    <w:p w:rsidR="00022108" w:rsidRPr="00E47331" w:rsidRDefault="001127DF" w:rsidP="00F26128">
      <w:pPr>
        <w:jc w:val="both"/>
      </w:pPr>
      <w:r w:rsidRPr="00E47331">
        <w:t xml:space="preserve">Demand in Victoria exceeded 1.2 PJ on Thursday 20 July, with temperatures reaching a maximum of only 20 degrees driving up heating demand and gas generation in the region reaching its highest level for the week at around 204 TJ on the day. </w:t>
      </w:r>
    </w:p>
    <w:p w:rsidR="006B245C" w:rsidRPr="00E47331" w:rsidRDefault="00022108" w:rsidP="00F26128">
      <w:pPr>
        <w:jc w:val="both"/>
      </w:pPr>
      <w:r w:rsidRPr="00E47331">
        <w:t xml:space="preserve">Gas generation in general fell by 165 TJ/day from the previous week, largely due to trends in Victoria and South Australia. </w:t>
      </w:r>
      <w:r w:rsidR="001127DF" w:rsidRPr="00E47331">
        <w:t>Figure 5.1 shows that gas generation across the week fell significantly from the week before (to an average of 90 TJ/day)</w:t>
      </w:r>
      <w:r w:rsidRPr="00E47331">
        <w:t xml:space="preserve"> in Victoria</w:t>
      </w:r>
      <w:r w:rsidR="001127DF" w:rsidRPr="00E47331">
        <w:t>. Gas generation in South Australia also fell significantly, but still remained high at around 192 TJ/day.</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A37C64" w:rsidRDefault="00A37C64" w:rsidP="000835F4">
      <w:pPr>
        <w:jc w:val="both"/>
      </w:pPr>
      <w:r>
        <w:t>Note that Figures 1, 2 and 4 show full financial year data for the 2016-17 period, compared against the previous financial year. These comparisons will revert back to year-to-date (YTD) numbers in upcoming weekly reports when a longer period of data is available for comparison (2017-18 compared to 2016-17).</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E47331" w:rsidRDefault="00E47331">
      <w:pPr>
        <w:spacing w:line="240" w:lineRule="auto"/>
        <w:rPr>
          <w:b/>
          <w:bCs/>
          <w:color w:val="2272A3" w:themeColor="accent4" w:themeShade="80"/>
          <w:sz w:val="24"/>
          <w:szCs w:val="18"/>
        </w:rPr>
      </w:pPr>
      <w:r>
        <w:br w:type="page"/>
      </w:r>
    </w:p>
    <w:p w:rsidR="000835F4" w:rsidRDefault="000835F4" w:rsidP="000835F4">
      <w:pPr>
        <w:pStyle w:val="Caption"/>
        <w:rPr>
          <w:color w:val="2272A3"/>
          <w:szCs w:val="24"/>
        </w:rPr>
      </w:pPr>
      <w:r w:rsidRPr="00BE2075">
        <w:lastRenderedPageBreak/>
        <w:t xml:space="preserve">Figure </w:t>
      </w:r>
      <w:r w:rsidR="003B50C9">
        <w:fldChar w:fldCharType="begin"/>
      </w:r>
      <w:r w:rsidR="003B50C9">
        <w:instrText xml:space="preserve"> SEQ Figure \* ARABIC </w:instrText>
      </w:r>
      <w:r w:rsidR="003B50C9">
        <w:fldChar w:fldCharType="separate"/>
      </w:r>
      <w:r w:rsidR="001521CB">
        <w:rPr>
          <w:noProof/>
        </w:rPr>
        <w:t>1</w:t>
      </w:r>
      <w:r w:rsidR="003B50C9">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A37C64">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3"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A37C64">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7"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A37C64" w:rsidRPr="006A7228" w:rsidTr="00A37C64">
        <w:trPr>
          <w:trHeight w:val="510"/>
        </w:trPr>
        <w:tc>
          <w:tcPr>
            <w:tcW w:w="1060" w:type="pct"/>
            <w:tcBorders>
              <w:top w:val="nil"/>
              <w:bottom w:val="nil"/>
            </w:tcBorders>
            <w:vAlign w:val="center"/>
          </w:tcPr>
          <w:p w:rsidR="00A37C64" w:rsidRDefault="00A37C64">
            <w:pPr>
              <w:rPr>
                <w:rFonts w:cs="Arial"/>
                <w:sz w:val="16"/>
                <w:szCs w:val="16"/>
              </w:rPr>
            </w:pPr>
            <w:r>
              <w:rPr>
                <w:rFonts w:cs="Arial"/>
                <w:sz w:val="16"/>
                <w:szCs w:val="16"/>
              </w:rPr>
              <w:t>16 Jul - 22 Jul 2017</w:t>
            </w:r>
          </w:p>
        </w:tc>
        <w:tc>
          <w:tcPr>
            <w:tcW w:w="556" w:type="pct"/>
            <w:tcBorders>
              <w:top w:val="nil"/>
              <w:bottom w:val="nil"/>
            </w:tcBorders>
            <w:vAlign w:val="center"/>
          </w:tcPr>
          <w:p w:rsidR="00A37C64" w:rsidRDefault="00A37C64">
            <w:pPr>
              <w:jc w:val="center"/>
              <w:rPr>
                <w:rFonts w:cs="Arial"/>
                <w:sz w:val="20"/>
                <w:szCs w:val="20"/>
              </w:rPr>
            </w:pPr>
            <w:r>
              <w:rPr>
                <w:rFonts w:cs="Arial"/>
                <w:sz w:val="20"/>
                <w:szCs w:val="20"/>
              </w:rPr>
              <w:t>9.27</w:t>
            </w:r>
          </w:p>
        </w:tc>
        <w:tc>
          <w:tcPr>
            <w:tcW w:w="468" w:type="pct"/>
            <w:tcBorders>
              <w:top w:val="nil"/>
              <w:bottom w:val="nil"/>
            </w:tcBorders>
            <w:vAlign w:val="center"/>
          </w:tcPr>
          <w:p w:rsidR="00A37C64" w:rsidRDefault="00A37C64">
            <w:pPr>
              <w:jc w:val="center"/>
              <w:rPr>
                <w:rFonts w:cs="Arial"/>
                <w:sz w:val="20"/>
                <w:szCs w:val="20"/>
              </w:rPr>
            </w:pPr>
            <w:r>
              <w:rPr>
                <w:rFonts w:cs="Arial"/>
                <w:sz w:val="20"/>
                <w:szCs w:val="20"/>
              </w:rPr>
              <w:t>1013</w:t>
            </w:r>
          </w:p>
        </w:tc>
        <w:tc>
          <w:tcPr>
            <w:tcW w:w="476" w:type="pct"/>
            <w:tcBorders>
              <w:top w:val="nil"/>
              <w:bottom w:val="nil"/>
            </w:tcBorders>
            <w:vAlign w:val="center"/>
          </w:tcPr>
          <w:p w:rsidR="00A37C64" w:rsidRDefault="00A37C64">
            <w:pPr>
              <w:jc w:val="center"/>
              <w:rPr>
                <w:rFonts w:cs="Arial"/>
                <w:sz w:val="20"/>
                <w:szCs w:val="20"/>
              </w:rPr>
            </w:pPr>
            <w:r>
              <w:rPr>
                <w:rFonts w:cs="Arial"/>
                <w:sz w:val="20"/>
                <w:szCs w:val="20"/>
              </w:rPr>
              <w:t>9.89</w:t>
            </w:r>
          </w:p>
        </w:tc>
        <w:tc>
          <w:tcPr>
            <w:tcW w:w="469" w:type="pct"/>
            <w:tcBorders>
              <w:top w:val="nil"/>
              <w:bottom w:val="nil"/>
            </w:tcBorders>
            <w:vAlign w:val="center"/>
          </w:tcPr>
          <w:p w:rsidR="00A37C64" w:rsidRDefault="00A37C64">
            <w:pPr>
              <w:jc w:val="center"/>
              <w:rPr>
                <w:rFonts w:cs="Arial"/>
                <w:sz w:val="20"/>
                <w:szCs w:val="20"/>
              </w:rPr>
            </w:pPr>
            <w:r>
              <w:rPr>
                <w:rFonts w:cs="Arial"/>
                <w:sz w:val="20"/>
                <w:szCs w:val="20"/>
              </w:rPr>
              <w:t>298</w:t>
            </w:r>
          </w:p>
        </w:tc>
        <w:tc>
          <w:tcPr>
            <w:tcW w:w="500" w:type="pct"/>
            <w:tcBorders>
              <w:top w:val="nil"/>
              <w:bottom w:val="nil"/>
            </w:tcBorders>
            <w:vAlign w:val="center"/>
          </w:tcPr>
          <w:p w:rsidR="00A37C64" w:rsidRDefault="00A37C64">
            <w:pPr>
              <w:jc w:val="center"/>
              <w:rPr>
                <w:rFonts w:cs="Arial"/>
                <w:sz w:val="20"/>
                <w:szCs w:val="20"/>
              </w:rPr>
            </w:pPr>
            <w:r>
              <w:rPr>
                <w:rFonts w:cs="Arial"/>
                <w:sz w:val="20"/>
                <w:szCs w:val="20"/>
              </w:rPr>
              <w:t>8.98</w:t>
            </w:r>
          </w:p>
        </w:tc>
        <w:tc>
          <w:tcPr>
            <w:tcW w:w="468" w:type="pct"/>
            <w:tcBorders>
              <w:top w:val="nil"/>
              <w:bottom w:val="nil"/>
            </w:tcBorders>
            <w:vAlign w:val="center"/>
          </w:tcPr>
          <w:p w:rsidR="00A37C64" w:rsidRDefault="00A37C64">
            <w:pPr>
              <w:jc w:val="center"/>
              <w:rPr>
                <w:rFonts w:cs="Arial"/>
                <w:sz w:val="20"/>
                <w:szCs w:val="20"/>
              </w:rPr>
            </w:pPr>
            <w:r>
              <w:rPr>
                <w:rFonts w:cs="Arial"/>
                <w:sz w:val="20"/>
                <w:szCs w:val="20"/>
              </w:rPr>
              <w:t>85</w:t>
            </w:r>
          </w:p>
        </w:tc>
        <w:tc>
          <w:tcPr>
            <w:tcW w:w="466" w:type="pct"/>
            <w:tcBorders>
              <w:top w:val="nil"/>
              <w:bottom w:val="nil"/>
            </w:tcBorders>
            <w:vAlign w:val="center"/>
          </w:tcPr>
          <w:p w:rsidR="00A37C64" w:rsidRDefault="00A37C64">
            <w:pPr>
              <w:jc w:val="center"/>
              <w:rPr>
                <w:rFonts w:cs="Arial"/>
                <w:sz w:val="20"/>
                <w:szCs w:val="20"/>
              </w:rPr>
            </w:pPr>
            <w:r>
              <w:rPr>
                <w:rFonts w:cs="Arial"/>
                <w:sz w:val="20"/>
                <w:szCs w:val="20"/>
              </w:rPr>
              <w:t>6.62</w:t>
            </w:r>
          </w:p>
        </w:tc>
        <w:tc>
          <w:tcPr>
            <w:tcW w:w="537" w:type="pct"/>
            <w:tcBorders>
              <w:top w:val="nil"/>
              <w:bottom w:val="nil"/>
            </w:tcBorders>
            <w:vAlign w:val="center"/>
          </w:tcPr>
          <w:p w:rsidR="00A37C64" w:rsidRDefault="00A37C64">
            <w:pPr>
              <w:jc w:val="center"/>
              <w:rPr>
                <w:rFonts w:cs="Arial"/>
                <w:sz w:val="20"/>
                <w:szCs w:val="20"/>
              </w:rPr>
            </w:pPr>
            <w:r>
              <w:rPr>
                <w:rFonts w:cs="Arial"/>
                <w:sz w:val="20"/>
                <w:szCs w:val="20"/>
              </w:rPr>
              <w:t>87</w:t>
            </w:r>
          </w:p>
        </w:tc>
      </w:tr>
      <w:tr w:rsidR="00A37C64" w:rsidRPr="006A7228" w:rsidTr="00A37C64">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A37C64" w:rsidRDefault="00A37C64">
            <w:pPr>
              <w:rPr>
                <w:rFonts w:cs="Arial"/>
                <w:sz w:val="16"/>
                <w:szCs w:val="16"/>
              </w:rPr>
            </w:pPr>
            <w:r>
              <w:rPr>
                <w:rFonts w:cs="Arial"/>
                <w:sz w:val="16"/>
                <w:szCs w:val="16"/>
              </w:rPr>
              <w:t>% change from previous week</w:t>
            </w:r>
          </w:p>
        </w:tc>
        <w:tc>
          <w:tcPr>
            <w:tcW w:w="556" w:type="pct"/>
            <w:tcBorders>
              <w:top w:val="nil"/>
              <w:bottom w:val="nil"/>
            </w:tcBorders>
            <w:vAlign w:val="center"/>
          </w:tcPr>
          <w:p w:rsidR="00A37C64" w:rsidRDefault="00A37C64">
            <w:pPr>
              <w:jc w:val="center"/>
              <w:rPr>
                <w:rFonts w:cs="Arial"/>
                <w:szCs w:val="20"/>
              </w:rPr>
            </w:pPr>
            <w:r>
              <w:rPr>
                <w:rFonts w:cs="Arial"/>
                <w:szCs w:val="20"/>
              </w:rPr>
              <w:t>0</w:t>
            </w:r>
          </w:p>
        </w:tc>
        <w:tc>
          <w:tcPr>
            <w:tcW w:w="468" w:type="pct"/>
            <w:tcBorders>
              <w:top w:val="nil"/>
              <w:bottom w:val="nil"/>
            </w:tcBorders>
            <w:vAlign w:val="center"/>
          </w:tcPr>
          <w:p w:rsidR="00A37C64" w:rsidRDefault="00A37C64">
            <w:pPr>
              <w:jc w:val="center"/>
              <w:rPr>
                <w:rFonts w:cs="Arial"/>
                <w:szCs w:val="20"/>
              </w:rPr>
            </w:pPr>
            <w:r>
              <w:rPr>
                <w:rFonts w:cs="Arial"/>
                <w:szCs w:val="20"/>
              </w:rPr>
              <w:t>-2</w:t>
            </w:r>
          </w:p>
        </w:tc>
        <w:tc>
          <w:tcPr>
            <w:tcW w:w="476" w:type="pct"/>
            <w:tcBorders>
              <w:top w:val="nil"/>
              <w:bottom w:val="nil"/>
            </w:tcBorders>
            <w:vAlign w:val="center"/>
          </w:tcPr>
          <w:p w:rsidR="00A37C64" w:rsidRDefault="00A37C64">
            <w:pPr>
              <w:jc w:val="center"/>
              <w:rPr>
                <w:rFonts w:cs="Arial"/>
                <w:szCs w:val="20"/>
              </w:rPr>
            </w:pPr>
            <w:r>
              <w:rPr>
                <w:rFonts w:cs="Arial"/>
                <w:szCs w:val="20"/>
              </w:rPr>
              <w:t>3</w:t>
            </w:r>
          </w:p>
        </w:tc>
        <w:tc>
          <w:tcPr>
            <w:tcW w:w="469" w:type="pct"/>
            <w:tcBorders>
              <w:top w:val="nil"/>
              <w:bottom w:val="nil"/>
            </w:tcBorders>
            <w:vAlign w:val="center"/>
          </w:tcPr>
          <w:p w:rsidR="00A37C64" w:rsidRDefault="00A37C64">
            <w:pPr>
              <w:jc w:val="center"/>
              <w:rPr>
                <w:rFonts w:cs="Arial"/>
                <w:szCs w:val="20"/>
              </w:rPr>
            </w:pPr>
            <w:r>
              <w:rPr>
                <w:rFonts w:cs="Arial"/>
                <w:szCs w:val="20"/>
              </w:rPr>
              <w:t>-2</w:t>
            </w:r>
          </w:p>
        </w:tc>
        <w:tc>
          <w:tcPr>
            <w:tcW w:w="500" w:type="pct"/>
            <w:tcBorders>
              <w:top w:val="nil"/>
              <w:bottom w:val="nil"/>
            </w:tcBorders>
            <w:vAlign w:val="center"/>
          </w:tcPr>
          <w:p w:rsidR="00A37C64" w:rsidRDefault="00A37C64">
            <w:pPr>
              <w:jc w:val="center"/>
              <w:rPr>
                <w:rFonts w:cs="Arial"/>
                <w:szCs w:val="20"/>
              </w:rPr>
            </w:pPr>
            <w:r>
              <w:rPr>
                <w:rFonts w:cs="Arial"/>
                <w:szCs w:val="20"/>
              </w:rPr>
              <w:t>1</w:t>
            </w:r>
          </w:p>
        </w:tc>
        <w:tc>
          <w:tcPr>
            <w:tcW w:w="468" w:type="pct"/>
            <w:tcBorders>
              <w:top w:val="nil"/>
              <w:bottom w:val="nil"/>
            </w:tcBorders>
            <w:vAlign w:val="center"/>
          </w:tcPr>
          <w:p w:rsidR="00A37C64" w:rsidRDefault="00A37C64">
            <w:pPr>
              <w:jc w:val="center"/>
              <w:rPr>
                <w:rFonts w:cs="Arial"/>
                <w:szCs w:val="20"/>
              </w:rPr>
            </w:pPr>
            <w:r>
              <w:rPr>
                <w:rFonts w:cs="Arial"/>
                <w:szCs w:val="20"/>
              </w:rPr>
              <w:t>2</w:t>
            </w:r>
          </w:p>
        </w:tc>
        <w:tc>
          <w:tcPr>
            <w:tcW w:w="466" w:type="pct"/>
            <w:tcBorders>
              <w:top w:val="nil"/>
              <w:bottom w:val="nil"/>
            </w:tcBorders>
            <w:vAlign w:val="center"/>
          </w:tcPr>
          <w:p w:rsidR="00A37C64" w:rsidRDefault="00A37C64">
            <w:pPr>
              <w:jc w:val="center"/>
              <w:rPr>
                <w:rFonts w:cs="Arial"/>
                <w:szCs w:val="20"/>
              </w:rPr>
            </w:pPr>
            <w:r>
              <w:rPr>
                <w:rFonts w:cs="Arial"/>
                <w:szCs w:val="20"/>
              </w:rPr>
              <w:t>6</w:t>
            </w:r>
          </w:p>
        </w:tc>
        <w:tc>
          <w:tcPr>
            <w:tcW w:w="537" w:type="pct"/>
            <w:tcBorders>
              <w:top w:val="nil"/>
              <w:bottom w:val="nil"/>
            </w:tcBorders>
            <w:vAlign w:val="center"/>
          </w:tcPr>
          <w:p w:rsidR="00A37C64" w:rsidRDefault="00A37C64">
            <w:pPr>
              <w:jc w:val="center"/>
              <w:rPr>
                <w:rFonts w:cs="Arial"/>
                <w:szCs w:val="20"/>
              </w:rPr>
            </w:pPr>
            <w:r>
              <w:rPr>
                <w:rFonts w:cs="Arial"/>
                <w:szCs w:val="20"/>
              </w:rPr>
              <w:t>-2</w:t>
            </w:r>
          </w:p>
        </w:tc>
      </w:tr>
      <w:tr w:rsidR="00A37C64" w:rsidRPr="006A7228" w:rsidTr="00A37C64">
        <w:trPr>
          <w:trHeight w:val="510"/>
        </w:trPr>
        <w:tc>
          <w:tcPr>
            <w:tcW w:w="1060" w:type="pct"/>
            <w:tcBorders>
              <w:top w:val="nil"/>
              <w:bottom w:val="nil"/>
            </w:tcBorders>
            <w:vAlign w:val="center"/>
          </w:tcPr>
          <w:p w:rsidR="00A37C64" w:rsidRDefault="00A37C64" w:rsidP="00B66B7E">
            <w:pPr>
              <w:rPr>
                <w:rFonts w:cs="Arial"/>
                <w:sz w:val="16"/>
                <w:szCs w:val="16"/>
              </w:rPr>
            </w:pPr>
            <w:r>
              <w:rPr>
                <w:rFonts w:cs="Arial"/>
                <w:sz w:val="16"/>
                <w:szCs w:val="16"/>
              </w:rPr>
              <w:t>16-17 financial year</w:t>
            </w:r>
          </w:p>
        </w:tc>
        <w:tc>
          <w:tcPr>
            <w:tcW w:w="556" w:type="pct"/>
            <w:tcBorders>
              <w:top w:val="nil"/>
              <w:bottom w:val="nil"/>
            </w:tcBorders>
            <w:vAlign w:val="center"/>
          </w:tcPr>
          <w:p w:rsidR="00A37C64" w:rsidRDefault="00A37C64" w:rsidP="00B66B7E">
            <w:pPr>
              <w:jc w:val="center"/>
              <w:rPr>
                <w:rFonts w:cs="Arial"/>
                <w:sz w:val="20"/>
                <w:szCs w:val="20"/>
              </w:rPr>
            </w:pPr>
            <w:r>
              <w:rPr>
                <w:rFonts w:cs="Arial"/>
                <w:sz w:val="20"/>
                <w:szCs w:val="20"/>
              </w:rPr>
              <w:t>8.58</w:t>
            </w:r>
          </w:p>
        </w:tc>
        <w:tc>
          <w:tcPr>
            <w:tcW w:w="468" w:type="pct"/>
            <w:tcBorders>
              <w:top w:val="nil"/>
              <w:bottom w:val="nil"/>
            </w:tcBorders>
            <w:vAlign w:val="center"/>
          </w:tcPr>
          <w:p w:rsidR="00A37C64" w:rsidRDefault="00A37C64" w:rsidP="00B66B7E">
            <w:pPr>
              <w:jc w:val="center"/>
              <w:rPr>
                <w:rFonts w:cs="Arial"/>
                <w:sz w:val="20"/>
                <w:szCs w:val="20"/>
              </w:rPr>
            </w:pPr>
            <w:r>
              <w:rPr>
                <w:rFonts w:cs="Arial"/>
                <w:sz w:val="20"/>
                <w:szCs w:val="20"/>
              </w:rPr>
              <w:t>565</w:t>
            </w:r>
          </w:p>
        </w:tc>
        <w:tc>
          <w:tcPr>
            <w:tcW w:w="476" w:type="pct"/>
            <w:tcBorders>
              <w:top w:val="nil"/>
              <w:bottom w:val="nil"/>
            </w:tcBorders>
            <w:vAlign w:val="center"/>
          </w:tcPr>
          <w:p w:rsidR="00A37C64" w:rsidRDefault="00A37C64" w:rsidP="00B66B7E">
            <w:pPr>
              <w:jc w:val="center"/>
              <w:rPr>
                <w:rFonts w:cs="Arial"/>
                <w:sz w:val="20"/>
                <w:szCs w:val="20"/>
              </w:rPr>
            </w:pPr>
            <w:r>
              <w:rPr>
                <w:rFonts w:cs="Arial"/>
                <w:sz w:val="20"/>
                <w:szCs w:val="20"/>
              </w:rPr>
              <w:t>8.81</w:t>
            </w:r>
          </w:p>
        </w:tc>
        <w:tc>
          <w:tcPr>
            <w:tcW w:w="469" w:type="pct"/>
            <w:tcBorders>
              <w:top w:val="nil"/>
              <w:bottom w:val="nil"/>
            </w:tcBorders>
            <w:vAlign w:val="center"/>
          </w:tcPr>
          <w:p w:rsidR="00A37C64" w:rsidRDefault="00A37C64" w:rsidP="00B66B7E">
            <w:pPr>
              <w:jc w:val="center"/>
              <w:rPr>
                <w:rFonts w:cs="Arial"/>
                <w:sz w:val="20"/>
                <w:szCs w:val="20"/>
              </w:rPr>
            </w:pPr>
            <w:r>
              <w:rPr>
                <w:rFonts w:cs="Arial"/>
                <w:sz w:val="20"/>
                <w:szCs w:val="20"/>
              </w:rPr>
              <w:t>244</w:t>
            </w:r>
          </w:p>
        </w:tc>
        <w:tc>
          <w:tcPr>
            <w:tcW w:w="500" w:type="pct"/>
            <w:tcBorders>
              <w:top w:val="nil"/>
              <w:bottom w:val="nil"/>
            </w:tcBorders>
            <w:vAlign w:val="center"/>
          </w:tcPr>
          <w:p w:rsidR="00A37C64" w:rsidRDefault="00A37C64" w:rsidP="00B66B7E">
            <w:pPr>
              <w:jc w:val="center"/>
              <w:rPr>
                <w:rFonts w:cs="Arial"/>
                <w:sz w:val="20"/>
                <w:szCs w:val="20"/>
              </w:rPr>
            </w:pPr>
            <w:r>
              <w:rPr>
                <w:rFonts w:cs="Arial"/>
                <w:sz w:val="20"/>
                <w:szCs w:val="20"/>
              </w:rPr>
              <w:t>8.83</w:t>
            </w:r>
          </w:p>
        </w:tc>
        <w:tc>
          <w:tcPr>
            <w:tcW w:w="468" w:type="pct"/>
            <w:tcBorders>
              <w:top w:val="nil"/>
              <w:bottom w:val="nil"/>
            </w:tcBorders>
            <w:vAlign w:val="center"/>
          </w:tcPr>
          <w:p w:rsidR="00A37C64" w:rsidRDefault="00A37C64" w:rsidP="00B66B7E">
            <w:pPr>
              <w:jc w:val="center"/>
              <w:rPr>
                <w:rFonts w:cs="Arial"/>
                <w:sz w:val="20"/>
                <w:szCs w:val="20"/>
              </w:rPr>
            </w:pPr>
            <w:r>
              <w:rPr>
                <w:rFonts w:cs="Arial"/>
                <w:sz w:val="20"/>
                <w:szCs w:val="20"/>
              </w:rPr>
              <w:t>63</w:t>
            </w:r>
          </w:p>
        </w:tc>
        <w:tc>
          <w:tcPr>
            <w:tcW w:w="466" w:type="pct"/>
            <w:tcBorders>
              <w:top w:val="nil"/>
              <w:bottom w:val="nil"/>
            </w:tcBorders>
            <w:vAlign w:val="center"/>
          </w:tcPr>
          <w:p w:rsidR="00A37C64" w:rsidRDefault="00A37C64" w:rsidP="00B66B7E">
            <w:pPr>
              <w:jc w:val="center"/>
              <w:rPr>
                <w:rFonts w:cs="Arial"/>
                <w:sz w:val="20"/>
                <w:szCs w:val="20"/>
              </w:rPr>
            </w:pPr>
            <w:r>
              <w:rPr>
                <w:rFonts w:cs="Arial"/>
                <w:sz w:val="20"/>
                <w:szCs w:val="20"/>
              </w:rPr>
              <w:t>8.21</w:t>
            </w:r>
          </w:p>
        </w:tc>
        <w:tc>
          <w:tcPr>
            <w:tcW w:w="537" w:type="pct"/>
            <w:tcBorders>
              <w:top w:val="nil"/>
              <w:bottom w:val="nil"/>
            </w:tcBorders>
            <w:vAlign w:val="center"/>
          </w:tcPr>
          <w:p w:rsidR="00A37C64" w:rsidRDefault="00A37C64" w:rsidP="00B66B7E">
            <w:pPr>
              <w:jc w:val="center"/>
              <w:rPr>
                <w:rFonts w:cs="Arial"/>
                <w:sz w:val="20"/>
                <w:szCs w:val="20"/>
              </w:rPr>
            </w:pPr>
            <w:r>
              <w:rPr>
                <w:rFonts w:cs="Arial"/>
                <w:sz w:val="20"/>
                <w:szCs w:val="20"/>
              </w:rPr>
              <w:t>85</w:t>
            </w:r>
          </w:p>
        </w:tc>
      </w:tr>
      <w:tr w:rsidR="00A37C64" w:rsidRPr="006A7228" w:rsidTr="00A37C64">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A37C64" w:rsidRDefault="00A37C64" w:rsidP="00B66B7E">
            <w:pPr>
              <w:rPr>
                <w:rFonts w:cs="Arial"/>
                <w:sz w:val="16"/>
                <w:szCs w:val="16"/>
              </w:rPr>
            </w:pPr>
            <w:r>
              <w:rPr>
                <w:rFonts w:cs="Arial"/>
                <w:sz w:val="16"/>
                <w:szCs w:val="16"/>
              </w:rPr>
              <w:t>% change from previous financial year</w:t>
            </w:r>
          </w:p>
        </w:tc>
        <w:tc>
          <w:tcPr>
            <w:tcW w:w="556" w:type="pct"/>
            <w:tcBorders>
              <w:top w:val="nil"/>
              <w:bottom w:val="single" w:sz="4" w:space="0" w:color="auto"/>
            </w:tcBorders>
            <w:vAlign w:val="center"/>
          </w:tcPr>
          <w:p w:rsidR="00A37C64" w:rsidRDefault="00A37C64" w:rsidP="00B66B7E">
            <w:pPr>
              <w:jc w:val="center"/>
              <w:rPr>
                <w:rFonts w:cs="Arial"/>
                <w:szCs w:val="20"/>
              </w:rPr>
            </w:pPr>
            <w:r>
              <w:rPr>
                <w:rFonts w:cs="Arial"/>
                <w:szCs w:val="20"/>
              </w:rPr>
              <w:t>72</w:t>
            </w:r>
          </w:p>
        </w:tc>
        <w:tc>
          <w:tcPr>
            <w:tcW w:w="468" w:type="pct"/>
            <w:tcBorders>
              <w:top w:val="nil"/>
              <w:bottom w:val="single" w:sz="4" w:space="0" w:color="auto"/>
            </w:tcBorders>
            <w:vAlign w:val="center"/>
          </w:tcPr>
          <w:p w:rsidR="00A37C64" w:rsidRDefault="00A37C64" w:rsidP="00B66B7E">
            <w:pPr>
              <w:jc w:val="center"/>
              <w:rPr>
                <w:rFonts w:cs="Arial"/>
                <w:szCs w:val="20"/>
              </w:rPr>
            </w:pPr>
            <w:r>
              <w:rPr>
                <w:rFonts w:cs="Arial"/>
                <w:szCs w:val="20"/>
              </w:rPr>
              <w:t>1</w:t>
            </w:r>
          </w:p>
        </w:tc>
        <w:tc>
          <w:tcPr>
            <w:tcW w:w="476" w:type="pct"/>
            <w:tcBorders>
              <w:top w:val="nil"/>
              <w:bottom w:val="single" w:sz="4" w:space="0" w:color="auto"/>
            </w:tcBorders>
            <w:vAlign w:val="center"/>
          </w:tcPr>
          <w:p w:rsidR="00A37C64" w:rsidRDefault="00A37C64" w:rsidP="00B66B7E">
            <w:pPr>
              <w:jc w:val="center"/>
              <w:rPr>
                <w:rFonts w:cs="Arial"/>
                <w:szCs w:val="20"/>
              </w:rPr>
            </w:pPr>
            <w:r>
              <w:rPr>
                <w:rFonts w:cs="Arial"/>
                <w:szCs w:val="20"/>
              </w:rPr>
              <w:t>74</w:t>
            </w:r>
          </w:p>
        </w:tc>
        <w:tc>
          <w:tcPr>
            <w:tcW w:w="469" w:type="pct"/>
            <w:tcBorders>
              <w:top w:val="nil"/>
              <w:bottom w:val="single" w:sz="4" w:space="0" w:color="auto"/>
            </w:tcBorders>
            <w:vAlign w:val="center"/>
          </w:tcPr>
          <w:p w:rsidR="00A37C64" w:rsidRDefault="00A37C64" w:rsidP="00B66B7E">
            <w:pPr>
              <w:jc w:val="center"/>
              <w:rPr>
                <w:rFonts w:cs="Arial"/>
                <w:szCs w:val="20"/>
              </w:rPr>
            </w:pPr>
            <w:r>
              <w:rPr>
                <w:rFonts w:cs="Arial"/>
                <w:szCs w:val="20"/>
              </w:rPr>
              <w:t>2</w:t>
            </w:r>
          </w:p>
        </w:tc>
        <w:tc>
          <w:tcPr>
            <w:tcW w:w="500" w:type="pct"/>
            <w:tcBorders>
              <w:top w:val="nil"/>
              <w:bottom w:val="single" w:sz="4" w:space="0" w:color="auto"/>
            </w:tcBorders>
            <w:vAlign w:val="center"/>
          </w:tcPr>
          <w:p w:rsidR="00A37C64" w:rsidRDefault="00A37C64" w:rsidP="00B66B7E">
            <w:pPr>
              <w:jc w:val="center"/>
              <w:rPr>
                <w:rFonts w:cs="Arial"/>
                <w:szCs w:val="20"/>
              </w:rPr>
            </w:pPr>
            <w:r>
              <w:rPr>
                <w:rFonts w:cs="Arial"/>
                <w:szCs w:val="20"/>
              </w:rPr>
              <w:t>54</w:t>
            </w:r>
          </w:p>
        </w:tc>
        <w:tc>
          <w:tcPr>
            <w:tcW w:w="468" w:type="pct"/>
            <w:tcBorders>
              <w:top w:val="nil"/>
              <w:bottom w:val="single" w:sz="4" w:space="0" w:color="auto"/>
            </w:tcBorders>
            <w:vAlign w:val="center"/>
          </w:tcPr>
          <w:p w:rsidR="00A37C64" w:rsidRDefault="00A37C64" w:rsidP="00B66B7E">
            <w:pPr>
              <w:jc w:val="center"/>
              <w:rPr>
                <w:rFonts w:cs="Arial"/>
                <w:szCs w:val="20"/>
              </w:rPr>
            </w:pPr>
            <w:r>
              <w:rPr>
                <w:rFonts w:cs="Arial"/>
                <w:szCs w:val="20"/>
              </w:rPr>
              <w:t>3</w:t>
            </w:r>
          </w:p>
        </w:tc>
        <w:tc>
          <w:tcPr>
            <w:tcW w:w="466" w:type="pct"/>
            <w:tcBorders>
              <w:top w:val="nil"/>
              <w:bottom w:val="single" w:sz="4" w:space="0" w:color="auto"/>
            </w:tcBorders>
            <w:vAlign w:val="center"/>
          </w:tcPr>
          <w:p w:rsidR="00A37C64" w:rsidRDefault="00A37C64" w:rsidP="00B66B7E">
            <w:pPr>
              <w:jc w:val="center"/>
              <w:rPr>
                <w:rFonts w:cs="Arial"/>
                <w:szCs w:val="20"/>
              </w:rPr>
            </w:pPr>
            <w:r>
              <w:rPr>
                <w:rFonts w:cs="Arial"/>
                <w:szCs w:val="20"/>
              </w:rPr>
              <w:t>76</w:t>
            </w:r>
          </w:p>
        </w:tc>
        <w:tc>
          <w:tcPr>
            <w:tcW w:w="537" w:type="pct"/>
            <w:tcBorders>
              <w:top w:val="nil"/>
              <w:bottom w:val="single" w:sz="4" w:space="0" w:color="auto"/>
            </w:tcBorders>
            <w:vAlign w:val="center"/>
          </w:tcPr>
          <w:p w:rsidR="00A37C64" w:rsidRDefault="00A37C64" w:rsidP="00B66B7E">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r w:rsidR="003B50C9">
        <w:fldChar w:fldCharType="begin"/>
      </w:r>
      <w:r w:rsidR="003B50C9">
        <w:instrText xml:space="preserve"> SEQ Figure \* ARABIC </w:instrText>
      </w:r>
      <w:r w:rsidR="003B50C9">
        <w:fldChar w:fldCharType="separate"/>
      </w:r>
      <w:r>
        <w:rPr>
          <w:noProof/>
        </w:rPr>
        <w:t>2</w:t>
      </w:r>
      <w:r w:rsidR="003B50C9">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B66B7E">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B66B7E">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B66B7E">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B66B7E">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B66B7E">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B66B7E">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B66B7E">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B66B7E">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B66B7E">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B66B7E">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B66B7E">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B66B7E">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B66B7E">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A37C64" w:rsidRPr="006A7228" w:rsidTr="00B66B7E">
        <w:trPr>
          <w:trHeight w:val="510"/>
        </w:trPr>
        <w:tc>
          <w:tcPr>
            <w:tcW w:w="1023" w:type="pct"/>
            <w:tcBorders>
              <w:top w:val="nil"/>
              <w:bottom w:val="nil"/>
            </w:tcBorders>
            <w:vAlign w:val="center"/>
          </w:tcPr>
          <w:p w:rsidR="00A37C64" w:rsidRDefault="00A37C64">
            <w:pPr>
              <w:rPr>
                <w:rFonts w:cs="Arial"/>
                <w:sz w:val="16"/>
                <w:szCs w:val="16"/>
              </w:rPr>
            </w:pPr>
            <w:r>
              <w:rPr>
                <w:rFonts w:cs="Arial"/>
                <w:sz w:val="16"/>
                <w:szCs w:val="16"/>
              </w:rPr>
              <w:t>16 Jul - 22 Jul 2017</w:t>
            </w:r>
          </w:p>
        </w:tc>
        <w:tc>
          <w:tcPr>
            <w:tcW w:w="723"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35"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69" w:type="pct"/>
            <w:tcBorders>
              <w:top w:val="nil"/>
              <w:bottom w:val="nil"/>
            </w:tcBorders>
            <w:vAlign w:val="center"/>
          </w:tcPr>
          <w:p w:rsidR="00A37C64" w:rsidRDefault="00A37C64">
            <w:pPr>
              <w:jc w:val="center"/>
              <w:rPr>
                <w:rFonts w:cs="Arial"/>
                <w:sz w:val="20"/>
                <w:szCs w:val="20"/>
              </w:rPr>
            </w:pPr>
            <w:r>
              <w:rPr>
                <w:rFonts w:cs="Arial"/>
                <w:sz w:val="20"/>
                <w:szCs w:val="20"/>
              </w:rPr>
              <w:t>6.70</w:t>
            </w:r>
          </w:p>
        </w:tc>
        <w:tc>
          <w:tcPr>
            <w:tcW w:w="678" w:type="pct"/>
            <w:tcBorders>
              <w:top w:val="nil"/>
              <w:bottom w:val="nil"/>
            </w:tcBorders>
            <w:vAlign w:val="center"/>
          </w:tcPr>
          <w:p w:rsidR="00A37C64" w:rsidRDefault="00A37C64">
            <w:pPr>
              <w:jc w:val="center"/>
              <w:rPr>
                <w:rFonts w:cs="Arial"/>
                <w:sz w:val="20"/>
                <w:szCs w:val="20"/>
              </w:rPr>
            </w:pPr>
            <w:r>
              <w:rPr>
                <w:rFonts w:cs="Arial"/>
                <w:sz w:val="20"/>
                <w:szCs w:val="20"/>
              </w:rPr>
              <w:t>136</w:t>
            </w:r>
          </w:p>
        </w:tc>
        <w:tc>
          <w:tcPr>
            <w:tcW w:w="625" w:type="pct"/>
            <w:tcBorders>
              <w:top w:val="nil"/>
              <w:bottom w:val="nil"/>
            </w:tcBorders>
            <w:vAlign w:val="center"/>
          </w:tcPr>
          <w:p w:rsidR="00A37C64" w:rsidRDefault="00A37C64">
            <w:pPr>
              <w:jc w:val="center"/>
              <w:rPr>
                <w:rFonts w:cs="Arial"/>
                <w:sz w:val="20"/>
                <w:szCs w:val="20"/>
              </w:rPr>
            </w:pPr>
            <w:r>
              <w:rPr>
                <w:rFonts w:cs="Arial"/>
                <w:sz w:val="20"/>
                <w:szCs w:val="20"/>
              </w:rPr>
              <w:t>7.49</w:t>
            </w:r>
          </w:p>
        </w:tc>
        <w:tc>
          <w:tcPr>
            <w:tcW w:w="647" w:type="pct"/>
            <w:tcBorders>
              <w:top w:val="nil"/>
              <w:bottom w:val="nil"/>
            </w:tcBorders>
            <w:vAlign w:val="center"/>
          </w:tcPr>
          <w:p w:rsidR="00A37C64" w:rsidRDefault="00A37C64">
            <w:pPr>
              <w:jc w:val="center"/>
              <w:rPr>
                <w:rFonts w:cs="Arial"/>
                <w:sz w:val="20"/>
                <w:szCs w:val="20"/>
              </w:rPr>
            </w:pPr>
            <w:r>
              <w:rPr>
                <w:rFonts w:cs="Arial"/>
                <w:sz w:val="20"/>
                <w:szCs w:val="20"/>
              </w:rPr>
              <w:t>163</w:t>
            </w:r>
          </w:p>
        </w:tc>
      </w:tr>
      <w:tr w:rsidR="00A37C64" w:rsidRPr="006A7228" w:rsidTr="00B66B7E">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A37C64" w:rsidRDefault="00A37C64">
            <w:pPr>
              <w:rPr>
                <w:rFonts w:cs="Arial"/>
                <w:sz w:val="16"/>
                <w:szCs w:val="16"/>
              </w:rPr>
            </w:pPr>
            <w:r>
              <w:rPr>
                <w:rFonts w:cs="Arial"/>
                <w:sz w:val="16"/>
                <w:szCs w:val="16"/>
              </w:rPr>
              <w:t>% change from previous week</w:t>
            </w:r>
          </w:p>
        </w:tc>
        <w:tc>
          <w:tcPr>
            <w:tcW w:w="723" w:type="pct"/>
            <w:tcBorders>
              <w:top w:val="nil"/>
              <w:bottom w:val="nil"/>
            </w:tcBorders>
            <w:vAlign w:val="center"/>
          </w:tcPr>
          <w:p w:rsidR="00A37C64" w:rsidRDefault="00A37C64">
            <w:pPr>
              <w:jc w:val="center"/>
              <w:rPr>
                <w:rFonts w:cs="Arial"/>
                <w:szCs w:val="20"/>
              </w:rPr>
            </w:pPr>
            <w:r>
              <w:rPr>
                <w:rFonts w:cs="Arial"/>
                <w:szCs w:val="20"/>
              </w:rPr>
              <w:t>-</w:t>
            </w:r>
          </w:p>
        </w:tc>
        <w:tc>
          <w:tcPr>
            <w:tcW w:w="635" w:type="pct"/>
            <w:tcBorders>
              <w:top w:val="nil"/>
              <w:bottom w:val="nil"/>
            </w:tcBorders>
            <w:vAlign w:val="center"/>
          </w:tcPr>
          <w:p w:rsidR="00A37C64" w:rsidRDefault="00A37C64">
            <w:pPr>
              <w:jc w:val="center"/>
              <w:rPr>
                <w:rFonts w:cs="Arial"/>
                <w:szCs w:val="20"/>
              </w:rPr>
            </w:pPr>
            <w:r>
              <w:rPr>
                <w:rFonts w:cs="Arial"/>
                <w:szCs w:val="20"/>
              </w:rPr>
              <w:t>-</w:t>
            </w:r>
          </w:p>
        </w:tc>
        <w:tc>
          <w:tcPr>
            <w:tcW w:w="669" w:type="pct"/>
            <w:tcBorders>
              <w:top w:val="nil"/>
              <w:bottom w:val="nil"/>
            </w:tcBorders>
            <w:vAlign w:val="center"/>
          </w:tcPr>
          <w:p w:rsidR="00A37C64" w:rsidRDefault="00A37C64">
            <w:pPr>
              <w:jc w:val="center"/>
              <w:rPr>
                <w:rFonts w:cs="Arial"/>
                <w:szCs w:val="20"/>
              </w:rPr>
            </w:pPr>
            <w:r>
              <w:rPr>
                <w:rFonts w:cs="Arial"/>
                <w:szCs w:val="20"/>
              </w:rPr>
              <w:t>0</w:t>
            </w:r>
          </w:p>
        </w:tc>
        <w:tc>
          <w:tcPr>
            <w:tcW w:w="678" w:type="pct"/>
            <w:tcBorders>
              <w:top w:val="nil"/>
              <w:bottom w:val="nil"/>
            </w:tcBorders>
            <w:vAlign w:val="center"/>
          </w:tcPr>
          <w:p w:rsidR="00A37C64" w:rsidRDefault="00A37C64">
            <w:pPr>
              <w:jc w:val="center"/>
              <w:rPr>
                <w:rFonts w:cs="Arial"/>
                <w:szCs w:val="20"/>
              </w:rPr>
            </w:pPr>
            <w:r>
              <w:rPr>
                <w:rFonts w:cs="Arial"/>
                <w:szCs w:val="20"/>
              </w:rPr>
              <w:t>-23</w:t>
            </w:r>
          </w:p>
        </w:tc>
        <w:tc>
          <w:tcPr>
            <w:tcW w:w="625" w:type="pct"/>
            <w:tcBorders>
              <w:top w:val="nil"/>
              <w:bottom w:val="nil"/>
            </w:tcBorders>
            <w:vAlign w:val="center"/>
          </w:tcPr>
          <w:p w:rsidR="00A37C64" w:rsidRDefault="00B570CD">
            <w:pPr>
              <w:jc w:val="center"/>
              <w:rPr>
                <w:rFonts w:cs="Arial"/>
                <w:szCs w:val="20"/>
              </w:rPr>
            </w:pPr>
            <w:r>
              <w:rPr>
                <w:rFonts w:cs="Arial"/>
                <w:szCs w:val="20"/>
              </w:rPr>
              <w:t>0</w:t>
            </w:r>
          </w:p>
        </w:tc>
        <w:tc>
          <w:tcPr>
            <w:tcW w:w="647" w:type="pct"/>
            <w:tcBorders>
              <w:top w:val="nil"/>
              <w:bottom w:val="nil"/>
            </w:tcBorders>
            <w:vAlign w:val="center"/>
          </w:tcPr>
          <w:p w:rsidR="00A37C64" w:rsidRDefault="00A37C64">
            <w:pPr>
              <w:jc w:val="center"/>
              <w:rPr>
                <w:rFonts w:cs="Arial"/>
                <w:szCs w:val="20"/>
              </w:rPr>
            </w:pPr>
            <w:r>
              <w:rPr>
                <w:rFonts w:cs="Arial"/>
                <w:szCs w:val="20"/>
              </w:rPr>
              <w:t>81</w:t>
            </w:r>
          </w:p>
        </w:tc>
      </w:tr>
      <w:tr w:rsidR="00A37C64" w:rsidRPr="006A7228" w:rsidTr="00B66B7E">
        <w:trPr>
          <w:trHeight w:val="510"/>
        </w:trPr>
        <w:tc>
          <w:tcPr>
            <w:tcW w:w="1023" w:type="pct"/>
            <w:tcBorders>
              <w:top w:val="nil"/>
              <w:bottom w:val="nil"/>
            </w:tcBorders>
            <w:vAlign w:val="center"/>
          </w:tcPr>
          <w:p w:rsidR="00A37C64" w:rsidRDefault="00A37C64" w:rsidP="00B66B7E">
            <w:pPr>
              <w:rPr>
                <w:rFonts w:cs="Arial"/>
                <w:sz w:val="16"/>
                <w:szCs w:val="16"/>
              </w:rPr>
            </w:pPr>
            <w:r>
              <w:rPr>
                <w:rFonts w:cs="Arial"/>
                <w:sz w:val="16"/>
                <w:szCs w:val="16"/>
              </w:rPr>
              <w:t>16-17 financial year</w:t>
            </w:r>
          </w:p>
        </w:tc>
        <w:tc>
          <w:tcPr>
            <w:tcW w:w="723" w:type="pct"/>
            <w:tcBorders>
              <w:top w:val="nil"/>
              <w:bottom w:val="nil"/>
            </w:tcBorders>
            <w:vAlign w:val="center"/>
          </w:tcPr>
          <w:p w:rsidR="00A37C64" w:rsidRDefault="00A37C64" w:rsidP="00B66B7E">
            <w:pPr>
              <w:jc w:val="center"/>
              <w:rPr>
                <w:rFonts w:cs="Arial"/>
                <w:sz w:val="20"/>
                <w:szCs w:val="20"/>
              </w:rPr>
            </w:pPr>
            <w:r>
              <w:rPr>
                <w:rFonts w:cs="Arial"/>
                <w:sz w:val="20"/>
                <w:szCs w:val="20"/>
              </w:rPr>
              <w:t>-</w:t>
            </w:r>
          </w:p>
        </w:tc>
        <w:tc>
          <w:tcPr>
            <w:tcW w:w="635" w:type="pct"/>
            <w:tcBorders>
              <w:top w:val="nil"/>
              <w:bottom w:val="nil"/>
            </w:tcBorders>
            <w:vAlign w:val="center"/>
          </w:tcPr>
          <w:p w:rsidR="00A37C64" w:rsidRDefault="00A37C64" w:rsidP="00B66B7E">
            <w:pPr>
              <w:jc w:val="center"/>
              <w:rPr>
                <w:rFonts w:cs="Arial"/>
                <w:sz w:val="20"/>
                <w:szCs w:val="20"/>
              </w:rPr>
            </w:pPr>
            <w:r>
              <w:rPr>
                <w:rFonts w:cs="Arial"/>
                <w:sz w:val="20"/>
                <w:szCs w:val="20"/>
              </w:rPr>
              <w:t>-</w:t>
            </w:r>
          </w:p>
        </w:tc>
        <w:tc>
          <w:tcPr>
            <w:tcW w:w="669" w:type="pct"/>
            <w:tcBorders>
              <w:top w:val="nil"/>
              <w:bottom w:val="nil"/>
            </w:tcBorders>
            <w:vAlign w:val="center"/>
          </w:tcPr>
          <w:p w:rsidR="00A37C64" w:rsidRDefault="00A37C64" w:rsidP="00B66B7E">
            <w:pPr>
              <w:jc w:val="center"/>
              <w:rPr>
                <w:rFonts w:cs="Arial"/>
                <w:sz w:val="20"/>
                <w:szCs w:val="20"/>
              </w:rPr>
            </w:pPr>
            <w:r>
              <w:rPr>
                <w:rFonts w:cs="Arial"/>
                <w:sz w:val="20"/>
                <w:szCs w:val="20"/>
              </w:rPr>
              <w:t>7.32</w:t>
            </w:r>
          </w:p>
        </w:tc>
        <w:tc>
          <w:tcPr>
            <w:tcW w:w="678" w:type="pct"/>
            <w:tcBorders>
              <w:top w:val="nil"/>
              <w:bottom w:val="nil"/>
            </w:tcBorders>
            <w:vAlign w:val="center"/>
          </w:tcPr>
          <w:p w:rsidR="00A37C64" w:rsidRDefault="00A37C64" w:rsidP="00B66B7E">
            <w:pPr>
              <w:jc w:val="center"/>
              <w:rPr>
                <w:rFonts w:cs="Arial"/>
                <w:sz w:val="20"/>
                <w:szCs w:val="20"/>
              </w:rPr>
            </w:pPr>
            <w:r>
              <w:rPr>
                <w:rFonts w:cs="Arial"/>
                <w:sz w:val="20"/>
                <w:szCs w:val="20"/>
              </w:rPr>
              <w:t>995</w:t>
            </w:r>
          </w:p>
        </w:tc>
        <w:tc>
          <w:tcPr>
            <w:tcW w:w="625" w:type="pct"/>
            <w:tcBorders>
              <w:top w:val="nil"/>
              <w:bottom w:val="nil"/>
            </w:tcBorders>
            <w:vAlign w:val="center"/>
          </w:tcPr>
          <w:p w:rsidR="00A37C64" w:rsidRDefault="00A37C64" w:rsidP="00B66B7E">
            <w:pPr>
              <w:jc w:val="center"/>
              <w:rPr>
                <w:rFonts w:cs="Arial"/>
                <w:sz w:val="20"/>
                <w:szCs w:val="20"/>
              </w:rPr>
            </w:pPr>
            <w:r>
              <w:rPr>
                <w:rFonts w:cs="Arial"/>
                <w:sz w:val="20"/>
                <w:szCs w:val="20"/>
              </w:rPr>
              <w:t>8.27</w:t>
            </w:r>
          </w:p>
        </w:tc>
        <w:tc>
          <w:tcPr>
            <w:tcW w:w="647" w:type="pct"/>
            <w:tcBorders>
              <w:top w:val="nil"/>
              <w:bottom w:val="nil"/>
            </w:tcBorders>
            <w:vAlign w:val="center"/>
          </w:tcPr>
          <w:p w:rsidR="00A37C64" w:rsidRDefault="00A37C64" w:rsidP="00B66B7E">
            <w:pPr>
              <w:jc w:val="center"/>
              <w:rPr>
                <w:rFonts w:cs="Arial"/>
                <w:sz w:val="20"/>
                <w:szCs w:val="20"/>
              </w:rPr>
            </w:pPr>
            <w:r>
              <w:rPr>
                <w:rFonts w:cs="Arial"/>
                <w:sz w:val="20"/>
                <w:szCs w:val="20"/>
              </w:rPr>
              <w:t>8792</w:t>
            </w:r>
          </w:p>
        </w:tc>
      </w:tr>
      <w:tr w:rsidR="00A37C64" w:rsidRPr="006A7228" w:rsidTr="00B66B7E">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A37C64" w:rsidRDefault="00A37C64" w:rsidP="00B66B7E">
            <w:pPr>
              <w:rPr>
                <w:rFonts w:cs="Arial"/>
                <w:sz w:val="16"/>
                <w:szCs w:val="16"/>
              </w:rPr>
            </w:pPr>
            <w:r>
              <w:rPr>
                <w:rFonts w:cs="Arial"/>
                <w:sz w:val="16"/>
                <w:szCs w:val="16"/>
              </w:rPr>
              <w:t>% change from previous financial year</w:t>
            </w:r>
          </w:p>
        </w:tc>
        <w:tc>
          <w:tcPr>
            <w:tcW w:w="723" w:type="pct"/>
            <w:tcBorders>
              <w:top w:val="nil"/>
              <w:bottom w:val="single" w:sz="4" w:space="0" w:color="auto"/>
            </w:tcBorders>
            <w:vAlign w:val="center"/>
          </w:tcPr>
          <w:p w:rsidR="00A37C64" w:rsidRDefault="00A37C64" w:rsidP="00B66B7E">
            <w:pPr>
              <w:jc w:val="center"/>
              <w:rPr>
                <w:rFonts w:cs="Arial"/>
                <w:szCs w:val="20"/>
              </w:rPr>
            </w:pPr>
            <w:r>
              <w:rPr>
                <w:rFonts w:cs="Arial"/>
                <w:szCs w:val="20"/>
              </w:rPr>
              <w:t>-</w:t>
            </w:r>
          </w:p>
        </w:tc>
        <w:tc>
          <w:tcPr>
            <w:tcW w:w="635" w:type="pct"/>
            <w:tcBorders>
              <w:top w:val="nil"/>
              <w:bottom w:val="single" w:sz="4" w:space="0" w:color="auto"/>
            </w:tcBorders>
            <w:vAlign w:val="center"/>
          </w:tcPr>
          <w:p w:rsidR="00A37C64" w:rsidRDefault="00A37C64" w:rsidP="00B66B7E">
            <w:pPr>
              <w:jc w:val="center"/>
              <w:rPr>
                <w:rFonts w:cs="Arial"/>
                <w:szCs w:val="20"/>
              </w:rPr>
            </w:pPr>
            <w:r>
              <w:rPr>
                <w:rFonts w:cs="Arial"/>
                <w:szCs w:val="20"/>
              </w:rPr>
              <w:t>-</w:t>
            </w:r>
          </w:p>
        </w:tc>
        <w:tc>
          <w:tcPr>
            <w:tcW w:w="669" w:type="pct"/>
            <w:tcBorders>
              <w:top w:val="nil"/>
              <w:bottom w:val="single" w:sz="4" w:space="0" w:color="auto"/>
            </w:tcBorders>
            <w:vAlign w:val="center"/>
          </w:tcPr>
          <w:p w:rsidR="00A37C64" w:rsidRDefault="00A37C64" w:rsidP="00B66B7E">
            <w:pPr>
              <w:jc w:val="center"/>
              <w:rPr>
                <w:rFonts w:cs="Arial"/>
                <w:szCs w:val="20"/>
              </w:rPr>
            </w:pPr>
            <w:r>
              <w:rPr>
                <w:rFonts w:cs="Arial"/>
                <w:szCs w:val="20"/>
              </w:rPr>
              <w:t>-</w:t>
            </w:r>
          </w:p>
        </w:tc>
        <w:tc>
          <w:tcPr>
            <w:tcW w:w="678" w:type="pct"/>
            <w:tcBorders>
              <w:top w:val="nil"/>
              <w:bottom w:val="single" w:sz="4" w:space="0" w:color="auto"/>
            </w:tcBorders>
            <w:vAlign w:val="center"/>
          </w:tcPr>
          <w:p w:rsidR="00A37C64" w:rsidRDefault="00A37C64" w:rsidP="00B66B7E">
            <w:pPr>
              <w:jc w:val="center"/>
              <w:rPr>
                <w:rFonts w:cs="Arial"/>
                <w:szCs w:val="20"/>
              </w:rPr>
            </w:pPr>
            <w:r>
              <w:rPr>
                <w:rFonts w:cs="Arial"/>
                <w:szCs w:val="20"/>
              </w:rPr>
              <w:t>-</w:t>
            </w:r>
          </w:p>
        </w:tc>
        <w:tc>
          <w:tcPr>
            <w:tcW w:w="625" w:type="pct"/>
            <w:tcBorders>
              <w:top w:val="nil"/>
              <w:bottom w:val="single" w:sz="4" w:space="0" w:color="auto"/>
            </w:tcBorders>
            <w:vAlign w:val="center"/>
          </w:tcPr>
          <w:p w:rsidR="00A37C64" w:rsidRDefault="00A37C64" w:rsidP="00B66B7E">
            <w:pPr>
              <w:jc w:val="center"/>
              <w:rPr>
                <w:rFonts w:cs="Arial"/>
                <w:szCs w:val="20"/>
              </w:rPr>
            </w:pPr>
            <w:r>
              <w:rPr>
                <w:rFonts w:cs="Arial"/>
                <w:szCs w:val="20"/>
              </w:rPr>
              <w:t>89</w:t>
            </w:r>
          </w:p>
        </w:tc>
        <w:tc>
          <w:tcPr>
            <w:tcW w:w="647" w:type="pct"/>
            <w:tcBorders>
              <w:top w:val="nil"/>
              <w:bottom w:val="single" w:sz="4" w:space="0" w:color="auto"/>
            </w:tcBorders>
            <w:vAlign w:val="center"/>
          </w:tcPr>
          <w:p w:rsidR="00A37C64" w:rsidRDefault="00A37C64" w:rsidP="00B66B7E">
            <w:pPr>
              <w:jc w:val="center"/>
              <w:rPr>
                <w:rFonts w:cs="Arial"/>
                <w:szCs w:val="20"/>
              </w:rPr>
            </w:pPr>
            <w:r>
              <w:rPr>
                <w:rFonts w:cs="Arial"/>
                <w:szCs w:val="20"/>
              </w:rPr>
              <w:t>16</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3B50C9">
        <w:fldChar w:fldCharType="begin"/>
      </w:r>
      <w:r w:rsidR="003B50C9">
        <w:instrText xml:space="preserve"> SEQ Figure \* ARABIC </w:instrText>
      </w:r>
      <w:r w:rsidR="003B50C9">
        <w:fldChar w:fldCharType="separate"/>
      </w:r>
      <w:r w:rsidR="00674600">
        <w:rPr>
          <w:noProof/>
        </w:rPr>
        <w:t>3</w:t>
      </w:r>
      <w:r w:rsidR="003B50C9">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B570CD" w:rsidP="001521CB">
      <w:r w:rsidRPr="00B570CD">
        <w:rPr>
          <w:noProof/>
          <w:lang w:eastAsia="en-AU"/>
        </w:rPr>
        <w:drawing>
          <wp:inline distT="0" distB="0" distL="0" distR="0" wp14:anchorId="03FCBFAF" wp14:editId="12524D6E">
            <wp:extent cx="5731510" cy="2124497"/>
            <wp:effectExtent l="0" t="0" r="2540" b="9525"/>
            <wp:docPr id="3" name="Picture 3"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24497"/>
                    </a:xfrm>
                    <a:prstGeom prst="rect">
                      <a:avLst/>
                    </a:prstGeom>
                    <a:noFill/>
                    <a:ln>
                      <a:noFill/>
                    </a:ln>
                  </pic:spPr>
                </pic:pic>
              </a:graphicData>
            </a:graphic>
          </wp:inline>
        </w:drawing>
      </w:r>
    </w:p>
    <w:p w:rsidR="001521CB" w:rsidRPr="008D4DAB" w:rsidRDefault="00674600" w:rsidP="00F26128">
      <w:pPr>
        <w:pStyle w:val="AERbodytext"/>
      </w:pPr>
      <w:r>
        <w:lastRenderedPageBreak/>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3B50C9">
        <w:fldChar w:fldCharType="begin"/>
      </w:r>
      <w:r w:rsidR="003B50C9">
        <w:instrText xml:space="preserve"> SEQ Figure \* ARABIC </w:instrText>
      </w:r>
      <w:r w:rsidR="003B50C9">
        <w:fldChar w:fldCharType="separate"/>
      </w:r>
      <w:r w:rsidR="00674600">
        <w:rPr>
          <w:noProof/>
        </w:rPr>
        <w:t>4</w:t>
      </w:r>
      <w:r w:rsidR="003B50C9">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A37C64" w:rsidRPr="00405CDE" w:rsidTr="00534DD9">
        <w:trPr>
          <w:trHeight w:val="510"/>
        </w:trPr>
        <w:tc>
          <w:tcPr>
            <w:tcW w:w="1585" w:type="pct"/>
            <w:tcBorders>
              <w:top w:val="nil"/>
              <w:bottom w:val="nil"/>
            </w:tcBorders>
            <w:vAlign w:val="center"/>
          </w:tcPr>
          <w:p w:rsidR="00A37C64" w:rsidRDefault="00A37C64">
            <w:pPr>
              <w:rPr>
                <w:rFonts w:cs="Arial"/>
                <w:sz w:val="16"/>
                <w:szCs w:val="16"/>
              </w:rPr>
            </w:pPr>
            <w:r>
              <w:rPr>
                <w:rFonts w:cs="Arial"/>
                <w:sz w:val="16"/>
                <w:szCs w:val="16"/>
              </w:rPr>
              <w:t>16 Jul - 22 Jul 2017</w:t>
            </w:r>
          </w:p>
        </w:tc>
        <w:tc>
          <w:tcPr>
            <w:tcW w:w="993"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758" w:type="pct"/>
            <w:tcBorders>
              <w:top w:val="nil"/>
              <w:bottom w:val="nil"/>
            </w:tcBorders>
            <w:vAlign w:val="center"/>
          </w:tcPr>
          <w:p w:rsidR="00A37C64" w:rsidRDefault="00A37C64">
            <w:pPr>
              <w:jc w:val="center"/>
              <w:rPr>
                <w:rFonts w:cs="Arial"/>
                <w:sz w:val="20"/>
                <w:szCs w:val="20"/>
              </w:rPr>
            </w:pPr>
            <w:r>
              <w:rPr>
                <w:rFonts w:cs="Arial"/>
                <w:sz w:val="20"/>
                <w:szCs w:val="20"/>
              </w:rPr>
              <w:t>58.17</w:t>
            </w:r>
          </w:p>
        </w:tc>
        <w:tc>
          <w:tcPr>
            <w:tcW w:w="831" w:type="pct"/>
            <w:tcBorders>
              <w:top w:val="nil"/>
              <w:bottom w:val="nil"/>
            </w:tcBorders>
            <w:vAlign w:val="center"/>
          </w:tcPr>
          <w:p w:rsidR="00A37C64" w:rsidRDefault="00A37C64">
            <w:pPr>
              <w:jc w:val="center"/>
              <w:rPr>
                <w:rFonts w:cs="Arial"/>
                <w:sz w:val="20"/>
                <w:szCs w:val="20"/>
              </w:rPr>
            </w:pPr>
            <w:r>
              <w:rPr>
                <w:rFonts w:cs="Arial"/>
                <w:sz w:val="20"/>
                <w:szCs w:val="20"/>
              </w:rPr>
              <w:t>6.39</w:t>
            </w:r>
          </w:p>
        </w:tc>
        <w:tc>
          <w:tcPr>
            <w:tcW w:w="833" w:type="pct"/>
            <w:tcBorders>
              <w:top w:val="nil"/>
              <w:bottom w:val="nil"/>
            </w:tcBorders>
            <w:vAlign w:val="center"/>
          </w:tcPr>
          <w:p w:rsidR="00A37C64" w:rsidRDefault="00A37C64">
            <w:pPr>
              <w:jc w:val="center"/>
              <w:rPr>
                <w:rFonts w:cs="Arial"/>
                <w:sz w:val="20"/>
                <w:szCs w:val="20"/>
              </w:rPr>
            </w:pPr>
            <w:r>
              <w:rPr>
                <w:rFonts w:cs="Arial"/>
                <w:sz w:val="20"/>
                <w:szCs w:val="20"/>
              </w:rPr>
              <w:t>2.15</w:t>
            </w:r>
          </w:p>
        </w:tc>
      </w:tr>
      <w:tr w:rsidR="00A37C64"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A37C64" w:rsidRDefault="00A37C64">
            <w:pPr>
              <w:rPr>
                <w:rFonts w:cs="Arial"/>
                <w:sz w:val="16"/>
                <w:szCs w:val="16"/>
              </w:rPr>
            </w:pPr>
            <w:r>
              <w:rPr>
                <w:rFonts w:cs="Arial"/>
                <w:sz w:val="16"/>
                <w:szCs w:val="16"/>
              </w:rPr>
              <w:t>% change from previous week</w:t>
            </w:r>
          </w:p>
        </w:tc>
        <w:tc>
          <w:tcPr>
            <w:tcW w:w="993" w:type="pct"/>
            <w:tcBorders>
              <w:top w:val="nil"/>
              <w:bottom w:val="nil"/>
            </w:tcBorders>
            <w:vAlign w:val="center"/>
          </w:tcPr>
          <w:p w:rsidR="00A37C64" w:rsidRDefault="00A37C64">
            <w:pPr>
              <w:jc w:val="center"/>
              <w:rPr>
                <w:rFonts w:cs="Arial"/>
                <w:szCs w:val="20"/>
              </w:rPr>
            </w:pPr>
            <w:r>
              <w:rPr>
                <w:rFonts w:cs="Arial"/>
                <w:szCs w:val="20"/>
              </w:rPr>
              <w:t>-</w:t>
            </w:r>
          </w:p>
        </w:tc>
        <w:tc>
          <w:tcPr>
            <w:tcW w:w="758" w:type="pct"/>
            <w:tcBorders>
              <w:top w:val="nil"/>
              <w:bottom w:val="nil"/>
            </w:tcBorders>
            <w:vAlign w:val="center"/>
          </w:tcPr>
          <w:p w:rsidR="00A37C64" w:rsidRDefault="00A37C64">
            <w:pPr>
              <w:jc w:val="center"/>
              <w:rPr>
                <w:rFonts w:cs="Arial"/>
                <w:szCs w:val="20"/>
              </w:rPr>
            </w:pPr>
            <w:r>
              <w:rPr>
                <w:rFonts w:cs="Arial"/>
                <w:szCs w:val="20"/>
              </w:rPr>
              <w:t>-1</w:t>
            </w:r>
          </w:p>
        </w:tc>
        <w:tc>
          <w:tcPr>
            <w:tcW w:w="831" w:type="pct"/>
            <w:tcBorders>
              <w:top w:val="nil"/>
              <w:bottom w:val="nil"/>
            </w:tcBorders>
            <w:vAlign w:val="center"/>
          </w:tcPr>
          <w:p w:rsidR="00A37C64" w:rsidRDefault="00A37C64">
            <w:pPr>
              <w:jc w:val="center"/>
              <w:rPr>
                <w:rFonts w:cs="Arial"/>
                <w:szCs w:val="20"/>
              </w:rPr>
            </w:pPr>
            <w:r>
              <w:rPr>
                <w:rFonts w:cs="Arial"/>
                <w:szCs w:val="20"/>
              </w:rPr>
              <w:t>3</w:t>
            </w:r>
          </w:p>
        </w:tc>
        <w:tc>
          <w:tcPr>
            <w:tcW w:w="833" w:type="pct"/>
            <w:tcBorders>
              <w:top w:val="nil"/>
              <w:bottom w:val="nil"/>
            </w:tcBorders>
            <w:vAlign w:val="center"/>
          </w:tcPr>
          <w:p w:rsidR="00A37C64" w:rsidRDefault="00A37C64">
            <w:pPr>
              <w:jc w:val="center"/>
              <w:rPr>
                <w:rFonts w:cs="Arial"/>
                <w:szCs w:val="20"/>
              </w:rPr>
            </w:pPr>
            <w:r>
              <w:rPr>
                <w:rFonts w:cs="Arial"/>
                <w:szCs w:val="20"/>
              </w:rPr>
              <w:t>38</w:t>
            </w:r>
          </w:p>
        </w:tc>
      </w:tr>
      <w:tr w:rsidR="00A37C64" w:rsidRPr="00405CDE" w:rsidTr="00534DD9">
        <w:trPr>
          <w:trHeight w:val="510"/>
        </w:trPr>
        <w:tc>
          <w:tcPr>
            <w:tcW w:w="1585" w:type="pct"/>
            <w:tcBorders>
              <w:top w:val="nil"/>
              <w:bottom w:val="nil"/>
            </w:tcBorders>
            <w:vAlign w:val="center"/>
          </w:tcPr>
          <w:p w:rsidR="00A37C64" w:rsidRDefault="00A37C64" w:rsidP="00B66B7E">
            <w:pPr>
              <w:rPr>
                <w:rFonts w:cs="Arial"/>
                <w:sz w:val="16"/>
                <w:szCs w:val="16"/>
              </w:rPr>
            </w:pPr>
            <w:r>
              <w:rPr>
                <w:rFonts w:cs="Arial"/>
                <w:sz w:val="16"/>
                <w:szCs w:val="16"/>
              </w:rPr>
              <w:t>16-17 financial year</w:t>
            </w:r>
          </w:p>
        </w:tc>
        <w:tc>
          <w:tcPr>
            <w:tcW w:w="993" w:type="pct"/>
            <w:tcBorders>
              <w:top w:val="nil"/>
              <w:bottom w:val="nil"/>
            </w:tcBorders>
            <w:vAlign w:val="center"/>
          </w:tcPr>
          <w:p w:rsidR="00A37C64" w:rsidRDefault="00A37C64" w:rsidP="00B66B7E">
            <w:pPr>
              <w:jc w:val="center"/>
              <w:rPr>
                <w:rFonts w:cs="Arial"/>
                <w:sz w:val="20"/>
                <w:szCs w:val="20"/>
              </w:rPr>
            </w:pPr>
            <w:r>
              <w:rPr>
                <w:rFonts w:cs="Arial"/>
                <w:sz w:val="20"/>
                <w:szCs w:val="20"/>
              </w:rPr>
              <w:t> </w:t>
            </w:r>
          </w:p>
        </w:tc>
        <w:tc>
          <w:tcPr>
            <w:tcW w:w="758" w:type="pct"/>
            <w:tcBorders>
              <w:top w:val="nil"/>
              <w:bottom w:val="nil"/>
            </w:tcBorders>
            <w:vAlign w:val="center"/>
          </w:tcPr>
          <w:p w:rsidR="00A37C64" w:rsidRDefault="00A37C64" w:rsidP="00B66B7E">
            <w:pPr>
              <w:jc w:val="center"/>
              <w:rPr>
                <w:rFonts w:cs="Arial"/>
                <w:sz w:val="20"/>
                <w:szCs w:val="20"/>
              </w:rPr>
            </w:pPr>
            <w:r>
              <w:rPr>
                <w:rFonts w:cs="Arial"/>
                <w:sz w:val="20"/>
                <w:szCs w:val="20"/>
              </w:rPr>
              <w:t>50.77</w:t>
            </w:r>
          </w:p>
        </w:tc>
        <w:tc>
          <w:tcPr>
            <w:tcW w:w="831" w:type="pct"/>
            <w:tcBorders>
              <w:top w:val="nil"/>
              <w:bottom w:val="nil"/>
            </w:tcBorders>
            <w:vAlign w:val="center"/>
          </w:tcPr>
          <w:p w:rsidR="00A37C64" w:rsidRDefault="00A37C64" w:rsidP="00B66B7E">
            <w:pPr>
              <w:jc w:val="center"/>
              <w:rPr>
                <w:rFonts w:cs="Arial"/>
                <w:sz w:val="20"/>
                <w:szCs w:val="20"/>
              </w:rPr>
            </w:pPr>
            <w:r>
              <w:rPr>
                <w:rFonts w:cs="Arial"/>
                <w:sz w:val="20"/>
                <w:szCs w:val="20"/>
              </w:rPr>
              <w:t>17.27</w:t>
            </w:r>
          </w:p>
        </w:tc>
        <w:tc>
          <w:tcPr>
            <w:tcW w:w="833" w:type="pct"/>
            <w:tcBorders>
              <w:top w:val="nil"/>
              <w:bottom w:val="nil"/>
            </w:tcBorders>
            <w:vAlign w:val="center"/>
          </w:tcPr>
          <w:p w:rsidR="00A37C64" w:rsidRDefault="00A37C64" w:rsidP="00B66B7E">
            <w:pPr>
              <w:jc w:val="center"/>
              <w:rPr>
                <w:rFonts w:cs="Arial"/>
                <w:sz w:val="20"/>
                <w:szCs w:val="20"/>
              </w:rPr>
            </w:pPr>
            <w:r>
              <w:rPr>
                <w:rFonts w:cs="Arial"/>
                <w:sz w:val="20"/>
                <w:szCs w:val="20"/>
              </w:rPr>
              <w:t>1.66</w:t>
            </w:r>
          </w:p>
        </w:tc>
      </w:tr>
      <w:tr w:rsidR="00A37C64"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A37C64" w:rsidRDefault="00A37C64" w:rsidP="00B66B7E">
            <w:pPr>
              <w:rPr>
                <w:rFonts w:cs="Arial"/>
                <w:sz w:val="16"/>
                <w:szCs w:val="16"/>
              </w:rPr>
            </w:pPr>
            <w:r>
              <w:rPr>
                <w:rFonts w:cs="Arial"/>
                <w:sz w:val="16"/>
                <w:szCs w:val="16"/>
              </w:rPr>
              <w:t xml:space="preserve">% change from previous financial year </w:t>
            </w:r>
          </w:p>
        </w:tc>
        <w:tc>
          <w:tcPr>
            <w:tcW w:w="993" w:type="pct"/>
            <w:tcBorders>
              <w:top w:val="nil"/>
              <w:bottom w:val="single" w:sz="4" w:space="0" w:color="auto"/>
            </w:tcBorders>
            <w:vAlign w:val="center"/>
          </w:tcPr>
          <w:p w:rsidR="00A37C64" w:rsidRDefault="00A37C64" w:rsidP="00B66B7E">
            <w:pPr>
              <w:jc w:val="center"/>
              <w:rPr>
                <w:rFonts w:cs="Arial"/>
                <w:szCs w:val="20"/>
              </w:rPr>
            </w:pPr>
            <w:r>
              <w:rPr>
                <w:rFonts w:cs="Arial"/>
                <w:szCs w:val="20"/>
              </w:rPr>
              <w:t> </w:t>
            </w:r>
          </w:p>
        </w:tc>
        <w:tc>
          <w:tcPr>
            <w:tcW w:w="758" w:type="pct"/>
            <w:tcBorders>
              <w:top w:val="nil"/>
              <w:bottom w:val="single" w:sz="4" w:space="0" w:color="auto"/>
            </w:tcBorders>
            <w:vAlign w:val="center"/>
          </w:tcPr>
          <w:p w:rsidR="00A37C64" w:rsidRDefault="00A37C64" w:rsidP="00B66B7E">
            <w:pPr>
              <w:jc w:val="center"/>
              <w:rPr>
                <w:rFonts w:cs="Arial"/>
                <w:szCs w:val="20"/>
              </w:rPr>
            </w:pPr>
            <w:r>
              <w:rPr>
                <w:rFonts w:cs="Arial"/>
                <w:szCs w:val="20"/>
              </w:rPr>
              <w:t>77</w:t>
            </w:r>
          </w:p>
        </w:tc>
        <w:tc>
          <w:tcPr>
            <w:tcW w:w="831" w:type="pct"/>
            <w:tcBorders>
              <w:top w:val="nil"/>
              <w:bottom w:val="single" w:sz="4" w:space="0" w:color="auto"/>
            </w:tcBorders>
            <w:vAlign w:val="center"/>
          </w:tcPr>
          <w:p w:rsidR="00A37C64" w:rsidRDefault="00A37C64" w:rsidP="00B66B7E">
            <w:pPr>
              <w:jc w:val="center"/>
              <w:rPr>
                <w:rFonts w:cs="Arial"/>
                <w:szCs w:val="20"/>
              </w:rPr>
            </w:pPr>
            <w:r>
              <w:rPr>
                <w:rFonts w:cs="Arial"/>
                <w:szCs w:val="20"/>
              </w:rPr>
              <w:t>52</w:t>
            </w:r>
          </w:p>
        </w:tc>
        <w:tc>
          <w:tcPr>
            <w:tcW w:w="833" w:type="pct"/>
            <w:tcBorders>
              <w:top w:val="nil"/>
              <w:bottom w:val="single" w:sz="4" w:space="0" w:color="auto"/>
            </w:tcBorders>
            <w:vAlign w:val="center"/>
          </w:tcPr>
          <w:p w:rsidR="00A37C64" w:rsidRDefault="00A37C64" w:rsidP="00B66B7E">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3B50C9">
        <w:fldChar w:fldCharType="begin"/>
      </w:r>
      <w:r w:rsidR="003B50C9">
        <w:instrText xml:space="preserve"> SEQ Figure \* ARABIC </w:instrText>
      </w:r>
      <w:r w:rsidR="003B50C9">
        <w:fldChar w:fldCharType="separate"/>
      </w:r>
      <w:r w:rsidR="00C370D1">
        <w:rPr>
          <w:noProof/>
        </w:rPr>
        <w:t>5</w:t>
      </w:r>
      <w:r w:rsidR="003B50C9">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B66B7E">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B66B7E">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B66B7E">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B66B7E">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B66B7E">
            <w:pPr>
              <w:pStyle w:val="TableHeading"/>
              <w:jc w:val="center"/>
              <w:rPr>
                <w:rFonts w:cs="Arial"/>
                <w:sz w:val="20"/>
                <w:szCs w:val="20"/>
              </w:rPr>
            </w:pPr>
          </w:p>
        </w:tc>
        <w:tc>
          <w:tcPr>
            <w:tcW w:w="700" w:type="pct"/>
            <w:tcBorders>
              <w:bottom w:val="nil"/>
            </w:tcBorders>
            <w:vAlign w:val="center"/>
            <w:hideMark/>
          </w:tcPr>
          <w:p w:rsidR="008D7D94" w:rsidRPr="00587CFB" w:rsidRDefault="008D7D94" w:rsidP="00B66B7E">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B66B7E">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B66B7E">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B66B7E">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B66B7E">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B66B7E">
            <w:pPr>
              <w:jc w:val="center"/>
              <w:rPr>
                <w:rFonts w:cs="Arial"/>
                <w:bCs/>
                <w:color w:val="FFFFFF"/>
                <w:sz w:val="14"/>
                <w:szCs w:val="20"/>
                <w:highlight w:val="cyan"/>
              </w:rPr>
            </w:pPr>
            <w:r>
              <w:rPr>
                <w:rFonts w:cs="Arial"/>
                <w:bCs/>
                <w:color w:val="FFFFFF"/>
                <w:sz w:val="14"/>
                <w:szCs w:val="20"/>
              </w:rPr>
              <w:t>Quantity</w:t>
            </w:r>
          </w:p>
        </w:tc>
      </w:tr>
      <w:tr w:rsidR="00A37C64" w:rsidRPr="006A7228" w:rsidTr="00EA6F25">
        <w:trPr>
          <w:trHeight w:val="510"/>
        </w:trPr>
        <w:tc>
          <w:tcPr>
            <w:tcW w:w="915" w:type="pct"/>
            <w:tcBorders>
              <w:top w:val="nil"/>
              <w:bottom w:val="nil"/>
            </w:tcBorders>
            <w:vAlign w:val="center"/>
          </w:tcPr>
          <w:p w:rsidR="00A37C64" w:rsidRDefault="00A37C64">
            <w:pPr>
              <w:rPr>
                <w:rFonts w:cs="Arial"/>
                <w:b/>
                <w:bCs/>
                <w:sz w:val="20"/>
                <w:szCs w:val="20"/>
              </w:rPr>
            </w:pPr>
            <w:r>
              <w:rPr>
                <w:rFonts w:cs="Arial"/>
                <w:b/>
                <w:bCs/>
                <w:sz w:val="20"/>
                <w:szCs w:val="20"/>
              </w:rPr>
              <w:t>Balance of day</w:t>
            </w:r>
          </w:p>
        </w:tc>
        <w:tc>
          <w:tcPr>
            <w:tcW w:w="700"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41"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727" w:type="pct"/>
            <w:tcBorders>
              <w:top w:val="nil"/>
              <w:bottom w:val="nil"/>
            </w:tcBorders>
            <w:vAlign w:val="center"/>
          </w:tcPr>
          <w:p w:rsidR="00A37C64" w:rsidRDefault="00A37C64">
            <w:pPr>
              <w:jc w:val="center"/>
              <w:rPr>
                <w:rFonts w:cs="Arial"/>
                <w:sz w:val="20"/>
                <w:szCs w:val="20"/>
              </w:rPr>
            </w:pPr>
            <w:r>
              <w:rPr>
                <w:rFonts w:cs="Arial"/>
                <w:sz w:val="20"/>
                <w:szCs w:val="20"/>
              </w:rPr>
              <w:t>7.00</w:t>
            </w:r>
          </w:p>
        </w:tc>
        <w:tc>
          <w:tcPr>
            <w:tcW w:w="699" w:type="pct"/>
            <w:tcBorders>
              <w:top w:val="nil"/>
              <w:bottom w:val="nil"/>
            </w:tcBorders>
            <w:vAlign w:val="center"/>
          </w:tcPr>
          <w:p w:rsidR="00A37C64" w:rsidRDefault="00A37C64">
            <w:pPr>
              <w:jc w:val="center"/>
              <w:rPr>
                <w:rFonts w:cs="Arial"/>
                <w:sz w:val="20"/>
                <w:szCs w:val="20"/>
              </w:rPr>
            </w:pPr>
            <w:r>
              <w:rPr>
                <w:rFonts w:cs="Arial"/>
                <w:sz w:val="20"/>
                <w:szCs w:val="20"/>
              </w:rPr>
              <w:t>10.0</w:t>
            </w:r>
          </w:p>
        </w:tc>
        <w:tc>
          <w:tcPr>
            <w:tcW w:w="622" w:type="pct"/>
            <w:tcBorders>
              <w:top w:val="nil"/>
              <w:bottom w:val="nil"/>
            </w:tcBorders>
            <w:vAlign w:val="center"/>
          </w:tcPr>
          <w:p w:rsidR="00A37C64" w:rsidRDefault="00A37C64">
            <w:pPr>
              <w:jc w:val="center"/>
              <w:rPr>
                <w:rFonts w:cs="Arial"/>
                <w:sz w:val="20"/>
                <w:szCs w:val="20"/>
              </w:rPr>
            </w:pPr>
            <w:r>
              <w:rPr>
                <w:rFonts w:cs="Arial"/>
                <w:sz w:val="20"/>
                <w:szCs w:val="20"/>
              </w:rPr>
              <w:t>7.50</w:t>
            </w:r>
          </w:p>
        </w:tc>
        <w:tc>
          <w:tcPr>
            <w:tcW w:w="696" w:type="pct"/>
            <w:tcBorders>
              <w:top w:val="nil"/>
              <w:bottom w:val="nil"/>
            </w:tcBorders>
            <w:vAlign w:val="center"/>
          </w:tcPr>
          <w:p w:rsidR="00A37C64" w:rsidRDefault="00A37C64">
            <w:pPr>
              <w:jc w:val="center"/>
              <w:rPr>
                <w:rFonts w:cs="Arial"/>
                <w:sz w:val="20"/>
                <w:szCs w:val="20"/>
              </w:rPr>
            </w:pPr>
            <w:r>
              <w:rPr>
                <w:rFonts w:cs="Arial"/>
                <w:sz w:val="20"/>
                <w:szCs w:val="20"/>
              </w:rPr>
              <w:t>5.0</w:t>
            </w:r>
          </w:p>
        </w:tc>
      </w:tr>
      <w:tr w:rsidR="00A37C6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A37C64" w:rsidRDefault="00A37C64">
            <w:pPr>
              <w:rPr>
                <w:rFonts w:cs="Arial"/>
                <w:b/>
                <w:bCs/>
                <w:szCs w:val="20"/>
              </w:rPr>
            </w:pPr>
            <w:r>
              <w:rPr>
                <w:rFonts w:cs="Arial"/>
                <w:b/>
                <w:bCs/>
                <w:szCs w:val="20"/>
              </w:rPr>
              <w:t>Daily</w:t>
            </w:r>
          </w:p>
        </w:tc>
        <w:tc>
          <w:tcPr>
            <w:tcW w:w="700" w:type="pct"/>
            <w:tcBorders>
              <w:top w:val="nil"/>
              <w:bottom w:val="nil"/>
            </w:tcBorders>
            <w:vAlign w:val="center"/>
          </w:tcPr>
          <w:p w:rsidR="00A37C64" w:rsidRDefault="00A37C64">
            <w:pPr>
              <w:jc w:val="center"/>
              <w:rPr>
                <w:rFonts w:cs="Arial"/>
                <w:szCs w:val="20"/>
              </w:rPr>
            </w:pPr>
            <w:r>
              <w:rPr>
                <w:rFonts w:cs="Arial"/>
                <w:szCs w:val="20"/>
              </w:rPr>
              <w:t>-</w:t>
            </w:r>
          </w:p>
        </w:tc>
        <w:tc>
          <w:tcPr>
            <w:tcW w:w="641" w:type="pct"/>
            <w:tcBorders>
              <w:top w:val="nil"/>
              <w:bottom w:val="nil"/>
            </w:tcBorders>
            <w:vAlign w:val="center"/>
          </w:tcPr>
          <w:p w:rsidR="00A37C64" w:rsidRDefault="00A37C64">
            <w:pPr>
              <w:jc w:val="center"/>
              <w:rPr>
                <w:rFonts w:cs="Arial"/>
                <w:szCs w:val="20"/>
              </w:rPr>
            </w:pPr>
            <w:r>
              <w:rPr>
                <w:rFonts w:cs="Arial"/>
                <w:szCs w:val="20"/>
              </w:rPr>
              <w:t>-</w:t>
            </w:r>
          </w:p>
        </w:tc>
        <w:tc>
          <w:tcPr>
            <w:tcW w:w="727" w:type="pct"/>
            <w:tcBorders>
              <w:top w:val="nil"/>
              <w:bottom w:val="nil"/>
            </w:tcBorders>
            <w:vAlign w:val="center"/>
          </w:tcPr>
          <w:p w:rsidR="00A37C64" w:rsidRDefault="00A37C64">
            <w:pPr>
              <w:jc w:val="center"/>
              <w:rPr>
                <w:rFonts w:cs="Arial"/>
                <w:szCs w:val="20"/>
              </w:rPr>
            </w:pPr>
            <w:r>
              <w:rPr>
                <w:rFonts w:cs="Arial"/>
                <w:szCs w:val="20"/>
              </w:rPr>
              <w:t>6.63</w:t>
            </w:r>
          </w:p>
        </w:tc>
        <w:tc>
          <w:tcPr>
            <w:tcW w:w="699" w:type="pct"/>
            <w:tcBorders>
              <w:top w:val="nil"/>
              <w:bottom w:val="nil"/>
            </w:tcBorders>
            <w:vAlign w:val="center"/>
          </w:tcPr>
          <w:p w:rsidR="00A37C64" w:rsidRDefault="00A37C64">
            <w:pPr>
              <w:jc w:val="center"/>
              <w:rPr>
                <w:rFonts w:cs="Arial"/>
                <w:szCs w:val="20"/>
              </w:rPr>
            </w:pPr>
            <w:r>
              <w:rPr>
                <w:rFonts w:cs="Arial"/>
                <w:szCs w:val="20"/>
              </w:rPr>
              <w:t>23.0</w:t>
            </w:r>
          </w:p>
        </w:tc>
        <w:tc>
          <w:tcPr>
            <w:tcW w:w="622" w:type="pct"/>
            <w:tcBorders>
              <w:top w:val="nil"/>
              <w:bottom w:val="nil"/>
            </w:tcBorders>
            <w:vAlign w:val="center"/>
          </w:tcPr>
          <w:p w:rsidR="00A37C64" w:rsidRDefault="00A37C64">
            <w:pPr>
              <w:jc w:val="center"/>
              <w:rPr>
                <w:rFonts w:cs="Arial"/>
                <w:szCs w:val="20"/>
              </w:rPr>
            </w:pPr>
            <w:r>
              <w:rPr>
                <w:rFonts w:cs="Arial"/>
                <w:szCs w:val="20"/>
              </w:rPr>
              <w:t>7.70</w:t>
            </w:r>
          </w:p>
        </w:tc>
        <w:tc>
          <w:tcPr>
            <w:tcW w:w="696" w:type="pct"/>
            <w:tcBorders>
              <w:top w:val="nil"/>
              <w:bottom w:val="nil"/>
            </w:tcBorders>
            <w:vAlign w:val="center"/>
          </w:tcPr>
          <w:p w:rsidR="00A37C64" w:rsidRDefault="00A37C64">
            <w:pPr>
              <w:jc w:val="center"/>
              <w:rPr>
                <w:rFonts w:cs="Arial"/>
                <w:szCs w:val="20"/>
              </w:rPr>
            </w:pPr>
            <w:r>
              <w:rPr>
                <w:rFonts w:cs="Arial"/>
                <w:szCs w:val="20"/>
              </w:rPr>
              <w:t>11.0</w:t>
            </w:r>
          </w:p>
        </w:tc>
      </w:tr>
      <w:tr w:rsidR="00A37C64" w:rsidRPr="006A7228" w:rsidTr="00EA6F25">
        <w:trPr>
          <w:trHeight w:val="510"/>
        </w:trPr>
        <w:tc>
          <w:tcPr>
            <w:tcW w:w="915" w:type="pct"/>
            <w:tcBorders>
              <w:top w:val="nil"/>
              <w:bottom w:val="nil"/>
            </w:tcBorders>
            <w:vAlign w:val="center"/>
          </w:tcPr>
          <w:p w:rsidR="00A37C64" w:rsidRDefault="00A37C64">
            <w:pPr>
              <w:rPr>
                <w:rFonts w:cs="Arial"/>
                <w:b/>
                <w:bCs/>
                <w:sz w:val="20"/>
                <w:szCs w:val="20"/>
              </w:rPr>
            </w:pPr>
            <w:r>
              <w:rPr>
                <w:rFonts w:cs="Arial"/>
                <w:b/>
                <w:bCs/>
                <w:sz w:val="20"/>
                <w:szCs w:val="20"/>
              </w:rPr>
              <w:t>Day ahead</w:t>
            </w:r>
          </w:p>
        </w:tc>
        <w:tc>
          <w:tcPr>
            <w:tcW w:w="700"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41"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727" w:type="pct"/>
            <w:tcBorders>
              <w:top w:val="nil"/>
              <w:bottom w:val="nil"/>
            </w:tcBorders>
            <w:vAlign w:val="center"/>
          </w:tcPr>
          <w:p w:rsidR="00A37C64" w:rsidRDefault="00A37C64">
            <w:pPr>
              <w:jc w:val="center"/>
              <w:rPr>
                <w:rFonts w:cs="Arial"/>
                <w:sz w:val="20"/>
                <w:szCs w:val="20"/>
              </w:rPr>
            </w:pPr>
            <w:r>
              <w:rPr>
                <w:rFonts w:cs="Arial"/>
                <w:sz w:val="20"/>
                <w:szCs w:val="20"/>
              </w:rPr>
              <w:t>6.48</w:t>
            </w:r>
          </w:p>
        </w:tc>
        <w:tc>
          <w:tcPr>
            <w:tcW w:w="699" w:type="pct"/>
            <w:tcBorders>
              <w:top w:val="nil"/>
              <w:bottom w:val="nil"/>
            </w:tcBorders>
            <w:vAlign w:val="center"/>
          </w:tcPr>
          <w:p w:rsidR="00A37C64" w:rsidRDefault="00A37C64">
            <w:pPr>
              <w:jc w:val="center"/>
              <w:rPr>
                <w:rFonts w:cs="Arial"/>
                <w:sz w:val="20"/>
                <w:szCs w:val="20"/>
              </w:rPr>
            </w:pPr>
            <w:r>
              <w:rPr>
                <w:rFonts w:cs="Arial"/>
                <w:sz w:val="20"/>
                <w:szCs w:val="20"/>
              </w:rPr>
              <w:t>33.0</w:t>
            </w:r>
          </w:p>
        </w:tc>
        <w:tc>
          <w:tcPr>
            <w:tcW w:w="622" w:type="pct"/>
            <w:tcBorders>
              <w:top w:val="nil"/>
              <w:bottom w:val="nil"/>
            </w:tcBorders>
            <w:vAlign w:val="center"/>
          </w:tcPr>
          <w:p w:rsidR="00A37C64" w:rsidRDefault="00A37C64">
            <w:pPr>
              <w:jc w:val="center"/>
              <w:rPr>
                <w:rFonts w:cs="Arial"/>
                <w:sz w:val="20"/>
                <w:szCs w:val="20"/>
              </w:rPr>
            </w:pPr>
            <w:r>
              <w:rPr>
                <w:rFonts w:cs="Arial"/>
                <w:sz w:val="20"/>
                <w:szCs w:val="20"/>
              </w:rPr>
              <w:t>7.60</w:t>
            </w:r>
          </w:p>
        </w:tc>
        <w:tc>
          <w:tcPr>
            <w:tcW w:w="696" w:type="pct"/>
            <w:tcBorders>
              <w:top w:val="nil"/>
              <w:bottom w:val="nil"/>
            </w:tcBorders>
            <w:vAlign w:val="center"/>
          </w:tcPr>
          <w:p w:rsidR="00A37C64" w:rsidRDefault="00A37C64">
            <w:pPr>
              <w:jc w:val="center"/>
              <w:rPr>
                <w:rFonts w:cs="Arial"/>
                <w:sz w:val="20"/>
                <w:szCs w:val="20"/>
              </w:rPr>
            </w:pPr>
            <w:r>
              <w:rPr>
                <w:rFonts w:cs="Arial"/>
                <w:sz w:val="20"/>
                <w:szCs w:val="20"/>
              </w:rPr>
              <w:t>21.0</w:t>
            </w:r>
          </w:p>
        </w:tc>
      </w:tr>
      <w:tr w:rsidR="00A37C6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A37C64" w:rsidRDefault="00A37C64">
            <w:pPr>
              <w:rPr>
                <w:rFonts w:cs="Arial"/>
                <w:b/>
                <w:bCs/>
                <w:szCs w:val="20"/>
              </w:rPr>
            </w:pPr>
            <w:r>
              <w:rPr>
                <w:rFonts w:cs="Arial"/>
                <w:b/>
                <w:bCs/>
                <w:szCs w:val="20"/>
              </w:rPr>
              <w:t>Weekly</w:t>
            </w:r>
          </w:p>
        </w:tc>
        <w:tc>
          <w:tcPr>
            <w:tcW w:w="700" w:type="pct"/>
            <w:tcBorders>
              <w:top w:val="nil"/>
              <w:bottom w:val="nil"/>
            </w:tcBorders>
            <w:vAlign w:val="center"/>
          </w:tcPr>
          <w:p w:rsidR="00A37C64" w:rsidRDefault="00A37C64">
            <w:pPr>
              <w:jc w:val="center"/>
              <w:rPr>
                <w:rFonts w:cs="Arial"/>
                <w:szCs w:val="20"/>
              </w:rPr>
            </w:pPr>
            <w:r>
              <w:rPr>
                <w:rFonts w:cs="Arial"/>
                <w:szCs w:val="20"/>
              </w:rPr>
              <w:t>-</w:t>
            </w:r>
          </w:p>
        </w:tc>
        <w:tc>
          <w:tcPr>
            <w:tcW w:w="641" w:type="pct"/>
            <w:tcBorders>
              <w:top w:val="nil"/>
              <w:bottom w:val="nil"/>
            </w:tcBorders>
            <w:vAlign w:val="center"/>
          </w:tcPr>
          <w:p w:rsidR="00A37C64" w:rsidRDefault="00A37C64">
            <w:pPr>
              <w:jc w:val="center"/>
              <w:rPr>
                <w:rFonts w:cs="Arial"/>
                <w:szCs w:val="20"/>
              </w:rPr>
            </w:pPr>
            <w:r>
              <w:rPr>
                <w:rFonts w:cs="Arial"/>
                <w:szCs w:val="20"/>
              </w:rPr>
              <w:t>-</w:t>
            </w:r>
          </w:p>
        </w:tc>
        <w:tc>
          <w:tcPr>
            <w:tcW w:w="727" w:type="pct"/>
            <w:tcBorders>
              <w:top w:val="nil"/>
              <w:bottom w:val="nil"/>
            </w:tcBorders>
            <w:vAlign w:val="center"/>
          </w:tcPr>
          <w:p w:rsidR="00A37C64" w:rsidRDefault="00A37C64">
            <w:pPr>
              <w:jc w:val="center"/>
              <w:rPr>
                <w:rFonts w:cs="Arial"/>
                <w:szCs w:val="20"/>
              </w:rPr>
            </w:pPr>
            <w:r>
              <w:rPr>
                <w:rFonts w:cs="Arial"/>
                <w:szCs w:val="20"/>
              </w:rPr>
              <w:t>6.78</w:t>
            </w:r>
          </w:p>
        </w:tc>
        <w:tc>
          <w:tcPr>
            <w:tcW w:w="699" w:type="pct"/>
            <w:tcBorders>
              <w:top w:val="nil"/>
              <w:bottom w:val="nil"/>
            </w:tcBorders>
            <w:vAlign w:val="center"/>
          </w:tcPr>
          <w:p w:rsidR="00A37C64" w:rsidRDefault="00A37C64">
            <w:pPr>
              <w:jc w:val="center"/>
              <w:rPr>
                <w:rFonts w:cs="Arial"/>
                <w:szCs w:val="20"/>
              </w:rPr>
            </w:pPr>
            <w:r>
              <w:rPr>
                <w:rFonts w:cs="Arial"/>
                <w:szCs w:val="20"/>
              </w:rPr>
              <w:t>70.0</w:t>
            </w:r>
          </w:p>
        </w:tc>
        <w:tc>
          <w:tcPr>
            <w:tcW w:w="622" w:type="pct"/>
            <w:tcBorders>
              <w:top w:val="nil"/>
              <w:bottom w:val="nil"/>
            </w:tcBorders>
            <w:vAlign w:val="center"/>
          </w:tcPr>
          <w:p w:rsidR="00A37C64" w:rsidRDefault="00A37C64">
            <w:pPr>
              <w:jc w:val="center"/>
              <w:rPr>
                <w:rFonts w:cs="Arial"/>
                <w:szCs w:val="20"/>
              </w:rPr>
            </w:pPr>
            <w:r>
              <w:rPr>
                <w:rFonts w:cs="Arial"/>
                <w:szCs w:val="20"/>
              </w:rPr>
              <w:t>7.46</w:t>
            </w:r>
          </w:p>
        </w:tc>
        <w:tc>
          <w:tcPr>
            <w:tcW w:w="696" w:type="pct"/>
            <w:tcBorders>
              <w:top w:val="nil"/>
              <w:bottom w:val="nil"/>
            </w:tcBorders>
            <w:vAlign w:val="center"/>
          </w:tcPr>
          <w:p w:rsidR="00A37C64" w:rsidRDefault="00A37C64">
            <w:pPr>
              <w:jc w:val="center"/>
              <w:rPr>
                <w:rFonts w:cs="Arial"/>
                <w:szCs w:val="20"/>
              </w:rPr>
            </w:pPr>
            <w:r>
              <w:rPr>
                <w:rFonts w:cs="Arial"/>
                <w:szCs w:val="20"/>
              </w:rPr>
              <w:t>126.0</w:t>
            </w:r>
          </w:p>
        </w:tc>
      </w:tr>
      <w:tr w:rsidR="00A37C64" w:rsidRPr="006A7228" w:rsidTr="00EA6F25">
        <w:trPr>
          <w:trHeight w:val="510"/>
        </w:trPr>
        <w:tc>
          <w:tcPr>
            <w:tcW w:w="915" w:type="pct"/>
            <w:tcBorders>
              <w:top w:val="nil"/>
              <w:bottom w:val="nil"/>
            </w:tcBorders>
            <w:vAlign w:val="center"/>
          </w:tcPr>
          <w:p w:rsidR="00A37C64" w:rsidRDefault="00A37C64">
            <w:pPr>
              <w:rPr>
                <w:rFonts w:cs="Arial"/>
                <w:b/>
                <w:bCs/>
                <w:sz w:val="20"/>
                <w:szCs w:val="20"/>
              </w:rPr>
            </w:pPr>
            <w:r>
              <w:rPr>
                <w:rFonts w:cs="Arial"/>
                <w:b/>
                <w:bCs/>
                <w:sz w:val="20"/>
                <w:szCs w:val="20"/>
              </w:rPr>
              <w:t>Monthly</w:t>
            </w:r>
          </w:p>
        </w:tc>
        <w:tc>
          <w:tcPr>
            <w:tcW w:w="700"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41"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727"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99"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22" w:type="pct"/>
            <w:tcBorders>
              <w:top w:val="nil"/>
              <w:bottom w:val="nil"/>
            </w:tcBorders>
            <w:vAlign w:val="center"/>
          </w:tcPr>
          <w:p w:rsidR="00A37C64" w:rsidRDefault="00A37C64">
            <w:pPr>
              <w:jc w:val="center"/>
              <w:rPr>
                <w:rFonts w:cs="Arial"/>
                <w:sz w:val="20"/>
                <w:szCs w:val="20"/>
              </w:rPr>
            </w:pPr>
            <w:r>
              <w:rPr>
                <w:rFonts w:cs="Arial"/>
                <w:sz w:val="20"/>
                <w:szCs w:val="20"/>
              </w:rPr>
              <w:t>-</w:t>
            </w:r>
          </w:p>
        </w:tc>
        <w:tc>
          <w:tcPr>
            <w:tcW w:w="696" w:type="pct"/>
            <w:tcBorders>
              <w:top w:val="nil"/>
              <w:bottom w:val="nil"/>
            </w:tcBorders>
            <w:vAlign w:val="center"/>
          </w:tcPr>
          <w:p w:rsidR="00A37C64" w:rsidRDefault="00A37C64">
            <w:pPr>
              <w:jc w:val="center"/>
              <w:rPr>
                <w:rFonts w:cs="Arial"/>
                <w:sz w:val="20"/>
                <w:szCs w:val="20"/>
              </w:rPr>
            </w:pPr>
            <w:r>
              <w:rPr>
                <w:rFonts w:cs="Arial"/>
                <w:sz w:val="20"/>
                <w:szCs w:val="20"/>
              </w:rPr>
              <w:t>-</w:t>
            </w:r>
          </w:p>
        </w:tc>
      </w:tr>
      <w:tr w:rsidR="00A37C64"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A37C64" w:rsidRDefault="00A37C64">
            <w:pPr>
              <w:rPr>
                <w:rFonts w:cs="Arial"/>
                <w:b/>
                <w:bCs/>
                <w:szCs w:val="20"/>
              </w:rPr>
            </w:pPr>
            <w:r>
              <w:rPr>
                <w:rFonts w:cs="Arial"/>
                <w:b/>
                <w:bCs/>
                <w:szCs w:val="20"/>
              </w:rPr>
              <w:t>Total</w:t>
            </w:r>
          </w:p>
        </w:tc>
        <w:tc>
          <w:tcPr>
            <w:tcW w:w="700" w:type="pct"/>
            <w:tcBorders>
              <w:top w:val="nil"/>
              <w:bottom w:val="single" w:sz="4" w:space="0" w:color="auto"/>
            </w:tcBorders>
            <w:vAlign w:val="center"/>
          </w:tcPr>
          <w:p w:rsidR="00A37C64" w:rsidRDefault="00A37C64">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A37C64" w:rsidRDefault="00A37C64">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A37C64" w:rsidRDefault="00A37C64">
            <w:pPr>
              <w:jc w:val="center"/>
              <w:rPr>
                <w:rFonts w:cs="Arial"/>
                <w:b/>
                <w:bCs/>
                <w:szCs w:val="20"/>
              </w:rPr>
            </w:pPr>
            <w:r>
              <w:rPr>
                <w:rFonts w:cs="Arial"/>
                <w:b/>
                <w:bCs/>
                <w:szCs w:val="20"/>
              </w:rPr>
              <w:t>6.70</w:t>
            </w:r>
          </w:p>
        </w:tc>
        <w:tc>
          <w:tcPr>
            <w:tcW w:w="699" w:type="pct"/>
            <w:tcBorders>
              <w:top w:val="nil"/>
              <w:bottom w:val="single" w:sz="4" w:space="0" w:color="auto"/>
            </w:tcBorders>
            <w:vAlign w:val="center"/>
          </w:tcPr>
          <w:p w:rsidR="00A37C64" w:rsidRDefault="00A37C64">
            <w:pPr>
              <w:jc w:val="center"/>
              <w:rPr>
                <w:rFonts w:cs="Arial"/>
                <w:b/>
                <w:bCs/>
                <w:szCs w:val="20"/>
              </w:rPr>
            </w:pPr>
            <w:r>
              <w:rPr>
                <w:rFonts w:cs="Arial"/>
                <w:b/>
                <w:bCs/>
                <w:szCs w:val="20"/>
              </w:rPr>
              <w:t>136.0</w:t>
            </w:r>
          </w:p>
        </w:tc>
        <w:tc>
          <w:tcPr>
            <w:tcW w:w="622" w:type="pct"/>
            <w:tcBorders>
              <w:top w:val="nil"/>
              <w:bottom w:val="single" w:sz="4" w:space="0" w:color="auto"/>
            </w:tcBorders>
            <w:vAlign w:val="center"/>
          </w:tcPr>
          <w:p w:rsidR="00A37C64" w:rsidRDefault="00A37C64">
            <w:pPr>
              <w:jc w:val="center"/>
              <w:rPr>
                <w:rFonts w:cs="Arial"/>
                <w:b/>
                <w:bCs/>
                <w:szCs w:val="20"/>
              </w:rPr>
            </w:pPr>
            <w:r>
              <w:rPr>
                <w:rFonts w:cs="Arial"/>
                <w:b/>
                <w:bCs/>
                <w:szCs w:val="20"/>
              </w:rPr>
              <w:t>7.49</w:t>
            </w:r>
          </w:p>
        </w:tc>
        <w:tc>
          <w:tcPr>
            <w:tcW w:w="696" w:type="pct"/>
            <w:tcBorders>
              <w:top w:val="nil"/>
              <w:bottom w:val="single" w:sz="4" w:space="0" w:color="auto"/>
            </w:tcBorders>
            <w:vAlign w:val="center"/>
          </w:tcPr>
          <w:p w:rsidR="00A37C64" w:rsidRDefault="00A37C64">
            <w:pPr>
              <w:jc w:val="center"/>
              <w:rPr>
                <w:rFonts w:cs="Arial"/>
                <w:b/>
                <w:bCs/>
                <w:szCs w:val="20"/>
              </w:rPr>
            </w:pPr>
            <w:r>
              <w:rPr>
                <w:rFonts w:cs="Arial"/>
                <w:b/>
                <w:bCs/>
                <w:szCs w:val="20"/>
              </w:rPr>
              <w:t>163.0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lastRenderedPageBreak/>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3B50C9">
        <w:fldChar w:fldCharType="begin"/>
      </w:r>
      <w:r w:rsidR="003B50C9">
        <w:instrText xml:space="preserve"> SEQ Figure \* ARABIC </w:instrText>
      </w:r>
      <w:r w:rsidR="003B50C9">
        <w:fldChar w:fldCharType="separate"/>
      </w:r>
      <w:r w:rsidR="00C370D1">
        <w:rPr>
          <w:noProof/>
        </w:rPr>
        <w:t>6</w:t>
      </w:r>
      <w:r w:rsidR="003B50C9">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B86103">
        <w:rPr>
          <w:color w:val="2272A3"/>
          <w:szCs w:val="24"/>
        </w:rPr>
        <w:t xml:space="preserve"> – Roma only</w:t>
      </w:r>
      <w:r w:rsidR="003106AD">
        <w:rPr>
          <w:rStyle w:val="FootnoteReference"/>
          <w:color w:val="2272A3"/>
          <w:szCs w:val="24"/>
        </w:rPr>
        <w:footnoteReference w:id="3"/>
      </w:r>
    </w:p>
    <w:p w:rsidR="00B86103" w:rsidRDefault="00C34D96" w:rsidP="00E33530">
      <w:pPr>
        <w:keepNext/>
        <w:rPr>
          <w:noProof/>
          <w:lang w:eastAsia="en-AU"/>
        </w:rPr>
      </w:pPr>
      <w:r w:rsidRPr="00C34D96">
        <w:rPr>
          <w:noProof/>
          <w:lang w:eastAsia="en-AU"/>
        </w:rPr>
        <w:drawing>
          <wp:inline distT="0" distB="0" distL="0" distR="0" wp14:anchorId="1945F79F" wp14:editId="2C3954AC">
            <wp:extent cx="5731510" cy="3613028"/>
            <wp:effectExtent l="0" t="0" r="2540" b="6985"/>
            <wp:docPr id="5" name="Picture 5"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13028"/>
                    </a:xfrm>
                    <a:prstGeom prst="rect">
                      <a:avLst/>
                    </a:prstGeom>
                    <a:noFill/>
                    <a:ln>
                      <a:noFill/>
                    </a:ln>
                  </pic:spPr>
                </pic:pic>
              </a:graphicData>
            </a:graphic>
          </wp:inline>
        </w:drawing>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B86103" w:rsidRDefault="00B86103" w:rsidP="009B6F16">
      <w:pPr>
        <w:jc w:val="both"/>
        <w:rPr>
          <w:b/>
          <w:i/>
        </w:rPr>
      </w:pPr>
      <w:r>
        <w:rPr>
          <w:b/>
          <w:i/>
        </w:rPr>
        <w:t>Queensland</w:t>
      </w:r>
    </w:p>
    <w:p w:rsidR="00B86103" w:rsidRPr="00B86103" w:rsidRDefault="00B86103" w:rsidP="009B6F16">
      <w:pPr>
        <w:jc w:val="both"/>
      </w:pPr>
      <w:r>
        <w:t xml:space="preserve">Figure 6 shows the total production levels at Roma and the total export pipeline flows from the three export projects since the beginning of the year. Production in excess of pipeline flows has been around 200 – 500 TJ/day this winter. </w:t>
      </w:r>
      <w:r w:rsidR="000C771D">
        <w:t>Towards the end of July, Origin Energy announced that its 90-day operational phase of the financial lenders’ testing, in which both trains were run at high operational capacity</w:t>
      </w:r>
      <w:r w:rsidR="000C771D">
        <w:rPr>
          <w:rStyle w:val="FootnoteReference"/>
        </w:rPr>
        <w:footnoteReference w:id="4"/>
      </w:r>
      <w:r w:rsidR="000C771D">
        <w:t>, had concluded</w:t>
      </w:r>
      <w:r w:rsidR="000C4DC6">
        <w:t xml:space="preserve"> for the APLNG project</w:t>
      </w:r>
      <w:r w:rsidR="000C771D">
        <w:t xml:space="preserve">. While outages of one train or less </w:t>
      </w:r>
      <w:r w:rsidR="000C4DC6">
        <w:t>at each of</w:t>
      </w:r>
      <w:r w:rsidR="000C771D">
        <w:t xml:space="preserve"> the Santos and QCLNG projects</w:t>
      </w:r>
      <w:r w:rsidR="000C4DC6">
        <w:t xml:space="preserve"> are set to come to a conclusion around 10 August</w:t>
      </w:r>
      <w:r w:rsidR="000C771D">
        <w:t>,</w:t>
      </w:r>
      <w:r w:rsidR="000C4DC6">
        <w:t xml:space="preserve"> APLNG will take further outages towards the end of August.</w:t>
      </w:r>
      <w:r w:rsidR="000C771D">
        <w:t xml:space="preserve"> </w:t>
      </w:r>
    </w:p>
    <w:p w:rsidR="009B6F16" w:rsidRPr="00A23FCB" w:rsidRDefault="009B6F16" w:rsidP="009B6F16">
      <w:pPr>
        <w:jc w:val="both"/>
        <w:rPr>
          <w:b/>
          <w:i/>
        </w:rPr>
      </w:pPr>
      <w:r w:rsidRPr="00A23FCB">
        <w:rPr>
          <w:b/>
          <w:i/>
        </w:rPr>
        <w:t>Victoria</w:t>
      </w:r>
    </w:p>
    <w:p w:rsidR="009B304E" w:rsidRDefault="009B6F16" w:rsidP="000B5E19">
      <w:pPr>
        <w:jc w:val="both"/>
        <w:rPr>
          <w:b/>
          <w:i/>
        </w:rPr>
      </w:pPr>
      <w:r w:rsidRPr="00A23FCB">
        <w:t>Figure 1.1 shows the increase to schedule prices driven by a rise in demand (see figure 1.5). Whilst this was influence</w:t>
      </w:r>
      <w:r w:rsidR="001A0302" w:rsidRPr="00A23FCB">
        <w:t>d</w:t>
      </w:r>
      <w:r w:rsidRPr="00A23FCB">
        <w:t xml:space="preserve"> by higher forecast demand (figure 1.2), an upturn in withdrawal bids priced above $10/GJ (figure 1.4), and increased output from gas generation driven by Newport power </w:t>
      </w:r>
      <w:bookmarkStart w:id="6" w:name="_GoBack"/>
      <w:bookmarkEnd w:id="6"/>
      <w:r w:rsidRPr="00A23FCB">
        <w:t>station coming online from mid-afternoon (consuming around 26.3 TJ), the main factor regarding the higher prices was a steep offer curve. Figure 1.3 shows the limited quantity of gas available in price bands between $6/GJ to $10/GJ offered around 1 PJ, leading to the schedule price climbing to $14.79/GJ by the 10 pm horizon.</w:t>
      </w:r>
      <w:r w:rsidR="009B304E">
        <w:rPr>
          <w:b/>
          <w:i/>
        </w:rPr>
        <w:br w:type="page"/>
      </w:r>
    </w:p>
    <w:p w:rsidR="009B6F16" w:rsidRDefault="009B6F16" w:rsidP="00A917E1">
      <w:pPr>
        <w:jc w:val="both"/>
        <w:rPr>
          <w:b/>
          <w:i/>
        </w:rPr>
      </w:pPr>
      <w:r>
        <w:rPr>
          <w:b/>
          <w:i/>
        </w:rPr>
        <w:lastRenderedPageBreak/>
        <w:t>Sydney</w:t>
      </w:r>
    </w:p>
    <w:p w:rsidR="00A917E1" w:rsidRPr="007F060C" w:rsidRDefault="001B01C8" w:rsidP="00A917E1">
      <w:pPr>
        <w:jc w:val="both"/>
      </w:pPr>
      <w:r w:rsidRPr="007F060C">
        <w:t>Figure 2.4 shows d</w:t>
      </w:r>
      <w:r w:rsidR="00A917E1" w:rsidRPr="007F060C">
        <w:t>aily M</w:t>
      </w:r>
      <w:r w:rsidR="000A0A32" w:rsidRPr="007F060C">
        <w:t>OS payments in Sydney reached as high as</w:t>
      </w:r>
      <w:r w:rsidR="00A917E1" w:rsidRPr="007F060C">
        <w:t xml:space="preserve"> $90,710</w:t>
      </w:r>
      <w:r w:rsidR="000A0A32" w:rsidRPr="007F060C">
        <w:t xml:space="preserve">, with an average daily payment of $58,168 for the week. This represented a </w:t>
      </w:r>
      <w:r w:rsidR="00F3532E" w:rsidRPr="007F060C">
        <w:t xml:space="preserve">continued trend of </w:t>
      </w:r>
      <w:r w:rsidR="000A0A32" w:rsidRPr="007F060C">
        <w:t xml:space="preserve">counteracting </w:t>
      </w:r>
      <w:r w:rsidR="00A917E1" w:rsidRPr="007F060C">
        <w:t xml:space="preserve">MOS </w:t>
      </w:r>
      <w:r w:rsidR="000A0A32" w:rsidRPr="007F060C">
        <w:t xml:space="preserve">(CMOS) </w:t>
      </w:r>
      <w:r w:rsidR="00A917E1" w:rsidRPr="007F060C">
        <w:t>allocations.</w:t>
      </w:r>
    </w:p>
    <w:p w:rsidR="00A23FCB" w:rsidRDefault="00B66B7E" w:rsidP="00A23FCB">
      <w:pPr>
        <w:jc w:val="both"/>
      </w:pPr>
      <w:r w:rsidRPr="007F060C">
        <w:t>Figure 7 shows the tota</w:t>
      </w:r>
      <w:r w:rsidR="000A0A32" w:rsidRPr="007F060C">
        <w:t xml:space="preserve">l quantity of CMOS </w:t>
      </w:r>
      <w:r w:rsidRPr="007F060C">
        <w:t>allocations each month alongside the number of days in each month where CMOS allocations were above 2 TJ.</w:t>
      </w:r>
      <w:r w:rsidRPr="007F060C">
        <w:rPr>
          <w:rStyle w:val="FootnoteReference"/>
        </w:rPr>
        <w:footnoteReference w:id="5"/>
      </w:r>
      <w:r w:rsidRPr="007F060C">
        <w:t xml:space="preserve"> While there is a trend of higher MOS requirements around the winter months</w:t>
      </w:r>
      <w:r w:rsidR="007320FA" w:rsidRPr="007F060C">
        <w:t xml:space="preserve">, there is a notable trend </w:t>
      </w:r>
      <w:r w:rsidR="00A23FCB" w:rsidRPr="007F060C">
        <w:t xml:space="preserve">toward increased quantities </w:t>
      </w:r>
      <w:r w:rsidR="007320FA" w:rsidRPr="007F060C">
        <w:t>in recent years.</w:t>
      </w:r>
      <w:r w:rsidRPr="007F060C">
        <w:t xml:space="preserve"> </w:t>
      </w:r>
      <w:r w:rsidR="00A23FCB" w:rsidRPr="007F060C">
        <w:t xml:space="preserve">As discussed in the AER’s </w:t>
      </w:r>
      <w:hyperlink r:id="rId15" w:history="1">
        <w:r w:rsidR="0027387B">
          <w:rPr>
            <w:rStyle w:val="Hyperlink"/>
          </w:rPr>
          <w:t>Gas Market Report:</w:t>
        </w:r>
        <w:r w:rsidR="00A23FCB">
          <w:rPr>
            <w:rStyle w:val="Hyperlink"/>
          </w:rPr>
          <w:t xml:space="preserve"> </w:t>
        </w:r>
        <w:r w:rsidR="0027387B">
          <w:rPr>
            <w:rStyle w:val="Hyperlink"/>
          </w:rPr>
          <w:t xml:space="preserve">25 </w:t>
        </w:r>
        <w:r w:rsidR="00A23FCB">
          <w:rPr>
            <w:rStyle w:val="Hyperlink"/>
          </w:rPr>
          <w:t>J</w:t>
        </w:r>
        <w:r w:rsidR="00A23FCB" w:rsidRPr="0079608A">
          <w:rPr>
            <w:rStyle w:val="Hyperlink"/>
          </w:rPr>
          <w:t>une</w:t>
        </w:r>
        <w:r w:rsidR="00A23FCB">
          <w:rPr>
            <w:rStyle w:val="Hyperlink"/>
          </w:rPr>
          <w:t xml:space="preserve"> – 1 J</w:t>
        </w:r>
        <w:r w:rsidR="00A23FCB" w:rsidRPr="0079608A">
          <w:rPr>
            <w:rStyle w:val="Hyperlink"/>
          </w:rPr>
          <w:t>uly</w:t>
        </w:r>
      </w:hyperlink>
      <w:r w:rsidR="00A23FCB">
        <w:rPr>
          <w:rStyle w:val="Hyperlink"/>
        </w:rPr>
        <w:t xml:space="preserve"> 2017</w:t>
      </w:r>
      <w:r w:rsidR="00A23FCB" w:rsidRPr="007F060C">
        <w:t>, this adds to the higher cost of available MOS offers on the Moomba Sydney Pipeline (MSP), putting further upward pressure on MOS payments in the hub.</w:t>
      </w:r>
    </w:p>
    <w:p w:rsidR="00B66B7E" w:rsidRDefault="00B66B7E" w:rsidP="00B66B7E">
      <w:pPr>
        <w:pStyle w:val="Caption"/>
        <w:rPr>
          <w:color w:val="2272A3"/>
          <w:szCs w:val="24"/>
        </w:rPr>
      </w:pPr>
      <w:r w:rsidRPr="001521CB">
        <w:t xml:space="preserve">Figure </w:t>
      </w:r>
      <w:r w:rsidR="003B50C9">
        <w:fldChar w:fldCharType="begin"/>
      </w:r>
      <w:r w:rsidR="003B50C9">
        <w:instrText xml:space="preserve"> SEQ Figure \* ARABIC </w:instrText>
      </w:r>
      <w:r w:rsidR="003B50C9">
        <w:fldChar w:fldCharType="separate"/>
      </w:r>
      <w:r w:rsidR="00BD369F">
        <w:rPr>
          <w:noProof/>
        </w:rPr>
        <w:t>7</w:t>
      </w:r>
      <w:r w:rsidR="003B50C9">
        <w:rPr>
          <w:noProof/>
        </w:rPr>
        <w:fldChar w:fldCharType="end"/>
      </w:r>
      <w:r w:rsidRPr="001521CB">
        <w:t xml:space="preserve">: </w:t>
      </w:r>
      <w:r w:rsidR="00343681">
        <w:rPr>
          <w:color w:val="2272A3"/>
          <w:szCs w:val="24"/>
        </w:rPr>
        <w:t>Counteracting MOS quantity and frequency in Sydney</w:t>
      </w:r>
      <w:r w:rsidR="0013196A">
        <w:rPr>
          <w:color w:val="2272A3"/>
          <w:szCs w:val="24"/>
        </w:rPr>
        <w:t xml:space="preserve"> (TJ)</w:t>
      </w:r>
    </w:p>
    <w:p w:rsidR="00343681" w:rsidRPr="00343681" w:rsidRDefault="0013196A" w:rsidP="00343681">
      <w:pPr>
        <w:jc w:val="both"/>
      </w:pPr>
      <w:r w:rsidRPr="0013196A">
        <w:rPr>
          <w:noProof/>
          <w:lang w:eastAsia="en-AU"/>
        </w:rPr>
        <w:drawing>
          <wp:inline distT="0" distB="0" distL="0" distR="0">
            <wp:extent cx="5502275" cy="3450590"/>
            <wp:effectExtent l="0" t="0" r="3175" b="0"/>
            <wp:docPr id="2" name="Picture 2" descr="Figure 7 shows the total quantity of counteracting MOS (CMOS) allocations each month alongside the number of days in each month where CMOS allocations were above 2 TJ." title="Sydney C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2275" cy="3450590"/>
                    </a:xfrm>
                    <a:prstGeom prst="rect">
                      <a:avLst/>
                    </a:prstGeom>
                    <a:noFill/>
                    <a:ln>
                      <a:noFill/>
                    </a:ln>
                  </pic:spPr>
                </pic:pic>
              </a:graphicData>
            </a:graphic>
          </wp:inline>
        </w:drawing>
      </w:r>
    </w:p>
    <w:p w:rsidR="00D55648" w:rsidRPr="007F060C" w:rsidRDefault="00C90C85" w:rsidP="00C90C85">
      <w:pPr>
        <w:jc w:val="both"/>
      </w:pPr>
      <w:r w:rsidRPr="007F060C">
        <w:t>Counteracting MOS allocations may occur as a result of a number of factors</w:t>
      </w:r>
      <w:r w:rsidR="00A23FCB" w:rsidRPr="007F060C">
        <w:t xml:space="preserve">. As Figure 7 indicates, this may include </w:t>
      </w:r>
      <w:r w:rsidR="00D55648" w:rsidRPr="007F060C">
        <w:t xml:space="preserve">winter demand and </w:t>
      </w:r>
      <w:r w:rsidR="00A23FCB" w:rsidRPr="007F060C">
        <w:t>higher variability in demand levels</w:t>
      </w:r>
      <w:r w:rsidR="00D55648" w:rsidRPr="007F060C">
        <w:t xml:space="preserve"> within the network</w:t>
      </w:r>
      <w:r w:rsidR="00A23FCB" w:rsidRPr="007F060C">
        <w:t xml:space="preserve"> </w:t>
      </w:r>
      <w:r w:rsidR="00D55648" w:rsidRPr="007F060C">
        <w:t xml:space="preserve">due to temperature sensitivity. The nature of this variability </w:t>
      </w:r>
      <w:r w:rsidR="00C07F94" w:rsidRPr="007F060C">
        <w:t>will</w:t>
      </w:r>
      <w:r w:rsidR="00D55648" w:rsidRPr="007F060C">
        <w:t xml:space="preserve"> depend on the </w:t>
      </w:r>
      <w:r w:rsidRPr="007F060C">
        <w:t xml:space="preserve">distribution of </w:t>
      </w:r>
      <w:r w:rsidR="00D55648" w:rsidRPr="007F060C">
        <w:t xml:space="preserve">retail </w:t>
      </w:r>
      <w:r w:rsidRPr="007F060C">
        <w:t xml:space="preserve">customers within sub-sections of the Sydney hub and </w:t>
      </w:r>
      <w:r w:rsidR="00D55648" w:rsidRPr="007F060C">
        <w:t xml:space="preserve">the </w:t>
      </w:r>
      <w:r w:rsidRPr="007F060C">
        <w:t>associated allocation of supply between the Eastern Gas Pipeline (EGP) and MSP.</w:t>
      </w:r>
    </w:p>
    <w:p w:rsidR="00C90C85" w:rsidRPr="00D55648" w:rsidRDefault="00C90C85" w:rsidP="00C90C85">
      <w:pPr>
        <w:jc w:val="both"/>
        <w:rPr>
          <w:color w:val="FF0000"/>
        </w:rPr>
      </w:pPr>
      <w:r w:rsidRPr="007F060C">
        <w:t xml:space="preserve">Other </w:t>
      </w:r>
      <w:r w:rsidR="00C07F94" w:rsidRPr="007F060C">
        <w:t xml:space="preserve">contributing </w:t>
      </w:r>
      <w:r w:rsidRPr="007F060C">
        <w:t xml:space="preserve">factors may include the renomination of supply and back haul on each of the </w:t>
      </w:r>
      <w:r w:rsidR="00C07F94" w:rsidRPr="007F060C">
        <w:t>EGP and MSP</w:t>
      </w:r>
      <w:r w:rsidRPr="007F060C">
        <w:t xml:space="preserve">. Further </w:t>
      </w:r>
      <w:r w:rsidR="00D86E3C" w:rsidRPr="007F060C">
        <w:t>analysis</w:t>
      </w:r>
      <w:r w:rsidRPr="007F060C">
        <w:t xml:space="preserve"> of </w:t>
      </w:r>
      <w:r w:rsidR="00CA4FD9" w:rsidRPr="007F060C">
        <w:t xml:space="preserve">the physical constraints within the Sydney distribution system </w:t>
      </w:r>
      <w:r w:rsidR="00C07F94" w:rsidRPr="007F060C">
        <w:t xml:space="preserve">and </w:t>
      </w:r>
      <w:r w:rsidR="00CA4FD9" w:rsidRPr="007F060C">
        <w:t xml:space="preserve">counteracting MOS allocations </w:t>
      </w:r>
      <w:r w:rsidR="00C07F94" w:rsidRPr="007F060C">
        <w:t>are</w:t>
      </w:r>
      <w:r w:rsidR="00CA4FD9" w:rsidRPr="007F060C">
        <w:t xml:space="preserve"> available in </w:t>
      </w:r>
      <w:r w:rsidR="00C07F94" w:rsidRPr="007F060C">
        <w:t>the AER’s</w:t>
      </w:r>
      <w:r w:rsidR="00CA4FD9" w:rsidRPr="007F060C">
        <w:t xml:space="preserve"> </w:t>
      </w:r>
      <w:r w:rsidR="00C07F94">
        <w:rPr>
          <w:rStyle w:val="Hyperlink"/>
        </w:rPr>
        <w:t>significant price variation report – July and August 2016</w:t>
      </w:r>
      <w:r w:rsidR="00CA4FD9">
        <w:t xml:space="preserve">. </w:t>
      </w:r>
    </w:p>
    <w:p w:rsidR="00C90C85" w:rsidRPr="000835F4" w:rsidRDefault="00C90C85" w:rsidP="00A917E1">
      <w:pPr>
        <w:jc w:val="both"/>
      </w:pPr>
    </w:p>
    <w:p w:rsid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16347751" wp14:editId="75D2241B">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A37C64" w:rsidP="003171C6">
      <w:r w:rsidRPr="00A37C64">
        <w:rPr>
          <w:noProof/>
          <w:lang w:eastAsia="en-AU"/>
        </w:rPr>
        <w:drawing>
          <wp:inline distT="0" distB="0" distL="0" distR="0" wp14:anchorId="19C01D2B" wp14:editId="7A2BA9BF">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A37C64" w:rsidP="003171C6">
      <w:r w:rsidRPr="00A37C64">
        <w:rPr>
          <w:noProof/>
          <w:lang w:eastAsia="en-AU"/>
        </w:rPr>
        <w:drawing>
          <wp:inline distT="0" distB="0" distL="0" distR="0" wp14:anchorId="781C0E40" wp14:editId="675BB5D8">
            <wp:extent cx="5731510" cy="2132322"/>
            <wp:effectExtent l="0" t="0" r="2540" b="1905"/>
            <wp:docPr id="14" name="Picture 14"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A37C64" w:rsidP="003171C6">
      <w:r w:rsidRPr="00A37C64">
        <w:rPr>
          <w:noProof/>
          <w:lang w:eastAsia="en-AU"/>
        </w:rPr>
        <w:drawing>
          <wp:inline distT="0" distB="0" distL="0" distR="0" wp14:anchorId="445BFE67" wp14:editId="183B9494">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257AA0" w:rsidP="003171C6">
      <w:r w:rsidRPr="00257AA0">
        <w:rPr>
          <w:noProof/>
          <w:lang w:eastAsia="en-AU"/>
        </w:rPr>
        <w:drawing>
          <wp:inline distT="0" distB="0" distL="0" distR="0" wp14:anchorId="40BFBF77" wp14:editId="17211FEF">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257AA0" w:rsidP="003171C6">
      <w:r w:rsidRPr="00257AA0">
        <w:rPr>
          <w:noProof/>
          <w:lang w:eastAsia="en-AU"/>
        </w:rPr>
        <w:drawing>
          <wp:inline distT="0" distB="0" distL="0" distR="0" wp14:anchorId="6CD2D649" wp14:editId="6F738CC7">
            <wp:extent cx="5731510" cy="2142691"/>
            <wp:effectExtent l="0" t="0" r="2540" b="0"/>
            <wp:docPr id="17" name="Picture 17" descr="Figure 1.5 shows the metered injections sorted by facility for each 4 hour interval in Victoria this week. For a more detailed description of this figure, please refer to the user guide." title="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23"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57AA0" w:rsidRPr="00405CDE" w:rsidTr="00A226E9">
        <w:trPr>
          <w:trHeight w:val="510"/>
        </w:trPr>
        <w:tc>
          <w:tcPr>
            <w:tcW w:w="1211" w:type="pct"/>
            <w:tcBorders>
              <w:top w:val="nil"/>
              <w:bottom w:val="nil"/>
            </w:tcBorders>
            <w:vAlign w:val="center"/>
          </w:tcPr>
          <w:p w:rsidR="00257AA0" w:rsidRDefault="00257AA0">
            <w:pPr>
              <w:rPr>
                <w:rFonts w:cs="Arial"/>
                <w:sz w:val="20"/>
                <w:szCs w:val="20"/>
              </w:rPr>
            </w:pPr>
            <w:r>
              <w:rPr>
                <w:rFonts w:cs="Arial"/>
                <w:sz w:val="20"/>
                <w:szCs w:val="20"/>
              </w:rPr>
              <w:t>Ex ante price ($/GJ)</w:t>
            </w:r>
          </w:p>
        </w:tc>
        <w:tc>
          <w:tcPr>
            <w:tcW w:w="580" w:type="pct"/>
            <w:tcBorders>
              <w:top w:val="nil"/>
              <w:bottom w:val="nil"/>
            </w:tcBorders>
            <w:vAlign w:val="center"/>
          </w:tcPr>
          <w:p w:rsidR="00257AA0" w:rsidRDefault="00257AA0">
            <w:pPr>
              <w:jc w:val="center"/>
              <w:rPr>
                <w:rFonts w:cs="Arial"/>
                <w:sz w:val="20"/>
                <w:szCs w:val="20"/>
              </w:rPr>
            </w:pPr>
            <w:r>
              <w:rPr>
                <w:rFonts w:cs="Arial"/>
                <w:sz w:val="20"/>
                <w:szCs w:val="20"/>
              </w:rPr>
              <w:t>9.55</w:t>
            </w:r>
          </w:p>
        </w:tc>
        <w:tc>
          <w:tcPr>
            <w:tcW w:w="508" w:type="pct"/>
            <w:tcBorders>
              <w:top w:val="nil"/>
              <w:bottom w:val="nil"/>
            </w:tcBorders>
            <w:vAlign w:val="center"/>
          </w:tcPr>
          <w:p w:rsidR="00257AA0" w:rsidRDefault="00257AA0">
            <w:pPr>
              <w:jc w:val="center"/>
              <w:rPr>
                <w:rFonts w:cs="Arial"/>
                <w:sz w:val="20"/>
                <w:szCs w:val="20"/>
              </w:rPr>
            </w:pPr>
            <w:r>
              <w:rPr>
                <w:rFonts w:cs="Arial"/>
                <w:sz w:val="20"/>
                <w:szCs w:val="20"/>
              </w:rPr>
              <w:t>9.48</w:t>
            </w:r>
          </w:p>
        </w:tc>
        <w:tc>
          <w:tcPr>
            <w:tcW w:w="589" w:type="pct"/>
            <w:tcBorders>
              <w:top w:val="nil"/>
              <w:bottom w:val="nil"/>
            </w:tcBorders>
            <w:vAlign w:val="center"/>
          </w:tcPr>
          <w:p w:rsidR="00257AA0" w:rsidRDefault="00257AA0">
            <w:pPr>
              <w:jc w:val="center"/>
              <w:rPr>
                <w:rFonts w:cs="Arial"/>
                <w:sz w:val="20"/>
                <w:szCs w:val="20"/>
              </w:rPr>
            </w:pPr>
            <w:r>
              <w:rPr>
                <w:rFonts w:cs="Arial"/>
                <w:sz w:val="20"/>
                <w:szCs w:val="20"/>
              </w:rPr>
              <w:t>10.01</w:t>
            </w:r>
          </w:p>
        </w:tc>
        <w:tc>
          <w:tcPr>
            <w:tcW w:w="517" w:type="pct"/>
            <w:tcBorders>
              <w:top w:val="nil"/>
              <w:bottom w:val="nil"/>
            </w:tcBorders>
            <w:vAlign w:val="center"/>
          </w:tcPr>
          <w:p w:rsidR="00257AA0" w:rsidRDefault="00257AA0">
            <w:pPr>
              <w:jc w:val="center"/>
              <w:rPr>
                <w:rFonts w:cs="Arial"/>
                <w:sz w:val="20"/>
                <w:szCs w:val="20"/>
              </w:rPr>
            </w:pPr>
            <w:r>
              <w:rPr>
                <w:rFonts w:cs="Arial"/>
                <w:sz w:val="20"/>
                <w:szCs w:val="20"/>
              </w:rPr>
              <w:t>10.48</w:t>
            </w:r>
          </w:p>
        </w:tc>
        <w:tc>
          <w:tcPr>
            <w:tcW w:w="510" w:type="pct"/>
            <w:tcBorders>
              <w:top w:val="nil"/>
              <w:bottom w:val="nil"/>
            </w:tcBorders>
            <w:vAlign w:val="center"/>
          </w:tcPr>
          <w:p w:rsidR="00257AA0" w:rsidRDefault="00257AA0">
            <w:pPr>
              <w:jc w:val="center"/>
              <w:rPr>
                <w:rFonts w:cs="Arial"/>
                <w:sz w:val="20"/>
                <w:szCs w:val="20"/>
              </w:rPr>
            </w:pPr>
            <w:r>
              <w:rPr>
                <w:rFonts w:cs="Arial"/>
                <w:sz w:val="20"/>
                <w:szCs w:val="20"/>
              </w:rPr>
              <w:t>10.18</w:t>
            </w:r>
          </w:p>
        </w:tc>
        <w:tc>
          <w:tcPr>
            <w:tcW w:w="507" w:type="pct"/>
            <w:tcBorders>
              <w:top w:val="nil"/>
              <w:bottom w:val="nil"/>
            </w:tcBorders>
            <w:vAlign w:val="center"/>
          </w:tcPr>
          <w:p w:rsidR="00257AA0" w:rsidRDefault="00257AA0">
            <w:pPr>
              <w:jc w:val="center"/>
              <w:rPr>
                <w:rFonts w:cs="Arial"/>
                <w:sz w:val="20"/>
                <w:szCs w:val="20"/>
              </w:rPr>
            </w:pPr>
            <w:r>
              <w:rPr>
                <w:rFonts w:cs="Arial"/>
                <w:sz w:val="20"/>
                <w:szCs w:val="20"/>
              </w:rPr>
              <w:t>9.96</w:t>
            </w:r>
          </w:p>
        </w:tc>
        <w:tc>
          <w:tcPr>
            <w:tcW w:w="578" w:type="pct"/>
            <w:tcBorders>
              <w:top w:val="nil"/>
              <w:bottom w:val="nil"/>
            </w:tcBorders>
            <w:vAlign w:val="center"/>
          </w:tcPr>
          <w:p w:rsidR="00257AA0" w:rsidRDefault="00257AA0">
            <w:pPr>
              <w:jc w:val="center"/>
              <w:rPr>
                <w:rFonts w:cs="Arial"/>
                <w:sz w:val="20"/>
                <w:szCs w:val="20"/>
              </w:rPr>
            </w:pPr>
            <w:r>
              <w:rPr>
                <w:rFonts w:cs="Arial"/>
                <w:sz w:val="20"/>
                <w:szCs w:val="20"/>
              </w:rPr>
              <w:t>9.57</w:t>
            </w:r>
          </w:p>
        </w:tc>
      </w:tr>
      <w:tr w:rsidR="00257A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257AA0" w:rsidRDefault="00257AA0">
            <w:pPr>
              <w:rPr>
                <w:rFonts w:cs="Arial"/>
                <w:szCs w:val="20"/>
              </w:rPr>
            </w:pPr>
            <w:r>
              <w:rPr>
                <w:rFonts w:cs="Arial"/>
                <w:szCs w:val="20"/>
              </w:rPr>
              <w:t>Ex ante quantity (TJ)</w:t>
            </w:r>
          </w:p>
        </w:tc>
        <w:tc>
          <w:tcPr>
            <w:tcW w:w="580" w:type="pct"/>
            <w:tcBorders>
              <w:top w:val="nil"/>
              <w:bottom w:val="nil"/>
            </w:tcBorders>
            <w:vAlign w:val="center"/>
          </w:tcPr>
          <w:p w:rsidR="00257AA0" w:rsidRDefault="00257AA0">
            <w:pPr>
              <w:jc w:val="center"/>
              <w:rPr>
                <w:rFonts w:cs="Arial"/>
                <w:szCs w:val="20"/>
              </w:rPr>
            </w:pPr>
            <w:r>
              <w:rPr>
                <w:rFonts w:cs="Arial"/>
                <w:szCs w:val="20"/>
              </w:rPr>
              <w:t>280</w:t>
            </w:r>
          </w:p>
        </w:tc>
        <w:tc>
          <w:tcPr>
            <w:tcW w:w="508" w:type="pct"/>
            <w:tcBorders>
              <w:top w:val="nil"/>
              <w:bottom w:val="nil"/>
            </w:tcBorders>
            <w:vAlign w:val="center"/>
          </w:tcPr>
          <w:p w:rsidR="00257AA0" w:rsidRDefault="00257AA0">
            <w:pPr>
              <w:jc w:val="center"/>
              <w:rPr>
                <w:rFonts w:cs="Arial"/>
                <w:szCs w:val="20"/>
              </w:rPr>
            </w:pPr>
            <w:r>
              <w:rPr>
                <w:rFonts w:cs="Arial"/>
                <w:szCs w:val="20"/>
              </w:rPr>
              <w:t>295</w:t>
            </w:r>
          </w:p>
        </w:tc>
        <w:tc>
          <w:tcPr>
            <w:tcW w:w="589" w:type="pct"/>
            <w:tcBorders>
              <w:top w:val="nil"/>
              <w:bottom w:val="nil"/>
            </w:tcBorders>
            <w:vAlign w:val="center"/>
          </w:tcPr>
          <w:p w:rsidR="00257AA0" w:rsidRDefault="00257AA0">
            <w:pPr>
              <w:jc w:val="center"/>
              <w:rPr>
                <w:rFonts w:cs="Arial"/>
                <w:szCs w:val="20"/>
              </w:rPr>
            </w:pPr>
            <w:r>
              <w:rPr>
                <w:rFonts w:cs="Arial"/>
                <w:szCs w:val="20"/>
              </w:rPr>
              <w:t>291</w:t>
            </w:r>
          </w:p>
        </w:tc>
        <w:tc>
          <w:tcPr>
            <w:tcW w:w="517" w:type="pct"/>
            <w:tcBorders>
              <w:top w:val="nil"/>
              <w:bottom w:val="nil"/>
            </w:tcBorders>
            <w:vAlign w:val="center"/>
          </w:tcPr>
          <w:p w:rsidR="00257AA0" w:rsidRDefault="00257AA0">
            <w:pPr>
              <w:jc w:val="center"/>
              <w:rPr>
                <w:rFonts w:cs="Arial"/>
                <w:szCs w:val="20"/>
              </w:rPr>
            </w:pPr>
            <w:r>
              <w:rPr>
                <w:rFonts w:cs="Arial"/>
                <w:szCs w:val="20"/>
              </w:rPr>
              <w:t>315</w:t>
            </w:r>
          </w:p>
        </w:tc>
        <w:tc>
          <w:tcPr>
            <w:tcW w:w="510" w:type="pct"/>
            <w:tcBorders>
              <w:top w:val="nil"/>
              <w:bottom w:val="nil"/>
            </w:tcBorders>
            <w:vAlign w:val="center"/>
          </w:tcPr>
          <w:p w:rsidR="00257AA0" w:rsidRDefault="00257AA0">
            <w:pPr>
              <w:jc w:val="center"/>
              <w:rPr>
                <w:rFonts w:cs="Arial"/>
                <w:szCs w:val="20"/>
              </w:rPr>
            </w:pPr>
            <w:r>
              <w:rPr>
                <w:rFonts w:cs="Arial"/>
                <w:szCs w:val="20"/>
              </w:rPr>
              <w:t>317</w:t>
            </w:r>
          </w:p>
        </w:tc>
        <w:tc>
          <w:tcPr>
            <w:tcW w:w="507" w:type="pct"/>
            <w:tcBorders>
              <w:top w:val="nil"/>
              <w:bottom w:val="nil"/>
            </w:tcBorders>
            <w:vAlign w:val="center"/>
          </w:tcPr>
          <w:p w:rsidR="00257AA0" w:rsidRDefault="00257AA0">
            <w:pPr>
              <w:jc w:val="center"/>
              <w:rPr>
                <w:rFonts w:cs="Arial"/>
                <w:szCs w:val="20"/>
              </w:rPr>
            </w:pPr>
            <w:r>
              <w:rPr>
                <w:rFonts w:cs="Arial"/>
                <w:szCs w:val="20"/>
              </w:rPr>
              <w:t>310</w:t>
            </w:r>
          </w:p>
        </w:tc>
        <w:tc>
          <w:tcPr>
            <w:tcW w:w="578" w:type="pct"/>
            <w:tcBorders>
              <w:top w:val="nil"/>
              <w:bottom w:val="nil"/>
            </w:tcBorders>
            <w:vAlign w:val="center"/>
          </w:tcPr>
          <w:p w:rsidR="00257AA0" w:rsidRDefault="00257AA0">
            <w:pPr>
              <w:jc w:val="center"/>
              <w:rPr>
                <w:rFonts w:cs="Arial"/>
                <w:szCs w:val="20"/>
              </w:rPr>
            </w:pPr>
            <w:r>
              <w:rPr>
                <w:rFonts w:cs="Arial"/>
                <w:szCs w:val="20"/>
              </w:rPr>
              <w:t>280</w:t>
            </w:r>
          </w:p>
        </w:tc>
      </w:tr>
      <w:tr w:rsidR="00257AA0" w:rsidRPr="00405CDE" w:rsidTr="00A226E9">
        <w:trPr>
          <w:trHeight w:val="510"/>
        </w:trPr>
        <w:tc>
          <w:tcPr>
            <w:tcW w:w="1211" w:type="pct"/>
            <w:tcBorders>
              <w:top w:val="nil"/>
              <w:bottom w:val="nil"/>
            </w:tcBorders>
            <w:vAlign w:val="center"/>
          </w:tcPr>
          <w:p w:rsidR="00257AA0" w:rsidRDefault="00257AA0">
            <w:pPr>
              <w:rPr>
                <w:rFonts w:cs="Arial"/>
                <w:sz w:val="20"/>
                <w:szCs w:val="20"/>
              </w:rPr>
            </w:pPr>
            <w:r>
              <w:rPr>
                <w:rFonts w:cs="Arial"/>
                <w:sz w:val="20"/>
                <w:szCs w:val="20"/>
              </w:rPr>
              <w:t>Ex post price ($/GJ)</w:t>
            </w:r>
          </w:p>
        </w:tc>
        <w:tc>
          <w:tcPr>
            <w:tcW w:w="580" w:type="pct"/>
            <w:tcBorders>
              <w:top w:val="nil"/>
              <w:bottom w:val="nil"/>
            </w:tcBorders>
            <w:vAlign w:val="center"/>
          </w:tcPr>
          <w:p w:rsidR="00257AA0" w:rsidRDefault="00257AA0">
            <w:pPr>
              <w:jc w:val="center"/>
              <w:rPr>
                <w:rFonts w:cs="Arial"/>
                <w:sz w:val="20"/>
                <w:szCs w:val="20"/>
              </w:rPr>
            </w:pPr>
            <w:r>
              <w:rPr>
                <w:rFonts w:cs="Arial"/>
                <w:sz w:val="20"/>
                <w:szCs w:val="20"/>
              </w:rPr>
              <w:t>9.20</w:t>
            </w:r>
          </w:p>
        </w:tc>
        <w:tc>
          <w:tcPr>
            <w:tcW w:w="508" w:type="pct"/>
            <w:tcBorders>
              <w:top w:val="nil"/>
              <w:bottom w:val="nil"/>
            </w:tcBorders>
            <w:vAlign w:val="center"/>
          </w:tcPr>
          <w:p w:rsidR="00257AA0" w:rsidRDefault="00257AA0">
            <w:pPr>
              <w:jc w:val="center"/>
              <w:rPr>
                <w:rFonts w:cs="Arial"/>
                <w:sz w:val="20"/>
                <w:szCs w:val="20"/>
              </w:rPr>
            </w:pPr>
            <w:r>
              <w:rPr>
                <w:rFonts w:cs="Arial"/>
                <w:sz w:val="20"/>
                <w:szCs w:val="20"/>
              </w:rPr>
              <w:t>10.01</w:t>
            </w:r>
          </w:p>
        </w:tc>
        <w:tc>
          <w:tcPr>
            <w:tcW w:w="589" w:type="pct"/>
            <w:tcBorders>
              <w:top w:val="nil"/>
              <w:bottom w:val="nil"/>
            </w:tcBorders>
            <w:vAlign w:val="center"/>
          </w:tcPr>
          <w:p w:rsidR="00257AA0" w:rsidRDefault="00257AA0">
            <w:pPr>
              <w:jc w:val="center"/>
              <w:rPr>
                <w:rFonts w:cs="Arial"/>
                <w:sz w:val="20"/>
                <w:szCs w:val="20"/>
              </w:rPr>
            </w:pPr>
            <w:r>
              <w:rPr>
                <w:rFonts w:cs="Arial"/>
                <w:sz w:val="20"/>
                <w:szCs w:val="20"/>
              </w:rPr>
              <w:t>9.48</w:t>
            </w:r>
          </w:p>
        </w:tc>
        <w:tc>
          <w:tcPr>
            <w:tcW w:w="517" w:type="pct"/>
            <w:tcBorders>
              <w:top w:val="nil"/>
              <w:bottom w:val="nil"/>
            </w:tcBorders>
            <w:vAlign w:val="center"/>
          </w:tcPr>
          <w:p w:rsidR="00257AA0" w:rsidRDefault="00257AA0">
            <w:pPr>
              <w:jc w:val="center"/>
              <w:rPr>
                <w:rFonts w:cs="Arial"/>
                <w:sz w:val="20"/>
                <w:szCs w:val="20"/>
              </w:rPr>
            </w:pPr>
            <w:r>
              <w:rPr>
                <w:rFonts w:cs="Arial"/>
                <w:sz w:val="20"/>
                <w:szCs w:val="20"/>
              </w:rPr>
              <w:t>8.22</w:t>
            </w:r>
          </w:p>
        </w:tc>
        <w:tc>
          <w:tcPr>
            <w:tcW w:w="510" w:type="pct"/>
            <w:tcBorders>
              <w:top w:val="nil"/>
              <w:bottom w:val="nil"/>
            </w:tcBorders>
            <w:vAlign w:val="center"/>
          </w:tcPr>
          <w:p w:rsidR="00257AA0" w:rsidRDefault="00257AA0">
            <w:pPr>
              <w:jc w:val="center"/>
              <w:rPr>
                <w:rFonts w:cs="Arial"/>
                <w:sz w:val="20"/>
                <w:szCs w:val="20"/>
              </w:rPr>
            </w:pPr>
            <w:r>
              <w:rPr>
                <w:rFonts w:cs="Arial"/>
                <w:sz w:val="20"/>
                <w:szCs w:val="20"/>
              </w:rPr>
              <w:t>9.57</w:t>
            </w:r>
          </w:p>
        </w:tc>
        <w:tc>
          <w:tcPr>
            <w:tcW w:w="507" w:type="pct"/>
            <w:tcBorders>
              <w:top w:val="nil"/>
              <w:bottom w:val="nil"/>
            </w:tcBorders>
            <w:vAlign w:val="center"/>
          </w:tcPr>
          <w:p w:rsidR="00257AA0" w:rsidRDefault="00257AA0">
            <w:pPr>
              <w:jc w:val="center"/>
              <w:rPr>
                <w:rFonts w:cs="Arial"/>
                <w:sz w:val="20"/>
                <w:szCs w:val="20"/>
              </w:rPr>
            </w:pPr>
            <w:r>
              <w:rPr>
                <w:rFonts w:cs="Arial"/>
                <w:sz w:val="20"/>
                <w:szCs w:val="20"/>
              </w:rPr>
              <w:t>10.45</w:t>
            </w:r>
          </w:p>
        </w:tc>
        <w:tc>
          <w:tcPr>
            <w:tcW w:w="578" w:type="pct"/>
            <w:tcBorders>
              <w:top w:val="nil"/>
              <w:bottom w:val="nil"/>
            </w:tcBorders>
            <w:vAlign w:val="center"/>
          </w:tcPr>
          <w:p w:rsidR="00257AA0" w:rsidRDefault="00257AA0">
            <w:pPr>
              <w:jc w:val="center"/>
              <w:rPr>
                <w:rFonts w:cs="Arial"/>
                <w:sz w:val="20"/>
                <w:szCs w:val="20"/>
              </w:rPr>
            </w:pPr>
            <w:r>
              <w:rPr>
                <w:rFonts w:cs="Arial"/>
                <w:sz w:val="20"/>
                <w:szCs w:val="20"/>
              </w:rPr>
              <w:t>10.20</w:t>
            </w:r>
          </w:p>
        </w:tc>
      </w:tr>
      <w:tr w:rsidR="00257A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257AA0" w:rsidRDefault="00257AA0">
            <w:pPr>
              <w:rPr>
                <w:rFonts w:cs="Arial"/>
                <w:szCs w:val="20"/>
              </w:rPr>
            </w:pPr>
            <w:r>
              <w:rPr>
                <w:rFonts w:cs="Arial"/>
                <w:szCs w:val="20"/>
              </w:rPr>
              <w:t>Ex post quantity (TJ)</w:t>
            </w:r>
          </w:p>
        </w:tc>
        <w:tc>
          <w:tcPr>
            <w:tcW w:w="580" w:type="pct"/>
            <w:tcBorders>
              <w:top w:val="nil"/>
              <w:bottom w:val="single" w:sz="4" w:space="0" w:color="auto"/>
            </w:tcBorders>
            <w:vAlign w:val="center"/>
          </w:tcPr>
          <w:p w:rsidR="00257AA0" w:rsidRDefault="00257AA0">
            <w:pPr>
              <w:jc w:val="center"/>
              <w:rPr>
                <w:rFonts w:cs="Arial"/>
                <w:szCs w:val="20"/>
              </w:rPr>
            </w:pPr>
            <w:r>
              <w:rPr>
                <w:rFonts w:cs="Arial"/>
                <w:szCs w:val="20"/>
              </w:rPr>
              <w:t>271</w:t>
            </w:r>
          </w:p>
        </w:tc>
        <w:tc>
          <w:tcPr>
            <w:tcW w:w="508" w:type="pct"/>
            <w:tcBorders>
              <w:top w:val="nil"/>
              <w:bottom w:val="single" w:sz="4" w:space="0" w:color="auto"/>
            </w:tcBorders>
            <w:vAlign w:val="center"/>
          </w:tcPr>
          <w:p w:rsidR="00257AA0" w:rsidRDefault="00257AA0">
            <w:pPr>
              <w:jc w:val="center"/>
              <w:rPr>
                <w:rFonts w:cs="Arial"/>
                <w:szCs w:val="20"/>
              </w:rPr>
            </w:pPr>
            <w:r>
              <w:rPr>
                <w:rFonts w:cs="Arial"/>
                <w:szCs w:val="20"/>
              </w:rPr>
              <w:t>301</w:t>
            </w:r>
          </w:p>
        </w:tc>
        <w:tc>
          <w:tcPr>
            <w:tcW w:w="589" w:type="pct"/>
            <w:tcBorders>
              <w:top w:val="nil"/>
              <w:bottom w:val="single" w:sz="4" w:space="0" w:color="auto"/>
            </w:tcBorders>
            <w:vAlign w:val="center"/>
          </w:tcPr>
          <w:p w:rsidR="00257AA0" w:rsidRDefault="00257AA0">
            <w:pPr>
              <w:jc w:val="center"/>
              <w:rPr>
                <w:rFonts w:cs="Arial"/>
                <w:szCs w:val="20"/>
              </w:rPr>
            </w:pPr>
            <w:r>
              <w:rPr>
                <w:rFonts w:cs="Arial"/>
                <w:szCs w:val="20"/>
              </w:rPr>
              <w:t>286</w:t>
            </w:r>
          </w:p>
        </w:tc>
        <w:tc>
          <w:tcPr>
            <w:tcW w:w="517" w:type="pct"/>
            <w:tcBorders>
              <w:top w:val="nil"/>
              <w:bottom w:val="single" w:sz="4" w:space="0" w:color="auto"/>
            </w:tcBorders>
            <w:vAlign w:val="center"/>
          </w:tcPr>
          <w:p w:rsidR="00257AA0" w:rsidRDefault="00257AA0">
            <w:pPr>
              <w:jc w:val="center"/>
              <w:rPr>
                <w:rFonts w:cs="Arial"/>
                <w:szCs w:val="20"/>
              </w:rPr>
            </w:pPr>
            <w:r>
              <w:rPr>
                <w:rFonts w:cs="Arial"/>
                <w:szCs w:val="20"/>
              </w:rPr>
              <w:t>271</w:t>
            </w:r>
          </w:p>
        </w:tc>
        <w:tc>
          <w:tcPr>
            <w:tcW w:w="510" w:type="pct"/>
            <w:tcBorders>
              <w:top w:val="nil"/>
              <w:bottom w:val="single" w:sz="4" w:space="0" w:color="auto"/>
            </w:tcBorders>
            <w:vAlign w:val="center"/>
          </w:tcPr>
          <w:p w:rsidR="00257AA0" w:rsidRDefault="00257AA0">
            <w:pPr>
              <w:jc w:val="center"/>
              <w:rPr>
                <w:rFonts w:cs="Arial"/>
                <w:szCs w:val="20"/>
              </w:rPr>
            </w:pPr>
            <w:r>
              <w:rPr>
                <w:rFonts w:cs="Arial"/>
                <w:szCs w:val="20"/>
              </w:rPr>
              <w:t>308</w:t>
            </w:r>
          </w:p>
        </w:tc>
        <w:tc>
          <w:tcPr>
            <w:tcW w:w="507" w:type="pct"/>
            <w:tcBorders>
              <w:top w:val="nil"/>
              <w:bottom w:val="single" w:sz="4" w:space="0" w:color="auto"/>
            </w:tcBorders>
            <w:vAlign w:val="center"/>
          </w:tcPr>
          <w:p w:rsidR="00257AA0" w:rsidRDefault="00257AA0">
            <w:pPr>
              <w:jc w:val="center"/>
              <w:rPr>
                <w:rFonts w:cs="Arial"/>
                <w:szCs w:val="20"/>
              </w:rPr>
            </w:pPr>
            <w:r>
              <w:rPr>
                <w:rFonts w:cs="Arial"/>
                <w:szCs w:val="20"/>
              </w:rPr>
              <w:t>321</w:t>
            </w:r>
          </w:p>
        </w:tc>
        <w:tc>
          <w:tcPr>
            <w:tcW w:w="578" w:type="pct"/>
            <w:tcBorders>
              <w:top w:val="nil"/>
              <w:bottom w:val="single" w:sz="4" w:space="0" w:color="auto"/>
            </w:tcBorders>
            <w:vAlign w:val="center"/>
          </w:tcPr>
          <w:p w:rsidR="00257AA0" w:rsidRDefault="00257AA0">
            <w:pPr>
              <w:jc w:val="center"/>
              <w:rPr>
                <w:rFonts w:cs="Arial"/>
                <w:szCs w:val="20"/>
              </w:rPr>
            </w:pPr>
            <w:r>
              <w:rPr>
                <w:rFonts w:cs="Arial"/>
                <w:szCs w:val="20"/>
              </w:rPr>
              <w:t>289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257AA0" w:rsidP="00EC2CB1">
      <w:r w:rsidRPr="00257AA0">
        <w:rPr>
          <w:noProof/>
          <w:lang w:eastAsia="en-AU"/>
        </w:rPr>
        <w:drawing>
          <wp:inline distT="0" distB="0" distL="0" distR="0" wp14:anchorId="3EEC9B77" wp14:editId="1614F0BC">
            <wp:extent cx="5731510" cy="2046203"/>
            <wp:effectExtent l="0" t="0" r="0" b="0"/>
            <wp:docPr id="25" name="Picture 25"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257AA0" w:rsidP="00EC2CB1">
      <w:r w:rsidRPr="00257AA0">
        <w:rPr>
          <w:noProof/>
          <w:lang w:eastAsia="en-AU"/>
        </w:rPr>
        <w:drawing>
          <wp:inline distT="0" distB="0" distL="0" distR="0" wp14:anchorId="3C64213B" wp14:editId="685BB277">
            <wp:extent cx="5731510" cy="2555336"/>
            <wp:effectExtent l="0" t="0" r="2540" b="0"/>
            <wp:docPr id="26" name="Picture 26" descr="Figure 2.3 shows the daily scheduled and allocated quantities sorted by facility for Sydney this week. For a more detailed description of this figure, please refer to the user guide." title="Sydney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1"/>
      </w:r>
    </w:p>
    <w:p w:rsidR="00EC2CB1" w:rsidRDefault="00B95E9F" w:rsidP="00EC2CB1">
      <w:r w:rsidRPr="00B95E9F">
        <w:rPr>
          <w:noProof/>
          <w:lang w:eastAsia="en-AU"/>
        </w:rPr>
        <w:drawing>
          <wp:inline distT="0" distB="0" distL="0" distR="0" wp14:anchorId="20DA7DDD" wp14:editId="791B39B5">
            <wp:extent cx="5731510" cy="2175613"/>
            <wp:effectExtent l="0" t="0" r="2540" b="0"/>
            <wp:docPr id="36" name="Picture 36"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57AA0" w:rsidRPr="00405CDE" w:rsidTr="00A226E9">
        <w:trPr>
          <w:trHeight w:val="389"/>
        </w:trPr>
        <w:tc>
          <w:tcPr>
            <w:tcW w:w="1152" w:type="pct"/>
            <w:tcBorders>
              <w:top w:val="nil"/>
              <w:bottom w:val="nil"/>
            </w:tcBorders>
            <w:vAlign w:val="center"/>
          </w:tcPr>
          <w:p w:rsidR="00257AA0" w:rsidRDefault="00257AA0">
            <w:pPr>
              <w:rPr>
                <w:rFonts w:cs="Arial"/>
                <w:sz w:val="20"/>
                <w:szCs w:val="20"/>
              </w:rPr>
            </w:pPr>
            <w:r>
              <w:rPr>
                <w:rFonts w:cs="Arial"/>
                <w:sz w:val="20"/>
                <w:szCs w:val="20"/>
              </w:rPr>
              <w:t>Ex ante price ($/GJ)</w:t>
            </w:r>
          </w:p>
        </w:tc>
        <w:tc>
          <w:tcPr>
            <w:tcW w:w="589" w:type="pct"/>
            <w:tcBorders>
              <w:top w:val="nil"/>
              <w:bottom w:val="nil"/>
            </w:tcBorders>
            <w:vAlign w:val="center"/>
          </w:tcPr>
          <w:p w:rsidR="00257AA0" w:rsidRDefault="00257AA0">
            <w:pPr>
              <w:jc w:val="center"/>
              <w:rPr>
                <w:rFonts w:cs="Arial"/>
                <w:sz w:val="20"/>
                <w:szCs w:val="20"/>
              </w:rPr>
            </w:pPr>
            <w:r>
              <w:rPr>
                <w:rFonts w:cs="Arial"/>
                <w:sz w:val="20"/>
                <w:szCs w:val="20"/>
              </w:rPr>
              <w:t>8.36</w:t>
            </w:r>
          </w:p>
        </w:tc>
        <w:tc>
          <w:tcPr>
            <w:tcW w:w="516" w:type="pct"/>
            <w:tcBorders>
              <w:top w:val="nil"/>
              <w:bottom w:val="nil"/>
            </w:tcBorders>
            <w:vAlign w:val="center"/>
          </w:tcPr>
          <w:p w:rsidR="00257AA0" w:rsidRDefault="00257AA0">
            <w:pPr>
              <w:jc w:val="center"/>
              <w:rPr>
                <w:rFonts w:cs="Arial"/>
                <w:sz w:val="20"/>
                <w:szCs w:val="20"/>
              </w:rPr>
            </w:pPr>
            <w:r>
              <w:rPr>
                <w:rFonts w:cs="Arial"/>
                <w:sz w:val="20"/>
                <w:szCs w:val="20"/>
              </w:rPr>
              <w:t>8.76</w:t>
            </w:r>
          </w:p>
        </w:tc>
        <w:tc>
          <w:tcPr>
            <w:tcW w:w="598" w:type="pct"/>
            <w:tcBorders>
              <w:top w:val="nil"/>
              <w:bottom w:val="nil"/>
            </w:tcBorders>
            <w:vAlign w:val="center"/>
          </w:tcPr>
          <w:p w:rsidR="00257AA0" w:rsidRDefault="00257AA0">
            <w:pPr>
              <w:jc w:val="center"/>
              <w:rPr>
                <w:rFonts w:cs="Arial"/>
                <w:sz w:val="20"/>
                <w:szCs w:val="20"/>
              </w:rPr>
            </w:pPr>
            <w:r>
              <w:rPr>
                <w:rFonts w:cs="Arial"/>
                <w:sz w:val="20"/>
                <w:szCs w:val="20"/>
              </w:rPr>
              <w:t>9.15</w:t>
            </w:r>
          </w:p>
        </w:tc>
        <w:tc>
          <w:tcPr>
            <w:tcW w:w="525" w:type="pct"/>
            <w:tcBorders>
              <w:top w:val="nil"/>
              <w:bottom w:val="nil"/>
            </w:tcBorders>
            <w:vAlign w:val="center"/>
          </w:tcPr>
          <w:p w:rsidR="00257AA0" w:rsidRDefault="00257AA0">
            <w:pPr>
              <w:jc w:val="center"/>
              <w:rPr>
                <w:rFonts w:cs="Arial"/>
                <w:sz w:val="20"/>
                <w:szCs w:val="20"/>
              </w:rPr>
            </w:pPr>
            <w:r>
              <w:rPr>
                <w:rFonts w:cs="Arial"/>
                <w:sz w:val="20"/>
                <w:szCs w:val="20"/>
              </w:rPr>
              <w:t>9.39</w:t>
            </w:r>
          </w:p>
        </w:tc>
        <w:tc>
          <w:tcPr>
            <w:tcW w:w="518" w:type="pct"/>
            <w:tcBorders>
              <w:top w:val="nil"/>
              <w:bottom w:val="nil"/>
            </w:tcBorders>
            <w:vAlign w:val="center"/>
          </w:tcPr>
          <w:p w:rsidR="00257AA0" w:rsidRDefault="00257AA0">
            <w:pPr>
              <w:jc w:val="center"/>
              <w:rPr>
                <w:rFonts w:cs="Arial"/>
                <w:sz w:val="20"/>
                <w:szCs w:val="20"/>
              </w:rPr>
            </w:pPr>
            <w:r>
              <w:rPr>
                <w:rFonts w:cs="Arial"/>
                <w:sz w:val="20"/>
                <w:szCs w:val="20"/>
              </w:rPr>
              <w:t>9.14</w:t>
            </w:r>
          </w:p>
        </w:tc>
        <w:tc>
          <w:tcPr>
            <w:tcW w:w="515" w:type="pct"/>
            <w:tcBorders>
              <w:top w:val="nil"/>
              <w:bottom w:val="nil"/>
            </w:tcBorders>
            <w:vAlign w:val="center"/>
          </w:tcPr>
          <w:p w:rsidR="00257AA0" w:rsidRDefault="00257AA0">
            <w:pPr>
              <w:jc w:val="center"/>
              <w:rPr>
                <w:rFonts w:cs="Arial"/>
                <w:sz w:val="20"/>
                <w:szCs w:val="20"/>
              </w:rPr>
            </w:pPr>
            <w:r>
              <w:rPr>
                <w:rFonts w:cs="Arial"/>
                <w:sz w:val="20"/>
                <w:szCs w:val="20"/>
              </w:rPr>
              <w:t>9.17</w:t>
            </w:r>
          </w:p>
        </w:tc>
        <w:tc>
          <w:tcPr>
            <w:tcW w:w="587" w:type="pct"/>
            <w:tcBorders>
              <w:top w:val="nil"/>
              <w:bottom w:val="nil"/>
            </w:tcBorders>
            <w:vAlign w:val="center"/>
          </w:tcPr>
          <w:p w:rsidR="00257AA0" w:rsidRDefault="00257AA0">
            <w:pPr>
              <w:jc w:val="center"/>
              <w:rPr>
                <w:rFonts w:cs="Arial"/>
                <w:sz w:val="20"/>
                <w:szCs w:val="20"/>
              </w:rPr>
            </w:pPr>
            <w:r>
              <w:rPr>
                <w:rFonts w:cs="Arial"/>
                <w:sz w:val="20"/>
                <w:szCs w:val="20"/>
              </w:rPr>
              <w:t>8.90</w:t>
            </w:r>
          </w:p>
        </w:tc>
      </w:tr>
      <w:tr w:rsidR="00257AA0"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257AA0" w:rsidRDefault="00257AA0">
            <w:pPr>
              <w:rPr>
                <w:rFonts w:cs="Arial"/>
                <w:szCs w:val="20"/>
              </w:rPr>
            </w:pPr>
            <w:r>
              <w:rPr>
                <w:rFonts w:cs="Arial"/>
                <w:szCs w:val="20"/>
              </w:rPr>
              <w:t>Ex ante quantity (TJ)</w:t>
            </w:r>
          </w:p>
        </w:tc>
        <w:tc>
          <w:tcPr>
            <w:tcW w:w="589" w:type="pct"/>
            <w:tcBorders>
              <w:top w:val="nil"/>
              <w:bottom w:val="nil"/>
            </w:tcBorders>
            <w:vAlign w:val="center"/>
          </w:tcPr>
          <w:p w:rsidR="00257AA0" w:rsidRDefault="00257AA0">
            <w:pPr>
              <w:jc w:val="center"/>
              <w:rPr>
                <w:rFonts w:cs="Arial"/>
                <w:szCs w:val="20"/>
              </w:rPr>
            </w:pPr>
            <w:r>
              <w:rPr>
                <w:rFonts w:cs="Arial"/>
                <w:szCs w:val="20"/>
              </w:rPr>
              <w:t>78</w:t>
            </w:r>
          </w:p>
        </w:tc>
        <w:tc>
          <w:tcPr>
            <w:tcW w:w="516" w:type="pct"/>
            <w:tcBorders>
              <w:top w:val="nil"/>
              <w:bottom w:val="nil"/>
            </w:tcBorders>
            <w:vAlign w:val="center"/>
          </w:tcPr>
          <w:p w:rsidR="00257AA0" w:rsidRDefault="00257AA0">
            <w:pPr>
              <w:jc w:val="center"/>
              <w:rPr>
                <w:rFonts w:cs="Arial"/>
                <w:szCs w:val="20"/>
              </w:rPr>
            </w:pPr>
            <w:r>
              <w:rPr>
                <w:rFonts w:cs="Arial"/>
                <w:szCs w:val="20"/>
              </w:rPr>
              <w:t>89</w:t>
            </w:r>
          </w:p>
        </w:tc>
        <w:tc>
          <w:tcPr>
            <w:tcW w:w="598" w:type="pct"/>
            <w:tcBorders>
              <w:top w:val="nil"/>
              <w:bottom w:val="nil"/>
            </w:tcBorders>
            <w:vAlign w:val="center"/>
          </w:tcPr>
          <w:p w:rsidR="00257AA0" w:rsidRDefault="00257AA0">
            <w:pPr>
              <w:jc w:val="center"/>
              <w:rPr>
                <w:rFonts w:cs="Arial"/>
                <w:szCs w:val="20"/>
              </w:rPr>
            </w:pPr>
            <w:r>
              <w:rPr>
                <w:rFonts w:cs="Arial"/>
                <w:szCs w:val="20"/>
              </w:rPr>
              <w:t>91</w:t>
            </w:r>
          </w:p>
        </w:tc>
        <w:tc>
          <w:tcPr>
            <w:tcW w:w="525" w:type="pct"/>
            <w:tcBorders>
              <w:top w:val="nil"/>
              <w:bottom w:val="nil"/>
            </w:tcBorders>
            <w:vAlign w:val="center"/>
          </w:tcPr>
          <w:p w:rsidR="00257AA0" w:rsidRDefault="00257AA0">
            <w:pPr>
              <w:jc w:val="center"/>
              <w:rPr>
                <w:rFonts w:cs="Arial"/>
                <w:szCs w:val="20"/>
              </w:rPr>
            </w:pPr>
            <w:r>
              <w:rPr>
                <w:rFonts w:cs="Arial"/>
                <w:szCs w:val="20"/>
              </w:rPr>
              <w:t>92</w:t>
            </w:r>
          </w:p>
        </w:tc>
        <w:tc>
          <w:tcPr>
            <w:tcW w:w="518" w:type="pct"/>
            <w:tcBorders>
              <w:top w:val="nil"/>
              <w:bottom w:val="nil"/>
            </w:tcBorders>
            <w:vAlign w:val="center"/>
          </w:tcPr>
          <w:p w:rsidR="00257AA0" w:rsidRDefault="00257AA0">
            <w:pPr>
              <w:jc w:val="center"/>
              <w:rPr>
                <w:rFonts w:cs="Arial"/>
                <w:szCs w:val="20"/>
              </w:rPr>
            </w:pPr>
            <w:r>
              <w:rPr>
                <w:rFonts w:cs="Arial"/>
                <w:szCs w:val="20"/>
              </w:rPr>
              <w:t>94</w:t>
            </w:r>
          </w:p>
        </w:tc>
        <w:tc>
          <w:tcPr>
            <w:tcW w:w="515" w:type="pct"/>
            <w:tcBorders>
              <w:top w:val="nil"/>
              <w:bottom w:val="nil"/>
            </w:tcBorders>
            <w:vAlign w:val="center"/>
          </w:tcPr>
          <w:p w:rsidR="00257AA0" w:rsidRDefault="00257AA0">
            <w:pPr>
              <w:jc w:val="center"/>
              <w:rPr>
                <w:rFonts w:cs="Arial"/>
                <w:szCs w:val="20"/>
              </w:rPr>
            </w:pPr>
            <w:r>
              <w:rPr>
                <w:rFonts w:cs="Arial"/>
                <w:szCs w:val="20"/>
              </w:rPr>
              <w:t>84</w:t>
            </w:r>
          </w:p>
        </w:tc>
        <w:tc>
          <w:tcPr>
            <w:tcW w:w="587" w:type="pct"/>
            <w:tcBorders>
              <w:top w:val="nil"/>
              <w:bottom w:val="nil"/>
            </w:tcBorders>
            <w:vAlign w:val="center"/>
          </w:tcPr>
          <w:p w:rsidR="00257AA0" w:rsidRDefault="00257AA0">
            <w:pPr>
              <w:jc w:val="center"/>
              <w:rPr>
                <w:rFonts w:cs="Arial"/>
                <w:szCs w:val="20"/>
              </w:rPr>
            </w:pPr>
            <w:r>
              <w:rPr>
                <w:rFonts w:cs="Arial"/>
                <w:szCs w:val="20"/>
              </w:rPr>
              <w:t>68</w:t>
            </w:r>
          </w:p>
        </w:tc>
      </w:tr>
      <w:tr w:rsidR="00257AA0" w:rsidRPr="00405CDE" w:rsidTr="00A226E9">
        <w:trPr>
          <w:trHeight w:val="87"/>
        </w:trPr>
        <w:tc>
          <w:tcPr>
            <w:tcW w:w="1152" w:type="pct"/>
            <w:tcBorders>
              <w:top w:val="nil"/>
              <w:bottom w:val="nil"/>
            </w:tcBorders>
            <w:vAlign w:val="center"/>
          </w:tcPr>
          <w:p w:rsidR="00257AA0" w:rsidRDefault="00257AA0">
            <w:pPr>
              <w:rPr>
                <w:rFonts w:cs="Arial"/>
                <w:sz w:val="20"/>
                <w:szCs w:val="20"/>
              </w:rPr>
            </w:pPr>
            <w:r>
              <w:rPr>
                <w:rFonts w:cs="Arial"/>
                <w:sz w:val="20"/>
                <w:szCs w:val="20"/>
              </w:rPr>
              <w:t>Ex post price ($/GJ)</w:t>
            </w:r>
          </w:p>
        </w:tc>
        <w:tc>
          <w:tcPr>
            <w:tcW w:w="589" w:type="pct"/>
            <w:tcBorders>
              <w:top w:val="nil"/>
              <w:bottom w:val="nil"/>
            </w:tcBorders>
            <w:vAlign w:val="center"/>
          </w:tcPr>
          <w:p w:rsidR="00257AA0" w:rsidRDefault="00257AA0">
            <w:pPr>
              <w:jc w:val="center"/>
              <w:rPr>
                <w:rFonts w:cs="Arial"/>
                <w:sz w:val="20"/>
                <w:szCs w:val="20"/>
              </w:rPr>
            </w:pPr>
            <w:r>
              <w:rPr>
                <w:rFonts w:cs="Arial"/>
                <w:sz w:val="20"/>
                <w:szCs w:val="20"/>
              </w:rPr>
              <w:t>8.36</w:t>
            </w:r>
          </w:p>
        </w:tc>
        <w:tc>
          <w:tcPr>
            <w:tcW w:w="516" w:type="pct"/>
            <w:tcBorders>
              <w:top w:val="nil"/>
              <w:bottom w:val="nil"/>
            </w:tcBorders>
            <w:vAlign w:val="center"/>
          </w:tcPr>
          <w:p w:rsidR="00257AA0" w:rsidRDefault="00257AA0">
            <w:pPr>
              <w:jc w:val="center"/>
              <w:rPr>
                <w:rFonts w:cs="Arial"/>
                <w:sz w:val="20"/>
                <w:szCs w:val="20"/>
              </w:rPr>
            </w:pPr>
            <w:r>
              <w:rPr>
                <w:rFonts w:cs="Arial"/>
                <w:sz w:val="20"/>
                <w:szCs w:val="20"/>
              </w:rPr>
              <w:t>9.02</w:t>
            </w:r>
          </w:p>
        </w:tc>
        <w:tc>
          <w:tcPr>
            <w:tcW w:w="598" w:type="pct"/>
            <w:tcBorders>
              <w:top w:val="nil"/>
              <w:bottom w:val="nil"/>
            </w:tcBorders>
            <w:vAlign w:val="center"/>
          </w:tcPr>
          <w:p w:rsidR="00257AA0" w:rsidRDefault="00257AA0">
            <w:pPr>
              <w:jc w:val="center"/>
              <w:rPr>
                <w:rFonts w:cs="Arial"/>
                <w:sz w:val="20"/>
                <w:szCs w:val="20"/>
              </w:rPr>
            </w:pPr>
            <w:r>
              <w:rPr>
                <w:rFonts w:cs="Arial"/>
                <w:sz w:val="20"/>
                <w:szCs w:val="20"/>
              </w:rPr>
              <w:t>9.39</w:t>
            </w:r>
          </w:p>
        </w:tc>
        <w:tc>
          <w:tcPr>
            <w:tcW w:w="525" w:type="pct"/>
            <w:tcBorders>
              <w:top w:val="nil"/>
              <w:bottom w:val="nil"/>
            </w:tcBorders>
            <w:vAlign w:val="center"/>
          </w:tcPr>
          <w:p w:rsidR="00257AA0" w:rsidRDefault="00257AA0">
            <w:pPr>
              <w:jc w:val="center"/>
              <w:rPr>
                <w:rFonts w:cs="Arial"/>
                <w:sz w:val="20"/>
                <w:szCs w:val="20"/>
              </w:rPr>
            </w:pPr>
            <w:r>
              <w:rPr>
                <w:rFonts w:cs="Arial"/>
                <w:sz w:val="20"/>
                <w:szCs w:val="20"/>
              </w:rPr>
              <w:t>9.39</w:t>
            </w:r>
          </w:p>
        </w:tc>
        <w:tc>
          <w:tcPr>
            <w:tcW w:w="518" w:type="pct"/>
            <w:tcBorders>
              <w:top w:val="nil"/>
              <w:bottom w:val="nil"/>
            </w:tcBorders>
            <w:vAlign w:val="center"/>
          </w:tcPr>
          <w:p w:rsidR="00257AA0" w:rsidRDefault="00257AA0">
            <w:pPr>
              <w:jc w:val="center"/>
              <w:rPr>
                <w:rFonts w:cs="Arial"/>
                <w:sz w:val="20"/>
                <w:szCs w:val="20"/>
              </w:rPr>
            </w:pPr>
            <w:r>
              <w:rPr>
                <w:rFonts w:cs="Arial"/>
                <w:sz w:val="20"/>
                <w:szCs w:val="20"/>
              </w:rPr>
              <w:t>9.14</w:t>
            </w:r>
          </w:p>
        </w:tc>
        <w:tc>
          <w:tcPr>
            <w:tcW w:w="515" w:type="pct"/>
            <w:tcBorders>
              <w:top w:val="nil"/>
              <w:bottom w:val="nil"/>
            </w:tcBorders>
            <w:vAlign w:val="center"/>
          </w:tcPr>
          <w:p w:rsidR="00257AA0" w:rsidRDefault="00257AA0">
            <w:pPr>
              <w:jc w:val="center"/>
              <w:rPr>
                <w:rFonts w:cs="Arial"/>
                <w:sz w:val="20"/>
                <w:szCs w:val="20"/>
              </w:rPr>
            </w:pPr>
            <w:r>
              <w:rPr>
                <w:rFonts w:cs="Arial"/>
                <w:sz w:val="20"/>
                <w:szCs w:val="20"/>
              </w:rPr>
              <w:t>9.17</w:t>
            </w:r>
          </w:p>
        </w:tc>
        <w:tc>
          <w:tcPr>
            <w:tcW w:w="587" w:type="pct"/>
            <w:tcBorders>
              <w:top w:val="nil"/>
              <w:bottom w:val="nil"/>
            </w:tcBorders>
            <w:vAlign w:val="center"/>
          </w:tcPr>
          <w:p w:rsidR="00257AA0" w:rsidRDefault="00257AA0">
            <w:pPr>
              <w:jc w:val="center"/>
              <w:rPr>
                <w:rFonts w:cs="Arial"/>
                <w:sz w:val="20"/>
                <w:szCs w:val="20"/>
              </w:rPr>
            </w:pPr>
            <w:r>
              <w:rPr>
                <w:rFonts w:cs="Arial"/>
                <w:sz w:val="20"/>
                <w:szCs w:val="20"/>
              </w:rPr>
              <w:t>8.90</w:t>
            </w:r>
          </w:p>
        </w:tc>
      </w:tr>
      <w:tr w:rsidR="00257AA0"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257AA0" w:rsidRDefault="00257AA0">
            <w:pPr>
              <w:rPr>
                <w:rFonts w:cs="Arial"/>
                <w:szCs w:val="20"/>
              </w:rPr>
            </w:pPr>
            <w:r>
              <w:rPr>
                <w:rFonts w:cs="Arial"/>
                <w:szCs w:val="20"/>
              </w:rPr>
              <w:t>Ex post quantity (TJ)</w:t>
            </w:r>
          </w:p>
        </w:tc>
        <w:tc>
          <w:tcPr>
            <w:tcW w:w="589" w:type="pct"/>
            <w:tcBorders>
              <w:top w:val="nil"/>
              <w:bottom w:val="single" w:sz="4" w:space="0" w:color="auto"/>
            </w:tcBorders>
            <w:vAlign w:val="center"/>
          </w:tcPr>
          <w:p w:rsidR="00257AA0" w:rsidRDefault="00257AA0">
            <w:pPr>
              <w:jc w:val="center"/>
              <w:rPr>
                <w:rFonts w:cs="Arial"/>
                <w:szCs w:val="20"/>
              </w:rPr>
            </w:pPr>
            <w:r>
              <w:rPr>
                <w:rFonts w:cs="Arial"/>
                <w:szCs w:val="20"/>
              </w:rPr>
              <w:t>83</w:t>
            </w:r>
          </w:p>
        </w:tc>
        <w:tc>
          <w:tcPr>
            <w:tcW w:w="516" w:type="pct"/>
            <w:tcBorders>
              <w:top w:val="nil"/>
              <w:bottom w:val="single" w:sz="4" w:space="0" w:color="auto"/>
            </w:tcBorders>
            <w:vAlign w:val="center"/>
          </w:tcPr>
          <w:p w:rsidR="00257AA0" w:rsidRDefault="00257AA0">
            <w:pPr>
              <w:jc w:val="center"/>
              <w:rPr>
                <w:rFonts w:cs="Arial"/>
                <w:szCs w:val="20"/>
              </w:rPr>
            </w:pPr>
            <w:r>
              <w:rPr>
                <w:rFonts w:cs="Arial"/>
                <w:szCs w:val="20"/>
              </w:rPr>
              <w:t>91</w:t>
            </w:r>
          </w:p>
        </w:tc>
        <w:tc>
          <w:tcPr>
            <w:tcW w:w="598" w:type="pct"/>
            <w:tcBorders>
              <w:top w:val="nil"/>
              <w:bottom w:val="single" w:sz="4" w:space="0" w:color="auto"/>
            </w:tcBorders>
            <w:vAlign w:val="center"/>
          </w:tcPr>
          <w:p w:rsidR="00257AA0" w:rsidRDefault="00257AA0">
            <w:pPr>
              <w:jc w:val="center"/>
              <w:rPr>
                <w:rFonts w:cs="Arial"/>
                <w:szCs w:val="20"/>
              </w:rPr>
            </w:pPr>
            <w:r>
              <w:rPr>
                <w:rFonts w:cs="Arial"/>
                <w:szCs w:val="20"/>
              </w:rPr>
              <w:t>94</w:t>
            </w:r>
          </w:p>
        </w:tc>
        <w:tc>
          <w:tcPr>
            <w:tcW w:w="525" w:type="pct"/>
            <w:tcBorders>
              <w:top w:val="nil"/>
              <w:bottom w:val="single" w:sz="4" w:space="0" w:color="auto"/>
            </w:tcBorders>
            <w:vAlign w:val="center"/>
          </w:tcPr>
          <w:p w:rsidR="00257AA0" w:rsidRDefault="00257AA0">
            <w:pPr>
              <w:jc w:val="center"/>
              <w:rPr>
                <w:rFonts w:cs="Arial"/>
                <w:szCs w:val="20"/>
              </w:rPr>
            </w:pPr>
            <w:r>
              <w:rPr>
                <w:rFonts w:cs="Arial"/>
                <w:szCs w:val="20"/>
              </w:rPr>
              <w:t>93</w:t>
            </w:r>
          </w:p>
        </w:tc>
        <w:tc>
          <w:tcPr>
            <w:tcW w:w="518" w:type="pct"/>
            <w:tcBorders>
              <w:top w:val="nil"/>
              <w:bottom w:val="single" w:sz="4" w:space="0" w:color="auto"/>
            </w:tcBorders>
            <w:vAlign w:val="center"/>
          </w:tcPr>
          <w:p w:rsidR="00257AA0" w:rsidRDefault="00257AA0">
            <w:pPr>
              <w:jc w:val="center"/>
              <w:rPr>
                <w:rFonts w:cs="Arial"/>
                <w:szCs w:val="20"/>
              </w:rPr>
            </w:pPr>
            <w:r>
              <w:rPr>
                <w:rFonts w:cs="Arial"/>
                <w:szCs w:val="20"/>
              </w:rPr>
              <w:t>95</w:t>
            </w:r>
          </w:p>
        </w:tc>
        <w:tc>
          <w:tcPr>
            <w:tcW w:w="515" w:type="pct"/>
            <w:tcBorders>
              <w:top w:val="nil"/>
              <w:bottom w:val="single" w:sz="4" w:space="0" w:color="auto"/>
            </w:tcBorders>
            <w:vAlign w:val="center"/>
          </w:tcPr>
          <w:p w:rsidR="00257AA0" w:rsidRDefault="00257AA0">
            <w:pPr>
              <w:jc w:val="center"/>
              <w:rPr>
                <w:rFonts w:cs="Arial"/>
                <w:szCs w:val="20"/>
              </w:rPr>
            </w:pPr>
            <w:r>
              <w:rPr>
                <w:rFonts w:cs="Arial"/>
                <w:szCs w:val="20"/>
              </w:rPr>
              <w:t>84</w:t>
            </w:r>
          </w:p>
        </w:tc>
        <w:tc>
          <w:tcPr>
            <w:tcW w:w="587" w:type="pct"/>
            <w:tcBorders>
              <w:top w:val="nil"/>
              <w:bottom w:val="single" w:sz="4" w:space="0" w:color="auto"/>
            </w:tcBorders>
            <w:vAlign w:val="center"/>
          </w:tcPr>
          <w:p w:rsidR="00257AA0" w:rsidRDefault="00257AA0">
            <w:pPr>
              <w:jc w:val="center"/>
              <w:rPr>
                <w:rFonts w:cs="Arial"/>
                <w:szCs w:val="20"/>
              </w:rPr>
            </w:pPr>
            <w:r>
              <w:rPr>
                <w:rFonts w:cs="Arial"/>
                <w:szCs w:val="20"/>
              </w:rPr>
              <w:t>68</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257AA0" w:rsidP="00EC2CB1">
      <w:r w:rsidRPr="00257AA0">
        <w:rPr>
          <w:noProof/>
          <w:lang w:eastAsia="en-AU"/>
        </w:rPr>
        <w:drawing>
          <wp:inline distT="0" distB="0" distL="0" distR="0" wp14:anchorId="2481DE53" wp14:editId="253ADC83">
            <wp:extent cx="5731510" cy="1739923"/>
            <wp:effectExtent l="0" t="0" r="2540" b="0"/>
            <wp:docPr id="20" name="Picture 20" descr="Figure 3.2 shows the daily hub offers and bid in within certain price bands in Adelaide this week. The line indicates the scheduled quantity for each day. For a more detailed description of this figure, please refer to the user guide." title="Adelaide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257AA0" w:rsidP="00EC2CB1">
      <w:r w:rsidRPr="00257AA0">
        <w:rPr>
          <w:noProof/>
          <w:lang w:eastAsia="en-AU"/>
        </w:rPr>
        <w:drawing>
          <wp:inline distT="0" distB="0" distL="0" distR="0" wp14:anchorId="5E2A5692" wp14:editId="1947F5BC">
            <wp:extent cx="5731510" cy="1511607"/>
            <wp:effectExtent l="0" t="0" r="2540" b="0"/>
            <wp:docPr id="27" name="Picture 27"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B95E9F" w:rsidP="00A226E9">
      <w:r w:rsidRPr="00B95E9F">
        <w:rPr>
          <w:noProof/>
          <w:lang w:eastAsia="en-AU"/>
        </w:rPr>
        <w:drawing>
          <wp:inline distT="0" distB="0" distL="0" distR="0" wp14:anchorId="78AAE6D7" wp14:editId="4F66B320">
            <wp:extent cx="5731510" cy="1802652"/>
            <wp:effectExtent l="0" t="0" r="2540" b="7620"/>
            <wp:docPr id="35" name="Picture 35"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57AA0" w:rsidRPr="00405CDE" w:rsidTr="00A226E9">
        <w:trPr>
          <w:trHeight w:val="510"/>
        </w:trPr>
        <w:tc>
          <w:tcPr>
            <w:tcW w:w="1152" w:type="pct"/>
            <w:tcBorders>
              <w:top w:val="nil"/>
              <w:bottom w:val="nil"/>
            </w:tcBorders>
            <w:vAlign w:val="center"/>
          </w:tcPr>
          <w:p w:rsidR="00257AA0" w:rsidRDefault="00257AA0">
            <w:pPr>
              <w:rPr>
                <w:rFonts w:cs="Arial"/>
                <w:sz w:val="20"/>
                <w:szCs w:val="20"/>
              </w:rPr>
            </w:pPr>
            <w:r>
              <w:rPr>
                <w:rFonts w:cs="Arial"/>
                <w:sz w:val="20"/>
                <w:szCs w:val="20"/>
              </w:rPr>
              <w:t>Ex ante price ($/GJ)</w:t>
            </w:r>
          </w:p>
        </w:tc>
        <w:tc>
          <w:tcPr>
            <w:tcW w:w="589" w:type="pct"/>
            <w:tcBorders>
              <w:top w:val="nil"/>
              <w:bottom w:val="nil"/>
            </w:tcBorders>
            <w:vAlign w:val="center"/>
          </w:tcPr>
          <w:p w:rsidR="00257AA0" w:rsidRDefault="00257AA0">
            <w:pPr>
              <w:jc w:val="center"/>
              <w:rPr>
                <w:rFonts w:cs="Arial"/>
                <w:sz w:val="20"/>
                <w:szCs w:val="20"/>
              </w:rPr>
            </w:pPr>
            <w:r>
              <w:rPr>
                <w:rFonts w:cs="Arial"/>
                <w:sz w:val="20"/>
                <w:szCs w:val="20"/>
              </w:rPr>
              <w:t>6.05</w:t>
            </w:r>
          </w:p>
        </w:tc>
        <w:tc>
          <w:tcPr>
            <w:tcW w:w="516" w:type="pct"/>
            <w:tcBorders>
              <w:top w:val="nil"/>
              <w:bottom w:val="nil"/>
            </w:tcBorders>
            <w:vAlign w:val="center"/>
          </w:tcPr>
          <w:p w:rsidR="00257AA0" w:rsidRDefault="00257AA0">
            <w:pPr>
              <w:jc w:val="center"/>
              <w:rPr>
                <w:rFonts w:cs="Arial"/>
                <w:sz w:val="20"/>
                <w:szCs w:val="20"/>
              </w:rPr>
            </w:pPr>
            <w:r>
              <w:rPr>
                <w:rFonts w:cs="Arial"/>
                <w:sz w:val="20"/>
                <w:szCs w:val="20"/>
              </w:rPr>
              <w:t>6.75</w:t>
            </w:r>
          </w:p>
        </w:tc>
        <w:tc>
          <w:tcPr>
            <w:tcW w:w="598" w:type="pct"/>
            <w:tcBorders>
              <w:top w:val="nil"/>
              <w:bottom w:val="nil"/>
            </w:tcBorders>
            <w:vAlign w:val="center"/>
          </w:tcPr>
          <w:p w:rsidR="00257AA0" w:rsidRDefault="00257AA0">
            <w:pPr>
              <w:jc w:val="center"/>
              <w:rPr>
                <w:rFonts w:cs="Arial"/>
                <w:sz w:val="20"/>
                <w:szCs w:val="20"/>
              </w:rPr>
            </w:pPr>
            <w:r>
              <w:rPr>
                <w:rFonts w:cs="Arial"/>
                <w:sz w:val="20"/>
                <w:szCs w:val="20"/>
              </w:rPr>
              <w:t>7.18</w:t>
            </w:r>
          </w:p>
        </w:tc>
        <w:tc>
          <w:tcPr>
            <w:tcW w:w="525" w:type="pct"/>
            <w:tcBorders>
              <w:top w:val="nil"/>
              <w:bottom w:val="nil"/>
            </w:tcBorders>
            <w:vAlign w:val="center"/>
          </w:tcPr>
          <w:p w:rsidR="00257AA0" w:rsidRDefault="00257AA0">
            <w:pPr>
              <w:jc w:val="center"/>
              <w:rPr>
                <w:rFonts w:cs="Arial"/>
                <w:sz w:val="20"/>
                <w:szCs w:val="20"/>
              </w:rPr>
            </w:pPr>
            <w:r>
              <w:rPr>
                <w:rFonts w:cs="Arial"/>
                <w:sz w:val="20"/>
                <w:szCs w:val="20"/>
              </w:rPr>
              <w:t>7.18</w:t>
            </w:r>
          </w:p>
        </w:tc>
        <w:tc>
          <w:tcPr>
            <w:tcW w:w="518" w:type="pct"/>
            <w:tcBorders>
              <w:top w:val="nil"/>
              <w:bottom w:val="nil"/>
            </w:tcBorders>
            <w:vAlign w:val="center"/>
          </w:tcPr>
          <w:p w:rsidR="00257AA0" w:rsidRDefault="00257AA0">
            <w:pPr>
              <w:jc w:val="center"/>
              <w:rPr>
                <w:rFonts w:cs="Arial"/>
                <w:sz w:val="20"/>
                <w:szCs w:val="20"/>
              </w:rPr>
            </w:pPr>
            <w:r>
              <w:rPr>
                <w:rFonts w:cs="Arial"/>
                <w:sz w:val="20"/>
                <w:szCs w:val="20"/>
              </w:rPr>
              <w:t>6.12</w:t>
            </w:r>
          </w:p>
        </w:tc>
        <w:tc>
          <w:tcPr>
            <w:tcW w:w="515" w:type="pct"/>
            <w:tcBorders>
              <w:top w:val="nil"/>
              <w:bottom w:val="nil"/>
            </w:tcBorders>
            <w:vAlign w:val="center"/>
          </w:tcPr>
          <w:p w:rsidR="00257AA0" w:rsidRDefault="00257AA0">
            <w:pPr>
              <w:jc w:val="center"/>
              <w:rPr>
                <w:rFonts w:cs="Arial"/>
                <w:sz w:val="20"/>
                <w:szCs w:val="20"/>
              </w:rPr>
            </w:pPr>
            <w:r>
              <w:rPr>
                <w:rFonts w:cs="Arial"/>
                <w:sz w:val="20"/>
                <w:szCs w:val="20"/>
              </w:rPr>
              <w:t>7.00</w:t>
            </w:r>
          </w:p>
        </w:tc>
        <w:tc>
          <w:tcPr>
            <w:tcW w:w="587" w:type="pct"/>
            <w:tcBorders>
              <w:top w:val="nil"/>
              <w:bottom w:val="nil"/>
            </w:tcBorders>
            <w:vAlign w:val="center"/>
          </w:tcPr>
          <w:p w:rsidR="00257AA0" w:rsidRDefault="00257AA0">
            <w:pPr>
              <w:jc w:val="center"/>
              <w:rPr>
                <w:rFonts w:cs="Arial"/>
                <w:sz w:val="20"/>
                <w:szCs w:val="20"/>
              </w:rPr>
            </w:pPr>
            <w:r>
              <w:rPr>
                <w:rFonts w:cs="Arial"/>
                <w:sz w:val="20"/>
                <w:szCs w:val="20"/>
              </w:rPr>
              <w:t>6.07</w:t>
            </w:r>
          </w:p>
        </w:tc>
      </w:tr>
      <w:tr w:rsidR="00257A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257AA0" w:rsidRDefault="00257AA0">
            <w:pPr>
              <w:rPr>
                <w:rFonts w:cs="Arial"/>
                <w:szCs w:val="20"/>
              </w:rPr>
            </w:pPr>
            <w:r>
              <w:rPr>
                <w:rFonts w:cs="Arial"/>
                <w:szCs w:val="20"/>
              </w:rPr>
              <w:t>Ex ante quantity (TJ)</w:t>
            </w:r>
          </w:p>
        </w:tc>
        <w:tc>
          <w:tcPr>
            <w:tcW w:w="589" w:type="pct"/>
            <w:tcBorders>
              <w:top w:val="nil"/>
              <w:bottom w:val="nil"/>
            </w:tcBorders>
            <w:vAlign w:val="center"/>
          </w:tcPr>
          <w:p w:rsidR="00257AA0" w:rsidRDefault="00257AA0">
            <w:pPr>
              <w:jc w:val="center"/>
              <w:rPr>
                <w:rFonts w:cs="Arial"/>
                <w:szCs w:val="20"/>
              </w:rPr>
            </w:pPr>
            <w:r>
              <w:rPr>
                <w:rFonts w:cs="Arial"/>
                <w:szCs w:val="20"/>
              </w:rPr>
              <w:t>72</w:t>
            </w:r>
          </w:p>
        </w:tc>
        <w:tc>
          <w:tcPr>
            <w:tcW w:w="516" w:type="pct"/>
            <w:tcBorders>
              <w:top w:val="nil"/>
              <w:bottom w:val="nil"/>
            </w:tcBorders>
            <w:vAlign w:val="center"/>
          </w:tcPr>
          <w:p w:rsidR="00257AA0" w:rsidRDefault="00257AA0">
            <w:pPr>
              <w:jc w:val="center"/>
              <w:rPr>
                <w:rFonts w:cs="Arial"/>
                <w:szCs w:val="20"/>
              </w:rPr>
            </w:pPr>
            <w:r>
              <w:rPr>
                <w:rFonts w:cs="Arial"/>
                <w:szCs w:val="20"/>
              </w:rPr>
              <w:t>88</w:t>
            </w:r>
          </w:p>
        </w:tc>
        <w:tc>
          <w:tcPr>
            <w:tcW w:w="598" w:type="pct"/>
            <w:tcBorders>
              <w:top w:val="nil"/>
              <w:bottom w:val="nil"/>
            </w:tcBorders>
            <w:vAlign w:val="center"/>
          </w:tcPr>
          <w:p w:rsidR="00257AA0" w:rsidRDefault="00257AA0">
            <w:pPr>
              <w:jc w:val="center"/>
              <w:rPr>
                <w:rFonts w:cs="Arial"/>
                <w:szCs w:val="20"/>
              </w:rPr>
            </w:pPr>
            <w:r>
              <w:rPr>
                <w:rFonts w:cs="Arial"/>
                <w:szCs w:val="20"/>
              </w:rPr>
              <w:t>90</w:t>
            </w:r>
          </w:p>
        </w:tc>
        <w:tc>
          <w:tcPr>
            <w:tcW w:w="525" w:type="pct"/>
            <w:tcBorders>
              <w:top w:val="nil"/>
              <w:bottom w:val="nil"/>
            </w:tcBorders>
            <w:vAlign w:val="center"/>
          </w:tcPr>
          <w:p w:rsidR="00257AA0" w:rsidRDefault="00257AA0">
            <w:pPr>
              <w:jc w:val="center"/>
              <w:rPr>
                <w:rFonts w:cs="Arial"/>
                <w:szCs w:val="20"/>
              </w:rPr>
            </w:pPr>
            <w:r>
              <w:rPr>
                <w:rFonts w:cs="Arial"/>
                <w:szCs w:val="20"/>
              </w:rPr>
              <w:t>99</w:t>
            </w:r>
          </w:p>
        </w:tc>
        <w:tc>
          <w:tcPr>
            <w:tcW w:w="518" w:type="pct"/>
            <w:tcBorders>
              <w:top w:val="nil"/>
              <w:bottom w:val="nil"/>
            </w:tcBorders>
            <w:vAlign w:val="center"/>
          </w:tcPr>
          <w:p w:rsidR="00257AA0" w:rsidRDefault="00257AA0">
            <w:pPr>
              <w:jc w:val="center"/>
              <w:rPr>
                <w:rFonts w:cs="Arial"/>
                <w:szCs w:val="20"/>
              </w:rPr>
            </w:pPr>
            <w:r>
              <w:rPr>
                <w:rFonts w:cs="Arial"/>
                <w:szCs w:val="20"/>
              </w:rPr>
              <w:t>99</w:t>
            </w:r>
          </w:p>
        </w:tc>
        <w:tc>
          <w:tcPr>
            <w:tcW w:w="515" w:type="pct"/>
            <w:tcBorders>
              <w:top w:val="nil"/>
              <w:bottom w:val="nil"/>
            </w:tcBorders>
            <w:vAlign w:val="center"/>
          </w:tcPr>
          <w:p w:rsidR="00257AA0" w:rsidRDefault="00257AA0">
            <w:pPr>
              <w:jc w:val="center"/>
              <w:rPr>
                <w:rFonts w:cs="Arial"/>
                <w:szCs w:val="20"/>
              </w:rPr>
            </w:pPr>
            <w:r>
              <w:rPr>
                <w:rFonts w:cs="Arial"/>
                <w:szCs w:val="20"/>
              </w:rPr>
              <w:t>85</w:t>
            </w:r>
          </w:p>
        </w:tc>
        <w:tc>
          <w:tcPr>
            <w:tcW w:w="587" w:type="pct"/>
            <w:tcBorders>
              <w:top w:val="nil"/>
              <w:bottom w:val="nil"/>
            </w:tcBorders>
            <w:vAlign w:val="center"/>
          </w:tcPr>
          <w:p w:rsidR="00257AA0" w:rsidRDefault="00257AA0">
            <w:pPr>
              <w:jc w:val="center"/>
              <w:rPr>
                <w:rFonts w:cs="Arial"/>
                <w:szCs w:val="20"/>
              </w:rPr>
            </w:pPr>
            <w:r>
              <w:rPr>
                <w:rFonts w:cs="Arial"/>
                <w:szCs w:val="20"/>
              </w:rPr>
              <w:t>77</w:t>
            </w:r>
          </w:p>
        </w:tc>
      </w:tr>
      <w:tr w:rsidR="00257AA0" w:rsidRPr="00405CDE" w:rsidTr="00A226E9">
        <w:trPr>
          <w:trHeight w:val="510"/>
        </w:trPr>
        <w:tc>
          <w:tcPr>
            <w:tcW w:w="1152" w:type="pct"/>
            <w:tcBorders>
              <w:top w:val="nil"/>
              <w:bottom w:val="nil"/>
            </w:tcBorders>
            <w:vAlign w:val="center"/>
          </w:tcPr>
          <w:p w:rsidR="00257AA0" w:rsidRDefault="00257AA0">
            <w:pPr>
              <w:rPr>
                <w:rFonts w:cs="Arial"/>
                <w:sz w:val="20"/>
                <w:szCs w:val="20"/>
              </w:rPr>
            </w:pPr>
            <w:r>
              <w:rPr>
                <w:rFonts w:cs="Arial"/>
                <w:sz w:val="20"/>
                <w:szCs w:val="20"/>
              </w:rPr>
              <w:t>Ex post price ($/GJ)</w:t>
            </w:r>
          </w:p>
        </w:tc>
        <w:tc>
          <w:tcPr>
            <w:tcW w:w="589" w:type="pct"/>
            <w:tcBorders>
              <w:top w:val="nil"/>
              <w:bottom w:val="nil"/>
            </w:tcBorders>
            <w:vAlign w:val="center"/>
          </w:tcPr>
          <w:p w:rsidR="00257AA0" w:rsidRDefault="00257AA0">
            <w:pPr>
              <w:jc w:val="center"/>
              <w:rPr>
                <w:rFonts w:cs="Arial"/>
                <w:sz w:val="20"/>
                <w:szCs w:val="20"/>
              </w:rPr>
            </w:pPr>
            <w:r>
              <w:rPr>
                <w:rFonts w:cs="Arial"/>
                <w:sz w:val="20"/>
                <w:szCs w:val="20"/>
              </w:rPr>
              <w:t>7.29</w:t>
            </w:r>
          </w:p>
        </w:tc>
        <w:tc>
          <w:tcPr>
            <w:tcW w:w="516" w:type="pct"/>
            <w:tcBorders>
              <w:top w:val="nil"/>
              <w:bottom w:val="nil"/>
            </w:tcBorders>
            <w:vAlign w:val="center"/>
          </w:tcPr>
          <w:p w:rsidR="00257AA0" w:rsidRDefault="00257AA0">
            <w:pPr>
              <w:jc w:val="center"/>
              <w:rPr>
                <w:rFonts w:cs="Arial"/>
                <w:sz w:val="20"/>
                <w:szCs w:val="20"/>
              </w:rPr>
            </w:pPr>
            <w:r>
              <w:rPr>
                <w:rFonts w:cs="Arial"/>
                <w:sz w:val="20"/>
                <w:szCs w:val="20"/>
              </w:rPr>
              <w:t>7.19</w:t>
            </w:r>
          </w:p>
        </w:tc>
        <w:tc>
          <w:tcPr>
            <w:tcW w:w="598" w:type="pct"/>
            <w:tcBorders>
              <w:top w:val="nil"/>
              <w:bottom w:val="nil"/>
            </w:tcBorders>
            <w:vAlign w:val="center"/>
          </w:tcPr>
          <w:p w:rsidR="00257AA0" w:rsidRDefault="00257AA0">
            <w:pPr>
              <w:jc w:val="center"/>
              <w:rPr>
                <w:rFonts w:cs="Arial"/>
                <w:sz w:val="20"/>
                <w:szCs w:val="20"/>
              </w:rPr>
            </w:pPr>
            <w:r>
              <w:rPr>
                <w:rFonts w:cs="Arial"/>
                <w:sz w:val="20"/>
                <w:szCs w:val="20"/>
              </w:rPr>
              <w:t>7.19</w:t>
            </w:r>
          </w:p>
        </w:tc>
        <w:tc>
          <w:tcPr>
            <w:tcW w:w="525" w:type="pct"/>
            <w:tcBorders>
              <w:top w:val="nil"/>
              <w:bottom w:val="nil"/>
            </w:tcBorders>
            <w:vAlign w:val="center"/>
          </w:tcPr>
          <w:p w:rsidR="00257AA0" w:rsidRDefault="00257AA0">
            <w:pPr>
              <w:jc w:val="center"/>
              <w:rPr>
                <w:rFonts w:cs="Arial"/>
                <w:sz w:val="20"/>
                <w:szCs w:val="20"/>
              </w:rPr>
            </w:pPr>
            <w:r>
              <w:rPr>
                <w:rFonts w:cs="Arial"/>
                <w:sz w:val="20"/>
                <w:szCs w:val="20"/>
              </w:rPr>
              <w:t>7.15</w:t>
            </w:r>
          </w:p>
        </w:tc>
        <w:tc>
          <w:tcPr>
            <w:tcW w:w="518" w:type="pct"/>
            <w:tcBorders>
              <w:top w:val="nil"/>
              <w:bottom w:val="nil"/>
            </w:tcBorders>
            <w:vAlign w:val="center"/>
          </w:tcPr>
          <w:p w:rsidR="00257AA0" w:rsidRDefault="00257AA0">
            <w:pPr>
              <w:jc w:val="center"/>
              <w:rPr>
                <w:rFonts w:cs="Arial"/>
                <w:sz w:val="20"/>
                <w:szCs w:val="20"/>
              </w:rPr>
            </w:pPr>
            <w:r>
              <w:rPr>
                <w:rFonts w:cs="Arial"/>
                <w:sz w:val="20"/>
                <w:szCs w:val="20"/>
              </w:rPr>
              <w:t>5.56</w:t>
            </w:r>
          </w:p>
        </w:tc>
        <w:tc>
          <w:tcPr>
            <w:tcW w:w="515" w:type="pct"/>
            <w:tcBorders>
              <w:top w:val="nil"/>
              <w:bottom w:val="nil"/>
            </w:tcBorders>
            <w:vAlign w:val="center"/>
          </w:tcPr>
          <w:p w:rsidR="00257AA0" w:rsidRDefault="00257AA0">
            <w:pPr>
              <w:jc w:val="center"/>
              <w:rPr>
                <w:rFonts w:cs="Arial"/>
                <w:sz w:val="20"/>
                <w:szCs w:val="20"/>
              </w:rPr>
            </w:pPr>
            <w:r>
              <w:rPr>
                <w:rFonts w:cs="Arial"/>
                <w:sz w:val="20"/>
                <w:szCs w:val="20"/>
              </w:rPr>
              <w:t>5.30</w:t>
            </w:r>
          </w:p>
        </w:tc>
        <w:tc>
          <w:tcPr>
            <w:tcW w:w="587" w:type="pct"/>
            <w:tcBorders>
              <w:top w:val="nil"/>
              <w:bottom w:val="nil"/>
            </w:tcBorders>
            <w:vAlign w:val="center"/>
          </w:tcPr>
          <w:p w:rsidR="00257AA0" w:rsidRDefault="00257AA0">
            <w:pPr>
              <w:jc w:val="center"/>
              <w:rPr>
                <w:rFonts w:cs="Arial"/>
                <w:sz w:val="20"/>
                <w:szCs w:val="20"/>
              </w:rPr>
            </w:pPr>
            <w:r>
              <w:rPr>
                <w:rFonts w:cs="Arial"/>
                <w:sz w:val="20"/>
                <w:szCs w:val="20"/>
              </w:rPr>
              <w:t>5.68</w:t>
            </w:r>
          </w:p>
        </w:tc>
      </w:tr>
      <w:tr w:rsidR="00257AA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257AA0" w:rsidRDefault="00257AA0">
            <w:pPr>
              <w:rPr>
                <w:rFonts w:cs="Arial"/>
                <w:szCs w:val="20"/>
              </w:rPr>
            </w:pPr>
            <w:r>
              <w:rPr>
                <w:rFonts w:cs="Arial"/>
                <w:szCs w:val="20"/>
              </w:rPr>
              <w:t>Ex post quantity (TJ)</w:t>
            </w:r>
          </w:p>
        </w:tc>
        <w:tc>
          <w:tcPr>
            <w:tcW w:w="589" w:type="pct"/>
            <w:tcBorders>
              <w:top w:val="nil"/>
              <w:bottom w:val="single" w:sz="4" w:space="0" w:color="auto"/>
            </w:tcBorders>
            <w:vAlign w:val="center"/>
          </w:tcPr>
          <w:p w:rsidR="00257AA0" w:rsidRDefault="00257AA0">
            <w:pPr>
              <w:jc w:val="center"/>
              <w:rPr>
                <w:rFonts w:cs="Arial"/>
                <w:szCs w:val="20"/>
              </w:rPr>
            </w:pPr>
            <w:r>
              <w:rPr>
                <w:rFonts w:cs="Arial"/>
                <w:szCs w:val="20"/>
              </w:rPr>
              <w:t>80</w:t>
            </w:r>
          </w:p>
        </w:tc>
        <w:tc>
          <w:tcPr>
            <w:tcW w:w="516" w:type="pct"/>
            <w:tcBorders>
              <w:top w:val="nil"/>
              <w:bottom w:val="single" w:sz="4" w:space="0" w:color="auto"/>
            </w:tcBorders>
            <w:vAlign w:val="center"/>
          </w:tcPr>
          <w:p w:rsidR="00257AA0" w:rsidRDefault="00257AA0">
            <w:pPr>
              <w:jc w:val="center"/>
              <w:rPr>
                <w:rFonts w:cs="Arial"/>
                <w:szCs w:val="20"/>
              </w:rPr>
            </w:pPr>
            <w:r>
              <w:rPr>
                <w:rFonts w:cs="Arial"/>
                <w:szCs w:val="20"/>
              </w:rPr>
              <w:t>95</w:t>
            </w:r>
          </w:p>
        </w:tc>
        <w:tc>
          <w:tcPr>
            <w:tcW w:w="598" w:type="pct"/>
            <w:tcBorders>
              <w:top w:val="nil"/>
              <w:bottom w:val="single" w:sz="4" w:space="0" w:color="auto"/>
            </w:tcBorders>
            <w:vAlign w:val="center"/>
          </w:tcPr>
          <w:p w:rsidR="00257AA0" w:rsidRDefault="00257AA0">
            <w:pPr>
              <w:jc w:val="center"/>
              <w:rPr>
                <w:rFonts w:cs="Arial"/>
                <w:szCs w:val="20"/>
              </w:rPr>
            </w:pPr>
            <w:r>
              <w:rPr>
                <w:rFonts w:cs="Arial"/>
                <w:szCs w:val="20"/>
              </w:rPr>
              <w:t>94</w:t>
            </w:r>
          </w:p>
        </w:tc>
        <w:tc>
          <w:tcPr>
            <w:tcW w:w="525" w:type="pct"/>
            <w:tcBorders>
              <w:top w:val="nil"/>
              <w:bottom w:val="single" w:sz="4" w:space="0" w:color="auto"/>
            </w:tcBorders>
            <w:vAlign w:val="center"/>
          </w:tcPr>
          <w:p w:rsidR="00257AA0" w:rsidRDefault="00257AA0">
            <w:pPr>
              <w:jc w:val="center"/>
              <w:rPr>
                <w:rFonts w:cs="Arial"/>
                <w:szCs w:val="20"/>
              </w:rPr>
            </w:pPr>
            <w:r>
              <w:rPr>
                <w:rFonts w:cs="Arial"/>
                <w:szCs w:val="20"/>
              </w:rPr>
              <w:t>96</w:t>
            </w:r>
          </w:p>
        </w:tc>
        <w:tc>
          <w:tcPr>
            <w:tcW w:w="518" w:type="pct"/>
            <w:tcBorders>
              <w:top w:val="nil"/>
              <w:bottom w:val="single" w:sz="4" w:space="0" w:color="auto"/>
            </w:tcBorders>
            <w:vAlign w:val="center"/>
          </w:tcPr>
          <w:p w:rsidR="00257AA0" w:rsidRDefault="00257AA0">
            <w:pPr>
              <w:jc w:val="center"/>
              <w:rPr>
                <w:rFonts w:cs="Arial"/>
                <w:szCs w:val="20"/>
              </w:rPr>
            </w:pPr>
            <w:r>
              <w:rPr>
                <w:rFonts w:cs="Arial"/>
                <w:szCs w:val="20"/>
              </w:rPr>
              <w:t>86</w:t>
            </w:r>
          </w:p>
        </w:tc>
        <w:tc>
          <w:tcPr>
            <w:tcW w:w="515" w:type="pct"/>
            <w:tcBorders>
              <w:top w:val="nil"/>
              <w:bottom w:val="single" w:sz="4" w:space="0" w:color="auto"/>
            </w:tcBorders>
            <w:vAlign w:val="center"/>
          </w:tcPr>
          <w:p w:rsidR="00257AA0" w:rsidRDefault="00257AA0">
            <w:pPr>
              <w:jc w:val="center"/>
              <w:rPr>
                <w:rFonts w:cs="Arial"/>
                <w:szCs w:val="20"/>
              </w:rPr>
            </w:pPr>
            <w:r>
              <w:rPr>
                <w:rFonts w:cs="Arial"/>
                <w:szCs w:val="20"/>
              </w:rPr>
              <w:t>75</w:t>
            </w:r>
          </w:p>
        </w:tc>
        <w:tc>
          <w:tcPr>
            <w:tcW w:w="587" w:type="pct"/>
            <w:tcBorders>
              <w:top w:val="nil"/>
              <w:bottom w:val="single" w:sz="4" w:space="0" w:color="auto"/>
            </w:tcBorders>
            <w:vAlign w:val="center"/>
          </w:tcPr>
          <w:p w:rsidR="00257AA0" w:rsidRDefault="00257AA0">
            <w:pPr>
              <w:jc w:val="center"/>
              <w:rPr>
                <w:rFonts w:cs="Arial"/>
                <w:szCs w:val="20"/>
              </w:rPr>
            </w:pPr>
            <w:r>
              <w:rPr>
                <w:rFonts w:cs="Arial"/>
                <w:szCs w:val="20"/>
              </w:rPr>
              <w:t>74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257AA0" w:rsidP="00EC2CB1">
      <w:r w:rsidRPr="00257AA0">
        <w:rPr>
          <w:noProof/>
          <w:lang w:eastAsia="en-AU"/>
        </w:rPr>
        <w:drawing>
          <wp:inline distT="0" distB="0" distL="0" distR="0" wp14:anchorId="31F2B78E" wp14:editId="47788FC3">
            <wp:extent cx="5731510" cy="1725905"/>
            <wp:effectExtent l="0" t="0" r="2540" b="0"/>
            <wp:docPr id="18" name="Picture 18" descr="Figure 4.2 shows the daily hub offers and bid in within certain price bands in Brisbane this week. The line indicates the scheduled quantity for each day. For a more detailed description of this figure, please refer to the user guide." title="Brisbane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257AA0" w:rsidP="00EC2CB1">
      <w:r w:rsidRPr="00257AA0">
        <w:rPr>
          <w:noProof/>
          <w:lang w:eastAsia="en-AU"/>
        </w:rPr>
        <w:drawing>
          <wp:inline distT="0" distB="0" distL="0" distR="0" wp14:anchorId="7730091F" wp14:editId="08DAEFF0">
            <wp:extent cx="5731510" cy="1475616"/>
            <wp:effectExtent l="0" t="0" r="2540" b="0"/>
            <wp:docPr id="32" name="Picture 32"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B95E9F" w:rsidP="00A226E9">
      <w:r w:rsidRPr="00B95E9F">
        <w:rPr>
          <w:noProof/>
          <w:lang w:eastAsia="en-AU"/>
        </w:rPr>
        <w:drawing>
          <wp:inline distT="0" distB="0" distL="0" distR="0" wp14:anchorId="52337F76" wp14:editId="1CADB154">
            <wp:extent cx="5731510" cy="1883137"/>
            <wp:effectExtent l="0" t="0" r="2540" b="3175"/>
            <wp:docPr id="34" name="Picture 34"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2"/>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3"/>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4"/>
      </w:r>
    </w:p>
    <w:p w:rsidR="00665C0C" w:rsidRDefault="00B570CD" w:rsidP="00596DE3">
      <w:pPr>
        <w:spacing w:line="240" w:lineRule="auto"/>
      </w:pPr>
      <w:r>
        <w:rPr>
          <w:b/>
          <w:bCs/>
          <w:noProof/>
          <w:lang w:eastAsia="en-AU"/>
        </w:rPr>
        <w:drawing>
          <wp:inline distT="0" distB="0" distL="0" distR="0" wp14:anchorId="4E78A6BA" wp14:editId="05A104CA">
            <wp:extent cx="5731510" cy="6276637"/>
            <wp:effectExtent l="0" t="0" r="2540" b="0"/>
            <wp:docPr id="6" name="Picture 6"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5"/>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257AA0" w:rsidRPr="00A917E1" w:rsidRDefault="00257AA0" w:rsidP="00257AA0">
      <w:pPr>
        <w:jc w:val="both"/>
      </w:pPr>
      <w:r w:rsidRPr="00A917E1">
        <w:t xml:space="preserve">This week there were </w:t>
      </w:r>
      <w:r w:rsidR="002D4779" w:rsidRPr="00A917E1">
        <w:t>32</w:t>
      </w:r>
      <w:r w:rsidRPr="00A917E1">
        <w:t xml:space="preserve"> trades for </w:t>
      </w:r>
      <w:r w:rsidR="002D4779" w:rsidRPr="00A917E1">
        <w:t>299</w:t>
      </w:r>
      <w:r w:rsidRPr="00A917E1">
        <w:t> TJ of gas at a volume weighted price of $</w:t>
      </w:r>
      <w:r w:rsidR="002D4779" w:rsidRPr="00A917E1">
        <w:t>7.13</w:t>
      </w:r>
      <w:r w:rsidRPr="00A917E1">
        <w:t xml:space="preserve">/GJ. These consisted of </w:t>
      </w:r>
      <w:r w:rsidR="002D4779" w:rsidRPr="00A917E1">
        <w:t>9</w:t>
      </w:r>
      <w:r w:rsidRPr="00A917E1">
        <w:t xml:space="preserve"> trades at WAL (</w:t>
      </w:r>
      <w:r w:rsidR="002D4779" w:rsidRPr="00A917E1">
        <w:t>163</w:t>
      </w:r>
      <w:r w:rsidRPr="00A917E1">
        <w:t> TJ at $</w:t>
      </w:r>
      <w:r w:rsidR="00A917E1" w:rsidRPr="00A917E1">
        <w:t>7.49</w:t>
      </w:r>
      <w:r w:rsidRPr="00A917E1">
        <w:t xml:space="preserve">/GJ) and </w:t>
      </w:r>
      <w:r w:rsidR="00A917E1" w:rsidRPr="00A917E1">
        <w:t>23</w:t>
      </w:r>
      <w:r w:rsidRPr="00A917E1">
        <w:t xml:space="preserve"> trades at SEQ (</w:t>
      </w:r>
      <w:r w:rsidR="00A917E1" w:rsidRPr="00A917E1">
        <w:t>136</w:t>
      </w:r>
      <w:r w:rsidRPr="00A917E1">
        <w:t> TJ at $</w:t>
      </w:r>
      <w:r w:rsidR="00A917E1" w:rsidRPr="00A917E1">
        <w:t>6.70</w:t>
      </w:r>
      <w:r w:rsidRPr="00A917E1">
        <w:t xml:space="preserve">/GJ). </w:t>
      </w:r>
      <w:r w:rsidR="00A917E1" w:rsidRPr="00A917E1">
        <w:t xml:space="preserve">280 TJ of the gas traded was matched on the exchange. </w:t>
      </w:r>
      <w:r w:rsidRPr="00A917E1">
        <w:t xml:space="preserve">There were </w:t>
      </w:r>
      <w:r w:rsidR="00A917E1" w:rsidRPr="00A917E1">
        <w:t>4</w:t>
      </w:r>
      <w:r w:rsidRPr="00A917E1">
        <w:t xml:space="preserve"> spread product trades between SEQ and WAL for $</w:t>
      </w:r>
      <w:r w:rsidR="00A917E1" w:rsidRPr="00A917E1">
        <w:t>0.95</w:t>
      </w:r>
      <w:r w:rsidRPr="00A917E1">
        <w:t>/GJ to $1.</w:t>
      </w:r>
      <w:r w:rsidR="00A917E1" w:rsidRPr="00A917E1">
        <w:t>20</w:t>
      </w:r>
      <w:r w:rsidRPr="00A917E1">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6"/>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B95E9F" w:rsidP="00E16EDC">
      <w:r w:rsidRPr="00B95E9F">
        <w:rPr>
          <w:noProof/>
          <w:lang w:eastAsia="en-AU"/>
        </w:rPr>
        <w:drawing>
          <wp:inline distT="0" distB="0" distL="0" distR="0" wp14:anchorId="0D417D59" wp14:editId="24726925">
            <wp:extent cx="5731510" cy="3126794"/>
            <wp:effectExtent l="0" t="0" r="2540" b="0"/>
            <wp:docPr id="37" name="Picture 37"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F4416C">
        <w:t xml:space="preserve">August </w:t>
      </w:r>
      <w:r w:rsidR="00C4712A" w:rsidRPr="0027387B">
        <w:t>20</w:t>
      </w:r>
      <w:r w:rsidR="00280CAF" w:rsidRPr="0027387B">
        <w:t>17</w:t>
      </w:r>
    </w:p>
    <w:sectPr w:rsidR="00275002" w:rsidRPr="009F2CAC" w:rsidSect="00A226E9">
      <w:footerReference w:type="even" r:id="rId35"/>
      <w:footerReference w:type="default" r:id="rId36"/>
      <w:footerReference w:type="first" r:id="rId37"/>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71D" w:rsidRDefault="000C771D" w:rsidP="004B4412">
      <w:pPr>
        <w:spacing w:before="0"/>
      </w:pPr>
      <w:r>
        <w:separator/>
      </w:r>
    </w:p>
  </w:endnote>
  <w:endnote w:type="continuationSeparator" w:id="0">
    <w:p w:rsidR="000C771D" w:rsidRDefault="000C771D"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1D" w:rsidRPr="00A91A9E" w:rsidRDefault="000C771D"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C771D" w:rsidRDefault="000C771D"/>
  <w:p w:rsidR="000C771D" w:rsidRDefault="000C77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1D" w:rsidRPr="00A94D89" w:rsidRDefault="000C771D"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3B50C9">
      <w:rPr>
        <w:rFonts w:cs="Arial"/>
        <w:i/>
        <w:noProof/>
      </w:rPr>
      <w:t>4</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1D" w:rsidRPr="00A94D89" w:rsidRDefault="000C771D"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3B50C9">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102932</w:t>
    </w:r>
  </w:p>
  <w:p w:rsidR="000C771D" w:rsidRDefault="000C77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71D" w:rsidRDefault="000C771D" w:rsidP="004B4412">
      <w:pPr>
        <w:spacing w:before="0"/>
      </w:pPr>
      <w:r>
        <w:separator/>
      </w:r>
    </w:p>
  </w:footnote>
  <w:footnote w:type="continuationSeparator" w:id="0">
    <w:p w:rsidR="000C771D" w:rsidRDefault="000C771D" w:rsidP="004B4412">
      <w:pPr>
        <w:spacing w:before="0"/>
      </w:pPr>
      <w:r>
        <w:continuationSeparator/>
      </w:r>
    </w:p>
  </w:footnote>
  <w:footnote w:id="1">
    <w:p w:rsidR="000C771D" w:rsidRPr="000835F4" w:rsidRDefault="000C771D"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0C771D" w:rsidRPr="000835F4" w:rsidRDefault="000C771D"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3106AD" w:rsidRDefault="003106AD" w:rsidP="003106AD">
      <w:pPr>
        <w:pStyle w:val="FootnoteText"/>
        <w:ind w:left="709" w:hanging="709"/>
        <w:jc w:val="both"/>
      </w:pPr>
      <w:r>
        <w:rPr>
          <w:rStyle w:val="FootnoteReference"/>
        </w:rPr>
        <w:footnoteRef/>
      </w:r>
      <w:r>
        <w:t xml:space="preserve"> </w:t>
      </w:r>
      <w:r>
        <w:tab/>
        <w:t xml:space="preserve">Bulletin Board quantities shown in </w:t>
      </w:r>
      <w:r w:rsidRPr="00F446C4">
        <w:t xml:space="preserve">figure 6 in weekly reports </w:t>
      </w:r>
      <w:r w:rsidR="008D3DB4" w:rsidRPr="00F446C4">
        <w:t>from the</w:t>
      </w:r>
      <w:r w:rsidR="008D3DB4">
        <w:t xml:space="preserve"> week ending 11 June 2016 to the week ending 15 July 2017 </w:t>
      </w:r>
      <w:r>
        <w:t xml:space="preserve">displayed </w:t>
      </w:r>
      <w:r w:rsidR="008D3DB4">
        <w:t xml:space="preserve">incorrect </w:t>
      </w:r>
      <w:r>
        <w:t xml:space="preserve">Roma-specific production data due to a historical change in participant identification. </w:t>
      </w:r>
      <w:r w:rsidR="008D3DB4">
        <w:t xml:space="preserve">From this weekly report onwards this error has been addressed to show </w:t>
      </w:r>
      <w:r>
        <w:t>production around Roma operated by the three LNG export projects. Some additional facilities exempt from Bulletin Board reporting requirements are not shown in this figure.</w:t>
      </w:r>
    </w:p>
  </w:footnote>
  <w:footnote w:id="4">
    <w:p w:rsidR="000C771D" w:rsidRDefault="000C771D" w:rsidP="000C771D">
      <w:pPr>
        <w:pStyle w:val="FootnoteText"/>
        <w:ind w:left="709" w:hanging="709"/>
        <w:jc w:val="both"/>
      </w:pPr>
      <w:r>
        <w:rPr>
          <w:rStyle w:val="FootnoteReference"/>
        </w:rPr>
        <w:footnoteRef/>
      </w:r>
      <w:r>
        <w:t xml:space="preserve"> </w:t>
      </w:r>
      <w:r>
        <w:tab/>
        <w:t>The project was producing LNG at around 10 per cent above its nameplate capacity at a continuous rate.</w:t>
      </w:r>
    </w:p>
  </w:footnote>
  <w:footnote w:id="5">
    <w:p w:rsidR="000C771D" w:rsidRDefault="000C771D" w:rsidP="00B66B7E">
      <w:pPr>
        <w:pStyle w:val="FootnoteText"/>
        <w:ind w:left="709" w:hanging="709"/>
        <w:jc w:val="both"/>
      </w:pPr>
      <w:r>
        <w:rPr>
          <w:rStyle w:val="FootnoteReference"/>
        </w:rPr>
        <w:footnoteRef/>
      </w:r>
      <w:r>
        <w:t xml:space="preserve"> </w:t>
      </w:r>
      <w:r>
        <w:tab/>
        <w:t>2 TJ of CMOS allocations are defined as 1 TJ of increase MOS services provided to the hub offset by 1 TJ of decrease MOS services on another pipeline. This is generally in the form of decrease MOS allocations on the pressure controlled Moomba to Sydney Pipeline (MSP) and increase MOS allocations on the Eastern Gas Pipeline (EGP).</w:t>
      </w:r>
    </w:p>
  </w:footnote>
  <w:footnote w:id="6">
    <w:p w:rsidR="000C771D" w:rsidRPr="00EC2CB1" w:rsidRDefault="000C771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7">
    <w:p w:rsidR="000C771D" w:rsidRPr="00EC2CB1" w:rsidRDefault="000C771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8">
    <w:p w:rsidR="000C771D" w:rsidRPr="00EC2CB1" w:rsidRDefault="000C771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9">
    <w:p w:rsidR="000C771D" w:rsidRPr="00551D6B" w:rsidRDefault="000C771D"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0">
    <w:p w:rsidR="000C771D" w:rsidRPr="00551D6B" w:rsidRDefault="000C771D"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0C771D" w:rsidRPr="00552F68" w:rsidRDefault="000C771D"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2">
    <w:p w:rsidR="000C771D" w:rsidRPr="0087350F" w:rsidRDefault="000C771D"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0C771D" w:rsidRPr="0087350F" w:rsidRDefault="000C771D"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0C771D" w:rsidRPr="0087350F" w:rsidRDefault="000C771D"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3">
    <w:p w:rsidR="000C771D" w:rsidRPr="0087350F" w:rsidRDefault="000C771D"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4">
    <w:p w:rsidR="000C771D" w:rsidRDefault="000C771D"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5">
    <w:p w:rsidR="000C771D" w:rsidRDefault="000C771D"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6">
    <w:p w:rsidR="000C771D" w:rsidRDefault="000C771D"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720"/>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320\D17 102932  20170716 - 20170722 gas weekly report (Santos note).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108"/>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57C06"/>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1BF7"/>
    <w:rsid w:val="000835F4"/>
    <w:rsid w:val="00085663"/>
    <w:rsid w:val="00085EBF"/>
    <w:rsid w:val="00086CF3"/>
    <w:rsid w:val="00087C4A"/>
    <w:rsid w:val="00087CDC"/>
    <w:rsid w:val="00091FB4"/>
    <w:rsid w:val="0009584C"/>
    <w:rsid w:val="000961FA"/>
    <w:rsid w:val="0009653D"/>
    <w:rsid w:val="000A0A32"/>
    <w:rsid w:val="000A241B"/>
    <w:rsid w:val="000A29ED"/>
    <w:rsid w:val="000A4529"/>
    <w:rsid w:val="000A62B4"/>
    <w:rsid w:val="000A62D6"/>
    <w:rsid w:val="000A6F14"/>
    <w:rsid w:val="000B0311"/>
    <w:rsid w:val="000B364C"/>
    <w:rsid w:val="000B3C8A"/>
    <w:rsid w:val="000B5E19"/>
    <w:rsid w:val="000C0472"/>
    <w:rsid w:val="000C1A94"/>
    <w:rsid w:val="000C4DC6"/>
    <w:rsid w:val="000C52E2"/>
    <w:rsid w:val="000C771D"/>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27D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196A"/>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0302"/>
    <w:rsid w:val="001A2C0A"/>
    <w:rsid w:val="001A3CDA"/>
    <w:rsid w:val="001A6790"/>
    <w:rsid w:val="001B01C8"/>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57AA0"/>
    <w:rsid w:val="00261C02"/>
    <w:rsid w:val="00262F65"/>
    <w:rsid w:val="00263AC0"/>
    <w:rsid w:val="002649D2"/>
    <w:rsid w:val="002649D8"/>
    <w:rsid w:val="00265486"/>
    <w:rsid w:val="0026772D"/>
    <w:rsid w:val="00270A51"/>
    <w:rsid w:val="00270AF4"/>
    <w:rsid w:val="0027318A"/>
    <w:rsid w:val="0027387B"/>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779"/>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AD"/>
    <w:rsid w:val="003106BC"/>
    <w:rsid w:val="0031318F"/>
    <w:rsid w:val="003152BD"/>
    <w:rsid w:val="003153EB"/>
    <w:rsid w:val="00315DD8"/>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681"/>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4677"/>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50C9"/>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17CC"/>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68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0FA"/>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5CB7"/>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2C6F"/>
    <w:rsid w:val="007D47B2"/>
    <w:rsid w:val="007D53A8"/>
    <w:rsid w:val="007D6FC9"/>
    <w:rsid w:val="007E1516"/>
    <w:rsid w:val="007E4904"/>
    <w:rsid w:val="007E4CB5"/>
    <w:rsid w:val="007E5597"/>
    <w:rsid w:val="007E74E0"/>
    <w:rsid w:val="007F060C"/>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377B3"/>
    <w:rsid w:val="00840C6C"/>
    <w:rsid w:val="00840FCC"/>
    <w:rsid w:val="0084350B"/>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3DB4"/>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650"/>
    <w:rsid w:val="008F6E27"/>
    <w:rsid w:val="008F6FC7"/>
    <w:rsid w:val="008F71C7"/>
    <w:rsid w:val="008F7954"/>
    <w:rsid w:val="009004F5"/>
    <w:rsid w:val="0090239D"/>
    <w:rsid w:val="00902445"/>
    <w:rsid w:val="00903A78"/>
    <w:rsid w:val="009057E0"/>
    <w:rsid w:val="009064FC"/>
    <w:rsid w:val="0091130F"/>
    <w:rsid w:val="0091220A"/>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39D2"/>
    <w:rsid w:val="00944863"/>
    <w:rsid w:val="009456DC"/>
    <w:rsid w:val="00947919"/>
    <w:rsid w:val="00950B15"/>
    <w:rsid w:val="0095158D"/>
    <w:rsid w:val="00952CF7"/>
    <w:rsid w:val="00953534"/>
    <w:rsid w:val="009540FA"/>
    <w:rsid w:val="00955ACD"/>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304E"/>
    <w:rsid w:val="009B4E65"/>
    <w:rsid w:val="009B533B"/>
    <w:rsid w:val="009B5478"/>
    <w:rsid w:val="009B5D28"/>
    <w:rsid w:val="009B615C"/>
    <w:rsid w:val="009B69AA"/>
    <w:rsid w:val="009B6F16"/>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3FCB"/>
    <w:rsid w:val="00A25353"/>
    <w:rsid w:val="00A26739"/>
    <w:rsid w:val="00A26C2F"/>
    <w:rsid w:val="00A30B76"/>
    <w:rsid w:val="00A3616C"/>
    <w:rsid w:val="00A3632A"/>
    <w:rsid w:val="00A37C64"/>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7E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E611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1D71"/>
    <w:rsid w:val="00B33C7F"/>
    <w:rsid w:val="00B35810"/>
    <w:rsid w:val="00B35937"/>
    <w:rsid w:val="00B3773B"/>
    <w:rsid w:val="00B4128D"/>
    <w:rsid w:val="00B41686"/>
    <w:rsid w:val="00B44E99"/>
    <w:rsid w:val="00B474EE"/>
    <w:rsid w:val="00B52EC8"/>
    <w:rsid w:val="00B55C24"/>
    <w:rsid w:val="00B56CF6"/>
    <w:rsid w:val="00B56E03"/>
    <w:rsid w:val="00B570CD"/>
    <w:rsid w:val="00B6278D"/>
    <w:rsid w:val="00B62BB5"/>
    <w:rsid w:val="00B63E2C"/>
    <w:rsid w:val="00B64331"/>
    <w:rsid w:val="00B64DF7"/>
    <w:rsid w:val="00B652AF"/>
    <w:rsid w:val="00B65CAC"/>
    <w:rsid w:val="00B66B7E"/>
    <w:rsid w:val="00B66E74"/>
    <w:rsid w:val="00B673A4"/>
    <w:rsid w:val="00B70A7F"/>
    <w:rsid w:val="00B70CA5"/>
    <w:rsid w:val="00B7397E"/>
    <w:rsid w:val="00B73C3A"/>
    <w:rsid w:val="00B752C5"/>
    <w:rsid w:val="00B8080B"/>
    <w:rsid w:val="00B82845"/>
    <w:rsid w:val="00B85D8A"/>
    <w:rsid w:val="00B86103"/>
    <w:rsid w:val="00B87C39"/>
    <w:rsid w:val="00B87DD6"/>
    <w:rsid w:val="00B904FF"/>
    <w:rsid w:val="00B91BE8"/>
    <w:rsid w:val="00B92CD5"/>
    <w:rsid w:val="00B956D7"/>
    <w:rsid w:val="00B95E9F"/>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369F"/>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07F94"/>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4D96"/>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0C85"/>
    <w:rsid w:val="00C91830"/>
    <w:rsid w:val="00C9478B"/>
    <w:rsid w:val="00C950AF"/>
    <w:rsid w:val="00C9660A"/>
    <w:rsid w:val="00C96A92"/>
    <w:rsid w:val="00CA04F2"/>
    <w:rsid w:val="00CA0ECB"/>
    <w:rsid w:val="00CA4EE0"/>
    <w:rsid w:val="00CA4FD9"/>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55648"/>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6E3C"/>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51E"/>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331"/>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296"/>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0FBD"/>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32E"/>
    <w:rsid w:val="00F3590E"/>
    <w:rsid w:val="00F36430"/>
    <w:rsid w:val="00F373A5"/>
    <w:rsid w:val="00F376D3"/>
    <w:rsid w:val="00F42DB4"/>
    <w:rsid w:val="00F4416C"/>
    <w:rsid w:val="00F446C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1D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22556707">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image" Target="media/image21.emf"/><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s://www.aer.gov.au/wholesale-markets/market-performance/gas-report-25-june-1-july-2017" TargetMode="External"/><Relationship Id="rId23" Type="http://schemas.openxmlformats.org/officeDocument/2006/relationships/hyperlink" Target="http://www.aer.gov.au/node/451" TargetMode="External"/><Relationship Id="rId28" Type="http://schemas.openxmlformats.org/officeDocument/2006/relationships/image" Target="media/image15.emf"/><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E9FC13-2971-43D2-9B02-7726277FB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61ABD910.dotm</Template>
  <TotalTime>0</TotalTime>
  <Pages>13</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2017-08-25T04:10:00Z</dcterms:created>
  <dcterms:modified xsi:type="dcterms:W3CDTF">2017-08-25T05:54:00Z</dcterms:modified>
</cp:coreProperties>
</file>