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0736F4"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8"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9"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F05B48" w:rsidP="004420C4">
      <w:pPr>
        <w:pStyle w:val="Heading2"/>
        <w:numPr>
          <w:ilvl w:val="0"/>
          <w:numId w:val="0"/>
        </w:numPr>
        <w:rPr>
          <w:i w:val="0"/>
        </w:rPr>
      </w:pPr>
      <w:r>
        <w:rPr>
          <w:i w:val="0"/>
          <w:sz w:val="36"/>
          <w:szCs w:val="36"/>
        </w:rPr>
        <w:t>14 – 20 February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Default="00780FEC" w:rsidP="00345444">
      <w:pPr>
        <w:pStyle w:val="AERbodytext"/>
        <w:spacing w:line="240" w:lineRule="auto"/>
        <w:jc w:val="both"/>
      </w:pPr>
      <w:r>
        <w:t>Figure 1 shows that t</w:t>
      </w:r>
      <w:r w:rsidR="00872F23">
        <w:t xml:space="preserve">he average daily </w:t>
      </w:r>
      <w:r>
        <w:t xml:space="preserve">price </w:t>
      </w:r>
      <w:r w:rsidR="00872F23">
        <w:t>rose slightly in Victoria and Brisbane</w:t>
      </w:r>
      <w:r>
        <w:t>, and fell slightly i</w:t>
      </w:r>
      <w:r w:rsidR="00872F23">
        <w:t>n Sydney and Adelaide.</w:t>
      </w:r>
    </w:p>
    <w:p w:rsidR="006C06B7" w:rsidRPr="00872F23" w:rsidRDefault="006C06B7" w:rsidP="00345444">
      <w:pPr>
        <w:pStyle w:val="AERbodytext"/>
        <w:spacing w:line="240" w:lineRule="auto"/>
        <w:jc w:val="both"/>
      </w:pPr>
      <w:r>
        <w:t xml:space="preserve">Figure 5.1 on page 10 </w:t>
      </w:r>
      <w:r w:rsidR="00736A00">
        <w:t>shows average daily</w:t>
      </w:r>
      <w:r>
        <w:t xml:space="preserve"> flows on t</w:t>
      </w:r>
      <w:bookmarkStart w:id="2" w:name="_GoBack"/>
      <w:bookmarkEnd w:id="2"/>
      <w:r>
        <w:t xml:space="preserve">he APLNG pipeline </w:t>
      </w:r>
      <w:r w:rsidR="00886B09">
        <w:t>decreased again</w:t>
      </w:r>
      <w:r w:rsidR="00736A00">
        <w:t xml:space="preserve"> this week</w:t>
      </w:r>
      <w:r>
        <w:t>.</w:t>
      </w:r>
      <w:r w:rsidR="00886B09">
        <w:t xml:space="preserve"> The 122 TJ drop in average daily flows followed a 232 TJ drop reported in the previous weekly </w:t>
      </w:r>
      <w:r w:rsidR="00800E84">
        <w:t>(</w:t>
      </w:r>
      <w:r w:rsidR="00886B09">
        <w:t>where an outage led to flows close to zero from 11 February</w:t>
      </w:r>
      <w:r w:rsidR="00800E84">
        <w:t>)</w:t>
      </w:r>
      <w:r w:rsidR="00886B09">
        <w:t>.</w:t>
      </w:r>
      <w:r>
        <w:t xml:space="preserve"> </w:t>
      </w:r>
      <w:r w:rsidR="00886B09">
        <w:t>However, d</w:t>
      </w:r>
      <w:r>
        <w:t xml:space="preserve">eliveries on the pipeline </w:t>
      </w:r>
      <w:r w:rsidR="00736A00">
        <w:t xml:space="preserve">did </w:t>
      </w:r>
      <w:r>
        <w:t>ramp up towards the end of th</w:t>
      </w:r>
      <w:r w:rsidR="00886B09">
        <w:t>is</w:t>
      </w:r>
      <w:r>
        <w:t xml:space="preserve"> week and reached 635.9 TJ by 20 February.</w:t>
      </w:r>
      <w:r w:rsidR="002B72B9">
        <w:t xml:space="preserve"> The figure also shows that </w:t>
      </w:r>
      <w:r w:rsidR="00736A00">
        <w:t>demand from gas powered generators (</w:t>
      </w:r>
      <w:r w:rsidR="002B72B9">
        <w:t>GPG</w:t>
      </w:r>
      <w:r w:rsidR="00736A00">
        <w:t>)</w:t>
      </w:r>
      <w:r w:rsidR="002B72B9">
        <w:t xml:space="preserve"> in Queensland increased by around 88 TJ </w:t>
      </w:r>
      <w:r w:rsidR="00736A00">
        <w:t>this week</w:t>
      </w:r>
      <w:r w:rsidR="002B72B9">
        <w:t xml:space="preserve">. This </w:t>
      </w:r>
      <w:r w:rsidR="00736A00">
        <w:t>increase in demand may have contributed to the</w:t>
      </w:r>
      <w:r w:rsidR="002B72B9">
        <w:t xml:space="preserve"> higher price</w:t>
      </w:r>
      <w:r w:rsidR="00800E84">
        <w:t xml:space="preserve"> </w:t>
      </w:r>
      <w:r w:rsidR="00736A00">
        <w:t>observed</w:t>
      </w:r>
      <w:r w:rsidR="002B72B9">
        <w:t xml:space="preserve"> in Brisbane </w:t>
      </w:r>
      <w:r w:rsidR="00800E84">
        <w:t xml:space="preserve">this </w:t>
      </w:r>
      <w:r w:rsidR="002B72B9">
        <w:t>week.</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F05B48" w:rsidRPr="0091453B" w:rsidTr="00602E5C">
        <w:trPr>
          <w:trHeight w:val="510"/>
        </w:trPr>
        <w:tc>
          <w:tcPr>
            <w:tcW w:w="1928" w:type="pct"/>
            <w:tcBorders>
              <w:top w:val="nil"/>
              <w:bottom w:val="nil"/>
            </w:tcBorders>
            <w:vAlign w:val="center"/>
          </w:tcPr>
          <w:p w:rsidR="00F05B48" w:rsidRDefault="00F05B48">
            <w:pPr>
              <w:rPr>
                <w:rFonts w:cs="Arial"/>
                <w:sz w:val="20"/>
                <w:szCs w:val="20"/>
              </w:rPr>
            </w:pPr>
            <w:r>
              <w:rPr>
                <w:rFonts w:cs="Arial"/>
                <w:sz w:val="20"/>
                <w:szCs w:val="20"/>
              </w:rPr>
              <w:t>14 Feb - 20 Feb 2016</w:t>
            </w:r>
          </w:p>
        </w:tc>
        <w:tc>
          <w:tcPr>
            <w:tcW w:w="750" w:type="pct"/>
            <w:tcBorders>
              <w:top w:val="nil"/>
              <w:bottom w:val="nil"/>
            </w:tcBorders>
            <w:vAlign w:val="center"/>
          </w:tcPr>
          <w:p w:rsidR="00F05B48" w:rsidRDefault="00F05B48">
            <w:pPr>
              <w:jc w:val="center"/>
              <w:rPr>
                <w:rFonts w:cs="Arial"/>
                <w:sz w:val="20"/>
                <w:szCs w:val="20"/>
              </w:rPr>
            </w:pPr>
            <w:r>
              <w:rPr>
                <w:rFonts w:cs="Arial"/>
                <w:sz w:val="20"/>
                <w:szCs w:val="20"/>
              </w:rPr>
              <w:t>4.22</w:t>
            </w:r>
          </w:p>
        </w:tc>
        <w:tc>
          <w:tcPr>
            <w:tcW w:w="749" w:type="pct"/>
            <w:tcBorders>
              <w:top w:val="nil"/>
              <w:bottom w:val="nil"/>
            </w:tcBorders>
            <w:vAlign w:val="center"/>
          </w:tcPr>
          <w:p w:rsidR="00F05B48" w:rsidRDefault="00F05B48">
            <w:pPr>
              <w:jc w:val="center"/>
              <w:rPr>
                <w:rFonts w:cs="Arial"/>
                <w:sz w:val="20"/>
                <w:szCs w:val="20"/>
              </w:rPr>
            </w:pPr>
            <w:r>
              <w:rPr>
                <w:rFonts w:cs="Arial"/>
                <w:sz w:val="20"/>
                <w:szCs w:val="20"/>
              </w:rPr>
              <w:t>3.82</w:t>
            </w:r>
          </w:p>
        </w:tc>
        <w:tc>
          <w:tcPr>
            <w:tcW w:w="749" w:type="pct"/>
            <w:tcBorders>
              <w:top w:val="nil"/>
              <w:bottom w:val="nil"/>
            </w:tcBorders>
            <w:vAlign w:val="center"/>
          </w:tcPr>
          <w:p w:rsidR="00F05B48" w:rsidRDefault="00F05B48">
            <w:pPr>
              <w:jc w:val="center"/>
              <w:rPr>
                <w:rFonts w:cs="Arial"/>
                <w:sz w:val="20"/>
                <w:szCs w:val="20"/>
              </w:rPr>
            </w:pPr>
            <w:r>
              <w:rPr>
                <w:rFonts w:cs="Arial"/>
                <w:sz w:val="20"/>
                <w:szCs w:val="20"/>
              </w:rPr>
              <w:t>4.11</w:t>
            </w:r>
          </w:p>
        </w:tc>
        <w:tc>
          <w:tcPr>
            <w:tcW w:w="823" w:type="pct"/>
            <w:tcBorders>
              <w:top w:val="nil"/>
              <w:bottom w:val="nil"/>
            </w:tcBorders>
            <w:vAlign w:val="center"/>
          </w:tcPr>
          <w:p w:rsidR="00F05B48" w:rsidRDefault="00F05B48">
            <w:pPr>
              <w:jc w:val="center"/>
              <w:rPr>
                <w:rFonts w:cs="Arial"/>
                <w:sz w:val="20"/>
                <w:szCs w:val="20"/>
              </w:rPr>
            </w:pPr>
            <w:r>
              <w:rPr>
                <w:rFonts w:cs="Arial"/>
                <w:sz w:val="20"/>
                <w:szCs w:val="20"/>
              </w:rPr>
              <w:t>4.78</w:t>
            </w:r>
          </w:p>
        </w:tc>
      </w:tr>
      <w:tr w:rsidR="00F05B48" w:rsidRPr="0091453B" w:rsidTr="00602E5C">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F05B48" w:rsidRDefault="00F05B48">
            <w:pPr>
              <w:rPr>
                <w:rFonts w:cs="Arial"/>
                <w:sz w:val="20"/>
                <w:szCs w:val="20"/>
              </w:rPr>
            </w:pPr>
            <w:r>
              <w:rPr>
                <w:rFonts w:cs="Arial"/>
                <w:sz w:val="20"/>
                <w:szCs w:val="20"/>
              </w:rPr>
              <w:t>% change from previous week</w:t>
            </w:r>
          </w:p>
        </w:tc>
        <w:tc>
          <w:tcPr>
            <w:tcW w:w="750" w:type="pct"/>
            <w:tcBorders>
              <w:top w:val="nil"/>
              <w:bottom w:val="nil"/>
            </w:tcBorders>
            <w:vAlign w:val="center"/>
          </w:tcPr>
          <w:p w:rsidR="00F05B48" w:rsidRDefault="00F05B48">
            <w:pPr>
              <w:jc w:val="center"/>
              <w:rPr>
                <w:rFonts w:cs="Arial"/>
                <w:sz w:val="20"/>
                <w:szCs w:val="20"/>
              </w:rPr>
            </w:pPr>
            <w:r>
              <w:rPr>
                <w:rFonts w:cs="Arial"/>
                <w:sz w:val="20"/>
                <w:szCs w:val="20"/>
              </w:rPr>
              <w:t>5</w:t>
            </w:r>
          </w:p>
        </w:tc>
        <w:tc>
          <w:tcPr>
            <w:tcW w:w="749" w:type="pct"/>
            <w:tcBorders>
              <w:top w:val="nil"/>
              <w:bottom w:val="nil"/>
            </w:tcBorders>
            <w:vAlign w:val="center"/>
          </w:tcPr>
          <w:p w:rsidR="00F05B48" w:rsidRDefault="00F05B48">
            <w:pPr>
              <w:jc w:val="center"/>
              <w:rPr>
                <w:rFonts w:cs="Arial"/>
                <w:sz w:val="20"/>
                <w:szCs w:val="20"/>
              </w:rPr>
            </w:pPr>
            <w:r>
              <w:rPr>
                <w:rFonts w:cs="Arial"/>
                <w:sz w:val="20"/>
                <w:szCs w:val="20"/>
              </w:rPr>
              <w:t>-8</w:t>
            </w:r>
          </w:p>
        </w:tc>
        <w:tc>
          <w:tcPr>
            <w:tcW w:w="749" w:type="pct"/>
            <w:tcBorders>
              <w:top w:val="nil"/>
              <w:bottom w:val="nil"/>
            </w:tcBorders>
            <w:vAlign w:val="center"/>
          </w:tcPr>
          <w:p w:rsidR="00F05B48" w:rsidRDefault="00F05B48">
            <w:pPr>
              <w:jc w:val="center"/>
              <w:rPr>
                <w:rFonts w:cs="Arial"/>
                <w:sz w:val="20"/>
                <w:szCs w:val="20"/>
              </w:rPr>
            </w:pPr>
            <w:r>
              <w:rPr>
                <w:rFonts w:cs="Arial"/>
                <w:sz w:val="20"/>
                <w:szCs w:val="20"/>
              </w:rPr>
              <w:t>-6</w:t>
            </w:r>
          </w:p>
        </w:tc>
        <w:tc>
          <w:tcPr>
            <w:tcW w:w="823" w:type="pct"/>
            <w:tcBorders>
              <w:top w:val="nil"/>
              <w:bottom w:val="nil"/>
            </w:tcBorders>
            <w:vAlign w:val="center"/>
          </w:tcPr>
          <w:p w:rsidR="00F05B48" w:rsidRDefault="00F05B48">
            <w:pPr>
              <w:jc w:val="center"/>
              <w:rPr>
                <w:rFonts w:cs="Arial"/>
                <w:sz w:val="20"/>
                <w:szCs w:val="20"/>
              </w:rPr>
            </w:pPr>
            <w:r>
              <w:rPr>
                <w:rFonts w:cs="Arial"/>
                <w:sz w:val="20"/>
                <w:szCs w:val="20"/>
              </w:rPr>
              <w:t>5</w:t>
            </w:r>
          </w:p>
        </w:tc>
      </w:tr>
      <w:tr w:rsidR="00F05B48" w:rsidRPr="0091453B" w:rsidTr="00602E5C">
        <w:trPr>
          <w:trHeight w:val="510"/>
        </w:trPr>
        <w:tc>
          <w:tcPr>
            <w:tcW w:w="1928" w:type="pct"/>
            <w:tcBorders>
              <w:top w:val="nil"/>
              <w:bottom w:val="nil"/>
            </w:tcBorders>
            <w:vAlign w:val="center"/>
          </w:tcPr>
          <w:p w:rsidR="00F05B48" w:rsidRDefault="00F05B48">
            <w:pPr>
              <w:rPr>
                <w:rFonts w:cs="Arial"/>
                <w:sz w:val="20"/>
                <w:szCs w:val="20"/>
              </w:rPr>
            </w:pPr>
            <w:r>
              <w:rPr>
                <w:rFonts w:cs="Arial"/>
                <w:sz w:val="20"/>
                <w:szCs w:val="20"/>
              </w:rPr>
              <w:t>15-16 financial YTD</w:t>
            </w:r>
          </w:p>
        </w:tc>
        <w:tc>
          <w:tcPr>
            <w:tcW w:w="750" w:type="pct"/>
            <w:tcBorders>
              <w:top w:val="nil"/>
              <w:bottom w:val="nil"/>
            </w:tcBorders>
            <w:vAlign w:val="center"/>
          </w:tcPr>
          <w:p w:rsidR="00F05B48" w:rsidRDefault="00F05B48">
            <w:pPr>
              <w:jc w:val="center"/>
              <w:rPr>
                <w:rFonts w:cs="Arial"/>
                <w:sz w:val="20"/>
                <w:szCs w:val="20"/>
              </w:rPr>
            </w:pPr>
            <w:r>
              <w:rPr>
                <w:rFonts w:cs="Arial"/>
                <w:sz w:val="20"/>
                <w:szCs w:val="20"/>
              </w:rPr>
              <w:t>4.36</w:t>
            </w:r>
          </w:p>
        </w:tc>
        <w:tc>
          <w:tcPr>
            <w:tcW w:w="749" w:type="pct"/>
            <w:tcBorders>
              <w:top w:val="nil"/>
              <w:bottom w:val="nil"/>
            </w:tcBorders>
            <w:vAlign w:val="center"/>
          </w:tcPr>
          <w:p w:rsidR="00F05B48" w:rsidRDefault="00F05B48">
            <w:pPr>
              <w:jc w:val="center"/>
              <w:rPr>
                <w:rFonts w:cs="Arial"/>
                <w:sz w:val="20"/>
                <w:szCs w:val="20"/>
              </w:rPr>
            </w:pPr>
            <w:r>
              <w:rPr>
                <w:rFonts w:cs="Arial"/>
                <w:sz w:val="20"/>
                <w:szCs w:val="20"/>
              </w:rPr>
              <w:t>4.57</w:t>
            </w:r>
          </w:p>
        </w:tc>
        <w:tc>
          <w:tcPr>
            <w:tcW w:w="749" w:type="pct"/>
            <w:tcBorders>
              <w:top w:val="nil"/>
              <w:bottom w:val="nil"/>
            </w:tcBorders>
            <w:vAlign w:val="center"/>
          </w:tcPr>
          <w:p w:rsidR="00F05B48" w:rsidRDefault="00F05B48">
            <w:pPr>
              <w:jc w:val="center"/>
              <w:rPr>
                <w:rFonts w:cs="Arial"/>
                <w:sz w:val="20"/>
                <w:szCs w:val="20"/>
              </w:rPr>
            </w:pPr>
            <w:r>
              <w:rPr>
                <w:rFonts w:cs="Arial"/>
                <w:sz w:val="20"/>
                <w:szCs w:val="20"/>
              </w:rPr>
              <w:t>5.12</w:t>
            </w:r>
          </w:p>
        </w:tc>
        <w:tc>
          <w:tcPr>
            <w:tcW w:w="823" w:type="pct"/>
            <w:tcBorders>
              <w:top w:val="nil"/>
              <w:bottom w:val="nil"/>
            </w:tcBorders>
            <w:vAlign w:val="center"/>
          </w:tcPr>
          <w:p w:rsidR="00F05B48" w:rsidRDefault="00F05B48">
            <w:pPr>
              <w:jc w:val="center"/>
              <w:rPr>
                <w:rFonts w:cs="Arial"/>
                <w:sz w:val="20"/>
                <w:szCs w:val="20"/>
              </w:rPr>
            </w:pPr>
            <w:r>
              <w:rPr>
                <w:rFonts w:cs="Arial"/>
                <w:sz w:val="20"/>
                <w:szCs w:val="20"/>
              </w:rPr>
              <w:t>3.92</w:t>
            </w:r>
          </w:p>
        </w:tc>
      </w:tr>
      <w:tr w:rsidR="00F05B48" w:rsidRPr="0091453B" w:rsidTr="00602E5C">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F05B48" w:rsidRDefault="00F05B48">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F05B48" w:rsidRDefault="00F05B48">
            <w:pPr>
              <w:jc w:val="center"/>
              <w:rPr>
                <w:rFonts w:cs="Arial"/>
                <w:sz w:val="20"/>
                <w:szCs w:val="20"/>
              </w:rPr>
            </w:pPr>
            <w:r>
              <w:rPr>
                <w:rFonts w:cs="Arial"/>
                <w:sz w:val="20"/>
                <w:szCs w:val="20"/>
              </w:rPr>
              <w:t>26</w:t>
            </w:r>
          </w:p>
        </w:tc>
        <w:tc>
          <w:tcPr>
            <w:tcW w:w="749" w:type="pct"/>
            <w:tcBorders>
              <w:top w:val="nil"/>
              <w:bottom w:val="single" w:sz="4" w:space="0" w:color="auto"/>
            </w:tcBorders>
            <w:vAlign w:val="center"/>
          </w:tcPr>
          <w:p w:rsidR="00F05B48" w:rsidRDefault="00F05B48">
            <w:pPr>
              <w:jc w:val="center"/>
              <w:rPr>
                <w:rFonts w:cs="Arial"/>
                <w:sz w:val="20"/>
                <w:szCs w:val="20"/>
              </w:rPr>
            </w:pPr>
            <w:r>
              <w:rPr>
                <w:rFonts w:cs="Arial"/>
                <w:sz w:val="20"/>
                <w:szCs w:val="20"/>
              </w:rPr>
              <w:t>41</w:t>
            </w:r>
          </w:p>
        </w:tc>
        <w:tc>
          <w:tcPr>
            <w:tcW w:w="749" w:type="pct"/>
            <w:tcBorders>
              <w:top w:val="nil"/>
              <w:bottom w:val="single" w:sz="4" w:space="0" w:color="auto"/>
            </w:tcBorders>
            <w:vAlign w:val="center"/>
          </w:tcPr>
          <w:p w:rsidR="00F05B48" w:rsidRDefault="00F05B48">
            <w:pPr>
              <w:jc w:val="center"/>
              <w:rPr>
                <w:rFonts w:cs="Arial"/>
                <w:sz w:val="20"/>
                <w:szCs w:val="20"/>
              </w:rPr>
            </w:pPr>
            <w:r>
              <w:rPr>
                <w:rFonts w:cs="Arial"/>
                <w:sz w:val="20"/>
                <w:szCs w:val="20"/>
              </w:rPr>
              <w:t>42</w:t>
            </w:r>
          </w:p>
        </w:tc>
        <w:tc>
          <w:tcPr>
            <w:tcW w:w="823" w:type="pct"/>
            <w:tcBorders>
              <w:top w:val="nil"/>
              <w:bottom w:val="single" w:sz="4" w:space="0" w:color="auto"/>
            </w:tcBorders>
            <w:vAlign w:val="center"/>
          </w:tcPr>
          <w:p w:rsidR="00F05B48" w:rsidRDefault="00F05B48">
            <w:pPr>
              <w:jc w:val="center"/>
              <w:rPr>
                <w:rFonts w:cs="Arial"/>
                <w:sz w:val="20"/>
                <w:szCs w:val="20"/>
              </w:rPr>
            </w:pPr>
            <w:r>
              <w:rPr>
                <w:rFonts w:cs="Arial"/>
                <w:sz w:val="20"/>
                <w:szCs w:val="20"/>
              </w:rPr>
              <w:t>74</w:t>
            </w:r>
          </w:p>
        </w:tc>
      </w:tr>
    </w:tbl>
    <w:p w:rsidR="00FF0D8A"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B672C4" w:rsidRDefault="00B672C4" w:rsidP="00FF0D8A">
      <w:pPr>
        <w:pStyle w:val="AERbodytext"/>
        <w:spacing w:before="120" w:after="120"/>
        <w:jc w:val="both"/>
      </w:pPr>
    </w:p>
    <w:p w:rsidR="00B672C4" w:rsidRDefault="00B672C4" w:rsidP="00FF0D8A">
      <w:pPr>
        <w:pStyle w:val="AERbodytext"/>
        <w:spacing w:before="120" w:after="120"/>
        <w:jc w:val="both"/>
      </w:pPr>
    </w:p>
    <w:p w:rsidR="00B672C4" w:rsidRDefault="00B672C4" w:rsidP="00FF0D8A">
      <w:pPr>
        <w:pStyle w:val="AERbodytext"/>
        <w:spacing w:before="120" w:after="120"/>
        <w:jc w:val="both"/>
      </w:pPr>
    </w:p>
    <w:p w:rsidR="00B672C4" w:rsidRPr="008D4DAB" w:rsidRDefault="00B672C4" w:rsidP="00FF0D8A">
      <w:pPr>
        <w:pStyle w:val="AERbodytext"/>
        <w:spacing w:before="120" w:after="120"/>
        <w:jc w:val="both"/>
      </w:pP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B97D6C" w:rsidRPr="0091453B" w:rsidTr="00625CF0">
        <w:trPr>
          <w:trHeight w:val="510"/>
        </w:trPr>
        <w:tc>
          <w:tcPr>
            <w:tcW w:w="1928" w:type="pct"/>
            <w:tcBorders>
              <w:top w:val="nil"/>
              <w:bottom w:val="nil"/>
            </w:tcBorders>
            <w:vAlign w:val="center"/>
          </w:tcPr>
          <w:p w:rsidR="00B97D6C" w:rsidRDefault="00B97D6C">
            <w:pPr>
              <w:rPr>
                <w:rFonts w:cs="Arial"/>
                <w:sz w:val="20"/>
                <w:szCs w:val="20"/>
              </w:rPr>
            </w:pPr>
            <w:r>
              <w:rPr>
                <w:rFonts w:cs="Arial"/>
                <w:sz w:val="20"/>
                <w:szCs w:val="20"/>
              </w:rPr>
              <w:t>14 Feb - 20 Feb 2016</w:t>
            </w:r>
          </w:p>
        </w:tc>
        <w:tc>
          <w:tcPr>
            <w:tcW w:w="749" w:type="pct"/>
            <w:tcBorders>
              <w:top w:val="nil"/>
              <w:bottom w:val="nil"/>
            </w:tcBorders>
            <w:vAlign w:val="center"/>
          </w:tcPr>
          <w:p w:rsidR="00B97D6C" w:rsidRDefault="00B97D6C">
            <w:pPr>
              <w:jc w:val="center"/>
              <w:rPr>
                <w:rFonts w:cs="Arial"/>
                <w:sz w:val="20"/>
                <w:szCs w:val="20"/>
              </w:rPr>
            </w:pPr>
            <w:r>
              <w:rPr>
                <w:rFonts w:cs="Arial"/>
                <w:sz w:val="20"/>
                <w:szCs w:val="20"/>
              </w:rPr>
              <w:t>4.22</w:t>
            </w:r>
          </w:p>
        </w:tc>
        <w:tc>
          <w:tcPr>
            <w:tcW w:w="1124" w:type="pct"/>
            <w:tcBorders>
              <w:top w:val="nil"/>
              <w:bottom w:val="nil"/>
            </w:tcBorders>
            <w:vAlign w:val="center"/>
          </w:tcPr>
          <w:p w:rsidR="00B97D6C" w:rsidRDefault="00B97D6C">
            <w:pPr>
              <w:jc w:val="center"/>
              <w:rPr>
                <w:rFonts w:cs="Arial"/>
                <w:sz w:val="20"/>
                <w:szCs w:val="20"/>
              </w:rPr>
            </w:pPr>
            <w:r>
              <w:rPr>
                <w:rFonts w:cs="Arial"/>
                <w:sz w:val="20"/>
                <w:szCs w:val="20"/>
              </w:rPr>
              <w:t>-</w:t>
            </w:r>
          </w:p>
        </w:tc>
        <w:tc>
          <w:tcPr>
            <w:tcW w:w="1199" w:type="pct"/>
            <w:tcBorders>
              <w:top w:val="nil"/>
              <w:bottom w:val="nil"/>
            </w:tcBorders>
            <w:vAlign w:val="center"/>
          </w:tcPr>
          <w:p w:rsidR="00B97D6C" w:rsidRDefault="00B97D6C">
            <w:pPr>
              <w:jc w:val="center"/>
              <w:rPr>
                <w:rFonts w:cs="Arial"/>
                <w:sz w:val="20"/>
                <w:szCs w:val="20"/>
              </w:rPr>
            </w:pPr>
            <w:r>
              <w:rPr>
                <w:rFonts w:cs="Arial"/>
                <w:sz w:val="20"/>
                <w:szCs w:val="20"/>
              </w:rPr>
              <w:t>342</w:t>
            </w:r>
          </w:p>
        </w:tc>
      </w:tr>
      <w:tr w:rsidR="00B97D6C" w:rsidRPr="0091453B" w:rsidTr="00625CF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B97D6C" w:rsidRDefault="00B97D6C">
            <w:pPr>
              <w:rPr>
                <w:rFonts w:cs="Arial"/>
                <w:sz w:val="20"/>
                <w:szCs w:val="20"/>
              </w:rPr>
            </w:pPr>
            <w:r>
              <w:rPr>
                <w:rFonts w:cs="Arial"/>
                <w:sz w:val="20"/>
                <w:szCs w:val="20"/>
              </w:rPr>
              <w:t>% change from previous week</w:t>
            </w:r>
          </w:p>
        </w:tc>
        <w:tc>
          <w:tcPr>
            <w:tcW w:w="749" w:type="pct"/>
            <w:tcBorders>
              <w:top w:val="nil"/>
              <w:bottom w:val="nil"/>
            </w:tcBorders>
            <w:vAlign w:val="center"/>
          </w:tcPr>
          <w:p w:rsidR="00B97D6C" w:rsidRDefault="00B97D6C">
            <w:pPr>
              <w:jc w:val="center"/>
              <w:rPr>
                <w:rFonts w:cs="Arial"/>
                <w:sz w:val="20"/>
                <w:szCs w:val="20"/>
              </w:rPr>
            </w:pPr>
            <w:r>
              <w:rPr>
                <w:rFonts w:cs="Arial"/>
                <w:sz w:val="20"/>
                <w:szCs w:val="20"/>
              </w:rPr>
              <w:t>5</w:t>
            </w:r>
          </w:p>
        </w:tc>
        <w:tc>
          <w:tcPr>
            <w:tcW w:w="1124" w:type="pct"/>
            <w:tcBorders>
              <w:top w:val="nil"/>
              <w:bottom w:val="nil"/>
            </w:tcBorders>
            <w:vAlign w:val="center"/>
          </w:tcPr>
          <w:p w:rsidR="00B97D6C" w:rsidRDefault="00B97D6C">
            <w:pPr>
              <w:jc w:val="center"/>
              <w:rPr>
                <w:rFonts w:cs="Arial"/>
                <w:sz w:val="20"/>
                <w:szCs w:val="20"/>
              </w:rPr>
            </w:pPr>
            <w:r>
              <w:rPr>
                <w:rFonts w:cs="Arial"/>
                <w:sz w:val="20"/>
                <w:szCs w:val="20"/>
              </w:rPr>
              <w:t>-</w:t>
            </w:r>
          </w:p>
        </w:tc>
        <w:tc>
          <w:tcPr>
            <w:tcW w:w="1199" w:type="pct"/>
            <w:tcBorders>
              <w:top w:val="nil"/>
              <w:bottom w:val="nil"/>
            </w:tcBorders>
            <w:vAlign w:val="center"/>
          </w:tcPr>
          <w:p w:rsidR="00B97D6C" w:rsidRDefault="00B97D6C">
            <w:pPr>
              <w:jc w:val="center"/>
              <w:rPr>
                <w:rFonts w:cs="Arial"/>
                <w:sz w:val="20"/>
                <w:szCs w:val="20"/>
              </w:rPr>
            </w:pPr>
            <w:r>
              <w:rPr>
                <w:rFonts w:cs="Arial"/>
                <w:sz w:val="20"/>
                <w:szCs w:val="20"/>
              </w:rPr>
              <w:t>6</w:t>
            </w:r>
          </w:p>
        </w:tc>
      </w:tr>
      <w:tr w:rsidR="00B97D6C" w:rsidRPr="0091453B" w:rsidTr="00625CF0">
        <w:trPr>
          <w:trHeight w:val="510"/>
        </w:trPr>
        <w:tc>
          <w:tcPr>
            <w:tcW w:w="1928" w:type="pct"/>
            <w:tcBorders>
              <w:top w:val="nil"/>
              <w:bottom w:val="nil"/>
            </w:tcBorders>
            <w:vAlign w:val="center"/>
          </w:tcPr>
          <w:p w:rsidR="00B97D6C" w:rsidRDefault="00B97D6C">
            <w:pPr>
              <w:rPr>
                <w:rFonts w:cs="Arial"/>
                <w:sz w:val="20"/>
                <w:szCs w:val="20"/>
              </w:rPr>
            </w:pPr>
            <w:r>
              <w:rPr>
                <w:rFonts w:cs="Arial"/>
                <w:sz w:val="20"/>
                <w:szCs w:val="20"/>
              </w:rPr>
              <w:t>15-16 financial YTD</w:t>
            </w:r>
          </w:p>
        </w:tc>
        <w:tc>
          <w:tcPr>
            <w:tcW w:w="749" w:type="pct"/>
            <w:tcBorders>
              <w:top w:val="nil"/>
              <w:bottom w:val="nil"/>
            </w:tcBorders>
            <w:vAlign w:val="center"/>
          </w:tcPr>
          <w:p w:rsidR="00B97D6C" w:rsidRDefault="00B97D6C">
            <w:pPr>
              <w:jc w:val="center"/>
              <w:rPr>
                <w:rFonts w:cs="Arial"/>
                <w:sz w:val="20"/>
                <w:szCs w:val="20"/>
              </w:rPr>
            </w:pPr>
            <w:r>
              <w:rPr>
                <w:rFonts w:cs="Arial"/>
                <w:sz w:val="20"/>
                <w:szCs w:val="20"/>
              </w:rPr>
              <w:t>4.36</w:t>
            </w:r>
          </w:p>
        </w:tc>
        <w:tc>
          <w:tcPr>
            <w:tcW w:w="1124" w:type="pct"/>
            <w:tcBorders>
              <w:top w:val="nil"/>
              <w:bottom w:val="nil"/>
            </w:tcBorders>
            <w:vAlign w:val="center"/>
          </w:tcPr>
          <w:p w:rsidR="00B97D6C" w:rsidRDefault="00B97D6C">
            <w:pPr>
              <w:jc w:val="center"/>
              <w:rPr>
                <w:rFonts w:cs="Arial"/>
                <w:sz w:val="20"/>
                <w:szCs w:val="20"/>
              </w:rPr>
            </w:pPr>
            <w:r>
              <w:rPr>
                <w:rFonts w:cs="Arial"/>
                <w:sz w:val="20"/>
                <w:szCs w:val="20"/>
              </w:rPr>
              <w:t>-</w:t>
            </w:r>
          </w:p>
        </w:tc>
        <w:tc>
          <w:tcPr>
            <w:tcW w:w="1199" w:type="pct"/>
            <w:tcBorders>
              <w:top w:val="nil"/>
              <w:bottom w:val="nil"/>
            </w:tcBorders>
            <w:vAlign w:val="center"/>
          </w:tcPr>
          <w:p w:rsidR="00B97D6C" w:rsidRDefault="00B97D6C">
            <w:pPr>
              <w:jc w:val="center"/>
              <w:rPr>
                <w:rFonts w:cs="Arial"/>
                <w:sz w:val="20"/>
                <w:szCs w:val="20"/>
              </w:rPr>
            </w:pPr>
            <w:r>
              <w:rPr>
                <w:rFonts w:cs="Arial"/>
                <w:sz w:val="20"/>
                <w:szCs w:val="20"/>
              </w:rPr>
              <w:t>564</w:t>
            </w:r>
          </w:p>
        </w:tc>
      </w:tr>
      <w:tr w:rsidR="00B97D6C" w:rsidRPr="0091453B" w:rsidTr="00625CF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B97D6C" w:rsidRDefault="00B97D6C">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B97D6C" w:rsidRDefault="00B97D6C">
            <w:pPr>
              <w:jc w:val="center"/>
              <w:rPr>
                <w:rFonts w:cs="Arial"/>
                <w:sz w:val="20"/>
                <w:szCs w:val="20"/>
              </w:rPr>
            </w:pPr>
            <w:r>
              <w:rPr>
                <w:rFonts w:cs="Arial"/>
                <w:sz w:val="20"/>
                <w:szCs w:val="20"/>
              </w:rPr>
              <w:t>26</w:t>
            </w:r>
          </w:p>
        </w:tc>
        <w:tc>
          <w:tcPr>
            <w:tcW w:w="1124" w:type="pct"/>
            <w:tcBorders>
              <w:top w:val="nil"/>
              <w:bottom w:val="single" w:sz="4" w:space="0" w:color="auto"/>
            </w:tcBorders>
            <w:vAlign w:val="center"/>
          </w:tcPr>
          <w:p w:rsidR="00B97D6C" w:rsidRDefault="00B97D6C">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B97D6C" w:rsidRDefault="00B97D6C">
            <w:pPr>
              <w:jc w:val="center"/>
              <w:rPr>
                <w:rFonts w:cs="Arial"/>
                <w:sz w:val="20"/>
                <w:szCs w:val="20"/>
              </w:rPr>
            </w:pPr>
            <w:r>
              <w:rPr>
                <w:rFonts w:cs="Arial"/>
                <w:sz w:val="20"/>
                <w:szCs w:val="20"/>
              </w:rPr>
              <w:t>6</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444F2" w:rsidRPr="00405CDE" w:rsidTr="00FD3CC5">
        <w:trPr>
          <w:trHeight w:val="510"/>
        </w:trPr>
        <w:tc>
          <w:tcPr>
            <w:tcW w:w="1430" w:type="pct"/>
            <w:tcBorders>
              <w:top w:val="nil"/>
              <w:bottom w:val="nil"/>
            </w:tcBorders>
            <w:vAlign w:val="center"/>
          </w:tcPr>
          <w:p w:rsidR="00E444F2" w:rsidRDefault="00E444F2">
            <w:pPr>
              <w:rPr>
                <w:rFonts w:cs="Arial"/>
                <w:sz w:val="20"/>
                <w:szCs w:val="20"/>
              </w:rPr>
            </w:pPr>
            <w:r>
              <w:rPr>
                <w:rFonts w:cs="Arial"/>
                <w:sz w:val="20"/>
                <w:szCs w:val="20"/>
              </w:rPr>
              <w:t>14 Feb - 20 Feb 2016</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3.82</w:t>
            </w:r>
          </w:p>
        </w:tc>
        <w:tc>
          <w:tcPr>
            <w:tcW w:w="758" w:type="pct"/>
            <w:tcBorders>
              <w:top w:val="nil"/>
              <w:bottom w:val="nil"/>
            </w:tcBorders>
            <w:vAlign w:val="center"/>
          </w:tcPr>
          <w:p w:rsidR="00E444F2" w:rsidRDefault="00E444F2">
            <w:pPr>
              <w:jc w:val="center"/>
              <w:rPr>
                <w:rFonts w:cs="Arial"/>
                <w:sz w:val="20"/>
                <w:szCs w:val="20"/>
              </w:rPr>
            </w:pPr>
            <w:r>
              <w:rPr>
                <w:rFonts w:cs="Arial"/>
                <w:sz w:val="20"/>
                <w:szCs w:val="20"/>
              </w:rPr>
              <w:t>3.97</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21.82</w:t>
            </w:r>
          </w:p>
        </w:tc>
        <w:tc>
          <w:tcPr>
            <w:tcW w:w="685" w:type="pct"/>
            <w:tcBorders>
              <w:top w:val="nil"/>
              <w:bottom w:val="nil"/>
            </w:tcBorders>
            <w:vAlign w:val="center"/>
          </w:tcPr>
          <w:p w:rsidR="00E444F2" w:rsidRDefault="00E444F2">
            <w:pPr>
              <w:jc w:val="center"/>
              <w:rPr>
                <w:rFonts w:cs="Arial"/>
                <w:sz w:val="20"/>
                <w:szCs w:val="20"/>
              </w:rPr>
            </w:pPr>
            <w:r>
              <w:rPr>
                <w:rFonts w:cs="Arial"/>
                <w:sz w:val="20"/>
                <w:szCs w:val="20"/>
              </w:rPr>
              <w:t>206</w:t>
            </w:r>
          </w:p>
        </w:tc>
        <w:tc>
          <w:tcPr>
            <w:tcW w:w="608" w:type="pct"/>
            <w:tcBorders>
              <w:top w:val="nil"/>
              <w:bottom w:val="nil"/>
            </w:tcBorders>
            <w:vAlign w:val="center"/>
          </w:tcPr>
          <w:p w:rsidR="00E444F2" w:rsidRDefault="00E444F2">
            <w:pPr>
              <w:jc w:val="center"/>
              <w:rPr>
                <w:rFonts w:cs="Arial"/>
                <w:sz w:val="20"/>
                <w:szCs w:val="20"/>
              </w:rPr>
            </w:pPr>
            <w:r>
              <w:rPr>
                <w:rFonts w:cs="Arial"/>
                <w:sz w:val="20"/>
                <w:szCs w:val="20"/>
              </w:rPr>
              <w:t>205</w:t>
            </w:r>
          </w:p>
        </w:tc>
      </w:tr>
      <w:tr w:rsidR="00E444F2" w:rsidRPr="00405CDE" w:rsidTr="00FD3CC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444F2" w:rsidRDefault="00E444F2">
            <w:pPr>
              <w:rPr>
                <w:rFonts w:cs="Arial"/>
                <w:sz w:val="20"/>
                <w:szCs w:val="20"/>
              </w:rPr>
            </w:pPr>
            <w:r>
              <w:rPr>
                <w:rFonts w:cs="Arial"/>
                <w:sz w:val="20"/>
                <w:szCs w:val="20"/>
              </w:rPr>
              <w:t>% change from previous week</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-8</w:t>
            </w:r>
          </w:p>
        </w:tc>
        <w:tc>
          <w:tcPr>
            <w:tcW w:w="758" w:type="pct"/>
            <w:tcBorders>
              <w:top w:val="nil"/>
              <w:bottom w:val="nil"/>
            </w:tcBorders>
            <w:vAlign w:val="center"/>
          </w:tcPr>
          <w:p w:rsidR="00E444F2" w:rsidRDefault="00E444F2">
            <w:pPr>
              <w:jc w:val="center"/>
              <w:rPr>
                <w:rFonts w:cs="Arial"/>
                <w:sz w:val="20"/>
                <w:szCs w:val="20"/>
              </w:rPr>
            </w:pPr>
            <w:r>
              <w:rPr>
                <w:rFonts w:cs="Arial"/>
                <w:sz w:val="20"/>
                <w:szCs w:val="20"/>
              </w:rPr>
              <w:t>22</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-43</w:t>
            </w:r>
          </w:p>
        </w:tc>
        <w:tc>
          <w:tcPr>
            <w:tcW w:w="685" w:type="pct"/>
            <w:tcBorders>
              <w:top w:val="nil"/>
              <w:bottom w:val="nil"/>
            </w:tcBorders>
            <w:vAlign w:val="center"/>
          </w:tcPr>
          <w:p w:rsidR="00E444F2" w:rsidRDefault="00E444F2">
            <w:pPr>
              <w:jc w:val="center"/>
              <w:rPr>
                <w:rFonts w:cs="Arial"/>
                <w:sz w:val="20"/>
                <w:szCs w:val="20"/>
              </w:rPr>
            </w:pPr>
            <w:r>
              <w:rPr>
                <w:rFonts w:cs="Arial"/>
                <w:sz w:val="20"/>
                <w:szCs w:val="20"/>
              </w:rPr>
              <w:t>0</w:t>
            </w:r>
          </w:p>
        </w:tc>
        <w:tc>
          <w:tcPr>
            <w:tcW w:w="608" w:type="pct"/>
            <w:tcBorders>
              <w:top w:val="nil"/>
              <w:bottom w:val="nil"/>
            </w:tcBorders>
            <w:vAlign w:val="center"/>
          </w:tcPr>
          <w:p w:rsidR="00E444F2" w:rsidRDefault="00E444F2">
            <w:pPr>
              <w:jc w:val="center"/>
              <w:rPr>
                <w:rFonts w:cs="Arial"/>
                <w:sz w:val="20"/>
                <w:szCs w:val="20"/>
              </w:rPr>
            </w:pPr>
            <w:r>
              <w:rPr>
                <w:rFonts w:cs="Arial"/>
                <w:sz w:val="20"/>
                <w:szCs w:val="20"/>
              </w:rPr>
              <w:t>2</w:t>
            </w:r>
          </w:p>
        </w:tc>
      </w:tr>
      <w:tr w:rsidR="00E444F2" w:rsidRPr="00405CDE" w:rsidTr="00FD3CC5">
        <w:trPr>
          <w:trHeight w:val="510"/>
        </w:trPr>
        <w:tc>
          <w:tcPr>
            <w:tcW w:w="1430" w:type="pct"/>
            <w:tcBorders>
              <w:top w:val="nil"/>
              <w:bottom w:val="nil"/>
            </w:tcBorders>
            <w:vAlign w:val="center"/>
          </w:tcPr>
          <w:p w:rsidR="00E444F2" w:rsidRDefault="00E444F2">
            <w:pPr>
              <w:rPr>
                <w:rFonts w:cs="Arial"/>
                <w:sz w:val="20"/>
                <w:szCs w:val="20"/>
              </w:rPr>
            </w:pPr>
            <w:r>
              <w:rPr>
                <w:rFonts w:cs="Arial"/>
                <w:sz w:val="20"/>
                <w:szCs w:val="20"/>
              </w:rPr>
              <w:t>15-16 financial YTD</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4.57</w:t>
            </w:r>
          </w:p>
        </w:tc>
        <w:tc>
          <w:tcPr>
            <w:tcW w:w="758" w:type="pct"/>
            <w:tcBorders>
              <w:top w:val="nil"/>
              <w:bottom w:val="nil"/>
            </w:tcBorders>
            <w:vAlign w:val="center"/>
          </w:tcPr>
          <w:p w:rsidR="00E444F2" w:rsidRDefault="00E444F2">
            <w:pPr>
              <w:jc w:val="center"/>
              <w:rPr>
                <w:rFonts w:cs="Arial"/>
                <w:sz w:val="20"/>
                <w:szCs w:val="20"/>
              </w:rPr>
            </w:pPr>
            <w:r>
              <w:rPr>
                <w:rFonts w:cs="Arial"/>
                <w:sz w:val="20"/>
                <w:szCs w:val="20"/>
              </w:rPr>
              <w:t>4.23</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30.98</w:t>
            </w:r>
          </w:p>
        </w:tc>
        <w:tc>
          <w:tcPr>
            <w:tcW w:w="685" w:type="pct"/>
            <w:tcBorders>
              <w:top w:val="nil"/>
              <w:bottom w:val="nil"/>
            </w:tcBorders>
            <w:vAlign w:val="center"/>
          </w:tcPr>
          <w:p w:rsidR="00E444F2" w:rsidRDefault="00E444F2">
            <w:pPr>
              <w:jc w:val="center"/>
              <w:rPr>
                <w:rFonts w:cs="Arial"/>
                <w:sz w:val="20"/>
                <w:szCs w:val="20"/>
              </w:rPr>
            </w:pPr>
            <w:r>
              <w:rPr>
                <w:rFonts w:cs="Arial"/>
                <w:sz w:val="20"/>
                <w:szCs w:val="20"/>
              </w:rPr>
              <w:t>235</w:t>
            </w:r>
          </w:p>
        </w:tc>
        <w:tc>
          <w:tcPr>
            <w:tcW w:w="608" w:type="pct"/>
            <w:tcBorders>
              <w:top w:val="nil"/>
              <w:bottom w:val="nil"/>
            </w:tcBorders>
            <w:vAlign w:val="center"/>
          </w:tcPr>
          <w:p w:rsidR="00E444F2" w:rsidRDefault="00E444F2">
            <w:pPr>
              <w:jc w:val="center"/>
              <w:rPr>
                <w:rFonts w:cs="Arial"/>
                <w:sz w:val="20"/>
                <w:szCs w:val="20"/>
              </w:rPr>
            </w:pPr>
            <w:r>
              <w:rPr>
                <w:rFonts w:cs="Arial"/>
                <w:sz w:val="20"/>
                <w:szCs w:val="20"/>
              </w:rPr>
              <w:t>229</w:t>
            </w:r>
          </w:p>
        </w:tc>
      </w:tr>
      <w:tr w:rsidR="00E444F2" w:rsidRPr="00405CDE" w:rsidTr="00FD3CC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444F2" w:rsidRDefault="00E444F2">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41</w:t>
            </w:r>
          </w:p>
        </w:tc>
        <w:tc>
          <w:tcPr>
            <w:tcW w:w="758"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30</w:t>
            </w:r>
          </w:p>
        </w:tc>
        <w:tc>
          <w:tcPr>
            <w:tcW w:w="759"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125</w:t>
            </w:r>
          </w:p>
        </w:tc>
        <w:tc>
          <w:tcPr>
            <w:tcW w:w="68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-5</w:t>
            </w:r>
          </w:p>
        </w:tc>
        <w:tc>
          <w:tcPr>
            <w:tcW w:w="608"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-7</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B672C4" w:rsidRPr="00405CDE" w:rsidTr="00325FBD">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B672C4" w:rsidRPr="00DC24BF" w:rsidRDefault="00B672C4" w:rsidP="00325FBD">
            <w:pPr>
              <w:pStyle w:val="TableHeading"/>
              <w:jc w:val="center"/>
              <w:rPr>
                <w:rFonts w:cs="Arial"/>
                <w:sz w:val="20"/>
                <w:szCs w:val="20"/>
              </w:rPr>
            </w:pPr>
          </w:p>
        </w:tc>
        <w:tc>
          <w:tcPr>
            <w:tcW w:w="759" w:type="pct"/>
            <w:tcBorders>
              <w:bottom w:val="nil"/>
            </w:tcBorders>
            <w:hideMark/>
          </w:tcPr>
          <w:p w:rsidR="00B672C4" w:rsidRPr="002861A9" w:rsidRDefault="00B672C4" w:rsidP="00325FBD">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B672C4" w:rsidRPr="002861A9" w:rsidRDefault="00B672C4" w:rsidP="00325FBD">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B672C4" w:rsidRPr="002861A9" w:rsidRDefault="00B672C4" w:rsidP="00325FBD">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B672C4" w:rsidRPr="002861A9" w:rsidRDefault="00B672C4" w:rsidP="00325FBD">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B672C4" w:rsidRPr="002861A9" w:rsidRDefault="00B672C4" w:rsidP="00325FBD">
            <w:pPr>
              <w:keepNext/>
              <w:spacing w:before="40" w:after="40"/>
              <w:jc w:val="center"/>
              <w:rPr>
                <w:rFonts w:cs="Arial"/>
                <w:b w:val="0"/>
                <w:bCs/>
                <w:sz w:val="20"/>
                <w:szCs w:val="20"/>
              </w:rPr>
            </w:pPr>
            <w:r w:rsidRPr="002861A9">
              <w:rPr>
                <w:rFonts w:cs="Arial"/>
                <w:bCs/>
                <w:sz w:val="20"/>
                <w:szCs w:val="20"/>
              </w:rPr>
              <w:t>Ex post quantity (TJ)</w:t>
            </w:r>
          </w:p>
        </w:tc>
      </w:tr>
      <w:tr w:rsidR="00B672C4" w:rsidRPr="00405CDE" w:rsidTr="00325FBD">
        <w:trPr>
          <w:trHeight w:val="510"/>
        </w:trPr>
        <w:tc>
          <w:tcPr>
            <w:tcW w:w="1430" w:type="pct"/>
            <w:tcBorders>
              <w:top w:val="nil"/>
              <w:bottom w:val="nil"/>
            </w:tcBorders>
            <w:vAlign w:val="center"/>
          </w:tcPr>
          <w:p w:rsidR="00B672C4" w:rsidRDefault="00B672C4" w:rsidP="00325FBD">
            <w:pPr>
              <w:rPr>
                <w:rFonts w:cs="Arial"/>
                <w:sz w:val="20"/>
                <w:szCs w:val="20"/>
              </w:rPr>
            </w:pPr>
            <w:r>
              <w:rPr>
                <w:rFonts w:cs="Arial"/>
                <w:sz w:val="20"/>
                <w:szCs w:val="20"/>
              </w:rPr>
              <w:t>14 Feb - 20 Feb 2016</w:t>
            </w:r>
          </w:p>
        </w:tc>
        <w:tc>
          <w:tcPr>
            <w:tcW w:w="759" w:type="pct"/>
            <w:tcBorders>
              <w:top w:val="nil"/>
              <w:bottom w:val="nil"/>
            </w:tcBorders>
            <w:vAlign w:val="center"/>
          </w:tcPr>
          <w:p w:rsidR="00B672C4" w:rsidRDefault="00B672C4" w:rsidP="00325FBD">
            <w:pPr>
              <w:jc w:val="center"/>
              <w:rPr>
                <w:rFonts w:cs="Arial"/>
                <w:sz w:val="20"/>
                <w:szCs w:val="20"/>
              </w:rPr>
            </w:pPr>
            <w:r>
              <w:rPr>
                <w:rFonts w:cs="Arial"/>
                <w:sz w:val="20"/>
                <w:szCs w:val="20"/>
              </w:rPr>
              <w:t>4.11</w:t>
            </w:r>
          </w:p>
        </w:tc>
        <w:tc>
          <w:tcPr>
            <w:tcW w:w="758" w:type="pct"/>
            <w:tcBorders>
              <w:top w:val="nil"/>
              <w:bottom w:val="nil"/>
            </w:tcBorders>
            <w:vAlign w:val="center"/>
          </w:tcPr>
          <w:p w:rsidR="00B672C4" w:rsidRDefault="00B672C4" w:rsidP="00325FBD">
            <w:pPr>
              <w:jc w:val="center"/>
              <w:rPr>
                <w:rFonts w:cs="Arial"/>
                <w:sz w:val="20"/>
                <w:szCs w:val="20"/>
              </w:rPr>
            </w:pPr>
            <w:r>
              <w:rPr>
                <w:rFonts w:cs="Arial"/>
                <w:sz w:val="20"/>
                <w:szCs w:val="20"/>
              </w:rPr>
              <w:t>4.01</w:t>
            </w:r>
          </w:p>
        </w:tc>
        <w:tc>
          <w:tcPr>
            <w:tcW w:w="759" w:type="pct"/>
            <w:tcBorders>
              <w:top w:val="nil"/>
              <w:bottom w:val="nil"/>
            </w:tcBorders>
            <w:vAlign w:val="center"/>
          </w:tcPr>
          <w:p w:rsidR="00B672C4" w:rsidRDefault="00B672C4" w:rsidP="00325FBD">
            <w:pPr>
              <w:jc w:val="center"/>
              <w:rPr>
                <w:rFonts w:cs="Arial"/>
                <w:sz w:val="20"/>
                <w:szCs w:val="20"/>
              </w:rPr>
            </w:pPr>
            <w:r>
              <w:rPr>
                <w:rFonts w:cs="Arial"/>
                <w:sz w:val="20"/>
                <w:szCs w:val="20"/>
              </w:rPr>
              <w:t>3.84</w:t>
            </w:r>
          </w:p>
        </w:tc>
        <w:tc>
          <w:tcPr>
            <w:tcW w:w="685" w:type="pct"/>
            <w:tcBorders>
              <w:top w:val="nil"/>
              <w:bottom w:val="nil"/>
            </w:tcBorders>
            <w:vAlign w:val="center"/>
          </w:tcPr>
          <w:p w:rsidR="00B672C4" w:rsidRDefault="00B672C4" w:rsidP="00325FBD">
            <w:pPr>
              <w:jc w:val="center"/>
              <w:rPr>
                <w:rFonts w:cs="Arial"/>
                <w:sz w:val="20"/>
                <w:szCs w:val="20"/>
              </w:rPr>
            </w:pPr>
            <w:r>
              <w:rPr>
                <w:rFonts w:cs="Arial"/>
                <w:sz w:val="20"/>
                <w:szCs w:val="20"/>
              </w:rPr>
              <w:t>45</w:t>
            </w:r>
          </w:p>
        </w:tc>
        <w:tc>
          <w:tcPr>
            <w:tcW w:w="608" w:type="pct"/>
            <w:tcBorders>
              <w:top w:val="nil"/>
              <w:bottom w:val="nil"/>
            </w:tcBorders>
            <w:vAlign w:val="center"/>
          </w:tcPr>
          <w:p w:rsidR="00B672C4" w:rsidRDefault="00B672C4" w:rsidP="00325FBD">
            <w:pPr>
              <w:jc w:val="center"/>
              <w:rPr>
                <w:rFonts w:cs="Arial"/>
                <w:sz w:val="20"/>
                <w:szCs w:val="20"/>
              </w:rPr>
            </w:pPr>
            <w:r>
              <w:rPr>
                <w:rFonts w:cs="Arial"/>
                <w:sz w:val="20"/>
                <w:szCs w:val="20"/>
              </w:rPr>
              <w:t>45</w:t>
            </w:r>
          </w:p>
        </w:tc>
      </w:tr>
      <w:tr w:rsidR="00B672C4" w:rsidRPr="00405CDE" w:rsidTr="00325FB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B672C4" w:rsidRDefault="00B672C4" w:rsidP="00325FBD">
            <w:pPr>
              <w:rPr>
                <w:rFonts w:cs="Arial"/>
                <w:sz w:val="20"/>
                <w:szCs w:val="20"/>
              </w:rPr>
            </w:pPr>
            <w:r>
              <w:rPr>
                <w:rFonts w:cs="Arial"/>
                <w:sz w:val="20"/>
                <w:szCs w:val="20"/>
              </w:rPr>
              <w:t>% change from previous week</w:t>
            </w:r>
          </w:p>
        </w:tc>
        <w:tc>
          <w:tcPr>
            <w:tcW w:w="759" w:type="pct"/>
            <w:tcBorders>
              <w:top w:val="nil"/>
              <w:bottom w:val="nil"/>
            </w:tcBorders>
            <w:vAlign w:val="center"/>
          </w:tcPr>
          <w:p w:rsidR="00B672C4" w:rsidRDefault="00B672C4" w:rsidP="00325FBD">
            <w:pPr>
              <w:jc w:val="center"/>
              <w:rPr>
                <w:rFonts w:cs="Arial"/>
                <w:sz w:val="20"/>
                <w:szCs w:val="20"/>
              </w:rPr>
            </w:pPr>
            <w:r>
              <w:rPr>
                <w:rFonts w:cs="Arial"/>
                <w:sz w:val="20"/>
                <w:szCs w:val="20"/>
              </w:rPr>
              <w:t>-6</w:t>
            </w:r>
          </w:p>
        </w:tc>
        <w:tc>
          <w:tcPr>
            <w:tcW w:w="758" w:type="pct"/>
            <w:tcBorders>
              <w:top w:val="nil"/>
              <w:bottom w:val="nil"/>
            </w:tcBorders>
            <w:vAlign w:val="center"/>
          </w:tcPr>
          <w:p w:rsidR="00B672C4" w:rsidRDefault="00B672C4" w:rsidP="00325FBD">
            <w:pPr>
              <w:jc w:val="center"/>
              <w:rPr>
                <w:rFonts w:cs="Arial"/>
                <w:sz w:val="20"/>
                <w:szCs w:val="20"/>
              </w:rPr>
            </w:pPr>
            <w:r>
              <w:rPr>
                <w:rFonts w:cs="Arial"/>
                <w:sz w:val="20"/>
                <w:szCs w:val="20"/>
              </w:rPr>
              <w:t>-6</w:t>
            </w:r>
          </w:p>
        </w:tc>
        <w:tc>
          <w:tcPr>
            <w:tcW w:w="759" w:type="pct"/>
            <w:tcBorders>
              <w:top w:val="nil"/>
              <w:bottom w:val="nil"/>
            </w:tcBorders>
            <w:vAlign w:val="center"/>
          </w:tcPr>
          <w:p w:rsidR="00B672C4" w:rsidRDefault="00B672C4" w:rsidP="00325FBD">
            <w:pPr>
              <w:jc w:val="center"/>
              <w:rPr>
                <w:rFonts w:cs="Arial"/>
                <w:sz w:val="20"/>
                <w:szCs w:val="20"/>
              </w:rPr>
            </w:pPr>
            <w:r>
              <w:rPr>
                <w:rFonts w:cs="Arial"/>
                <w:sz w:val="20"/>
                <w:szCs w:val="20"/>
              </w:rPr>
              <w:t>87</w:t>
            </w:r>
          </w:p>
        </w:tc>
        <w:tc>
          <w:tcPr>
            <w:tcW w:w="685" w:type="pct"/>
            <w:tcBorders>
              <w:top w:val="nil"/>
              <w:bottom w:val="nil"/>
            </w:tcBorders>
            <w:vAlign w:val="center"/>
          </w:tcPr>
          <w:p w:rsidR="00B672C4" w:rsidRDefault="00B672C4" w:rsidP="00325FBD">
            <w:pPr>
              <w:jc w:val="center"/>
              <w:rPr>
                <w:rFonts w:cs="Arial"/>
                <w:sz w:val="20"/>
                <w:szCs w:val="20"/>
              </w:rPr>
            </w:pPr>
            <w:r>
              <w:rPr>
                <w:rFonts w:cs="Arial"/>
                <w:sz w:val="20"/>
                <w:szCs w:val="20"/>
              </w:rPr>
              <w:t>-2</w:t>
            </w:r>
          </w:p>
        </w:tc>
        <w:tc>
          <w:tcPr>
            <w:tcW w:w="608" w:type="pct"/>
            <w:tcBorders>
              <w:top w:val="nil"/>
              <w:bottom w:val="nil"/>
            </w:tcBorders>
            <w:vAlign w:val="center"/>
          </w:tcPr>
          <w:p w:rsidR="00B672C4" w:rsidRDefault="00B672C4" w:rsidP="00325FBD">
            <w:pPr>
              <w:jc w:val="center"/>
              <w:rPr>
                <w:rFonts w:cs="Arial"/>
                <w:sz w:val="20"/>
                <w:szCs w:val="20"/>
              </w:rPr>
            </w:pPr>
            <w:r>
              <w:rPr>
                <w:rFonts w:cs="Arial"/>
                <w:sz w:val="20"/>
                <w:szCs w:val="20"/>
              </w:rPr>
              <w:t>-5</w:t>
            </w:r>
          </w:p>
        </w:tc>
      </w:tr>
      <w:tr w:rsidR="00B672C4" w:rsidRPr="00405CDE" w:rsidTr="00325FBD">
        <w:trPr>
          <w:trHeight w:val="510"/>
        </w:trPr>
        <w:tc>
          <w:tcPr>
            <w:tcW w:w="1430" w:type="pct"/>
            <w:tcBorders>
              <w:top w:val="nil"/>
              <w:bottom w:val="nil"/>
            </w:tcBorders>
            <w:vAlign w:val="center"/>
          </w:tcPr>
          <w:p w:rsidR="00B672C4" w:rsidRDefault="00B672C4" w:rsidP="00325FBD">
            <w:pPr>
              <w:rPr>
                <w:rFonts w:cs="Arial"/>
                <w:sz w:val="20"/>
                <w:szCs w:val="20"/>
              </w:rPr>
            </w:pPr>
            <w:r>
              <w:rPr>
                <w:rFonts w:cs="Arial"/>
                <w:sz w:val="20"/>
                <w:szCs w:val="20"/>
              </w:rPr>
              <w:t>15-16 financial YTD</w:t>
            </w:r>
          </w:p>
        </w:tc>
        <w:tc>
          <w:tcPr>
            <w:tcW w:w="759" w:type="pct"/>
            <w:tcBorders>
              <w:top w:val="nil"/>
              <w:bottom w:val="nil"/>
            </w:tcBorders>
            <w:vAlign w:val="center"/>
          </w:tcPr>
          <w:p w:rsidR="00B672C4" w:rsidRDefault="00B672C4" w:rsidP="00325FBD">
            <w:pPr>
              <w:jc w:val="center"/>
              <w:rPr>
                <w:rFonts w:cs="Arial"/>
                <w:sz w:val="20"/>
                <w:szCs w:val="20"/>
              </w:rPr>
            </w:pPr>
            <w:r>
              <w:rPr>
                <w:rFonts w:cs="Arial"/>
                <w:sz w:val="20"/>
                <w:szCs w:val="20"/>
              </w:rPr>
              <w:t>5.12</w:t>
            </w:r>
          </w:p>
        </w:tc>
        <w:tc>
          <w:tcPr>
            <w:tcW w:w="758" w:type="pct"/>
            <w:tcBorders>
              <w:top w:val="nil"/>
              <w:bottom w:val="nil"/>
            </w:tcBorders>
            <w:vAlign w:val="center"/>
          </w:tcPr>
          <w:p w:rsidR="00B672C4" w:rsidRDefault="00B672C4" w:rsidP="00325FBD">
            <w:pPr>
              <w:jc w:val="center"/>
              <w:rPr>
                <w:rFonts w:cs="Arial"/>
                <w:sz w:val="20"/>
                <w:szCs w:val="20"/>
              </w:rPr>
            </w:pPr>
            <w:r>
              <w:rPr>
                <w:rFonts w:cs="Arial"/>
                <w:sz w:val="20"/>
                <w:szCs w:val="20"/>
              </w:rPr>
              <w:t>5.22</w:t>
            </w:r>
          </w:p>
        </w:tc>
        <w:tc>
          <w:tcPr>
            <w:tcW w:w="759" w:type="pct"/>
            <w:tcBorders>
              <w:top w:val="nil"/>
              <w:bottom w:val="nil"/>
            </w:tcBorders>
            <w:vAlign w:val="center"/>
          </w:tcPr>
          <w:p w:rsidR="00B672C4" w:rsidRDefault="00B672C4" w:rsidP="00325FBD">
            <w:pPr>
              <w:jc w:val="center"/>
              <w:rPr>
                <w:rFonts w:cs="Arial"/>
                <w:sz w:val="20"/>
                <w:szCs w:val="20"/>
              </w:rPr>
            </w:pPr>
            <w:r>
              <w:rPr>
                <w:rFonts w:cs="Arial"/>
                <w:sz w:val="20"/>
                <w:szCs w:val="20"/>
              </w:rPr>
              <w:t>8.29</w:t>
            </w:r>
          </w:p>
        </w:tc>
        <w:tc>
          <w:tcPr>
            <w:tcW w:w="685" w:type="pct"/>
            <w:tcBorders>
              <w:top w:val="nil"/>
              <w:bottom w:val="nil"/>
            </w:tcBorders>
            <w:vAlign w:val="center"/>
          </w:tcPr>
          <w:p w:rsidR="00B672C4" w:rsidRDefault="00B672C4" w:rsidP="00325FBD">
            <w:pPr>
              <w:jc w:val="center"/>
              <w:rPr>
                <w:rFonts w:cs="Arial"/>
                <w:sz w:val="20"/>
                <w:szCs w:val="20"/>
              </w:rPr>
            </w:pPr>
            <w:r>
              <w:rPr>
                <w:rFonts w:cs="Arial"/>
                <w:sz w:val="20"/>
                <w:szCs w:val="20"/>
              </w:rPr>
              <w:t>62</w:t>
            </w:r>
          </w:p>
        </w:tc>
        <w:tc>
          <w:tcPr>
            <w:tcW w:w="608" w:type="pct"/>
            <w:tcBorders>
              <w:top w:val="nil"/>
              <w:bottom w:val="nil"/>
            </w:tcBorders>
            <w:vAlign w:val="center"/>
          </w:tcPr>
          <w:p w:rsidR="00B672C4" w:rsidRDefault="00B672C4" w:rsidP="00325FBD">
            <w:pPr>
              <w:jc w:val="center"/>
              <w:rPr>
                <w:rFonts w:cs="Arial"/>
                <w:sz w:val="20"/>
                <w:szCs w:val="20"/>
              </w:rPr>
            </w:pPr>
            <w:r>
              <w:rPr>
                <w:rFonts w:cs="Arial"/>
                <w:sz w:val="20"/>
                <w:szCs w:val="20"/>
              </w:rPr>
              <w:t>63</w:t>
            </w:r>
          </w:p>
        </w:tc>
      </w:tr>
      <w:tr w:rsidR="00B672C4" w:rsidRPr="00405CDE" w:rsidTr="00325FB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B672C4" w:rsidRDefault="00B672C4" w:rsidP="00325FBD">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B672C4" w:rsidRDefault="00B672C4" w:rsidP="00325FBD">
            <w:pPr>
              <w:jc w:val="center"/>
              <w:rPr>
                <w:rFonts w:cs="Arial"/>
                <w:sz w:val="20"/>
                <w:szCs w:val="20"/>
              </w:rPr>
            </w:pPr>
            <w:r>
              <w:rPr>
                <w:rFonts w:cs="Arial"/>
                <w:sz w:val="20"/>
                <w:szCs w:val="20"/>
              </w:rPr>
              <w:t>42</w:t>
            </w:r>
          </w:p>
        </w:tc>
        <w:tc>
          <w:tcPr>
            <w:tcW w:w="758" w:type="pct"/>
            <w:tcBorders>
              <w:top w:val="nil"/>
              <w:bottom w:val="single" w:sz="4" w:space="0" w:color="auto"/>
            </w:tcBorders>
            <w:vAlign w:val="center"/>
          </w:tcPr>
          <w:p w:rsidR="00B672C4" w:rsidRDefault="00B672C4" w:rsidP="00325FBD">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B672C4" w:rsidRDefault="00B672C4" w:rsidP="00325FBD">
            <w:pPr>
              <w:jc w:val="center"/>
              <w:rPr>
                <w:rFonts w:cs="Arial"/>
                <w:sz w:val="20"/>
                <w:szCs w:val="20"/>
              </w:rPr>
            </w:pPr>
            <w:r>
              <w:rPr>
                <w:rFonts w:cs="Arial"/>
                <w:sz w:val="20"/>
                <w:szCs w:val="20"/>
              </w:rPr>
              <w:t>-41</w:t>
            </w:r>
          </w:p>
        </w:tc>
        <w:tc>
          <w:tcPr>
            <w:tcW w:w="685" w:type="pct"/>
            <w:tcBorders>
              <w:top w:val="nil"/>
              <w:bottom w:val="single" w:sz="4" w:space="0" w:color="auto"/>
            </w:tcBorders>
            <w:vAlign w:val="center"/>
          </w:tcPr>
          <w:p w:rsidR="00B672C4" w:rsidRDefault="00B672C4" w:rsidP="00325FBD">
            <w:pPr>
              <w:jc w:val="center"/>
              <w:rPr>
                <w:rFonts w:cs="Arial"/>
                <w:sz w:val="20"/>
                <w:szCs w:val="20"/>
              </w:rPr>
            </w:pPr>
            <w:r>
              <w:rPr>
                <w:rFonts w:cs="Arial"/>
                <w:sz w:val="20"/>
                <w:szCs w:val="20"/>
              </w:rPr>
              <w:t>-1</w:t>
            </w:r>
          </w:p>
        </w:tc>
        <w:tc>
          <w:tcPr>
            <w:tcW w:w="608" w:type="pct"/>
            <w:tcBorders>
              <w:top w:val="nil"/>
              <w:bottom w:val="single" w:sz="4" w:space="0" w:color="auto"/>
            </w:tcBorders>
            <w:vAlign w:val="center"/>
          </w:tcPr>
          <w:p w:rsidR="00B672C4" w:rsidRDefault="00B672C4" w:rsidP="00325FBD">
            <w:pPr>
              <w:jc w:val="center"/>
              <w:rPr>
                <w:rFonts w:cs="Arial"/>
                <w:sz w:val="20"/>
                <w:szCs w:val="20"/>
              </w:rPr>
            </w:pPr>
            <w:r>
              <w:rPr>
                <w:rFonts w:cs="Arial"/>
                <w:sz w:val="20"/>
                <w:szCs w:val="20"/>
              </w:rPr>
              <w:t>2</w:t>
            </w:r>
          </w:p>
        </w:tc>
      </w:tr>
    </w:tbl>
    <w:p w:rsidR="00B672C4" w:rsidRDefault="00B672C4" w:rsidP="00B672C4"/>
    <w:p w:rsidR="00B672C4" w:rsidRDefault="00B672C4" w:rsidP="00B672C4"/>
    <w:p w:rsidR="00B672C4" w:rsidRDefault="00B672C4" w:rsidP="00B672C4"/>
    <w:p w:rsidR="00B672C4" w:rsidRPr="00B672C4" w:rsidRDefault="00B672C4" w:rsidP="00B672C4"/>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444F2" w:rsidRPr="00405CDE" w:rsidTr="00B46BAD">
        <w:trPr>
          <w:trHeight w:val="510"/>
        </w:trPr>
        <w:tc>
          <w:tcPr>
            <w:tcW w:w="1430" w:type="pct"/>
            <w:tcBorders>
              <w:top w:val="nil"/>
              <w:bottom w:val="nil"/>
            </w:tcBorders>
            <w:vAlign w:val="center"/>
          </w:tcPr>
          <w:p w:rsidR="00E444F2" w:rsidRDefault="00E444F2">
            <w:pPr>
              <w:rPr>
                <w:rFonts w:cs="Arial"/>
                <w:sz w:val="20"/>
                <w:szCs w:val="20"/>
              </w:rPr>
            </w:pPr>
            <w:r>
              <w:rPr>
                <w:rFonts w:cs="Arial"/>
                <w:sz w:val="20"/>
                <w:szCs w:val="20"/>
              </w:rPr>
              <w:t>14 Feb - 20 Feb 2016</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4.78</w:t>
            </w:r>
          </w:p>
        </w:tc>
        <w:tc>
          <w:tcPr>
            <w:tcW w:w="758" w:type="pct"/>
            <w:tcBorders>
              <w:top w:val="nil"/>
              <w:bottom w:val="nil"/>
            </w:tcBorders>
            <w:vAlign w:val="center"/>
          </w:tcPr>
          <w:p w:rsidR="00E444F2" w:rsidRDefault="00E444F2">
            <w:pPr>
              <w:jc w:val="center"/>
              <w:rPr>
                <w:rFonts w:cs="Arial"/>
                <w:sz w:val="20"/>
                <w:szCs w:val="20"/>
              </w:rPr>
            </w:pPr>
            <w:r>
              <w:rPr>
                <w:rFonts w:cs="Arial"/>
                <w:sz w:val="20"/>
                <w:szCs w:val="20"/>
              </w:rPr>
              <w:t>4.88</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0.93</w:t>
            </w:r>
          </w:p>
        </w:tc>
        <w:tc>
          <w:tcPr>
            <w:tcW w:w="685" w:type="pct"/>
            <w:tcBorders>
              <w:top w:val="nil"/>
              <w:bottom w:val="nil"/>
            </w:tcBorders>
            <w:vAlign w:val="center"/>
          </w:tcPr>
          <w:p w:rsidR="00E444F2" w:rsidRDefault="00E444F2">
            <w:pPr>
              <w:jc w:val="center"/>
              <w:rPr>
                <w:rFonts w:cs="Arial"/>
                <w:sz w:val="20"/>
                <w:szCs w:val="20"/>
              </w:rPr>
            </w:pPr>
            <w:r>
              <w:rPr>
                <w:rFonts w:cs="Arial"/>
                <w:sz w:val="20"/>
                <w:szCs w:val="20"/>
              </w:rPr>
              <w:t>87</w:t>
            </w:r>
          </w:p>
        </w:tc>
        <w:tc>
          <w:tcPr>
            <w:tcW w:w="608" w:type="pct"/>
            <w:tcBorders>
              <w:top w:val="nil"/>
              <w:bottom w:val="nil"/>
            </w:tcBorders>
            <w:vAlign w:val="center"/>
          </w:tcPr>
          <w:p w:rsidR="00E444F2" w:rsidRDefault="00E444F2">
            <w:pPr>
              <w:jc w:val="center"/>
              <w:rPr>
                <w:rFonts w:cs="Arial"/>
                <w:sz w:val="20"/>
                <w:szCs w:val="20"/>
              </w:rPr>
            </w:pPr>
            <w:r>
              <w:rPr>
                <w:rFonts w:cs="Arial"/>
                <w:sz w:val="20"/>
                <w:szCs w:val="20"/>
              </w:rPr>
              <w:t>87</w:t>
            </w:r>
          </w:p>
        </w:tc>
      </w:tr>
      <w:tr w:rsidR="00E444F2" w:rsidRPr="00405CDE" w:rsidTr="00B46BA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444F2" w:rsidRDefault="00E444F2">
            <w:pPr>
              <w:rPr>
                <w:rFonts w:cs="Arial"/>
                <w:sz w:val="20"/>
                <w:szCs w:val="20"/>
              </w:rPr>
            </w:pPr>
            <w:r>
              <w:rPr>
                <w:rFonts w:cs="Arial"/>
                <w:sz w:val="20"/>
                <w:szCs w:val="20"/>
              </w:rPr>
              <w:t>% change from previous week</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5</w:t>
            </w:r>
          </w:p>
        </w:tc>
        <w:tc>
          <w:tcPr>
            <w:tcW w:w="758" w:type="pct"/>
            <w:tcBorders>
              <w:top w:val="nil"/>
              <w:bottom w:val="nil"/>
            </w:tcBorders>
            <w:vAlign w:val="center"/>
          </w:tcPr>
          <w:p w:rsidR="00E444F2" w:rsidRDefault="00E444F2">
            <w:pPr>
              <w:jc w:val="center"/>
              <w:rPr>
                <w:rFonts w:cs="Arial"/>
                <w:sz w:val="20"/>
                <w:szCs w:val="20"/>
              </w:rPr>
            </w:pPr>
            <w:r>
              <w:rPr>
                <w:rFonts w:cs="Arial"/>
                <w:sz w:val="20"/>
                <w:szCs w:val="20"/>
              </w:rPr>
              <w:t>-3</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-61</w:t>
            </w:r>
          </w:p>
        </w:tc>
        <w:tc>
          <w:tcPr>
            <w:tcW w:w="685" w:type="pct"/>
            <w:tcBorders>
              <w:top w:val="nil"/>
              <w:bottom w:val="nil"/>
            </w:tcBorders>
            <w:vAlign w:val="center"/>
          </w:tcPr>
          <w:p w:rsidR="00E444F2" w:rsidRDefault="00E444F2">
            <w:pPr>
              <w:jc w:val="center"/>
              <w:rPr>
                <w:rFonts w:cs="Arial"/>
                <w:sz w:val="20"/>
                <w:szCs w:val="20"/>
              </w:rPr>
            </w:pPr>
            <w:r>
              <w:rPr>
                <w:rFonts w:cs="Arial"/>
                <w:sz w:val="20"/>
                <w:szCs w:val="20"/>
              </w:rPr>
              <w:t>3</w:t>
            </w:r>
          </w:p>
        </w:tc>
        <w:tc>
          <w:tcPr>
            <w:tcW w:w="608" w:type="pct"/>
            <w:tcBorders>
              <w:top w:val="nil"/>
              <w:bottom w:val="nil"/>
            </w:tcBorders>
            <w:vAlign w:val="center"/>
          </w:tcPr>
          <w:p w:rsidR="00E444F2" w:rsidRDefault="00E444F2">
            <w:pPr>
              <w:jc w:val="center"/>
              <w:rPr>
                <w:rFonts w:cs="Arial"/>
                <w:sz w:val="20"/>
                <w:szCs w:val="20"/>
              </w:rPr>
            </w:pPr>
            <w:r>
              <w:rPr>
                <w:rFonts w:cs="Arial"/>
                <w:sz w:val="20"/>
                <w:szCs w:val="20"/>
              </w:rPr>
              <w:t>-2</w:t>
            </w:r>
          </w:p>
        </w:tc>
      </w:tr>
      <w:tr w:rsidR="00E444F2" w:rsidRPr="00405CDE" w:rsidTr="00B46BAD">
        <w:trPr>
          <w:trHeight w:val="510"/>
        </w:trPr>
        <w:tc>
          <w:tcPr>
            <w:tcW w:w="1430" w:type="pct"/>
            <w:tcBorders>
              <w:top w:val="nil"/>
              <w:bottom w:val="nil"/>
            </w:tcBorders>
            <w:vAlign w:val="center"/>
          </w:tcPr>
          <w:p w:rsidR="00E444F2" w:rsidRDefault="00E444F2">
            <w:pPr>
              <w:rPr>
                <w:rFonts w:cs="Arial"/>
                <w:sz w:val="20"/>
                <w:szCs w:val="20"/>
              </w:rPr>
            </w:pPr>
            <w:r>
              <w:rPr>
                <w:rFonts w:cs="Arial"/>
                <w:sz w:val="20"/>
                <w:szCs w:val="20"/>
              </w:rPr>
              <w:t>15-16 financial YTD</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3.92</w:t>
            </w:r>
          </w:p>
        </w:tc>
        <w:tc>
          <w:tcPr>
            <w:tcW w:w="758" w:type="pct"/>
            <w:tcBorders>
              <w:top w:val="nil"/>
              <w:bottom w:val="nil"/>
            </w:tcBorders>
            <w:vAlign w:val="center"/>
          </w:tcPr>
          <w:p w:rsidR="00E444F2" w:rsidRDefault="00E444F2">
            <w:pPr>
              <w:jc w:val="center"/>
              <w:rPr>
                <w:rFonts w:cs="Arial"/>
                <w:sz w:val="20"/>
                <w:szCs w:val="20"/>
              </w:rPr>
            </w:pPr>
            <w:r>
              <w:rPr>
                <w:rFonts w:cs="Arial"/>
                <w:sz w:val="20"/>
                <w:szCs w:val="20"/>
              </w:rPr>
              <w:t>3.94</w:t>
            </w:r>
          </w:p>
        </w:tc>
        <w:tc>
          <w:tcPr>
            <w:tcW w:w="759" w:type="pct"/>
            <w:tcBorders>
              <w:top w:val="nil"/>
              <w:bottom w:val="nil"/>
            </w:tcBorders>
            <w:vAlign w:val="center"/>
          </w:tcPr>
          <w:p w:rsidR="00E444F2" w:rsidRDefault="00E444F2">
            <w:pPr>
              <w:jc w:val="center"/>
              <w:rPr>
                <w:rFonts w:cs="Arial"/>
                <w:sz w:val="20"/>
                <w:szCs w:val="20"/>
              </w:rPr>
            </w:pPr>
            <w:r>
              <w:rPr>
                <w:rFonts w:cs="Arial"/>
                <w:sz w:val="20"/>
                <w:szCs w:val="20"/>
              </w:rPr>
              <w:t>1.61</w:t>
            </w:r>
          </w:p>
        </w:tc>
        <w:tc>
          <w:tcPr>
            <w:tcW w:w="685" w:type="pct"/>
            <w:tcBorders>
              <w:top w:val="nil"/>
              <w:bottom w:val="nil"/>
            </w:tcBorders>
            <w:vAlign w:val="center"/>
          </w:tcPr>
          <w:p w:rsidR="00E444F2" w:rsidRDefault="00E444F2">
            <w:pPr>
              <w:jc w:val="center"/>
              <w:rPr>
                <w:rFonts w:cs="Arial"/>
                <w:sz w:val="20"/>
                <w:szCs w:val="20"/>
              </w:rPr>
            </w:pPr>
            <w:r>
              <w:rPr>
                <w:rFonts w:cs="Arial"/>
                <w:sz w:val="20"/>
                <w:szCs w:val="20"/>
              </w:rPr>
              <w:t>88</w:t>
            </w:r>
          </w:p>
        </w:tc>
        <w:tc>
          <w:tcPr>
            <w:tcW w:w="608" w:type="pct"/>
            <w:tcBorders>
              <w:top w:val="nil"/>
              <w:bottom w:val="nil"/>
            </w:tcBorders>
            <w:vAlign w:val="center"/>
          </w:tcPr>
          <w:p w:rsidR="00E444F2" w:rsidRDefault="00E444F2">
            <w:pPr>
              <w:jc w:val="center"/>
              <w:rPr>
                <w:rFonts w:cs="Arial"/>
                <w:sz w:val="20"/>
                <w:szCs w:val="20"/>
              </w:rPr>
            </w:pPr>
            <w:r>
              <w:rPr>
                <w:rFonts w:cs="Arial"/>
                <w:sz w:val="20"/>
                <w:szCs w:val="20"/>
              </w:rPr>
              <w:t>87</w:t>
            </w:r>
          </w:p>
        </w:tc>
      </w:tr>
      <w:tr w:rsidR="00E444F2" w:rsidRPr="00405CDE" w:rsidTr="00B46BA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444F2" w:rsidRDefault="00E444F2">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74</w:t>
            </w:r>
          </w:p>
        </w:tc>
        <w:tc>
          <w:tcPr>
            <w:tcW w:w="758"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90</w:t>
            </w:r>
          </w:p>
        </w:tc>
        <w:tc>
          <w:tcPr>
            <w:tcW w:w="759"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10</w:t>
            </w:r>
          </w:p>
        </w:tc>
        <w:tc>
          <w:tcPr>
            <w:tcW w:w="68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-39</w:t>
            </w:r>
          </w:p>
        </w:tc>
        <w:tc>
          <w:tcPr>
            <w:tcW w:w="608"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-38</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8E67A7" w:rsidRPr="00A00CCF" w:rsidRDefault="008E67A7" w:rsidP="00D04B11">
      <w:pPr>
        <w:jc w:val="both"/>
        <w:rPr>
          <w:rFonts w:eastAsia="MS Mincho"/>
          <w:b/>
          <w:i/>
        </w:rPr>
      </w:pPr>
      <w:r w:rsidRPr="00A00CCF">
        <w:rPr>
          <w:rFonts w:eastAsia="MS Mincho"/>
          <w:b/>
          <w:i/>
        </w:rPr>
        <w:t>Sydney STTM hub</w:t>
      </w:r>
    </w:p>
    <w:p w:rsidR="003215DB" w:rsidRDefault="003215DB" w:rsidP="00D04B11">
      <w:pPr>
        <w:jc w:val="both"/>
        <w:rPr>
          <w:rFonts w:eastAsia="MS Mincho"/>
        </w:rPr>
      </w:pPr>
      <w:r>
        <w:rPr>
          <w:rFonts w:eastAsia="MS Mincho"/>
        </w:rPr>
        <w:t>On 15</w:t>
      </w:r>
      <w:r w:rsidR="00800E84">
        <w:rPr>
          <w:rFonts w:eastAsia="MS Mincho"/>
        </w:rPr>
        <w:t> </w:t>
      </w:r>
      <w:r>
        <w:rPr>
          <w:rFonts w:eastAsia="MS Mincho"/>
        </w:rPr>
        <w:t>February in the Sydney STTM, the total MOS requirement was 15.7</w:t>
      </w:r>
      <w:r w:rsidR="00800E84">
        <w:rPr>
          <w:rFonts w:eastAsia="MS Mincho"/>
        </w:rPr>
        <w:t> </w:t>
      </w:r>
      <w:r>
        <w:rPr>
          <w:rFonts w:eastAsia="MS Mincho"/>
        </w:rPr>
        <w:t>TJ</w:t>
      </w:r>
      <w:r w:rsidR="00D82F2B">
        <w:rPr>
          <w:rFonts w:eastAsia="MS Mincho"/>
        </w:rPr>
        <w:t>,</w:t>
      </w:r>
      <w:r w:rsidR="00D82F2B" w:rsidRPr="00D82F2B">
        <w:rPr>
          <w:rFonts w:eastAsia="MS Mincho"/>
        </w:rPr>
        <w:t xml:space="preserve"> </w:t>
      </w:r>
      <w:r w:rsidR="00800E84">
        <w:rPr>
          <w:rFonts w:eastAsia="MS Mincho"/>
        </w:rPr>
        <w:t xml:space="preserve">significantly </w:t>
      </w:r>
      <w:r w:rsidR="00D82F2B">
        <w:rPr>
          <w:rFonts w:eastAsia="MS Mincho"/>
        </w:rPr>
        <w:t>above the FYTD average of 9.3</w:t>
      </w:r>
      <w:r w:rsidR="00800E84">
        <w:rPr>
          <w:rFonts w:eastAsia="MS Mincho"/>
        </w:rPr>
        <w:t> </w:t>
      </w:r>
      <w:r w:rsidR="00D82F2B">
        <w:rPr>
          <w:rFonts w:eastAsia="MS Mincho"/>
        </w:rPr>
        <w:t xml:space="preserve">TJ. </w:t>
      </w:r>
      <w:r>
        <w:rPr>
          <w:rFonts w:eastAsia="MS Mincho"/>
        </w:rPr>
        <w:t xml:space="preserve">This amount was made up </w:t>
      </w:r>
      <w:r w:rsidR="00800E84">
        <w:rPr>
          <w:rFonts w:eastAsia="MS Mincho"/>
        </w:rPr>
        <w:t xml:space="preserve">of </w:t>
      </w:r>
      <w:r>
        <w:rPr>
          <w:rFonts w:eastAsia="MS Mincho"/>
        </w:rPr>
        <w:t xml:space="preserve">4.2 TJ of increase MOS from the Eastern Gas pipeline (EGP), and 11.5 TJ of decrease MOS </w:t>
      </w:r>
      <w:r w:rsidR="00AF0502">
        <w:rPr>
          <w:rFonts w:eastAsia="MS Mincho"/>
        </w:rPr>
        <w:t>from</w:t>
      </w:r>
      <w:r>
        <w:rPr>
          <w:rFonts w:eastAsia="MS Mincho"/>
        </w:rPr>
        <w:t xml:space="preserve"> the Moomba to Sydney Pipeline (MSP)</w:t>
      </w:r>
      <w:r w:rsidR="003B55E5">
        <w:rPr>
          <w:rFonts w:eastAsia="MS Mincho"/>
        </w:rPr>
        <w:t xml:space="preserve">, </w:t>
      </w:r>
      <w:r w:rsidR="00D04B11">
        <w:rPr>
          <w:rFonts w:eastAsia="MS Mincho"/>
        </w:rPr>
        <w:t>result</w:t>
      </w:r>
      <w:r w:rsidR="003B55E5">
        <w:rPr>
          <w:rFonts w:eastAsia="MS Mincho"/>
        </w:rPr>
        <w:t>ing</w:t>
      </w:r>
      <w:r w:rsidR="00D04B11">
        <w:rPr>
          <w:rFonts w:eastAsia="MS Mincho"/>
        </w:rPr>
        <w:t xml:space="preserve"> in service payments of $47 609</w:t>
      </w:r>
      <w:r w:rsidR="00800E84">
        <w:rPr>
          <w:rFonts w:eastAsia="MS Mincho"/>
        </w:rPr>
        <w:t>, (above the 15/16 FYTD average of $30 980</w:t>
      </w:r>
      <w:r w:rsidR="008E67A7">
        <w:rPr>
          <w:rFonts w:eastAsia="MS Mincho"/>
        </w:rPr>
        <w:t>, as shown in figure 3 on page 2)</w:t>
      </w:r>
      <w:r w:rsidR="00D04B11">
        <w:rPr>
          <w:rFonts w:eastAsia="MS Mincho"/>
        </w:rPr>
        <w:t>. The net decrease requirement was caused by under forecast demand of around 7 TJ.</w:t>
      </w:r>
    </w:p>
    <w:p w:rsidR="008E67A7" w:rsidRPr="00A00CCF" w:rsidRDefault="008E67A7" w:rsidP="001B3823">
      <w:pPr>
        <w:jc w:val="both"/>
        <w:rPr>
          <w:rFonts w:eastAsia="MS Mincho"/>
          <w:b/>
          <w:i/>
        </w:rPr>
      </w:pPr>
      <w:r w:rsidRPr="00A00CCF">
        <w:rPr>
          <w:rFonts w:eastAsia="MS Mincho"/>
          <w:b/>
          <w:i/>
        </w:rPr>
        <w:t>Adelaide STTM hub</w:t>
      </w:r>
    </w:p>
    <w:p w:rsidR="00143E6D" w:rsidRDefault="004E762C" w:rsidP="001B3823">
      <w:pPr>
        <w:jc w:val="both"/>
        <w:rPr>
          <w:rFonts w:eastAsia="MS Mincho"/>
        </w:rPr>
      </w:pPr>
      <w:r w:rsidRPr="0031287F">
        <w:rPr>
          <w:rFonts w:eastAsia="MS Mincho"/>
        </w:rPr>
        <w:t xml:space="preserve">On 18 February in Adelaide, </w:t>
      </w:r>
      <w:r w:rsidR="001417AC">
        <w:rPr>
          <w:rFonts w:eastAsia="MS Mincho"/>
        </w:rPr>
        <w:t xml:space="preserve">demand was </w:t>
      </w:r>
      <w:r w:rsidR="001417AC" w:rsidRPr="0031287F">
        <w:rPr>
          <w:rFonts w:eastAsia="MS Mincho"/>
        </w:rPr>
        <w:t xml:space="preserve">over forecast </w:t>
      </w:r>
      <w:r w:rsidR="001417AC">
        <w:rPr>
          <w:rFonts w:eastAsia="MS Mincho"/>
        </w:rPr>
        <w:t xml:space="preserve">by </w:t>
      </w:r>
      <w:r w:rsidR="00876559">
        <w:rPr>
          <w:rFonts w:eastAsia="MS Mincho"/>
        </w:rPr>
        <w:t>13.</w:t>
      </w:r>
      <w:r w:rsidR="00143E6D">
        <w:rPr>
          <w:rFonts w:eastAsia="MS Mincho"/>
        </w:rPr>
        <w:t>4</w:t>
      </w:r>
      <w:r w:rsidRPr="0031287F">
        <w:rPr>
          <w:rFonts w:eastAsia="MS Mincho"/>
        </w:rPr>
        <w:t> TJ</w:t>
      </w:r>
      <w:r w:rsidR="001417AC">
        <w:rPr>
          <w:rFonts w:eastAsia="MS Mincho"/>
        </w:rPr>
        <w:t>.</w:t>
      </w:r>
      <w:r w:rsidR="00876559">
        <w:rPr>
          <w:rFonts w:eastAsia="MS Mincho"/>
        </w:rPr>
        <w:t xml:space="preserve"> This </w:t>
      </w:r>
      <w:r w:rsidR="00A67383">
        <w:rPr>
          <w:rFonts w:eastAsia="MS Mincho"/>
        </w:rPr>
        <w:t>would usually result in a sig</w:t>
      </w:r>
      <w:r w:rsidR="00355BA4">
        <w:rPr>
          <w:rFonts w:eastAsia="MS Mincho"/>
        </w:rPr>
        <w:t>n</w:t>
      </w:r>
      <w:r w:rsidR="00A67383">
        <w:rPr>
          <w:rFonts w:eastAsia="MS Mincho"/>
        </w:rPr>
        <w:t>if</w:t>
      </w:r>
      <w:r w:rsidR="00AF1F07">
        <w:rPr>
          <w:rFonts w:eastAsia="MS Mincho"/>
        </w:rPr>
        <w:t>i</w:t>
      </w:r>
      <w:r w:rsidR="00A67383">
        <w:rPr>
          <w:rFonts w:eastAsia="MS Mincho"/>
        </w:rPr>
        <w:t>cant requirement for decrease MOS, to park the oversupply.</w:t>
      </w:r>
      <w:r w:rsidR="00143E6D">
        <w:rPr>
          <w:rFonts w:eastAsia="MS Mincho"/>
        </w:rPr>
        <w:t xml:space="preserve"> However, figure 3.4 </w:t>
      </w:r>
      <w:proofErr w:type="gramStart"/>
      <w:r w:rsidR="00143E6D">
        <w:rPr>
          <w:rFonts w:eastAsia="MS Mincho"/>
        </w:rPr>
        <w:t>shows</w:t>
      </w:r>
      <w:proofErr w:type="gramEnd"/>
      <w:r w:rsidR="00143E6D">
        <w:rPr>
          <w:rFonts w:eastAsia="MS Mincho"/>
        </w:rPr>
        <w:t xml:space="preserve"> that renominations on the Moomba to Adelaide Pipeline (MAP) reduced this decrease MOS requirement to 2.9 TJ.</w:t>
      </w:r>
      <w:r w:rsidRPr="0031287F">
        <w:rPr>
          <w:rFonts w:eastAsia="MS Mincho"/>
        </w:rPr>
        <w:t xml:space="preserve"> </w:t>
      </w:r>
    </w:p>
    <w:p w:rsidR="00D50F4F" w:rsidRDefault="008E67A7" w:rsidP="001B3823">
      <w:pPr>
        <w:jc w:val="both"/>
        <w:rPr>
          <w:rFonts w:eastAsia="MS Mincho"/>
        </w:rPr>
      </w:pPr>
      <w:r>
        <w:rPr>
          <w:rFonts w:eastAsia="MS Mincho"/>
        </w:rPr>
        <w:t xml:space="preserve">Figure 3.3 shows the offsetting reduction in supply on </w:t>
      </w:r>
      <w:r w:rsidR="00876559">
        <w:rPr>
          <w:rFonts w:eastAsia="MS Mincho"/>
        </w:rPr>
        <w:t xml:space="preserve">the </w:t>
      </w:r>
      <w:r w:rsidRPr="0031287F">
        <w:rPr>
          <w:rFonts w:eastAsia="MS Mincho"/>
        </w:rPr>
        <w:t>MAP</w:t>
      </w:r>
      <w:r w:rsidR="00876559">
        <w:rPr>
          <w:rFonts w:eastAsia="MS Mincho"/>
        </w:rPr>
        <w:t xml:space="preserve"> of 10.</w:t>
      </w:r>
      <w:r w:rsidR="00143E6D">
        <w:rPr>
          <w:rFonts w:eastAsia="MS Mincho"/>
        </w:rPr>
        <w:t>6</w:t>
      </w:r>
      <w:r w:rsidR="00876559">
        <w:rPr>
          <w:rFonts w:eastAsia="MS Mincho"/>
        </w:rPr>
        <w:t> TJ</w:t>
      </w:r>
      <w:r>
        <w:rPr>
          <w:rFonts w:eastAsia="MS Mincho"/>
        </w:rPr>
        <w:t xml:space="preserve">, indicated by </w:t>
      </w:r>
      <w:r w:rsidR="00876559">
        <w:rPr>
          <w:rFonts w:eastAsia="MS Mincho"/>
        </w:rPr>
        <w:t xml:space="preserve">the </w:t>
      </w:r>
      <w:r>
        <w:rPr>
          <w:rFonts w:eastAsia="MS Mincho"/>
        </w:rPr>
        <w:t xml:space="preserve">reduction in the blue </w:t>
      </w:r>
      <w:r w:rsidR="00876559">
        <w:rPr>
          <w:rFonts w:eastAsia="MS Mincho"/>
        </w:rPr>
        <w:t>allocated quantity compared to the schedule</w:t>
      </w:r>
      <w:r w:rsidR="00D50F4F">
        <w:rPr>
          <w:rFonts w:eastAsia="MS Mincho"/>
        </w:rPr>
        <w:t xml:space="preserve">. This reduction was achieved </w:t>
      </w:r>
      <w:r w:rsidR="00143E6D">
        <w:rPr>
          <w:rFonts w:eastAsia="MS Mincho"/>
        </w:rPr>
        <w:t>through a reduction in forward haul</w:t>
      </w:r>
      <w:r w:rsidR="009E5ADF" w:rsidRPr="0031287F">
        <w:rPr>
          <w:rFonts w:eastAsia="MS Mincho"/>
        </w:rPr>
        <w:t xml:space="preserve"> </w:t>
      </w:r>
      <w:r w:rsidR="00D50F4F">
        <w:rPr>
          <w:rFonts w:eastAsia="MS Mincho"/>
        </w:rPr>
        <w:t xml:space="preserve">of </w:t>
      </w:r>
      <w:r w:rsidR="009E5ADF" w:rsidRPr="0031287F">
        <w:rPr>
          <w:rFonts w:eastAsia="MS Mincho"/>
        </w:rPr>
        <w:t>6.3 TJ</w:t>
      </w:r>
      <w:r w:rsidR="00D50F4F">
        <w:rPr>
          <w:rFonts w:eastAsia="MS Mincho"/>
        </w:rPr>
        <w:t xml:space="preserve"> </w:t>
      </w:r>
      <w:r w:rsidR="009E5ADF" w:rsidRPr="0031287F">
        <w:rPr>
          <w:rFonts w:eastAsia="MS Mincho"/>
        </w:rPr>
        <w:t xml:space="preserve">and an additional 4.3 TJ of back haul on the MAP. </w:t>
      </w:r>
    </w:p>
    <w:p w:rsidR="00143E6D" w:rsidRDefault="00143E6D" w:rsidP="001B3823">
      <w:pPr>
        <w:jc w:val="both"/>
        <w:rPr>
          <w:rFonts w:eastAsia="MS Mincho"/>
        </w:rPr>
      </w:pPr>
      <w:r>
        <w:rPr>
          <w:rFonts w:eastAsia="MS Mincho"/>
        </w:rPr>
        <w:t xml:space="preserve">While the net decrease MOS requirement was only 2.9 TJ, the change in allocated </w:t>
      </w:r>
      <w:r w:rsidR="00051E37">
        <w:rPr>
          <w:rFonts w:eastAsia="MS Mincho"/>
        </w:rPr>
        <w:t>forward haul</w:t>
      </w:r>
      <w:r>
        <w:rPr>
          <w:rFonts w:eastAsia="MS Mincho"/>
        </w:rPr>
        <w:t xml:space="preserve"> to th</w:t>
      </w:r>
      <w:r w:rsidR="00BC0B4F">
        <w:rPr>
          <w:rFonts w:eastAsia="MS Mincho"/>
        </w:rPr>
        <w:t>e hub</w:t>
      </w:r>
      <w:r w:rsidR="00051E37">
        <w:rPr>
          <w:rFonts w:eastAsia="MS Mincho"/>
        </w:rPr>
        <w:t xml:space="preserve"> (including MOS)</w:t>
      </w:r>
      <w:r w:rsidR="00BC0B4F">
        <w:rPr>
          <w:rFonts w:eastAsia="MS Mincho"/>
        </w:rPr>
        <w:t xml:space="preserve"> led to a </w:t>
      </w:r>
      <w:r w:rsidR="00BC0B4F">
        <w:rPr>
          <w:rFonts w:eastAsia="MS Mincho"/>
        </w:rPr>
        <w:noBreakHyphen/>
        <w:t>9.2 TJ imbalance.</w:t>
      </w:r>
      <w:r>
        <w:rPr>
          <w:rFonts w:eastAsia="MS Mincho"/>
        </w:rPr>
        <w:t xml:space="preserve"> </w:t>
      </w:r>
      <w:r w:rsidR="00BC0B4F">
        <w:rPr>
          <w:rFonts w:eastAsia="MS Mincho"/>
        </w:rPr>
        <w:t xml:space="preserve">This </w:t>
      </w:r>
      <w:r w:rsidR="00962F51">
        <w:rPr>
          <w:rFonts w:eastAsia="MS Mincho"/>
        </w:rPr>
        <w:t>reduction from the scheduled supply quantity</w:t>
      </w:r>
      <w:r w:rsidR="00BC0B4F">
        <w:rPr>
          <w:rFonts w:eastAsia="MS Mincho"/>
        </w:rPr>
        <w:t xml:space="preserve"> led to</w:t>
      </w:r>
      <w:r>
        <w:rPr>
          <w:rFonts w:eastAsia="MS Mincho"/>
        </w:rPr>
        <w:t xml:space="preserve"> the ex</w:t>
      </w:r>
      <w:r w:rsidR="00051E37">
        <w:rPr>
          <w:rFonts w:eastAsia="MS Mincho"/>
        </w:rPr>
        <w:t> </w:t>
      </w:r>
      <w:r>
        <w:rPr>
          <w:rFonts w:eastAsia="MS Mincho"/>
        </w:rPr>
        <w:t>post price fall</w:t>
      </w:r>
      <w:r w:rsidR="00BC0B4F">
        <w:rPr>
          <w:rFonts w:eastAsia="MS Mincho"/>
        </w:rPr>
        <w:t>ing</w:t>
      </w:r>
      <w:r>
        <w:rPr>
          <w:rFonts w:eastAsia="MS Mincho"/>
        </w:rPr>
        <w:t xml:space="preserve"> from $4.33/GJ to $3.40/GJ</w:t>
      </w:r>
      <w:r w:rsidR="00051E37">
        <w:rPr>
          <w:rFonts w:eastAsia="MS Mincho"/>
        </w:rPr>
        <w:t xml:space="preserve"> (as shown in figure 3.1)</w:t>
      </w:r>
      <w:r w:rsidR="00BC0B4F">
        <w:rPr>
          <w:rFonts w:eastAsia="MS Mincho"/>
        </w:rPr>
        <w:t>,</w:t>
      </w:r>
      <w:r>
        <w:rPr>
          <w:rFonts w:eastAsia="MS Mincho"/>
        </w:rPr>
        <w:t xml:space="preserve"> </w:t>
      </w:r>
      <w:r w:rsidR="00BC0B4F">
        <w:rPr>
          <w:rFonts w:eastAsia="MS Mincho"/>
        </w:rPr>
        <w:t>based on the available offers and bids in the ex</w:t>
      </w:r>
      <w:r w:rsidR="00051E37">
        <w:rPr>
          <w:rFonts w:eastAsia="MS Mincho"/>
        </w:rPr>
        <w:t> </w:t>
      </w:r>
      <w:r w:rsidR="00BC0B4F">
        <w:rPr>
          <w:rFonts w:eastAsia="MS Mincho"/>
        </w:rPr>
        <w:t>ante s</w:t>
      </w:r>
      <w:r w:rsidR="00051E37">
        <w:rPr>
          <w:rFonts w:eastAsia="MS Mincho"/>
        </w:rPr>
        <w:t>chedule.</w:t>
      </w:r>
    </w:p>
    <w:p w:rsidR="009E5ADF" w:rsidRDefault="009E5ADF" w:rsidP="001B3823">
      <w:pPr>
        <w:jc w:val="both"/>
        <w:rPr>
          <w:rFonts w:eastAsia="MS Mincho"/>
          <w:color w:val="FF0000"/>
        </w:rPr>
      </w:pP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0736F4">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8" o:title="AER-header for report templates"/>
          </v:shape>
        </w:pict>
      </w:r>
      <w:r w:rsidR="000736F4">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9"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F05B48" w:rsidP="004420C4">
      <w:pPr>
        <w:pStyle w:val="Heading2"/>
        <w:numPr>
          <w:ilvl w:val="0"/>
          <w:numId w:val="0"/>
        </w:numPr>
        <w:rPr>
          <w:i w:val="0"/>
        </w:rPr>
      </w:pPr>
      <w:r>
        <w:rPr>
          <w:i w:val="0"/>
          <w:sz w:val="36"/>
          <w:szCs w:val="36"/>
        </w:rPr>
        <w:t>14 – 20 February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5D641B"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pt;height:137pt">
            <v:imagedata r:id="rId12"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5D641B" w:rsidP="00362B9A">
      <w:r>
        <w:pict>
          <v:shape id="_x0000_i1026" type="#_x0000_t75" alt="Figure 1.2 shows the demand forecast used to calculate the five daily schedule prices for this week. For a more detailed description of this figure, please refer to the user guide." style="width:476pt;height:176.5pt">
            <v:imagedata r:id="rId13"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5D641B" w:rsidP="00362B9A">
      <w:r>
        <w:pict>
          <v:shape id="_x0000_i1027" type="#_x0000_t75" alt="Figure 1.3 shows the injection bids within certain price bands for each trading interval in Victoria this week. For a more detailed description of this figure, please refer to the user guide.  &#10;" style="width:476pt;height:205.5pt">
            <v:imagedata r:id="rId14"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5D641B" w:rsidP="00362B9A">
      <w:r>
        <w:pict>
          <v:shape id="_x0000_i1028" type="#_x0000_t75" alt="Figure 1.4 shows the withdrawal bids within certain price bands for each trading interval in Victoria this week. For a more detailed description of this figure, please refer to the user guide." style="width:477pt;height:162.5pt">
            <v:imagedata r:id="rId15"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5D641B" w:rsidP="00BC18FB">
      <w:r>
        <w:pict>
          <v:shape id="_x0000_i1029" type="#_x0000_t75" alt="Figure 1.5 shows the metered injections sorted by facility for each 4 hour interval in Victoria this week. For a more detailed description of this figure, please refer to the user guide." style="width:477pt;height:177.5pt">
            <v:imagedata r:id="rId16"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7"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444F2" w:rsidRPr="00405CDE" w:rsidTr="00F114D5">
        <w:trPr>
          <w:trHeight w:val="510"/>
        </w:trPr>
        <w:tc>
          <w:tcPr>
            <w:tcW w:w="1100" w:type="pct"/>
            <w:tcBorders>
              <w:top w:val="nil"/>
              <w:bottom w:val="nil"/>
            </w:tcBorders>
            <w:vAlign w:val="center"/>
          </w:tcPr>
          <w:p w:rsidR="00E444F2" w:rsidRPr="008C268E" w:rsidRDefault="00E444F2" w:rsidP="007A51E1">
            <w:pPr>
              <w:rPr>
                <w:rFonts w:cs="Arial"/>
                <w:sz w:val="20"/>
                <w:szCs w:val="20"/>
              </w:rPr>
            </w:pPr>
            <w:r w:rsidRPr="008C268E">
              <w:rPr>
                <w:rFonts w:cs="Arial"/>
                <w:sz w:val="20"/>
                <w:szCs w:val="20"/>
              </w:rPr>
              <w:t>Ex ante price ($/GJ)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3.62</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4.27</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3.90</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3.63</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3.63</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4.10</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3.58</w:t>
            </w:r>
          </w:p>
        </w:tc>
      </w:tr>
      <w:tr w:rsidR="00E444F2"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444F2" w:rsidRPr="008C268E" w:rsidRDefault="00E444F2" w:rsidP="007A51E1">
            <w:pPr>
              <w:rPr>
                <w:rFonts w:cs="Arial"/>
                <w:sz w:val="20"/>
                <w:szCs w:val="20"/>
              </w:rPr>
            </w:pPr>
            <w:r w:rsidRPr="008C268E">
              <w:rPr>
                <w:rFonts w:cs="Arial"/>
                <w:sz w:val="20"/>
                <w:szCs w:val="20"/>
              </w:rPr>
              <w:t>Ex ante quantity (TJ)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174</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213</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220</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224</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219</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203</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189</w:t>
            </w:r>
          </w:p>
        </w:tc>
      </w:tr>
      <w:tr w:rsidR="00E444F2" w:rsidRPr="00405CDE" w:rsidTr="00F114D5">
        <w:trPr>
          <w:trHeight w:val="510"/>
        </w:trPr>
        <w:tc>
          <w:tcPr>
            <w:tcW w:w="1100" w:type="pct"/>
            <w:tcBorders>
              <w:top w:val="nil"/>
              <w:bottom w:val="nil"/>
            </w:tcBorders>
            <w:vAlign w:val="center"/>
          </w:tcPr>
          <w:p w:rsidR="00E444F2" w:rsidRPr="008C268E" w:rsidRDefault="00E444F2" w:rsidP="007A51E1">
            <w:pPr>
              <w:rPr>
                <w:rFonts w:cs="Arial"/>
                <w:sz w:val="20"/>
                <w:szCs w:val="20"/>
              </w:rPr>
            </w:pPr>
            <w:r w:rsidRPr="008C268E">
              <w:rPr>
                <w:rFonts w:cs="Arial"/>
                <w:sz w:val="20"/>
                <w:szCs w:val="20"/>
              </w:rPr>
              <w:t>Ex post price ($/GJ)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3.60</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3.64</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3.54</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4.70</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4.65</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4.10</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3.60</w:t>
            </w:r>
          </w:p>
        </w:tc>
      </w:tr>
      <w:tr w:rsidR="00E444F2"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444F2" w:rsidRPr="008C268E" w:rsidRDefault="00E444F2" w:rsidP="007A51E1">
            <w:pPr>
              <w:rPr>
                <w:rFonts w:cs="Arial"/>
                <w:sz w:val="20"/>
                <w:szCs w:val="20"/>
              </w:rPr>
            </w:pPr>
            <w:r w:rsidRPr="008C268E">
              <w:rPr>
                <w:rFonts w:cs="Arial"/>
                <w:sz w:val="20"/>
                <w:szCs w:val="20"/>
              </w:rPr>
              <w:t>Ex post quantity (TJ)</w:t>
            </w:r>
          </w:p>
        </w:tc>
        <w:tc>
          <w:tcPr>
            <w:tcW w:w="597"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166</w:t>
            </w:r>
          </w:p>
        </w:tc>
        <w:tc>
          <w:tcPr>
            <w:tcW w:w="523"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205</w:t>
            </w:r>
          </w:p>
        </w:tc>
        <w:tc>
          <w:tcPr>
            <w:tcW w:w="606"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213</w:t>
            </w:r>
          </w:p>
        </w:tc>
        <w:tc>
          <w:tcPr>
            <w:tcW w:w="532"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230</w:t>
            </w:r>
          </w:p>
        </w:tc>
        <w:tc>
          <w:tcPr>
            <w:tcW w:w="52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223</w:t>
            </w:r>
          </w:p>
        </w:tc>
        <w:tc>
          <w:tcPr>
            <w:tcW w:w="522"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203</w:t>
            </w:r>
          </w:p>
        </w:tc>
        <w:tc>
          <w:tcPr>
            <w:tcW w:w="59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194</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5D641B"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6pt;height:169pt">
            <v:imagedata r:id="rId18"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5D641B" w:rsidP="00362B9A">
      <w:r>
        <w:pict>
          <v:shape id="_x0000_i1031" type="#_x0000_t75" alt="Figure 2.3 shows the daily scheduled and allocated quantities sorted by facility for Sydney this week. For a more detailed description of this figure, please refer to the user guide." style="width:478.5pt;height:212.5pt">
            <v:imagedata r:id="rId19"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5D641B"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pt;height:180pt">
            <v:imagedata r:id="rId20"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444F2" w:rsidRPr="00405CDE" w:rsidTr="006C5082">
        <w:trPr>
          <w:trHeight w:val="510"/>
        </w:trPr>
        <w:tc>
          <w:tcPr>
            <w:tcW w:w="1100" w:type="pct"/>
            <w:tcBorders>
              <w:top w:val="nil"/>
              <w:bottom w:val="nil"/>
            </w:tcBorders>
            <w:vAlign w:val="center"/>
          </w:tcPr>
          <w:p w:rsidR="00E444F2" w:rsidRPr="00442756" w:rsidRDefault="00E444F2"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3.59</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4.06</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4.75</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4.33</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4.33</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3.40</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4.33</w:t>
            </w:r>
          </w:p>
        </w:tc>
      </w:tr>
      <w:tr w:rsidR="00E444F2"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444F2" w:rsidRPr="00442756" w:rsidRDefault="00E444F2"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39</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53</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53</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54</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53</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38</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29</w:t>
            </w:r>
          </w:p>
        </w:tc>
      </w:tr>
      <w:tr w:rsidR="00E444F2" w:rsidRPr="00405CDE" w:rsidTr="006C5082">
        <w:trPr>
          <w:trHeight w:val="510"/>
        </w:trPr>
        <w:tc>
          <w:tcPr>
            <w:tcW w:w="1100" w:type="pct"/>
            <w:tcBorders>
              <w:top w:val="nil"/>
              <w:bottom w:val="nil"/>
            </w:tcBorders>
            <w:vAlign w:val="center"/>
          </w:tcPr>
          <w:p w:rsidR="00E444F2" w:rsidRPr="00442756" w:rsidRDefault="00E444F2"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4.00</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4.22</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4.75</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3.86</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3.40</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3.40</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4.45</w:t>
            </w:r>
          </w:p>
        </w:tc>
      </w:tr>
      <w:tr w:rsidR="00E444F2"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444F2" w:rsidRPr="00442756" w:rsidRDefault="00E444F2"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42</w:t>
            </w:r>
          </w:p>
        </w:tc>
        <w:tc>
          <w:tcPr>
            <w:tcW w:w="523"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55</w:t>
            </w:r>
          </w:p>
        </w:tc>
        <w:tc>
          <w:tcPr>
            <w:tcW w:w="606"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57</w:t>
            </w:r>
          </w:p>
        </w:tc>
        <w:tc>
          <w:tcPr>
            <w:tcW w:w="532"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50</w:t>
            </w:r>
          </w:p>
        </w:tc>
        <w:tc>
          <w:tcPr>
            <w:tcW w:w="52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44</w:t>
            </w:r>
          </w:p>
        </w:tc>
        <w:tc>
          <w:tcPr>
            <w:tcW w:w="522"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37</w:t>
            </w:r>
          </w:p>
        </w:tc>
        <w:tc>
          <w:tcPr>
            <w:tcW w:w="59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29</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5D641B"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69.5pt;mso-position-vertical:absolute">
            <v:imagedata r:id="rId21"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5D641B" w:rsidP="00362B9A">
      <w:r>
        <w:pict>
          <v:shape id="_x0000_i1034" type="#_x0000_t75" alt="Figure 3.3 shows the daily scheduled and allocated quantities sorted by facility for Adelaide this week. For a more detailed description of this figure, please refer to the user guide." style="width:478pt;height:105.5pt;mso-position-vertical:absolute">
            <v:imagedata r:id="rId22"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5D641B"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pt;height:150pt;mso-position-vertical:absolute">
            <v:imagedata r:id="rId23"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444F2" w:rsidRPr="00405CDE" w:rsidTr="006C5082">
        <w:trPr>
          <w:trHeight w:val="510"/>
        </w:trPr>
        <w:tc>
          <w:tcPr>
            <w:tcW w:w="1100" w:type="pct"/>
            <w:tcBorders>
              <w:top w:val="nil"/>
              <w:bottom w:val="nil"/>
            </w:tcBorders>
            <w:vAlign w:val="center"/>
          </w:tcPr>
          <w:p w:rsidR="00E444F2" w:rsidRPr="00442756" w:rsidRDefault="00E444F2"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3.49</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4.24</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4.60</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4.80</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5.45</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5.98</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4.88</w:t>
            </w:r>
          </w:p>
        </w:tc>
      </w:tr>
      <w:tr w:rsidR="00E444F2"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444F2" w:rsidRPr="00442756" w:rsidRDefault="00E444F2"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79</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90</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96</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96</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90</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85</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72</w:t>
            </w:r>
          </w:p>
        </w:tc>
      </w:tr>
      <w:tr w:rsidR="00E444F2" w:rsidRPr="00405CDE" w:rsidTr="006C5082">
        <w:trPr>
          <w:trHeight w:val="510"/>
        </w:trPr>
        <w:tc>
          <w:tcPr>
            <w:tcW w:w="1100" w:type="pct"/>
            <w:tcBorders>
              <w:top w:val="nil"/>
              <w:bottom w:val="nil"/>
            </w:tcBorders>
            <w:vAlign w:val="center"/>
          </w:tcPr>
          <w:p w:rsidR="00E444F2" w:rsidRPr="00442756" w:rsidRDefault="00E444F2"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E444F2" w:rsidRDefault="00E444F2">
            <w:pPr>
              <w:jc w:val="center"/>
              <w:rPr>
                <w:rFonts w:cs="Arial"/>
                <w:sz w:val="20"/>
                <w:szCs w:val="20"/>
              </w:rPr>
            </w:pPr>
            <w:r>
              <w:rPr>
                <w:rFonts w:cs="Arial"/>
                <w:sz w:val="20"/>
                <w:szCs w:val="20"/>
              </w:rPr>
              <w:t>3.85</w:t>
            </w:r>
          </w:p>
        </w:tc>
        <w:tc>
          <w:tcPr>
            <w:tcW w:w="523" w:type="pct"/>
            <w:tcBorders>
              <w:top w:val="nil"/>
              <w:bottom w:val="nil"/>
            </w:tcBorders>
            <w:vAlign w:val="center"/>
          </w:tcPr>
          <w:p w:rsidR="00E444F2" w:rsidRDefault="00E444F2">
            <w:pPr>
              <w:jc w:val="center"/>
              <w:rPr>
                <w:rFonts w:cs="Arial"/>
                <w:sz w:val="20"/>
                <w:szCs w:val="20"/>
              </w:rPr>
            </w:pPr>
            <w:r>
              <w:rPr>
                <w:rFonts w:cs="Arial"/>
                <w:sz w:val="20"/>
                <w:szCs w:val="20"/>
              </w:rPr>
              <w:t>5.00</w:t>
            </w:r>
          </w:p>
        </w:tc>
        <w:tc>
          <w:tcPr>
            <w:tcW w:w="606" w:type="pct"/>
            <w:tcBorders>
              <w:top w:val="nil"/>
              <w:bottom w:val="nil"/>
            </w:tcBorders>
            <w:vAlign w:val="center"/>
          </w:tcPr>
          <w:p w:rsidR="00E444F2" w:rsidRDefault="00E444F2">
            <w:pPr>
              <w:jc w:val="center"/>
              <w:rPr>
                <w:rFonts w:cs="Arial"/>
                <w:sz w:val="20"/>
                <w:szCs w:val="20"/>
              </w:rPr>
            </w:pPr>
            <w:r>
              <w:rPr>
                <w:rFonts w:cs="Arial"/>
                <w:sz w:val="20"/>
                <w:szCs w:val="20"/>
              </w:rPr>
              <w:t>4.60</w:t>
            </w:r>
          </w:p>
        </w:tc>
        <w:tc>
          <w:tcPr>
            <w:tcW w:w="532" w:type="pct"/>
            <w:tcBorders>
              <w:top w:val="nil"/>
              <w:bottom w:val="nil"/>
            </w:tcBorders>
            <w:vAlign w:val="center"/>
          </w:tcPr>
          <w:p w:rsidR="00E444F2" w:rsidRDefault="00E444F2">
            <w:pPr>
              <w:jc w:val="center"/>
              <w:rPr>
                <w:rFonts w:cs="Arial"/>
                <w:sz w:val="20"/>
                <w:szCs w:val="20"/>
              </w:rPr>
            </w:pPr>
            <w:r>
              <w:rPr>
                <w:rFonts w:cs="Arial"/>
                <w:sz w:val="20"/>
                <w:szCs w:val="20"/>
              </w:rPr>
              <w:t>4.25</w:t>
            </w:r>
          </w:p>
        </w:tc>
        <w:tc>
          <w:tcPr>
            <w:tcW w:w="525" w:type="pct"/>
            <w:tcBorders>
              <w:top w:val="nil"/>
              <w:bottom w:val="nil"/>
            </w:tcBorders>
            <w:vAlign w:val="center"/>
          </w:tcPr>
          <w:p w:rsidR="00E444F2" w:rsidRDefault="00E444F2">
            <w:pPr>
              <w:jc w:val="center"/>
              <w:rPr>
                <w:rFonts w:cs="Arial"/>
                <w:sz w:val="20"/>
                <w:szCs w:val="20"/>
              </w:rPr>
            </w:pPr>
            <w:r>
              <w:rPr>
                <w:rFonts w:cs="Arial"/>
                <w:sz w:val="20"/>
                <w:szCs w:val="20"/>
              </w:rPr>
              <w:t>5.80</w:t>
            </w:r>
          </w:p>
        </w:tc>
        <w:tc>
          <w:tcPr>
            <w:tcW w:w="522" w:type="pct"/>
            <w:tcBorders>
              <w:top w:val="nil"/>
              <w:bottom w:val="nil"/>
            </w:tcBorders>
            <w:vAlign w:val="center"/>
          </w:tcPr>
          <w:p w:rsidR="00E444F2" w:rsidRDefault="00E444F2">
            <w:pPr>
              <w:jc w:val="center"/>
              <w:rPr>
                <w:rFonts w:cs="Arial"/>
                <w:sz w:val="20"/>
                <w:szCs w:val="20"/>
              </w:rPr>
            </w:pPr>
            <w:r>
              <w:rPr>
                <w:rFonts w:cs="Arial"/>
                <w:sz w:val="20"/>
                <w:szCs w:val="20"/>
              </w:rPr>
              <w:t>5.80</w:t>
            </w:r>
          </w:p>
        </w:tc>
        <w:tc>
          <w:tcPr>
            <w:tcW w:w="595" w:type="pct"/>
            <w:tcBorders>
              <w:top w:val="nil"/>
              <w:bottom w:val="nil"/>
            </w:tcBorders>
            <w:vAlign w:val="center"/>
          </w:tcPr>
          <w:p w:rsidR="00E444F2" w:rsidRDefault="00E444F2">
            <w:pPr>
              <w:jc w:val="center"/>
              <w:rPr>
                <w:rFonts w:cs="Arial"/>
                <w:sz w:val="20"/>
                <w:szCs w:val="20"/>
              </w:rPr>
            </w:pPr>
            <w:r>
              <w:rPr>
                <w:rFonts w:cs="Arial"/>
                <w:sz w:val="20"/>
                <w:szCs w:val="20"/>
              </w:rPr>
              <w:t>4.88</w:t>
            </w:r>
          </w:p>
        </w:tc>
      </w:tr>
      <w:tr w:rsidR="00E444F2"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444F2" w:rsidRPr="00442756" w:rsidRDefault="00E444F2"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81</w:t>
            </w:r>
          </w:p>
        </w:tc>
        <w:tc>
          <w:tcPr>
            <w:tcW w:w="523"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97</w:t>
            </w:r>
          </w:p>
        </w:tc>
        <w:tc>
          <w:tcPr>
            <w:tcW w:w="606"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95</w:t>
            </w:r>
          </w:p>
        </w:tc>
        <w:tc>
          <w:tcPr>
            <w:tcW w:w="532"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91</w:t>
            </w:r>
          </w:p>
        </w:tc>
        <w:tc>
          <w:tcPr>
            <w:tcW w:w="52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93</w:t>
            </w:r>
          </w:p>
        </w:tc>
        <w:tc>
          <w:tcPr>
            <w:tcW w:w="522"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83</w:t>
            </w:r>
          </w:p>
        </w:tc>
        <w:tc>
          <w:tcPr>
            <w:tcW w:w="595" w:type="pct"/>
            <w:tcBorders>
              <w:top w:val="nil"/>
              <w:bottom w:val="single" w:sz="4" w:space="0" w:color="auto"/>
            </w:tcBorders>
            <w:vAlign w:val="center"/>
          </w:tcPr>
          <w:p w:rsidR="00E444F2" w:rsidRDefault="00E444F2">
            <w:pPr>
              <w:jc w:val="center"/>
              <w:rPr>
                <w:rFonts w:cs="Arial"/>
                <w:sz w:val="20"/>
                <w:szCs w:val="20"/>
              </w:rPr>
            </w:pPr>
            <w:r>
              <w:rPr>
                <w:rFonts w:cs="Arial"/>
                <w:sz w:val="20"/>
                <w:szCs w:val="20"/>
              </w:rPr>
              <w:t>70</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5D641B"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0.5pt;mso-position-vertical:absolute">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5D641B" w:rsidP="00362B9A">
      <w:r>
        <w:pict>
          <v:shape id="_x0000_i1037" type="#_x0000_t75" alt="Figure 4.3 shows the daily scheduled and allocated quantities sorted by facility for Brisbane this week. For a more detailed description of this figure, please refer to the user guide." style="width:478.5pt;height:98.5pt">
            <v:imagedata r:id="rId25"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5D641B"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6pt;height:155pt">
            <v:imagedata r:id="rId26"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5D641B" w:rsidP="00FB3934">
      <w:r>
        <w:pict>
          <v:shape id="_x0000_i1039" type="#_x0000_t75" style="width:379.5pt;height:549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872F23" w:rsidRDefault="00872F23" w:rsidP="00345444">
      <w:pPr>
        <w:jc w:val="both"/>
        <w:rPr>
          <w:rFonts w:eastAsia="MS Mincho"/>
        </w:rPr>
      </w:pPr>
      <w:r w:rsidRPr="00872F23">
        <w:rPr>
          <w:rFonts w:eastAsia="MS Mincho"/>
        </w:rPr>
        <w:t>There were 19 trades</w:t>
      </w:r>
      <w:r w:rsidR="001417AC">
        <w:rPr>
          <w:rFonts w:eastAsia="MS Mincho"/>
        </w:rPr>
        <w:t xml:space="preserve"> this week</w:t>
      </w:r>
      <w:r w:rsidRPr="00872F23">
        <w:rPr>
          <w:rFonts w:eastAsia="MS Mincho"/>
        </w:rPr>
        <w:t xml:space="preserve"> for 128</w:t>
      </w:r>
      <w:r w:rsidR="000711E9">
        <w:rPr>
          <w:rFonts w:eastAsia="MS Mincho"/>
        </w:rPr>
        <w:t> </w:t>
      </w:r>
      <w:r w:rsidRPr="00872F23">
        <w:rPr>
          <w:rFonts w:eastAsia="MS Mincho"/>
        </w:rPr>
        <w:t>TJ at a weighted average price of $5.28/GJ.</w:t>
      </w:r>
      <w:r>
        <w:rPr>
          <w:rFonts w:eastAsia="MS Mincho"/>
        </w:rPr>
        <w:t xml:space="preserve"> This consisted of </w:t>
      </w:r>
      <w:r w:rsidR="001417AC">
        <w:rPr>
          <w:rFonts w:eastAsia="MS Mincho"/>
        </w:rPr>
        <w:t xml:space="preserve">13 </w:t>
      </w:r>
      <w:r>
        <w:rPr>
          <w:rFonts w:eastAsia="MS Mincho"/>
        </w:rPr>
        <w:t xml:space="preserve">balance-of-day trades, </w:t>
      </w:r>
      <w:r w:rsidR="001417AC">
        <w:rPr>
          <w:rFonts w:eastAsia="MS Mincho"/>
        </w:rPr>
        <w:t>5</w:t>
      </w:r>
      <w:r>
        <w:rPr>
          <w:rFonts w:eastAsia="MS Mincho"/>
        </w:rPr>
        <w:t xml:space="preserve"> day-</w:t>
      </w:r>
      <w:proofErr w:type="gramStart"/>
      <w:r>
        <w:rPr>
          <w:rFonts w:eastAsia="MS Mincho"/>
        </w:rPr>
        <w:t>ahead</w:t>
      </w:r>
      <w:proofErr w:type="gramEnd"/>
      <w:r>
        <w:rPr>
          <w:rFonts w:eastAsia="MS Mincho"/>
        </w:rPr>
        <w:t xml:space="preserve"> trades, and </w:t>
      </w:r>
      <w:r w:rsidR="001417AC">
        <w:rPr>
          <w:rFonts w:eastAsia="MS Mincho"/>
        </w:rPr>
        <w:t>1</w:t>
      </w:r>
      <w:r>
        <w:rPr>
          <w:rFonts w:eastAsia="MS Mincho"/>
        </w:rPr>
        <w:t xml:space="preserve"> weekly trade on the RBP. There were no trades on the SWQP this week.</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5D641B"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 style="width:475.5pt;height:201.5pt">
            <v:imagedata r:id="rId28" o:title=""/>
          </v:shape>
        </w:pict>
      </w:r>
      <w:r w:rsidR="00E37A86" w:rsidRPr="006520EE">
        <w:t xml:space="preserve"> </w:t>
      </w:r>
    </w:p>
    <w:sectPr w:rsidR="009E74E3" w:rsidRPr="006520EE" w:rsidSect="00D635F1">
      <w:footerReference w:type="default" r:id="rId29"/>
      <w:footerReference w:type="first" r:id="rId30"/>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0736F4">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0736F4">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E645D3">
      <w:rPr>
        <w:rFonts w:cs="Arial"/>
        <w:i/>
      </w:rPr>
      <w:t>24451</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839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14 – 20 February 2016.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1E37"/>
    <w:rsid w:val="000552AF"/>
    <w:rsid w:val="00055584"/>
    <w:rsid w:val="00061656"/>
    <w:rsid w:val="0006609A"/>
    <w:rsid w:val="000711E9"/>
    <w:rsid w:val="000736F4"/>
    <w:rsid w:val="00073D01"/>
    <w:rsid w:val="00076046"/>
    <w:rsid w:val="000813BF"/>
    <w:rsid w:val="0008491C"/>
    <w:rsid w:val="00085092"/>
    <w:rsid w:val="000876E7"/>
    <w:rsid w:val="00092BC8"/>
    <w:rsid w:val="00093854"/>
    <w:rsid w:val="000974A2"/>
    <w:rsid w:val="00097D40"/>
    <w:rsid w:val="000B4A1F"/>
    <w:rsid w:val="000B6397"/>
    <w:rsid w:val="000B69E0"/>
    <w:rsid w:val="000B7FAF"/>
    <w:rsid w:val="000C3D01"/>
    <w:rsid w:val="000D1FEB"/>
    <w:rsid w:val="000E1F9A"/>
    <w:rsid w:val="000F0BBB"/>
    <w:rsid w:val="000F2287"/>
    <w:rsid w:val="000F3B46"/>
    <w:rsid w:val="000F59F8"/>
    <w:rsid w:val="000F5F5E"/>
    <w:rsid w:val="000F6D05"/>
    <w:rsid w:val="00113D67"/>
    <w:rsid w:val="00117C98"/>
    <w:rsid w:val="00125818"/>
    <w:rsid w:val="001417AC"/>
    <w:rsid w:val="001420EB"/>
    <w:rsid w:val="00143E6D"/>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B72B9"/>
    <w:rsid w:val="002C0499"/>
    <w:rsid w:val="002C1EC2"/>
    <w:rsid w:val="002C2576"/>
    <w:rsid w:val="002D0C16"/>
    <w:rsid w:val="002D59B3"/>
    <w:rsid w:val="002D5CEC"/>
    <w:rsid w:val="002E0688"/>
    <w:rsid w:val="002E2C96"/>
    <w:rsid w:val="002E2E46"/>
    <w:rsid w:val="002E7E9E"/>
    <w:rsid w:val="002F0AE7"/>
    <w:rsid w:val="002F139A"/>
    <w:rsid w:val="002F4250"/>
    <w:rsid w:val="0030240F"/>
    <w:rsid w:val="00311A09"/>
    <w:rsid w:val="0031287F"/>
    <w:rsid w:val="00314A8B"/>
    <w:rsid w:val="003215DB"/>
    <w:rsid w:val="0032174C"/>
    <w:rsid w:val="00323327"/>
    <w:rsid w:val="00330B70"/>
    <w:rsid w:val="003348F7"/>
    <w:rsid w:val="00336E8E"/>
    <w:rsid w:val="003410C4"/>
    <w:rsid w:val="00345444"/>
    <w:rsid w:val="00347FBB"/>
    <w:rsid w:val="003548AA"/>
    <w:rsid w:val="00355BA4"/>
    <w:rsid w:val="0035758F"/>
    <w:rsid w:val="00357C72"/>
    <w:rsid w:val="003625A6"/>
    <w:rsid w:val="00362B9A"/>
    <w:rsid w:val="003632A4"/>
    <w:rsid w:val="003664D0"/>
    <w:rsid w:val="00366BDF"/>
    <w:rsid w:val="00372976"/>
    <w:rsid w:val="00374CF9"/>
    <w:rsid w:val="003800B4"/>
    <w:rsid w:val="00387B66"/>
    <w:rsid w:val="00391F78"/>
    <w:rsid w:val="00396C2C"/>
    <w:rsid w:val="00396C7A"/>
    <w:rsid w:val="003977B4"/>
    <w:rsid w:val="003B0AAD"/>
    <w:rsid w:val="003B55E5"/>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C3026"/>
    <w:rsid w:val="004D09C9"/>
    <w:rsid w:val="004D1EBF"/>
    <w:rsid w:val="004D3B99"/>
    <w:rsid w:val="004D3E78"/>
    <w:rsid w:val="004D6444"/>
    <w:rsid w:val="004E20BF"/>
    <w:rsid w:val="004E762C"/>
    <w:rsid w:val="004F3D13"/>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41B"/>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06B7"/>
    <w:rsid w:val="006C1858"/>
    <w:rsid w:val="006C242A"/>
    <w:rsid w:val="006C2B2B"/>
    <w:rsid w:val="006C57B2"/>
    <w:rsid w:val="006C5A2C"/>
    <w:rsid w:val="006C6D60"/>
    <w:rsid w:val="006D6E0B"/>
    <w:rsid w:val="006E1063"/>
    <w:rsid w:val="006E312B"/>
    <w:rsid w:val="006E40BD"/>
    <w:rsid w:val="006E7E57"/>
    <w:rsid w:val="006F4169"/>
    <w:rsid w:val="007001FF"/>
    <w:rsid w:val="007037D8"/>
    <w:rsid w:val="007059A9"/>
    <w:rsid w:val="00706720"/>
    <w:rsid w:val="00710600"/>
    <w:rsid w:val="0071106C"/>
    <w:rsid w:val="00715BED"/>
    <w:rsid w:val="00716B82"/>
    <w:rsid w:val="007201F8"/>
    <w:rsid w:val="007209C0"/>
    <w:rsid w:val="00722B62"/>
    <w:rsid w:val="0072650E"/>
    <w:rsid w:val="007306EC"/>
    <w:rsid w:val="00736A00"/>
    <w:rsid w:val="00740EE4"/>
    <w:rsid w:val="00747724"/>
    <w:rsid w:val="00750C0F"/>
    <w:rsid w:val="00763150"/>
    <w:rsid w:val="0076429B"/>
    <w:rsid w:val="00767397"/>
    <w:rsid w:val="00773AE0"/>
    <w:rsid w:val="00776BBA"/>
    <w:rsid w:val="00780FEC"/>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0E84"/>
    <w:rsid w:val="0080456D"/>
    <w:rsid w:val="00811D1C"/>
    <w:rsid w:val="008133CF"/>
    <w:rsid w:val="008170C0"/>
    <w:rsid w:val="00826BCE"/>
    <w:rsid w:val="008344A6"/>
    <w:rsid w:val="00872F23"/>
    <w:rsid w:val="00875D0C"/>
    <w:rsid w:val="00876559"/>
    <w:rsid w:val="008776EF"/>
    <w:rsid w:val="00882958"/>
    <w:rsid w:val="00886B09"/>
    <w:rsid w:val="008936C5"/>
    <w:rsid w:val="00895965"/>
    <w:rsid w:val="008A6DB5"/>
    <w:rsid w:val="008B4A16"/>
    <w:rsid w:val="008B7161"/>
    <w:rsid w:val="008C0EC8"/>
    <w:rsid w:val="008C268E"/>
    <w:rsid w:val="008C7F3A"/>
    <w:rsid w:val="008D39F4"/>
    <w:rsid w:val="008D4DAB"/>
    <w:rsid w:val="008D70A4"/>
    <w:rsid w:val="008E2239"/>
    <w:rsid w:val="008E24DA"/>
    <w:rsid w:val="008E67A7"/>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62F51"/>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5ADF"/>
    <w:rsid w:val="009E74E3"/>
    <w:rsid w:val="009F43B1"/>
    <w:rsid w:val="009F4655"/>
    <w:rsid w:val="009F4DF7"/>
    <w:rsid w:val="009F6FA3"/>
    <w:rsid w:val="00A00CCF"/>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383"/>
    <w:rsid w:val="00A67716"/>
    <w:rsid w:val="00A677D8"/>
    <w:rsid w:val="00A834DF"/>
    <w:rsid w:val="00A91C53"/>
    <w:rsid w:val="00A9207C"/>
    <w:rsid w:val="00A936AE"/>
    <w:rsid w:val="00AA1D87"/>
    <w:rsid w:val="00AD3EBD"/>
    <w:rsid w:val="00AE03A4"/>
    <w:rsid w:val="00AE309F"/>
    <w:rsid w:val="00AE4633"/>
    <w:rsid w:val="00AE748C"/>
    <w:rsid w:val="00AF0502"/>
    <w:rsid w:val="00AF1F07"/>
    <w:rsid w:val="00AF2164"/>
    <w:rsid w:val="00AF2281"/>
    <w:rsid w:val="00AF44F4"/>
    <w:rsid w:val="00B00058"/>
    <w:rsid w:val="00B1081E"/>
    <w:rsid w:val="00B14446"/>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672C4"/>
    <w:rsid w:val="00B70A9F"/>
    <w:rsid w:val="00B71A5E"/>
    <w:rsid w:val="00B76529"/>
    <w:rsid w:val="00B82478"/>
    <w:rsid w:val="00B8698C"/>
    <w:rsid w:val="00B9666A"/>
    <w:rsid w:val="00B97D6C"/>
    <w:rsid w:val="00BA16E2"/>
    <w:rsid w:val="00BA31C3"/>
    <w:rsid w:val="00BA65E6"/>
    <w:rsid w:val="00BA6C2E"/>
    <w:rsid w:val="00BB2FF6"/>
    <w:rsid w:val="00BC0B4F"/>
    <w:rsid w:val="00BC18FB"/>
    <w:rsid w:val="00BC21AB"/>
    <w:rsid w:val="00BC254C"/>
    <w:rsid w:val="00BC4C5B"/>
    <w:rsid w:val="00BC77F9"/>
    <w:rsid w:val="00BD0B73"/>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04B11"/>
    <w:rsid w:val="00D10FA6"/>
    <w:rsid w:val="00D11DDB"/>
    <w:rsid w:val="00D161D7"/>
    <w:rsid w:val="00D1641C"/>
    <w:rsid w:val="00D16FE8"/>
    <w:rsid w:val="00D22793"/>
    <w:rsid w:val="00D329E0"/>
    <w:rsid w:val="00D40430"/>
    <w:rsid w:val="00D41D64"/>
    <w:rsid w:val="00D50980"/>
    <w:rsid w:val="00D50F4F"/>
    <w:rsid w:val="00D60D45"/>
    <w:rsid w:val="00D635F1"/>
    <w:rsid w:val="00D67440"/>
    <w:rsid w:val="00D71951"/>
    <w:rsid w:val="00D76436"/>
    <w:rsid w:val="00D82F2B"/>
    <w:rsid w:val="00D84A8C"/>
    <w:rsid w:val="00DA0113"/>
    <w:rsid w:val="00DA37EC"/>
    <w:rsid w:val="00DA38A8"/>
    <w:rsid w:val="00DA3AAA"/>
    <w:rsid w:val="00DB0182"/>
    <w:rsid w:val="00DB12E4"/>
    <w:rsid w:val="00DB3B79"/>
    <w:rsid w:val="00DB3D7F"/>
    <w:rsid w:val="00DB5A3A"/>
    <w:rsid w:val="00DB6047"/>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444F2"/>
    <w:rsid w:val="00E524B2"/>
    <w:rsid w:val="00E52E2A"/>
    <w:rsid w:val="00E645D3"/>
    <w:rsid w:val="00E67938"/>
    <w:rsid w:val="00E74D68"/>
    <w:rsid w:val="00E7639D"/>
    <w:rsid w:val="00E77449"/>
    <w:rsid w:val="00E7755A"/>
    <w:rsid w:val="00E8378F"/>
    <w:rsid w:val="00E86AAA"/>
    <w:rsid w:val="00E87329"/>
    <w:rsid w:val="00E91D5F"/>
    <w:rsid w:val="00E92E1D"/>
    <w:rsid w:val="00E93C7C"/>
    <w:rsid w:val="00E94C7D"/>
    <w:rsid w:val="00EA2F65"/>
    <w:rsid w:val="00EA4813"/>
    <w:rsid w:val="00EA6E29"/>
    <w:rsid w:val="00ED5E08"/>
    <w:rsid w:val="00EE2B5F"/>
    <w:rsid w:val="00EE51D2"/>
    <w:rsid w:val="00EE6F2C"/>
    <w:rsid w:val="00EF19FF"/>
    <w:rsid w:val="00EF4E45"/>
    <w:rsid w:val="00EF58A8"/>
    <w:rsid w:val="00EF5A5D"/>
    <w:rsid w:val="00EF6B0C"/>
    <w:rsid w:val="00F01843"/>
    <w:rsid w:val="00F02D8D"/>
    <w:rsid w:val="00F05B48"/>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er.gov.au/node/451"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2B03403E.dotm</Template>
  <TotalTime>0</TotalTime>
  <Pages>11</Pages>
  <Words>1944</Words>
  <Characters>9051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10974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2016-03-07T22:43:00Z</dcterms:created>
  <dcterms:modified xsi:type="dcterms:W3CDTF">2016-03-07T22:44:00Z</dcterms:modified>
</cp:coreProperties>
</file>