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20C4" w:rsidRPr="004420C4" w:rsidRDefault="00C25FEB" w:rsidP="004420C4">
      <w:pPr>
        <w:pStyle w:val="Heading1"/>
        <w:numPr>
          <w:ilvl w:val="0"/>
          <w:numId w:val="0"/>
        </w:numPr>
        <w:spacing w:before="120" w:after="0"/>
        <w:ind w:left="142"/>
        <w:rPr>
          <w:color w:val="FFFFFF"/>
          <w:sz w:val="36"/>
        </w:rPr>
      </w:pPr>
      <w:bookmarkStart w:id="0" w:name="OLE_LINK66"/>
      <w:bookmarkStart w:id="1" w:name="OLE_LINK67"/>
      <w:r>
        <w:rPr>
          <w:noProof/>
          <w:color w:va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4" type="#_x0000_t75" alt="Australian Energy Regulator logo" style="position:absolute;left:0;text-align:left;margin-left:-.55pt;margin-top:5.5pt;width:476.25pt;height:77.25pt;z-index:-251649024;mso-position-horizontal-relative:text;mso-position-vertical-relative:text">
            <v:imagedata r:id="rId9" o:title="AER-header for report templates"/>
          </v:shape>
        </w:pict>
      </w:r>
      <w:r>
        <w:rPr>
          <w:noProof/>
          <w:color w:val="FFFFFF"/>
          <w:sz w:val="36"/>
        </w:rPr>
        <w:pict>
          <v:shape id="_x0000_s1093" type="#_x0000_t75" style="position:absolute;left:0;text-align:left;margin-left:720.75pt;margin-top:282.05pt;width:386.3pt;height:299.3pt;z-index:251666432;mso-position-horizontal-relative:text;mso-position-vertical-relative:text" fillcolor="black" strokecolor="white" strokeweight="3e-5mm">
            <v:imagedata r:id="rId10" o:title=""/>
            <o:lock v:ext="edit" rotation="t"/>
          </v:shape>
        </w:pict>
      </w:r>
      <w:r w:rsidR="004420C4" w:rsidRPr="004420C4">
        <w:rPr>
          <w:color w:val="FFFFFF"/>
          <w:sz w:val="36"/>
        </w:rPr>
        <w:t>Gas Market Report</w:t>
      </w:r>
    </w:p>
    <w:p w:rsidR="004420C4" w:rsidRDefault="004420C4" w:rsidP="004420C4"/>
    <w:p w:rsidR="004420C4" w:rsidRDefault="004420C4" w:rsidP="004420C4"/>
    <w:p w:rsidR="004420C4" w:rsidRDefault="004420C4" w:rsidP="004420C4"/>
    <w:p w:rsidR="004420C4" w:rsidRPr="00AC3047" w:rsidRDefault="00A71E47" w:rsidP="004420C4">
      <w:pPr>
        <w:pStyle w:val="Heading2"/>
        <w:numPr>
          <w:ilvl w:val="0"/>
          <w:numId w:val="0"/>
        </w:numPr>
        <w:rPr>
          <w:i w:val="0"/>
        </w:rPr>
      </w:pPr>
      <w:r>
        <w:rPr>
          <w:i w:val="0"/>
          <w:sz w:val="36"/>
          <w:szCs w:val="36"/>
        </w:rPr>
        <w:t>13 – 19 December 2015</w:t>
      </w:r>
    </w:p>
    <w:p w:rsidR="00A67716" w:rsidRDefault="00A67716" w:rsidP="00D1641C">
      <w:pPr>
        <w:pStyle w:val="Heading1"/>
        <w:numPr>
          <w:ilvl w:val="0"/>
          <w:numId w:val="0"/>
        </w:numPr>
        <w:spacing w:before="0" w:after="120"/>
        <w:rPr>
          <w:rFonts w:cs="Times New Roman"/>
          <w:noProof/>
          <w:color w:val="2272A3"/>
          <w:kern w:val="0"/>
          <w:szCs w:val="20"/>
          <w:lang w:eastAsia="en-US"/>
        </w:rPr>
      </w:pPr>
      <w:r w:rsidRPr="00AF2164">
        <w:rPr>
          <w:rFonts w:cs="Times New Roman"/>
          <w:noProof/>
          <w:color w:val="2272A3"/>
          <w:kern w:val="0"/>
          <w:szCs w:val="20"/>
          <w:lang w:eastAsia="en-US"/>
        </w:rPr>
        <w:t>Wee</w:t>
      </w:r>
      <w:r w:rsidR="00AF2164" w:rsidRPr="00AF2164">
        <w:rPr>
          <w:rFonts w:cs="Times New Roman"/>
          <w:noProof/>
          <w:color w:val="2272A3"/>
          <w:kern w:val="0"/>
          <w:szCs w:val="20"/>
          <w:lang w:eastAsia="en-US"/>
        </w:rPr>
        <w:t>kly summary</w:t>
      </w:r>
    </w:p>
    <w:p w:rsidR="004814EE" w:rsidRDefault="004814EE" w:rsidP="00345444">
      <w:pPr>
        <w:pStyle w:val="AERbodytext"/>
        <w:spacing w:line="240" w:lineRule="auto"/>
        <w:jc w:val="both"/>
      </w:pPr>
      <w:r>
        <w:t xml:space="preserve">Average prices </w:t>
      </w:r>
      <w:r w:rsidR="00E938B4">
        <w:t>were significantly higher than the previous week</w:t>
      </w:r>
      <w:r>
        <w:t xml:space="preserve"> across all markets. The smallest price increase was in Sydney, at 31 per cent. Prices in Adelaid</w:t>
      </w:r>
      <w:r w:rsidR="0090044A">
        <w:t>e increased the most, at 67 per cent.</w:t>
      </w:r>
      <w:r w:rsidR="00B56814">
        <w:t xml:space="preserve"> Prices may have been influenced by </w:t>
      </w:r>
      <w:r w:rsidR="001347FC">
        <w:t xml:space="preserve">an </w:t>
      </w:r>
      <w:r w:rsidR="00B56814">
        <w:t xml:space="preserve">overall </w:t>
      </w:r>
      <w:r w:rsidR="001347FC">
        <w:t xml:space="preserve">increase in </w:t>
      </w:r>
      <w:r w:rsidR="00B56814">
        <w:t>gas flows towards Queensland’s LNG export facilities, and maintenance at Longford affecting gas supplies into Victoria.</w:t>
      </w:r>
    </w:p>
    <w:p w:rsidR="00F87375" w:rsidRDefault="003216CA" w:rsidP="0082168C">
      <w:pPr>
        <w:pStyle w:val="AERbodytext"/>
        <w:spacing w:line="240" w:lineRule="auto"/>
        <w:jc w:val="both"/>
      </w:pPr>
      <w:r w:rsidRPr="003216CA">
        <w:t>Bellevue</w:t>
      </w:r>
      <w:r w:rsidR="004814EE">
        <w:t xml:space="preserve"> gas plant </w:t>
      </w:r>
      <w:r w:rsidR="00E938B4">
        <w:t>restarted</w:t>
      </w:r>
      <w:r w:rsidRPr="003216CA">
        <w:t xml:space="preserve"> production from 11 December</w:t>
      </w:r>
      <w:r w:rsidR="00642B9F">
        <w:t>.</w:t>
      </w:r>
      <w:r w:rsidR="00642B9F">
        <w:rPr>
          <w:rStyle w:val="FootnoteReference"/>
        </w:rPr>
        <w:footnoteReference w:id="1"/>
      </w:r>
      <w:r w:rsidRPr="003216CA">
        <w:t xml:space="preserve"> </w:t>
      </w:r>
      <w:r w:rsidR="00642B9F">
        <w:t>Around the same time,</w:t>
      </w:r>
      <w:r w:rsidRPr="003216CA">
        <w:t xml:space="preserve"> QCLNG shipments</w:t>
      </w:r>
      <w:r w:rsidR="00527765">
        <w:t xml:space="preserve"> on the Wallumbilla to Gladstone pipeline</w:t>
      </w:r>
      <w:r w:rsidR="00527765" w:rsidRPr="003216CA">
        <w:t xml:space="preserve"> </w:t>
      </w:r>
      <w:r w:rsidRPr="003216CA">
        <w:t>to Curtis Island increased</w:t>
      </w:r>
      <w:r w:rsidR="00E938B4">
        <w:t>.</w:t>
      </w:r>
      <w:r w:rsidRPr="00F705F1">
        <w:rPr>
          <w:vertAlign w:val="superscript"/>
        </w:rPr>
        <w:footnoteReference w:id="2"/>
      </w:r>
      <w:r w:rsidRPr="003216CA">
        <w:t xml:space="preserve"> </w:t>
      </w:r>
      <w:r w:rsidR="00527765">
        <w:t>While flows</w:t>
      </w:r>
      <w:r w:rsidRPr="003216CA">
        <w:t xml:space="preserve"> on the APLNG pipeline gradually decreased over the week</w:t>
      </w:r>
      <w:r w:rsidR="001347FC">
        <w:t>,</w:t>
      </w:r>
      <w:r w:rsidRPr="003216CA">
        <w:t xml:space="preserve"> and GLNG flows decreased from aroun</w:t>
      </w:r>
      <w:r w:rsidR="00524B11">
        <w:t>d mid-week</w:t>
      </w:r>
      <w:r w:rsidR="00527765">
        <w:t>, these changes were small in comparison.</w:t>
      </w:r>
      <w:r w:rsidR="00642B9F">
        <w:rPr>
          <w:rStyle w:val="FootnoteReference"/>
        </w:rPr>
        <w:footnoteReference w:id="3"/>
      </w:r>
      <w:r w:rsidR="00527765">
        <w:t xml:space="preserve"> </w:t>
      </w:r>
    </w:p>
    <w:p w:rsidR="0082168C" w:rsidRPr="003216CA" w:rsidRDefault="000C2657" w:rsidP="0082168C">
      <w:pPr>
        <w:pStyle w:val="AERbodytext"/>
        <w:spacing w:line="240" w:lineRule="auto"/>
        <w:jc w:val="both"/>
      </w:pPr>
      <w:r>
        <w:t>Planned maintenance at</w:t>
      </w:r>
      <w:r w:rsidR="0082168C">
        <w:t xml:space="preserve"> Longford significantly reduced the amount of gas it could supply into Victoria</w:t>
      </w:r>
      <w:r w:rsidR="00CE58FB">
        <w:t xml:space="preserve"> (see figure 1.5)</w:t>
      </w:r>
      <w:r w:rsidR="0082168C">
        <w:t xml:space="preserve">. </w:t>
      </w:r>
      <w:r w:rsidR="00CE58FB">
        <w:t xml:space="preserve">The outage </w:t>
      </w:r>
      <w:r>
        <w:t>contributed to price increases</w:t>
      </w:r>
      <w:r w:rsidR="00CE58FB">
        <w:t xml:space="preserve"> towards the end of the week in both Victoria and Adelaide </w:t>
      </w:r>
      <w:r w:rsidR="00CE58FB" w:rsidRPr="003216CA">
        <w:t>(see figures 1.1 and 3.1)</w:t>
      </w:r>
      <w:r w:rsidR="00CE58FB">
        <w:t>.</w:t>
      </w:r>
      <w:r w:rsidR="00F87375">
        <w:t xml:space="preserve"> </w:t>
      </w:r>
      <w:r w:rsidR="0082168C" w:rsidRPr="003216CA">
        <w:t>On 18 December, the gas market prices peaked at $10/GJ in Ad</w:t>
      </w:r>
      <w:r w:rsidR="00F87375">
        <w:t>elaide and $7.73/GJ in Victoria. This is explained in further detail under ‘detailed market analysis’ below.</w:t>
      </w:r>
    </w:p>
    <w:p w:rsidR="00AF2164" w:rsidRPr="00D1641C" w:rsidRDefault="00AF2164" w:rsidP="006E7E57">
      <w:pPr>
        <w:pStyle w:val="Heading1"/>
        <w:numPr>
          <w:ilvl w:val="0"/>
          <w:numId w:val="0"/>
        </w:numPr>
        <w:spacing w:before="180"/>
        <w:rPr>
          <w:rFonts w:cs="Times New Roman"/>
          <w:noProof/>
          <w:color w:val="2272A3"/>
          <w:kern w:val="0"/>
          <w:szCs w:val="20"/>
          <w:lang w:eastAsia="en-US"/>
        </w:rPr>
      </w:pPr>
      <w:r w:rsidRPr="00AF2164">
        <w:rPr>
          <w:rFonts w:cs="Times New Roman"/>
          <w:noProof/>
          <w:color w:val="2272A3"/>
          <w:kern w:val="0"/>
          <w:szCs w:val="20"/>
          <w:lang w:eastAsia="en-US"/>
        </w:rPr>
        <w:t>Long term statistics and explanatory mate</w:t>
      </w:r>
      <w:r w:rsidR="007D470C">
        <w:rPr>
          <w:rFonts w:cs="Times New Roman"/>
          <w:noProof/>
          <w:color w:val="2272A3"/>
          <w:kern w:val="0"/>
          <w:szCs w:val="20"/>
          <w:lang w:eastAsia="en-US"/>
        </w:rPr>
        <w:t>rial</w:t>
      </w:r>
    </w:p>
    <w:p w:rsidR="00AF2164" w:rsidRPr="00AF2164" w:rsidRDefault="00AF2164" w:rsidP="00FF0D8A">
      <w:pPr>
        <w:jc w:val="both"/>
      </w:pPr>
      <w:r>
        <w:t xml:space="preserve">The AER has published an </w:t>
      </w:r>
      <w:hyperlink r:id="rId11" w:history="1">
        <w:r>
          <w:rPr>
            <w:rStyle w:val="Hyperlink"/>
          </w:rPr>
          <w:t>explanatory note</w:t>
        </w:r>
      </w:hyperlink>
      <w:r>
        <w:t xml:space="preserve"> to assist with interpreting the data presented in its weekly gas market reports. The AER also publish a range of </w:t>
      </w:r>
      <w:hyperlink r:id="rId12" w:history="1">
        <w:r>
          <w:rPr>
            <w:rStyle w:val="Hyperlink"/>
          </w:rPr>
          <w:t>longer term statistics</w:t>
        </w:r>
      </w:hyperlink>
      <w:r>
        <w:t xml:space="preserve"> on the performance of the gas sector including gas prices, production, pipeline flows and consumer demand.</w:t>
      </w:r>
      <w:bookmarkStart w:id="2" w:name="_GoBack"/>
      <w:bookmarkEnd w:id="2"/>
    </w:p>
    <w:p w:rsidR="00AF2164" w:rsidRPr="00D1641C" w:rsidRDefault="00AF2164" w:rsidP="006E7E57">
      <w:pPr>
        <w:pStyle w:val="Heading1"/>
        <w:numPr>
          <w:ilvl w:val="0"/>
          <w:numId w:val="0"/>
        </w:numPr>
        <w:spacing w:before="180"/>
        <w:rPr>
          <w:rFonts w:cs="Times New Roman"/>
          <w:noProof/>
          <w:color w:val="2272A3"/>
          <w:kern w:val="0"/>
          <w:szCs w:val="20"/>
          <w:lang w:eastAsia="en-US"/>
        </w:rPr>
      </w:pPr>
      <w:r w:rsidRPr="00D1641C">
        <w:rPr>
          <w:rFonts w:cs="Times New Roman"/>
          <w:noProof/>
          <w:color w:val="2272A3"/>
          <w:kern w:val="0"/>
          <w:szCs w:val="20"/>
          <w:lang w:eastAsia="en-US"/>
        </w:rPr>
        <w:t>Market overview</w:t>
      </w:r>
    </w:p>
    <w:p w:rsidR="00D1641C" w:rsidRDefault="00D1641C" w:rsidP="00FF0D8A">
      <w:pPr>
        <w:jc w:val="both"/>
        <w:rPr>
          <w:szCs w:val="22"/>
        </w:rPr>
      </w:pPr>
      <w:r w:rsidRPr="008D4DAB">
        <w:t xml:space="preserve">Figure 1 sets out the average daily prices ($/GJ) in the Victorian Declared Wholesale Market </w:t>
      </w:r>
      <w:r w:rsidRPr="000F2287">
        <w:rPr>
          <w:b/>
          <w:szCs w:val="22"/>
        </w:rPr>
        <w:t>(VGM or Victorian gas market)</w:t>
      </w:r>
      <w:r w:rsidRPr="000F2287">
        <w:rPr>
          <w:szCs w:val="22"/>
        </w:rPr>
        <w:t xml:space="preserve"> and for the Sydney </w:t>
      </w:r>
      <w:r w:rsidRPr="000F2287">
        <w:rPr>
          <w:b/>
          <w:szCs w:val="22"/>
        </w:rPr>
        <w:t>(SYD)</w:t>
      </w:r>
      <w:r w:rsidRPr="000F2287">
        <w:rPr>
          <w:szCs w:val="22"/>
        </w:rPr>
        <w:t xml:space="preserve">, Adelaide </w:t>
      </w:r>
      <w:r w:rsidRPr="000F2287">
        <w:rPr>
          <w:b/>
          <w:szCs w:val="22"/>
        </w:rPr>
        <w:t xml:space="preserve">(ADL) </w:t>
      </w:r>
      <w:r w:rsidRPr="000F2287">
        <w:rPr>
          <w:szCs w:val="22"/>
        </w:rPr>
        <w:t xml:space="preserve">and Brisbane </w:t>
      </w:r>
      <w:r w:rsidRPr="000F2287">
        <w:rPr>
          <w:b/>
          <w:szCs w:val="22"/>
        </w:rPr>
        <w:t xml:space="preserve">(BRI) </w:t>
      </w:r>
      <w:r w:rsidRPr="000F2287">
        <w:rPr>
          <w:szCs w:val="22"/>
        </w:rPr>
        <w:t xml:space="preserve">Short Term Trading Market hubs </w:t>
      </w:r>
      <w:r w:rsidRPr="000F2287">
        <w:rPr>
          <w:b/>
          <w:szCs w:val="22"/>
        </w:rPr>
        <w:t>(STTM)</w:t>
      </w:r>
      <w:r w:rsidRPr="000F2287">
        <w:rPr>
          <w:szCs w:val="22"/>
        </w:rPr>
        <w:t xml:space="preserve"> for the current week compared to historical averages.</w:t>
      </w:r>
    </w:p>
    <w:p w:rsidR="00C25FEB" w:rsidRDefault="00C25FEB" w:rsidP="00FF0D8A">
      <w:pPr>
        <w:jc w:val="both"/>
        <w:rPr>
          <w:szCs w:val="22"/>
        </w:rPr>
      </w:pPr>
    </w:p>
    <w:p w:rsidR="00C25FEB" w:rsidRDefault="00C25FEB" w:rsidP="00FF0D8A">
      <w:pPr>
        <w:jc w:val="both"/>
        <w:rPr>
          <w:szCs w:val="22"/>
        </w:rPr>
      </w:pPr>
    </w:p>
    <w:p w:rsidR="00C25FEB" w:rsidRDefault="00C25FEB" w:rsidP="00FF0D8A">
      <w:pPr>
        <w:jc w:val="both"/>
        <w:rPr>
          <w:szCs w:val="22"/>
        </w:rPr>
      </w:pPr>
    </w:p>
    <w:p w:rsidR="00D1641C" w:rsidRDefault="00D1641C" w:rsidP="006E7E57">
      <w:pPr>
        <w:pStyle w:val="Heading2"/>
        <w:ind w:firstLine="0"/>
        <w:rPr>
          <w:i w:val="0"/>
          <w:color w:val="2272A3"/>
          <w:sz w:val="24"/>
          <w:szCs w:val="24"/>
        </w:rPr>
      </w:pPr>
      <w:r w:rsidRPr="006E7E57">
        <w:rPr>
          <w:i w:val="0"/>
          <w:color w:val="2272A3"/>
          <w:sz w:val="24"/>
          <w:szCs w:val="24"/>
        </w:rPr>
        <w:t>Average daily prices – all markets ($/GJ)</w:t>
      </w:r>
      <w:r w:rsidRPr="006E7E57">
        <w:rPr>
          <w:i w:val="0"/>
          <w:color w:val="2272A3"/>
          <w:sz w:val="24"/>
          <w:szCs w:val="24"/>
          <w:vertAlign w:val="superscript"/>
        </w:rPr>
        <w:footnoteReference w:id="4"/>
      </w:r>
    </w:p>
    <w:tbl>
      <w:tblPr>
        <w:tblStyle w:val="AERTable-Text0"/>
        <w:tblW w:w="4858" w:type="pct"/>
        <w:tblLook w:val="04A0" w:firstRow="1" w:lastRow="0" w:firstColumn="1" w:lastColumn="0" w:noHBand="0" w:noVBand="1"/>
      </w:tblPr>
      <w:tblGrid>
        <w:gridCol w:w="3650"/>
        <w:gridCol w:w="1420"/>
        <w:gridCol w:w="1418"/>
        <w:gridCol w:w="1418"/>
        <w:gridCol w:w="1558"/>
      </w:tblGrid>
      <w:tr w:rsidR="003F44B7" w:rsidRPr="00DC24BF" w:rsidTr="003F44B7">
        <w:trPr>
          <w:cnfStyle w:val="100000000000" w:firstRow="1" w:lastRow="0" w:firstColumn="0" w:lastColumn="0" w:oddVBand="0" w:evenVBand="0" w:oddHBand="0" w:evenHBand="0" w:firstRowFirstColumn="0" w:firstRowLastColumn="0" w:lastRowFirstColumn="0" w:lastRowLastColumn="0"/>
          <w:tblHeader/>
        </w:trPr>
        <w:tc>
          <w:tcPr>
            <w:tcW w:w="1928" w:type="pct"/>
            <w:tcBorders>
              <w:bottom w:val="nil"/>
            </w:tcBorders>
            <w:hideMark/>
          </w:tcPr>
          <w:p w:rsidR="003F44B7" w:rsidRPr="00DC24BF" w:rsidRDefault="003F44B7" w:rsidP="00ED3374">
            <w:pPr>
              <w:pStyle w:val="TableHeading"/>
              <w:jc w:val="center"/>
              <w:rPr>
                <w:rFonts w:cs="Arial"/>
                <w:sz w:val="20"/>
                <w:szCs w:val="20"/>
              </w:rPr>
            </w:pPr>
            <w:r>
              <w:rPr>
                <w:rFonts w:cs="Arial"/>
                <w:sz w:val="20"/>
                <w:szCs w:val="20"/>
              </w:rPr>
              <w:t>Region</w:t>
            </w:r>
          </w:p>
        </w:tc>
        <w:tc>
          <w:tcPr>
            <w:tcW w:w="750" w:type="pct"/>
            <w:tcBorders>
              <w:bottom w:val="nil"/>
            </w:tcBorders>
          </w:tcPr>
          <w:p w:rsidR="003F44B7" w:rsidRPr="00936A7B" w:rsidRDefault="003F44B7" w:rsidP="00ED3374">
            <w:pPr>
              <w:jc w:val="center"/>
              <w:rPr>
                <w:sz w:val="20"/>
              </w:rPr>
            </w:pPr>
            <w:r w:rsidRPr="00936A7B">
              <w:rPr>
                <w:sz w:val="20"/>
              </w:rPr>
              <w:t>Victoria</w:t>
            </w:r>
          </w:p>
        </w:tc>
        <w:tc>
          <w:tcPr>
            <w:tcW w:w="749" w:type="pct"/>
            <w:tcBorders>
              <w:bottom w:val="nil"/>
            </w:tcBorders>
            <w:hideMark/>
          </w:tcPr>
          <w:p w:rsidR="003F44B7" w:rsidRPr="00936A7B" w:rsidRDefault="003F44B7" w:rsidP="00ED3374">
            <w:pPr>
              <w:jc w:val="center"/>
              <w:rPr>
                <w:sz w:val="20"/>
              </w:rPr>
            </w:pPr>
            <w:r w:rsidRPr="00936A7B">
              <w:rPr>
                <w:sz w:val="20"/>
              </w:rPr>
              <w:t>Sydney</w:t>
            </w:r>
          </w:p>
        </w:tc>
        <w:tc>
          <w:tcPr>
            <w:tcW w:w="749" w:type="pct"/>
            <w:tcBorders>
              <w:bottom w:val="nil"/>
            </w:tcBorders>
            <w:hideMark/>
          </w:tcPr>
          <w:p w:rsidR="003F44B7" w:rsidRPr="00936A7B" w:rsidRDefault="003F44B7" w:rsidP="00ED3374">
            <w:pPr>
              <w:jc w:val="center"/>
              <w:rPr>
                <w:sz w:val="20"/>
              </w:rPr>
            </w:pPr>
            <w:r w:rsidRPr="00936A7B">
              <w:rPr>
                <w:sz w:val="20"/>
              </w:rPr>
              <w:t>Adelaide</w:t>
            </w:r>
          </w:p>
        </w:tc>
        <w:tc>
          <w:tcPr>
            <w:tcW w:w="823" w:type="pct"/>
            <w:tcBorders>
              <w:bottom w:val="nil"/>
            </w:tcBorders>
            <w:hideMark/>
          </w:tcPr>
          <w:p w:rsidR="003F44B7" w:rsidRPr="00936A7B" w:rsidRDefault="003F44B7" w:rsidP="00ED3374">
            <w:pPr>
              <w:jc w:val="center"/>
              <w:rPr>
                <w:sz w:val="20"/>
              </w:rPr>
            </w:pPr>
            <w:r w:rsidRPr="00936A7B">
              <w:rPr>
                <w:sz w:val="20"/>
              </w:rPr>
              <w:t>Brisbane</w:t>
            </w:r>
          </w:p>
        </w:tc>
      </w:tr>
      <w:tr w:rsidR="00A71E47" w:rsidRPr="0091453B" w:rsidTr="00ED3374">
        <w:trPr>
          <w:trHeight w:val="510"/>
        </w:trPr>
        <w:tc>
          <w:tcPr>
            <w:tcW w:w="1928" w:type="pct"/>
            <w:tcBorders>
              <w:top w:val="nil"/>
              <w:bottom w:val="nil"/>
            </w:tcBorders>
            <w:vAlign w:val="center"/>
          </w:tcPr>
          <w:p w:rsidR="00A71E47" w:rsidRDefault="00A71E47">
            <w:pPr>
              <w:rPr>
                <w:rFonts w:cs="Arial"/>
                <w:sz w:val="20"/>
                <w:szCs w:val="20"/>
              </w:rPr>
            </w:pPr>
            <w:r>
              <w:rPr>
                <w:rFonts w:cs="Arial"/>
                <w:sz w:val="20"/>
                <w:szCs w:val="20"/>
              </w:rPr>
              <w:t>13 Dec - 19 Dec 2015</w:t>
            </w:r>
          </w:p>
        </w:tc>
        <w:tc>
          <w:tcPr>
            <w:tcW w:w="750" w:type="pct"/>
            <w:tcBorders>
              <w:top w:val="nil"/>
              <w:bottom w:val="nil"/>
            </w:tcBorders>
            <w:vAlign w:val="center"/>
          </w:tcPr>
          <w:p w:rsidR="00A71E47" w:rsidRDefault="00A71E47">
            <w:pPr>
              <w:jc w:val="center"/>
              <w:rPr>
                <w:rFonts w:cs="Arial"/>
                <w:sz w:val="20"/>
                <w:szCs w:val="20"/>
              </w:rPr>
            </w:pPr>
            <w:r>
              <w:rPr>
                <w:rFonts w:cs="Arial"/>
                <w:sz w:val="20"/>
                <w:szCs w:val="20"/>
              </w:rPr>
              <w:t>5.19</w:t>
            </w:r>
          </w:p>
        </w:tc>
        <w:tc>
          <w:tcPr>
            <w:tcW w:w="749" w:type="pct"/>
            <w:tcBorders>
              <w:top w:val="nil"/>
              <w:bottom w:val="nil"/>
            </w:tcBorders>
            <w:vAlign w:val="center"/>
          </w:tcPr>
          <w:p w:rsidR="00A71E47" w:rsidRDefault="00A71E47">
            <w:pPr>
              <w:jc w:val="center"/>
              <w:rPr>
                <w:rFonts w:cs="Arial"/>
                <w:sz w:val="20"/>
                <w:szCs w:val="20"/>
              </w:rPr>
            </w:pPr>
            <w:r>
              <w:rPr>
                <w:rFonts w:cs="Arial"/>
                <w:sz w:val="20"/>
                <w:szCs w:val="20"/>
              </w:rPr>
              <w:t>4.91</w:t>
            </w:r>
          </w:p>
        </w:tc>
        <w:tc>
          <w:tcPr>
            <w:tcW w:w="749" w:type="pct"/>
            <w:tcBorders>
              <w:top w:val="nil"/>
              <w:bottom w:val="nil"/>
            </w:tcBorders>
            <w:vAlign w:val="center"/>
          </w:tcPr>
          <w:p w:rsidR="00A71E47" w:rsidRDefault="00A71E47">
            <w:pPr>
              <w:jc w:val="center"/>
              <w:rPr>
                <w:rFonts w:cs="Arial"/>
                <w:sz w:val="20"/>
                <w:szCs w:val="20"/>
              </w:rPr>
            </w:pPr>
            <w:r>
              <w:rPr>
                <w:rFonts w:cs="Arial"/>
                <w:sz w:val="20"/>
                <w:szCs w:val="20"/>
              </w:rPr>
              <w:t>6.64</w:t>
            </w:r>
          </w:p>
        </w:tc>
        <w:tc>
          <w:tcPr>
            <w:tcW w:w="823" w:type="pct"/>
            <w:tcBorders>
              <w:top w:val="nil"/>
              <w:bottom w:val="nil"/>
            </w:tcBorders>
            <w:vAlign w:val="center"/>
          </w:tcPr>
          <w:p w:rsidR="00A71E47" w:rsidRDefault="00A71E47">
            <w:pPr>
              <w:jc w:val="center"/>
              <w:rPr>
                <w:rFonts w:cs="Arial"/>
                <w:sz w:val="20"/>
                <w:szCs w:val="20"/>
              </w:rPr>
            </w:pPr>
            <w:r>
              <w:rPr>
                <w:rFonts w:cs="Arial"/>
                <w:sz w:val="20"/>
                <w:szCs w:val="20"/>
              </w:rPr>
              <w:t>4.12</w:t>
            </w:r>
          </w:p>
        </w:tc>
      </w:tr>
      <w:tr w:rsidR="00A71E47" w:rsidRPr="0091453B" w:rsidTr="00ED3374">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nil"/>
            </w:tcBorders>
            <w:vAlign w:val="center"/>
          </w:tcPr>
          <w:p w:rsidR="00A71E47" w:rsidRDefault="00A71E47">
            <w:pPr>
              <w:rPr>
                <w:rFonts w:cs="Arial"/>
                <w:sz w:val="20"/>
                <w:szCs w:val="20"/>
              </w:rPr>
            </w:pPr>
            <w:r>
              <w:rPr>
                <w:rFonts w:cs="Arial"/>
                <w:sz w:val="20"/>
                <w:szCs w:val="20"/>
              </w:rPr>
              <w:lastRenderedPageBreak/>
              <w:t>% change from previous week</w:t>
            </w:r>
          </w:p>
        </w:tc>
        <w:tc>
          <w:tcPr>
            <w:tcW w:w="750" w:type="pct"/>
            <w:tcBorders>
              <w:top w:val="nil"/>
              <w:bottom w:val="nil"/>
            </w:tcBorders>
            <w:vAlign w:val="center"/>
          </w:tcPr>
          <w:p w:rsidR="00A71E47" w:rsidRDefault="00A71E47">
            <w:pPr>
              <w:jc w:val="center"/>
              <w:rPr>
                <w:rFonts w:cs="Arial"/>
                <w:sz w:val="20"/>
                <w:szCs w:val="20"/>
              </w:rPr>
            </w:pPr>
            <w:r>
              <w:rPr>
                <w:rFonts w:cs="Arial"/>
                <w:sz w:val="20"/>
                <w:szCs w:val="20"/>
              </w:rPr>
              <w:t>41</w:t>
            </w:r>
          </w:p>
        </w:tc>
        <w:tc>
          <w:tcPr>
            <w:tcW w:w="749" w:type="pct"/>
            <w:tcBorders>
              <w:top w:val="nil"/>
              <w:bottom w:val="nil"/>
            </w:tcBorders>
            <w:vAlign w:val="center"/>
          </w:tcPr>
          <w:p w:rsidR="00A71E47" w:rsidRDefault="00A71E47">
            <w:pPr>
              <w:jc w:val="center"/>
              <w:rPr>
                <w:rFonts w:cs="Arial"/>
                <w:sz w:val="20"/>
                <w:szCs w:val="20"/>
              </w:rPr>
            </w:pPr>
            <w:r>
              <w:rPr>
                <w:rFonts w:cs="Arial"/>
                <w:sz w:val="20"/>
                <w:szCs w:val="20"/>
              </w:rPr>
              <w:t>31</w:t>
            </w:r>
          </w:p>
        </w:tc>
        <w:tc>
          <w:tcPr>
            <w:tcW w:w="749" w:type="pct"/>
            <w:tcBorders>
              <w:top w:val="nil"/>
              <w:bottom w:val="nil"/>
            </w:tcBorders>
            <w:vAlign w:val="center"/>
          </w:tcPr>
          <w:p w:rsidR="00A71E47" w:rsidRDefault="00A71E47">
            <w:pPr>
              <w:jc w:val="center"/>
              <w:rPr>
                <w:rFonts w:cs="Arial"/>
                <w:sz w:val="20"/>
                <w:szCs w:val="20"/>
              </w:rPr>
            </w:pPr>
            <w:r>
              <w:rPr>
                <w:rFonts w:cs="Arial"/>
                <w:sz w:val="20"/>
                <w:szCs w:val="20"/>
              </w:rPr>
              <w:t>67</w:t>
            </w:r>
          </w:p>
        </w:tc>
        <w:tc>
          <w:tcPr>
            <w:tcW w:w="823" w:type="pct"/>
            <w:tcBorders>
              <w:top w:val="nil"/>
              <w:bottom w:val="nil"/>
            </w:tcBorders>
            <w:vAlign w:val="center"/>
          </w:tcPr>
          <w:p w:rsidR="00A71E47" w:rsidRDefault="00A71E47">
            <w:pPr>
              <w:jc w:val="center"/>
              <w:rPr>
                <w:rFonts w:cs="Arial"/>
                <w:sz w:val="20"/>
                <w:szCs w:val="20"/>
              </w:rPr>
            </w:pPr>
            <w:r>
              <w:rPr>
                <w:rFonts w:cs="Arial"/>
                <w:sz w:val="20"/>
                <w:szCs w:val="20"/>
              </w:rPr>
              <w:t>63</w:t>
            </w:r>
          </w:p>
        </w:tc>
      </w:tr>
      <w:tr w:rsidR="00A71E47" w:rsidRPr="0091453B" w:rsidTr="00ED3374">
        <w:trPr>
          <w:trHeight w:val="510"/>
        </w:trPr>
        <w:tc>
          <w:tcPr>
            <w:tcW w:w="1928" w:type="pct"/>
            <w:tcBorders>
              <w:top w:val="nil"/>
              <w:bottom w:val="nil"/>
            </w:tcBorders>
            <w:vAlign w:val="center"/>
          </w:tcPr>
          <w:p w:rsidR="00A71E47" w:rsidRDefault="00A71E47">
            <w:pPr>
              <w:rPr>
                <w:rFonts w:cs="Arial"/>
                <w:sz w:val="20"/>
                <w:szCs w:val="20"/>
              </w:rPr>
            </w:pPr>
            <w:r>
              <w:rPr>
                <w:rFonts w:cs="Arial"/>
                <w:sz w:val="20"/>
                <w:szCs w:val="20"/>
              </w:rPr>
              <w:t>15-16 financial YTD</w:t>
            </w:r>
          </w:p>
        </w:tc>
        <w:tc>
          <w:tcPr>
            <w:tcW w:w="750" w:type="pct"/>
            <w:tcBorders>
              <w:top w:val="nil"/>
              <w:bottom w:val="nil"/>
            </w:tcBorders>
            <w:vAlign w:val="center"/>
          </w:tcPr>
          <w:p w:rsidR="00A71E47" w:rsidRDefault="00A71E47">
            <w:pPr>
              <w:jc w:val="center"/>
              <w:rPr>
                <w:rFonts w:cs="Arial"/>
                <w:sz w:val="20"/>
                <w:szCs w:val="20"/>
              </w:rPr>
            </w:pPr>
            <w:r>
              <w:rPr>
                <w:rFonts w:cs="Arial"/>
                <w:sz w:val="20"/>
                <w:szCs w:val="20"/>
              </w:rPr>
              <w:t>4.42</w:t>
            </w:r>
          </w:p>
        </w:tc>
        <w:tc>
          <w:tcPr>
            <w:tcW w:w="749" w:type="pct"/>
            <w:tcBorders>
              <w:top w:val="nil"/>
              <w:bottom w:val="nil"/>
            </w:tcBorders>
            <w:vAlign w:val="center"/>
          </w:tcPr>
          <w:p w:rsidR="00A71E47" w:rsidRDefault="00A71E47">
            <w:pPr>
              <w:jc w:val="center"/>
              <w:rPr>
                <w:rFonts w:cs="Arial"/>
                <w:sz w:val="20"/>
                <w:szCs w:val="20"/>
              </w:rPr>
            </w:pPr>
            <w:r>
              <w:rPr>
                <w:rFonts w:cs="Arial"/>
                <w:sz w:val="20"/>
                <w:szCs w:val="20"/>
              </w:rPr>
              <w:t>4.61</w:t>
            </w:r>
          </w:p>
        </w:tc>
        <w:tc>
          <w:tcPr>
            <w:tcW w:w="749" w:type="pct"/>
            <w:tcBorders>
              <w:top w:val="nil"/>
              <w:bottom w:val="nil"/>
            </w:tcBorders>
            <w:vAlign w:val="center"/>
          </w:tcPr>
          <w:p w:rsidR="00A71E47" w:rsidRDefault="00A71E47">
            <w:pPr>
              <w:jc w:val="center"/>
              <w:rPr>
                <w:rFonts w:cs="Arial"/>
                <w:sz w:val="20"/>
                <w:szCs w:val="20"/>
              </w:rPr>
            </w:pPr>
            <w:r>
              <w:rPr>
                <w:rFonts w:cs="Arial"/>
                <w:sz w:val="20"/>
                <w:szCs w:val="20"/>
              </w:rPr>
              <w:t>5.03</w:t>
            </w:r>
          </w:p>
        </w:tc>
        <w:tc>
          <w:tcPr>
            <w:tcW w:w="823" w:type="pct"/>
            <w:tcBorders>
              <w:top w:val="nil"/>
              <w:bottom w:val="nil"/>
            </w:tcBorders>
            <w:vAlign w:val="center"/>
          </w:tcPr>
          <w:p w:rsidR="00A71E47" w:rsidRDefault="00A71E47">
            <w:pPr>
              <w:jc w:val="center"/>
              <w:rPr>
                <w:rFonts w:cs="Arial"/>
                <w:sz w:val="20"/>
                <w:szCs w:val="20"/>
              </w:rPr>
            </w:pPr>
            <w:r>
              <w:rPr>
                <w:rFonts w:cs="Arial"/>
                <w:sz w:val="20"/>
                <w:szCs w:val="20"/>
              </w:rPr>
              <w:t>3.67</w:t>
            </w:r>
          </w:p>
        </w:tc>
      </w:tr>
      <w:tr w:rsidR="00A71E47" w:rsidRPr="0091453B" w:rsidTr="00ED3374">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single" w:sz="4" w:space="0" w:color="auto"/>
            </w:tcBorders>
            <w:vAlign w:val="center"/>
          </w:tcPr>
          <w:p w:rsidR="00A71E47" w:rsidRDefault="00A71E47">
            <w:pPr>
              <w:rPr>
                <w:rFonts w:cs="Arial"/>
                <w:sz w:val="20"/>
                <w:szCs w:val="20"/>
              </w:rPr>
            </w:pPr>
            <w:r>
              <w:rPr>
                <w:rFonts w:cs="Arial"/>
                <w:sz w:val="20"/>
                <w:szCs w:val="20"/>
              </w:rPr>
              <w:t>% change from previous financial YTD</w:t>
            </w:r>
          </w:p>
        </w:tc>
        <w:tc>
          <w:tcPr>
            <w:tcW w:w="750" w:type="pct"/>
            <w:tcBorders>
              <w:top w:val="nil"/>
              <w:bottom w:val="single" w:sz="4" w:space="0" w:color="auto"/>
            </w:tcBorders>
            <w:vAlign w:val="center"/>
          </w:tcPr>
          <w:p w:rsidR="00A71E47" w:rsidRDefault="00A71E47">
            <w:pPr>
              <w:jc w:val="center"/>
              <w:rPr>
                <w:rFonts w:cs="Arial"/>
                <w:sz w:val="20"/>
                <w:szCs w:val="20"/>
              </w:rPr>
            </w:pPr>
            <w:r>
              <w:rPr>
                <w:rFonts w:cs="Arial"/>
                <w:sz w:val="20"/>
                <w:szCs w:val="20"/>
              </w:rPr>
              <w:t>27</w:t>
            </w:r>
          </w:p>
        </w:tc>
        <w:tc>
          <w:tcPr>
            <w:tcW w:w="749" w:type="pct"/>
            <w:tcBorders>
              <w:top w:val="nil"/>
              <w:bottom w:val="single" w:sz="4" w:space="0" w:color="auto"/>
            </w:tcBorders>
            <w:vAlign w:val="center"/>
          </w:tcPr>
          <w:p w:rsidR="00A71E47" w:rsidRDefault="00A71E47">
            <w:pPr>
              <w:jc w:val="center"/>
              <w:rPr>
                <w:rFonts w:cs="Arial"/>
                <w:sz w:val="20"/>
                <w:szCs w:val="20"/>
              </w:rPr>
            </w:pPr>
            <w:r>
              <w:rPr>
                <w:rFonts w:cs="Arial"/>
                <w:sz w:val="20"/>
                <w:szCs w:val="20"/>
              </w:rPr>
              <w:t>48</w:t>
            </w:r>
          </w:p>
        </w:tc>
        <w:tc>
          <w:tcPr>
            <w:tcW w:w="749" w:type="pct"/>
            <w:tcBorders>
              <w:top w:val="nil"/>
              <w:bottom w:val="single" w:sz="4" w:space="0" w:color="auto"/>
            </w:tcBorders>
            <w:vAlign w:val="center"/>
          </w:tcPr>
          <w:p w:rsidR="00A71E47" w:rsidRDefault="00A71E47">
            <w:pPr>
              <w:jc w:val="center"/>
              <w:rPr>
                <w:rFonts w:cs="Arial"/>
                <w:sz w:val="20"/>
                <w:szCs w:val="20"/>
              </w:rPr>
            </w:pPr>
            <w:r>
              <w:rPr>
                <w:rFonts w:cs="Arial"/>
                <w:sz w:val="20"/>
                <w:szCs w:val="20"/>
              </w:rPr>
              <w:t>43</w:t>
            </w:r>
          </w:p>
        </w:tc>
        <w:tc>
          <w:tcPr>
            <w:tcW w:w="823" w:type="pct"/>
            <w:tcBorders>
              <w:top w:val="nil"/>
              <w:bottom w:val="single" w:sz="4" w:space="0" w:color="auto"/>
            </w:tcBorders>
            <w:vAlign w:val="center"/>
          </w:tcPr>
          <w:p w:rsidR="00A71E47" w:rsidRDefault="00A71E47">
            <w:pPr>
              <w:jc w:val="center"/>
              <w:rPr>
                <w:rFonts w:cs="Arial"/>
                <w:sz w:val="20"/>
                <w:szCs w:val="20"/>
              </w:rPr>
            </w:pPr>
            <w:r>
              <w:rPr>
                <w:rFonts w:cs="Arial"/>
                <w:sz w:val="20"/>
                <w:szCs w:val="20"/>
              </w:rPr>
              <w:t>109</w:t>
            </w:r>
          </w:p>
        </w:tc>
      </w:tr>
    </w:tbl>
    <w:p w:rsidR="00FF0D8A" w:rsidRPr="008D4DAB" w:rsidRDefault="00FF0D8A" w:rsidP="00FF0D8A">
      <w:pPr>
        <w:pStyle w:val="AERbodytext"/>
        <w:spacing w:before="120" w:after="120"/>
        <w:jc w:val="both"/>
      </w:pPr>
      <w:r>
        <w:t>Figure</w:t>
      </w:r>
      <w:r w:rsidRPr="008D4DAB">
        <w:t xml:space="preserve"> 2 compare</w:t>
      </w:r>
      <w:r>
        <w:t>s</w:t>
      </w:r>
      <w:r w:rsidRPr="008D4DAB">
        <w:t xml:space="preserve"> average weekly gas prices, ancillary market payments and </w:t>
      </w:r>
      <w:r>
        <w:t>scheduled</w:t>
      </w:r>
      <w:r w:rsidRPr="008D4DAB">
        <w:t xml:space="preserve"> </w:t>
      </w:r>
      <w:r>
        <w:t>injections</w:t>
      </w:r>
      <w:r w:rsidRPr="008D4DAB">
        <w:t xml:space="preserve"> against historical averages for the </w:t>
      </w:r>
      <w:r>
        <w:t xml:space="preserve">Victorian </w:t>
      </w:r>
      <w:r w:rsidRPr="008D4DAB">
        <w:t>gas market.</w:t>
      </w:r>
    </w:p>
    <w:p w:rsidR="00D1641C" w:rsidRDefault="00FF0D8A" w:rsidP="00D1641C">
      <w:pPr>
        <w:pStyle w:val="Heading2"/>
        <w:ind w:firstLine="0"/>
        <w:rPr>
          <w:i w:val="0"/>
          <w:color w:val="2272A3"/>
          <w:sz w:val="24"/>
          <w:szCs w:val="24"/>
        </w:rPr>
      </w:pPr>
      <w:r w:rsidRPr="006E7E57">
        <w:rPr>
          <w:i w:val="0"/>
          <w:color w:val="2272A3"/>
          <w:sz w:val="24"/>
          <w:szCs w:val="24"/>
        </w:rPr>
        <w:t>Victorian Gas Market</w:t>
      </w:r>
    </w:p>
    <w:tbl>
      <w:tblPr>
        <w:tblStyle w:val="AERTable-Text0"/>
        <w:tblW w:w="4858" w:type="pct"/>
        <w:tblLook w:val="04A0" w:firstRow="1" w:lastRow="0" w:firstColumn="1" w:lastColumn="0" w:noHBand="0" w:noVBand="1"/>
      </w:tblPr>
      <w:tblGrid>
        <w:gridCol w:w="3649"/>
        <w:gridCol w:w="1418"/>
        <w:gridCol w:w="2128"/>
        <w:gridCol w:w="2269"/>
      </w:tblGrid>
      <w:tr w:rsidR="00F114D5" w:rsidRPr="00DC24BF" w:rsidTr="00F114D5">
        <w:trPr>
          <w:cnfStyle w:val="100000000000" w:firstRow="1" w:lastRow="0" w:firstColumn="0" w:lastColumn="0" w:oddVBand="0" w:evenVBand="0" w:oddHBand="0" w:evenHBand="0" w:firstRowFirstColumn="0" w:firstRowLastColumn="0" w:lastRowFirstColumn="0" w:lastRowLastColumn="0"/>
          <w:tblHeader/>
        </w:trPr>
        <w:tc>
          <w:tcPr>
            <w:tcW w:w="1928" w:type="pct"/>
            <w:tcBorders>
              <w:bottom w:val="nil"/>
            </w:tcBorders>
            <w:hideMark/>
          </w:tcPr>
          <w:p w:rsidR="00F114D5" w:rsidRPr="00DC24BF" w:rsidRDefault="00F114D5" w:rsidP="00ED3374">
            <w:pPr>
              <w:pStyle w:val="TableHeading"/>
              <w:jc w:val="center"/>
              <w:rPr>
                <w:rFonts w:cs="Arial"/>
                <w:sz w:val="20"/>
                <w:szCs w:val="20"/>
              </w:rPr>
            </w:pPr>
          </w:p>
        </w:tc>
        <w:tc>
          <w:tcPr>
            <w:tcW w:w="749" w:type="pct"/>
            <w:tcBorders>
              <w:bottom w:val="nil"/>
            </w:tcBorders>
            <w:hideMark/>
          </w:tcPr>
          <w:p w:rsidR="00F114D5" w:rsidRPr="002861A9" w:rsidRDefault="00F114D5" w:rsidP="00ED3374">
            <w:pPr>
              <w:keepNext/>
              <w:spacing w:before="40" w:after="40"/>
              <w:jc w:val="center"/>
              <w:rPr>
                <w:rFonts w:cs="Arial"/>
                <w:b w:val="0"/>
                <w:bCs/>
                <w:sz w:val="20"/>
                <w:szCs w:val="20"/>
              </w:rPr>
            </w:pPr>
            <w:r w:rsidRPr="002861A9">
              <w:rPr>
                <w:rFonts w:cs="Arial"/>
                <w:bCs/>
                <w:sz w:val="20"/>
                <w:szCs w:val="20"/>
              </w:rPr>
              <w:t>Price ($/GJ)</w:t>
            </w:r>
          </w:p>
        </w:tc>
        <w:tc>
          <w:tcPr>
            <w:tcW w:w="1124" w:type="pct"/>
            <w:tcBorders>
              <w:bottom w:val="nil"/>
            </w:tcBorders>
            <w:hideMark/>
          </w:tcPr>
          <w:p w:rsidR="00F114D5" w:rsidRPr="002861A9" w:rsidRDefault="00F114D5" w:rsidP="00ED3374">
            <w:pPr>
              <w:keepNext/>
              <w:spacing w:before="40" w:after="40"/>
              <w:jc w:val="center"/>
              <w:rPr>
                <w:rFonts w:cs="Arial"/>
                <w:b w:val="0"/>
                <w:bCs/>
                <w:sz w:val="20"/>
                <w:szCs w:val="20"/>
              </w:rPr>
            </w:pPr>
            <w:r w:rsidRPr="002861A9">
              <w:rPr>
                <w:rFonts w:cs="Arial"/>
                <w:bCs/>
                <w:sz w:val="20"/>
                <w:szCs w:val="20"/>
              </w:rPr>
              <w:t>Ancillary payments ($000)</w:t>
            </w:r>
            <w:r>
              <w:rPr>
                <w:rFonts w:cs="Arial"/>
                <w:bCs/>
                <w:sz w:val="20"/>
                <w:szCs w:val="20"/>
              </w:rPr>
              <w:t>*</w:t>
            </w:r>
          </w:p>
        </w:tc>
        <w:tc>
          <w:tcPr>
            <w:tcW w:w="1199" w:type="pct"/>
            <w:tcBorders>
              <w:bottom w:val="nil"/>
            </w:tcBorders>
            <w:hideMark/>
          </w:tcPr>
          <w:p w:rsidR="00F114D5" w:rsidRPr="002861A9" w:rsidRDefault="00F114D5" w:rsidP="00ED3374">
            <w:pPr>
              <w:keepNext/>
              <w:spacing w:before="40" w:after="40"/>
              <w:jc w:val="center"/>
              <w:rPr>
                <w:rFonts w:cs="Arial"/>
                <w:b w:val="0"/>
                <w:bCs/>
                <w:sz w:val="20"/>
                <w:szCs w:val="20"/>
              </w:rPr>
            </w:pPr>
            <w:r w:rsidRPr="002861A9">
              <w:rPr>
                <w:rFonts w:cs="Arial"/>
                <w:bCs/>
                <w:sz w:val="20"/>
                <w:szCs w:val="20"/>
              </w:rPr>
              <w:t>BOD forecast demand quantity (TJ)</w:t>
            </w:r>
          </w:p>
        </w:tc>
      </w:tr>
      <w:tr w:rsidR="00A71E47" w:rsidRPr="0091453B" w:rsidTr="00ED3374">
        <w:trPr>
          <w:trHeight w:val="510"/>
        </w:trPr>
        <w:tc>
          <w:tcPr>
            <w:tcW w:w="1928" w:type="pct"/>
            <w:tcBorders>
              <w:top w:val="nil"/>
              <w:bottom w:val="nil"/>
            </w:tcBorders>
            <w:vAlign w:val="center"/>
          </w:tcPr>
          <w:p w:rsidR="00A71E47" w:rsidRDefault="00A71E47">
            <w:pPr>
              <w:rPr>
                <w:rFonts w:cs="Arial"/>
                <w:sz w:val="20"/>
                <w:szCs w:val="20"/>
              </w:rPr>
            </w:pPr>
            <w:r>
              <w:rPr>
                <w:rFonts w:cs="Arial"/>
                <w:sz w:val="20"/>
                <w:szCs w:val="20"/>
              </w:rPr>
              <w:t>13 Dec - 19 Dec 2015</w:t>
            </w:r>
          </w:p>
        </w:tc>
        <w:tc>
          <w:tcPr>
            <w:tcW w:w="749" w:type="pct"/>
            <w:tcBorders>
              <w:top w:val="nil"/>
              <w:bottom w:val="nil"/>
            </w:tcBorders>
            <w:vAlign w:val="center"/>
          </w:tcPr>
          <w:p w:rsidR="00A71E47" w:rsidRDefault="00A71E47">
            <w:pPr>
              <w:jc w:val="center"/>
              <w:rPr>
                <w:rFonts w:cs="Arial"/>
                <w:sz w:val="20"/>
                <w:szCs w:val="20"/>
              </w:rPr>
            </w:pPr>
            <w:r>
              <w:rPr>
                <w:rFonts w:cs="Arial"/>
                <w:sz w:val="20"/>
                <w:szCs w:val="20"/>
              </w:rPr>
              <w:t>5.19</w:t>
            </w:r>
          </w:p>
        </w:tc>
        <w:tc>
          <w:tcPr>
            <w:tcW w:w="1124" w:type="pct"/>
            <w:tcBorders>
              <w:top w:val="nil"/>
              <w:bottom w:val="nil"/>
            </w:tcBorders>
            <w:vAlign w:val="center"/>
          </w:tcPr>
          <w:p w:rsidR="00A71E47" w:rsidRDefault="00A71E47">
            <w:pPr>
              <w:jc w:val="center"/>
              <w:rPr>
                <w:rFonts w:cs="Arial"/>
                <w:sz w:val="20"/>
                <w:szCs w:val="20"/>
              </w:rPr>
            </w:pPr>
            <w:r>
              <w:rPr>
                <w:rFonts w:cs="Arial"/>
                <w:sz w:val="20"/>
                <w:szCs w:val="20"/>
              </w:rPr>
              <w:t>-</w:t>
            </w:r>
          </w:p>
        </w:tc>
        <w:tc>
          <w:tcPr>
            <w:tcW w:w="1199" w:type="pct"/>
            <w:tcBorders>
              <w:top w:val="nil"/>
              <w:bottom w:val="nil"/>
            </w:tcBorders>
            <w:vAlign w:val="center"/>
          </w:tcPr>
          <w:p w:rsidR="00A71E47" w:rsidRDefault="00A71E47">
            <w:pPr>
              <w:jc w:val="center"/>
              <w:rPr>
                <w:rFonts w:cs="Arial"/>
                <w:sz w:val="20"/>
                <w:szCs w:val="20"/>
              </w:rPr>
            </w:pPr>
            <w:r>
              <w:rPr>
                <w:rFonts w:cs="Arial"/>
                <w:sz w:val="20"/>
                <w:szCs w:val="20"/>
              </w:rPr>
              <w:t>371</w:t>
            </w:r>
          </w:p>
        </w:tc>
      </w:tr>
      <w:tr w:rsidR="00A71E47" w:rsidRPr="0091453B" w:rsidTr="00ED3374">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nil"/>
            </w:tcBorders>
            <w:vAlign w:val="center"/>
          </w:tcPr>
          <w:p w:rsidR="00A71E47" w:rsidRDefault="00A71E47">
            <w:pPr>
              <w:rPr>
                <w:rFonts w:cs="Arial"/>
                <w:sz w:val="20"/>
                <w:szCs w:val="20"/>
              </w:rPr>
            </w:pPr>
            <w:r>
              <w:rPr>
                <w:rFonts w:cs="Arial"/>
                <w:sz w:val="20"/>
                <w:szCs w:val="20"/>
              </w:rPr>
              <w:t>% change from previous week</w:t>
            </w:r>
          </w:p>
        </w:tc>
        <w:tc>
          <w:tcPr>
            <w:tcW w:w="749" w:type="pct"/>
            <w:tcBorders>
              <w:top w:val="nil"/>
              <w:bottom w:val="nil"/>
            </w:tcBorders>
            <w:vAlign w:val="center"/>
          </w:tcPr>
          <w:p w:rsidR="00A71E47" w:rsidRDefault="00A71E47">
            <w:pPr>
              <w:jc w:val="center"/>
              <w:rPr>
                <w:rFonts w:cs="Arial"/>
                <w:sz w:val="20"/>
                <w:szCs w:val="20"/>
              </w:rPr>
            </w:pPr>
            <w:r>
              <w:rPr>
                <w:rFonts w:cs="Arial"/>
                <w:sz w:val="20"/>
                <w:szCs w:val="20"/>
              </w:rPr>
              <w:t>41</w:t>
            </w:r>
          </w:p>
        </w:tc>
        <w:tc>
          <w:tcPr>
            <w:tcW w:w="1124" w:type="pct"/>
            <w:tcBorders>
              <w:top w:val="nil"/>
              <w:bottom w:val="nil"/>
            </w:tcBorders>
            <w:vAlign w:val="center"/>
          </w:tcPr>
          <w:p w:rsidR="00A71E47" w:rsidRDefault="00A71E47">
            <w:pPr>
              <w:jc w:val="center"/>
              <w:rPr>
                <w:rFonts w:cs="Arial"/>
                <w:sz w:val="20"/>
                <w:szCs w:val="20"/>
              </w:rPr>
            </w:pPr>
            <w:r>
              <w:rPr>
                <w:rFonts w:cs="Arial"/>
                <w:sz w:val="20"/>
                <w:szCs w:val="20"/>
              </w:rPr>
              <w:t>-</w:t>
            </w:r>
          </w:p>
        </w:tc>
        <w:tc>
          <w:tcPr>
            <w:tcW w:w="1199" w:type="pct"/>
            <w:tcBorders>
              <w:top w:val="nil"/>
              <w:bottom w:val="nil"/>
            </w:tcBorders>
            <w:vAlign w:val="center"/>
          </w:tcPr>
          <w:p w:rsidR="00A71E47" w:rsidRDefault="00A71E47">
            <w:pPr>
              <w:jc w:val="center"/>
              <w:rPr>
                <w:rFonts w:cs="Arial"/>
                <w:sz w:val="20"/>
                <w:szCs w:val="20"/>
              </w:rPr>
            </w:pPr>
            <w:r>
              <w:rPr>
                <w:rFonts w:cs="Arial"/>
                <w:sz w:val="20"/>
                <w:szCs w:val="20"/>
              </w:rPr>
              <w:t>-1</w:t>
            </w:r>
          </w:p>
        </w:tc>
      </w:tr>
      <w:tr w:rsidR="00A71E47" w:rsidRPr="0091453B" w:rsidTr="00ED3374">
        <w:trPr>
          <w:trHeight w:val="510"/>
        </w:trPr>
        <w:tc>
          <w:tcPr>
            <w:tcW w:w="1928" w:type="pct"/>
            <w:tcBorders>
              <w:top w:val="nil"/>
              <w:bottom w:val="nil"/>
            </w:tcBorders>
            <w:vAlign w:val="center"/>
          </w:tcPr>
          <w:p w:rsidR="00A71E47" w:rsidRDefault="00A71E47">
            <w:pPr>
              <w:rPr>
                <w:rFonts w:cs="Arial"/>
                <w:sz w:val="20"/>
                <w:szCs w:val="20"/>
              </w:rPr>
            </w:pPr>
            <w:r>
              <w:rPr>
                <w:rFonts w:cs="Arial"/>
                <w:sz w:val="20"/>
                <w:szCs w:val="20"/>
              </w:rPr>
              <w:t>15-16 financial YTD</w:t>
            </w:r>
          </w:p>
        </w:tc>
        <w:tc>
          <w:tcPr>
            <w:tcW w:w="749" w:type="pct"/>
            <w:tcBorders>
              <w:top w:val="nil"/>
              <w:bottom w:val="nil"/>
            </w:tcBorders>
            <w:vAlign w:val="center"/>
          </w:tcPr>
          <w:p w:rsidR="00A71E47" w:rsidRDefault="00A71E47">
            <w:pPr>
              <w:jc w:val="center"/>
              <w:rPr>
                <w:rFonts w:cs="Arial"/>
                <w:sz w:val="20"/>
                <w:szCs w:val="20"/>
              </w:rPr>
            </w:pPr>
            <w:r>
              <w:rPr>
                <w:rFonts w:cs="Arial"/>
                <w:sz w:val="20"/>
                <w:szCs w:val="20"/>
              </w:rPr>
              <w:t>4.42</w:t>
            </w:r>
          </w:p>
        </w:tc>
        <w:tc>
          <w:tcPr>
            <w:tcW w:w="1124" w:type="pct"/>
            <w:tcBorders>
              <w:top w:val="nil"/>
              <w:bottom w:val="nil"/>
            </w:tcBorders>
            <w:vAlign w:val="center"/>
          </w:tcPr>
          <w:p w:rsidR="00A71E47" w:rsidRDefault="00A71E47">
            <w:pPr>
              <w:jc w:val="center"/>
              <w:rPr>
                <w:rFonts w:cs="Arial"/>
                <w:sz w:val="20"/>
                <w:szCs w:val="20"/>
              </w:rPr>
            </w:pPr>
            <w:r>
              <w:rPr>
                <w:rFonts w:cs="Arial"/>
                <w:sz w:val="20"/>
                <w:szCs w:val="20"/>
              </w:rPr>
              <w:t>-</w:t>
            </w:r>
          </w:p>
        </w:tc>
        <w:tc>
          <w:tcPr>
            <w:tcW w:w="1199" w:type="pct"/>
            <w:tcBorders>
              <w:top w:val="nil"/>
              <w:bottom w:val="nil"/>
            </w:tcBorders>
            <w:vAlign w:val="center"/>
          </w:tcPr>
          <w:p w:rsidR="00A71E47" w:rsidRDefault="00A71E47">
            <w:pPr>
              <w:jc w:val="center"/>
              <w:rPr>
                <w:rFonts w:cs="Arial"/>
                <w:sz w:val="20"/>
                <w:szCs w:val="20"/>
              </w:rPr>
            </w:pPr>
            <w:r>
              <w:rPr>
                <w:rFonts w:cs="Arial"/>
                <w:sz w:val="20"/>
                <w:szCs w:val="20"/>
              </w:rPr>
              <w:t>654</w:t>
            </w:r>
          </w:p>
        </w:tc>
      </w:tr>
      <w:tr w:rsidR="00A71E47" w:rsidRPr="0091453B" w:rsidTr="00ED3374">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single" w:sz="4" w:space="0" w:color="auto"/>
            </w:tcBorders>
            <w:vAlign w:val="center"/>
          </w:tcPr>
          <w:p w:rsidR="00A71E47" w:rsidRDefault="00A71E47">
            <w:pPr>
              <w:rPr>
                <w:rFonts w:cs="Arial"/>
                <w:sz w:val="20"/>
                <w:szCs w:val="20"/>
              </w:rPr>
            </w:pPr>
            <w:r>
              <w:rPr>
                <w:rFonts w:cs="Arial"/>
                <w:sz w:val="20"/>
                <w:szCs w:val="20"/>
              </w:rPr>
              <w:t xml:space="preserve">% change from previous financial YTD </w:t>
            </w:r>
          </w:p>
        </w:tc>
        <w:tc>
          <w:tcPr>
            <w:tcW w:w="749" w:type="pct"/>
            <w:tcBorders>
              <w:top w:val="nil"/>
              <w:bottom w:val="single" w:sz="4" w:space="0" w:color="auto"/>
            </w:tcBorders>
            <w:vAlign w:val="center"/>
          </w:tcPr>
          <w:p w:rsidR="00A71E47" w:rsidRDefault="00A71E47">
            <w:pPr>
              <w:jc w:val="center"/>
              <w:rPr>
                <w:rFonts w:cs="Arial"/>
                <w:sz w:val="20"/>
                <w:szCs w:val="20"/>
              </w:rPr>
            </w:pPr>
            <w:r>
              <w:rPr>
                <w:rFonts w:cs="Arial"/>
                <w:sz w:val="20"/>
                <w:szCs w:val="20"/>
              </w:rPr>
              <w:t>27</w:t>
            </w:r>
          </w:p>
        </w:tc>
        <w:tc>
          <w:tcPr>
            <w:tcW w:w="1124" w:type="pct"/>
            <w:tcBorders>
              <w:top w:val="nil"/>
              <w:bottom w:val="single" w:sz="4" w:space="0" w:color="auto"/>
            </w:tcBorders>
            <w:vAlign w:val="center"/>
          </w:tcPr>
          <w:p w:rsidR="00A71E47" w:rsidRDefault="00A71E47">
            <w:pPr>
              <w:jc w:val="center"/>
              <w:rPr>
                <w:rFonts w:cs="Arial"/>
                <w:sz w:val="20"/>
                <w:szCs w:val="20"/>
              </w:rPr>
            </w:pPr>
            <w:r>
              <w:rPr>
                <w:rFonts w:cs="Arial"/>
                <w:sz w:val="20"/>
                <w:szCs w:val="20"/>
              </w:rPr>
              <w:t>-</w:t>
            </w:r>
          </w:p>
        </w:tc>
        <w:tc>
          <w:tcPr>
            <w:tcW w:w="1199" w:type="pct"/>
            <w:tcBorders>
              <w:top w:val="nil"/>
              <w:bottom w:val="single" w:sz="4" w:space="0" w:color="auto"/>
            </w:tcBorders>
            <w:vAlign w:val="center"/>
          </w:tcPr>
          <w:p w:rsidR="00A71E47" w:rsidRDefault="00A71E47">
            <w:pPr>
              <w:jc w:val="center"/>
              <w:rPr>
                <w:rFonts w:cs="Arial"/>
                <w:sz w:val="20"/>
                <w:szCs w:val="20"/>
              </w:rPr>
            </w:pPr>
            <w:r>
              <w:rPr>
                <w:rFonts w:cs="Arial"/>
                <w:sz w:val="20"/>
                <w:szCs w:val="20"/>
              </w:rPr>
              <w:t>7</w:t>
            </w:r>
          </w:p>
        </w:tc>
      </w:tr>
    </w:tbl>
    <w:p w:rsidR="00FF0D8A" w:rsidRDefault="00FF0D8A" w:rsidP="00FF0D8A">
      <w:pPr>
        <w:pStyle w:val="AERbodytext"/>
        <w:spacing w:before="120" w:after="120"/>
        <w:jc w:val="both"/>
      </w:pPr>
      <w:r w:rsidRPr="006619E5">
        <w:rPr>
          <w:sz w:val="20"/>
        </w:rPr>
        <w:t>*</w:t>
      </w:r>
      <w:r w:rsidRPr="001420EB">
        <w:rPr>
          <w:sz w:val="20"/>
        </w:rPr>
        <w:t xml:space="preserve"> </w:t>
      </w:r>
      <w:r w:rsidRPr="006619E5">
        <w:rPr>
          <w:sz w:val="20"/>
        </w:rPr>
        <w:t>Note: only positive ancillary payments, reflecting system con</w:t>
      </w:r>
      <w:r>
        <w:rPr>
          <w:sz w:val="20"/>
        </w:rPr>
        <w:t>straints will be shown here.</w:t>
      </w:r>
      <w:r>
        <w:t xml:space="preserve"> </w:t>
      </w:r>
    </w:p>
    <w:p w:rsidR="00FF0D8A" w:rsidRDefault="00FF0D8A" w:rsidP="00FF0D8A">
      <w:pPr>
        <w:pStyle w:val="AERbodytext"/>
        <w:spacing w:before="120" w:after="120"/>
        <w:jc w:val="both"/>
      </w:pPr>
      <w:r>
        <w:t>More</w:t>
      </w:r>
      <w:r w:rsidRPr="00D329E0">
        <w:t xml:space="preserve"> </w:t>
      </w:r>
      <w:r>
        <w:t xml:space="preserve">detailed </w:t>
      </w:r>
      <w:r w:rsidRPr="00D329E0">
        <w:t xml:space="preserve">analysis on the </w:t>
      </w:r>
      <w:r>
        <w:t>VGM is provided in section 1</w:t>
      </w:r>
      <w:r w:rsidRPr="00D329E0">
        <w:t xml:space="preserve">. </w:t>
      </w:r>
    </w:p>
    <w:p w:rsidR="00C25FEB" w:rsidRDefault="00FF0D8A" w:rsidP="00FF0D8A">
      <w:pPr>
        <w:pStyle w:val="AERbodytext"/>
        <w:spacing w:before="120" w:after="120"/>
        <w:jc w:val="both"/>
      </w:pPr>
      <w:r w:rsidRPr="008D4DAB">
        <w:t xml:space="preserve">Figures </w:t>
      </w:r>
      <w:r>
        <w:t xml:space="preserve">3 to 5 show </w:t>
      </w:r>
      <w:r w:rsidRPr="008D4DAB">
        <w:t xml:space="preserve">average </w:t>
      </w:r>
      <w:r>
        <w:t xml:space="preserve">ex ante and ex post </w:t>
      </w:r>
      <w:r w:rsidRPr="008D4DAB">
        <w:t>gas prices</w:t>
      </w:r>
      <w:r>
        <w:t xml:space="preserve">, Market Operator Service </w:t>
      </w:r>
      <w:r w:rsidRPr="00950C55">
        <w:rPr>
          <w:b/>
        </w:rPr>
        <w:t>(MOS)</w:t>
      </w:r>
      <w:r>
        <w:t xml:space="preserve"> balancing gas service payments together with the related daily</w:t>
      </w:r>
      <w:r w:rsidRPr="008D4DAB">
        <w:t xml:space="preserve"> demand </w:t>
      </w:r>
      <w:r>
        <w:t xml:space="preserve">quantities against </w:t>
      </w:r>
      <w:r w:rsidRPr="008D4DAB">
        <w:t xml:space="preserve">historical averages </w:t>
      </w:r>
      <w:r>
        <w:t>for the Sydney, Adelaide and Brisbane STTM hubs, respectively.</w:t>
      </w:r>
    </w:p>
    <w:p w:rsidR="00C25FEB" w:rsidRDefault="00C25FEB" w:rsidP="00C25FEB">
      <w:pPr>
        <w:pStyle w:val="Heading2"/>
        <w:ind w:firstLine="0"/>
        <w:rPr>
          <w:i w:val="0"/>
          <w:color w:val="2272A3"/>
          <w:sz w:val="24"/>
          <w:szCs w:val="24"/>
        </w:rPr>
      </w:pPr>
      <w:r>
        <w:rPr>
          <w:i w:val="0"/>
          <w:color w:val="2272A3"/>
          <w:sz w:val="24"/>
          <w:szCs w:val="24"/>
        </w:rPr>
        <w:t>Sydney STTM</w:t>
      </w:r>
    </w:p>
    <w:tbl>
      <w:tblPr>
        <w:tblStyle w:val="AERTable-Text0"/>
        <w:tblW w:w="4785" w:type="pct"/>
        <w:tblLook w:val="04A0" w:firstRow="1" w:lastRow="0" w:firstColumn="1" w:lastColumn="0" w:noHBand="0" w:noVBand="1"/>
      </w:tblPr>
      <w:tblGrid>
        <w:gridCol w:w="2667"/>
        <w:gridCol w:w="1416"/>
        <w:gridCol w:w="1413"/>
        <w:gridCol w:w="1415"/>
        <w:gridCol w:w="1277"/>
        <w:gridCol w:w="1134"/>
      </w:tblGrid>
      <w:tr w:rsidR="00C25FEB" w:rsidRPr="00405CDE" w:rsidTr="00C966E3">
        <w:trPr>
          <w:cnfStyle w:val="100000000000" w:firstRow="1" w:lastRow="0" w:firstColumn="0" w:lastColumn="0" w:oddVBand="0" w:evenVBand="0" w:oddHBand="0" w:evenHBand="0" w:firstRowFirstColumn="0" w:firstRowLastColumn="0" w:lastRowFirstColumn="0" w:lastRowLastColumn="0"/>
          <w:tblHeader/>
        </w:trPr>
        <w:tc>
          <w:tcPr>
            <w:tcW w:w="1430" w:type="pct"/>
            <w:tcBorders>
              <w:bottom w:val="nil"/>
            </w:tcBorders>
            <w:hideMark/>
          </w:tcPr>
          <w:p w:rsidR="00C25FEB" w:rsidRPr="00DC24BF" w:rsidRDefault="00C25FEB" w:rsidP="00C966E3">
            <w:pPr>
              <w:pStyle w:val="TableHeading"/>
              <w:jc w:val="center"/>
              <w:rPr>
                <w:rFonts w:cs="Arial"/>
                <w:sz w:val="20"/>
                <w:szCs w:val="20"/>
              </w:rPr>
            </w:pPr>
          </w:p>
        </w:tc>
        <w:tc>
          <w:tcPr>
            <w:tcW w:w="759" w:type="pct"/>
            <w:tcBorders>
              <w:bottom w:val="nil"/>
            </w:tcBorders>
            <w:hideMark/>
          </w:tcPr>
          <w:p w:rsidR="00C25FEB" w:rsidRPr="002861A9" w:rsidRDefault="00C25FEB" w:rsidP="00C966E3">
            <w:pPr>
              <w:keepNext/>
              <w:spacing w:before="40" w:after="40"/>
              <w:jc w:val="center"/>
              <w:rPr>
                <w:rFonts w:cs="Arial"/>
                <w:b w:val="0"/>
                <w:bCs/>
                <w:sz w:val="20"/>
                <w:szCs w:val="20"/>
              </w:rPr>
            </w:pPr>
            <w:r w:rsidRPr="002861A9">
              <w:rPr>
                <w:rFonts w:cs="Arial"/>
                <w:bCs/>
                <w:sz w:val="20"/>
                <w:szCs w:val="20"/>
              </w:rPr>
              <w:t>Ex ante price ($/GJ)</w:t>
            </w:r>
          </w:p>
        </w:tc>
        <w:tc>
          <w:tcPr>
            <w:tcW w:w="758" w:type="pct"/>
            <w:tcBorders>
              <w:bottom w:val="nil"/>
            </w:tcBorders>
          </w:tcPr>
          <w:p w:rsidR="00C25FEB" w:rsidRPr="002861A9" w:rsidRDefault="00C25FEB" w:rsidP="00C966E3">
            <w:pPr>
              <w:keepNext/>
              <w:spacing w:before="40" w:after="40"/>
              <w:jc w:val="center"/>
              <w:rPr>
                <w:rFonts w:cs="Arial"/>
                <w:b w:val="0"/>
                <w:bCs/>
                <w:sz w:val="20"/>
                <w:szCs w:val="20"/>
              </w:rPr>
            </w:pPr>
            <w:r w:rsidRPr="002861A9">
              <w:rPr>
                <w:rFonts w:cs="Arial"/>
                <w:bCs/>
                <w:sz w:val="20"/>
                <w:szCs w:val="20"/>
              </w:rPr>
              <w:t>Ex post price ($/GJ)</w:t>
            </w:r>
          </w:p>
        </w:tc>
        <w:tc>
          <w:tcPr>
            <w:tcW w:w="759" w:type="pct"/>
            <w:tcBorders>
              <w:bottom w:val="nil"/>
            </w:tcBorders>
          </w:tcPr>
          <w:p w:rsidR="00C25FEB" w:rsidRPr="002861A9" w:rsidRDefault="00C25FEB" w:rsidP="00C966E3">
            <w:pPr>
              <w:keepNext/>
              <w:spacing w:before="40" w:after="40"/>
              <w:jc w:val="center"/>
              <w:rPr>
                <w:rFonts w:cs="Arial"/>
                <w:b w:val="0"/>
                <w:bCs/>
                <w:sz w:val="20"/>
                <w:szCs w:val="20"/>
              </w:rPr>
            </w:pPr>
            <w:r w:rsidRPr="002861A9">
              <w:rPr>
                <w:rFonts w:cs="Arial"/>
                <w:bCs/>
                <w:sz w:val="20"/>
                <w:szCs w:val="20"/>
              </w:rPr>
              <w:t>MOS payments ($000)</w:t>
            </w:r>
          </w:p>
        </w:tc>
        <w:tc>
          <w:tcPr>
            <w:tcW w:w="685" w:type="pct"/>
            <w:tcBorders>
              <w:bottom w:val="nil"/>
            </w:tcBorders>
            <w:hideMark/>
          </w:tcPr>
          <w:p w:rsidR="00C25FEB" w:rsidRPr="002861A9" w:rsidRDefault="00C25FEB" w:rsidP="00C966E3">
            <w:pPr>
              <w:keepNext/>
              <w:spacing w:before="40" w:after="40"/>
              <w:jc w:val="center"/>
              <w:rPr>
                <w:rFonts w:cs="Arial"/>
                <w:b w:val="0"/>
                <w:bCs/>
                <w:sz w:val="20"/>
                <w:szCs w:val="20"/>
              </w:rPr>
            </w:pPr>
            <w:r w:rsidRPr="002861A9">
              <w:rPr>
                <w:rFonts w:cs="Arial"/>
                <w:bCs/>
                <w:sz w:val="20"/>
                <w:szCs w:val="20"/>
              </w:rPr>
              <w:t>Ex ante quantity (TJ)</w:t>
            </w:r>
          </w:p>
        </w:tc>
        <w:tc>
          <w:tcPr>
            <w:tcW w:w="608" w:type="pct"/>
            <w:tcBorders>
              <w:bottom w:val="nil"/>
            </w:tcBorders>
            <w:hideMark/>
          </w:tcPr>
          <w:p w:rsidR="00C25FEB" w:rsidRPr="002861A9" w:rsidRDefault="00C25FEB" w:rsidP="00C966E3">
            <w:pPr>
              <w:keepNext/>
              <w:spacing w:before="40" w:after="40"/>
              <w:jc w:val="center"/>
              <w:rPr>
                <w:rFonts w:cs="Arial"/>
                <w:b w:val="0"/>
                <w:bCs/>
                <w:sz w:val="20"/>
                <w:szCs w:val="20"/>
              </w:rPr>
            </w:pPr>
            <w:r w:rsidRPr="002861A9">
              <w:rPr>
                <w:rFonts w:cs="Arial"/>
                <w:bCs/>
                <w:sz w:val="20"/>
                <w:szCs w:val="20"/>
              </w:rPr>
              <w:t>Ex post quantity (TJ)</w:t>
            </w:r>
          </w:p>
        </w:tc>
      </w:tr>
      <w:tr w:rsidR="00C25FEB" w:rsidRPr="00405CDE" w:rsidTr="00C966E3">
        <w:trPr>
          <w:trHeight w:val="510"/>
        </w:trPr>
        <w:tc>
          <w:tcPr>
            <w:tcW w:w="1430" w:type="pct"/>
            <w:tcBorders>
              <w:top w:val="nil"/>
              <w:bottom w:val="nil"/>
            </w:tcBorders>
            <w:vAlign w:val="center"/>
          </w:tcPr>
          <w:p w:rsidR="00C25FEB" w:rsidRDefault="00C25FEB" w:rsidP="00C966E3">
            <w:pPr>
              <w:rPr>
                <w:rFonts w:cs="Arial"/>
                <w:sz w:val="20"/>
                <w:szCs w:val="20"/>
              </w:rPr>
            </w:pPr>
            <w:r>
              <w:rPr>
                <w:rFonts w:cs="Arial"/>
                <w:sz w:val="20"/>
                <w:szCs w:val="20"/>
              </w:rPr>
              <w:t>13 Dec - 19 Dec 2015</w:t>
            </w:r>
          </w:p>
        </w:tc>
        <w:tc>
          <w:tcPr>
            <w:tcW w:w="759" w:type="pct"/>
            <w:tcBorders>
              <w:top w:val="nil"/>
              <w:bottom w:val="nil"/>
            </w:tcBorders>
            <w:vAlign w:val="center"/>
          </w:tcPr>
          <w:p w:rsidR="00C25FEB" w:rsidRDefault="00C25FEB" w:rsidP="00C966E3">
            <w:pPr>
              <w:jc w:val="center"/>
              <w:rPr>
                <w:rFonts w:cs="Arial"/>
                <w:sz w:val="20"/>
                <w:szCs w:val="20"/>
              </w:rPr>
            </w:pPr>
            <w:r>
              <w:rPr>
                <w:rFonts w:cs="Arial"/>
                <w:sz w:val="20"/>
                <w:szCs w:val="20"/>
              </w:rPr>
              <w:t>4.91</w:t>
            </w:r>
          </w:p>
        </w:tc>
        <w:tc>
          <w:tcPr>
            <w:tcW w:w="758" w:type="pct"/>
            <w:tcBorders>
              <w:top w:val="nil"/>
              <w:bottom w:val="nil"/>
            </w:tcBorders>
            <w:vAlign w:val="center"/>
          </w:tcPr>
          <w:p w:rsidR="00C25FEB" w:rsidRDefault="00C25FEB" w:rsidP="00C966E3">
            <w:pPr>
              <w:jc w:val="center"/>
              <w:rPr>
                <w:rFonts w:cs="Arial"/>
                <w:sz w:val="20"/>
                <w:szCs w:val="20"/>
              </w:rPr>
            </w:pPr>
            <w:r>
              <w:rPr>
                <w:rFonts w:cs="Arial"/>
                <w:sz w:val="20"/>
                <w:szCs w:val="20"/>
              </w:rPr>
              <w:t>4.63</w:t>
            </w:r>
          </w:p>
        </w:tc>
        <w:tc>
          <w:tcPr>
            <w:tcW w:w="759" w:type="pct"/>
            <w:tcBorders>
              <w:top w:val="nil"/>
              <w:bottom w:val="nil"/>
            </w:tcBorders>
            <w:vAlign w:val="center"/>
          </w:tcPr>
          <w:p w:rsidR="00C25FEB" w:rsidRDefault="00C25FEB" w:rsidP="00C966E3">
            <w:pPr>
              <w:jc w:val="center"/>
              <w:rPr>
                <w:rFonts w:cs="Arial"/>
                <w:sz w:val="20"/>
                <w:szCs w:val="20"/>
              </w:rPr>
            </w:pPr>
            <w:r>
              <w:rPr>
                <w:rFonts w:cs="Arial"/>
                <w:sz w:val="20"/>
                <w:szCs w:val="20"/>
              </w:rPr>
              <w:t>25.68</w:t>
            </w:r>
          </w:p>
        </w:tc>
        <w:tc>
          <w:tcPr>
            <w:tcW w:w="685" w:type="pct"/>
            <w:tcBorders>
              <w:top w:val="nil"/>
              <w:bottom w:val="nil"/>
            </w:tcBorders>
            <w:vAlign w:val="center"/>
          </w:tcPr>
          <w:p w:rsidR="00C25FEB" w:rsidRDefault="00C25FEB" w:rsidP="00C966E3">
            <w:pPr>
              <w:jc w:val="center"/>
              <w:rPr>
                <w:rFonts w:cs="Arial"/>
                <w:sz w:val="20"/>
                <w:szCs w:val="20"/>
              </w:rPr>
            </w:pPr>
            <w:r>
              <w:rPr>
                <w:rFonts w:cs="Arial"/>
                <w:sz w:val="20"/>
                <w:szCs w:val="20"/>
              </w:rPr>
              <w:t>212</w:t>
            </w:r>
          </w:p>
        </w:tc>
        <w:tc>
          <w:tcPr>
            <w:tcW w:w="608" w:type="pct"/>
            <w:tcBorders>
              <w:top w:val="nil"/>
              <w:bottom w:val="nil"/>
            </w:tcBorders>
            <w:vAlign w:val="center"/>
          </w:tcPr>
          <w:p w:rsidR="00C25FEB" w:rsidRDefault="00C25FEB" w:rsidP="00C966E3">
            <w:pPr>
              <w:jc w:val="center"/>
              <w:rPr>
                <w:rFonts w:cs="Arial"/>
                <w:sz w:val="20"/>
                <w:szCs w:val="20"/>
              </w:rPr>
            </w:pPr>
            <w:r>
              <w:rPr>
                <w:rFonts w:cs="Arial"/>
                <w:sz w:val="20"/>
                <w:szCs w:val="20"/>
              </w:rPr>
              <w:t>208</w:t>
            </w:r>
          </w:p>
        </w:tc>
      </w:tr>
      <w:tr w:rsidR="00C25FEB" w:rsidRPr="00405CDE" w:rsidTr="00C966E3">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nil"/>
            </w:tcBorders>
            <w:vAlign w:val="center"/>
          </w:tcPr>
          <w:p w:rsidR="00C25FEB" w:rsidRDefault="00C25FEB" w:rsidP="00C966E3">
            <w:pPr>
              <w:rPr>
                <w:rFonts w:cs="Arial"/>
                <w:sz w:val="20"/>
                <w:szCs w:val="20"/>
              </w:rPr>
            </w:pPr>
            <w:r>
              <w:rPr>
                <w:rFonts w:cs="Arial"/>
                <w:sz w:val="20"/>
                <w:szCs w:val="20"/>
              </w:rPr>
              <w:t>% change from previous week</w:t>
            </w:r>
          </w:p>
        </w:tc>
        <w:tc>
          <w:tcPr>
            <w:tcW w:w="759" w:type="pct"/>
            <w:tcBorders>
              <w:top w:val="nil"/>
              <w:bottom w:val="nil"/>
            </w:tcBorders>
            <w:vAlign w:val="center"/>
          </w:tcPr>
          <w:p w:rsidR="00C25FEB" w:rsidRDefault="00C25FEB" w:rsidP="00C966E3">
            <w:pPr>
              <w:jc w:val="center"/>
              <w:rPr>
                <w:rFonts w:cs="Arial"/>
                <w:sz w:val="20"/>
                <w:szCs w:val="20"/>
              </w:rPr>
            </w:pPr>
            <w:r>
              <w:rPr>
                <w:rFonts w:cs="Arial"/>
                <w:sz w:val="20"/>
                <w:szCs w:val="20"/>
              </w:rPr>
              <w:t>31</w:t>
            </w:r>
          </w:p>
        </w:tc>
        <w:tc>
          <w:tcPr>
            <w:tcW w:w="758" w:type="pct"/>
            <w:tcBorders>
              <w:top w:val="nil"/>
              <w:bottom w:val="nil"/>
            </w:tcBorders>
            <w:vAlign w:val="center"/>
          </w:tcPr>
          <w:p w:rsidR="00C25FEB" w:rsidRDefault="00C25FEB" w:rsidP="00C966E3">
            <w:pPr>
              <w:jc w:val="center"/>
              <w:rPr>
                <w:rFonts w:cs="Arial"/>
                <w:sz w:val="20"/>
                <w:szCs w:val="20"/>
              </w:rPr>
            </w:pPr>
            <w:r>
              <w:rPr>
                <w:rFonts w:cs="Arial"/>
                <w:sz w:val="20"/>
                <w:szCs w:val="20"/>
              </w:rPr>
              <w:t>64</w:t>
            </w:r>
          </w:p>
        </w:tc>
        <w:tc>
          <w:tcPr>
            <w:tcW w:w="759" w:type="pct"/>
            <w:tcBorders>
              <w:top w:val="nil"/>
              <w:bottom w:val="nil"/>
            </w:tcBorders>
            <w:vAlign w:val="center"/>
          </w:tcPr>
          <w:p w:rsidR="00C25FEB" w:rsidRDefault="00C25FEB" w:rsidP="00C966E3">
            <w:pPr>
              <w:jc w:val="center"/>
              <w:rPr>
                <w:rFonts w:cs="Arial"/>
                <w:sz w:val="20"/>
                <w:szCs w:val="20"/>
              </w:rPr>
            </w:pPr>
            <w:r>
              <w:rPr>
                <w:rFonts w:cs="Arial"/>
                <w:sz w:val="20"/>
                <w:szCs w:val="20"/>
              </w:rPr>
              <w:t>-55</w:t>
            </w:r>
          </w:p>
        </w:tc>
        <w:tc>
          <w:tcPr>
            <w:tcW w:w="685" w:type="pct"/>
            <w:tcBorders>
              <w:top w:val="nil"/>
              <w:bottom w:val="nil"/>
            </w:tcBorders>
            <w:vAlign w:val="center"/>
          </w:tcPr>
          <w:p w:rsidR="00C25FEB" w:rsidRDefault="00C25FEB" w:rsidP="00C966E3">
            <w:pPr>
              <w:jc w:val="center"/>
              <w:rPr>
                <w:rFonts w:cs="Arial"/>
                <w:sz w:val="20"/>
                <w:szCs w:val="20"/>
              </w:rPr>
            </w:pPr>
            <w:r>
              <w:rPr>
                <w:rFonts w:cs="Arial"/>
                <w:sz w:val="20"/>
                <w:szCs w:val="20"/>
              </w:rPr>
              <w:t>5</w:t>
            </w:r>
          </w:p>
        </w:tc>
        <w:tc>
          <w:tcPr>
            <w:tcW w:w="608" w:type="pct"/>
            <w:tcBorders>
              <w:top w:val="nil"/>
              <w:bottom w:val="nil"/>
            </w:tcBorders>
            <w:vAlign w:val="center"/>
          </w:tcPr>
          <w:p w:rsidR="00C25FEB" w:rsidRDefault="00C25FEB" w:rsidP="00C966E3">
            <w:pPr>
              <w:jc w:val="center"/>
              <w:rPr>
                <w:rFonts w:cs="Arial"/>
                <w:sz w:val="20"/>
                <w:szCs w:val="20"/>
              </w:rPr>
            </w:pPr>
            <w:r>
              <w:rPr>
                <w:rFonts w:cs="Arial"/>
                <w:sz w:val="20"/>
                <w:szCs w:val="20"/>
              </w:rPr>
              <w:t>12</w:t>
            </w:r>
          </w:p>
        </w:tc>
      </w:tr>
      <w:tr w:rsidR="00C25FEB" w:rsidRPr="00405CDE" w:rsidTr="00C966E3">
        <w:trPr>
          <w:trHeight w:val="510"/>
        </w:trPr>
        <w:tc>
          <w:tcPr>
            <w:tcW w:w="1430" w:type="pct"/>
            <w:tcBorders>
              <w:top w:val="nil"/>
              <w:bottom w:val="nil"/>
            </w:tcBorders>
            <w:vAlign w:val="center"/>
          </w:tcPr>
          <w:p w:rsidR="00C25FEB" w:rsidRDefault="00C25FEB" w:rsidP="00C966E3">
            <w:pPr>
              <w:rPr>
                <w:rFonts w:cs="Arial"/>
                <w:sz w:val="20"/>
                <w:szCs w:val="20"/>
              </w:rPr>
            </w:pPr>
            <w:r>
              <w:rPr>
                <w:rFonts w:cs="Arial"/>
                <w:sz w:val="20"/>
                <w:szCs w:val="20"/>
              </w:rPr>
              <w:t>15-16 financial YTD</w:t>
            </w:r>
          </w:p>
        </w:tc>
        <w:tc>
          <w:tcPr>
            <w:tcW w:w="759" w:type="pct"/>
            <w:tcBorders>
              <w:top w:val="nil"/>
              <w:bottom w:val="nil"/>
            </w:tcBorders>
            <w:vAlign w:val="center"/>
          </w:tcPr>
          <w:p w:rsidR="00C25FEB" w:rsidRDefault="00C25FEB" w:rsidP="00C966E3">
            <w:pPr>
              <w:jc w:val="center"/>
              <w:rPr>
                <w:rFonts w:cs="Arial"/>
                <w:sz w:val="20"/>
                <w:szCs w:val="20"/>
              </w:rPr>
            </w:pPr>
            <w:r>
              <w:rPr>
                <w:rFonts w:cs="Arial"/>
                <w:sz w:val="20"/>
                <w:szCs w:val="20"/>
              </w:rPr>
              <w:t>4.61</w:t>
            </w:r>
          </w:p>
        </w:tc>
        <w:tc>
          <w:tcPr>
            <w:tcW w:w="758" w:type="pct"/>
            <w:tcBorders>
              <w:top w:val="nil"/>
              <w:bottom w:val="nil"/>
            </w:tcBorders>
            <w:vAlign w:val="center"/>
          </w:tcPr>
          <w:p w:rsidR="00C25FEB" w:rsidRDefault="00C25FEB" w:rsidP="00C966E3">
            <w:pPr>
              <w:jc w:val="center"/>
              <w:rPr>
                <w:rFonts w:cs="Arial"/>
                <w:sz w:val="20"/>
                <w:szCs w:val="20"/>
              </w:rPr>
            </w:pPr>
            <w:r>
              <w:rPr>
                <w:rFonts w:cs="Arial"/>
                <w:sz w:val="20"/>
                <w:szCs w:val="20"/>
              </w:rPr>
              <w:t>4.32</w:t>
            </w:r>
          </w:p>
        </w:tc>
        <w:tc>
          <w:tcPr>
            <w:tcW w:w="759" w:type="pct"/>
            <w:tcBorders>
              <w:top w:val="nil"/>
              <w:bottom w:val="nil"/>
            </w:tcBorders>
            <w:vAlign w:val="center"/>
          </w:tcPr>
          <w:p w:rsidR="00C25FEB" w:rsidRDefault="00C25FEB" w:rsidP="00C966E3">
            <w:pPr>
              <w:jc w:val="center"/>
              <w:rPr>
                <w:rFonts w:cs="Arial"/>
                <w:sz w:val="20"/>
                <w:szCs w:val="20"/>
              </w:rPr>
            </w:pPr>
            <w:r>
              <w:rPr>
                <w:rFonts w:cs="Arial"/>
                <w:sz w:val="20"/>
                <w:szCs w:val="20"/>
              </w:rPr>
              <w:t>24.39</w:t>
            </w:r>
          </w:p>
        </w:tc>
        <w:tc>
          <w:tcPr>
            <w:tcW w:w="685" w:type="pct"/>
            <w:tcBorders>
              <w:top w:val="nil"/>
              <w:bottom w:val="nil"/>
            </w:tcBorders>
            <w:vAlign w:val="center"/>
          </w:tcPr>
          <w:p w:rsidR="00C25FEB" w:rsidRDefault="00C25FEB" w:rsidP="00C966E3">
            <w:pPr>
              <w:jc w:val="center"/>
              <w:rPr>
                <w:rFonts w:cs="Arial"/>
                <w:sz w:val="20"/>
                <w:szCs w:val="20"/>
              </w:rPr>
            </w:pPr>
            <w:r>
              <w:rPr>
                <w:rFonts w:cs="Arial"/>
                <w:sz w:val="20"/>
                <w:szCs w:val="20"/>
              </w:rPr>
              <w:t>244</w:t>
            </w:r>
          </w:p>
        </w:tc>
        <w:tc>
          <w:tcPr>
            <w:tcW w:w="608" w:type="pct"/>
            <w:tcBorders>
              <w:top w:val="nil"/>
              <w:bottom w:val="nil"/>
            </w:tcBorders>
            <w:vAlign w:val="center"/>
          </w:tcPr>
          <w:p w:rsidR="00C25FEB" w:rsidRDefault="00C25FEB" w:rsidP="00C966E3">
            <w:pPr>
              <w:jc w:val="center"/>
              <w:rPr>
                <w:rFonts w:cs="Arial"/>
                <w:sz w:val="20"/>
                <w:szCs w:val="20"/>
              </w:rPr>
            </w:pPr>
            <w:r>
              <w:rPr>
                <w:rFonts w:cs="Arial"/>
                <w:sz w:val="20"/>
                <w:szCs w:val="20"/>
              </w:rPr>
              <w:t>239</w:t>
            </w:r>
          </w:p>
        </w:tc>
      </w:tr>
      <w:tr w:rsidR="00C25FEB" w:rsidRPr="00405CDE" w:rsidTr="00C966E3">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nil"/>
            </w:tcBorders>
            <w:vAlign w:val="center"/>
          </w:tcPr>
          <w:p w:rsidR="00C25FEB" w:rsidRDefault="00C25FEB" w:rsidP="00C966E3">
            <w:pPr>
              <w:rPr>
                <w:rFonts w:cs="Arial"/>
                <w:sz w:val="20"/>
                <w:szCs w:val="20"/>
              </w:rPr>
            </w:pPr>
            <w:r>
              <w:rPr>
                <w:rFonts w:cs="Arial"/>
                <w:sz w:val="20"/>
                <w:szCs w:val="20"/>
              </w:rPr>
              <w:t>% change from previous financial YTD</w:t>
            </w:r>
          </w:p>
        </w:tc>
        <w:tc>
          <w:tcPr>
            <w:tcW w:w="759" w:type="pct"/>
            <w:tcBorders>
              <w:top w:val="nil"/>
              <w:bottom w:val="nil"/>
            </w:tcBorders>
            <w:vAlign w:val="center"/>
          </w:tcPr>
          <w:p w:rsidR="00C25FEB" w:rsidRDefault="00C25FEB" w:rsidP="00C966E3">
            <w:pPr>
              <w:jc w:val="center"/>
              <w:rPr>
                <w:rFonts w:cs="Arial"/>
                <w:sz w:val="20"/>
                <w:szCs w:val="20"/>
              </w:rPr>
            </w:pPr>
            <w:r>
              <w:rPr>
                <w:rFonts w:cs="Arial"/>
                <w:sz w:val="20"/>
                <w:szCs w:val="20"/>
              </w:rPr>
              <w:t>48</w:t>
            </w:r>
          </w:p>
        </w:tc>
        <w:tc>
          <w:tcPr>
            <w:tcW w:w="758" w:type="pct"/>
            <w:tcBorders>
              <w:top w:val="nil"/>
              <w:bottom w:val="nil"/>
            </w:tcBorders>
            <w:vAlign w:val="center"/>
          </w:tcPr>
          <w:p w:rsidR="00C25FEB" w:rsidRDefault="00C25FEB" w:rsidP="00C966E3">
            <w:pPr>
              <w:jc w:val="center"/>
              <w:rPr>
                <w:rFonts w:cs="Arial"/>
                <w:sz w:val="20"/>
                <w:szCs w:val="20"/>
              </w:rPr>
            </w:pPr>
            <w:r>
              <w:rPr>
                <w:rFonts w:cs="Arial"/>
                <w:sz w:val="20"/>
                <w:szCs w:val="20"/>
              </w:rPr>
              <w:t>36</w:t>
            </w:r>
          </w:p>
        </w:tc>
        <w:tc>
          <w:tcPr>
            <w:tcW w:w="759" w:type="pct"/>
            <w:tcBorders>
              <w:top w:val="nil"/>
              <w:bottom w:val="nil"/>
            </w:tcBorders>
            <w:vAlign w:val="center"/>
          </w:tcPr>
          <w:p w:rsidR="00C25FEB" w:rsidRDefault="00C25FEB" w:rsidP="00C966E3">
            <w:pPr>
              <w:jc w:val="center"/>
              <w:rPr>
                <w:rFonts w:cs="Arial"/>
                <w:sz w:val="20"/>
                <w:szCs w:val="20"/>
              </w:rPr>
            </w:pPr>
            <w:r>
              <w:rPr>
                <w:rFonts w:cs="Arial"/>
                <w:sz w:val="20"/>
                <w:szCs w:val="20"/>
              </w:rPr>
              <w:t>70</w:t>
            </w:r>
          </w:p>
        </w:tc>
        <w:tc>
          <w:tcPr>
            <w:tcW w:w="685" w:type="pct"/>
            <w:tcBorders>
              <w:top w:val="nil"/>
              <w:bottom w:val="nil"/>
            </w:tcBorders>
            <w:vAlign w:val="center"/>
          </w:tcPr>
          <w:p w:rsidR="00C25FEB" w:rsidRDefault="00C25FEB" w:rsidP="00C966E3">
            <w:pPr>
              <w:jc w:val="center"/>
              <w:rPr>
                <w:rFonts w:cs="Arial"/>
                <w:sz w:val="20"/>
                <w:szCs w:val="20"/>
              </w:rPr>
            </w:pPr>
            <w:r>
              <w:rPr>
                <w:rFonts w:cs="Arial"/>
                <w:sz w:val="20"/>
                <w:szCs w:val="20"/>
              </w:rPr>
              <w:t>-7</w:t>
            </w:r>
          </w:p>
        </w:tc>
        <w:tc>
          <w:tcPr>
            <w:tcW w:w="608" w:type="pct"/>
            <w:tcBorders>
              <w:top w:val="nil"/>
              <w:bottom w:val="nil"/>
            </w:tcBorders>
            <w:vAlign w:val="center"/>
          </w:tcPr>
          <w:p w:rsidR="00C25FEB" w:rsidRDefault="00C25FEB" w:rsidP="00C966E3">
            <w:pPr>
              <w:jc w:val="center"/>
              <w:rPr>
                <w:rFonts w:cs="Arial"/>
                <w:sz w:val="20"/>
                <w:szCs w:val="20"/>
              </w:rPr>
            </w:pPr>
            <w:r>
              <w:rPr>
                <w:rFonts w:cs="Arial"/>
                <w:sz w:val="20"/>
                <w:szCs w:val="20"/>
              </w:rPr>
              <w:t>-10</w:t>
            </w:r>
          </w:p>
        </w:tc>
      </w:tr>
    </w:tbl>
    <w:p w:rsidR="00C25FEB" w:rsidRDefault="00C25FEB" w:rsidP="00FF0D8A">
      <w:pPr>
        <w:pStyle w:val="AERbodytext"/>
        <w:spacing w:before="120" w:after="120"/>
        <w:jc w:val="both"/>
      </w:pPr>
    </w:p>
    <w:p w:rsidR="00C25FEB" w:rsidRDefault="00C25FEB" w:rsidP="00FF0D8A">
      <w:pPr>
        <w:pStyle w:val="AERbodytext"/>
        <w:spacing w:before="120" w:after="120"/>
        <w:jc w:val="both"/>
      </w:pPr>
    </w:p>
    <w:p w:rsidR="00C25FEB" w:rsidRDefault="00C25FEB" w:rsidP="00FF0D8A">
      <w:pPr>
        <w:pStyle w:val="AERbodytext"/>
        <w:spacing w:before="120" w:after="120"/>
        <w:jc w:val="both"/>
      </w:pPr>
    </w:p>
    <w:p w:rsidR="00C25FEB" w:rsidRPr="008D4DAB" w:rsidRDefault="00C25FEB" w:rsidP="00FF0D8A">
      <w:pPr>
        <w:pStyle w:val="AERbodytext"/>
        <w:spacing w:before="120" w:after="120"/>
        <w:jc w:val="both"/>
      </w:pPr>
    </w:p>
    <w:p w:rsidR="00D1641C" w:rsidRDefault="006E7E57" w:rsidP="00D1641C">
      <w:pPr>
        <w:pStyle w:val="Heading2"/>
        <w:ind w:firstLine="0"/>
        <w:rPr>
          <w:i w:val="0"/>
          <w:color w:val="2272A3"/>
          <w:sz w:val="24"/>
          <w:szCs w:val="24"/>
        </w:rPr>
      </w:pPr>
      <w:r>
        <w:rPr>
          <w:i w:val="0"/>
          <w:color w:val="2272A3"/>
          <w:sz w:val="24"/>
          <w:szCs w:val="24"/>
        </w:rPr>
        <w:t>Adelaide STTM</w:t>
      </w:r>
    </w:p>
    <w:tbl>
      <w:tblPr>
        <w:tblStyle w:val="AERTable-Text0"/>
        <w:tblW w:w="4785" w:type="pct"/>
        <w:tblLook w:val="04A0" w:firstRow="1" w:lastRow="0" w:firstColumn="1" w:lastColumn="0" w:noHBand="0" w:noVBand="1"/>
      </w:tblPr>
      <w:tblGrid>
        <w:gridCol w:w="2667"/>
        <w:gridCol w:w="1416"/>
        <w:gridCol w:w="1413"/>
        <w:gridCol w:w="1415"/>
        <w:gridCol w:w="1277"/>
        <w:gridCol w:w="1134"/>
      </w:tblGrid>
      <w:tr w:rsidR="003216CA" w:rsidRPr="00405CDE" w:rsidTr="00ED3374">
        <w:trPr>
          <w:cnfStyle w:val="100000000000" w:firstRow="1" w:lastRow="0" w:firstColumn="0" w:lastColumn="0" w:oddVBand="0" w:evenVBand="0" w:oddHBand="0" w:evenHBand="0" w:firstRowFirstColumn="0" w:firstRowLastColumn="0" w:lastRowFirstColumn="0" w:lastRowLastColumn="0"/>
          <w:tblHeader/>
        </w:trPr>
        <w:tc>
          <w:tcPr>
            <w:tcW w:w="1430" w:type="pct"/>
            <w:tcBorders>
              <w:bottom w:val="nil"/>
            </w:tcBorders>
            <w:hideMark/>
          </w:tcPr>
          <w:p w:rsidR="003216CA" w:rsidRPr="00DC24BF" w:rsidRDefault="003216CA" w:rsidP="00ED3374">
            <w:pPr>
              <w:pStyle w:val="TableHeading"/>
              <w:jc w:val="center"/>
              <w:rPr>
                <w:rFonts w:cs="Arial"/>
                <w:sz w:val="20"/>
                <w:szCs w:val="20"/>
              </w:rPr>
            </w:pPr>
          </w:p>
        </w:tc>
        <w:tc>
          <w:tcPr>
            <w:tcW w:w="759" w:type="pct"/>
            <w:tcBorders>
              <w:bottom w:val="nil"/>
            </w:tcBorders>
            <w:hideMark/>
          </w:tcPr>
          <w:p w:rsidR="003216CA" w:rsidRPr="002861A9" w:rsidRDefault="003216CA" w:rsidP="00ED3374">
            <w:pPr>
              <w:keepNext/>
              <w:spacing w:before="40" w:after="40"/>
              <w:jc w:val="center"/>
              <w:rPr>
                <w:rFonts w:cs="Arial"/>
                <w:b w:val="0"/>
                <w:bCs/>
                <w:sz w:val="20"/>
                <w:szCs w:val="20"/>
              </w:rPr>
            </w:pPr>
            <w:r w:rsidRPr="002861A9">
              <w:rPr>
                <w:rFonts w:cs="Arial"/>
                <w:bCs/>
                <w:sz w:val="20"/>
                <w:szCs w:val="20"/>
              </w:rPr>
              <w:t>Ex ante price ($/GJ)</w:t>
            </w:r>
          </w:p>
        </w:tc>
        <w:tc>
          <w:tcPr>
            <w:tcW w:w="758" w:type="pct"/>
            <w:tcBorders>
              <w:bottom w:val="nil"/>
            </w:tcBorders>
          </w:tcPr>
          <w:p w:rsidR="003216CA" w:rsidRPr="002861A9" w:rsidRDefault="003216CA" w:rsidP="00ED3374">
            <w:pPr>
              <w:keepNext/>
              <w:spacing w:before="40" w:after="40"/>
              <w:jc w:val="center"/>
              <w:rPr>
                <w:rFonts w:cs="Arial"/>
                <w:b w:val="0"/>
                <w:bCs/>
                <w:sz w:val="20"/>
                <w:szCs w:val="20"/>
              </w:rPr>
            </w:pPr>
            <w:r w:rsidRPr="002861A9">
              <w:rPr>
                <w:rFonts w:cs="Arial"/>
                <w:bCs/>
                <w:sz w:val="20"/>
                <w:szCs w:val="20"/>
              </w:rPr>
              <w:t>Ex post price ($/GJ)</w:t>
            </w:r>
          </w:p>
        </w:tc>
        <w:tc>
          <w:tcPr>
            <w:tcW w:w="759" w:type="pct"/>
            <w:tcBorders>
              <w:bottom w:val="nil"/>
            </w:tcBorders>
          </w:tcPr>
          <w:p w:rsidR="003216CA" w:rsidRPr="002861A9" w:rsidRDefault="003216CA" w:rsidP="00ED3374">
            <w:pPr>
              <w:keepNext/>
              <w:spacing w:before="40" w:after="40"/>
              <w:jc w:val="center"/>
              <w:rPr>
                <w:rFonts w:cs="Arial"/>
                <w:b w:val="0"/>
                <w:bCs/>
                <w:sz w:val="20"/>
                <w:szCs w:val="20"/>
              </w:rPr>
            </w:pPr>
            <w:r w:rsidRPr="002861A9">
              <w:rPr>
                <w:rFonts w:cs="Arial"/>
                <w:bCs/>
                <w:sz w:val="20"/>
                <w:szCs w:val="20"/>
              </w:rPr>
              <w:t>MOS payments ($000)</w:t>
            </w:r>
          </w:p>
        </w:tc>
        <w:tc>
          <w:tcPr>
            <w:tcW w:w="685" w:type="pct"/>
            <w:tcBorders>
              <w:bottom w:val="nil"/>
            </w:tcBorders>
            <w:hideMark/>
          </w:tcPr>
          <w:p w:rsidR="003216CA" w:rsidRPr="002861A9" w:rsidRDefault="003216CA" w:rsidP="00ED3374">
            <w:pPr>
              <w:keepNext/>
              <w:spacing w:before="40" w:after="40"/>
              <w:jc w:val="center"/>
              <w:rPr>
                <w:rFonts w:cs="Arial"/>
                <w:b w:val="0"/>
                <w:bCs/>
                <w:sz w:val="20"/>
                <w:szCs w:val="20"/>
              </w:rPr>
            </w:pPr>
            <w:r w:rsidRPr="002861A9">
              <w:rPr>
                <w:rFonts w:cs="Arial"/>
                <w:bCs/>
                <w:sz w:val="20"/>
                <w:szCs w:val="20"/>
              </w:rPr>
              <w:t>Ex ante quantity (TJ)</w:t>
            </w:r>
          </w:p>
        </w:tc>
        <w:tc>
          <w:tcPr>
            <w:tcW w:w="608" w:type="pct"/>
            <w:tcBorders>
              <w:bottom w:val="nil"/>
            </w:tcBorders>
            <w:hideMark/>
          </w:tcPr>
          <w:p w:rsidR="003216CA" w:rsidRPr="002861A9" w:rsidRDefault="003216CA" w:rsidP="00ED3374">
            <w:pPr>
              <w:keepNext/>
              <w:spacing w:before="40" w:after="40"/>
              <w:jc w:val="center"/>
              <w:rPr>
                <w:rFonts w:cs="Arial"/>
                <w:b w:val="0"/>
                <w:bCs/>
                <w:sz w:val="20"/>
                <w:szCs w:val="20"/>
              </w:rPr>
            </w:pPr>
            <w:r w:rsidRPr="002861A9">
              <w:rPr>
                <w:rFonts w:cs="Arial"/>
                <w:bCs/>
                <w:sz w:val="20"/>
                <w:szCs w:val="20"/>
              </w:rPr>
              <w:t>Ex post quantity (TJ)</w:t>
            </w:r>
          </w:p>
        </w:tc>
      </w:tr>
      <w:tr w:rsidR="003216CA" w:rsidRPr="00405CDE" w:rsidTr="00ED3374">
        <w:trPr>
          <w:trHeight w:val="510"/>
        </w:trPr>
        <w:tc>
          <w:tcPr>
            <w:tcW w:w="1430" w:type="pct"/>
            <w:tcBorders>
              <w:top w:val="nil"/>
              <w:bottom w:val="nil"/>
            </w:tcBorders>
            <w:vAlign w:val="center"/>
          </w:tcPr>
          <w:p w:rsidR="003216CA" w:rsidRDefault="003216CA" w:rsidP="00ED3374">
            <w:pPr>
              <w:rPr>
                <w:rFonts w:cs="Arial"/>
                <w:sz w:val="20"/>
                <w:szCs w:val="20"/>
              </w:rPr>
            </w:pPr>
            <w:r>
              <w:rPr>
                <w:rFonts w:cs="Arial"/>
                <w:sz w:val="20"/>
                <w:szCs w:val="20"/>
              </w:rPr>
              <w:t>13 Dec - 19 Dec 2015</w:t>
            </w:r>
          </w:p>
        </w:tc>
        <w:tc>
          <w:tcPr>
            <w:tcW w:w="759" w:type="pct"/>
            <w:tcBorders>
              <w:top w:val="nil"/>
              <w:bottom w:val="nil"/>
            </w:tcBorders>
            <w:vAlign w:val="center"/>
          </w:tcPr>
          <w:p w:rsidR="003216CA" w:rsidRDefault="003216CA" w:rsidP="00ED3374">
            <w:pPr>
              <w:jc w:val="center"/>
              <w:rPr>
                <w:rFonts w:cs="Arial"/>
                <w:sz w:val="20"/>
                <w:szCs w:val="20"/>
              </w:rPr>
            </w:pPr>
            <w:r>
              <w:rPr>
                <w:rFonts w:cs="Arial"/>
                <w:sz w:val="20"/>
                <w:szCs w:val="20"/>
              </w:rPr>
              <w:t>6.64</w:t>
            </w:r>
          </w:p>
        </w:tc>
        <w:tc>
          <w:tcPr>
            <w:tcW w:w="758" w:type="pct"/>
            <w:tcBorders>
              <w:top w:val="nil"/>
              <w:bottom w:val="nil"/>
            </w:tcBorders>
            <w:vAlign w:val="center"/>
          </w:tcPr>
          <w:p w:rsidR="003216CA" w:rsidRDefault="003216CA" w:rsidP="00ED3374">
            <w:pPr>
              <w:jc w:val="center"/>
              <w:rPr>
                <w:rFonts w:cs="Arial"/>
                <w:sz w:val="20"/>
                <w:szCs w:val="20"/>
              </w:rPr>
            </w:pPr>
            <w:r>
              <w:rPr>
                <w:rFonts w:cs="Arial"/>
                <w:sz w:val="20"/>
                <w:szCs w:val="20"/>
              </w:rPr>
              <w:t>7.72</w:t>
            </w:r>
          </w:p>
        </w:tc>
        <w:tc>
          <w:tcPr>
            <w:tcW w:w="759" w:type="pct"/>
            <w:tcBorders>
              <w:top w:val="nil"/>
              <w:bottom w:val="nil"/>
            </w:tcBorders>
            <w:vAlign w:val="center"/>
          </w:tcPr>
          <w:p w:rsidR="003216CA" w:rsidRDefault="003216CA" w:rsidP="00ED3374">
            <w:pPr>
              <w:jc w:val="center"/>
              <w:rPr>
                <w:rFonts w:cs="Arial"/>
                <w:sz w:val="20"/>
                <w:szCs w:val="20"/>
              </w:rPr>
            </w:pPr>
            <w:r>
              <w:rPr>
                <w:rFonts w:cs="Arial"/>
                <w:sz w:val="20"/>
                <w:szCs w:val="20"/>
              </w:rPr>
              <w:t>5.28</w:t>
            </w:r>
          </w:p>
        </w:tc>
        <w:tc>
          <w:tcPr>
            <w:tcW w:w="685" w:type="pct"/>
            <w:tcBorders>
              <w:top w:val="nil"/>
              <w:bottom w:val="nil"/>
            </w:tcBorders>
            <w:vAlign w:val="center"/>
          </w:tcPr>
          <w:p w:rsidR="003216CA" w:rsidRDefault="003216CA" w:rsidP="00ED3374">
            <w:pPr>
              <w:jc w:val="center"/>
              <w:rPr>
                <w:rFonts w:cs="Arial"/>
                <w:sz w:val="20"/>
                <w:szCs w:val="20"/>
              </w:rPr>
            </w:pPr>
            <w:r>
              <w:rPr>
                <w:rFonts w:cs="Arial"/>
                <w:sz w:val="20"/>
                <w:szCs w:val="20"/>
              </w:rPr>
              <w:t>46</w:t>
            </w:r>
          </w:p>
        </w:tc>
        <w:tc>
          <w:tcPr>
            <w:tcW w:w="608" w:type="pct"/>
            <w:tcBorders>
              <w:top w:val="nil"/>
              <w:bottom w:val="nil"/>
            </w:tcBorders>
            <w:vAlign w:val="center"/>
          </w:tcPr>
          <w:p w:rsidR="003216CA" w:rsidRDefault="003216CA" w:rsidP="00ED3374">
            <w:pPr>
              <w:jc w:val="center"/>
              <w:rPr>
                <w:rFonts w:cs="Arial"/>
                <w:sz w:val="20"/>
                <w:szCs w:val="20"/>
              </w:rPr>
            </w:pPr>
            <w:r>
              <w:rPr>
                <w:rFonts w:cs="Arial"/>
                <w:sz w:val="20"/>
                <w:szCs w:val="20"/>
              </w:rPr>
              <w:t>53</w:t>
            </w:r>
          </w:p>
        </w:tc>
      </w:tr>
      <w:tr w:rsidR="003216CA" w:rsidRPr="00405CDE" w:rsidTr="00ED3374">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nil"/>
            </w:tcBorders>
            <w:vAlign w:val="center"/>
          </w:tcPr>
          <w:p w:rsidR="003216CA" w:rsidRDefault="003216CA" w:rsidP="00ED3374">
            <w:pPr>
              <w:rPr>
                <w:rFonts w:cs="Arial"/>
                <w:sz w:val="20"/>
                <w:szCs w:val="20"/>
              </w:rPr>
            </w:pPr>
            <w:r>
              <w:rPr>
                <w:rFonts w:cs="Arial"/>
                <w:sz w:val="20"/>
                <w:szCs w:val="20"/>
              </w:rPr>
              <w:t>% change from previous week</w:t>
            </w:r>
          </w:p>
        </w:tc>
        <w:tc>
          <w:tcPr>
            <w:tcW w:w="759" w:type="pct"/>
            <w:tcBorders>
              <w:top w:val="nil"/>
              <w:bottom w:val="nil"/>
            </w:tcBorders>
            <w:vAlign w:val="center"/>
          </w:tcPr>
          <w:p w:rsidR="003216CA" w:rsidRDefault="003216CA" w:rsidP="00ED3374">
            <w:pPr>
              <w:jc w:val="center"/>
              <w:rPr>
                <w:rFonts w:cs="Arial"/>
                <w:sz w:val="20"/>
                <w:szCs w:val="20"/>
              </w:rPr>
            </w:pPr>
            <w:r>
              <w:rPr>
                <w:rFonts w:cs="Arial"/>
                <w:sz w:val="20"/>
                <w:szCs w:val="20"/>
              </w:rPr>
              <w:t>67</w:t>
            </w:r>
          </w:p>
        </w:tc>
        <w:tc>
          <w:tcPr>
            <w:tcW w:w="758" w:type="pct"/>
            <w:tcBorders>
              <w:top w:val="nil"/>
              <w:bottom w:val="nil"/>
            </w:tcBorders>
            <w:vAlign w:val="center"/>
          </w:tcPr>
          <w:p w:rsidR="003216CA" w:rsidRDefault="003216CA" w:rsidP="00ED3374">
            <w:pPr>
              <w:jc w:val="center"/>
              <w:rPr>
                <w:rFonts w:cs="Arial"/>
                <w:sz w:val="20"/>
                <w:szCs w:val="20"/>
              </w:rPr>
            </w:pPr>
            <w:r>
              <w:rPr>
                <w:rFonts w:cs="Arial"/>
                <w:sz w:val="20"/>
                <w:szCs w:val="20"/>
              </w:rPr>
              <w:t>69</w:t>
            </w:r>
          </w:p>
        </w:tc>
        <w:tc>
          <w:tcPr>
            <w:tcW w:w="759" w:type="pct"/>
            <w:tcBorders>
              <w:top w:val="nil"/>
              <w:bottom w:val="nil"/>
            </w:tcBorders>
            <w:vAlign w:val="center"/>
          </w:tcPr>
          <w:p w:rsidR="003216CA" w:rsidRDefault="003216CA" w:rsidP="00ED3374">
            <w:pPr>
              <w:jc w:val="center"/>
              <w:rPr>
                <w:rFonts w:cs="Arial"/>
                <w:sz w:val="20"/>
                <w:szCs w:val="20"/>
              </w:rPr>
            </w:pPr>
            <w:r>
              <w:rPr>
                <w:rFonts w:cs="Arial"/>
                <w:sz w:val="20"/>
                <w:szCs w:val="20"/>
              </w:rPr>
              <w:t>11</w:t>
            </w:r>
          </w:p>
        </w:tc>
        <w:tc>
          <w:tcPr>
            <w:tcW w:w="685" w:type="pct"/>
            <w:tcBorders>
              <w:top w:val="nil"/>
              <w:bottom w:val="nil"/>
            </w:tcBorders>
            <w:vAlign w:val="center"/>
          </w:tcPr>
          <w:p w:rsidR="003216CA" w:rsidRDefault="003216CA" w:rsidP="00ED3374">
            <w:pPr>
              <w:jc w:val="center"/>
              <w:rPr>
                <w:rFonts w:cs="Arial"/>
                <w:sz w:val="20"/>
                <w:szCs w:val="20"/>
              </w:rPr>
            </w:pPr>
            <w:r>
              <w:rPr>
                <w:rFonts w:cs="Arial"/>
                <w:sz w:val="20"/>
                <w:szCs w:val="20"/>
              </w:rPr>
              <w:t>-4</w:t>
            </w:r>
          </w:p>
        </w:tc>
        <w:tc>
          <w:tcPr>
            <w:tcW w:w="608" w:type="pct"/>
            <w:tcBorders>
              <w:top w:val="nil"/>
              <w:bottom w:val="nil"/>
            </w:tcBorders>
            <w:vAlign w:val="center"/>
          </w:tcPr>
          <w:p w:rsidR="003216CA" w:rsidRDefault="003216CA" w:rsidP="00ED3374">
            <w:pPr>
              <w:jc w:val="center"/>
              <w:rPr>
                <w:rFonts w:cs="Arial"/>
                <w:sz w:val="20"/>
                <w:szCs w:val="20"/>
              </w:rPr>
            </w:pPr>
            <w:r>
              <w:rPr>
                <w:rFonts w:cs="Arial"/>
                <w:sz w:val="20"/>
                <w:szCs w:val="20"/>
              </w:rPr>
              <w:t>-8</w:t>
            </w:r>
          </w:p>
        </w:tc>
      </w:tr>
      <w:tr w:rsidR="003216CA" w:rsidRPr="00405CDE" w:rsidTr="00ED3374">
        <w:trPr>
          <w:trHeight w:val="510"/>
        </w:trPr>
        <w:tc>
          <w:tcPr>
            <w:tcW w:w="1430" w:type="pct"/>
            <w:tcBorders>
              <w:top w:val="nil"/>
              <w:bottom w:val="nil"/>
            </w:tcBorders>
            <w:vAlign w:val="center"/>
          </w:tcPr>
          <w:p w:rsidR="003216CA" w:rsidRDefault="003216CA" w:rsidP="00ED3374">
            <w:pPr>
              <w:rPr>
                <w:rFonts w:cs="Arial"/>
                <w:sz w:val="20"/>
                <w:szCs w:val="20"/>
              </w:rPr>
            </w:pPr>
            <w:r>
              <w:rPr>
                <w:rFonts w:cs="Arial"/>
                <w:sz w:val="20"/>
                <w:szCs w:val="20"/>
              </w:rPr>
              <w:t>15-16 financial YTD</w:t>
            </w:r>
          </w:p>
        </w:tc>
        <w:tc>
          <w:tcPr>
            <w:tcW w:w="759" w:type="pct"/>
            <w:tcBorders>
              <w:top w:val="nil"/>
              <w:bottom w:val="nil"/>
            </w:tcBorders>
            <w:vAlign w:val="center"/>
          </w:tcPr>
          <w:p w:rsidR="003216CA" w:rsidRDefault="003216CA" w:rsidP="00ED3374">
            <w:pPr>
              <w:jc w:val="center"/>
              <w:rPr>
                <w:rFonts w:cs="Arial"/>
                <w:sz w:val="20"/>
                <w:szCs w:val="20"/>
              </w:rPr>
            </w:pPr>
            <w:r>
              <w:rPr>
                <w:rFonts w:cs="Arial"/>
                <w:sz w:val="20"/>
                <w:szCs w:val="20"/>
              </w:rPr>
              <w:t>5.03</w:t>
            </w:r>
          </w:p>
        </w:tc>
        <w:tc>
          <w:tcPr>
            <w:tcW w:w="758" w:type="pct"/>
            <w:tcBorders>
              <w:top w:val="nil"/>
              <w:bottom w:val="nil"/>
            </w:tcBorders>
            <w:vAlign w:val="center"/>
          </w:tcPr>
          <w:p w:rsidR="003216CA" w:rsidRDefault="003216CA" w:rsidP="00ED3374">
            <w:pPr>
              <w:jc w:val="center"/>
              <w:rPr>
                <w:rFonts w:cs="Arial"/>
                <w:sz w:val="20"/>
                <w:szCs w:val="20"/>
              </w:rPr>
            </w:pPr>
            <w:r>
              <w:rPr>
                <w:rFonts w:cs="Arial"/>
                <w:sz w:val="20"/>
                <w:szCs w:val="20"/>
              </w:rPr>
              <w:t>5.18</w:t>
            </w:r>
          </w:p>
        </w:tc>
        <w:tc>
          <w:tcPr>
            <w:tcW w:w="759" w:type="pct"/>
            <w:tcBorders>
              <w:top w:val="nil"/>
              <w:bottom w:val="nil"/>
            </w:tcBorders>
            <w:vAlign w:val="center"/>
          </w:tcPr>
          <w:p w:rsidR="003216CA" w:rsidRDefault="003216CA" w:rsidP="00ED3374">
            <w:pPr>
              <w:jc w:val="center"/>
              <w:rPr>
                <w:rFonts w:cs="Arial"/>
                <w:sz w:val="20"/>
                <w:szCs w:val="20"/>
              </w:rPr>
            </w:pPr>
            <w:r>
              <w:rPr>
                <w:rFonts w:cs="Arial"/>
                <w:sz w:val="20"/>
                <w:szCs w:val="20"/>
              </w:rPr>
              <w:t>9.37</w:t>
            </w:r>
          </w:p>
        </w:tc>
        <w:tc>
          <w:tcPr>
            <w:tcW w:w="685" w:type="pct"/>
            <w:tcBorders>
              <w:top w:val="nil"/>
              <w:bottom w:val="nil"/>
            </w:tcBorders>
            <w:vAlign w:val="center"/>
          </w:tcPr>
          <w:p w:rsidR="003216CA" w:rsidRDefault="003216CA" w:rsidP="00ED3374">
            <w:pPr>
              <w:jc w:val="center"/>
              <w:rPr>
                <w:rFonts w:cs="Arial"/>
                <w:sz w:val="20"/>
                <w:szCs w:val="20"/>
              </w:rPr>
            </w:pPr>
            <w:r>
              <w:rPr>
                <w:rFonts w:cs="Arial"/>
                <w:sz w:val="20"/>
                <w:szCs w:val="20"/>
              </w:rPr>
              <w:t>68</w:t>
            </w:r>
          </w:p>
        </w:tc>
        <w:tc>
          <w:tcPr>
            <w:tcW w:w="608" w:type="pct"/>
            <w:tcBorders>
              <w:top w:val="nil"/>
              <w:bottom w:val="nil"/>
            </w:tcBorders>
            <w:vAlign w:val="center"/>
          </w:tcPr>
          <w:p w:rsidR="003216CA" w:rsidRDefault="003216CA" w:rsidP="00ED3374">
            <w:pPr>
              <w:jc w:val="center"/>
              <w:rPr>
                <w:rFonts w:cs="Arial"/>
                <w:sz w:val="20"/>
                <w:szCs w:val="20"/>
              </w:rPr>
            </w:pPr>
            <w:r>
              <w:rPr>
                <w:rFonts w:cs="Arial"/>
                <w:sz w:val="20"/>
                <w:szCs w:val="20"/>
              </w:rPr>
              <w:t>70</w:t>
            </w:r>
          </w:p>
        </w:tc>
      </w:tr>
      <w:tr w:rsidR="003216CA" w:rsidRPr="00405CDE" w:rsidTr="00ED3374">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single" w:sz="4" w:space="0" w:color="auto"/>
            </w:tcBorders>
            <w:vAlign w:val="center"/>
          </w:tcPr>
          <w:p w:rsidR="003216CA" w:rsidRDefault="003216CA" w:rsidP="00ED3374">
            <w:pPr>
              <w:rPr>
                <w:rFonts w:cs="Arial"/>
                <w:sz w:val="20"/>
                <w:szCs w:val="20"/>
              </w:rPr>
            </w:pPr>
            <w:r>
              <w:rPr>
                <w:rFonts w:cs="Arial"/>
                <w:sz w:val="20"/>
                <w:szCs w:val="20"/>
              </w:rPr>
              <w:lastRenderedPageBreak/>
              <w:t>% change from previous financial YTD</w:t>
            </w:r>
          </w:p>
        </w:tc>
        <w:tc>
          <w:tcPr>
            <w:tcW w:w="759" w:type="pct"/>
            <w:tcBorders>
              <w:top w:val="nil"/>
              <w:bottom w:val="single" w:sz="4" w:space="0" w:color="auto"/>
            </w:tcBorders>
            <w:vAlign w:val="center"/>
          </w:tcPr>
          <w:p w:rsidR="003216CA" w:rsidRDefault="003216CA" w:rsidP="00ED3374">
            <w:pPr>
              <w:jc w:val="center"/>
              <w:rPr>
                <w:rFonts w:cs="Arial"/>
                <w:sz w:val="20"/>
                <w:szCs w:val="20"/>
              </w:rPr>
            </w:pPr>
            <w:r>
              <w:rPr>
                <w:rFonts w:cs="Arial"/>
                <w:sz w:val="20"/>
                <w:szCs w:val="20"/>
              </w:rPr>
              <w:t>43</w:t>
            </w:r>
          </w:p>
        </w:tc>
        <w:tc>
          <w:tcPr>
            <w:tcW w:w="758" w:type="pct"/>
            <w:tcBorders>
              <w:top w:val="nil"/>
              <w:bottom w:val="single" w:sz="4" w:space="0" w:color="auto"/>
            </w:tcBorders>
            <w:vAlign w:val="center"/>
          </w:tcPr>
          <w:p w:rsidR="003216CA" w:rsidRDefault="003216CA" w:rsidP="00ED3374">
            <w:pPr>
              <w:jc w:val="center"/>
              <w:rPr>
                <w:rFonts w:cs="Arial"/>
                <w:sz w:val="20"/>
                <w:szCs w:val="20"/>
              </w:rPr>
            </w:pPr>
            <w:r>
              <w:rPr>
                <w:rFonts w:cs="Arial"/>
                <w:sz w:val="20"/>
                <w:szCs w:val="20"/>
              </w:rPr>
              <w:t>49</w:t>
            </w:r>
          </w:p>
        </w:tc>
        <w:tc>
          <w:tcPr>
            <w:tcW w:w="759" w:type="pct"/>
            <w:tcBorders>
              <w:top w:val="nil"/>
              <w:bottom w:val="single" w:sz="4" w:space="0" w:color="auto"/>
            </w:tcBorders>
            <w:vAlign w:val="center"/>
          </w:tcPr>
          <w:p w:rsidR="003216CA" w:rsidRDefault="003216CA" w:rsidP="00ED3374">
            <w:pPr>
              <w:jc w:val="center"/>
              <w:rPr>
                <w:rFonts w:cs="Arial"/>
                <w:sz w:val="20"/>
                <w:szCs w:val="20"/>
              </w:rPr>
            </w:pPr>
            <w:r>
              <w:rPr>
                <w:rFonts w:cs="Arial"/>
                <w:sz w:val="20"/>
                <w:szCs w:val="20"/>
              </w:rPr>
              <w:t>-21</w:t>
            </w:r>
          </w:p>
        </w:tc>
        <w:tc>
          <w:tcPr>
            <w:tcW w:w="685" w:type="pct"/>
            <w:tcBorders>
              <w:top w:val="nil"/>
              <w:bottom w:val="single" w:sz="4" w:space="0" w:color="auto"/>
            </w:tcBorders>
            <w:vAlign w:val="center"/>
          </w:tcPr>
          <w:p w:rsidR="003216CA" w:rsidRDefault="003216CA" w:rsidP="00ED3374">
            <w:pPr>
              <w:jc w:val="center"/>
              <w:rPr>
                <w:rFonts w:cs="Arial"/>
                <w:sz w:val="20"/>
                <w:szCs w:val="20"/>
              </w:rPr>
            </w:pPr>
            <w:r>
              <w:rPr>
                <w:rFonts w:cs="Arial"/>
                <w:sz w:val="20"/>
                <w:szCs w:val="20"/>
              </w:rPr>
              <w:t>0</w:t>
            </w:r>
          </w:p>
        </w:tc>
        <w:tc>
          <w:tcPr>
            <w:tcW w:w="608" w:type="pct"/>
            <w:tcBorders>
              <w:top w:val="nil"/>
              <w:bottom w:val="single" w:sz="4" w:space="0" w:color="auto"/>
            </w:tcBorders>
            <w:vAlign w:val="center"/>
          </w:tcPr>
          <w:p w:rsidR="003216CA" w:rsidRDefault="003216CA" w:rsidP="00ED3374">
            <w:pPr>
              <w:jc w:val="center"/>
              <w:rPr>
                <w:rFonts w:cs="Arial"/>
                <w:sz w:val="20"/>
                <w:szCs w:val="20"/>
              </w:rPr>
            </w:pPr>
            <w:r>
              <w:rPr>
                <w:rFonts w:cs="Arial"/>
                <w:sz w:val="20"/>
                <w:szCs w:val="20"/>
              </w:rPr>
              <w:t>2</w:t>
            </w:r>
          </w:p>
        </w:tc>
      </w:tr>
    </w:tbl>
    <w:p w:rsidR="00D1641C" w:rsidRDefault="006E7E57" w:rsidP="00D1641C">
      <w:pPr>
        <w:pStyle w:val="Heading2"/>
        <w:ind w:firstLine="0"/>
        <w:rPr>
          <w:i w:val="0"/>
          <w:color w:val="2272A3"/>
          <w:sz w:val="24"/>
          <w:szCs w:val="24"/>
        </w:rPr>
      </w:pPr>
      <w:r>
        <w:rPr>
          <w:i w:val="0"/>
          <w:color w:val="2272A3"/>
          <w:sz w:val="24"/>
          <w:szCs w:val="24"/>
        </w:rPr>
        <w:t>Brisbane STTM</w:t>
      </w:r>
    </w:p>
    <w:tbl>
      <w:tblPr>
        <w:tblStyle w:val="AERTable-Text0"/>
        <w:tblW w:w="4785" w:type="pct"/>
        <w:tblLook w:val="04A0" w:firstRow="1" w:lastRow="0" w:firstColumn="1" w:lastColumn="0" w:noHBand="0" w:noVBand="1"/>
      </w:tblPr>
      <w:tblGrid>
        <w:gridCol w:w="2667"/>
        <w:gridCol w:w="1416"/>
        <w:gridCol w:w="1413"/>
        <w:gridCol w:w="1415"/>
        <w:gridCol w:w="1277"/>
        <w:gridCol w:w="1134"/>
      </w:tblGrid>
      <w:tr w:rsidR="00F114D5" w:rsidRPr="00405CDE" w:rsidTr="00F114D5">
        <w:trPr>
          <w:cnfStyle w:val="100000000000" w:firstRow="1" w:lastRow="0" w:firstColumn="0" w:lastColumn="0" w:oddVBand="0" w:evenVBand="0" w:oddHBand="0" w:evenHBand="0" w:firstRowFirstColumn="0" w:firstRowLastColumn="0" w:lastRowFirstColumn="0" w:lastRowLastColumn="0"/>
          <w:tblHeader/>
        </w:trPr>
        <w:tc>
          <w:tcPr>
            <w:tcW w:w="1430" w:type="pct"/>
            <w:tcBorders>
              <w:bottom w:val="nil"/>
            </w:tcBorders>
            <w:hideMark/>
          </w:tcPr>
          <w:p w:rsidR="00F114D5" w:rsidRPr="00DC24BF" w:rsidRDefault="00F114D5" w:rsidP="0091453B">
            <w:pPr>
              <w:pStyle w:val="TableHeading"/>
              <w:jc w:val="center"/>
              <w:rPr>
                <w:rFonts w:cs="Arial"/>
                <w:sz w:val="20"/>
                <w:szCs w:val="20"/>
              </w:rPr>
            </w:pPr>
          </w:p>
        </w:tc>
        <w:tc>
          <w:tcPr>
            <w:tcW w:w="759" w:type="pct"/>
            <w:tcBorders>
              <w:bottom w:val="nil"/>
            </w:tcBorders>
            <w:hideMark/>
          </w:tcPr>
          <w:p w:rsidR="00F114D5" w:rsidRPr="002861A9" w:rsidRDefault="00F114D5" w:rsidP="00ED3374">
            <w:pPr>
              <w:keepNext/>
              <w:spacing w:before="40" w:after="40"/>
              <w:jc w:val="center"/>
              <w:rPr>
                <w:rFonts w:cs="Arial"/>
                <w:b w:val="0"/>
                <w:bCs/>
                <w:sz w:val="20"/>
                <w:szCs w:val="20"/>
              </w:rPr>
            </w:pPr>
            <w:r w:rsidRPr="002861A9">
              <w:rPr>
                <w:rFonts w:cs="Arial"/>
                <w:bCs/>
                <w:sz w:val="20"/>
                <w:szCs w:val="20"/>
              </w:rPr>
              <w:t>Ex ante price ($/GJ)</w:t>
            </w:r>
          </w:p>
        </w:tc>
        <w:tc>
          <w:tcPr>
            <w:tcW w:w="758" w:type="pct"/>
            <w:tcBorders>
              <w:bottom w:val="nil"/>
            </w:tcBorders>
          </w:tcPr>
          <w:p w:rsidR="00F114D5" w:rsidRPr="002861A9" w:rsidRDefault="00F114D5" w:rsidP="00ED3374">
            <w:pPr>
              <w:keepNext/>
              <w:spacing w:before="40" w:after="40"/>
              <w:jc w:val="center"/>
              <w:rPr>
                <w:rFonts w:cs="Arial"/>
                <w:b w:val="0"/>
                <w:bCs/>
                <w:sz w:val="20"/>
                <w:szCs w:val="20"/>
              </w:rPr>
            </w:pPr>
            <w:r w:rsidRPr="002861A9">
              <w:rPr>
                <w:rFonts w:cs="Arial"/>
                <w:bCs/>
                <w:sz w:val="20"/>
                <w:szCs w:val="20"/>
              </w:rPr>
              <w:t>Ex post price ($/GJ)</w:t>
            </w:r>
          </w:p>
        </w:tc>
        <w:tc>
          <w:tcPr>
            <w:tcW w:w="759" w:type="pct"/>
            <w:tcBorders>
              <w:bottom w:val="nil"/>
            </w:tcBorders>
          </w:tcPr>
          <w:p w:rsidR="00F114D5" w:rsidRPr="002861A9" w:rsidRDefault="00F114D5" w:rsidP="00ED3374">
            <w:pPr>
              <w:keepNext/>
              <w:spacing w:before="40" w:after="40"/>
              <w:jc w:val="center"/>
              <w:rPr>
                <w:rFonts w:cs="Arial"/>
                <w:b w:val="0"/>
                <w:bCs/>
                <w:sz w:val="20"/>
                <w:szCs w:val="20"/>
              </w:rPr>
            </w:pPr>
            <w:r w:rsidRPr="002861A9">
              <w:rPr>
                <w:rFonts w:cs="Arial"/>
                <w:bCs/>
                <w:sz w:val="20"/>
                <w:szCs w:val="20"/>
              </w:rPr>
              <w:t>MOS payments ($000)</w:t>
            </w:r>
          </w:p>
        </w:tc>
        <w:tc>
          <w:tcPr>
            <w:tcW w:w="685" w:type="pct"/>
            <w:tcBorders>
              <w:bottom w:val="nil"/>
            </w:tcBorders>
            <w:hideMark/>
          </w:tcPr>
          <w:p w:rsidR="00F114D5" w:rsidRPr="002861A9" w:rsidRDefault="00F114D5" w:rsidP="00ED3374">
            <w:pPr>
              <w:keepNext/>
              <w:spacing w:before="40" w:after="40"/>
              <w:jc w:val="center"/>
              <w:rPr>
                <w:rFonts w:cs="Arial"/>
                <w:b w:val="0"/>
                <w:bCs/>
                <w:sz w:val="20"/>
                <w:szCs w:val="20"/>
              </w:rPr>
            </w:pPr>
            <w:r w:rsidRPr="002861A9">
              <w:rPr>
                <w:rFonts w:cs="Arial"/>
                <w:bCs/>
                <w:sz w:val="20"/>
                <w:szCs w:val="20"/>
              </w:rPr>
              <w:t>Ex ante quantity (TJ)</w:t>
            </w:r>
          </w:p>
        </w:tc>
        <w:tc>
          <w:tcPr>
            <w:tcW w:w="608" w:type="pct"/>
            <w:tcBorders>
              <w:bottom w:val="nil"/>
            </w:tcBorders>
            <w:hideMark/>
          </w:tcPr>
          <w:p w:rsidR="00F114D5" w:rsidRPr="002861A9" w:rsidRDefault="00F114D5" w:rsidP="00ED3374">
            <w:pPr>
              <w:keepNext/>
              <w:spacing w:before="40" w:after="40"/>
              <w:jc w:val="center"/>
              <w:rPr>
                <w:rFonts w:cs="Arial"/>
                <w:b w:val="0"/>
                <w:bCs/>
                <w:sz w:val="20"/>
                <w:szCs w:val="20"/>
              </w:rPr>
            </w:pPr>
            <w:r w:rsidRPr="002861A9">
              <w:rPr>
                <w:rFonts w:cs="Arial"/>
                <w:bCs/>
                <w:sz w:val="20"/>
                <w:szCs w:val="20"/>
              </w:rPr>
              <w:t>Ex post quantity (TJ)</w:t>
            </w:r>
          </w:p>
        </w:tc>
      </w:tr>
      <w:tr w:rsidR="00A71E47" w:rsidRPr="00405CDE" w:rsidTr="00ED3374">
        <w:trPr>
          <w:trHeight w:val="510"/>
        </w:trPr>
        <w:tc>
          <w:tcPr>
            <w:tcW w:w="1430" w:type="pct"/>
            <w:tcBorders>
              <w:top w:val="nil"/>
              <w:bottom w:val="nil"/>
            </w:tcBorders>
            <w:vAlign w:val="center"/>
          </w:tcPr>
          <w:p w:rsidR="00A71E47" w:rsidRDefault="00A71E47">
            <w:pPr>
              <w:rPr>
                <w:rFonts w:cs="Arial"/>
                <w:sz w:val="20"/>
                <w:szCs w:val="20"/>
              </w:rPr>
            </w:pPr>
            <w:r>
              <w:rPr>
                <w:rFonts w:cs="Arial"/>
                <w:sz w:val="20"/>
                <w:szCs w:val="20"/>
              </w:rPr>
              <w:t>13 Dec - 19 Dec 2015</w:t>
            </w:r>
          </w:p>
        </w:tc>
        <w:tc>
          <w:tcPr>
            <w:tcW w:w="759" w:type="pct"/>
            <w:tcBorders>
              <w:top w:val="nil"/>
              <w:bottom w:val="nil"/>
            </w:tcBorders>
            <w:vAlign w:val="center"/>
          </w:tcPr>
          <w:p w:rsidR="00A71E47" w:rsidRDefault="00A71E47">
            <w:pPr>
              <w:jc w:val="center"/>
              <w:rPr>
                <w:rFonts w:cs="Arial"/>
                <w:sz w:val="20"/>
                <w:szCs w:val="20"/>
              </w:rPr>
            </w:pPr>
            <w:r>
              <w:rPr>
                <w:rFonts w:cs="Arial"/>
                <w:sz w:val="20"/>
                <w:szCs w:val="20"/>
              </w:rPr>
              <w:t>4.12</w:t>
            </w:r>
          </w:p>
        </w:tc>
        <w:tc>
          <w:tcPr>
            <w:tcW w:w="758" w:type="pct"/>
            <w:tcBorders>
              <w:top w:val="nil"/>
              <w:bottom w:val="nil"/>
            </w:tcBorders>
            <w:vAlign w:val="center"/>
          </w:tcPr>
          <w:p w:rsidR="00A71E47" w:rsidRDefault="00A71E47">
            <w:pPr>
              <w:jc w:val="center"/>
              <w:rPr>
                <w:rFonts w:cs="Arial"/>
                <w:sz w:val="20"/>
                <w:szCs w:val="20"/>
              </w:rPr>
            </w:pPr>
            <w:r>
              <w:rPr>
                <w:rFonts w:cs="Arial"/>
                <w:sz w:val="20"/>
                <w:szCs w:val="20"/>
              </w:rPr>
              <w:t>4.18</w:t>
            </w:r>
          </w:p>
        </w:tc>
        <w:tc>
          <w:tcPr>
            <w:tcW w:w="759" w:type="pct"/>
            <w:tcBorders>
              <w:top w:val="nil"/>
              <w:bottom w:val="nil"/>
            </w:tcBorders>
            <w:vAlign w:val="center"/>
          </w:tcPr>
          <w:p w:rsidR="00A71E47" w:rsidRDefault="00A71E47">
            <w:pPr>
              <w:jc w:val="center"/>
              <w:rPr>
                <w:rFonts w:cs="Arial"/>
                <w:sz w:val="20"/>
                <w:szCs w:val="20"/>
              </w:rPr>
            </w:pPr>
            <w:r>
              <w:rPr>
                <w:rFonts w:cs="Arial"/>
                <w:sz w:val="20"/>
                <w:szCs w:val="20"/>
              </w:rPr>
              <w:t>1.67</w:t>
            </w:r>
          </w:p>
        </w:tc>
        <w:tc>
          <w:tcPr>
            <w:tcW w:w="685" w:type="pct"/>
            <w:tcBorders>
              <w:top w:val="nil"/>
              <w:bottom w:val="nil"/>
            </w:tcBorders>
            <w:vAlign w:val="center"/>
          </w:tcPr>
          <w:p w:rsidR="00A71E47" w:rsidRDefault="00A71E47">
            <w:pPr>
              <w:jc w:val="center"/>
              <w:rPr>
                <w:rFonts w:cs="Arial"/>
                <w:sz w:val="20"/>
                <w:szCs w:val="20"/>
              </w:rPr>
            </w:pPr>
            <w:r>
              <w:rPr>
                <w:rFonts w:cs="Arial"/>
                <w:sz w:val="20"/>
                <w:szCs w:val="20"/>
              </w:rPr>
              <w:t>85</w:t>
            </w:r>
          </w:p>
        </w:tc>
        <w:tc>
          <w:tcPr>
            <w:tcW w:w="608" w:type="pct"/>
            <w:tcBorders>
              <w:top w:val="nil"/>
              <w:bottom w:val="nil"/>
            </w:tcBorders>
            <w:vAlign w:val="center"/>
          </w:tcPr>
          <w:p w:rsidR="00A71E47" w:rsidRDefault="00A71E47">
            <w:pPr>
              <w:jc w:val="center"/>
              <w:rPr>
                <w:rFonts w:cs="Arial"/>
                <w:sz w:val="20"/>
                <w:szCs w:val="20"/>
              </w:rPr>
            </w:pPr>
            <w:r>
              <w:rPr>
                <w:rFonts w:cs="Arial"/>
                <w:sz w:val="20"/>
                <w:szCs w:val="20"/>
              </w:rPr>
              <w:t>86</w:t>
            </w:r>
          </w:p>
        </w:tc>
      </w:tr>
      <w:tr w:rsidR="00A71E47" w:rsidRPr="00405CDE" w:rsidTr="00ED3374">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nil"/>
            </w:tcBorders>
            <w:vAlign w:val="center"/>
          </w:tcPr>
          <w:p w:rsidR="00A71E47" w:rsidRDefault="00A71E47">
            <w:pPr>
              <w:rPr>
                <w:rFonts w:cs="Arial"/>
                <w:sz w:val="20"/>
                <w:szCs w:val="20"/>
              </w:rPr>
            </w:pPr>
            <w:r>
              <w:rPr>
                <w:rFonts w:cs="Arial"/>
                <w:sz w:val="20"/>
                <w:szCs w:val="20"/>
              </w:rPr>
              <w:t>% change from previous week</w:t>
            </w:r>
          </w:p>
        </w:tc>
        <w:tc>
          <w:tcPr>
            <w:tcW w:w="759" w:type="pct"/>
            <w:tcBorders>
              <w:top w:val="nil"/>
              <w:bottom w:val="nil"/>
            </w:tcBorders>
            <w:vAlign w:val="center"/>
          </w:tcPr>
          <w:p w:rsidR="00A71E47" w:rsidRDefault="00A71E47">
            <w:pPr>
              <w:jc w:val="center"/>
              <w:rPr>
                <w:rFonts w:cs="Arial"/>
                <w:sz w:val="20"/>
                <w:szCs w:val="20"/>
              </w:rPr>
            </w:pPr>
            <w:r>
              <w:rPr>
                <w:rFonts w:cs="Arial"/>
                <w:sz w:val="20"/>
                <w:szCs w:val="20"/>
              </w:rPr>
              <w:t>63</w:t>
            </w:r>
          </w:p>
        </w:tc>
        <w:tc>
          <w:tcPr>
            <w:tcW w:w="758" w:type="pct"/>
            <w:tcBorders>
              <w:top w:val="nil"/>
              <w:bottom w:val="nil"/>
            </w:tcBorders>
            <w:vAlign w:val="center"/>
          </w:tcPr>
          <w:p w:rsidR="00A71E47" w:rsidRDefault="00A71E47">
            <w:pPr>
              <w:jc w:val="center"/>
              <w:rPr>
                <w:rFonts w:cs="Arial"/>
                <w:sz w:val="20"/>
                <w:szCs w:val="20"/>
              </w:rPr>
            </w:pPr>
            <w:r>
              <w:rPr>
                <w:rFonts w:cs="Arial"/>
                <w:sz w:val="20"/>
                <w:szCs w:val="20"/>
              </w:rPr>
              <w:t>71</w:t>
            </w:r>
          </w:p>
        </w:tc>
        <w:tc>
          <w:tcPr>
            <w:tcW w:w="759" w:type="pct"/>
            <w:tcBorders>
              <w:top w:val="nil"/>
              <w:bottom w:val="nil"/>
            </w:tcBorders>
            <w:vAlign w:val="center"/>
          </w:tcPr>
          <w:p w:rsidR="00A71E47" w:rsidRDefault="00A71E47">
            <w:pPr>
              <w:jc w:val="center"/>
              <w:rPr>
                <w:rFonts w:cs="Arial"/>
                <w:sz w:val="20"/>
                <w:szCs w:val="20"/>
              </w:rPr>
            </w:pPr>
            <w:r>
              <w:rPr>
                <w:rFonts w:cs="Arial"/>
                <w:sz w:val="20"/>
                <w:szCs w:val="20"/>
              </w:rPr>
              <w:t>-14</w:t>
            </w:r>
          </w:p>
        </w:tc>
        <w:tc>
          <w:tcPr>
            <w:tcW w:w="685" w:type="pct"/>
            <w:tcBorders>
              <w:top w:val="nil"/>
              <w:bottom w:val="nil"/>
            </w:tcBorders>
            <w:vAlign w:val="center"/>
          </w:tcPr>
          <w:p w:rsidR="00A71E47" w:rsidRDefault="00A71E47">
            <w:pPr>
              <w:jc w:val="center"/>
              <w:rPr>
                <w:rFonts w:cs="Arial"/>
                <w:sz w:val="20"/>
                <w:szCs w:val="20"/>
              </w:rPr>
            </w:pPr>
            <w:r>
              <w:rPr>
                <w:rFonts w:cs="Arial"/>
                <w:sz w:val="20"/>
                <w:szCs w:val="20"/>
              </w:rPr>
              <w:t>0</w:t>
            </w:r>
          </w:p>
        </w:tc>
        <w:tc>
          <w:tcPr>
            <w:tcW w:w="608" w:type="pct"/>
            <w:tcBorders>
              <w:top w:val="nil"/>
              <w:bottom w:val="nil"/>
            </w:tcBorders>
            <w:vAlign w:val="center"/>
          </w:tcPr>
          <w:p w:rsidR="00A71E47" w:rsidRDefault="00A71E47">
            <w:pPr>
              <w:jc w:val="center"/>
              <w:rPr>
                <w:rFonts w:cs="Arial"/>
                <w:sz w:val="20"/>
                <w:szCs w:val="20"/>
              </w:rPr>
            </w:pPr>
            <w:r>
              <w:rPr>
                <w:rFonts w:cs="Arial"/>
                <w:sz w:val="20"/>
                <w:szCs w:val="20"/>
              </w:rPr>
              <w:t>6</w:t>
            </w:r>
          </w:p>
        </w:tc>
      </w:tr>
      <w:tr w:rsidR="00A71E47" w:rsidRPr="00405CDE" w:rsidTr="00ED3374">
        <w:trPr>
          <w:trHeight w:val="510"/>
        </w:trPr>
        <w:tc>
          <w:tcPr>
            <w:tcW w:w="1430" w:type="pct"/>
            <w:tcBorders>
              <w:top w:val="nil"/>
              <w:bottom w:val="nil"/>
            </w:tcBorders>
            <w:vAlign w:val="center"/>
          </w:tcPr>
          <w:p w:rsidR="00A71E47" w:rsidRDefault="00A71E47">
            <w:pPr>
              <w:rPr>
                <w:rFonts w:cs="Arial"/>
                <w:sz w:val="20"/>
                <w:szCs w:val="20"/>
              </w:rPr>
            </w:pPr>
            <w:r>
              <w:rPr>
                <w:rFonts w:cs="Arial"/>
                <w:sz w:val="20"/>
                <w:szCs w:val="20"/>
              </w:rPr>
              <w:t>15-16 financial YTD</w:t>
            </w:r>
          </w:p>
        </w:tc>
        <w:tc>
          <w:tcPr>
            <w:tcW w:w="759" w:type="pct"/>
            <w:tcBorders>
              <w:top w:val="nil"/>
              <w:bottom w:val="nil"/>
            </w:tcBorders>
            <w:vAlign w:val="center"/>
          </w:tcPr>
          <w:p w:rsidR="00A71E47" w:rsidRDefault="00A71E47">
            <w:pPr>
              <w:jc w:val="center"/>
              <w:rPr>
                <w:rFonts w:cs="Arial"/>
                <w:sz w:val="20"/>
                <w:szCs w:val="20"/>
              </w:rPr>
            </w:pPr>
            <w:r>
              <w:rPr>
                <w:rFonts w:cs="Arial"/>
                <w:sz w:val="20"/>
                <w:szCs w:val="20"/>
              </w:rPr>
              <w:t>3.67</w:t>
            </w:r>
          </w:p>
        </w:tc>
        <w:tc>
          <w:tcPr>
            <w:tcW w:w="758" w:type="pct"/>
            <w:tcBorders>
              <w:top w:val="nil"/>
              <w:bottom w:val="nil"/>
            </w:tcBorders>
            <w:vAlign w:val="center"/>
          </w:tcPr>
          <w:p w:rsidR="00A71E47" w:rsidRDefault="00A71E47">
            <w:pPr>
              <w:jc w:val="center"/>
              <w:rPr>
                <w:rFonts w:cs="Arial"/>
                <w:sz w:val="20"/>
                <w:szCs w:val="20"/>
              </w:rPr>
            </w:pPr>
            <w:r>
              <w:rPr>
                <w:rFonts w:cs="Arial"/>
                <w:sz w:val="20"/>
                <w:szCs w:val="20"/>
              </w:rPr>
              <w:t>3.62</w:t>
            </w:r>
          </w:p>
        </w:tc>
        <w:tc>
          <w:tcPr>
            <w:tcW w:w="759" w:type="pct"/>
            <w:tcBorders>
              <w:top w:val="nil"/>
              <w:bottom w:val="nil"/>
            </w:tcBorders>
            <w:vAlign w:val="center"/>
          </w:tcPr>
          <w:p w:rsidR="00A71E47" w:rsidRDefault="00A71E47">
            <w:pPr>
              <w:jc w:val="center"/>
              <w:rPr>
                <w:rFonts w:cs="Arial"/>
                <w:sz w:val="20"/>
                <w:szCs w:val="20"/>
              </w:rPr>
            </w:pPr>
            <w:r>
              <w:rPr>
                <w:rFonts w:cs="Arial"/>
                <w:sz w:val="20"/>
                <w:szCs w:val="20"/>
              </w:rPr>
              <w:t>1.40</w:t>
            </w:r>
          </w:p>
        </w:tc>
        <w:tc>
          <w:tcPr>
            <w:tcW w:w="685" w:type="pct"/>
            <w:tcBorders>
              <w:top w:val="nil"/>
              <w:bottom w:val="nil"/>
            </w:tcBorders>
            <w:vAlign w:val="center"/>
          </w:tcPr>
          <w:p w:rsidR="00A71E47" w:rsidRDefault="00A71E47">
            <w:pPr>
              <w:jc w:val="center"/>
              <w:rPr>
                <w:rFonts w:cs="Arial"/>
                <w:sz w:val="20"/>
                <w:szCs w:val="20"/>
              </w:rPr>
            </w:pPr>
            <w:r>
              <w:rPr>
                <w:rFonts w:cs="Arial"/>
                <w:sz w:val="20"/>
                <w:szCs w:val="20"/>
              </w:rPr>
              <w:t>90</w:t>
            </w:r>
          </w:p>
        </w:tc>
        <w:tc>
          <w:tcPr>
            <w:tcW w:w="608" w:type="pct"/>
            <w:tcBorders>
              <w:top w:val="nil"/>
              <w:bottom w:val="nil"/>
            </w:tcBorders>
            <w:vAlign w:val="center"/>
          </w:tcPr>
          <w:p w:rsidR="00A71E47" w:rsidRDefault="00A71E47">
            <w:pPr>
              <w:jc w:val="center"/>
              <w:rPr>
                <w:rFonts w:cs="Arial"/>
                <w:sz w:val="20"/>
                <w:szCs w:val="20"/>
              </w:rPr>
            </w:pPr>
            <w:r>
              <w:rPr>
                <w:rFonts w:cs="Arial"/>
                <w:sz w:val="20"/>
                <w:szCs w:val="20"/>
              </w:rPr>
              <w:t>90</w:t>
            </w:r>
          </w:p>
        </w:tc>
      </w:tr>
      <w:tr w:rsidR="00A71E47" w:rsidRPr="00405CDE" w:rsidTr="00ED3374">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single" w:sz="4" w:space="0" w:color="auto"/>
            </w:tcBorders>
            <w:vAlign w:val="center"/>
          </w:tcPr>
          <w:p w:rsidR="00A71E47" w:rsidRDefault="00A71E47">
            <w:pPr>
              <w:rPr>
                <w:rFonts w:cs="Arial"/>
                <w:sz w:val="20"/>
                <w:szCs w:val="20"/>
              </w:rPr>
            </w:pPr>
            <w:r>
              <w:rPr>
                <w:rFonts w:cs="Arial"/>
                <w:sz w:val="20"/>
                <w:szCs w:val="20"/>
              </w:rPr>
              <w:t>% change from previous financial YTD</w:t>
            </w:r>
          </w:p>
        </w:tc>
        <w:tc>
          <w:tcPr>
            <w:tcW w:w="759" w:type="pct"/>
            <w:tcBorders>
              <w:top w:val="nil"/>
              <w:bottom w:val="single" w:sz="4" w:space="0" w:color="auto"/>
            </w:tcBorders>
            <w:vAlign w:val="center"/>
          </w:tcPr>
          <w:p w:rsidR="00A71E47" w:rsidRDefault="00A71E47">
            <w:pPr>
              <w:jc w:val="center"/>
              <w:rPr>
                <w:rFonts w:cs="Arial"/>
                <w:sz w:val="20"/>
                <w:szCs w:val="20"/>
              </w:rPr>
            </w:pPr>
            <w:r>
              <w:rPr>
                <w:rFonts w:cs="Arial"/>
                <w:sz w:val="20"/>
                <w:szCs w:val="20"/>
              </w:rPr>
              <w:t>109</w:t>
            </w:r>
          </w:p>
        </w:tc>
        <w:tc>
          <w:tcPr>
            <w:tcW w:w="758" w:type="pct"/>
            <w:tcBorders>
              <w:top w:val="nil"/>
              <w:bottom w:val="single" w:sz="4" w:space="0" w:color="auto"/>
            </w:tcBorders>
            <w:vAlign w:val="center"/>
          </w:tcPr>
          <w:p w:rsidR="00A71E47" w:rsidRDefault="00A71E47">
            <w:pPr>
              <w:jc w:val="center"/>
              <w:rPr>
                <w:rFonts w:cs="Arial"/>
                <w:sz w:val="20"/>
                <w:szCs w:val="20"/>
              </w:rPr>
            </w:pPr>
            <w:r>
              <w:rPr>
                <w:rFonts w:cs="Arial"/>
                <w:sz w:val="20"/>
                <w:szCs w:val="20"/>
              </w:rPr>
              <w:t>135</w:t>
            </w:r>
          </w:p>
        </w:tc>
        <w:tc>
          <w:tcPr>
            <w:tcW w:w="759" w:type="pct"/>
            <w:tcBorders>
              <w:top w:val="nil"/>
              <w:bottom w:val="single" w:sz="4" w:space="0" w:color="auto"/>
            </w:tcBorders>
            <w:vAlign w:val="center"/>
          </w:tcPr>
          <w:p w:rsidR="00A71E47" w:rsidRDefault="00A71E47">
            <w:pPr>
              <w:jc w:val="center"/>
              <w:rPr>
                <w:rFonts w:cs="Arial"/>
                <w:sz w:val="20"/>
                <w:szCs w:val="20"/>
              </w:rPr>
            </w:pPr>
            <w:r>
              <w:rPr>
                <w:rFonts w:cs="Arial"/>
                <w:sz w:val="20"/>
                <w:szCs w:val="20"/>
              </w:rPr>
              <w:t>17</w:t>
            </w:r>
          </w:p>
        </w:tc>
        <w:tc>
          <w:tcPr>
            <w:tcW w:w="685" w:type="pct"/>
            <w:tcBorders>
              <w:top w:val="nil"/>
              <w:bottom w:val="single" w:sz="4" w:space="0" w:color="auto"/>
            </w:tcBorders>
            <w:vAlign w:val="center"/>
          </w:tcPr>
          <w:p w:rsidR="00A71E47" w:rsidRDefault="00A71E47">
            <w:pPr>
              <w:jc w:val="center"/>
              <w:rPr>
                <w:rFonts w:cs="Arial"/>
                <w:sz w:val="20"/>
                <w:szCs w:val="20"/>
              </w:rPr>
            </w:pPr>
            <w:r>
              <w:rPr>
                <w:rFonts w:cs="Arial"/>
                <w:sz w:val="20"/>
                <w:szCs w:val="20"/>
              </w:rPr>
              <w:t>-42</w:t>
            </w:r>
          </w:p>
        </w:tc>
        <w:tc>
          <w:tcPr>
            <w:tcW w:w="608" w:type="pct"/>
            <w:tcBorders>
              <w:top w:val="nil"/>
              <w:bottom w:val="single" w:sz="4" w:space="0" w:color="auto"/>
            </w:tcBorders>
            <w:vAlign w:val="center"/>
          </w:tcPr>
          <w:p w:rsidR="00A71E47" w:rsidRDefault="00A71E47">
            <w:pPr>
              <w:jc w:val="center"/>
              <w:rPr>
                <w:rFonts w:cs="Arial"/>
                <w:sz w:val="20"/>
                <w:szCs w:val="20"/>
              </w:rPr>
            </w:pPr>
            <w:r>
              <w:rPr>
                <w:rFonts w:cs="Arial"/>
                <w:sz w:val="20"/>
                <w:szCs w:val="20"/>
              </w:rPr>
              <w:t>-42</w:t>
            </w:r>
          </w:p>
        </w:tc>
      </w:tr>
    </w:tbl>
    <w:p w:rsidR="006E7E57" w:rsidRPr="008D4DAB" w:rsidRDefault="006E7E57" w:rsidP="00345444">
      <w:pPr>
        <w:pStyle w:val="AERbodytext"/>
        <w:spacing w:before="120" w:after="120" w:line="240" w:lineRule="auto"/>
        <w:jc w:val="both"/>
      </w:pPr>
      <w:r>
        <w:t>M</w:t>
      </w:r>
      <w:r w:rsidRPr="008D4DAB">
        <w:t xml:space="preserve">ore </w:t>
      </w:r>
      <w:r>
        <w:t xml:space="preserve">detailed </w:t>
      </w:r>
      <w:r w:rsidRPr="008D4DAB">
        <w:t>analysis o</w:t>
      </w:r>
      <w:r>
        <w:t>f</w:t>
      </w:r>
      <w:r w:rsidRPr="008D4DAB">
        <w:t xml:space="preserve"> the STTM hubs </w:t>
      </w:r>
      <w:r>
        <w:t>is found in</w:t>
      </w:r>
      <w:r w:rsidRPr="008D4DAB">
        <w:t xml:space="preserve"> sections 2 to 4</w:t>
      </w:r>
      <w:r>
        <w:t>.</w:t>
      </w:r>
      <w:r w:rsidRPr="008D4DAB">
        <w:t xml:space="preserve"> </w:t>
      </w:r>
    </w:p>
    <w:p w:rsidR="00D1641C" w:rsidRPr="00D1641C" w:rsidRDefault="006E7E57" w:rsidP="009962A0">
      <w:pPr>
        <w:jc w:val="both"/>
      </w:pPr>
      <w:r w:rsidRPr="008D4DAB">
        <w:t>Section 5 provides analysis on production and pipeline flows on the National Gas Bulletin Board</w:t>
      </w:r>
      <w:r>
        <w:t xml:space="preserve"> </w:t>
      </w:r>
      <w:r w:rsidRPr="00950C55">
        <w:rPr>
          <w:b/>
        </w:rPr>
        <w:t>(</w:t>
      </w:r>
      <w:r>
        <w:rPr>
          <w:b/>
        </w:rPr>
        <w:t>Bulletin Board)</w:t>
      </w:r>
      <w:r w:rsidRPr="008D4DAB">
        <w:t>, as well as gas</w:t>
      </w:r>
      <w:r>
        <w:t xml:space="preserve"> </w:t>
      </w:r>
      <w:r w:rsidRPr="008D4DAB">
        <w:t xml:space="preserve">powered generation </w:t>
      </w:r>
      <w:r w:rsidRPr="00FC4B88">
        <w:rPr>
          <w:b/>
        </w:rPr>
        <w:t>(GPG)</w:t>
      </w:r>
      <w:r>
        <w:t xml:space="preserve"> </w:t>
      </w:r>
      <w:r w:rsidRPr="008D4DAB">
        <w:t>volumes in each state</w:t>
      </w:r>
      <w:r>
        <w:t xml:space="preserve">, and section 6 provides information on the </w:t>
      </w:r>
      <w:r w:rsidR="009962A0">
        <w:t>G</w:t>
      </w:r>
      <w:r>
        <w:t xml:space="preserve">as </w:t>
      </w:r>
      <w:r w:rsidR="009962A0">
        <w:t>S</w:t>
      </w:r>
      <w:r>
        <w:t xml:space="preserve">upply </w:t>
      </w:r>
      <w:r w:rsidR="009962A0">
        <w:t>H</w:t>
      </w:r>
      <w:r>
        <w:t xml:space="preserve">ub </w:t>
      </w:r>
      <w:r w:rsidR="009962A0" w:rsidRPr="009962A0">
        <w:rPr>
          <w:b/>
        </w:rPr>
        <w:t>(GSH)</w:t>
      </w:r>
      <w:r w:rsidR="009962A0">
        <w:t xml:space="preserve"> </w:t>
      </w:r>
      <w:r>
        <w:t>at Wallumbilla</w:t>
      </w:r>
      <w:r w:rsidRPr="008D4DAB">
        <w:t>.</w:t>
      </w:r>
    </w:p>
    <w:p w:rsidR="00BC18FB" w:rsidRPr="006E7E57" w:rsidRDefault="00FE30E3" w:rsidP="00BC18FB">
      <w:pPr>
        <w:pStyle w:val="Heading1"/>
        <w:numPr>
          <w:ilvl w:val="0"/>
          <w:numId w:val="0"/>
        </w:numPr>
        <w:rPr>
          <w:color w:val="2272A3"/>
        </w:rPr>
      </w:pPr>
      <w:r>
        <w:rPr>
          <w:color w:val="2272A3"/>
        </w:rPr>
        <w:t>Detailed market analysis</w:t>
      </w:r>
    </w:p>
    <w:p w:rsidR="001835B2" w:rsidRPr="009A1BBA" w:rsidRDefault="00F621E8" w:rsidP="001B3823">
      <w:pPr>
        <w:jc w:val="both"/>
        <w:rPr>
          <w:rFonts w:eastAsia="MS Mincho"/>
          <w:i/>
        </w:rPr>
      </w:pPr>
      <w:r w:rsidRPr="009A1BBA">
        <w:rPr>
          <w:rFonts w:eastAsia="MS Mincho"/>
          <w:i/>
        </w:rPr>
        <w:t>MOS in Sydney</w:t>
      </w:r>
    </w:p>
    <w:p w:rsidR="00F621E8" w:rsidRPr="009A1BBA" w:rsidRDefault="00F621E8" w:rsidP="001B3823">
      <w:pPr>
        <w:jc w:val="both"/>
        <w:rPr>
          <w:rFonts w:eastAsia="MS Mincho"/>
        </w:rPr>
      </w:pPr>
      <w:r w:rsidRPr="009A1BBA">
        <w:rPr>
          <w:rFonts w:eastAsia="MS Mincho"/>
        </w:rPr>
        <w:t>The MOS requirements in the Sydney STTM hub on 15, 16 and 19 December were largely the result of forecasting errors (see figure 2.4).</w:t>
      </w:r>
    </w:p>
    <w:p w:rsidR="009A1BBA" w:rsidRDefault="009A1BBA" w:rsidP="009A1BBA">
      <w:pPr>
        <w:pStyle w:val="AERbodytext"/>
        <w:spacing w:line="240" w:lineRule="auto"/>
        <w:rPr>
          <w:i/>
        </w:rPr>
      </w:pPr>
      <w:r w:rsidRPr="00600809">
        <w:rPr>
          <w:i/>
        </w:rPr>
        <w:t>Longford maintenance</w:t>
      </w:r>
      <w:r>
        <w:rPr>
          <w:i/>
        </w:rPr>
        <w:t xml:space="preserve"> and high prices in Adelaide and Victoria</w:t>
      </w:r>
    </w:p>
    <w:p w:rsidR="000C2657" w:rsidRDefault="000C2657" w:rsidP="009A1BBA">
      <w:pPr>
        <w:jc w:val="both"/>
      </w:pPr>
      <w:r>
        <w:t xml:space="preserve">From 17 December, planned maintenance at Longford significantly reduced the amount of gas it could supply into Victoria. The outage contributed to price increases towards the end of the week in both Victoria and Adelaide. </w:t>
      </w:r>
      <w:r w:rsidRPr="003216CA">
        <w:t>On 18 December, the gas market prices peaked at $10/GJ in Ad</w:t>
      </w:r>
      <w:r>
        <w:t>elaide and $7.73/GJ in Victoria.</w:t>
      </w:r>
      <w:r w:rsidR="00C12B36">
        <w:rPr>
          <w:rStyle w:val="FootnoteReference"/>
        </w:rPr>
        <w:footnoteReference w:id="5"/>
      </w:r>
      <w:r w:rsidR="00C12B36">
        <w:t xml:space="preserve"> Most of the shortfall was sourced from the Iona underground gas storage facility.</w:t>
      </w:r>
      <w:r w:rsidR="00C12B36">
        <w:rPr>
          <w:rStyle w:val="FootnoteReference"/>
        </w:rPr>
        <w:footnoteReference w:id="6"/>
      </w:r>
      <w:r w:rsidR="00C12B36">
        <w:t xml:space="preserve"> </w:t>
      </w:r>
      <w:r w:rsidR="00C25FEB">
        <w:t xml:space="preserve">              </w:t>
      </w:r>
    </w:p>
    <w:p w:rsidR="003216CA" w:rsidRDefault="009A1BBA" w:rsidP="001B3823">
      <w:pPr>
        <w:jc w:val="both"/>
      </w:pPr>
      <w:r>
        <w:t>In Adelaide, temperatures exceeded 40 degrees from 16 December</w:t>
      </w:r>
      <w:r w:rsidR="007D7254">
        <w:t>.</w:t>
      </w:r>
      <w:r>
        <w:t xml:space="preserve"> </w:t>
      </w:r>
      <w:r w:rsidR="007D7254">
        <w:t>The high temperatures increased</w:t>
      </w:r>
      <w:r>
        <w:t xml:space="preserve"> electricity</w:t>
      </w:r>
      <w:r w:rsidR="007D7254">
        <w:t xml:space="preserve"> demand</w:t>
      </w:r>
      <w:r w:rsidR="00ED3374">
        <w:t>, which in turn increased the demand for gas from</w:t>
      </w:r>
      <w:r>
        <w:t xml:space="preserve"> gas powered </w:t>
      </w:r>
      <w:r w:rsidR="008205ED">
        <w:t xml:space="preserve">electricity </w:t>
      </w:r>
      <w:r>
        <w:t>generators.</w:t>
      </w:r>
      <w:r>
        <w:rPr>
          <w:rStyle w:val="FootnoteReference"/>
        </w:rPr>
        <w:footnoteReference w:id="7"/>
      </w:r>
      <w:r w:rsidRPr="009A1BBA">
        <w:t xml:space="preserve"> </w:t>
      </w:r>
      <w:r>
        <w:t xml:space="preserve">This led to an increase in </w:t>
      </w:r>
      <w:r w:rsidR="007D7254">
        <w:t xml:space="preserve">gas </w:t>
      </w:r>
      <w:r>
        <w:t xml:space="preserve">prices in </w:t>
      </w:r>
      <w:r w:rsidR="007D7254">
        <w:t>Adelaide</w:t>
      </w:r>
      <w:r>
        <w:t xml:space="preserve"> </w:t>
      </w:r>
      <w:r w:rsidR="00C12B36">
        <w:t>and a</w:t>
      </w:r>
      <w:r>
        <w:t xml:space="preserve"> higher proportion of supply sourced from the Moomba to Adelaide Pipeline</w:t>
      </w:r>
      <w:r w:rsidR="00ED3374">
        <w:t xml:space="preserve"> (MAP) (</w:t>
      </w:r>
      <w:r>
        <w:t>see figure 3.3).</w:t>
      </w:r>
    </w:p>
    <w:p w:rsidR="00ED3374" w:rsidRDefault="007D7254" w:rsidP="001B3823">
      <w:pPr>
        <w:jc w:val="both"/>
      </w:pPr>
      <w:r>
        <w:lastRenderedPageBreak/>
        <w:t>Unscheduled</w:t>
      </w:r>
      <w:r w:rsidR="00ED3374">
        <w:t xml:space="preserve"> backhaul</w:t>
      </w:r>
      <w:r>
        <w:t xml:space="preserve"> deliveries</w:t>
      </w:r>
      <w:r w:rsidR="00ED3374">
        <w:t xml:space="preserve"> occurred during the second half of the week</w:t>
      </w:r>
      <w:r>
        <w:t xml:space="preserve"> in Adelaide</w:t>
      </w:r>
      <w:r w:rsidR="00ED3374">
        <w:t xml:space="preserve"> on both SEAGas and the MAP.</w:t>
      </w:r>
      <w:r w:rsidR="00ED3374">
        <w:rPr>
          <w:rStyle w:val="FootnoteReference"/>
        </w:rPr>
        <w:footnoteReference w:id="8"/>
      </w:r>
      <w:r w:rsidR="00ED3374">
        <w:t xml:space="preserve"> The backhaul may have</w:t>
      </w:r>
      <w:r>
        <w:t xml:space="preserve"> been nominated to supply</w:t>
      </w:r>
      <w:r w:rsidR="00ED3374">
        <w:t xml:space="preserve"> gas to </w:t>
      </w:r>
      <w:r w:rsidR="008205ED">
        <w:t>generators</w:t>
      </w:r>
      <w:r w:rsidR="00ED3374">
        <w:t xml:space="preserve"> located outside of the hub. Participants </w:t>
      </w:r>
      <w:r>
        <w:t>increased supply to the hub from</w:t>
      </w:r>
      <w:r w:rsidR="00ED3374">
        <w:t xml:space="preserve"> the MAP to offset the unscheduled backhaul nominations </w:t>
      </w:r>
      <w:r w:rsidR="008205ED">
        <w:t>from</w:t>
      </w:r>
      <w:r w:rsidR="00ED3374">
        <w:t xml:space="preserve"> SEAGas. To a lesser extent unscheduled backhaul from the MAP was offset by participants by </w:t>
      </w:r>
      <w:r>
        <w:t xml:space="preserve">nominating additional supply to the hub from SEAGas. </w:t>
      </w:r>
    </w:p>
    <w:p w:rsidR="009A1BBA" w:rsidRDefault="007D7254" w:rsidP="001B3823">
      <w:pPr>
        <w:jc w:val="both"/>
      </w:pPr>
      <w:r>
        <w:t>The unscheduled backhaul</w:t>
      </w:r>
      <w:r w:rsidR="004B5AEA">
        <w:t xml:space="preserve"> in Adelaide</w:t>
      </w:r>
      <w:r w:rsidR="009A1BBA">
        <w:t xml:space="preserve"> </w:t>
      </w:r>
      <w:r>
        <w:t>resulted in</w:t>
      </w:r>
      <w:r w:rsidR="009A1BBA">
        <w:t xml:space="preserve"> ex post prices</w:t>
      </w:r>
      <w:r>
        <w:t xml:space="preserve"> increasing</w:t>
      </w:r>
      <w:r w:rsidR="009A1BBA">
        <w:t xml:space="preserve"> on these days</w:t>
      </w:r>
      <w:r w:rsidR="008205ED">
        <w:t xml:space="preserve"> (relative to the ex ante prices) </w:t>
      </w:r>
      <w:r w:rsidR="009A1BBA">
        <w:t>despite</w:t>
      </w:r>
      <w:r>
        <w:t xml:space="preserve"> demand within the hub being over forecast</w:t>
      </w:r>
      <w:r w:rsidR="009A1BBA">
        <w:t xml:space="preserve"> (the demand errors can be observed as decrease MOS in figure 3.4).</w:t>
      </w:r>
    </w:p>
    <w:p w:rsidR="009A1BBA" w:rsidRDefault="009A1BBA" w:rsidP="001B3823">
      <w:pPr>
        <w:jc w:val="both"/>
      </w:pPr>
      <w:r>
        <w:t>In Victoria, higher temperatures also influenced an increase in GPG output supplying higher electricity demand in the region.</w:t>
      </w:r>
      <w:r>
        <w:rPr>
          <w:rStyle w:val="FootnoteReference"/>
        </w:rPr>
        <w:footnoteReference w:id="9"/>
      </w:r>
      <w:r w:rsidRPr="009A1BBA">
        <w:t xml:space="preserve"> </w:t>
      </w:r>
      <w:r>
        <w:t>This had the effect of reversing flows on the South West Pipeline, which switched from supplying Adelaide and began flowing towards Melbourne from 17 December. Flows on the pipeline reached 169.5 TJ on 18 December.</w:t>
      </w:r>
    </w:p>
    <w:p w:rsidR="004420C4" w:rsidRPr="004420C4" w:rsidRDefault="0008491C" w:rsidP="004420C4">
      <w:pPr>
        <w:pStyle w:val="Heading1"/>
        <w:numPr>
          <w:ilvl w:val="0"/>
          <w:numId w:val="0"/>
        </w:numPr>
        <w:spacing w:before="120" w:after="0"/>
        <w:ind w:left="142"/>
        <w:rPr>
          <w:color w:val="FFFFFF"/>
          <w:sz w:val="36"/>
        </w:rPr>
      </w:pPr>
      <w:r>
        <w:rPr>
          <w:color w:val="FFFFFF" w:themeColor="background1"/>
          <w:sz w:val="36"/>
          <w:szCs w:val="36"/>
        </w:rPr>
        <w:br w:type="page"/>
      </w:r>
      <w:r w:rsidR="00C25FEB">
        <w:rPr>
          <w:color w:val="FFFFFF"/>
          <w:sz w:val="36"/>
        </w:rPr>
        <w:lastRenderedPageBreak/>
        <w:pict>
          <v:shape id="_x0000_s1075" type="#_x0000_t75" alt="Australian Energy Regulator logo" style="position:absolute;left:0;text-align:left;margin-left:.95pt;margin-top:-.3pt;width:476.25pt;height:77.25pt;z-index:-251652096;mso-position-horizontal-relative:text;mso-position-vertical-relative:text">
            <v:imagedata r:id="rId9" o:title="AER-header for report templates"/>
          </v:shape>
        </w:pict>
      </w:r>
      <w:r w:rsidR="00C25FEB">
        <w:rPr>
          <w:color w:val="FFFFFF"/>
          <w:sz w:val="36"/>
        </w:rPr>
        <w:pict>
          <v:shape id="_x0000_s1097" type="#_x0000_t75" style="position:absolute;left:0;text-align:left;margin-left:720.75pt;margin-top:282.05pt;width:386.3pt;height:299.3pt;z-index:251669504;mso-position-horizontal-relative:text;mso-position-vertical-relative:text" fillcolor="black" strokecolor="white" strokeweight="3e-5mm">
            <v:imagedata r:id="rId10" o:title=""/>
            <o:lock v:ext="edit" rotation="t"/>
          </v:shape>
        </w:pict>
      </w:r>
      <w:r w:rsidR="004420C4" w:rsidRPr="004420C4">
        <w:rPr>
          <w:color w:val="FFFFFF"/>
          <w:sz w:val="36"/>
        </w:rPr>
        <w:t>Detailed Market Figures</w:t>
      </w:r>
    </w:p>
    <w:p w:rsidR="004420C4" w:rsidRDefault="004420C4" w:rsidP="004420C4"/>
    <w:p w:rsidR="004420C4" w:rsidRDefault="004420C4" w:rsidP="004420C4"/>
    <w:p w:rsidR="004420C4" w:rsidRDefault="004420C4" w:rsidP="004420C4"/>
    <w:p w:rsidR="004420C4" w:rsidRPr="00AC3047" w:rsidRDefault="00A71E47" w:rsidP="004420C4">
      <w:pPr>
        <w:pStyle w:val="Heading2"/>
        <w:numPr>
          <w:ilvl w:val="0"/>
          <w:numId w:val="0"/>
        </w:numPr>
        <w:rPr>
          <w:i w:val="0"/>
        </w:rPr>
      </w:pPr>
      <w:r>
        <w:rPr>
          <w:i w:val="0"/>
          <w:sz w:val="36"/>
          <w:szCs w:val="36"/>
        </w:rPr>
        <w:t>13 – 19 December 2015</w:t>
      </w:r>
    </w:p>
    <w:p w:rsidR="004420C4" w:rsidRDefault="004420C4" w:rsidP="004420C4">
      <w:pPr>
        <w:pStyle w:val="Heading3"/>
        <w:ind w:firstLine="0"/>
      </w:pPr>
      <w:r w:rsidRPr="00004A63">
        <w:rPr>
          <w:color w:val="2272A3"/>
          <w:sz w:val="32"/>
          <w:szCs w:val="32"/>
        </w:rPr>
        <w:t>Victorian Declared Wholesale Market</w:t>
      </w:r>
    </w:p>
    <w:p w:rsidR="00004A63" w:rsidRPr="00EF58A8" w:rsidRDefault="00EF58A8" w:rsidP="00345444">
      <w:pPr>
        <w:jc w:val="both"/>
      </w:pPr>
      <w:r w:rsidRPr="00EF58A8">
        <w:t>In the Victorian gas market, gas is priced five times daily at 6 am, 10 am, 2 pm, 6 pm and 10 pm. The imbalance weighted price on a gas day tends towards the 6 am price</w:t>
      </w:r>
      <w:r w:rsidRPr="00EF58A8">
        <w:rPr>
          <w:rStyle w:val="FootnoteReference"/>
        </w:rPr>
        <w:footnoteReference w:id="10"/>
      </w:r>
      <w:r w:rsidRPr="00EF58A8">
        <w:t xml:space="preserve"> which is the schedule at which most gas is traded.</w:t>
      </w:r>
      <w:r w:rsidR="00004A63" w:rsidRPr="00EF58A8">
        <w:t xml:space="preserve"> </w:t>
      </w:r>
    </w:p>
    <w:p w:rsidR="00004A63" w:rsidRPr="00EF58A8" w:rsidRDefault="00EF58A8" w:rsidP="00345444">
      <w:pPr>
        <w:jc w:val="both"/>
      </w:pPr>
      <w:r w:rsidRPr="00EF58A8">
        <w:t>The main drivers</w:t>
      </w:r>
      <w:r w:rsidRPr="00EF58A8">
        <w:rPr>
          <w:rStyle w:val="FootnoteReference"/>
        </w:rPr>
        <w:footnoteReference w:id="11"/>
      </w:r>
      <w:r w:rsidRPr="00EF58A8">
        <w:t xml:space="preserve"> of price are demand forecasts and bids to inject or withdraw gas from the market.</w:t>
      </w:r>
      <w:r w:rsidRPr="00EF58A8">
        <w:rPr>
          <w:rStyle w:val="FootnoteReference"/>
        </w:rPr>
        <w:t xml:space="preserve"> </w:t>
      </w:r>
      <w:r w:rsidRPr="00EF58A8">
        <w:t>Figures 1.1 to 1.4 below show the daily prices, demand forecasts</w:t>
      </w:r>
      <w:r w:rsidRPr="00EF58A8">
        <w:rPr>
          <w:rStyle w:val="FootnoteReference"/>
        </w:rPr>
        <w:footnoteReference w:id="12"/>
      </w:r>
      <w:r w:rsidRPr="00EF58A8">
        <w:t>, and injection/withdrawal bids for each of the five pricing schedules. Figure 1.5 provides information on which system injection points were used to deliver gas, in turn indicating the location and relative quantity of gas injection bids cleared through the market.</w:t>
      </w:r>
    </w:p>
    <w:p w:rsidR="00BC18FB" w:rsidRPr="00DD0358" w:rsidRDefault="00004A63" w:rsidP="00FF0D8A">
      <w:pPr>
        <w:pStyle w:val="Heading4"/>
        <w:ind w:hanging="338"/>
        <w:rPr>
          <w:color w:val="2272A3"/>
          <w:sz w:val="24"/>
        </w:rPr>
      </w:pPr>
      <w:r w:rsidRPr="00DD0358">
        <w:rPr>
          <w:color w:val="2272A3"/>
          <w:sz w:val="24"/>
        </w:rPr>
        <w:t>Prices by schedule</w:t>
      </w:r>
    </w:p>
    <w:p w:rsidR="00362B9A" w:rsidRPr="00362B9A" w:rsidRDefault="00B56814" w:rsidP="00362B9A">
      <w:r>
        <w:pict>
          <v:shape id="_x0000_i1025" type="#_x0000_t75" alt="Figure 1.1 shows the five Victorian schedule prices for each day this week. The marker indicates the daily imbalance weighted average price for each day. For a more detailed description of this figure, please refer to the user guide." style="width:476.25pt;height:137.25pt">
            <v:imagedata r:id="rId13" o:title=""/>
          </v:shape>
        </w:pict>
      </w:r>
    </w:p>
    <w:p w:rsidR="00BC18FB" w:rsidRPr="00DD0358" w:rsidRDefault="00004A63" w:rsidP="00FF0D8A">
      <w:pPr>
        <w:pStyle w:val="Heading4"/>
        <w:ind w:hanging="338"/>
        <w:rPr>
          <w:color w:val="2272A3"/>
          <w:sz w:val="24"/>
        </w:rPr>
      </w:pPr>
      <w:r w:rsidRPr="00DD0358">
        <w:rPr>
          <w:color w:val="2272A3"/>
          <w:sz w:val="24"/>
        </w:rPr>
        <w:t>Demand forecasts</w:t>
      </w:r>
    </w:p>
    <w:p w:rsidR="00362B9A" w:rsidRPr="00362B9A" w:rsidRDefault="00B56814" w:rsidP="00362B9A">
      <w:r>
        <w:pict>
          <v:shape id="_x0000_i1026" type="#_x0000_t75" alt="Figure 1.2 shows the demand forecast used to calculate the five daily schedule prices for this week. For a more detailed description of this figure, please refer to the user guide." style="width:476.25pt;height:177pt">
            <v:imagedata r:id="rId14" o:title=""/>
          </v:shape>
        </w:pict>
      </w:r>
    </w:p>
    <w:p w:rsidR="00BC18FB" w:rsidRPr="00DD0358" w:rsidRDefault="00004A63" w:rsidP="00FF0D8A">
      <w:pPr>
        <w:pStyle w:val="Heading4"/>
        <w:ind w:hanging="338"/>
        <w:rPr>
          <w:color w:val="2272A3"/>
          <w:sz w:val="24"/>
        </w:rPr>
      </w:pPr>
      <w:r w:rsidRPr="00DD0358">
        <w:rPr>
          <w:color w:val="2272A3"/>
          <w:sz w:val="24"/>
        </w:rPr>
        <w:lastRenderedPageBreak/>
        <w:t>Injection bids by price bands</w:t>
      </w:r>
    </w:p>
    <w:p w:rsidR="00362B9A" w:rsidRPr="00362B9A" w:rsidRDefault="00B56814" w:rsidP="00362B9A">
      <w:r>
        <w:pict>
          <v:shape id="_x0000_i1027" type="#_x0000_t75" alt="Figure 1.3 shows the injection bids within certain price bands for each trading interval in Victoria this week. For a more detailed description of this figure, please refer to the user guide.&#10;" style="width:476.25pt;height:206.25pt">
            <v:imagedata r:id="rId15" o:title=""/>
          </v:shape>
        </w:pict>
      </w:r>
    </w:p>
    <w:p w:rsidR="00BC18FB" w:rsidRPr="00DD0358" w:rsidRDefault="00362B9A" w:rsidP="00FF0D8A">
      <w:pPr>
        <w:pStyle w:val="Heading4"/>
        <w:ind w:hanging="338"/>
        <w:rPr>
          <w:color w:val="2272A3"/>
          <w:sz w:val="24"/>
        </w:rPr>
      </w:pPr>
      <w:r w:rsidRPr="00DD0358">
        <w:rPr>
          <w:color w:val="2272A3"/>
          <w:sz w:val="24"/>
        </w:rPr>
        <w:t>Withdrawal bids by price bands</w:t>
      </w:r>
    </w:p>
    <w:p w:rsidR="00362B9A" w:rsidRPr="00362B9A" w:rsidRDefault="00B56814" w:rsidP="00362B9A">
      <w:r>
        <w:pict>
          <v:shape id="_x0000_i1028" type="#_x0000_t75" alt="Figure 1.4 shows the withdrawal bids within certain price bands for each trading interval in Victoria this week. For a more detailed description of this figure, please refer to the user guide." style="width:476.25pt;height:162.75pt">
            <v:imagedata r:id="rId16" o:title=""/>
          </v:shape>
        </w:pict>
      </w:r>
    </w:p>
    <w:p w:rsidR="00BC18FB" w:rsidRPr="00DD0358" w:rsidRDefault="00362B9A" w:rsidP="00FF0D8A">
      <w:pPr>
        <w:pStyle w:val="Heading4"/>
        <w:ind w:hanging="338"/>
        <w:rPr>
          <w:color w:val="2272A3"/>
          <w:sz w:val="24"/>
        </w:rPr>
      </w:pPr>
      <w:r w:rsidRPr="00DD0358">
        <w:rPr>
          <w:color w:val="2272A3"/>
          <w:sz w:val="24"/>
        </w:rPr>
        <w:t>Metered Injections by System Injection Point</w:t>
      </w:r>
    </w:p>
    <w:p w:rsidR="00BC18FB" w:rsidRDefault="00B56814" w:rsidP="00BC18FB">
      <w:r>
        <w:pict>
          <v:shape id="_x0000_i1029" type="#_x0000_t75" alt="Figure 1.5 shows the metered injections sorted by facility for each 4 hour interval in Victoria this week. For a more detailed description of this figure, please refer to the user guide." style="width:476.25pt;height:177.75pt">
            <v:imagedata r:id="rId17" o:title=""/>
          </v:shape>
        </w:pict>
      </w:r>
    </w:p>
    <w:p w:rsidR="00345444" w:rsidRPr="00EF58A8" w:rsidRDefault="00EF58A8" w:rsidP="00EF58A8">
      <w:pPr>
        <w:ind w:left="720"/>
        <w:rPr>
          <w:sz w:val="18"/>
          <w:szCs w:val="18"/>
        </w:rPr>
      </w:pPr>
      <w:r w:rsidRPr="00EF58A8">
        <w:rPr>
          <w:sz w:val="18"/>
          <w:szCs w:val="18"/>
        </w:rPr>
        <w:t>Note that in figure 1.5, the last 8</w:t>
      </w:r>
      <w:r w:rsidRPr="00EF58A8">
        <w:rPr>
          <w:sz w:val="18"/>
          <w:szCs w:val="18"/>
        </w:rPr>
        <w:noBreakHyphen/>
        <w:t>hour schedule from 10 pm has been separated into two 4</w:t>
      </w:r>
      <w:r w:rsidRPr="00EF58A8">
        <w:rPr>
          <w:sz w:val="18"/>
          <w:szCs w:val="18"/>
        </w:rPr>
        <w:noBreakHyphen/>
        <w:t>hour blocks to provide a consistent comparison with earlier scheduled injection volumes.</w:t>
      </w:r>
    </w:p>
    <w:p w:rsidR="00345444" w:rsidRDefault="00345444" w:rsidP="00BC18FB"/>
    <w:p w:rsidR="00EF58A8" w:rsidRPr="00BC18FB" w:rsidRDefault="00EF58A8" w:rsidP="00BC18FB"/>
    <w:p w:rsidR="00BC18FB" w:rsidRDefault="00BC18FB" w:rsidP="00BC18FB">
      <w:pPr>
        <w:pStyle w:val="Heading3"/>
        <w:ind w:firstLine="0"/>
        <w:rPr>
          <w:color w:val="2272A3"/>
          <w:sz w:val="32"/>
          <w:szCs w:val="32"/>
        </w:rPr>
      </w:pPr>
      <w:r w:rsidRPr="00004A63">
        <w:rPr>
          <w:color w:val="2272A3"/>
          <w:sz w:val="32"/>
          <w:szCs w:val="32"/>
        </w:rPr>
        <w:lastRenderedPageBreak/>
        <w:t>S</w:t>
      </w:r>
      <w:r w:rsidR="00362B9A">
        <w:rPr>
          <w:color w:val="2272A3"/>
          <w:sz w:val="32"/>
          <w:szCs w:val="32"/>
        </w:rPr>
        <w:t>ydney STTM</w:t>
      </w:r>
    </w:p>
    <w:p w:rsidR="00EF58A8" w:rsidRPr="00EF58A8" w:rsidRDefault="00EF58A8" w:rsidP="00EF58A8">
      <w:pPr>
        <w:jc w:val="both"/>
      </w:pPr>
      <w:r>
        <w:t xml:space="preserve">In each </w:t>
      </w:r>
      <w:r w:rsidRPr="00EF58A8">
        <w:t>STTM hub, a daily gas price is calculated before the gas day (the ex ante price) and after the gas day (the ex post price). The main drivers of these prices are participant demand forecasts, and offers to inject or bids to withdraw gas traded at the hub.</w:t>
      </w:r>
      <w:r w:rsidRPr="00EF58A8">
        <w:rPr>
          <w:rStyle w:val="FootnoteReference"/>
        </w:rPr>
        <w:footnoteReference w:id="13"/>
      </w:r>
      <w:r w:rsidRPr="00EF58A8">
        <w:t xml:space="preserve"> Divergences in ex ante and ex post prices for a gas day may occur due to differences in scheduled (forecast) and allocated (actual) quantities.</w:t>
      </w:r>
      <w:r>
        <w:t xml:space="preserve"> Pipeline acronyms are defined in the </w:t>
      </w:r>
      <w:hyperlink r:id="rId18" w:history="1">
        <w:r w:rsidR="00586C57">
          <w:rPr>
            <w:rStyle w:val="Hyperlink"/>
          </w:rPr>
          <w:t>user guide</w:t>
        </w:r>
      </w:hyperlink>
      <w:r w:rsidR="00586C57">
        <w:t>.</w:t>
      </w:r>
    </w:p>
    <w:p w:rsidR="00EF58A8" w:rsidRPr="00EF58A8" w:rsidRDefault="00EF58A8" w:rsidP="00EF58A8">
      <w:pPr>
        <w:pStyle w:val="AERbodytext"/>
        <w:spacing w:before="120" w:after="120" w:line="240" w:lineRule="auto"/>
        <w:jc w:val="both"/>
      </w:pPr>
      <w:r w:rsidRPr="00EF58A8">
        <w:t>Market Operator Service balancing gas (MOS) payments arise because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sidRPr="00EF58A8">
        <w:rPr>
          <w:rStyle w:val="FootnoteReference"/>
        </w:rPr>
        <w:footnoteReference w:id="14"/>
      </w:r>
      <w:r w:rsidRPr="00EF58A8">
        <w:t xml:space="preserve"> </w:t>
      </w:r>
    </w:p>
    <w:p w:rsidR="00362B9A" w:rsidRPr="00362B9A" w:rsidRDefault="00EF58A8" w:rsidP="00EF58A8">
      <w:pPr>
        <w:jc w:val="both"/>
      </w:pPr>
      <w:r w:rsidRPr="00EF58A8">
        <w:t>Figures 2.1 and 2.2 show daily prices, demand, offers and bids. Figures 2.3 and 2.4 show gas scheduled and allocated on pipelines to supply the hub, indicating</w:t>
      </w:r>
      <w:r w:rsidRPr="00442756">
        <w:t xml:space="preserve"> the location and relative quantity of gas offers across pipelines and also the amount of MOS allocated for each pipeline.</w:t>
      </w:r>
    </w:p>
    <w:p w:rsidR="00BC18FB" w:rsidRDefault="00362B9A" w:rsidP="00362B9A">
      <w:pPr>
        <w:pStyle w:val="Heading4"/>
        <w:ind w:left="340" w:hanging="340"/>
        <w:rPr>
          <w:color w:val="2272A3"/>
          <w:sz w:val="24"/>
          <w:szCs w:val="24"/>
        </w:rPr>
      </w:pPr>
      <w:r w:rsidRPr="00362B9A">
        <w:rPr>
          <w:color w:val="2272A3"/>
          <w:sz w:val="24"/>
          <w:szCs w:val="24"/>
        </w:rPr>
        <w:t>SYD STTM daily ex ante and ex post prices and quantities</w:t>
      </w:r>
    </w:p>
    <w:tbl>
      <w:tblPr>
        <w:tblStyle w:val="AERTable-Text0"/>
        <w:tblW w:w="4851" w:type="pct"/>
        <w:tblLook w:val="04A0" w:firstRow="1" w:lastRow="0" w:firstColumn="1" w:lastColumn="0" w:noHBand="0" w:noVBand="1"/>
      </w:tblPr>
      <w:tblGrid>
        <w:gridCol w:w="2079"/>
        <w:gridCol w:w="1128"/>
        <w:gridCol w:w="989"/>
        <w:gridCol w:w="1145"/>
        <w:gridCol w:w="1006"/>
        <w:gridCol w:w="992"/>
        <w:gridCol w:w="987"/>
        <w:gridCol w:w="1125"/>
      </w:tblGrid>
      <w:tr w:rsidR="00F114D5" w:rsidRPr="00405CDE" w:rsidTr="00F114D5">
        <w:trPr>
          <w:cnfStyle w:val="100000000000" w:firstRow="1" w:lastRow="0" w:firstColumn="0" w:lastColumn="0" w:oddVBand="0" w:evenVBand="0" w:oddHBand="0" w:evenHBand="0" w:firstRowFirstColumn="0" w:firstRowLastColumn="0" w:lastRowFirstColumn="0" w:lastRowLastColumn="0"/>
          <w:tblHeader/>
        </w:trPr>
        <w:tc>
          <w:tcPr>
            <w:tcW w:w="1100" w:type="pct"/>
            <w:tcBorders>
              <w:bottom w:val="nil"/>
            </w:tcBorders>
            <w:hideMark/>
          </w:tcPr>
          <w:p w:rsidR="00F114D5" w:rsidRPr="00DC24BF" w:rsidRDefault="00F114D5" w:rsidP="007A51E1">
            <w:pPr>
              <w:pStyle w:val="TableHeading"/>
              <w:spacing w:before="0" w:after="0"/>
              <w:jc w:val="center"/>
              <w:rPr>
                <w:rFonts w:cs="Arial"/>
                <w:sz w:val="20"/>
                <w:szCs w:val="20"/>
              </w:rPr>
            </w:pPr>
          </w:p>
        </w:tc>
        <w:tc>
          <w:tcPr>
            <w:tcW w:w="597"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Sun</w:t>
            </w:r>
          </w:p>
        </w:tc>
        <w:tc>
          <w:tcPr>
            <w:tcW w:w="523"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Mon</w:t>
            </w:r>
          </w:p>
        </w:tc>
        <w:tc>
          <w:tcPr>
            <w:tcW w:w="606"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Tue</w:t>
            </w:r>
          </w:p>
        </w:tc>
        <w:tc>
          <w:tcPr>
            <w:tcW w:w="532"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Wed</w:t>
            </w:r>
          </w:p>
        </w:tc>
        <w:tc>
          <w:tcPr>
            <w:tcW w:w="525"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Thu</w:t>
            </w:r>
          </w:p>
        </w:tc>
        <w:tc>
          <w:tcPr>
            <w:tcW w:w="522"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Fri</w:t>
            </w:r>
          </w:p>
        </w:tc>
        <w:tc>
          <w:tcPr>
            <w:tcW w:w="595"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Sat</w:t>
            </w:r>
          </w:p>
        </w:tc>
      </w:tr>
      <w:tr w:rsidR="00A71E47" w:rsidRPr="00405CDE" w:rsidTr="00F114D5">
        <w:trPr>
          <w:trHeight w:val="510"/>
        </w:trPr>
        <w:tc>
          <w:tcPr>
            <w:tcW w:w="1100" w:type="pct"/>
            <w:tcBorders>
              <w:top w:val="nil"/>
              <w:bottom w:val="nil"/>
            </w:tcBorders>
            <w:vAlign w:val="center"/>
          </w:tcPr>
          <w:p w:rsidR="00A71E47" w:rsidRDefault="00A71E47">
            <w:pPr>
              <w:rPr>
                <w:rFonts w:cs="Arial"/>
                <w:sz w:val="20"/>
                <w:szCs w:val="20"/>
              </w:rPr>
            </w:pPr>
            <w:r>
              <w:rPr>
                <w:rFonts w:cs="Arial"/>
                <w:sz w:val="20"/>
                <w:szCs w:val="20"/>
              </w:rPr>
              <w:t>Ex ante price ($/GJ)</w:t>
            </w:r>
          </w:p>
        </w:tc>
        <w:tc>
          <w:tcPr>
            <w:tcW w:w="597" w:type="pct"/>
            <w:tcBorders>
              <w:top w:val="nil"/>
              <w:bottom w:val="nil"/>
            </w:tcBorders>
            <w:vAlign w:val="center"/>
          </w:tcPr>
          <w:p w:rsidR="00A71E47" w:rsidRDefault="00A71E47">
            <w:pPr>
              <w:jc w:val="center"/>
              <w:rPr>
                <w:rFonts w:cs="Arial"/>
                <w:sz w:val="20"/>
                <w:szCs w:val="20"/>
              </w:rPr>
            </w:pPr>
            <w:r>
              <w:rPr>
                <w:rFonts w:cs="Arial"/>
                <w:sz w:val="20"/>
                <w:szCs w:val="20"/>
              </w:rPr>
              <w:t>3.80</w:t>
            </w:r>
          </w:p>
        </w:tc>
        <w:tc>
          <w:tcPr>
            <w:tcW w:w="523" w:type="pct"/>
            <w:tcBorders>
              <w:top w:val="nil"/>
              <w:bottom w:val="nil"/>
            </w:tcBorders>
            <w:vAlign w:val="center"/>
          </w:tcPr>
          <w:p w:rsidR="00A71E47" w:rsidRDefault="00A71E47">
            <w:pPr>
              <w:jc w:val="center"/>
              <w:rPr>
                <w:rFonts w:cs="Arial"/>
                <w:sz w:val="20"/>
                <w:szCs w:val="20"/>
              </w:rPr>
            </w:pPr>
            <w:r>
              <w:rPr>
                <w:rFonts w:cs="Arial"/>
                <w:sz w:val="20"/>
                <w:szCs w:val="20"/>
              </w:rPr>
              <w:t>4.96</w:t>
            </w:r>
          </w:p>
        </w:tc>
        <w:tc>
          <w:tcPr>
            <w:tcW w:w="606" w:type="pct"/>
            <w:tcBorders>
              <w:top w:val="nil"/>
              <w:bottom w:val="nil"/>
            </w:tcBorders>
            <w:vAlign w:val="center"/>
          </w:tcPr>
          <w:p w:rsidR="00A71E47" w:rsidRDefault="00A71E47">
            <w:pPr>
              <w:jc w:val="center"/>
              <w:rPr>
                <w:rFonts w:cs="Arial"/>
                <w:sz w:val="20"/>
                <w:szCs w:val="20"/>
              </w:rPr>
            </w:pPr>
            <w:r>
              <w:rPr>
                <w:rFonts w:cs="Arial"/>
                <w:sz w:val="20"/>
                <w:szCs w:val="20"/>
              </w:rPr>
              <w:t>5.10</w:t>
            </w:r>
          </w:p>
        </w:tc>
        <w:tc>
          <w:tcPr>
            <w:tcW w:w="532" w:type="pct"/>
            <w:tcBorders>
              <w:top w:val="nil"/>
              <w:bottom w:val="nil"/>
            </w:tcBorders>
            <w:vAlign w:val="center"/>
          </w:tcPr>
          <w:p w:rsidR="00A71E47" w:rsidRDefault="00A71E47">
            <w:pPr>
              <w:jc w:val="center"/>
              <w:rPr>
                <w:rFonts w:cs="Arial"/>
                <w:sz w:val="20"/>
                <w:szCs w:val="20"/>
              </w:rPr>
            </w:pPr>
            <w:r>
              <w:rPr>
                <w:rFonts w:cs="Arial"/>
                <w:sz w:val="20"/>
                <w:szCs w:val="20"/>
              </w:rPr>
              <w:t>4.90</w:t>
            </w:r>
          </w:p>
        </w:tc>
        <w:tc>
          <w:tcPr>
            <w:tcW w:w="525" w:type="pct"/>
            <w:tcBorders>
              <w:top w:val="nil"/>
              <w:bottom w:val="nil"/>
            </w:tcBorders>
            <w:vAlign w:val="center"/>
          </w:tcPr>
          <w:p w:rsidR="00A71E47" w:rsidRDefault="00A71E47">
            <w:pPr>
              <w:jc w:val="center"/>
              <w:rPr>
                <w:rFonts w:cs="Arial"/>
                <w:sz w:val="20"/>
                <w:szCs w:val="20"/>
              </w:rPr>
            </w:pPr>
            <w:r>
              <w:rPr>
                <w:rFonts w:cs="Arial"/>
                <w:sz w:val="20"/>
                <w:szCs w:val="20"/>
              </w:rPr>
              <w:t>5.21</w:t>
            </w:r>
          </w:p>
        </w:tc>
        <w:tc>
          <w:tcPr>
            <w:tcW w:w="522" w:type="pct"/>
            <w:tcBorders>
              <w:top w:val="nil"/>
              <w:bottom w:val="nil"/>
            </w:tcBorders>
            <w:vAlign w:val="center"/>
          </w:tcPr>
          <w:p w:rsidR="00A71E47" w:rsidRDefault="00A71E47">
            <w:pPr>
              <w:jc w:val="center"/>
              <w:rPr>
                <w:rFonts w:cs="Arial"/>
                <w:sz w:val="20"/>
                <w:szCs w:val="20"/>
              </w:rPr>
            </w:pPr>
            <w:r>
              <w:rPr>
                <w:rFonts w:cs="Arial"/>
                <w:sz w:val="20"/>
                <w:szCs w:val="20"/>
              </w:rPr>
              <w:t>5.40</w:t>
            </w:r>
          </w:p>
        </w:tc>
        <w:tc>
          <w:tcPr>
            <w:tcW w:w="595" w:type="pct"/>
            <w:tcBorders>
              <w:top w:val="nil"/>
              <w:bottom w:val="nil"/>
            </w:tcBorders>
            <w:vAlign w:val="center"/>
          </w:tcPr>
          <w:p w:rsidR="00A71E47" w:rsidRDefault="00A71E47">
            <w:pPr>
              <w:jc w:val="center"/>
              <w:rPr>
                <w:rFonts w:cs="Arial"/>
                <w:sz w:val="20"/>
                <w:szCs w:val="20"/>
              </w:rPr>
            </w:pPr>
            <w:r>
              <w:rPr>
                <w:rFonts w:cs="Arial"/>
                <w:sz w:val="20"/>
                <w:szCs w:val="20"/>
              </w:rPr>
              <w:t>5.00</w:t>
            </w:r>
          </w:p>
        </w:tc>
      </w:tr>
      <w:tr w:rsidR="00A71E47" w:rsidRPr="00405CDE" w:rsidTr="00F114D5">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nil"/>
            </w:tcBorders>
            <w:vAlign w:val="center"/>
          </w:tcPr>
          <w:p w:rsidR="00A71E47" w:rsidRDefault="00A71E47">
            <w:pPr>
              <w:rPr>
                <w:rFonts w:cs="Arial"/>
                <w:sz w:val="20"/>
                <w:szCs w:val="20"/>
              </w:rPr>
            </w:pPr>
            <w:r>
              <w:rPr>
                <w:rFonts w:cs="Arial"/>
                <w:sz w:val="20"/>
                <w:szCs w:val="20"/>
              </w:rPr>
              <w:t>Ex ante quantity (TJ)</w:t>
            </w:r>
          </w:p>
        </w:tc>
        <w:tc>
          <w:tcPr>
            <w:tcW w:w="597" w:type="pct"/>
            <w:tcBorders>
              <w:top w:val="nil"/>
              <w:bottom w:val="nil"/>
            </w:tcBorders>
            <w:vAlign w:val="center"/>
          </w:tcPr>
          <w:p w:rsidR="00A71E47" w:rsidRDefault="00A71E47">
            <w:pPr>
              <w:jc w:val="center"/>
              <w:rPr>
                <w:rFonts w:cs="Arial"/>
                <w:sz w:val="20"/>
                <w:szCs w:val="20"/>
              </w:rPr>
            </w:pPr>
            <w:r>
              <w:rPr>
                <w:rFonts w:cs="Arial"/>
                <w:sz w:val="20"/>
                <w:szCs w:val="20"/>
              </w:rPr>
              <w:t>183</w:t>
            </w:r>
          </w:p>
        </w:tc>
        <w:tc>
          <w:tcPr>
            <w:tcW w:w="523" w:type="pct"/>
            <w:tcBorders>
              <w:top w:val="nil"/>
              <w:bottom w:val="nil"/>
            </w:tcBorders>
            <w:vAlign w:val="center"/>
          </w:tcPr>
          <w:p w:rsidR="00A71E47" w:rsidRDefault="00A71E47">
            <w:pPr>
              <w:jc w:val="center"/>
              <w:rPr>
                <w:rFonts w:cs="Arial"/>
                <w:sz w:val="20"/>
                <w:szCs w:val="20"/>
              </w:rPr>
            </w:pPr>
            <w:r>
              <w:rPr>
                <w:rFonts w:cs="Arial"/>
                <w:sz w:val="20"/>
                <w:szCs w:val="20"/>
              </w:rPr>
              <w:t>212</w:t>
            </w:r>
          </w:p>
        </w:tc>
        <w:tc>
          <w:tcPr>
            <w:tcW w:w="606" w:type="pct"/>
            <w:tcBorders>
              <w:top w:val="nil"/>
              <w:bottom w:val="nil"/>
            </w:tcBorders>
            <w:vAlign w:val="center"/>
          </w:tcPr>
          <w:p w:rsidR="00A71E47" w:rsidRDefault="00A71E47">
            <w:pPr>
              <w:jc w:val="center"/>
              <w:rPr>
                <w:rFonts w:cs="Arial"/>
                <w:sz w:val="20"/>
                <w:szCs w:val="20"/>
              </w:rPr>
            </w:pPr>
            <w:r>
              <w:rPr>
                <w:rFonts w:cs="Arial"/>
                <w:sz w:val="20"/>
                <w:szCs w:val="20"/>
              </w:rPr>
              <w:t>217</w:t>
            </w:r>
          </w:p>
        </w:tc>
        <w:tc>
          <w:tcPr>
            <w:tcW w:w="532" w:type="pct"/>
            <w:tcBorders>
              <w:top w:val="nil"/>
              <w:bottom w:val="nil"/>
            </w:tcBorders>
            <w:vAlign w:val="center"/>
          </w:tcPr>
          <w:p w:rsidR="00A71E47" w:rsidRDefault="00A71E47">
            <w:pPr>
              <w:jc w:val="center"/>
              <w:rPr>
                <w:rFonts w:cs="Arial"/>
                <w:sz w:val="20"/>
                <w:szCs w:val="20"/>
              </w:rPr>
            </w:pPr>
            <w:r>
              <w:rPr>
                <w:rFonts w:cs="Arial"/>
                <w:sz w:val="20"/>
                <w:szCs w:val="20"/>
              </w:rPr>
              <w:t>232</w:t>
            </w:r>
          </w:p>
        </w:tc>
        <w:tc>
          <w:tcPr>
            <w:tcW w:w="525" w:type="pct"/>
            <w:tcBorders>
              <w:top w:val="nil"/>
              <w:bottom w:val="nil"/>
            </w:tcBorders>
            <w:vAlign w:val="center"/>
          </w:tcPr>
          <w:p w:rsidR="00A71E47" w:rsidRDefault="00A71E47">
            <w:pPr>
              <w:jc w:val="center"/>
              <w:rPr>
                <w:rFonts w:cs="Arial"/>
                <w:sz w:val="20"/>
                <w:szCs w:val="20"/>
              </w:rPr>
            </w:pPr>
            <w:r>
              <w:rPr>
                <w:rFonts w:cs="Arial"/>
                <w:sz w:val="20"/>
                <w:szCs w:val="20"/>
              </w:rPr>
              <w:t>239</w:t>
            </w:r>
          </w:p>
        </w:tc>
        <w:tc>
          <w:tcPr>
            <w:tcW w:w="522" w:type="pct"/>
            <w:tcBorders>
              <w:top w:val="nil"/>
              <w:bottom w:val="nil"/>
            </w:tcBorders>
            <w:vAlign w:val="center"/>
          </w:tcPr>
          <w:p w:rsidR="00A71E47" w:rsidRDefault="00A71E47">
            <w:pPr>
              <w:jc w:val="center"/>
              <w:rPr>
                <w:rFonts w:cs="Arial"/>
                <w:sz w:val="20"/>
                <w:szCs w:val="20"/>
              </w:rPr>
            </w:pPr>
            <w:r>
              <w:rPr>
                <w:rFonts w:cs="Arial"/>
                <w:sz w:val="20"/>
                <w:szCs w:val="20"/>
              </w:rPr>
              <w:t>203</w:t>
            </w:r>
          </w:p>
        </w:tc>
        <w:tc>
          <w:tcPr>
            <w:tcW w:w="595" w:type="pct"/>
            <w:tcBorders>
              <w:top w:val="nil"/>
              <w:bottom w:val="nil"/>
            </w:tcBorders>
            <w:vAlign w:val="center"/>
          </w:tcPr>
          <w:p w:rsidR="00A71E47" w:rsidRDefault="00A71E47">
            <w:pPr>
              <w:jc w:val="center"/>
              <w:rPr>
                <w:rFonts w:cs="Arial"/>
                <w:sz w:val="20"/>
                <w:szCs w:val="20"/>
              </w:rPr>
            </w:pPr>
            <w:r>
              <w:rPr>
                <w:rFonts w:cs="Arial"/>
                <w:sz w:val="20"/>
                <w:szCs w:val="20"/>
              </w:rPr>
              <w:t>194</w:t>
            </w:r>
          </w:p>
        </w:tc>
      </w:tr>
      <w:tr w:rsidR="00A71E47" w:rsidRPr="00405CDE" w:rsidTr="00F114D5">
        <w:trPr>
          <w:trHeight w:val="510"/>
        </w:trPr>
        <w:tc>
          <w:tcPr>
            <w:tcW w:w="1100" w:type="pct"/>
            <w:tcBorders>
              <w:top w:val="nil"/>
              <w:bottom w:val="nil"/>
            </w:tcBorders>
            <w:vAlign w:val="center"/>
          </w:tcPr>
          <w:p w:rsidR="00A71E47" w:rsidRDefault="00A71E47">
            <w:pPr>
              <w:rPr>
                <w:rFonts w:cs="Arial"/>
                <w:sz w:val="20"/>
                <w:szCs w:val="20"/>
              </w:rPr>
            </w:pPr>
            <w:r>
              <w:rPr>
                <w:rFonts w:cs="Arial"/>
                <w:sz w:val="20"/>
                <w:szCs w:val="20"/>
              </w:rPr>
              <w:t>Ex post price ($/GJ)</w:t>
            </w:r>
          </w:p>
        </w:tc>
        <w:tc>
          <w:tcPr>
            <w:tcW w:w="597" w:type="pct"/>
            <w:tcBorders>
              <w:top w:val="nil"/>
              <w:bottom w:val="nil"/>
            </w:tcBorders>
            <w:vAlign w:val="center"/>
          </w:tcPr>
          <w:p w:rsidR="00A71E47" w:rsidRDefault="00A71E47">
            <w:pPr>
              <w:jc w:val="center"/>
              <w:rPr>
                <w:rFonts w:cs="Arial"/>
                <w:sz w:val="20"/>
                <w:szCs w:val="20"/>
              </w:rPr>
            </w:pPr>
            <w:r>
              <w:rPr>
                <w:rFonts w:cs="Arial"/>
                <w:sz w:val="20"/>
                <w:szCs w:val="20"/>
              </w:rPr>
              <w:t>2.50</w:t>
            </w:r>
          </w:p>
        </w:tc>
        <w:tc>
          <w:tcPr>
            <w:tcW w:w="523" w:type="pct"/>
            <w:tcBorders>
              <w:top w:val="nil"/>
              <w:bottom w:val="nil"/>
            </w:tcBorders>
            <w:vAlign w:val="center"/>
          </w:tcPr>
          <w:p w:rsidR="00A71E47" w:rsidRDefault="00A71E47">
            <w:pPr>
              <w:jc w:val="center"/>
              <w:rPr>
                <w:rFonts w:cs="Arial"/>
                <w:sz w:val="20"/>
                <w:szCs w:val="20"/>
              </w:rPr>
            </w:pPr>
            <w:r>
              <w:rPr>
                <w:rFonts w:cs="Arial"/>
                <w:sz w:val="20"/>
                <w:szCs w:val="20"/>
              </w:rPr>
              <w:t>4.94</w:t>
            </w:r>
          </w:p>
        </w:tc>
        <w:tc>
          <w:tcPr>
            <w:tcW w:w="606" w:type="pct"/>
            <w:tcBorders>
              <w:top w:val="nil"/>
              <w:bottom w:val="nil"/>
            </w:tcBorders>
            <w:vAlign w:val="center"/>
          </w:tcPr>
          <w:p w:rsidR="00A71E47" w:rsidRDefault="00A71E47">
            <w:pPr>
              <w:jc w:val="center"/>
              <w:rPr>
                <w:rFonts w:cs="Arial"/>
                <w:sz w:val="20"/>
                <w:szCs w:val="20"/>
              </w:rPr>
            </w:pPr>
            <w:r>
              <w:rPr>
                <w:rFonts w:cs="Arial"/>
                <w:sz w:val="20"/>
                <w:szCs w:val="20"/>
              </w:rPr>
              <w:t>5.20</w:t>
            </w:r>
          </w:p>
        </w:tc>
        <w:tc>
          <w:tcPr>
            <w:tcW w:w="532" w:type="pct"/>
            <w:tcBorders>
              <w:top w:val="nil"/>
              <w:bottom w:val="nil"/>
            </w:tcBorders>
            <w:vAlign w:val="center"/>
          </w:tcPr>
          <w:p w:rsidR="00A71E47" w:rsidRDefault="00A71E47">
            <w:pPr>
              <w:jc w:val="center"/>
              <w:rPr>
                <w:rFonts w:cs="Arial"/>
                <w:sz w:val="20"/>
                <w:szCs w:val="20"/>
              </w:rPr>
            </w:pPr>
            <w:r>
              <w:rPr>
                <w:rFonts w:cs="Arial"/>
                <w:sz w:val="20"/>
                <w:szCs w:val="20"/>
              </w:rPr>
              <w:t>4.93</w:t>
            </w:r>
          </w:p>
        </w:tc>
        <w:tc>
          <w:tcPr>
            <w:tcW w:w="525" w:type="pct"/>
            <w:tcBorders>
              <w:top w:val="nil"/>
              <w:bottom w:val="nil"/>
            </w:tcBorders>
            <w:vAlign w:val="center"/>
          </w:tcPr>
          <w:p w:rsidR="00A71E47" w:rsidRDefault="00A71E47">
            <w:pPr>
              <w:jc w:val="center"/>
              <w:rPr>
                <w:rFonts w:cs="Arial"/>
                <w:sz w:val="20"/>
                <w:szCs w:val="20"/>
              </w:rPr>
            </w:pPr>
            <w:r>
              <w:rPr>
                <w:rFonts w:cs="Arial"/>
                <w:sz w:val="20"/>
                <w:szCs w:val="20"/>
              </w:rPr>
              <w:t>5.21</w:t>
            </w:r>
          </w:p>
        </w:tc>
        <w:tc>
          <w:tcPr>
            <w:tcW w:w="522" w:type="pct"/>
            <w:tcBorders>
              <w:top w:val="nil"/>
              <w:bottom w:val="nil"/>
            </w:tcBorders>
            <w:vAlign w:val="center"/>
          </w:tcPr>
          <w:p w:rsidR="00A71E47" w:rsidRDefault="00A71E47">
            <w:pPr>
              <w:jc w:val="center"/>
              <w:rPr>
                <w:rFonts w:cs="Arial"/>
                <w:sz w:val="20"/>
                <w:szCs w:val="20"/>
              </w:rPr>
            </w:pPr>
            <w:r>
              <w:rPr>
                <w:rFonts w:cs="Arial"/>
                <w:sz w:val="20"/>
                <w:szCs w:val="20"/>
              </w:rPr>
              <w:t>5.40</w:t>
            </w:r>
          </w:p>
        </w:tc>
        <w:tc>
          <w:tcPr>
            <w:tcW w:w="595" w:type="pct"/>
            <w:tcBorders>
              <w:top w:val="nil"/>
              <w:bottom w:val="nil"/>
            </w:tcBorders>
            <w:vAlign w:val="center"/>
          </w:tcPr>
          <w:p w:rsidR="00A71E47" w:rsidRDefault="00A71E47">
            <w:pPr>
              <w:jc w:val="center"/>
              <w:rPr>
                <w:rFonts w:cs="Arial"/>
                <w:sz w:val="20"/>
                <w:szCs w:val="20"/>
              </w:rPr>
            </w:pPr>
            <w:r>
              <w:rPr>
                <w:rFonts w:cs="Arial"/>
                <w:sz w:val="20"/>
                <w:szCs w:val="20"/>
              </w:rPr>
              <w:t>4.25</w:t>
            </w:r>
          </w:p>
        </w:tc>
      </w:tr>
      <w:tr w:rsidR="00A71E47" w:rsidRPr="00405CDE" w:rsidTr="00F114D5">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single" w:sz="4" w:space="0" w:color="auto"/>
            </w:tcBorders>
            <w:vAlign w:val="center"/>
          </w:tcPr>
          <w:p w:rsidR="00A71E47" w:rsidRDefault="00A71E47">
            <w:pPr>
              <w:rPr>
                <w:rFonts w:cs="Arial"/>
                <w:sz w:val="20"/>
                <w:szCs w:val="20"/>
              </w:rPr>
            </w:pPr>
            <w:r>
              <w:rPr>
                <w:rFonts w:cs="Arial"/>
                <w:sz w:val="20"/>
                <w:szCs w:val="20"/>
              </w:rPr>
              <w:t>Ex post quantity (TJ)</w:t>
            </w:r>
          </w:p>
        </w:tc>
        <w:tc>
          <w:tcPr>
            <w:tcW w:w="597" w:type="pct"/>
            <w:tcBorders>
              <w:top w:val="nil"/>
              <w:bottom w:val="single" w:sz="4" w:space="0" w:color="auto"/>
            </w:tcBorders>
            <w:vAlign w:val="center"/>
          </w:tcPr>
          <w:p w:rsidR="00A71E47" w:rsidRDefault="00A71E47">
            <w:pPr>
              <w:jc w:val="center"/>
              <w:rPr>
                <w:rFonts w:cs="Arial"/>
                <w:sz w:val="20"/>
                <w:szCs w:val="20"/>
              </w:rPr>
            </w:pPr>
            <w:r>
              <w:rPr>
                <w:rFonts w:cs="Arial"/>
                <w:sz w:val="20"/>
                <w:szCs w:val="20"/>
              </w:rPr>
              <w:t>173</w:t>
            </w:r>
          </w:p>
        </w:tc>
        <w:tc>
          <w:tcPr>
            <w:tcW w:w="523" w:type="pct"/>
            <w:tcBorders>
              <w:top w:val="nil"/>
              <w:bottom w:val="single" w:sz="4" w:space="0" w:color="auto"/>
            </w:tcBorders>
            <w:vAlign w:val="center"/>
          </w:tcPr>
          <w:p w:rsidR="00A71E47" w:rsidRDefault="00A71E47">
            <w:pPr>
              <w:jc w:val="center"/>
              <w:rPr>
                <w:rFonts w:cs="Arial"/>
                <w:sz w:val="20"/>
                <w:szCs w:val="20"/>
              </w:rPr>
            </w:pPr>
            <w:r>
              <w:rPr>
                <w:rFonts w:cs="Arial"/>
                <w:sz w:val="20"/>
                <w:szCs w:val="20"/>
              </w:rPr>
              <w:t>205</w:t>
            </w:r>
          </w:p>
        </w:tc>
        <w:tc>
          <w:tcPr>
            <w:tcW w:w="606" w:type="pct"/>
            <w:tcBorders>
              <w:top w:val="nil"/>
              <w:bottom w:val="single" w:sz="4" w:space="0" w:color="auto"/>
            </w:tcBorders>
            <w:vAlign w:val="center"/>
          </w:tcPr>
          <w:p w:rsidR="00A71E47" w:rsidRDefault="00A71E47">
            <w:pPr>
              <w:jc w:val="center"/>
              <w:rPr>
                <w:rFonts w:cs="Arial"/>
                <w:sz w:val="20"/>
                <w:szCs w:val="20"/>
              </w:rPr>
            </w:pPr>
            <w:r>
              <w:rPr>
                <w:rFonts w:cs="Arial"/>
                <w:sz w:val="20"/>
                <w:szCs w:val="20"/>
              </w:rPr>
              <w:t>222</w:t>
            </w:r>
          </w:p>
        </w:tc>
        <w:tc>
          <w:tcPr>
            <w:tcW w:w="532" w:type="pct"/>
            <w:tcBorders>
              <w:top w:val="nil"/>
              <w:bottom w:val="single" w:sz="4" w:space="0" w:color="auto"/>
            </w:tcBorders>
            <w:vAlign w:val="center"/>
          </w:tcPr>
          <w:p w:rsidR="00A71E47" w:rsidRDefault="00A71E47">
            <w:pPr>
              <w:jc w:val="center"/>
              <w:rPr>
                <w:rFonts w:cs="Arial"/>
                <w:sz w:val="20"/>
                <w:szCs w:val="20"/>
              </w:rPr>
            </w:pPr>
            <w:r>
              <w:rPr>
                <w:rFonts w:cs="Arial"/>
                <w:sz w:val="20"/>
                <w:szCs w:val="20"/>
              </w:rPr>
              <w:t>240</w:t>
            </w:r>
          </w:p>
        </w:tc>
        <w:tc>
          <w:tcPr>
            <w:tcW w:w="525" w:type="pct"/>
            <w:tcBorders>
              <w:top w:val="nil"/>
              <w:bottom w:val="single" w:sz="4" w:space="0" w:color="auto"/>
            </w:tcBorders>
            <w:vAlign w:val="center"/>
          </w:tcPr>
          <w:p w:rsidR="00A71E47" w:rsidRDefault="00A71E47">
            <w:pPr>
              <w:jc w:val="center"/>
              <w:rPr>
                <w:rFonts w:cs="Arial"/>
                <w:sz w:val="20"/>
                <w:szCs w:val="20"/>
              </w:rPr>
            </w:pPr>
            <w:r>
              <w:rPr>
                <w:rFonts w:cs="Arial"/>
                <w:sz w:val="20"/>
                <w:szCs w:val="20"/>
              </w:rPr>
              <w:t>235</w:t>
            </w:r>
          </w:p>
        </w:tc>
        <w:tc>
          <w:tcPr>
            <w:tcW w:w="522" w:type="pct"/>
            <w:tcBorders>
              <w:top w:val="nil"/>
              <w:bottom w:val="single" w:sz="4" w:space="0" w:color="auto"/>
            </w:tcBorders>
            <w:vAlign w:val="center"/>
          </w:tcPr>
          <w:p w:rsidR="00A71E47" w:rsidRDefault="00A71E47">
            <w:pPr>
              <w:jc w:val="center"/>
              <w:rPr>
                <w:rFonts w:cs="Arial"/>
                <w:sz w:val="20"/>
                <w:szCs w:val="20"/>
              </w:rPr>
            </w:pPr>
            <w:r>
              <w:rPr>
                <w:rFonts w:cs="Arial"/>
                <w:sz w:val="20"/>
                <w:szCs w:val="20"/>
              </w:rPr>
              <w:t>201</w:t>
            </w:r>
          </w:p>
        </w:tc>
        <w:tc>
          <w:tcPr>
            <w:tcW w:w="595" w:type="pct"/>
            <w:tcBorders>
              <w:top w:val="nil"/>
              <w:bottom w:val="single" w:sz="4" w:space="0" w:color="auto"/>
            </w:tcBorders>
            <w:vAlign w:val="center"/>
          </w:tcPr>
          <w:p w:rsidR="00A71E47" w:rsidRDefault="00A71E47">
            <w:pPr>
              <w:jc w:val="center"/>
              <w:rPr>
                <w:rFonts w:cs="Arial"/>
                <w:sz w:val="20"/>
                <w:szCs w:val="20"/>
              </w:rPr>
            </w:pPr>
            <w:r>
              <w:rPr>
                <w:rFonts w:cs="Arial"/>
                <w:sz w:val="20"/>
                <w:szCs w:val="20"/>
              </w:rPr>
              <w:t>179</w:t>
            </w:r>
          </w:p>
        </w:tc>
      </w:tr>
    </w:tbl>
    <w:p w:rsidR="00BC18FB" w:rsidRPr="00DD0358" w:rsidRDefault="00362B9A" w:rsidP="00362B9A">
      <w:pPr>
        <w:pStyle w:val="Heading4"/>
        <w:ind w:left="340" w:hanging="340"/>
        <w:rPr>
          <w:color w:val="2272A3"/>
          <w:sz w:val="24"/>
          <w:szCs w:val="24"/>
        </w:rPr>
      </w:pPr>
      <w:r w:rsidRPr="00DD0358">
        <w:rPr>
          <w:color w:val="2272A3"/>
          <w:sz w:val="24"/>
          <w:szCs w:val="24"/>
        </w:rPr>
        <w:t>SYD daily hub offers and daily hub bids in price bands ($/GJ)</w:t>
      </w:r>
    </w:p>
    <w:p w:rsidR="00362B9A" w:rsidRPr="00362B9A" w:rsidRDefault="00B56814" w:rsidP="00362B9A">
      <w:r>
        <w:pict>
          <v:shape id="_x0000_i1030" type="#_x0000_t75" alt="Figure 2.2 shows the daily hub offers and bid in within certain price bands in Sydney this week. The line indicates the scheduled quantity for each day. For a more detailed description of this figure, please refer to the user guide." style="width:475.5pt;height:170.25pt">
            <v:imagedata r:id="rId19" o:title=""/>
          </v:shape>
        </w:pict>
      </w:r>
    </w:p>
    <w:p w:rsidR="00BC18FB" w:rsidRPr="00DD0358" w:rsidRDefault="00362B9A" w:rsidP="00FF0D8A">
      <w:pPr>
        <w:pStyle w:val="Heading4"/>
        <w:ind w:hanging="338"/>
        <w:rPr>
          <w:color w:val="2272A3"/>
          <w:sz w:val="24"/>
          <w:szCs w:val="24"/>
        </w:rPr>
      </w:pPr>
      <w:r w:rsidRPr="00DD0358">
        <w:rPr>
          <w:color w:val="2272A3"/>
          <w:sz w:val="24"/>
          <w:szCs w:val="24"/>
        </w:rPr>
        <w:lastRenderedPageBreak/>
        <w:t xml:space="preserve">SYD net scheduled and allocated </w:t>
      </w:r>
      <w:r w:rsidR="003625A6" w:rsidRPr="00DD0358">
        <w:rPr>
          <w:color w:val="2272A3"/>
          <w:sz w:val="24"/>
          <w:szCs w:val="24"/>
        </w:rPr>
        <w:t xml:space="preserve">gas hub supply </w:t>
      </w:r>
      <w:r w:rsidRPr="00DD0358">
        <w:rPr>
          <w:color w:val="2272A3"/>
          <w:sz w:val="24"/>
          <w:szCs w:val="24"/>
        </w:rPr>
        <w:t xml:space="preserve">(excluding MOS) </w:t>
      </w:r>
    </w:p>
    <w:p w:rsidR="00362B9A" w:rsidRPr="00362B9A" w:rsidRDefault="00B56814" w:rsidP="00362B9A">
      <w:r>
        <w:pict>
          <v:shape id="_x0000_i1031" type="#_x0000_t75" alt="Figure 2.3 shows the daily scheduled and allocated quantities sorted by facility for Sydney this week. For a more detailed description of this figure, please refer to the user guide." style="width:477.75pt;height:213pt">
            <v:imagedata r:id="rId20" o:title=""/>
          </v:shape>
        </w:pict>
      </w:r>
    </w:p>
    <w:p w:rsidR="00BC18FB" w:rsidRPr="00DD0358" w:rsidRDefault="00362B9A" w:rsidP="00FF0D8A">
      <w:pPr>
        <w:pStyle w:val="Heading4"/>
        <w:ind w:hanging="338"/>
        <w:rPr>
          <w:color w:val="2272A3"/>
          <w:sz w:val="24"/>
          <w:szCs w:val="24"/>
        </w:rPr>
      </w:pPr>
      <w:r w:rsidRPr="00DD0358">
        <w:rPr>
          <w:color w:val="2272A3"/>
          <w:sz w:val="24"/>
          <w:szCs w:val="24"/>
        </w:rPr>
        <w:t>SYD MOS allocations (TJ), service payments and commodity payments/charges ($000)</w:t>
      </w:r>
    </w:p>
    <w:p w:rsidR="00362B9A" w:rsidRDefault="00B56814" w:rsidP="00362B9A">
      <w:r>
        <w:pict>
          <v:shape id="_x0000_i1032" type="#_x0000_t75" alt="Figure 2.4 shows the daily MOS allocations sorted by facility for each facility in Sydney this week. The figure also shows the daily breakdown of costs associated with the MOS provided. For a more detailed description of this figure, please refer to the user guide." style="width:475.5pt;height:180.75pt">
            <v:imagedata r:id="rId21" o:title=""/>
          </v:shape>
        </w:pict>
      </w:r>
    </w:p>
    <w:p w:rsidR="00BC18FB" w:rsidRDefault="00AE309F" w:rsidP="00BC18FB">
      <w:pPr>
        <w:pStyle w:val="Heading3"/>
        <w:ind w:firstLine="0"/>
        <w:rPr>
          <w:color w:val="2272A3"/>
          <w:sz w:val="32"/>
          <w:szCs w:val="32"/>
        </w:rPr>
      </w:pPr>
      <w:r>
        <w:rPr>
          <w:color w:val="2272A3"/>
          <w:sz w:val="32"/>
          <w:szCs w:val="32"/>
        </w:rPr>
        <w:br w:type="page"/>
      </w:r>
      <w:r w:rsidR="00BC18FB" w:rsidRPr="00004A63">
        <w:rPr>
          <w:color w:val="2272A3"/>
          <w:sz w:val="32"/>
          <w:szCs w:val="32"/>
        </w:rPr>
        <w:lastRenderedPageBreak/>
        <w:t>A</w:t>
      </w:r>
      <w:r w:rsidR="00362B9A">
        <w:rPr>
          <w:color w:val="2272A3"/>
          <w:sz w:val="32"/>
          <w:szCs w:val="32"/>
        </w:rPr>
        <w:t>delaide STTM</w:t>
      </w:r>
    </w:p>
    <w:p w:rsidR="003625A6" w:rsidRPr="003625A6" w:rsidRDefault="003625A6" w:rsidP="00345444">
      <w:pPr>
        <w:jc w:val="both"/>
      </w:pPr>
      <w:r>
        <w:t>The Adelaide STTM hub functions in the same way as the Sydney STTM hub.  The same data that was presented for the Sydney hub is presented for the Adelaide hub in the figures below.</w:t>
      </w:r>
    </w:p>
    <w:p w:rsidR="00BC18FB" w:rsidRDefault="003625A6" w:rsidP="00FF0D8A">
      <w:pPr>
        <w:pStyle w:val="Heading4"/>
        <w:ind w:hanging="338"/>
        <w:rPr>
          <w:color w:val="2272A3"/>
          <w:sz w:val="24"/>
          <w:szCs w:val="24"/>
        </w:rPr>
      </w:pPr>
      <w:r>
        <w:rPr>
          <w:color w:val="2272A3"/>
          <w:sz w:val="24"/>
          <w:szCs w:val="24"/>
        </w:rPr>
        <w:t>ADL</w:t>
      </w:r>
      <w:r w:rsidRPr="00362B9A">
        <w:rPr>
          <w:color w:val="2272A3"/>
          <w:sz w:val="24"/>
          <w:szCs w:val="24"/>
        </w:rPr>
        <w:t xml:space="preserve"> STTM daily ex ante and ex post prices and quantities</w:t>
      </w:r>
    </w:p>
    <w:tbl>
      <w:tblPr>
        <w:tblStyle w:val="AERTable-Text0"/>
        <w:tblW w:w="4851" w:type="pct"/>
        <w:tblLook w:val="04A0" w:firstRow="1" w:lastRow="0" w:firstColumn="1" w:lastColumn="0" w:noHBand="0" w:noVBand="1"/>
      </w:tblPr>
      <w:tblGrid>
        <w:gridCol w:w="2079"/>
        <w:gridCol w:w="1128"/>
        <w:gridCol w:w="989"/>
        <w:gridCol w:w="1145"/>
        <w:gridCol w:w="1006"/>
        <w:gridCol w:w="992"/>
        <w:gridCol w:w="987"/>
        <w:gridCol w:w="1125"/>
      </w:tblGrid>
      <w:tr w:rsidR="007A51E1" w:rsidRPr="00405CDE" w:rsidTr="00ED3374">
        <w:trPr>
          <w:cnfStyle w:val="100000000000" w:firstRow="1" w:lastRow="0" w:firstColumn="0" w:lastColumn="0" w:oddVBand="0" w:evenVBand="0" w:oddHBand="0" w:evenHBand="0" w:firstRowFirstColumn="0" w:firstRowLastColumn="0" w:lastRowFirstColumn="0" w:lastRowLastColumn="0"/>
          <w:tblHeader/>
        </w:trPr>
        <w:tc>
          <w:tcPr>
            <w:tcW w:w="1100" w:type="pct"/>
            <w:tcBorders>
              <w:bottom w:val="nil"/>
            </w:tcBorders>
            <w:hideMark/>
          </w:tcPr>
          <w:p w:rsidR="00F114D5" w:rsidRPr="00DC24BF" w:rsidRDefault="00F114D5" w:rsidP="007A51E1">
            <w:pPr>
              <w:pStyle w:val="TableHeading"/>
              <w:spacing w:before="0" w:after="0"/>
              <w:jc w:val="center"/>
              <w:rPr>
                <w:rFonts w:cs="Arial"/>
                <w:sz w:val="20"/>
                <w:szCs w:val="20"/>
              </w:rPr>
            </w:pPr>
          </w:p>
        </w:tc>
        <w:tc>
          <w:tcPr>
            <w:tcW w:w="597"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Sun</w:t>
            </w:r>
          </w:p>
        </w:tc>
        <w:tc>
          <w:tcPr>
            <w:tcW w:w="523"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Mon</w:t>
            </w:r>
          </w:p>
        </w:tc>
        <w:tc>
          <w:tcPr>
            <w:tcW w:w="606"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Tue</w:t>
            </w:r>
          </w:p>
        </w:tc>
        <w:tc>
          <w:tcPr>
            <w:tcW w:w="532"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Wed</w:t>
            </w:r>
          </w:p>
        </w:tc>
        <w:tc>
          <w:tcPr>
            <w:tcW w:w="525"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Thu</w:t>
            </w:r>
          </w:p>
        </w:tc>
        <w:tc>
          <w:tcPr>
            <w:tcW w:w="522"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Fri</w:t>
            </w:r>
          </w:p>
        </w:tc>
        <w:tc>
          <w:tcPr>
            <w:tcW w:w="595"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Sat</w:t>
            </w:r>
          </w:p>
        </w:tc>
      </w:tr>
      <w:tr w:rsidR="00A71E47" w:rsidRPr="00405CDE" w:rsidTr="00ED3374">
        <w:trPr>
          <w:trHeight w:val="510"/>
        </w:trPr>
        <w:tc>
          <w:tcPr>
            <w:tcW w:w="1100" w:type="pct"/>
            <w:tcBorders>
              <w:top w:val="nil"/>
              <w:bottom w:val="nil"/>
            </w:tcBorders>
            <w:vAlign w:val="center"/>
          </w:tcPr>
          <w:p w:rsidR="00A71E47" w:rsidRDefault="00A71E47">
            <w:pPr>
              <w:rPr>
                <w:rFonts w:cs="Arial"/>
                <w:sz w:val="20"/>
                <w:szCs w:val="20"/>
              </w:rPr>
            </w:pPr>
            <w:r>
              <w:rPr>
                <w:rFonts w:cs="Arial"/>
                <w:sz w:val="20"/>
                <w:szCs w:val="20"/>
              </w:rPr>
              <w:t>Ex ante price ($/GJ)</w:t>
            </w:r>
          </w:p>
        </w:tc>
        <w:tc>
          <w:tcPr>
            <w:tcW w:w="597" w:type="pct"/>
            <w:tcBorders>
              <w:top w:val="nil"/>
              <w:bottom w:val="nil"/>
            </w:tcBorders>
            <w:vAlign w:val="center"/>
          </w:tcPr>
          <w:p w:rsidR="00A71E47" w:rsidRDefault="00A71E47">
            <w:pPr>
              <w:jc w:val="center"/>
              <w:rPr>
                <w:rFonts w:cs="Arial"/>
                <w:sz w:val="20"/>
                <w:szCs w:val="20"/>
              </w:rPr>
            </w:pPr>
            <w:r>
              <w:rPr>
                <w:rFonts w:cs="Arial"/>
                <w:sz w:val="20"/>
                <w:szCs w:val="20"/>
              </w:rPr>
              <w:t>4.25</w:t>
            </w:r>
          </w:p>
        </w:tc>
        <w:tc>
          <w:tcPr>
            <w:tcW w:w="523" w:type="pct"/>
            <w:tcBorders>
              <w:top w:val="nil"/>
              <w:bottom w:val="nil"/>
            </w:tcBorders>
            <w:vAlign w:val="center"/>
          </w:tcPr>
          <w:p w:rsidR="00A71E47" w:rsidRDefault="00A71E47">
            <w:pPr>
              <w:jc w:val="center"/>
              <w:rPr>
                <w:rFonts w:cs="Arial"/>
                <w:sz w:val="20"/>
                <w:szCs w:val="20"/>
              </w:rPr>
            </w:pPr>
            <w:r>
              <w:rPr>
                <w:rFonts w:cs="Arial"/>
                <w:sz w:val="20"/>
                <w:szCs w:val="20"/>
              </w:rPr>
              <w:t>4.80</w:t>
            </w:r>
          </w:p>
        </w:tc>
        <w:tc>
          <w:tcPr>
            <w:tcW w:w="606" w:type="pct"/>
            <w:tcBorders>
              <w:top w:val="nil"/>
              <w:bottom w:val="nil"/>
            </w:tcBorders>
            <w:vAlign w:val="center"/>
          </w:tcPr>
          <w:p w:rsidR="00A71E47" w:rsidRDefault="00A71E47">
            <w:pPr>
              <w:jc w:val="center"/>
              <w:rPr>
                <w:rFonts w:cs="Arial"/>
                <w:sz w:val="20"/>
                <w:szCs w:val="20"/>
              </w:rPr>
            </w:pPr>
            <w:r>
              <w:rPr>
                <w:rFonts w:cs="Arial"/>
                <w:sz w:val="20"/>
                <w:szCs w:val="20"/>
              </w:rPr>
              <w:t>5.30</w:t>
            </w:r>
          </w:p>
        </w:tc>
        <w:tc>
          <w:tcPr>
            <w:tcW w:w="532" w:type="pct"/>
            <w:tcBorders>
              <w:top w:val="nil"/>
              <w:bottom w:val="nil"/>
            </w:tcBorders>
            <w:vAlign w:val="center"/>
          </w:tcPr>
          <w:p w:rsidR="00A71E47" w:rsidRDefault="00A71E47">
            <w:pPr>
              <w:jc w:val="center"/>
              <w:rPr>
                <w:rFonts w:cs="Arial"/>
                <w:sz w:val="20"/>
                <w:szCs w:val="20"/>
              </w:rPr>
            </w:pPr>
            <w:r>
              <w:rPr>
                <w:rFonts w:cs="Arial"/>
                <w:sz w:val="20"/>
                <w:szCs w:val="20"/>
              </w:rPr>
              <w:t>5.40</w:t>
            </w:r>
          </w:p>
        </w:tc>
        <w:tc>
          <w:tcPr>
            <w:tcW w:w="525" w:type="pct"/>
            <w:tcBorders>
              <w:top w:val="nil"/>
              <w:bottom w:val="nil"/>
            </w:tcBorders>
            <w:vAlign w:val="center"/>
          </w:tcPr>
          <w:p w:rsidR="00A71E47" w:rsidRDefault="00A71E47">
            <w:pPr>
              <w:jc w:val="center"/>
              <w:rPr>
                <w:rFonts w:cs="Arial"/>
                <w:sz w:val="20"/>
                <w:szCs w:val="20"/>
              </w:rPr>
            </w:pPr>
            <w:r>
              <w:rPr>
                <w:rFonts w:cs="Arial"/>
                <w:sz w:val="20"/>
                <w:szCs w:val="20"/>
              </w:rPr>
              <w:t>8.33</w:t>
            </w:r>
          </w:p>
        </w:tc>
        <w:tc>
          <w:tcPr>
            <w:tcW w:w="522" w:type="pct"/>
            <w:tcBorders>
              <w:top w:val="nil"/>
              <w:bottom w:val="nil"/>
            </w:tcBorders>
            <w:vAlign w:val="center"/>
          </w:tcPr>
          <w:p w:rsidR="00A71E47" w:rsidRDefault="00A71E47">
            <w:pPr>
              <w:jc w:val="center"/>
              <w:rPr>
                <w:rFonts w:cs="Arial"/>
                <w:sz w:val="20"/>
                <w:szCs w:val="20"/>
              </w:rPr>
            </w:pPr>
            <w:r>
              <w:rPr>
                <w:rFonts w:cs="Arial"/>
                <w:sz w:val="20"/>
                <w:szCs w:val="20"/>
              </w:rPr>
              <w:t>10.00</w:t>
            </w:r>
          </w:p>
        </w:tc>
        <w:tc>
          <w:tcPr>
            <w:tcW w:w="595" w:type="pct"/>
            <w:tcBorders>
              <w:top w:val="nil"/>
              <w:bottom w:val="nil"/>
            </w:tcBorders>
            <w:vAlign w:val="center"/>
          </w:tcPr>
          <w:p w:rsidR="00A71E47" w:rsidRDefault="00A71E47">
            <w:pPr>
              <w:jc w:val="center"/>
              <w:rPr>
                <w:rFonts w:cs="Arial"/>
                <w:sz w:val="20"/>
                <w:szCs w:val="20"/>
              </w:rPr>
            </w:pPr>
            <w:r>
              <w:rPr>
                <w:rFonts w:cs="Arial"/>
                <w:sz w:val="20"/>
                <w:szCs w:val="20"/>
              </w:rPr>
              <w:t>8.40</w:t>
            </w:r>
          </w:p>
        </w:tc>
      </w:tr>
      <w:tr w:rsidR="00A71E47" w:rsidRPr="00405CDE" w:rsidTr="00ED3374">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nil"/>
            </w:tcBorders>
            <w:vAlign w:val="center"/>
          </w:tcPr>
          <w:p w:rsidR="00A71E47" w:rsidRDefault="00A71E47">
            <w:pPr>
              <w:rPr>
                <w:rFonts w:cs="Arial"/>
                <w:sz w:val="20"/>
                <w:szCs w:val="20"/>
              </w:rPr>
            </w:pPr>
            <w:r>
              <w:rPr>
                <w:rFonts w:cs="Arial"/>
                <w:sz w:val="20"/>
                <w:szCs w:val="20"/>
              </w:rPr>
              <w:t>Ex ante quantity (TJ)</w:t>
            </w:r>
          </w:p>
        </w:tc>
        <w:tc>
          <w:tcPr>
            <w:tcW w:w="597" w:type="pct"/>
            <w:tcBorders>
              <w:top w:val="nil"/>
              <w:bottom w:val="nil"/>
            </w:tcBorders>
            <w:vAlign w:val="center"/>
          </w:tcPr>
          <w:p w:rsidR="00A71E47" w:rsidRDefault="00A71E47">
            <w:pPr>
              <w:jc w:val="center"/>
              <w:rPr>
                <w:rFonts w:cs="Arial"/>
                <w:sz w:val="20"/>
                <w:szCs w:val="20"/>
              </w:rPr>
            </w:pPr>
            <w:r>
              <w:rPr>
                <w:rFonts w:cs="Arial"/>
                <w:sz w:val="20"/>
                <w:szCs w:val="20"/>
              </w:rPr>
              <w:t>40</w:t>
            </w:r>
          </w:p>
        </w:tc>
        <w:tc>
          <w:tcPr>
            <w:tcW w:w="523" w:type="pct"/>
            <w:tcBorders>
              <w:top w:val="nil"/>
              <w:bottom w:val="nil"/>
            </w:tcBorders>
            <w:vAlign w:val="center"/>
          </w:tcPr>
          <w:p w:rsidR="00A71E47" w:rsidRDefault="00A71E47">
            <w:pPr>
              <w:jc w:val="center"/>
              <w:rPr>
                <w:rFonts w:cs="Arial"/>
                <w:sz w:val="20"/>
                <w:szCs w:val="20"/>
              </w:rPr>
            </w:pPr>
            <w:r>
              <w:rPr>
                <w:rFonts w:cs="Arial"/>
                <w:sz w:val="20"/>
                <w:szCs w:val="20"/>
              </w:rPr>
              <w:t>48</w:t>
            </w:r>
          </w:p>
        </w:tc>
        <w:tc>
          <w:tcPr>
            <w:tcW w:w="606" w:type="pct"/>
            <w:tcBorders>
              <w:top w:val="nil"/>
              <w:bottom w:val="nil"/>
            </w:tcBorders>
            <w:vAlign w:val="center"/>
          </w:tcPr>
          <w:p w:rsidR="00A71E47" w:rsidRDefault="00A71E47">
            <w:pPr>
              <w:jc w:val="center"/>
              <w:rPr>
                <w:rFonts w:cs="Arial"/>
                <w:sz w:val="20"/>
                <w:szCs w:val="20"/>
              </w:rPr>
            </w:pPr>
            <w:r>
              <w:rPr>
                <w:rFonts w:cs="Arial"/>
                <w:sz w:val="20"/>
                <w:szCs w:val="20"/>
              </w:rPr>
              <w:t>49</w:t>
            </w:r>
          </w:p>
        </w:tc>
        <w:tc>
          <w:tcPr>
            <w:tcW w:w="532" w:type="pct"/>
            <w:tcBorders>
              <w:top w:val="nil"/>
              <w:bottom w:val="nil"/>
            </w:tcBorders>
            <w:vAlign w:val="center"/>
          </w:tcPr>
          <w:p w:rsidR="00A71E47" w:rsidRDefault="00A71E47">
            <w:pPr>
              <w:jc w:val="center"/>
              <w:rPr>
                <w:rFonts w:cs="Arial"/>
                <w:sz w:val="20"/>
                <w:szCs w:val="20"/>
              </w:rPr>
            </w:pPr>
            <w:r>
              <w:rPr>
                <w:rFonts w:cs="Arial"/>
                <w:sz w:val="20"/>
                <w:szCs w:val="20"/>
              </w:rPr>
              <w:t>47</w:t>
            </w:r>
          </w:p>
        </w:tc>
        <w:tc>
          <w:tcPr>
            <w:tcW w:w="525" w:type="pct"/>
            <w:tcBorders>
              <w:top w:val="nil"/>
              <w:bottom w:val="nil"/>
            </w:tcBorders>
            <w:vAlign w:val="center"/>
          </w:tcPr>
          <w:p w:rsidR="00A71E47" w:rsidRDefault="00A71E47">
            <w:pPr>
              <w:jc w:val="center"/>
              <w:rPr>
                <w:rFonts w:cs="Arial"/>
                <w:sz w:val="20"/>
                <w:szCs w:val="20"/>
              </w:rPr>
            </w:pPr>
            <w:r>
              <w:rPr>
                <w:rFonts w:cs="Arial"/>
                <w:sz w:val="20"/>
                <w:szCs w:val="20"/>
              </w:rPr>
              <w:t>51</w:t>
            </w:r>
          </w:p>
        </w:tc>
        <w:tc>
          <w:tcPr>
            <w:tcW w:w="522" w:type="pct"/>
            <w:tcBorders>
              <w:top w:val="nil"/>
              <w:bottom w:val="nil"/>
            </w:tcBorders>
            <w:vAlign w:val="center"/>
          </w:tcPr>
          <w:p w:rsidR="00A71E47" w:rsidRDefault="00A71E47">
            <w:pPr>
              <w:jc w:val="center"/>
              <w:rPr>
                <w:rFonts w:cs="Arial"/>
                <w:sz w:val="20"/>
                <w:szCs w:val="20"/>
              </w:rPr>
            </w:pPr>
            <w:r>
              <w:rPr>
                <w:rFonts w:cs="Arial"/>
                <w:sz w:val="20"/>
                <w:szCs w:val="20"/>
              </w:rPr>
              <w:t>49</w:t>
            </w:r>
          </w:p>
        </w:tc>
        <w:tc>
          <w:tcPr>
            <w:tcW w:w="595" w:type="pct"/>
            <w:tcBorders>
              <w:top w:val="nil"/>
              <w:bottom w:val="nil"/>
            </w:tcBorders>
            <w:vAlign w:val="center"/>
          </w:tcPr>
          <w:p w:rsidR="00A71E47" w:rsidRDefault="00A71E47">
            <w:pPr>
              <w:jc w:val="center"/>
              <w:rPr>
                <w:rFonts w:cs="Arial"/>
                <w:sz w:val="20"/>
                <w:szCs w:val="20"/>
              </w:rPr>
            </w:pPr>
            <w:r>
              <w:rPr>
                <w:rFonts w:cs="Arial"/>
                <w:sz w:val="20"/>
                <w:szCs w:val="20"/>
              </w:rPr>
              <w:t>39</w:t>
            </w:r>
          </w:p>
        </w:tc>
      </w:tr>
      <w:tr w:rsidR="00A71E47" w:rsidRPr="00405CDE" w:rsidTr="00ED3374">
        <w:trPr>
          <w:trHeight w:val="510"/>
        </w:trPr>
        <w:tc>
          <w:tcPr>
            <w:tcW w:w="1100" w:type="pct"/>
            <w:tcBorders>
              <w:top w:val="nil"/>
              <w:bottom w:val="nil"/>
            </w:tcBorders>
            <w:vAlign w:val="center"/>
          </w:tcPr>
          <w:p w:rsidR="00A71E47" w:rsidRDefault="00A71E47">
            <w:pPr>
              <w:rPr>
                <w:rFonts w:cs="Arial"/>
                <w:sz w:val="20"/>
                <w:szCs w:val="20"/>
              </w:rPr>
            </w:pPr>
            <w:r>
              <w:rPr>
                <w:rFonts w:cs="Arial"/>
                <w:sz w:val="20"/>
                <w:szCs w:val="20"/>
              </w:rPr>
              <w:t>Ex post price ($/GJ)</w:t>
            </w:r>
          </w:p>
        </w:tc>
        <w:tc>
          <w:tcPr>
            <w:tcW w:w="597" w:type="pct"/>
            <w:tcBorders>
              <w:top w:val="nil"/>
              <w:bottom w:val="nil"/>
            </w:tcBorders>
            <w:vAlign w:val="center"/>
          </w:tcPr>
          <w:p w:rsidR="00A71E47" w:rsidRDefault="00A71E47">
            <w:pPr>
              <w:jc w:val="center"/>
              <w:rPr>
                <w:rFonts w:cs="Arial"/>
                <w:sz w:val="20"/>
                <w:szCs w:val="20"/>
              </w:rPr>
            </w:pPr>
            <w:r>
              <w:rPr>
                <w:rFonts w:cs="Arial"/>
                <w:sz w:val="20"/>
                <w:szCs w:val="20"/>
              </w:rPr>
              <w:t>4.25</w:t>
            </w:r>
          </w:p>
        </w:tc>
        <w:tc>
          <w:tcPr>
            <w:tcW w:w="523" w:type="pct"/>
            <w:tcBorders>
              <w:top w:val="nil"/>
              <w:bottom w:val="nil"/>
            </w:tcBorders>
            <w:vAlign w:val="center"/>
          </w:tcPr>
          <w:p w:rsidR="00A71E47" w:rsidRDefault="00A71E47">
            <w:pPr>
              <w:jc w:val="center"/>
              <w:rPr>
                <w:rFonts w:cs="Arial"/>
                <w:sz w:val="20"/>
                <w:szCs w:val="20"/>
              </w:rPr>
            </w:pPr>
            <w:r>
              <w:rPr>
                <w:rFonts w:cs="Arial"/>
                <w:sz w:val="20"/>
                <w:szCs w:val="20"/>
              </w:rPr>
              <w:t>4.90</w:t>
            </w:r>
          </w:p>
        </w:tc>
        <w:tc>
          <w:tcPr>
            <w:tcW w:w="606" w:type="pct"/>
            <w:tcBorders>
              <w:top w:val="nil"/>
              <w:bottom w:val="nil"/>
            </w:tcBorders>
            <w:vAlign w:val="center"/>
          </w:tcPr>
          <w:p w:rsidR="00A71E47" w:rsidRDefault="00A71E47">
            <w:pPr>
              <w:jc w:val="center"/>
              <w:rPr>
                <w:rFonts w:cs="Arial"/>
                <w:sz w:val="20"/>
                <w:szCs w:val="20"/>
              </w:rPr>
            </w:pPr>
            <w:r>
              <w:rPr>
                <w:rFonts w:cs="Arial"/>
                <w:sz w:val="20"/>
                <w:szCs w:val="20"/>
              </w:rPr>
              <w:t>5.36</w:t>
            </w:r>
          </w:p>
        </w:tc>
        <w:tc>
          <w:tcPr>
            <w:tcW w:w="532" w:type="pct"/>
            <w:tcBorders>
              <w:top w:val="nil"/>
              <w:bottom w:val="nil"/>
            </w:tcBorders>
            <w:vAlign w:val="center"/>
          </w:tcPr>
          <w:p w:rsidR="00A71E47" w:rsidRDefault="00A71E47">
            <w:pPr>
              <w:jc w:val="center"/>
              <w:rPr>
                <w:rFonts w:cs="Arial"/>
                <w:sz w:val="20"/>
                <w:szCs w:val="20"/>
              </w:rPr>
            </w:pPr>
            <w:r>
              <w:rPr>
                <w:rFonts w:cs="Arial"/>
                <w:sz w:val="20"/>
                <w:szCs w:val="20"/>
              </w:rPr>
              <w:t>6.32</w:t>
            </w:r>
          </w:p>
        </w:tc>
        <w:tc>
          <w:tcPr>
            <w:tcW w:w="525" w:type="pct"/>
            <w:tcBorders>
              <w:top w:val="nil"/>
              <w:bottom w:val="nil"/>
            </w:tcBorders>
            <w:vAlign w:val="center"/>
          </w:tcPr>
          <w:p w:rsidR="00A71E47" w:rsidRDefault="00A71E47">
            <w:pPr>
              <w:jc w:val="center"/>
              <w:rPr>
                <w:rFonts w:cs="Arial"/>
                <w:sz w:val="20"/>
                <w:szCs w:val="20"/>
              </w:rPr>
            </w:pPr>
            <w:r>
              <w:rPr>
                <w:rFonts w:cs="Arial"/>
                <w:sz w:val="20"/>
                <w:szCs w:val="20"/>
              </w:rPr>
              <w:t>10.04</w:t>
            </w:r>
          </w:p>
        </w:tc>
        <w:tc>
          <w:tcPr>
            <w:tcW w:w="522" w:type="pct"/>
            <w:tcBorders>
              <w:top w:val="nil"/>
              <w:bottom w:val="nil"/>
            </w:tcBorders>
            <w:vAlign w:val="center"/>
          </w:tcPr>
          <w:p w:rsidR="00A71E47" w:rsidRDefault="00A71E47">
            <w:pPr>
              <w:jc w:val="center"/>
              <w:rPr>
                <w:rFonts w:cs="Arial"/>
                <w:sz w:val="20"/>
                <w:szCs w:val="20"/>
              </w:rPr>
            </w:pPr>
            <w:r>
              <w:rPr>
                <w:rFonts w:cs="Arial"/>
                <w:sz w:val="20"/>
                <w:szCs w:val="20"/>
              </w:rPr>
              <w:t>13.20</w:t>
            </w:r>
          </w:p>
        </w:tc>
        <w:tc>
          <w:tcPr>
            <w:tcW w:w="595" w:type="pct"/>
            <w:tcBorders>
              <w:top w:val="nil"/>
              <w:bottom w:val="nil"/>
            </w:tcBorders>
            <w:vAlign w:val="center"/>
          </w:tcPr>
          <w:p w:rsidR="00A71E47" w:rsidRDefault="00A71E47">
            <w:pPr>
              <w:jc w:val="center"/>
              <w:rPr>
                <w:rFonts w:cs="Arial"/>
                <w:sz w:val="20"/>
                <w:szCs w:val="20"/>
              </w:rPr>
            </w:pPr>
            <w:r>
              <w:rPr>
                <w:rFonts w:cs="Arial"/>
                <w:sz w:val="20"/>
                <w:szCs w:val="20"/>
              </w:rPr>
              <w:t>9.95</w:t>
            </w:r>
          </w:p>
        </w:tc>
      </w:tr>
      <w:tr w:rsidR="00A71E47" w:rsidRPr="00405CDE" w:rsidTr="00ED3374">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single" w:sz="4" w:space="0" w:color="auto"/>
            </w:tcBorders>
            <w:vAlign w:val="center"/>
          </w:tcPr>
          <w:p w:rsidR="00A71E47" w:rsidRDefault="00A71E47">
            <w:pPr>
              <w:rPr>
                <w:rFonts w:cs="Arial"/>
                <w:sz w:val="20"/>
                <w:szCs w:val="20"/>
              </w:rPr>
            </w:pPr>
            <w:r>
              <w:rPr>
                <w:rFonts w:cs="Arial"/>
                <w:sz w:val="20"/>
                <w:szCs w:val="20"/>
              </w:rPr>
              <w:t>Ex post quantity (TJ)</w:t>
            </w:r>
          </w:p>
        </w:tc>
        <w:tc>
          <w:tcPr>
            <w:tcW w:w="597" w:type="pct"/>
            <w:tcBorders>
              <w:top w:val="nil"/>
              <w:bottom w:val="single" w:sz="4" w:space="0" w:color="auto"/>
            </w:tcBorders>
            <w:vAlign w:val="center"/>
          </w:tcPr>
          <w:p w:rsidR="00A71E47" w:rsidRDefault="00A71E47">
            <w:pPr>
              <w:jc w:val="center"/>
              <w:rPr>
                <w:rFonts w:cs="Arial"/>
                <w:sz w:val="20"/>
                <w:szCs w:val="20"/>
              </w:rPr>
            </w:pPr>
            <w:r>
              <w:rPr>
                <w:rFonts w:cs="Arial"/>
                <w:sz w:val="20"/>
                <w:szCs w:val="20"/>
              </w:rPr>
              <w:t>40</w:t>
            </w:r>
          </w:p>
        </w:tc>
        <w:tc>
          <w:tcPr>
            <w:tcW w:w="523" w:type="pct"/>
            <w:tcBorders>
              <w:top w:val="nil"/>
              <w:bottom w:val="single" w:sz="4" w:space="0" w:color="auto"/>
            </w:tcBorders>
            <w:vAlign w:val="center"/>
          </w:tcPr>
          <w:p w:rsidR="00A71E47" w:rsidRDefault="00A71E47">
            <w:pPr>
              <w:jc w:val="center"/>
              <w:rPr>
                <w:rFonts w:cs="Arial"/>
                <w:sz w:val="20"/>
                <w:szCs w:val="20"/>
              </w:rPr>
            </w:pPr>
            <w:r>
              <w:rPr>
                <w:rFonts w:cs="Arial"/>
                <w:sz w:val="20"/>
                <w:szCs w:val="20"/>
              </w:rPr>
              <w:t>52</w:t>
            </w:r>
          </w:p>
        </w:tc>
        <w:tc>
          <w:tcPr>
            <w:tcW w:w="606" w:type="pct"/>
            <w:tcBorders>
              <w:top w:val="nil"/>
              <w:bottom w:val="single" w:sz="4" w:space="0" w:color="auto"/>
            </w:tcBorders>
            <w:vAlign w:val="center"/>
          </w:tcPr>
          <w:p w:rsidR="00A71E47" w:rsidRDefault="00A71E47">
            <w:pPr>
              <w:jc w:val="center"/>
              <w:rPr>
                <w:rFonts w:cs="Arial"/>
                <w:sz w:val="20"/>
                <w:szCs w:val="20"/>
              </w:rPr>
            </w:pPr>
            <w:r>
              <w:rPr>
                <w:rFonts w:cs="Arial"/>
                <w:sz w:val="20"/>
                <w:szCs w:val="20"/>
              </w:rPr>
              <w:t>52</w:t>
            </w:r>
          </w:p>
        </w:tc>
        <w:tc>
          <w:tcPr>
            <w:tcW w:w="532" w:type="pct"/>
            <w:tcBorders>
              <w:top w:val="nil"/>
              <w:bottom w:val="single" w:sz="4" w:space="0" w:color="auto"/>
            </w:tcBorders>
            <w:vAlign w:val="center"/>
          </w:tcPr>
          <w:p w:rsidR="00A71E47" w:rsidRDefault="00A71E47">
            <w:pPr>
              <w:jc w:val="center"/>
              <w:rPr>
                <w:rFonts w:cs="Arial"/>
                <w:sz w:val="20"/>
                <w:szCs w:val="20"/>
              </w:rPr>
            </w:pPr>
            <w:r>
              <w:rPr>
                <w:rFonts w:cs="Arial"/>
                <w:sz w:val="20"/>
                <w:szCs w:val="20"/>
              </w:rPr>
              <w:t>58</w:t>
            </w:r>
          </w:p>
        </w:tc>
        <w:tc>
          <w:tcPr>
            <w:tcW w:w="525" w:type="pct"/>
            <w:tcBorders>
              <w:top w:val="nil"/>
              <w:bottom w:val="single" w:sz="4" w:space="0" w:color="auto"/>
            </w:tcBorders>
            <w:vAlign w:val="center"/>
          </w:tcPr>
          <w:p w:rsidR="00A71E47" w:rsidRDefault="00A71E47">
            <w:pPr>
              <w:jc w:val="center"/>
              <w:rPr>
                <w:rFonts w:cs="Arial"/>
                <w:sz w:val="20"/>
                <w:szCs w:val="20"/>
              </w:rPr>
            </w:pPr>
            <w:r>
              <w:rPr>
                <w:rFonts w:cs="Arial"/>
                <w:sz w:val="20"/>
                <w:szCs w:val="20"/>
              </w:rPr>
              <w:t>68</w:t>
            </w:r>
          </w:p>
        </w:tc>
        <w:tc>
          <w:tcPr>
            <w:tcW w:w="522" w:type="pct"/>
            <w:tcBorders>
              <w:top w:val="nil"/>
              <w:bottom w:val="single" w:sz="4" w:space="0" w:color="auto"/>
            </w:tcBorders>
            <w:vAlign w:val="center"/>
          </w:tcPr>
          <w:p w:rsidR="00A71E47" w:rsidRDefault="00A71E47">
            <w:pPr>
              <w:jc w:val="center"/>
              <w:rPr>
                <w:rFonts w:cs="Arial"/>
                <w:sz w:val="20"/>
                <w:szCs w:val="20"/>
              </w:rPr>
            </w:pPr>
            <w:r>
              <w:rPr>
                <w:rFonts w:cs="Arial"/>
                <w:sz w:val="20"/>
                <w:szCs w:val="20"/>
              </w:rPr>
              <w:t>55</w:t>
            </w:r>
          </w:p>
        </w:tc>
        <w:tc>
          <w:tcPr>
            <w:tcW w:w="595" w:type="pct"/>
            <w:tcBorders>
              <w:top w:val="nil"/>
              <w:bottom w:val="single" w:sz="4" w:space="0" w:color="auto"/>
            </w:tcBorders>
            <w:vAlign w:val="center"/>
          </w:tcPr>
          <w:p w:rsidR="00A71E47" w:rsidRDefault="00A71E47">
            <w:pPr>
              <w:jc w:val="center"/>
              <w:rPr>
                <w:rFonts w:cs="Arial"/>
                <w:sz w:val="20"/>
                <w:szCs w:val="20"/>
              </w:rPr>
            </w:pPr>
            <w:r>
              <w:rPr>
                <w:rFonts w:cs="Arial"/>
                <w:sz w:val="20"/>
                <w:szCs w:val="20"/>
              </w:rPr>
              <w:t>46</w:t>
            </w:r>
          </w:p>
        </w:tc>
      </w:tr>
    </w:tbl>
    <w:p w:rsidR="00BC18FB" w:rsidRPr="00DD0358" w:rsidRDefault="003625A6" w:rsidP="00FF0D8A">
      <w:pPr>
        <w:pStyle w:val="Heading4"/>
        <w:ind w:hanging="338"/>
        <w:rPr>
          <w:color w:val="2272A3"/>
          <w:sz w:val="24"/>
        </w:rPr>
      </w:pPr>
      <w:r w:rsidRPr="00DD0358">
        <w:rPr>
          <w:color w:val="2272A3"/>
          <w:sz w:val="24"/>
          <w:szCs w:val="24"/>
        </w:rPr>
        <w:t>ADL daily hub offers and daily hub bids in price bands ($/GJ)</w:t>
      </w:r>
    </w:p>
    <w:p w:rsidR="00362B9A" w:rsidRPr="00362B9A" w:rsidRDefault="00B56814" w:rsidP="00362B9A">
      <w:r>
        <w:pict>
          <v:shape id="_x0000_i1033" type="#_x0000_t75" alt="Figure 3.2 shows the daily hub offers and bid in within certain price bands in Adelaide this week. The line indicates the scheduled quantity for each day. For a more detailed description of this figure, please refer to the user guide." style="width:475.5pt;height:170.25pt;mso-position-vertical:absolute">
            <v:imagedata r:id="rId22" o:title=""/>
          </v:shape>
        </w:pict>
      </w:r>
    </w:p>
    <w:p w:rsidR="00BC18FB" w:rsidRPr="00DD0358" w:rsidRDefault="003625A6" w:rsidP="00FF0D8A">
      <w:pPr>
        <w:pStyle w:val="Heading4"/>
        <w:ind w:hanging="338"/>
        <w:rPr>
          <w:color w:val="2272A3"/>
          <w:sz w:val="24"/>
        </w:rPr>
      </w:pPr>
      <w:r w:rsidRPr="00DD0358">
        <w:rPr>
          <w:color w:val="2272A3"/>
          <w:sz w:val="24"/>
          <w:szCs w:val="24"/>
        </w:rPr>
        <w:t>ADL net scheduled and allocated gas hub supply (excluding MOS)</w:t>
      </w:r>
    </w:p>
    <w:p w:rsidR="00362B9A" w:rsidRPr="00362B9A" w:rsidRDefault="00B56814" w:rsidP="00362B9A">
      <w:r>
        <w:pict>
          <v:shape id="_x0000_i1034" type="#_x0000_t75" alt="Figure 3.3 shows the daily scheduled and allocated quantities sorted by facility for Adelaide this week. For a more detailed description of this figure, please refer to the user guide.&#10;" style="width:477.75pt;height:105.75pt">
            <v:imagedata r:id="rId23" o:title=""/>
          </v:shape>
        </w:pict>
      </w:r>
    </w:p>
    <w:p w:rsidR="00BC18FB" w:rsidRPr="00DD0358" w:rsidRDefault="004560B0" w:rsidP="003625A6">
      <w:pPr>
        <w:pStyle w:val="Heading4"/>
        <w:ind w:hanging="338"/>
        <w:rPr>
          <w:color w:val="2272A3"/>
          <w:sz w:val="24"/>
          <w:szCs w:val="24"/>
        </w:rPr>
      </w:pPr>
      <w:r w:rsidRPr="00DD0358">
        <w:rPr>
          <w:color w:val="2272A3"/>
          <w:sz w:val="24"/>
          <w:szCs w:val="24"/>
        </w:rPr>
        <w:t>ADL</w:t>
      </w:r>
      <w:r w:rsidR="003625A6" w:rsidRPr="00DD0358">
        <w:rPr>
          <w:color w:val="2272A3"/>
          <w:sz w:val="24"/>
          <w:szCs w:val="24"/>
        </w:rPr>
        <w:t xml:space="preserve"> MOS allocations (TJ), service payments and commodity payments/charges ($000)</w:t>
      </w:r>
    </w:p>
    <w:p w:rsidR="00362B9A" w:rsidRDefault="00B56814" w:rsidP="00362B9A">
      <w:r>
        <w:pict>
          <v:shape id="_x0000_i1035" type="#_x0000_t75" alt="Figure 3.4 shows the daily MOS allocations sorted by facility for each facility in Adelaide this week. The figure also shows the daily breakdown of costs associated with the MOS provided. For a more detailed description of this figure, please refer to the user guide." style="width:476.25pt;height:150pt">
            <v:imagedata r:id="rId24" o:title=""/>
          </v:shape>
        </w:pict>
      </w:r>
    </w:p>
    <w:p w:rsidR="00BC18FB" w:rsidRDefault="00AE309F" w:rsidP="003625A6">
      <w:pPr>
        <w:pStyle w:val="Heading3"/>
        <w:ind w:firstLine="0"/>
        <w:rPr>
          <w:color w:val="2272A3"/>
          <w:sz w:val="32"/>
          <w:szCs w:val="32"/>
        </w:rPr>
      </w:pPr>
      <w:r>
        <w:rPr>
          <w:color w:val="2272A3"/>
          <w:sz w:val="32"/>
          <w:szCs w:val="32"/>
        </w:rPr>
        <w:br w:type="page"/>
      </w:r>
      <w:r w:rsidR="00BC18FB" w:rsidRPr="003625A6">
        <w:rPr>
          <w:color w:val="2272A3"/>
          <w:sz w:val="32"/>
          <w:szCs w:val="32"/>
        </w:rPr>
        <w:lastRenderedPageBreak/>
        <w:t>B</w:t>
      </w:r>
      <w:r w:rsidR="00362B9A" w:rsidRPr="003625A6">
        <w:rPr>
          <w:color w:val="2272A3"/>
          <w:sz w:val="32"/>
          <w:szCs w:val="32"/>
        </w:rPr>
        <w:t>risbane STTM</w:t>
      </w:r>
    </w:p>
    <w:p w:rsidR="003625A6" w:rsidRPr="003625A6" w:rsidRDefault="003625A6" w:rsidP="00345444">
      <w:pPr>
        <w:jc w:val="both"/>
      </w:pPr>
      <w:r>
        <w:t>The Brisbane STTM hub functions in the same way as the Sydney STTM hub.  The same data that was presented for the Sydney hub is presented for the Brisbane hub in the figures below.</w:t>
      </w:r>
    </w:p>
    <w:p w:rsidR="00BC18FB" w:rsidRDefault="003625A6" w:rsidP="00FF0D8A">
      <w:pPr>
        <w:pStyle w:val="Heading4"/>
        <w:ind w:hanging="338"/>
        <w:rPr>
          <w:color w:val="2272A3"/>
          <w:sz w:val="24"/>
          <w:szCs w:val="24"/>
        </w:rPr>
      </w:pPr>
      <w:r>
        <w:rPr>
          <w:color w:val="2272A3"/>
          <w:sz w:val="24"/>
          <w:szCs w:val="24"/>
        </w:rPr>
        <w:t>BRI</w:t>
      </w:r>
      <w:r w:rsidRPr="00362B9A">
        <w:rPr>
          <w:color w:val="2272A3"/>
          <w:sz w:val="24"/>
          <w:szCs w:val="24"/>
        </w:rPr>
        <w:t xml:space="preserve"> STTM daily ex ante and ex post prices and quantities</w:t>
      </w:r>
    </w:p>
    <w:tbl>
      <w:tblPr>
        <w:tblStyle w:val="AERTable-Text0"/>
        <w:tblW w:w="4851" w:type="pct"/>
        <w:tblLook w:val="04A0" w:firstRow="1" w:lastRow="0" w:firstColumn="1" w:lastColumn="0" w:noHBand="0" w:noVBand="1"/>
      </w:tblPr>
      <w:tblGrid>
        <w:gridCol w:w="2079"/>
        <w:gridCol w:w="1128"/>
        <w:gridCol w:w="989"/>
        <w:gridCol w:w="1145"/>
        <w:gridCol w:w="1006"/>
        <w:gridCol w:w="992"/>
        <w:gridCol w:w="987"/>
        <w:gridCol w:w="1125"/>
      </w:tblGrid>
      <w:tr w:rsidR="00F114D5" w:rsidRPr="00405CDE" w:rsidTr="00ED3374">
        <w:trPr>
          <w:cnfStyle w:val="100000000000" w:firstRow="1" w:lastRow="0" w:firstColumn="0" w:lastColumn="0" w:oddVBand="0" w:evenVBand="0" w:oddHBand="0" w:evenHBand="0" w:firstRowFirstColumn="0" w:firstRowLastColumn="0" w:lastRowFirstColumn="0" w:lastRowLastColumn="0"/>
          <w:tblHeader/>
        </w:trPr>
        <w:tc>
          <w:tcPr>
            <w:tcW w:w="1100" w:type="pct"/>
            <w:tcBorders>
              <w:bottom w:val="nil"/>
            </w:tcBorders>
            <w:hideMark/>
          </w:tcPr>
          <w:p w:rsidR="00F114D5" w:rsidRPr="00DC24BF" w:rsidRDefault="00F114D5" w:rsidP="007A51E1">
            <w:pPr>
              <w:pStyle w:val="TableHeading"/>
              <w:spacing w:before="0" w:after="0"/>
              <w:jc w:val="center"/>
              <w:rPr>
                <w:rFonts w:cs="Arial"/>
                <w:sz w:val="20"/>
                <w:szCs w:val="20"/>
              </w:rPr>
            </w:pPr>
          </w:p>
        </w:tc>
        <w:tc>
          <w:tcPr>
            <w:tcW w:w="597"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Sun</w:t>
            </w:r>
          </w:p>
        </w:tc>
        <w:tc>
          <w:tcPr>
            <w:tcW w:w="523"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Mon</w:t>
            </w:r>
          </w:p>
        </w:tc>
        <w:tc>
          <w:tcPr>
            <w:tcW w:w="606"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Tue</w:t>
            </w:r>
          </w:p>
        </w:tc>
        <w:tc>
          <w:tcPr>
            <w:tcW w:w="532"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Wed</w:t>
            </w:r>
          </w:p>
        </w:tc>
        <w:tc>
          <w:tcPr>
            <w:tcW w:w="525"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Thu</w:t>
            </w:r>
          </w:p>
        </w:tc>
        <w:tc>
          <w:tcPr>
            <w:tcW w:w="522"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Fri</w:t>
            </w:r>
          </w:p>
        </w:tc>
        <w:tc>
          <w:tcPr>
            <w:tcW w:w="595"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Sat</w:t>
            </w:r>
          </w:p>
        </w:tc>
      </w:tr>
      <w:tr w:rsidR="00A71E47" w:rsidRPr="00405CDE" w:rsidTr="00ED3374">
        <w:trPr>
          <w:trHeight w:val="510"/>
        </w:trPr>
        <w:tc>
          <w:tcPr>
            <w:tcW w:w="1100" w:type="pct"/>
            <w:tcBorders>
              <w:top w:val="nil"/>
              <w:bottom w:val="nil"/>
            </w:tcBorders>
            <w:vAlign w:val="center"/>
          </w:tcPr>
          <w:p w:rsidR="00A71E47" w:rsidRDefault="00A71E47">
            <w:pPr>
              <w:rPr>
                <w:rFonts w:cs="Arial"/>
                <w:sz w:val="20"/>
                <w:szCs w:val="20"/>
              </w:rPr>
            </w:pPr>
            <w:r>
              <w:rPr>
                <w:rFonts w:cs="Arial"/>
                <w:sz w:val="20"/>
                <w:szCs w:val="20"/>
              </w:rPr>
              <w:t>Ex ante price ($/GJ)</w:t>
            </w:r>
          </w:p>
        </w:tc>
        <w:tc>
          <w:tcPr>
            <w:tcW w:w="597" w:type="pct"/>
            <w:tcBorders>
              <w:top w:val="nil"/>
              <w:bottom w:val="nil"/>
            </w:tcBorders>
            <w:vAlign w:val="center"/>
          </w:tcPr>
          <w:p w:rsidR="00A71E47" w:rsidRDefault="00A71E47">
            <w:pPr>
              <w:jc w:val="center"/>
              <w:rPr>
                <w:rFonts w:cs="Arial"/>
                <w:sz w:val="20"/>
                <w:szCs w:val="20"/>
              </w:rPr>
            </w:pPr>
            <w:r>
              <w:rPr>
                <w:rFonts w:cs="Arial"/>
                <w:sz w:val="20"/>
                <w:szCs w:val="20"/>
              </w:rPr>
              <w:t>3.51</w:t>
            </w:r>
          </w:p>
        </w:tc>
        <w:tc>
          <w:tcPr>
            <w:tcW w:w="523" w:type="pct"/>
            <w:tcBorders>
              <w:top w:val="nil"/>
              <w:bottom w:val="nil"/>
            </w:tcBorders>
            <w:vAlign w:val="center"/>
          </w:tcPr>
          <w:p w:rsidR="00A71E47" w:rsidRDefault="00A71E47">
            <w:pPr>
              <w:jc w:val="center"/>
              <w:rPr>
                <w:rFonts w:cs="Arial"/>
                <w:sz w:val="20"/>
                <w:szCs w:val="20"/>
              </w:rPr>
            </w:pPr>
            <w:r>
              <w:rPr>
                <w:rFonts w:cs="Arial"/>
                <w:sz w:val="20"/>
                <w:szCs w:val="20"/>
              </w:rPr>
              <w:t>5.50</w:t>
            </w:r>
          </w:p>
        </w:tc>
        <w:tc>
          <w:tcPr>
            <w:tcW w:w="606" w:type="pct"/>
            <w:tcBorders>
              <w:top w:val="nil"/>
              <w:bottom w:val="nil"/>
            </w:tcBorders>
            <w:vAlign w:val="center"/>
          </w:tcPr>
          <w:p w:rsidR="00A71E47" w:rsidRDefault="00A71E47">
            <w:pPr>
              <w:jc w:val="center"/>
              <w:rPr>
                <w:rFonts w:cs="Arial"/>
                <w:sz w:val="20"/>
                <w:szCs w:val="20"/>
              </w:rPr>
            </w:pPr>
            <w:r>
              <w:rPr>
                <w:rFonts w:cs="Arial"/>
                <w:sz w:val="20"/>
                <w:szCs w:val="20"/>
              </w:rPr>
              <w:t>4.07</w:t>
            </w:r>
          </w:p>
        </w:tc>
        <w:tc>
          <w:tcPr>
            <w:tcW w:w="532" w:type="pct"/>
            <w:tcBorders>
              <w:top w:val="nil"/>
              <w:bottom w:val="nil"/>
            </w:tcBorders>
            <w:vAlign w:val="center"/>
          </w:tcPr>
          <w:p w:rsidR="00A71E47" w:rsidRDefault="00A71E47">
            <w:pPr>
              <w:jc w:val="center"/>
              <w:rPr>
                <w:rFonts w:cs="Arial"/>
                <w:sz w:val="20"/>
                <w:szCs w:val="20"/>
              </w:rPr>
            </w:pPr>
            <w:r>
              <w:rPr>
                <w:rFonts w:cs="Arial"/>
                <w:sz w:val="20"/>
                <w:szCs w:val="20"/>
              </w:rPr>
              <w:t>4.16</w:t>
            </w:r>
          </w:p>
        </w:tc>
        <w:tc>
          <w:tcPr>
            <w:tcW w:w="525" w:type="pct"/>
            <w:tcBorders>
              <w:top w:val="nil"/>
              <w:bottom w:val="nil"/>
            </w:tcBorders>
            <w:vAlign w:val="center"/>
          </w:tcPr>
          <w:p w:rsidR="00A71E47" w:rsidRDefault="00A71E47">
            <w:pPr>
              <w:jc w:val="center"/>
              <w:rPr>
                <w:rFonts w:cs="Arial"/>
                <w:sz w:val="20"/>
                <w:szCs w:val="20"/>
              </w:rPr>
            </w:pPr>
            <w:r>
              <w:rPr>
                <w:rFonts w:cs="Arial"/>
                <w:sz w:val="20"/>
                <w:szCs w:val="20"/>
              </w:rPr>
              <w:t>4.48</w:t>
            </w:r>
          </w:p>
        </w:tc>
        <w:tc>
          <w:tcPr>
            <w:tcW w:w="522" w:type="pct"/>
            <w:tcBorders>
              <w:top w:val="nil"/>
              <w:bottom w:val="nil"/>
            </w:tcBorders>
            <w:vAlign w:val="center"/>
          </w:tcPr>
          <w:p w:rsidR="00A71E47" w:rsidRDefault="00A71E47">
            <w:pPr>
              <w:jc w:val="center"/>
              <w:rPr>
                <w:rFonts w:cs="Arial"/>
                <w:sz w:val="20"/>
                <w:szCs w:val="20"/>
              </w:rPr>
            </w:pPr>
            <w:r>
              <w:rPr>
                <w:rFonts w:cs="Arial"/>
                <w:sz w:val="20"/>
                <w:szCs w:val="20"/>
              </w:rPr>
              <w:t>4.00</w:t>
            </w:r>
          </w:p>
        </w:tc>
        <w:tc>
          <w:tcPr>
            <w:tcW w:w="595" w:type="pct"/>
            <w:tcBorders>
              <w:top w:val="nil"/>
              <w:bottom w:val="nil"/>
            </w:tcBorders>
            <w:vAlign w:val="center"/>
          </w:tcPr>
          <w:p w:rsidR="00A71E47" w:rsidRDefault="00A71E47">
            <w:pPr>
              <w:jc w:val="center"/>
              <w:rPr>
                <w:rFonts w:cs="Arial"/>
                <w:sz w:val="20"/>
                <w:szCs w:val="20"/>
              </w:rPr>
            </w:pPr>
            <w:r>
              <w:rPr>
                <w:rFonts w:cs="Arial"/>
                <w:sz w:val="20"/>
                <w:szCs w:val="20"/>
              </w:rPr>
              <w:t>3.11</w:t>
            </w:r>
          </w:p>
        </w:tc>
      </w:tr>
      <w:tr w:rsidR="00A71E47" w:rsidRPr="00405CDE" w:rsidTr="00ED3374">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nil"/>
            </w:tcBorders>
            <w:vAlign w:val="center"/>
          </w:tcPr>
          <w:p w:rsidR="00A71E47" w:rsidRDefault="00A71E47">
            <w:pPr>
              <w:rPr>
                <w:rFonts w:cs="Arial"/>
                <w:sz w:val="20"/>
                <w:szCs w:val="20"/>
              </w:rPr>
            </w:pPr>
            <w:r>
              <w:rPr>
                <w:rFonts w:cs="Arial"/>
                <w:sz w:val="20"/>
                <w:szCs w:val="20"/>
              </w:rPr>
              <w:t>Ex ante quantity (TJ)</w:t>
            </w:r>
          </w:p>
        </w:tc>
        <w:tc>
          <w:tcPr>
            <w:tcW w:w="597" w:type="pct"/>
            <w:tcBorders>
              <w:top w:val="nil"/>
              <w:bottom w:val="nil"/>
            </w:tcBorders>
            <w:vAlign w:val="center"/>
          </w:tcPr>
          <w:p w:rsidR="00A71E47" w:rsidRDefault="00A71E47">
            <w:pPr>
              <w:jc w:val="center"/>
              <w:rPr>
                <w:rFonts w:cs="Arial"/>
                <w:sz w:val="20"/>
                <w:szCs w:val="20"/>
              </w:rPr>
            </w:pPr>
            <w:r>
              <w:rPr>
                <w:rFonts w:cs="Arial"/>
                <w:sz w:val="20"/>
                <w:szCs w:val="20"/>
              </w:rPr>
              <w:t>74</w:t>
            </w:r>
          </w:p>
        </w:tc>
        <w:tc>
          <w:tcPr>
            <w:tcW w:w="523" w:type="pct"/>
            <w:tcBorders>
              <w:top w:val="nil"/>
              <w:bottom w:val="nil"/>
            </w:tcBorders>
            <w:vAlign w:val="center"/>
          </w:tcPr>
          <w:p w:rsidR="00A71E47" w:rsidRDefault="00A71E47">
            <w:pPr>
              <w:jc w:val="center"/>
              <w:rPr>
                <w:rFonts w:cs="Arial"/>
                <w:sz w:val="20"/>
                <w:szCs w:val="20"/>
              </w:rPr>
            </w:pPr>
            <w:r>
              <w:rPr>
                <w:rFonts w:cs="Arial"/>
                <w:sz w:val="20"/>
                <w:szCs w:val="20"/>
              </w:rPr>
              <w:t>92</w:t>
            </w:r>
          </w:p>
        </w:tc>
        <w:tc>
          <w:tcPr>
            <w:tcW w:w="606" w:type="pct"/>
            <w:tcBorders>
              <w:top w:val="nil"/>
              <w:bottom w:val="nil"/>
            </w:tcBorders>
            <w:vAlign w:val="center"/>
          </w:tcPr>
          <w:p w:rsidR="00A71E47" w:rsidRDefault="00A71E47">
            <w:pPr>
              <w:jc w:val="center"/>
              <w:rPr>
                <w:rFonts w:cs="Arial"/>
                <w:sz w:val="20"/>
                <w:szCs w:val="20"/>
              </w:rPr>
            </w:pPr>
            <w:r>
              <w:rPr>
                <w:rFonts w:cs="Arial"/>
                <w:sz w:val="20"/>
                <w:szCs w:val="20"/>
              </w:rPr>
              <w:t>91</w:t>
            </w:r>
          </w:p>
        </w:tc>
        <w:tc>
          <w:tcPr>
            <w:tcW w:w="532" w:type="pct"/>
            <w:tcBorders>
              <w:top w:val="nil"/>
              <w:bottom w:val="nil"/>
            </w:tcBorders>
            <w:vAlign w:val="center"/>
          </w:tcPr>
          <w:p w:rsidR="00A71E47" w:rsidRDefault="00A71E47">
            <w:pPr>
              <w:jc w:val="center"/>
              <w:rPr>
                <w:rFonts w:cs="Arial"/>
                <w:sz w:val="20"/>
                <w:szCs w:val="20"/>
              </w:rPr>
            </w:pPr>
            <w:r>
              <w:rPr>
                <w:rFonts w:cs="Arial"/>
                <w:sz w:val="20"/>
                <w:szCs w:val="20"/>
              </w:rPr>
              <w:t>90</w:t>
            </w:r>
          </w:p>
        </w:tc>
        <w:tc>
          <w:tcPr>
            <w:tcW w:w="525" w:type="pct"/>
            <w:tcBorders>
              <w:top w:val="nil"/>
              <w:bottom w:val="nil"/>
            </w:tcBorders>
            <w:vAlign w:val="center"/>
          </w:tcPr>
          <w:p w:rsidR="00A71E47" w:rsidRDefault="00A71E47">
            <w:pPr>
              <w:jc w:val="center"/>
              <w:rPr>
                <w:rFonts w:cs="Arial"/>
                <w:sz w:val="20"/>
                <w:szCs w:val="20"/>
              </w:rPr>
            </w:pPr>
            <w:r>
              <w:rPr>
                <w:rFonts w:cs="Arial"/>
                <w:sz w:val="20"/>
                <w:szCs w:val="20"/>
              </w:rPr>
              <w:t>88</w:t>
            </w:r>
          </w:p>
        </w:tc>
        <w:tc>
          <w:tcPr>
            <w:tcW w:w="522" w:type="pct"/>
            <w:tcBorders>
              <w:top w:val="nil"/>
              <w:bottom w:val="nil"/>
            </w:tcBorders>
            <w:vAlign w:val="center"/>
          </w:tcPr>
          <w:p w:rsidR="00A71E47" w:rsidRDefault="00A71E47">
            <w:pPr>
              <w:jc w:val="center"/>
              <w:rPr>
                <w:rFonts w:cs="Arial"/>
                <w:sz w:val="20"/>
                <w:szCs w:val="20"/>
              </w:rPr>
            </w:pPr>
            <w:r>
              <w:rPr>
                <w:rFonts w:cs="Arial"/>
                <w:sz w:val="20"/>
                <w:szCs w:val="20"/>
              </w:rPr>
              <w:t>85</w:t>
            </w:r>
          </w:p>
        </w:tc>
        <w:tc>
          <w:tcPr>
            <w:tcW w:w="595" w:type="pct"/>
            <w:tcBorders>
              <w:top w:val="nil"/>
              <w:bottom w:val="nil"/>
            </w:tcBorders>
            <w:vAlign w:val="center"/>
          </w:tcPr>
          <w:p w:rsidR="00A71E47" w:rsidRDefault="00A71E47">
            <w:pPr>
              <w:jc w:val="center"/>
              <w:rPr>
                <w:rFonts w:cs="Arial"/>
                <w:sz w:val="20"/>
                <w:szCs w:val="20"/>
              </w:rPr>
            </w:pPr>
            <w:r>
              <w:rPr>
                <w:rFonts w:cs="Arial"/>
                <w:sz w:val="20"/>
                <w:szCs w:val="20"/>
              </w:rPr>
              <w:t>73</w:t>
            </w:r>
          </w:p>
        </w:tc>
      </w:tr>
      <w:tr w:rsidR="00A71E47" w:rsidRPr="00405CDE" w:rsidTr="00ED3374">
        <w:trPr>
          <w:trHeight w:val="510"/>
        </w:trPr>
        <w:tc>
          <w:tcPr>
            <w:tcW w:w="1100" w:type="pct"/>
            <w:tcBorders>
              <w:top w:val="nil"/>
              <w:bottom w:val="nil"/>
            </w:tcBorders>
            <w:vAlign w:val="center"/>
          </w:tcPr>
          <w:p w:rsidR="00A71E47" w:rsidRDefault="00A71E47">
            <w:pPr>
              <w:rPr>
                <w:rFonts w:cs="Arial"/>
                <w:sz w:val="20"/>
                <w:szCs w:val="20"/>
              </w:rPr>
            </w:pPr>
            <w:r>
              <w:rPr>
                <w:rFonts w:cs="Arial"/>
                <w:sz w:val="20"/>
                <w:szCs w:val="20"/>
              </w:rPr>
              <w:t>Ex post price ($/GJ)</w:t>
            </w:r>
          </w:p>
        </w:tc>
        <w:tc>
          <w:tcPr>
            <w:tcW w:w="597" w:type="pct"/>
            <w:tcBorders>
              <w:top w:val="nil"/>
              <w:bottom w:val="nil"/>
            </w:tcBorders>
            <w:vAlign w:val="center"/>
          </w:tcPr>
          <w:p w:rsidR="00A71E47" w:rsidRDefault="00A71E47">
            <w:pPr>
              <w:jc w:val="center"/>
              <w:rPr>
                <w:rFonts w:cs="Arial"/>
                <w:sz w:val="20"/>
                <w:szCs w:val="20"/>
              </w:rPr>
            </w:pPr>
            <w:r>
              <w:rPr>
                <w:rFonts w:cs="Arial"/>
                <w:sz w:val="20"/>
                <w:szCs w:val="20"/>
              </w:rPr>
              <w:t>3.85</w:t>
            </w:r>
          </w:p>
        </w:tc>
        <w:tc>
          <w:tcPr>
            <w:tcW w:w="523" w:type="pct"/>
            <w:tcBorders>
              <w:top w:val="nil"/>
              <w:bottom w:val="nil"/>
            </w:tcBorders>
            <w:vAlign w:val="center"/>
          </w:tcPr>
          <w:p w:rsidR="00A71E47" w:rsidRDefault="00A71E47">
            <w:pPr>
              <w:jc w:val="center"/>
              <w:rPr>
                <w:rFonts w:cs="Arial"/>
                <w:sz w:val="20"/>
                <w:szCs w:val="20"/>
              </w:rPr>
            </w:pPr>
            <w:r>
              <w:rPr>
                <w:rFonts w:cs="Arial"/>
                <w:sz w:val="20"/>
                <w:szCs w:val="20"/>
              </w:rPr>
              <w:t>5.50</w:t>
            </w:r>
          </w:p>
        </w:tc>
        <w:tc>
          <w:tcPr>
            <w:tcW w:w="606" w:type="pct"/>
            <w:tcBorders>
              <w:top w:val="nil"/>
              <w:bottom w:val="nil"/>
            </w:tcBorders>
            <w:vAlign w:val="center"/>
          </w:tcPr>
          <w:p w:rsidR="00A71E47" w:rsidRDefault="00A71E47">
            <w:pPr>
              <w:jc w:val="center"/>
              <w:rPr>
                <w:rFonts w:cs="Arial"/>
                <w:sz w:val="20"/>
                <w:szCs w:val="20"/>
              </w:rPr>
            </w:pPr>
            <w:r>
              <w:rPr>
                <w:rFonts w:cs="Arial"/>
                <w:sz w:val="20"/>
                <w:szCs w:val="20"/>
              </w:rPr>
              <w:t>3.60</w:t>
            </w:r>
          </w:p>
        </w:tc>
        <w:tc>
          <w:tcPr>
            <w:tcW w:w="532" w:type="pct"/>
            <w:tcBorders>
              <w:top w:val="nil"/>
              <w:bottom w:val="nil"/>
            </w:tcBorders>
            <w:vAlign w:val="center"/>
          </w:tcPr>
          <w:p w:rsidR="00A71E47" w:rsidRDefault="00A71E47">
            <w:pPr>
              <w:jc w:val="center"/>
              <w:rPr>
                <w:rFonts w:cs="Arial"/>
                <w:sz w:val="20"/>
                <w:szCs w:val="20"/>
              </w:rPr>
            </w:pPr>
            <w:r>
              <w:rPr>
                <w:rFonts w:cs="Arial"/>
                <w:sz w:val="20"/>
                <w:szCs w:val="20"/>
              </w:rPr>
              <w:t>4.16</w:t>
            </w:r>
          </w:p>
        </w:tc>
        <w:tc>
          <w:tcPr>
            <w:tcW w:w="525" w:type="pct"/>
            <w:tcBorders>
              <w:top w:val="nil"/>
              <w:bottom w:val="nil"/>
            </w:tcBorders>
            <w:vAlign w:val="center"/>
          </w:tcPr>
          <w:p w:rsidR="00A71E47" w:rsidRDefault="00A71E47">
            <w:pPr>
              <w:jc w:val="center"/>
              <w:rPr>
                <w:rFonts w:cs="Arial"/>
                <w:sz w:val="20"/>
                <w:szCs w:val="20"/>
              </w:rPr>
            </w:pPr>
            <w:r>
              <w:rPr>
                <w:rFonts w:cs="Arial"/>
                <w:sz w:val="20"/>
                <w:szCs w:val="20"/>
              </w:rPr>
              <w:t>5.47</w:t>
            </w:r>
          </w:p>
        </w:tc>
        <w:tc>
          <w:tcPr>
            <w:tcW w:w="522" w:type="pct"/>
            <w:tcBorders>
              <w:top w:val="nil"/>
              <w:bottom w:val="nil"/>
            </w:tcBorders>
            <w:vAlign w:val="center"/>
          </w:tcPr>
          <w:p w:rsidR="00A71E47" w:rsidRDefault="00A71E47">
            <w:pPr>
              <w:jc w:val="center"/>
              <w:rPr>
                <w:rFonts w:cs="Arial"/>
                <w:sz w:val="20"/>
                <w:szCs w:val="20"/>
              </w:rPr>
            </w:pPr>
            <w:r>
              <w:rPr>
                <w:rFonts w:cs="Arial"/>
                <w:sz w:val="20"/>
                <w:szCs w:val="20"/>
              </w:rPr>
              <w:t>3.60</w:t>
            </w:r>
          </w:p>
        </w:tc>
        <w:tc>
          <w:tcPr>
            <w:tcW w:w="595" w:type="pct"/>
            <w:tcBorders>
              <w:top w:val="nil"/>
              <w:bottom w:val="nil"/>
            </w:tcBorders>
            <w:vAlign w:val="center"/>
          </w:tcPr>
          <w:p w:rsidR="00A71E47" w:rsidRDefault="00A71E47">
            <w:pPr>
              <w:jc w:val="center"/>
              <w:rPr>
                <w:rFonts w:cs="Arial"/>
                <w:sz w:val="20"/>
                <w:szCs w:val="20"/>
              </w:rPr>
            </w:pPr>
            <w:r>
              <w:rPr>
                <w:rFonts w:cs="Arial"/>
                <w:sz w:val="20"/>
                <w:szCs w:val="20"/>
              </w:rPr>
              <w:t>3.11</w:t>
            </w:r>
          </w:p>
        </w:tc>
      </w:tr>
      <w:tr w:rsidR="00A71E47" w:rsidRPr="00405CDE" w:rsidTr="00ED3374">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single" w:sz="4" w:space="0" w:color="auto"/>
            </w:tcBorders>
            <w:vAlign w:val="center"/>
          </w:tcPr>
          <w:p w:rsidR="00A71E47" w:rsidRDefault="00A71E47">
            <w:pPr>
              <w:rPr>
                <w:rFonts w:cs="Arial"/>
                <w:sz w:val="20"/>
                <w:szCs w:val="20"/>
              </w:rPr>
            </w:pPr>
            <w:r>
              <w:rPr>
                <w:rFonts w:cs="Arial"/>
                <w:sz w:val="20"/>
                <w:szCs w:val="20"/>
              </w:rPr>
              <w:t>Ex post quantity (TJ)</w:t>
            </w:r>
          </w:p>
        </w:tc>
        <w:tc>
          <w:tcPr>
            <w:tcW w:w="597" w:type="pct"/>
            <w:tcBorders>
              <w:top w:val="nil"/>
              <w:bottom w:val="single" w:sz="4" w:space="0" w:color="auto"/>
            </w:tcBorders>
            <w:vAlign w:val="center"/>
          </w:tcPr>
          <w:p w:rsidR="00A71E47" w:rsidRDefault="00A71E47">
            <w:pPr>
              <w:jc w:val="center"/>
              <w:rPr>
                <w:rFonts w:cs="Arial"/>
                <w:sz w:val="20"/>
                <w:szCs w:val="20"/>
              </w:rPr>
            </w:pPr>
            <w:r>
              <w:rPr>
                <w:rFonts w:cs="Arial"/>
                <w:sz w:val="20"/>
                <w:szCs w:val="20"/>
              </w:rPr>
              <w:t>79</w:t>
            </w:r>
          </w:p>
        </w:tc>
        <w:tc>
          <w:tcPr>
            <w:tcW w:w="523" w:type="pct"/>
            <w:tcBorders>
              <w:top w:val="nil"/>
              <w:bottom w:val="single" w:sz="4" w:space="0" w:color="auto"/>
            </w:tcBorders>
            <w:vAlign w:val="center"/>
          </w:tcPr>
          <w:p w:rsidR="00A71E47" w:rsidRDefault="00A71E47">
            <w:pPr>
              <w:jc w:val="center"/>
              <w:rPr>
                <w:rFonts w:cs="Arial"/>
                <w:sz w:val="20"/>
                <w:szCs w:val="20"/>
              </w:rPr>
            </w:pPr>
            <w:r>
              <w:rPr>
                <w:rFonts w:cs="Arial"/>
                <w:sz w:val="20"/>
                <w:szCs w:val="20"/>
              </w:rPr>
              <w:t>90</w:t>
            </w:r>
          </w:p>
        </w:tc>
        <w:tc>
          <w:tcPr>
            <w:tcW w:w="606" w:type="pct"/>
            <w:tcBorders>
              <w:top w:val="nil"/>
              <w:bottom w:val="single" w:sz="4" w:space="0" w:color="auto"/>
            </w:tcBorders>
            <w:vAlign w:val="center"/>
          </w:tcPr>
          <w:p w:rsidR="00A71E47" w:rsidRDefault="00A71E47">
            <w:pPr>
              <w:jc w:val="center"/>
              <w:rPr>
                <w:rFonts w:cs="Arial"/>
                <w:sz w:val="20"/>
                <w:szCs w:val="20"/>
              </w:rPr>
            </w:pPr>
            <w:r>
              <w:rPr>
                <w:rFonts w:cs="Arial"/>
                <w:sz w:val="20"/>
                <w:szCs w:val="20"/>
              </w:rPr>
              <w:t>90</w:t>
            </w:r>
          </w:p>
        </w:tc>
        <w:tc>
          <w:tcPr>
            <w:tcW w:w="532" w:type="pct"/>
            <w:tcBorders>
              <w:top w:val="nil"/>
              <w:bottom w:val="single" w:sz="4" w:space="0" w:color="auto"/>
            </w:tcBorders>
            <w:vAlign w:val="center"/>
          </w:tcPr>
          <w:p w:rsidR="00A71E47" w:rsidRDefault="00A71E47">
            <w:pPr>
              <w:jc w:val="center"/>
              <w:rPr>
                <w:rFonts w:cs="Arial"/>
                <w:sz w:val="20"/>
                <w:szCs w:val="20"/>
              </w:rPr>
            </w:pPr>
            <w:r>
              <w:rPr>
                <w:rFonts w:cs="Arial"/>
                <w:sz w:val="20"/>
                <w:szCs w:val="20"/>
              </w:rPr>
              <w:t>91</w:t>
            </w:r>
          </w:p>
        </w:tc>
        <w:tc>
          <w:tcPr>
            <w:tcW w:w="525" w:type="pct"/>
            <w:tcBorders>
              <w:top w:val="nil"/>
              <w:bottom w:val="single" w:sz="4" w:space="0" w:color="auto"/>
            </w:tcBorders>
            <w:vAlign w:val="center"/>
          </w:tcPr>
          <w:p w:rsidR="00A71E47" w:rsidRDefault="00A71E47">
            <w:pPr>
              <w:jc w:val="center"/>
              <w:rPr>
                <w:rFonts w:cs="Arial"/>
                <w:sz w:val="20"/>
                <w:szCs w:val="20"/>
              </w:rPr>
            </w:pPr>
            <w:r>
              <w:rPr>
                <w:rFonts w:cs="Arial"/>
                <w:sz w:val="20"/>
                <w:szCs w:val="20"/>
              </w:rPr>
              <w:t>91</w:t>
            </w:r>
          </w:p>
        </w:tc>
        <w:tc>
          <w:tcPr>
            <w:tcW w:w="522" w:type="pct"/>
            <w:tcBorders>
              <w:top w:val="nil"/>
              <w:bottom w:val="single" w:sz="4" w:space="0" w:color="auto"/>
            </w:tcBorders>
            <w:vAlign w:val="center"/>
          </w:tcPr>
          <w:p w:rsidR="00A71E47" w:rsidRDefault="00A71E47">
            <w:pPr>
              <w:jc w:val="center"/>
              <w:rPr>
                <w:rFonts w:cs="Arial"/>
                <w:sz w:val="20"/>
                <w:szCs w:val="20"/>
              </w:rPr>
            </w:pPr>
            <w:r>
              <w:rPr>
                <w:rFonts w:cs="Arial"/>
                <w:sz w:val="20"/>
                <w:szCs w:val="20"/>
              </w:rPr>
              <w:t>84</w:t>
            </w:r>
          </w:p>
        </w:tc>
        <w:tc>
          <w:tcPr>
            <w:tcW w:w="595" w:type="pct"/>
            <w:tcBorders>
              <w:top w:val="nil"/>
              <w:bottom w:val="single" w:sz="4" w:space="0" w:color="auto"/>
            </w:tcBorders>
            <w:vAlign w:val="center"/>
          </w:tcPr>
          <w:p w:rsidR="00A71E47" w:rsidRDefault="00A71E47">
            <w:pPr>
              <w:jc w:val="center"/>
              <w:rPr>
                <w:rFonts w:cs="Arial"/>
                <w:sz w:val="20"/>
                <w:szCs w:val="20"/>
              </w:rPr>
            </w:pPr>
            <w:r>
              <w:rPr>
                <w:rFonts w:cs="Arial"/>
                <w:sz w:val="20"/>
                <w:szCs w:val="20"/>
              </w:rPr>
              <w:t>76</w:t>
            </w:r>
          </w:p>
        </w:tc>
      </w:tr>
    </w:tbl>
    <w:p w:rsidR="00BC18FB" w:rsidRPr="00DD0358" w:rsidRDefault="003625A6" w:rsidP="00FF0D8A">
      <w:pPr>
        <w:pStyle w:val="Heading4"/>
        <w:ind w:hanging="338"/>
        <w:rPr>
          <w:color w:val="2272A3"/>
          <w:sz w:val="24"/>
        </w:rPr>
      </w:pPr>
      <w:r w:rsidRPr="00DD0358">
        <w:rPr>
          <w:color w:val="2272A3"/>
          <w:sz w:val="24"/>
          <w:szCs w:val="24"/>
        </w:rPr>
        <w:t>BRI daily hub offers and daily hub bids in price bands ($/GJ)</w:t>
      </w:r>
    </w:p>
    <w:p w:rsidR="00362B9A" w:rsidRPr="00362B9A" w:rsidRDefault="00B56814" w:rsidP="00362B9A">
      <w:r>
        <w:pict>
          <v:shape id="_x0000_i1036" type="#_x0000_t75" alt="Figure 4.2 shows the daily hub offers and bid in within certain price bands in Brisbane this week. The line indicates the scheduled quantity for each day. For a more detailed description of this figure, please refer to the user guide." style="width:475.5pt;height:171pt;mso-position-vertical:absolute">
            <v:imagedata r:id="rId25" o:title=""/>
          </v:shape>
        </w:pict>
      </w:r>
    </w:p>
    <w:p w:rsidR="00BC18FB" w:rsidRPr="00DD0358" w:rsidRDefault="003625A6" w:rsidP="00FF0D8A">
      <w:pPr>
        <w:pStyle w:val="Heading4"/>
        <w:ind w:hanging="338"/>
        <w:rPr>
          <w:color w:val="2272A3"/>
          <w:sz w:val="24"/>
        </w:rPr>
      </w:pPr>
      <w:r w:rsidRPr="00DD0358">
        <w:rPr>
          <w:color w:val="2272A3"/>
          <w:sz w:val="24"/>
          <w:szCs w:val="24"/>
        </w:rPr>
        <w:t>BRI net scheduled and allocated gas hub supply (excluding MOS)</w:t>
      </w:r>
    </w:p>
    <w:p w:rsidR="00362B9A" w:rsidRPr="00362B9A" w:rsidRDefault="00B56814" w:rsidP="00362B9A">
      <w:r>
        <w:pict>
          <v:shape id="_x0000_i1037" type="#_x0000_t75" alt="Figure 4.3 shows the daily scheduled and allocated quantities sorted by facility for Brisbane this week. For a more detailed description of this figure, please refer to the user guide." style="width:478.5pt;height:99pt">
            <v:imagedata r:id="rId26" o:title=""/>
          </v:shape>
        </w:pict>
      </w:r>
    </w:p>
    <w:p w:rsidR="00BC18FB" w:rsidRPr="00DD0358" w:rsidRDefault="004560B0" w:rsidP="004560B0">
      <w:pPr>
        <w:pStyle w:val="Heading4"/>
        <w:ind w:hanging="338"/>
        <w:rPr>
          <w:color w:val="2272A3"/>
          <w:sz w:val="24"/>
          <w:szCs w:val="24"/>
        </w:rPr>
      </w:pPr>
      <w:r w:rsidRPr="00DD0358">
        <w:rPr>
          <w:color w:val="2272A3"/>
          <w:sz w:val="24"/>
          <w:szCs w:val="24"/>
        </w:rPr>
        <w:t>BRI MOS allocations (TJ), service payments and commodity payments/charges ($000)</w:t>
      </w:r>
    </w:p>
    <w:p w:rsidR="004560B0" w:rsidRPr="00362B9A" w:rsidRDefault="00B56814" w:rsidP="00362B9A">
      <w:r>
        <w:pict>
          <v:shape id="_x0000_i1038" type="#_x0000_t75" alt="Figure 4.4 shows the daily MOS allocations sorted by facility for each facility in Brisbane this week. The figure also shows the daily breakdown of costs associated with the MOS provided. For a more detailed description of this figure, please refer to the user guide." style="width:475.5pt;height:156pt">
            <v:imagedata r:id="rId27" o:title=""/>
          </v:shape>
        </w:pict>
      </w:r>
    </w:p>
    <w:p w:rsidR="00BC18FB" w:rsidRDefault="007059A9" w:rsidP="00BC18FB">
      <w:pPr>
        <w:pStyle w:val="Heading3"/>
        <w:ind w:firstLine="0"/>
        <w:rPr>
          <w:color w:val="2272A3"/>
          <w:sz w:val="32"/>
          <w:szCs w:val="32"/>
        </w:rPr>
      </w:pPr>
      <w:r>
        <w:rPr>
          <w:color w:val="2272A3"/>
          <w:sz w:val="32"/>
          <w:szCs w:val="32"/>
        </w:rPr>
        <w:br w:type="page"/>
      </w:r>
      <w:r w:rsidR="00362B9A">
        <w:rPr>
          <w:color w:val="2272A3"/>
          <w:sz w:val="32"/>
          <w:szCs w:val="32"/>
        </w:rPr>
        <w:lastRenderedPageBreak/>
        <w:t>National Gas Bulletin Board</w:t>
      </w:r>
    </w:p>
    <w:p w:rsidR="00362B9A" w:rsidRPr="00362B9A" w:rsidRDefault="004560B0" w:rsidP="00345444">
      <w:pPr>
        <w:jc w:val="both"/>
      </w:pPr>
      <w:r w:rsidRPr="00A475A2">
        <w:t xml:space="preserve">Figure </w:t>
      </w:r>
      <w:r>
        <w:t>5</w:t>
      </w:r>
      <w:r w:rsidRPr="00A475A2">
        <w:t xml:space="preserve">.1 shows average daily </w:t>
      </w:r>
      <w:r>
        <w:t xml:space="preserve">actual </w:t>
      </w:r>
      <w:r w:rsidRPr="00A475A2">
        <w:t>flows for the current week</w:t>
      </w:r>
      <w:r>
        <w:rPr>
          <w:rStyle w:val="FootnoteReference"/>
        </w:rPr>
        <w:footnoteReference w:id="15"/>
      </w:r>
      <w:r>
        <w:t xml:space="preserve"> from </w:t>
      </w:r>
      <w:r w:rsidRPr="00A475A2">
        <w:t xml:space="preserve">the Bulletin Board (changes from the </w:t>
      </w:r>
      <w:r>
        <w:t>previous week’s</w:t>
      </w:r>
      <w:r w:rsidRPr="00A475A2">
        <w:t xml:space="preserve"> average are shown in brackets).</w:t>
      </w:r>
      <w:r w:rsidRPr="00DF25FF">
        <w:t xml:space="preserve"> </w:t>
      </w:r>
      <w:r w:rsidR="004E20BF">
        <w:t>A</w:t>
      </w:r>
      <w:r>
        <w:t>verage daily scheduled volumes and prices</w:t>
      </w:r>
      <w:r>
        <w:rPr>
          <w:rStyle w:val="FootnoteReference"/>
        </w:rPr>
        <w:footnoteReference w:id="16"/>
      </w:r>
      <w:r>
        <w:t xml:space="preserve"> </w:t>
      </w:r>
      <w:r w:rsidR="004E20BF">
        <w:t xml:space="preserve">are provided </w:t>
      </w:r>
      <w:r w:rsidR="00A270DD">
        <w:t xml:space="preserve">for </w:t>
      </w:r>
      <w:r w:rsidR="004E20BF">
        <w:t>gas markets and gas powered generation for each region.</w:t>
      </w:r>
    </w:p>
    <w:p w:rsidR="00BC18FB" w:rsidRPr="00DD0358" w:rsidRDefault="004560B0" w:rsidP="00FF0D8A">
      <w:pPr>
        <w:pStyle w:val="Heading4"/>
        <w:ind w:hanging="338"/>
        <w:rPr>
          <w:color w:val="2272A3"/>
          <w:sz w:val="24"/>
          <w:szCs w:val="24"/>
        </w:rPr>
      </w:pPr>
      <w:r w:rsidRPr="00DD0358">
        <w:rPr>
          <w:color w:val="2272A3"/>
          <w:sz w:val="24"/>
          <w:szCs w:val="24"/>
        </w:rPr>
        <w:t>Gas market data ($/GJ, TJ</w:t>
      </w:r>
      <w:r w:rsidR="00C3163F" w:rsidRPr="00DD0358">
        <w:rPr>
          <w:color w:val="2272A3"/>
          <w:sz w:val="24"/>
          <w:szCs w:val="24"/>
        </w:rPr>
        <w:t>/day</w:t>
      </w:r>
      <w:r w:rsidRPr="00DD0358">
        <w:rPr>
          <w:color w:val="2272A3"/>
          <w:sz w:val="24"/>
          <w:szCs w:val="24"/>
        </w:rPr>
        <w:t>); Production, Consumption and Pipeline flows (TJ)</w:t>
      </w:r>
    </w:p>
    <w:p w:rsidR="00362B9A" w:rsidRPr="00362B9A" w:rsidRDefault="00B56814" w:rsidP="00FB3934">
      <w:r>
        <w:rPr>
          <w:noProof/>
        </w:rPr>
        <w:pict>
          <v:shape id="_x0000_i1039" type="#_x0000_t75" alt="Figure 5.1 shows the average daily Bulletin Board flows for this week compared to the previous week. It includes price and demand data for gas markets across the east coast of Australia and gas powered generation usage estimates for each state. For a more detailed description of this figure, please refer to the user guide.&#10;" style="width:378.75pt;height:548.25pt;mso-position-vertical:absolute">
            <v:imagedata r:id="rId28" o:title=""/>
          </v:shape>
        </w:pict>
      </w:r>
    </w:p>
    <w:p w:rsidR="00BC18FB" w:rsidRDefault="007059A9" w:rsidP="00BC18FB">
      <w:pPr>
        <w:pStyle w:val="Heading3"/>
        <w:ind w:firstLine="0"/>
        <w:rPr>
          <w:color w:val="2272A3"/>
          <w:sz w:val="32"/>
          <w:szCs w:val="32"/>
        </w:rPr>
      </w:pPr>
      <w:r>
        <w:rPr>
          <w:color w:val="2272A3"/>
          <w:sz w:val="32"/>
          <w:szCs w:val="32"/>
        </w:rPr>
        <w:br w:type="page"/>
      </w:r>
      <w:r w:rsidR="00BC18FB" w:rsidRPr="00004A63">
        <w:rPr>
          <w:color w:val="2272A3"/>
          <w:sz w:val="32"/>
          <w:szCs w:val="32"/>
        </w:rPr>
        <w:lastRenderedPageBreak/>
        <w:t>G</w:t>
      </w:r>
      <w:r w:rsidR="004560B0">
        <w:rPr>
          <w:color w:val="2272A3"/>
          <w:sz w:val="32"/>
          <w:szCs w:val="32"/>
        </w:rPr>
        <w:t xml:space="preserve">as </w:t>
      </w:r>
      <w:r w:rsidR="00BC18FB" w:rsidRPr="00004A63">
        <w:rPr>
          <w:color w:val="2272A3"/>
          <w:sz w:val="32"/>
          <w:szCs w:val="32"/>
        </w:rPr>
        <w:t>S</w:t>
      </w:r>
      <w:r w:rsidR="004560B0">
        <w:rPr>
          <w:color w:val="2272A3"/>
          <w:sz w:val="32"/>
          <w:szCs w:val="32"/>
        </w:rPr>
        <w:t xml:space="preserve">upply </w:t>
      </w:r>
      <w:r w:rsidR="00BC18FB" w:rsidRPr="00004A63">
        <w:rPr>
          <w:color w:val="2272A3"/>
          <w:sz w:val="32"/>
          <w:szCs w:val="32"/>
        </w:rPr>
        <w:t>H</w:t>
      </w:r>
      <w:r w:rsidR="004560B0">
        <w:rPr>
          <w:color w:val="2272A3"/>
          <w:sz w:val="32"/>
          <w:szCs w:val="32"/>
        </w:rPr>
        <w:t>ub</w:t>
      </w:r>
    </w:p>
    <w:p w:rsidR="00E37A86" w:rsidRDefault="00E37A86" w:rsidP="00345444">
      <w:pPr>
        <w:jc w:val="both"/>
      </w:pPr>
      <w:r>
        <w:t xml:space="preserve">The Gas Supply Hub </w:t>
      </w:r>
      <w:r>
        <w:rPr>
          <w:b/>
          <w:bCs/>
        </w:rPr>
        <w:t>(GSH)</w:t>
      </w:r>
      <w:r>
        <w:t xml:space="preserve"> was established for the trading of gas at Wallumbilla because it is located in close proximity to significant gas supply sources and demand locations and is a major transit point between Queensland and the gas markets on Australia’s east coast. The GSH is a voluntary market</w:t>
      </w:r>
      <w:r>
        <w:rPr>
          <w:rStyle w:val="FootnoteReference"/>
        </w:rPr>
        <w:footnoteReference w:id="17"/>
      </w:r>
      <w:r>
        <w:t xml:space="preserve"> for the supply of gas traded between separate participants, with products listed for sale and purchase at delivery points on three major connecting </w:t>
      </w:r>
      <w:r w:rsidRPr="005A6687">
        <w:t xml:space="preserve">pipelines at Wallumbilla – the Queensland Gas Pipeline </w:t>
      </w:r>
      <w:r w:rsidRPr="00586C57">
        <w:rPr>
          <w:b/>
        </w:rPr>
        <w:t>(QGP)</w:t>
      </w:r>
      <w:r w:rsidRPr="005A6687">
        <w:t xml:space="preserve">, the South West Queensland Pipeline </w:t>
      </w:r>
      <w:r w:rsidRPr="00586C57">
        <w:rPr>
          <w:b/>
        </w:rPr>
        <w:t>(SWQP)</w:t>
      </w:r>
      <w:r w:rsidRPr="005A6687">
        <w:t xml:space="preserve"> and the Roma to Brisbane Pipeline </w:t>
      </w:r>
      <w:r w:rsidRPr="00586C57">
        <w:rPr>
          <w:b/>
        </w:rPr>
        <w:t>(RBP)</w:t>
      </w:r>
      <w:r w:rsidRPr="005A6687">
        <w:t>. There are separate products for each p</w:t>
      </w:r>
      <w:r>
        <w:t>ipeline (each pipeline is considered a trading location, and each has a number of delivery points) and delivery period (daily, day-ahead, balance-of-day and weekly).</w:t>
      </w:r>
    </w:p>
    <w:p w:rsidR="008C268E" w:rsidRPr="00F934D3" w:rsidRDefault="00F934D3" w:rsidP="00345444">
      <w:pPr>
        <w:jc w:val="both"/>
        <w:rPr>
          <w:rFonts w:eastAsia="MS Mincho"/>
        </w:rPr>
      </w:pPr>
      <w:r w:rsidRPr="00F934D3">
        <w:rPr>
          <w:rFonts w:eastAsia="MS Mincho"/>
        </w:rPr>
        <w:t xml:space="preserve">There were 35 trades for 374 TJ of gas this week at a volume weighted price of $3.83/GJ. </w:t>
      </w:r>
      <w:r w:rsidR="00847BA4" w:rsidRPr="00F934D3">
        <w:rPr>
          <w:rFonts w:eastAsia="MS Mincho"/>
        </w:rPr>
        <w:t>While there was one weekly trade on the RBP this week, the majority of the gas traded was through daily, day-ahead and balance-of-day products on the SWQP</w:t>
      </w:r>
      <w:r w:rsidRPr="00F934D3">
        <w:rPr>
          <w:rFonts w:eastAsia="MS Mincho"/>
        </w:rPr>
        <w:t xml:space="preserve"> at a volume weighted price of $3.79/GJ</w:t>
      </w:r>
      <w:r>
        <w:rPr>
          <w:rFonts w:eastAsia="MS Mincho"/>
        </w:rPr>
        <w:t xml:space="preserve"> (281 TJ traded)</w:t>
      </w:r>
      <w:r w:rsidR="00847BA4" w:rsidRPr="00F934D3">
        <w:rPr>
          <w:rFonts w:eastAsia="MS Mincho"/>
        </w:rPr>
        <w:t>.</w:t>
      </w:r>
      <w:r w:rsidRPr="00F934D3">
        <w:rPr>
          <w:rFonts w:eastAsia="MS Mincho"/>
        </w:rPr>
        <w:t xml:space="preserve"> The volume weighted price for the RBP was $3.97/GJ</w:t>
      </w:r>
      <w:r>
        <w:rPr>
          <w:rFonts w:eastAsia="MS Mincho"/>
        </w:rPr>
        <w:t xml:space="preserve"> (93 TJ traded)</w:t>
      </w:r>
      <w:r w:rsidRPr="00F934D3">
        <w:rPr>
          <w:rFonts w:eastAsia="MS Mincho"/>
        </w:rPr>
        <w:t>.</w:t>
      </w:r>
    </w:p>
    <w:p w:rsidR="00E37A86" w:rsidRPr="00E37A86" w:rsidRDefault="00E37A86" w:rsidP="00345444">
      <w:pPr>
        <w:rPr>
          <w:rFonts w:cs="Arial"/>
          <w:szCs w:val="22"/>
        </w:rPr>
      </w:pPr>
      <w:r w:rsidRPr="00E37A86">
        <w:rPr>
          <w:rFonts w:cs="Arial"/>
          <w:szCs w:val="22"/>
        </w:rPr>
        <w:t>Figure 6.1 shows volumes traded</w:t>
      </w:r>
      <w:r w:rsidRPr="00E37A86">
        <w:rPr>
          <w:rStyle w:val="FootnoteReference"/>
          <w:rFonts w:cs="Arial"/>
          <w:szCs w:val="22"/>
        </w:rPr>
        <w:footnoteReference w:id="18"/>
      </w:r>
      <w:r w:rsidRPr="00E37A86">
        <w:rPr>
          <w:rFonts w:cs="Arial"/>
          <w:szCs w:val="22"/>
        </w:rPr>
        <w:t xml:space="preserve"> on each gas day and trading day </w:t>
      </w:r>
      <w:r>
        <w:rPr>
          <w:rFonts w:cs="Arial"/>
          <w:szCs w:val="22"/>
        </w:rPr>
        <w:t>for the current week</w:t>
      </w:r>
      <w:r w:rsidRPr="00E37A86">
        <w:rPr>
          <w:rFonts w:cs="Arial"/>
          <w:szCs w:val="22"/>
        </w:rPr>
        <w:t>.</w:t>
      </w:r>
    </w:p>
    <w:p w:rsidR="00BC18FB" w:rsidRPr="00DD0358" w:rsidRDefault="00E37A86" w:rsidP="00FF0D8A">
      <w:pPr>
        <w:pStyle w:val="Heading4"/>
        <w:ind w:hanging="338"/>
        <w:rPr>
          <w:color w:val="2272A3"/>
          <w:sz w:val="24"/>
        </w:rPr>
      </w:pPr>
      <w:r w:rsidRPr="00DD0358">
        <w:rPr>
          <w:color w:val="2272A3"/>
          <w:sz w:val="24"/>
        </w:rPr>
        <w:t>Volume Traded (by Gas Day and by Trading Day)</w:t>
      </w:r>
    </w:p>
    <w:bookmarkEnd w:id="0"/>
    <w:bookmarkEnd w:id="1"/>
    <w:p w:rsidR="009E74E3" w:rsidRPr="006520EE" w:rsidRDefault="00B56814" w:rsidP="00E37A86">
      <w:r>
        <w:rPr>
          <w:rFonts w:eastAsia="MS Mincho"/>
        </w:rPr>
        <w:pict>
          <v:shape id="_x0000_i1040" type="#_x0000_t75" alt="Figure 6.1 shows the daily volume of gas traded on each pipeline in the Wallumbilla Gas Supply Hub. The quantities displayed are shown for both the day the gas is traded over the current week and the gas day on which gas has been shipped." style="width:475.5pt;height:201.75pt">
            <v:imagedata r:id="rId29" o:title=""/>
          </v:shape>
        </w:pict>
      </w:r>
      <w:r w:rsidR="00E37A86" w:rsidRPr="006520EE">
        <w:t xml:space="preserve"> </w:t>
      </w:r>
    </w:p>
    <w:sectPr w:rsidR="009E74E3" w:rsidRPr="006520EE" w:rsidSect="00D635F1">
      <w:footerReference w:type="default" r:id="rId30"/>
      <w:footerReference w:type="first" r:id="rId31"/>
      <w:pgSz w:w="11907" w:h="16840" w:code="9"/>
      <w:pgMar w:top="539"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3374" w:rsidRDefault="00ED3374">
      <w:r>
        <w:separator/>
      </w:r>
    </w:p>
  </w:endnote>
  <w:endnote w:type="continuationSeparator" w:id="0">
    <w:p w:rsidR="00ED3374" w:rsidRDefault="00ED33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Bold">
    <w:panose1 w:val="020B07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374" w:rsidRDefault="00ED3374" w:rsidP="00D22793">
    <w:pPr>
      <w:pBdr>
        <w:top w:val="single" w:sz="4" w:space="0" w:color="auto"/>
      </w:pBdr>
      <w:ind w:left="-284" w:right="-329" w:firstLine="284"/>
      <w:jc w:val="center"/>
      <w:rPr>
        <w:i/>
        <w:sz w:val="16"/>
        <w:szCs w:val="16"/>
      </w:rPr>
    </w:pPr>
    <w:r>
      <w:rPr>
        <w:i/>
        <w:sz w:val="20"/>
      </w:rPr>
      <w:t>© Commonwealth of Australia.</w:t>
    </w:r>
  </w:p>
  <w:p w:rsidR="00ED3374" w:rsidRDefault="00ED3374" w:rsidP="005A77AC">
    <w:pPr>
      <w:jc w:val="center"/>
    </w:pPr>
    <w:r>
      <w:fldChar w:fldCharType="begin"/>
    </w:r>
    <w:r>
      <w:instrText xml:space="preserve"> PAGE  \* MERGEFORMAT </w:instrText>
    </w:r>
    <w:r>
      <w:fldChar w:fldCharType="separate"/>
    </w:r>
    <w:r w:rsidR="00C25FEB">
      <w:rPr>
        <w:noProof/>
      </w:rPr>
      <w:t>12</w:t>
    </w:r>
    <w:r>
      <w:fldChar w:fldCharType="end"/>
    </w:r>
  </w:p>
  <w:p w:rsidR="00ED3374" w:rsidRDefault="00ED3374" w:rsidP="0035758F">
    <w:pPr>
      <w:pStyle w:val="Footer"/>
      <w:pBdr>
        <w:top w:val="none" w:sz="0" w:space="0" w:color="auto"/>
      </w:pBd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374" w:rsidRDefault="00ED3374" w:rsidP="00491029">
    <w:pPr>
      <w:pBdr>
        <w:top w:val="single" w:sz="4" w:space="0" w:color="auto"/>
      </w:pBdr>
      <w:ind w:left="-284" w:right="-329" w:firstLine="284"/>
      <w:jc w:val="center"/>
      <w:rPr>
        <w:i/>
        <w:sz w:val="20"/>
      </w:rPr>
    </w:pPr>
    <w:r>
      <w:rPr>
        <w:i/>
        <w:sz w:val="20"/>
      </w:rPr>
      <w:t>© Commonwealth of Australia.</w:t>
    </w:r>
  </w:p>
  <w:p w:rsidR="00ED3374" w:rsidRPr="002D773A" w:rsidRDefault="00ED3374" w:rsidP="00491029">
    <w:pPr>
      <w:jc w:val="center"/>
    </w:pPr>
    <w:r>
      <w:fldChar w:fldCharType="begin"/>
    </w:r>
    <w:r>
      <w:instrText xml:space="preserve"> PAGE  \* MERGEFORMAT </w:instrText>
    </w:r>
    <w:r>
      <w:fldChar w:fldCharType="separate"/>
    </w:r>
    <w:r w:rsidR="00C25FEB">
      <w:rPr>
        <w:noProof/>
      </w:rPr>
      <w:t>1</w:t>
    </w:r>
    <w:r>
      <w:fldChar w:fldCharType="end"/>
    </w:r>
  </w:p>
  <w:p w:rsidR="00ED3374" w:rsidRDefault="00ED3374" w:rsidP="00491029">
    <w:pPr>
      <w:pStyle w:val="Footer"/>
      <w:jc w:val="right"/>
    </w:pPr>
    <w:r w:rsidRPr="00F52F00">
      <w:rPr>
        <w:rFonts w:cs="Arial"/>
        <w:i/>
      </w:rPr>
      <w:t>AER reference: 392</w:t>
    </w:r>
    <w:r>
      <w:rPr>
        <w:rFonts w:cs="Arial"/>
        <w:i/>
      </w:rPr>
      <w:t>7</w:t>
    </w:r>
    <w:r w:rsidRPr="00F52F00">
      <w:rPr>
        <w:rFonts w:cs="Arial"/>
        <w:i/>
      </w:rPr>
      <w:t xml:space="preserve">0 – </w:t>
    </w:r>
    <w:r>
      <w:rPr>
        <w:rFonts w:cs="Arial"/>
        <w:i/>
      </w:rPr>
      <w:t>D16/1764</w:t>
    </w:r>
  </w:p>
  <w:p w:rsidR="00ED3374" w:rsidRDefault="00ED33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3374" w:rsidRDefault="00ED3374">
      <w:r>
        <w:separator/>
      </w:r>
    </w:p>
  </w:footnote>
  <w:footnote w:type="continuationSeparator" w:id="0">
    <w:p w:rsidR="00ED3374" w:rsidRDefault="00ED3374">
      <w:r>
        <w:continuationSeparator/>
      </w:r>
    </w:p>
  </w:footnote>
  <w:footnote w:id="1">
    <w:p w:rsidR="00ED3374" w:rsidRPr="001656C3" w:rsidRDefault="00ED3374" w:rsidP="00642B9F">
      <w:pPr>
        <w:pStyle w:val="FootnoteText"/>
        <w:rPr>
          <w:sz w:val="18"/>
        </w:rPr>
      </w:pPr>
      <w:r>
        <w:rPr>
          <w:rStyle w:val="FootnoteReference"/>
        </w:rPr>
        <w:footnoteRef/>
      </w:r>
      <w:r>
        <w:t xml:space="preserve"> </w:t>
      </w:r>
      <w:r>
        <w:tab/>
      </w:r>
      <w:r w:rsidR="00191758">
        <w:rPr>
          <w:sz w:val="18"/>
        </w:rPr>
        <w:t>Bellevue is a gas plant that supplies</w:t>
      </w:r>
      <w:r w:rsidRPr="001656C3">
        <w:rPr>
          <w:sz w:val="18"/>
        </w:rPr>
        <w:t xml:space="preserve"> Queensland Curtis’ LNG’s export project in Queensland</w:t>
      </w:r>
      <w:r w:rsidR="00191758">
        <w:rPr>
          <w:sz w:val="18"/>
        </w:rPr>
        <w:t>.</w:t>
      </w:r>
    </w:p>
  </w:footnote>
  <w:footnote w:id="2">
    <w:p w:rsidR="00ED3374" w:rsidRPr="001656C3" w:rsidRDefault="00ED3374" w:rsidP="003216CA">
      <w:pPr>
        <w:pStyle w:val="FootnoteText"/>
        <w:rPr>
          <w:sz w:val="18"/>
        </w:rPr>
      </w:pPr>
      <w:r w:rsidRPr="001656C3">
        <w:rPr>
          <w:rStyle w:val="FootnoteReference"/>
          <w:sz w:val="18"/>
        </w:rPr>
        <w:footnoteRef/>
      </w:r>
      <w:r w:rsidRPr="001656C3">
        <w:rPr>
          <w:sz w:val="18"/>
        </w:rPr>
        <w:t xml:space="preserve"> </w:t>
      </w:r>
      <w:r w:rsidRPr="001656C3">
        <w:rPr>
          <w:sz w:val="18"/>
        </w:rPr>
        <w:tab/>
        <w:t>Average daily production from Bellevue was around 186 TJ over the week, while daily export flows on the Wallumbilla to Gladstone Pipeline (used by QCLNG) ro</w:t>
      </w:r>
      <w:r w:rsidR="00B56814">
        <w:rPr>
          <w:sz w:val="18"/>
        </w:rPr>
        <w:t>ughly doubled to around 1500 TJ – over four times the size of Victoria’s average beginning of day demand forecast for the week of 371 TJ.</w:t>
      </w:r>
    </w:p>
  </w:footnote>
  <w:footnote w:id="3">
    <w:p w:rsidR="00ED3374" w:rsidRDefault="00ED3374">
      <w:pPr>
        <w:pStyle w:val="FootnoteText"/>
      </w:pPr>
      <w:r w:rsidRPr="001656C3">
        <w:rPr>
          <w:rStyle w:val="FootnoteReference"/>
          <w:sz w:val="18"/>
        </w:rPr>
        <w:footnoteRef/>
      </w:r>
      <w:r w:rsidRPr="001656C3">
        <w:rPr>
          <w:sz w:val="18"/>
        </w:rPr>
        <w:t xml:space="preserve"> </w:t>
      </w:r>
      <w:r w:rsidRPr="001656C3">
        <w:rPr>
          <w:sz w:val="18"/>
        </w:rPr>
        <w:tab/>
        <w:t>The Moomba to Sydney Pipeline also saw its first negative flows reported for the Moomba zone around the same time. Flows on the QSN Link reversed direction, and transported gas towards Queensland during the week.</w:t>
      </w:r>
    </w:p>
  </w:footnote>
  <w:footnote w:id="4">
    <w:p w:rsidR="00ED3374" w:rsidRPr="00014986" w:rsidRDefault="00ED3374" w:rsidP="004560B0">
      <w:pPr>
        <w:pStyle w:val="FootnoteText"/>
        <w:spacing w:before="0" w:after="0"/>
        <w:jc w:val="both"/>
        <w:rPr>
          <w:sz w:val="18"/>
        </w:rPr>
      </w:pPr>
      <w:r>
        <w:rPr>
          <w:rStyle w:val="FootnoteReference"/>
        </w:rPr>
        <w:footnoteRef/>
      </w:r>
      <w:r>
        <w:t xml:space="preserve"> </w:t>
      </w:r>
      <w:r>
        <w:tab/>
      </w:r>
      <w:r w:rsidRPr="00014986">
        <w:rPr>
          <w:sz w:val="18"/>
        </w:rPr>
        <w:t>The weighted average daily imbalance price applies for Victoria.</w:t>
      </w:r>
    </w:p>
  </w:footnote>
  <w:footnote w:id="5">
    <w:p w:rsidR="00ED3374" w:rsidRPr="009A1BBA" w:rsidRDefault="00ED3374" w:rsidP="00C12B36">
      <w:pPr>
        <w:pStyle w:val="FootnoteText"/>
        <w:jc w:val="both"/>
        <w:rPr>
          <w:sz w:val="18"/>
          <w:szCs w:val="18"/>
        </w:rPr>
      </w:pPr>
      <w:r>
        <w:rPr>
          <w:rStyle w:val="FootnoteReference"/>
        </w:rPr>
        <w:footnoteRef/>
      </w:r>
      <w:r>
        <w:t xml:space="preserve"> </w:t>
      </w:r>
      <w:r>
        <w:tab/>
        <w:t>P</w:t>
      </w:r>
      <w:r w:rsidRPr="009A1BBA">
        <w:rPr>
          <w:sz w:val="18"/>
          <w:szCs w:val="18"/>
        </w:rPr>
        <w:t xml:space="preserve">rices in Adelaide increased significantly </w:t>
      </w:r>
      <w:r>
        <w:rPr>
          <w:sz w:val="18"/>
          <w:szCs w:val="18"/>
        </w:rPr>
        <w:t>beyond</w:t>
      </w:r>
      <w:r w:rsidRPr="009A1BBA">
        <w:rPr>
          <w:sz w:val="18"/>
          <w:szCs w:val="18"/>
        </w:rPr>
        <w:t xml:space="preserve"> </w:t>
      </w:r>
      <w:r w:rsidR="007D7254">
        <w:rPr>
          <w:sz w:val="18"/>
          <w:szCs w:val="18"/>
        </w:rPr>
        <w:t>the</w:t>
      </w:r>
      <w:r w:rsidRPr="009A1BBA">
        <w:rPr>
          <w:sz w:val="18"/>
          <w:szCs w:val="18"/>
        </w:rPr>
        <w:t xml:space="preserve"> provisional schedules</w:t>
      </w:r>
      <w:r w:rsidR="007D7254">
        <w:rPr>
          <w:sz w:val="18"/>
          <w:szCs w:val="18"/>
        </w:rPr>
        <w:t>’ forecasts</w:t>
      </w:r>
      <w:r w:rsidRPr="009A1BBA">
        <w:rPr>
          <w:sz w:val="18"/>
          <w:szCs w:val="18"/>
        </w:rPr>
        <w:t xml:space="preserve">. This was influenced by the rebidding of supply offers into higher prices on both </w:t>
      </w:r>
      <w:r>
        <w:rPr>
          <w:sz w:val="18"/>
          <w:szCs w:val="18"/>
        </w:rPr>
        <w:t xml:space="preserve">the </w:t>
      </w:r>
      <w:r w:rsidR="007D7254">
        <w:rPr>
          <w:sz w:val="18"/>
          <w:szCs w:val="18"/>
        </w:rPr>
        <w:t>Moomba to Adelaide pipeline</w:t>
      </w:r>
      <w:r>
        <w:rPr>
          <w:sz w:val="18"/>
          <w:szCs w:val="18"/>
        </w:rPr>
        <w:t xml:space="preserve"> and the SEAGas pipeline. The </w:t>
      </w:r>
      <w:r w:rsidRPr="009A1BBA">
        <w:rPr>
          <w:sz w:val="18"/>
          <w:szCs w:val="18"/>
        </w:rPr>
        <w:t xml:space="preserve">most significant </w:t>
      </w:r>
      <w:r>
        <w:rPr>
          <w:sz w:val="18"/>
          <w:szCs w:val="18"/>
        </w:rPr>
        <w:t>impact came</w:t>
      </w:r>
      <w:r w:rsidRPr="009A1BBA">
        <w:rPr>
          <w:sz w:val="18"/>
          <w:szCs w:val="18"/>
        </w:rPr>
        <w:t xml:space="preserve"> from the higher priced SEAGas supply</w:t>
      </w:r>
      <w:r>
        <w:rPr>
          <w:sz w:val="18"/>
          <w:szCs w:val="18"/>
        </w:rPr>
        <w:t xml:space="preserve">, which </w:t>
      </w:r>
      <w:r w:rsidR="007D7254">
        <w:rPr>
          <w:sz w:val="18"/>
          <w:szCs w:val="18"/>
        </w:rPr>
        <w:t>was influenced by the</w:t>
      </w:r>
      <w:r w:rsidRPr="009A1BBA">
        <w:rPr>
          <w:sz w:val="18"/>
          <w:szCs w:val="18"/>
        </w:rPr>
        <w:t xml:space="preserve"> higher price of gas coming out of Victoria.</w:t>
      </w:r>
    </w:p>
  </w:footnote>
  <w:footnote w:id="6">
    <w:p w:rsidR="00ED3374" w:rsidRPr="009A1BBA" w:rsidRDefault="00ED3374" w:rsidP="00C12B36">
      <w:pPr>
        <w:pStyle w:val="FootnoteText"/>
        <w:jc w:val="both"/>
        <w:rPr>
          <w:sz w:val="18"/>
          <w:szCs w:val="18"/>
        </w:rPr>
      </w:pPr>
      <w:r>
        <w:rPr>
          <w:rStyle w:val="FootnoteReference"/>
        </w:rPr>
        <w:footnoteRef/>
      </w:r>
      <w:r>
        <w:t xml:space="preserve"> </w:t>
      </w:r>
      <w:r>
        <w:tab/>
      </w:r>
      <w:r w:rsidRPr="009A1BBA">
        <w:rPr>
          <w:sz w:val="18"/>
          <w:szCs w:val="18"/>
        </w:rPr>
        <w:t>Outlet pressure at the Dandenong City Gate was lowered to 2600 </w:t>
      </w:r>
      <w:proofErr w:type="spellStart"/>
      <w:r w:rsidRPr="009A1BBA">
        <w:rPr>
          <w:sz w:val="18"/>
          <w:szCs w:val="18"/>
        </w:rPr>
        <w:t>kPa</w:t>
      </w:r>
      <w:proofErr w:type="spellEnd"/>
      <w:r w:rsidRPr="009A1BBA">
        <w:rPr>
          <w:sz w:val="18"/>
          <w:szCs w:val="18"/>
        </w:rPr>
        <w:t xml:space="preserve"> to increase supply capacity on the South West Pipeline. This allows for additional supply into Melbourne from production facilities in the Otway region (including output from Iona). Longford’s maximum output over the period reduced from around 440 TJ/d to being constrained as low as 109 TJ/d on 19 December.</w:t>
      </w:r>
    </w:p>
  </w:footnote>
  <w:footnote w:id="7">
    <w:p w:rsidR="00ED3374" w:rsidRPr="009A1BBA" w:rsidRDefault="00ED3374" w:rsidP="009A1BBA">
      <w:pPr>
        <w:pStyle w:val="FootnoteText"/>
        <w:jc w:val="both"/>
        <w:rPr>
          <w:sz w:val="18"/>
          <w:szCs w:val="18"/>
        </w:rPr>
      </w:pPr>
      <w:r>
        <w:rPr>
          <w:rStyle w:val="FootnoteReference"/>
        </w:rPr>
        <w:footnoteRef/>
      </w:r>
      <w:r>
        <w:t xml:space="preserve"> </w:t>
      </w:r>
      <w:r>
        <w:tab/>
      </w:r>
      <w:r w:rsidRPr="009A1BBA">
        <w:rPr>
          <w:sz w:val="18"/>
          <w:szCs w:val="18"/>
        </w:rPr>
        <w:t xml:space="preserve">The estimated requirement for gas powered generation in South Australia increased above 257 TJ on the 16 December gas day and remained high </w:t>
      </w:r>
      <w:r w:rsidR="004B5AEA">
        <w:rPr>
          <w:sz w:val="18"/>
          <w:szCs w:val="18"/>
        </w:rPr>
        <w:t>for the</w:t>
      </w:r>
      <w:r w:rsidRPr="009A1BBA">
        <w:rPr>
          <w:sz w:val="18"/>
          <w:szCs w:val="18"/>
        </w:rPr>
        <w:t xml:space="preserve"> remainder of the week (this is evident in the average daily increase in GPG shown in figure 5.1).</w:t>
      </w:r>
    </w:p>
  </w:footnote>
  <w:footnote w:id="8">
    <w:p w:rsidR="00ED3374" w:rsidRPr="004B5AEA" w:rsidRDefault="00ED3374">
      <w:pPr>
        <w:pStyle w:val="FootnoteText"/>
        <w:rPr>
          <w:sz w:val="18"/>
        </w:rPr>
      </w:pPr>
      <w:r>
        <w:rPr>
          <w:rStyle w:val="FootnoteReference"/>
        </w:rPr>
        <w:footnoteRef/>
      </w:r>
      <w:r>
        <w:t xml:space="preserve"> </w:t>
      </w:r>
      <w:r>
        <w:tab/>
      </w:r>
      <w:r w:rsidR="008205ED" w:rsidRPr="004B5AEA">
        <w:rPr>
          <w:sz w:val="18"/>
        </w:rPr>
        <w:t xml:space="preserve">Backhaul provides gas to users located outside of the hub. </w:t>
      </w:r>
      <w:r w:rsidRPr="004B5AEA">
        <w:rPr>
          <w:sz w:val="18"/>
        </w:rPr>
        <w:t xml:space="preserve">SEAGas and the MAP provided </w:t>
      </w:r>
      <w:r w:rsidR="008205ED" w:rsidRPr="004B5AEA">
        <w:rPr>
          <w:sz w:val="18"/>
        </w:rPr>
        <w:t xml:space="preserve">daily amounts of </w:t>
      </w:r>
      <w:r w:rsidRPr="004B5AEA">
        <w:rPr>
          <w:sz w:val="18"/>
        </w:rPr>
        <w:t>up to 20 TJ and 10 TJ of unscheduled backhaul respectively</w:t>
      </w:r>
      <w:r w:rsidR="008205ED" w:rsidRPr="004B5AEA">
        <w:rPr>
          <w:sz w:val="18"/>
        </w:rPr>
        <w:t xml:space="preserve"> </w:t>
      </w:r>
      <w:r w:rsidR="00320141" w:rsidRPr="004B5AEA">
        <w:rPr>
          <w:sz w:val="18"/>
        </w:rPr>
        <w:t>in the second half of the week</w:t>
      </w:r>
      <w:r w:rsidR="008205ED" w:rsidRPr="004B5AEA">
        <w:rPr>
          <w:sz w:val="18"/>
        </w:rPr>
        <w:t>.</w:t>
      </w:r>
    </w:p>
  </w:footnote>
  <w:footnote w:id="9">
    <w:p w:rsidR="00ED3374" w:rsidRPr="009A1BBA" w:rsidRDefault="00ED3374" w:rsidP="009A1BBA">
      <w:pPr>
        <w:pStyle w:val="FootnoteText"/>
        <w:jc w:val="both"/>
        <w:rPr>
          <w:sz w:val="18"/>
          <w:szCs w:val="18"/>
        </w:rPr>
      </w:pPr>
      <w:r>
        <w:rPr>
          <w:rStyle w:val="FootnoteReference"/>
        </w:rPr>
        <w:footnoteRef/>
      </w:r>
      <w:r>
        <w:t xml:space="preserve"> </w:t>
      </w:r>
      <w:r>
        <w:tab/>
      </w:r>
      <w:r w:rsidRPr="009A1BBA">
        <w:rPr>
          <w:sz w:val="18"/>
          <w:szCs w:val="18"/>
        </w:rPr>
        <w:t xml:space="preserve">Temperatures in Melbourne increased to 37 degrees on 17 December and </w:t>
      </w:r>
      <w:r>
        <w:rPr>
          <w:sz w:val="18"/>
          <w:szCs w:val="18"/>
        </w:rPr>
        <w:t>climbed to</w:t>
      </w:r>
      <w:r w:rsidRPr="009A1BBA">
        <w:rPr>
          <w:sz w:val="18"/>
          <w:szCs w:val="18"/>
        </w:rPr>
        <w:t xml:space="preserve"> a maximum of 41 degrees on 19 December. Over the same period, peak electricity demand in the state increased from 6198 MW </w:t>
      </w:r>
      <w:r w:rsidR="004B5AEA">
        <w:rPr>
          <w:sz w:val="18"/>
          <w:szCs w:val="18"/>
        </w:rPr>
        <w:t xml:space="preserve">on </w:t>
      </w:r>
      <w:r w:rsidRPr="009A1BBA">
        <w:rPr>
          <w:sz w:val="18"/>
          <w:szCs w:val="18"/>
        </w:rPr>
        <w:t>14 December to a maximum of 8566 MW on 18 December.</w:t>
      </w:r>
    </w:p>
  </w:footnote>
  <w:footnote w:id="10">
    <w:p w:rsidR="00ED3374" w:rsidRPr="00EF58A8" w:rsidRDefault="00ED3374" w:rsidP="00EF58A8">
      <w:pPr>
        <w:pStyle w:val="FootnoteText"/>
        <w:spacing w:before="0" w:after="0"/>
        <w:jc w:val="both"/>
      </w:pPr>
      <w:r w:rsidRPr="00EF58A8">
        <w:rPr>
          <w:rStyle w:val="FootnoteReference"/>
        </w:rPr>
        <w:footnoteRef/>
      </w:r>
      <w:r w:rsidRPr="00EF58A8">
        <w:t xml:space="preserve"> </w:t>
      </w:r>
      <w:r w:rsidRPr="00EF58A8">
        <w:tab/>
      </w:r>
      <w:r w:rsidRPr="00EF58A8">
        <w:rPr>
          <w:sz w:val="18"/>
        </w:rPr>
        <w:t>Prices for subsequent schedules are applied only to the differences in scheduled quantities (imbalances) to calculate the weighted price. The 6 am price applies to the entire scheduled quantity in the initial schedule.</w:t>
      </w:r>
    </w:p>
  </w:footnote>
  <w:footnote w:id="11">
    <w:p w:rsidR="00ED3374" w:rsidRPr="00EF58A8" w:rsidRDefault="00ED3374" w:rsidP="00EF58A8">
      <w:pPr>
        <w:pStyle w:val="FootnoteText"/>
        <w:spacing w:before="0" w:after="0"/>
        <w:jc w:val="both"/>
        <w:rPr>
          <w:sz w:val="18"/>
          <w:szCs w:val="18"/>
        </w:rPr>
      </w:pPr>
      <w:r w:rsidRPr="00EF58A8">
        <w:rPr>
          <w:rStyle w:val="FootnoteReference"/>
        </w:rPr>
        <w:footnoteRef/>
      </w:r>
      <w:r w:rsidRPr="00EF58A8">
        <w:t xml:space="preserve"> </w:t>
      </w:r>
      <w:r w:rsidRPr="00EF58A8">
        <w:tab/>
      </w:r>
      <w:r w:rsidRPr="00EF58A8">
        <w:rPr>
          <w:sz w:val="18"/>
          <w:szCs w:val="18"/>
        </w:rPr>
        <w:t>The price might also be affected by transmission or production (contractual) constraints limiting how much gas can be delivered from a locale or System Injection Point (SIP) from time to time.</w:t>
      </w:r>
    </w:p>
  </w:footnote>
  <w:footnote w:id="12">
    <w:p w:rsidR="00ED3374" w:rsidRPr="00EF58A8" w:rsidRDefault="00ED3374" w:rsidP="00EF58A8">
      <w:pPr>
        <w:pStyle w:val="FootnoteText"/>
        <w:spacing w:before="0" w:after="0"/>
        <w:jc w:val="both"/>
      </w:pPr>
      <w:r w:rsidRPr="00EF58A8">
        <w:rPr>
          <w:rStyle w:val="FootnoteReference"/>
        </w:rPr>
        <w:footnoteRef/>
      </w:r>
      <w:r w:rsidRPr="00EF58A8">
        <w:t xml:space="preserve">  </w:t>
      </w:r>
      <w:r w:rsidRPr="00EF58A8">
        <w:tab/>
      </w:r>
      <w:r w:rsidRPr="00EF58A8">
        <w:rPr>
          <w:sz w:val="18"/>
          <w:szCs w:val="18"/>
        </w:rPr>
        <w:t>These are Market Participants’ aggregate demand forecasts adjusted for any override as applied by AEMO from time to time. These forecasts must be scheduled and cannot respond to price like withdrawal bids.</w:t>
      </w:r>
    </w:p>
  </w:footnote>
  <w:footnote w:id="13">
    <w:p w:rsidR="00ED3374" w:rsidRPr="00362B9A" w:rsidRDefault="00ED3374" w:rsidP="00586C57">
      <w:pPr>
        <w:pStyle w:val="FootnoteText"/>
        <w:spacing w:before="0" w:after="0"/>
        <w:jc w:val="both"/>
        <w:rPr>
          <w:sz w:val="18"/>
          <w:szCs w:val="18"/>
        </w:rPr>
      </w:pPr>
      <w:r w:rsidRPr="003F7E55">
        <w:rPr>
          <w:rStyle w:val="FootnoteReference"/>
        </w:rPr>
        <w:footnoteRef/>
      </w:r>
      <w:r w:rsidRPr="003F7E55">
        <w:t xml:space="preserve"> </w:t>
      </w:r>
      <w:r w:rsidRPr="003F7E55">
        <w:tab/>
      </w:r>
      <w:r w:rsidRPr="00362B9A">
        <w:rPr>
          <w:sz w:val="18"/>
          <w:szCs w:val="18"/>
        </w:rPr>
        <w:t>The main driver of the amount of gas scheduled on a gas day is the ‘price-taker’ bid, which is forecast hub demand that cannot respond to price and which must be delivered, regardless of the price.</w:t>
      </w:r>
    </w:p>
  </w:footnote>
  <w:footnote w:id="14">
    <w:p w:rsidR="00ED3374" w:rsidRDefault="00ED3374" w:rsidP="00586C57">
      <w:pPr>
        <w:pStyle w:val="AERbodytext"/>
        <w:spacing w:before="0" w:line="240" w:lineRule="auto"/>
        <w:ind w:left="340" w:hanging="340"/>
        <w:jc w:val="both"/>
      </w:pPr>
      <w:r w:rsidRPr="002E7E9E">
        <w:rPr>
          <w:rStyle w:val="FootnoteReference"/>
          <w:sz w:val="20"/>
        </w:rPr>
        <w:footnoteRef/>
      </w:r>
      <w:r w:rsidRPr="002E7E9E">
        <w:rPr>
          <w:sz w:val="20"/>
          <w:szCs w:val="20"/>
        </w:rPr>
        <w:t xml:space="preserve"> </w:t>
      </w:r>
      <w:r>
        <w:rPr>
          <w:sz w:val="20"/>
          <w:szCs w:val="20"/>
        </w:rPr>
        <w:tab/>
      </w:r>
      <w:r w:rsidRPr="002E7E9E">
        <w:rPr>
          <w:sz w:val="18"/>
          <w:szCs w:val="18"/>
        </w:rPr>
        <w:t>MOS service payments involve a payment for a MOS increase service when the actual quantity delivered exceeds final gas nominations for delivery to a hub, and a payment for a MOS decrease service when the actual quantity delivered is less than final nominations. As well as a MOS ‘service’ payment, as shown in figure 2.4, MOS providers are paid for or pay for the quantity of MOS sold into the market or bought from the market (MOS ‘commodity’ payments/charges).</w:t>
      </w:r>
    </w:p>
  </w:footnote>
  <w:footnote w:id="15">
    <w:p w:rsidR="00ED3374" w:rsidRPr="002E7E9E" w:rsidRDefault="00ED3374" w:rsidP="004560B0">
      <w:pPr>
        <w:pStyle w:val="FootnoteText"/>
        <w:spacing w:before="0" w:after="0"/>
        <w:rPr>
          <w:sz w:val="18"/>
          <w:szCs w:val="18"/>
        </w:rPr>
      </w:pPr>
      <w:r>
        <w:rPr>
          <w:rStyle w:val="FootnoteReference"/>
        </w:rPr>
        <w:footnoteRef/>
      </w:r>
      <w:r>
        <w:t xml:space="preserve"> </w:t>
      </w:r>
      <w:r>
        <w:tab/>
      </w:r>
      <w:r w:rsidRPr="002E7E9E">
        <w:rPr>
          <w:sz w:val="18"/>
          <w:szCs w:val="18"/>
        </w:rPr>
        <w:t xml:space="preserve">Gas </w:t>
      </w:r>
      <w:r>
        <w:rPr>
          <w:sz w:val="18"/>
          <w:szCs w:val="18"/>
        </w:rPr>
        <w:t>f</w:t>
      </w:r>
      <w:r w:rsidRPr="002E7E9E">
        <w:rPr>
          <w:sz w:val="18"/>
          <w:szCs w:val="18"/>
        </w:rPr>
        <w:t>lows</w:t>
      </w:r>
      <w:r>
        <w:rPr>
          <w:sz w:val="18"/>
          <w:szCs w:val="18"/>
        </w:rPr>
        <w:t xml:space="preserve"> shown under regional headings</w:t>
      </w:r>
      <w:r w:rsidRPr="002E7E9E">
        <w:rPr>
          <w:sz w:val="18"/>
          <w:szCs w:val="18"/>
        </w:rPr>
        <w:t xml:space="preserve">:  </w:t>
      </w:r>
      <w:r w:rsidRPr="002E7E9E">
        <w:rPr>
          <w:b/>
          <w:sz w:val="18"/>
          <w:szCs w:val="18"/>
        </w:rPr>
        <w:t>SA</w:t>
      </w:r>
      <w:r w:rsidRPr="002E7E9E">
        <w:rPr>
          <w:sz w:val="18"/>
          <w:szCs w:val="18"/>
        </w:rPr>
        <w:t xml:space="preserve"> = MAP + SEAGAS, </w:t>
      </w:r>
      <w:r w:rsidRPr="002E7E9E">
        <w:rPr>
          <w:b/>
          <w:sz w:val="18"/>
          <w:szCs w:val="18"/>
        </w:rPr>
        <w:t>VIC</w:t>
      </w:r>
      <w:r w:rsidRPr="002E7E9E">
        <w:rPr>
          <w:sz w:val="18"/>
          <w:szCs w:val="18"/>
        </w:rPr>
        <w:t xml:space="preserve"> = SWP + LMP – negative(NSW-VIC), </w:t>
      </w:r>
    </w:p>
    <w:p w:rsidR="00ED3374" w:rsidRDefault="00ED3374" w:rsidP="004560B0">
      <w:pPr>
        <w:pStyle w:val="FootnoteText"/>
        <w:spacing w:before="0" w:after="0"/>
        <w:ind w:firstLine="0"/>
        <w:rPr>
          <w:sz w:val="18"/>
          <w:szCs w:val="18"/>
        </w:rPr>
      </w:pPr>
      <w:r w:rsidRPr="002E7E9E">
        <w:rPr>
          <w:b/>
          <w:sz w:val="18"/>
          <w:szCs w:val="18"/>
        </w:rPr>
        <w:t>NSW/ACT</w:t>
      </w:r>
      <w:r w:rsidRPr="002E7E9E">
        <w:rPr>
          <w:sz w:val="18"/>
          <w:szCs w:val="18"/>
        </w:rPr>
        <w:t xml:space="preserve"> = EGP + MSP, </w:t>
      </w:r>
      <w:r w:rsidRPr="002E7E9E">
        <w:rPr>
          <w:b/>
          <w:sz w:val="18"/>
          <w:szCs w:val="18"/>
        </w:rPr>
        <w:t>TAS</w:t>
      </w:r>
      <w:r w:rsidRPr="002E7E9E">
        <w:rPr>
          <w:sz w:val="18"/>
          <w:szCs w:val="18"/>
        </w:rPr>
        <w:t xml:space="preserve"> = TGP, </w:t>
      </w:r>
      <w:r w:rsidRPr="002E7E9E">
        <w:rPr>
          <w:b/>
          <w:sz w:val="18"/>
          <w:szCs w:val="18"/>
        </w:rPr>
        <w:t>QLD (Brisbane)</w:t>
      </w:r>
      <w:r w:rsidRPr="002E7E9E">
        <w:rPr>
          <w:sz w:val="18"/>
          <w:szCs w:val="18"/>
        </w:rPr>
        <w:t xml:space="preserve"> = RBP, </w:t>
      </w:r>
      <w:r w:rsidRPr="002E7E9E">
        <w:rPr>
          <w:b/>
          <w:sz w:val="18"/>
          <w:szCs w:val="18"/>
        </w:rPr>
        <w:t>QLD (Mt Isa)</w:t>
      </w:r>
      <w:r w:rsidRPr="002E7E9E">
        <w:rPr>
          <w:sz w:val="18"/>
          <w:szCs w:val="18"/>
        </w:rPr>
        <w:t xml:space="preserve"> = CGP, </w:t>
      </w:r>
      <w:r w:rsidRPr="002E7E9E">
        <w:rPr>
          <w:b/>
          <w:sz w:val="18"/>
          <w:szCs w:val="18"/>
        </w:rPr>
        <w:t>QLD (Gladstone)</w:t>
      </w:r>
      <w:r w:rsidRPr="002E7E9E">
        <w:rPr>
          <w:sz w:val="18"/>
          <w:szCs w:val="18"/>
        </w:rPr>
        <w:t xml:space="preserve"> = QGP</w:t>
      </w:r>
    </w:p>
    <w:p w:rsidR="00ED3374" w:rsidRDefault="00ED3374" w:rsidP="004560B0">
      <w:pPr>
        <w:pStyle w:val="FootnoteText"/>
        <w:spacing w:before="0" w:after="0"/>
        <w:ind w:firstLine="0"/>
        <w:rPr>
          <w:sz w:val="18"/>
          <w:szCs w:val="18"/>
        </w:rPr>
      </w:pPr>
      <w:r w:rsidRPr="002E7E9E">
        <w:rPr>
          <w:sz w:val="18"/>
          <w:szCs w:val="18"/>
        </w:rPr>
        <w:t xml:space="preserve">GPG volumes </w:t>
      </w:r>
      <w:r>
        <w:rPr>
          <w:sz w:val="18"/>
          <w:szCs w:val="18"/>
        </w:rPr>
        <w:t xml:space="preserve">may </w:t>
      </w:r>
      <w:r w:rsidRPr="002E7E9E">
        <w:rPr>
          <w:sz w:val="18"/>
          <w:szCs w:val="18"/>
        </w:rPr>
        <w:t xml:space="preserve">include gas usage that </w:t>
      </w:r>
      <w:r>
        <w:rPr>
          <w:sz w:val="18"/>
          <w:szCs w:val="18"/>
        </w:rPr>
        <w:t>does</w:t>
      </w:r>
      <w:r w:rsidRPr="002E7E9E">
        <w:rPr>
          <w:sz w:val="18"/>
          <w:szCs w:val="18"/>
        </w:rPr>
        <w:t xml:space="preserve"> not show up on Bulletin Board pipeline flows.</w:t>
      </w:r>
    </w:p>
    <w:p w:rsidR="00ED3374" w:rsidRPr="002E7E9E" w:rsidRDefault="00ED3374" w:rsidP="004560B0">
      <w:pPr>
        <w:pStyle w:val="FootnoteText"/>
        <w:spacing w:before="0" w:after="0"/>
        <w:ind w:firstLine="0"/>
        <w:rPr>
          <w:sz w:val="18"/>
          <w:szCs w:val="18"/>
        </w:rPr>
      </w:pPr>
      <w:r>
        <w:rPr>
          <w:sz w:val="18"/>
          <w:szCs w:val="18"/>
        </w:rPr>
        <w:t>Roma included export LNG production from October 2014 and LNG pipeline flows are shown from October 2015.</w:t>
      </w:r>
    </w:p>
  </w:footnote>
  <w:footnote w:id="16">
    <w:p w:rsidR="00ED3374" w:rsidRDefault="00ED3374" w:rsidP="004560B0">
      <w:pPr>
        <w:pStyle w:val="FootnoteText"/>
        <w:spacing w:before="0" w:after="0"/>
      </w:pPr>
      <w:r>
        <w:rPr>
          <w:rStyle w:val="FootnoteReference"/>
        </w:rPr>
        <w:footnoteRef/>
      </w:r>
      <w:r>
        <w:t xml:space="preserve"> </w:t>
      </w:r>
      <w:r>
        <w:tab/>
      </w:r>
      <w:r w:rsidRPr="00651341">
        <w:rPr>
          <w:sz w:val="18"/>
        </w:rPr>
        <w:t>Wallumbilla supply is the average daily volume of gas ‘traded’, while price is a volume weighted average.</w:t>
      </w:r>
    </w:p>
  </w:footnote>
  <w:footnote w:id="17">
    <w:p w:rsidR="00ED3374" w:rsidRPr="009E74E3" w:rsidRDefault="00ED3374" w:rsidP="00E37A86">
      <w:pPr>
        <w:pStyle w:val="FootnoteText"/>
        <w:spacing w:before="0" w:after="0"/>
        <w:ind w:left="284" w:hanging="284"/>
        <w:jc w:val="both"/>
        <w:rPr>
          <w:sz w:val="18"/>
          <w:szCs w:val="18"/>
        </w:rPr>
      </w:pPr>
      <w:r>
        <w:rPr>
          <w:rStyle w:val="FootnoteReference"/>
        </w:rPr>
        <w:footnoteRef/>
      </w:r>
      <w:r>
        <w:t xml:space="preserve"> </w:t>
      </w:r>
      <w:r>
        <w:tab/>
      </w:r>
      <w:r w:rsidRPr="009E74E3">
        <w:rPr>
          <w:sz w:val="18"/>
          <w:szCs w:val="18"/>
        </w:rPr>
        <w:t>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bids (to buy) at specified quantity and price increments, which are automatically matched on the exchange to form transactions.</w:t>
      </w:r>
    </w:p>
  </w:footnote>
  <w:footnote w:id="18">
    <w:p w:rsidR="00ED3374" w:rsidRPr="007300C3" w:rsidRDefault="00ED3374" w:rsidP="00E37A86">
      <w:pPr>
        <w:pStyle w:val="FootnoteText"/>
        <w:spacing w:before="0" w:after="0"/>
        <w:ind w:left="284" w:hanging="284"/>
        <w:rPr>
          <w:sz w:val="18"/>
          <w:szCs w:val="18"/>
        </w:rPr>
      </w:pPr>
      <w:r>
        <w:rPr>
          <w:rStyle w:val="FootnoteReference"/>
        </w:rPr>
        <w:footnoteRef/>
      </w:r>
      <w:r>
        <w:t xml:space="preserve"> </w:t>
      </w:r>
      <w:r>
        <w:tab/>
      </w:r>
      <w:r w:rsidRPr="007300C3">
        <w:rPr>
          <w:sz w:val="18"/>
          <w:szCs w:val="18"/>
        </w:rPr>
        <w:t xml:space="preserve">Volumes shown for weekly products include the </w:t>
      </w:r>
      <w:r>
        <w:rPr>
          <w:sz w:val="18"/>
          <w:szCs w:val="18"/>
        </w:rPr>
        <w:t>‘daily’ volume for each relevant ‘gas day’, and the ‘weekly’ volume for each relevant ‘trading day’.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47E6E"/>
    <w:multiLevelType w:val="multilevel"/>
    <w:tmpl w:val="4BAC67F8"/>
    <w:lvl w:ilvl="0">
      <w:start w:val="1"/>
      <w:numFmt w:val="upperLetter"/>
      <w:pStyle w:val="AERappendixheading1"/>
      <w:lvlText w:val="%1"/>
      <w:lvlJc w:val="left"/>
      <w:pPr>
        <w:tabs>
          <w:tab w:val="num" w:pos="851"/>
        </w:tabs>
        <w:ind w:left="851" w:hanging="851"/>
      </w:pPr>
      <w:rPr>
        <w:rFonts w:hint="default"/>
      </w:rPr>
    </w:lvl>
    <w:lvl w:ilvl="1">
      <w:start w:val="1"/>
      <w:numFmt w:val="decimal"/>
      <w:pStyle w:val="AERappendixheading2"/>
      <w:lvlText w:val="%1.%2"/>
      <w:lvlJc w:val="left"/>
      <w:pPr>
        <w:tabs>
          <w:tab w:val="num" w:pos="851"/>
        </w:tabs>
        <w:ind w:left="851" w:hanging="851"/>
      </w:pPr>
      <w:rPr>
        <w:rFonts w:hint="default"/>
      </w:rPr>
    </w:lvl>
    <w:lvl w:ilvl="2">
      <w:start w:val="1"/>
      <w:numFmt w:val="decimal"/>
      <w:pStyle w:val="AERappendixheading3"/>
      <w:lvlText w:val="%1.%2.%3"/>
      <w:lvlJc w:val="left"/>
      <w:pPr>
        <w:tabs>
          <w:tab w:val="num" w:pos="851"/>
        </w:tabs>
        <w:ind w:left="851" w:hanging="851"/>
      </w:pPr>
      <w:rPr>
        <w:rFonts w:hint="default"/>
      </w:rPr>
    </w:lvl>
    <w:lvl w:ilvl="3">
      <w:start w:val="1"/>
      <w:numFmt w:val="decimal"/>
      <w:pStyle w:val="AERappendixheading4"/>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pStyle w:val="AERappendixfigureheading"/>
      <w:lvlText w:val="Figure %1.%6"/>
      <w:lvlJc w:val="left"/>
      <w:pPr>
        <w:tabs>
          <w:tab w:val="num" w:pos="1361"/>
        </w:tabs>
        <w:ind w:left="1361" w:hanging="136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0BDD4AC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1A3A6266"/>
    <w:multiLevelType w:val="multilevel"/>
    <w:tmpl w:val="A93864D8"/>
    <w:lvl w:ilvl="0">
      <w:start w:val="1"/>
      <w:numFmt w:val="bullet"/>
      <w:pStyle w:val="AERbulletlistsecondstyle"/>
      <w:lvlText w:val=""/>
      <w:lvlJc w:val="left"/>
      <w:pPr>
        <w:tabs>
          <w:tab w:val="num" w:pos="714"/>
        </w:tabs>
        <w:ind w:left="714" w:hanging="357"/>
      </w:pPr>
      <w:rPr>
        <w:rFonts w:ascii="Wingdings" w:hAnsi="Wingdings" w:hint="default"/>
        <w:sz w:val="24"/>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
    <w:nsid w:val="21AD2891"/>
    <w:multiLevelType w:val="multilevel"/>
    <w:tmpl w:val="427C2556"/>
    <w:lvl w:ilvl="0">
      <w:start w:val="1"/>
      <w:numFmt w:val="none"/>
      <w:pStyle w:val="Heading1"/>
      <w:lvlText w:val="%1"/>
      <w:lvlJc w:val="left"/>
      <w:pPr>
        <w:ind w:left="0" w:firstLine="0"/>
      </w:pPr>
      <w:rPr>
        <w:rFonts w:ascii="Arial Bold" w:hAnsi="Arial Bold" w:hint="default"/>
        <w:b/>
        <w:i w:val="0"/>
        <w:color w:val="2272A3"/>
        <w:sz w:val="32"/>
      </w:rPr>
    </w:lvl>
    <w:lvl w:ilvl="1">
      <w:start w:val="1"/>
      <w:numFmt w:val="decimal"/>
      <w:pStyle w:val="Heading2"/>
      <w:lvlText w:val="Figure %2:"/>
      <w:lvlJc w:val="left"/>
      <w:pPr>
        <w:ind w:left="0" w:firstLine="360"/>
      </w:pPr>
      <w:rPr>
        <w:rFonts w:ascii="Arial Bold" w:hAnsi="Arial Bold" w:hint="default"/>
        <w:b/>
        <w:i w:val="0"/>
        <w:color w:val="2272A3"/>
        <w:sz w:val="24"/>
      </w:rPr>
    </w:lvl>
    <w:lvl w:ilvl="2">
      <w:start w:val="1"/>
      <w:numFmt w:val="decimal"/>
      <w:pStyle w:val="Heading3"/>
      <w:lvlText w:val="%3."/>
      <w:lvlJc w:val="left"/>
      <w:pPr>
        <w:ind w:left="0" w:firstLine="720"/>
      </w:pPr>
      <w:rPr>
        <w:rFonts w:ascii="Arial Bold" w:hAnsi="Arial Bold" w:hint="default"/>
        <w:b/>
        <w:i w:val="0"/>
        <w:color w:val="2272A3"/>
        <w:sz w:val="32"/>
      </w:rPr>
    </w:lvl>
    <w:lvl w:ilvl="3">
      <w:start w:val="1"/>
      <w:numFmt w:val="decimal"/>
      <w:pStyle w:val="Heading4"/>
      <w:lvlText w:val="Figure %3.%4:"/>
      <w:lvlJc w:val="left"/>
      <w:pPr>
        <w:ind w:left="338" w:firstLine="1080"/>
      </w:pPr>
      <w:rPr>
        <w:rFonts w:ascii="Arial Bold" w:hAnsi="Arial Bold" w:hint="default"/>
        <w:b/>
        <w:i w:val="0"/>
        <w:color w:val="2272A3"/>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22B401B7"/>
    <w:multiLevelType w:val="hybridMultilevel"/>
    <w:tmpl w:val="ABCA068E"/>
    <w:lvl w:ilvl="0" w:tplc="BE58AF30">
      <w:start w:val="1"/>
      <w:numFmt w:val="decimal"/>
      <w:pStyle w:val="AERNumberedheading1nonewpage"/>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2B127A5F"/>
    <w:multiLevelType w:val="multilevel"/>
    <w:tmpl w:val="C7BE72A6"/>
    <w:lvl w:ilvl="0">
      <w:start w:val="1"/>
      <w:numFmt w:val="lowerRoman"/>
      <w:pStyle w:val="AERnumberedlistthirdstyle"/>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6">
    <w:nsid w:val="2B4A6D4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301B31FF"/>
    <w:multiLevelType w:val="multilevel"/>
    <w:tmpl w:val="228CA4AE"/>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8">
    <w:nsid w:val="313919EB"/>
    <w:multiLevelType w:val="multilevel"/>
    <w:tmpl w:val="3D1013E2"/>
    <w:lvl w:ilvl="0">
      <w:start w:val="1"/>
      <w:numFmt w:val="decimal"/>
      <w:lvlText w:val="Figure %1:"/>
      <w:lvlJc w:val="left"/>
      <w:pPr>
        <w:tabs>
          <w:tab w:val="num" w:pos="0"/>
        </w:tabs>
        <w:ind w:left="1134" w:hanging="1134"/>
      </w:pPr>
      <w:rPr>
        <w:rFonts w:hint="default"/>
      </w:rPr>
    </w:lvl>
    <w:lvl w:ilvl="1">
      <w:start w:val="2"/>
      <w:numFmt w:val="decimal"/>
      <w:lvlRestart w:val="0"/>
      <w:pStyle w:val="FigHeadingN"/>
      <w:lvlText w:val="Figure N%2:"/>
      <w:lvlJc w:val="left"/>
      <w:pPr>
        <w:tabs>
          <w:tab w:val="num" w:pos="0"/>
        </w:tabs>
        <w:ind w:left="1134" w:hanging="1134"/>
      </w:pPr>
      <w:rPr>
        <w:rFonts w:hint="default"/>
      </w:rPr>
    </w:lvl>
    <w:lvl w:ilvl="2">
      <w:start w:val="1"/>
      <w:numFmt w:val="decimal"/>
      <w:lvlRestart w:val="0"/>
      <w:pStyle w:val="FigHeadingV"/>
      <w:lvlText w:val="Figure V%3:"/>
      <w:lvlJc w:val="left"/>
      <w:pPr>
        <w:tabs>
          <w:tab w:val="num" w:pos="0"/>
        </w:tabs>
        <w:ind w:left="1134" w:hanging="1134"/>
      </w:pPr>
      <w:rPr>
        <w:rFonts w:hint="default"/>
      </w:rPr>
    </w:lvl>
    <w:lvl w:ilvl="3">
      <w:start w:val="1"/>
      <w:numFmt w:val="decimal"/>
      <w:lvlRestart w:val="0"/>
      <w:lvlText w:val="Figure S%4:"/>
      <w:lvlJc w:val="left"/>
      <w:pPr>
        <w:tabs>
          <w:tab w:val="num" w:pos="0"/>
        </w:tabs>
        <w:ind w:left="1134"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lvlText w:val="Figure A%6:"/>
      <w:lvlJc w:val="left"/>
      <w:pPr>
        <w:tabs>
          <w:tab w:val="num" w:pos="1134"/>
        </w:tabs>
        <w:ind w:left="113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9">
    <w:nsid w:val="3BA8635F"/>
    <w:multiLevelType w:val="hybridMultilevel"/>
    <w:tmpl w:val="A3B4D3C6"/>
    <w:lvl w:ilvl="0" w:tplc="45E48EE6">
      <w:start w:val="1"/>
      <w:numFmt w:val="bullet"/>
      <w:lvlText w:val=""/>
      <w:lvlJc w:val="left"/>
      <w:pPr>
        <w:tabs>
          <w:tab w:val="num" w:pos="1588"/>
        </w:tabs>
        <w:ind w:left="1588" w:hanging="1588"/>
      </w:pPr>
      <w:rPr>
        <w:rFonts w:ascii="Wingdings" w:hAnsi="Wingdings" w:hint="default"/>
        <w:color w:val="auto"/>
        <w:sz w:val="16"/>
        <w:szCs w:val="28"/>
      </w:rPr>
    </w:lvl>
    <w:lvl w:ilvl="1" w:tplc="FC2E1422">
      <w:start w:val="1"/>
      <w:numFmt w:val="bullet"/>
      <w:pStyle w:val="AERquotebullet1"/>
      <w:lvlText w:val=""/>
      <w:lvlJc w:val="left"/>
      <w:pPr>
        <w:tabs>
          <w:tab w:val="num" w:pos="1378"/>
        </w:tabs>
        <w:ind w:left="1378" w:hanging="357"/>
      </w:pPr>
      <w:rPr>
        <w:rFonts w:ascii="Wingdings" w:hAnsi="Wingdings" w:hint="default"/>
        <w:color w:val="auto"/>
        <w:sz w:val="16"/>
        <w:szCs w:val="2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44385E0E"/>
    <w:multiLevelType w:val="multilevel"/>
    <w:tmpl w:val="5074CBC8"/>
    <w:lvl w:ilvl="0">
      <w:start w:val="1"/>
      <w:numFmt w:val="decimal"/>
      <w:pStyle w:val="FigHeading"/>
      <w:lvlText w:val="Figure %1:"/>
      <w:lvlJc w:val="left"/>
      <w:pPr>
        <w:tabs>
          <w:tab w:val="num" w:pos="0"/>
        </w:tabs>
        <w:ind w:left="1134" w:hanging="1134"/>
      </w:pPr>
      <w:rPr>
        <w:rFonts w:hint="default"/>
      </w:rPr>
    </w:lvl>
    <w:lvl w:ilvl="1">
      <w:start w:val="2"/>
      <w:numFmt w:val="decimal"/>
      <w:lvlRestart w:val="0"/>
      <w:lvlText w:val="Figure N%2:"/>
      <w:lvlJc w:val="left"/>
      <w:pPr>
        <w:tabs>
          <w:tab w:val="num" w:pos="0"/>
        </w:tabs>
        <w:ind w:left="1134" w:hanging="1134"/>
      </w:pPr>
      <w:rPr>
        <w:rFonts w:hint="default"/>
      </w:rPr>
    </w:lvl>
    <w:lvl w:ilvl="2">
      <w:start w:val="1"/>
      <w:numFmt w:val="decimal"/>
      <w:lvlRestart w:val="0"/>
      <w:lvlText w:val="Figure V%3:"/>
      <w:lvlJc w:val="left"/>
      <w:pPr>
        <w:tabs>
          <w:tab w:val="num" w:pos="0"/>
        </w:tabs>
        <w:ind w:left="1134" w:hanging="1134"/>
      </w:pPr>
      <w:rPr>
        <w:rFonts w:hint="default"/>
      </w:rPr>
    </w:lvl>
    <w:lvl w:ilvl="3">
      <w:start w:val="1"/>
      <w:numFmt w:val="decimal"/>
      <w:lvlRestart w:val="0"/>
      <w:pStyle w:val="FigHeadingS"/>
      <w:lvlText w:val="Figure S%4:"/>
      <w:lvlJc w:val="left"/>
      <w:pPr>
        <w:tabs>
          <w:tab w:val="num" w:pos="0"/>
        </w:tabs>
        <w:ind w:left="1134" w:hanging="1134"/>
      </w:pPr>
      <w:rPr>
        <w:rFonts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pStyle w:val="FigheadingA"/>
      <w:lvlText w:val="Figure A%6:"/>
      <w:lvlJc w:val="left"/>
      <w:pPr>
        <w:tabs>
          <w:tab w:val="num" w:pos="5814"/>
        </w:tabs>
        <w:ind w:left="581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11">
    <w:nsid w:val="443F74CB"/>
    <w:multiLevelType w:val="hybridMultilevel"/>
    <w:tmpl w:val="D5F80586"/>
    <w:lvl w:ilvl="0" w:tplc="95F8B2D2">
      <w:start w:val="1"/>
      <w:numFmt w:val="decimal"/>
      <w:pStyle w:val="AERnumberedlistfirststyle"/>
      <w:lvlText w:val="%1."/>
      <w:lvlJc w:val="left"/>
      <w:pPr>
        <w:tabs>
          <w:tab w:val="num" w:pos="357"/>
        </w:tabs>
        <w:ind w:left="357" w:hanging="357"/>
      </w:pPr>
      <w:rPr>
        <w:rFonts w:ascii="Times New Roman" w:hAnsi="Times New Roman" w:hint="default"/>
        <w:b w:val="0"/>
        <w:i w:val="0"/>
        <w:sz w:val="24"/>
      </w:rPr>
    </w:lvl>
    <w:lvl w:ilvl="1" w:tplc="ED80F18C" w:tentative="1">
      <w:start w:val="1"/>
      <w:numFmt w:val="lowerLetter"/>
      <w:lvlText w:val="%2."/>
      <w:lvlJc w:val="left"/>
      <w:pPr>
        <w:tabs>
          <w:tab w:val="num" w:pos="1440"/>
        </w:tabs>
        <w:ind w:left="1440" w:hanging="360"/>
      </w:pPr>
    </w:lvl>
    <w:lvl w:ilvl="2" w:tplc="204668FE" w:tentative="1">
      <w:start w:val="1"/>
      <w:numFmt w:val="lowerRoman"/>
      <w:lvlText w:val="%3."/>
      <w:lvlJc w:val="right"/>
      <w:pPr>
        <w:tabs>
          <w:tab w:val="num" w:pos="2160"/>
        </w:tabs>
        <w:ind w:left="2160" w:hanging="180"/>
      </w:pPr>
    </w:lvl>
    <w:lvl w:ilvl="3" w:tplc="447A85C8" w:tentative="1">
      <w:start w:val="1"/>
      <w:numFmt w:val="decimal"/>
      <w:lvlText w:val="%4."/>
      <w:lvlJc w:val="left"/>
      <w:pPr>
        <w:tabs>
          <w:tab w:val="num" w:pos="2880"/>
        </w:tabs>
        <w:ind w:left="2880" w:hanging="360"/>
      </w:pPr>
    </w:lvl>
    <w:lvl w:ilvl="4" w:tplc="C0949998">
      <w:start w:val="1"/>
      <w:numFmt w:val="lowerLetter"/>
      <w:lvlText w:val="%5."/>
      <w:lvlJc w:val="left"/>
      <w:pPr>
        <w:tabs>
          <w:tab w:val="num" w:pos="3600"/>
        </w:tabs>
        <w:ind w:left="3600" w:hanging="360"/>
      </w:pPr>
    </w:lvl>
    <w:lvl w:ilvl="5" w:tplc="CC56BE38">
      <w:start w:val="1"/>
      <w:numFmt w:val="lowerRoman"/>
      <w:lvlText w:val="%6."/>
      <w:lvlJc w:val="right"/>
      <w:pPr>
        <w:tabs>
          <w:tab w:val="num" w:pos="4320"/>
        </w:tabs>
        <w:ind w:left="4320" w:hanging="180"/>
      </w:pPr>
    </w:lvl>
    <w:lvl w:ilvl="6" w:tplc="0D306B9E" w:tentative="1">
      <w:start w:val="1"/>
      <w:numFmt w:val="decimal"/>
      <w:lvlText w:val="%7."/>
      <w:lvlJc w:val="left"/>
      <w:pPr>
        <w:tabs>
          <w:tab w:val="num" w:pos="5040"/>
        </w:tabs>
        <w:ind w:left="5040" w:hanging="360"/>
      </w:pPr>
    </w:lvl>
    <w:lvl w:ilvl="7" w:tplc="F5E62C96" w:tentative="1">
      <w:start w:val="1"/>
      <w:numFmt w:val="lowerLetter"/>
      <w:lvlText w:val="%8."/>
      <w:lvlJc w:val="left"/>
      <w:pPr>
        <w:tabs>
          <w:tab w:val="num" w:pos="5760"/>
        </w:tabs>
        <w:ind w:left="5760" w:hanging="360"/>
      </w:pPr>
    </w:lvl>
    <w:lvl w:ilvl="8" w:tplc="FF946138" w:tentative="1">
      <w:start w:val="1"/>
      <w:numFmt w:val="lowerRoman"/>
      <w:lvlText w:val="%9."/>
      <w:lvlJc w:val="right"/>
      <w:pPr>
        <w:tabs>
          <w:tab w:val="num" w:pos="6480"/>
        </w:tabs>
        <w:ind w:left="6480" w:hanging="180"/>
      </w:pPr>
    </w:lvl>
  </w:abstractNum>
  <w:abstractNum w:abstractNumId="12">
    <w:nsid w:val="50895FE3"/>
    <w:multiLevelType w:val="multilevel"/>
    <w:tmpl w:val="CFB0230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3">
    <w:nsid w:val="51487971"/>
    <w:multiLevelType w:val="multilevel"/>
    <w:tmpl w:val="1E5C0EAA"/>
    <w:styleLink w:val="AERnumberedlist"/>
    <w:lvl w:ilvl="0">
      <w:start w:val="1"/>
      <w:numFmt w:val="none"/>
      <w:lvlText w:val="%1"/>
      <w:lvlJc w:val="left"/>
      <w:pPr>
        <w:tabs>
          <w:tab w:val="num" w:pos="0"/>
        </w:tabs>
        <w:ind w:left="0" w:firstLine="0"/>
      </w:pPr>
      <w:rPr>
        <w:rFonts w:hint="default"/>
      </w:rPr>
    </w:lvl>
    <w:lvl w:ilvl="1">
      <w:start w:val="1"/>
      <w:numFmt w:val="bullet"/>
      <w:lvlText w:val=""/>
      <w:lvlJc w:val="left"/>
      <w:pPr>
        <w:tabs>
          <w:tab w:val="num" w:pos="357"/>
        </w:tabs>
        <w:ind w:left="357" w:hanging="357"/>
      </w:pPr>
      <w:rPr>
        <w:rFonts w:ascii="Symbol" w:hAnsi="Symbol"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357"/>
        </w:tabs>
        <w:ind w:left="357" w:hanging="357"/>
      </w:pPr>
      <w:rPr>
        <w:rFonts w:hint="default"/>
      </w:rPr>
    </w:lvl>
    <w:lvl w:ilvl="5">
      <w:start w:val="1"/>
      <w:numFmt w:val="lowerLetter"/>
      <w:lvlRestart w:val="2"/>
      <w:lvlText w:val="(%6)"/>
      <w:lvlJc w:val="left"/>
      <w:pPr>
        <w:tabs>
          <w:tab w:val="num" w:pos="720"/>
        </w:tabs>
        <w:ind w:left="720" w:hanging="363"/>
      </w:pPr>
      <w:rPr>
        <w:rFonts w:hint="default"/>
      </w:rPr>
    </w:lvl>
    <w:lvl w:ilvl="6">
      <w:start w:val="1"/>
      <w:numFmt w:val="lowerRoman"/>
      <w:lvlRestart w:val="3"/>
      <w:lvlText w:val="(%7)"/>
      <w:lvlJc w:val="left"/>
      <w:pPr>
        <w:tabs>
          <w:tab w:val="num" w:pos="1077"/>
        </w:tabs>
        <w:ind w:left="1077" w:hanging="357"/>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5AE679F7"/>
    <w:multiLevelType w:val="hybridMultilevel"/>
    <w:tmpl w:val="7EB8E4DC"/>
    <w:lvl w:ilvl="0" w:tplc="83B2D3EC">
      <w:start w:val="1"/>
      <w:numFmt w:val="bullet"/>
      <w:pStyle w:val="AERBullet1"/>
      <w:lvlText w:val=""/>
      <w:lvlJc w:val="left"/>
      <w:pPr>
        <w:tabs>
          <w:tab w:val="num" w:pos="360"/>
        </w:tabs>
        <w:ind w:left="360" w:hanging="360"/>
      </w:pPr>
      <w:rPr>
        <w:rFonts w:ascii="Wingdings" w:hAnsi="Wingdings" w:hint="default"/>
        <w:sz w:val="28"/>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5">
    <w:nsid w:val="62BF0570"/>
    <w:multiLevelType w:val="hybridMultilevel"/>
    <w:tmpl w:val="2C38EE7E"/>
    <w:lvl w:ilvl="0" w:tplc="09AC5D42">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0C090003" w:tentative="1">
      <w:start w:val="1"/>
      <w:numFmt w:val="bullet"/>
      <w:lvlText w:val="o"/>
      <w:lvlJc w:val="left"/>
      <w:pPr>
        <w:tabs>
          <w:tab w:val="num" w:pos="1590"/>
        </w:tabs>
        <w:ind w:left="1590" w:hanging="360"/>
      </w:pPr>
      <w:rPr>
        <w:rFonts w:ascii="Courier New" w:hAnsi="Courier New" w:cs="Courier New" w:hint="default"/>
      </w:rPr>
    </w:lvl>
    <w:lvl w:ilvl="2" w:tplc="0C090005" w:tentative="1">
      <w:start w:val="1"/>
      <w:numFmt w:val="bullet"/>
      <w:lvlText w:val=""/>
      <w:lvlJc w:val="left"/>
      <w:pPr>
        <w:tabs>
          <w:tab w:val="num" w:pos="2310"/>
        </w:tabs>
        <w:ind w:left="2310" w:hanging="360"/>
      </w:pPr>
      <w:rPr>
        <w:rFonts w:ascii="Wingdings" w:hAnsi="Wingdings" w:hint="default"/>
      </w:rPr>
    </w:lvl>
    <w:lvl w:ilvl="3" w:tplc="0C090001" w:tentative="1">
      <w:start w:val="1"/>
      <w:numFmt w:val="bullet"/>
      <w:lvlText w:val=""/>
      <w:lvlJc w:val="left"/>
      <w:pPr>
        <w:tabs>
          <w:tab w:val="num" w:pos="3030"/>
        </w:tabs>
        <w:ind w:left="3030" w:hanging="360"/>
      </w:pPr>
      <w:rPr>
        <w:rFonts w:ascii="Symbol" w:hAnsi="Symbol" w:hint="default"/>
      </w:rPr>
    </w:lvl>
    <w:lvl w:ilvl="4" w:tplc="0C090003" w:tentative="1">
      <w:start w:val="1"/>
      <w:numFmt w:val="bullet"/>
      <w:lvlText w:val="o"/>
      <w:lvlJc w:val="left"/>
      <w:pPr>
        <w:tabs>
          <w:tab w:val="num" w:pos="3750"/>
        </w:tabs>
        <w:ind w:left="3750" w:hanging="360"/>
      </w:pPr>
      <w:rPr>
        <w:rFonts w:ascii="Courier New" w:hAnsi="Courier New" w:cs="Courier New" w:hint="default"/>
      </w:rPr>
    </w:lvl>
    <w:lvl w:ilvl="5" w:tplc="0C090005" w:tentative="1">
      <w:start w:val="1"/>
      <w:numFmt w:val="bullet"/>
      <w:lvlText w:val=""/>
      <w:lvlJc w:val="left"/>
      <w:pPr>
        <w:tabs>
          <w:tab w:val="num" w:pos="4470"/>
        </w:tabs>
        <w:ind w:left="4470" w:hanging="360"/>
      </w:pPr>
      <w:rPr>
        <w:rFonts w:ascii="Wingdings" w:hAnsi="Wingdings" w:hint="default"/>
      </w:rPr>
    </w:lvl>
    <w:lvl w:ilvl="6" w:tplc="0C090001" w:tentative="1">
      <w:start w:val="1"/>
      <w:numFmt w:val="bullet"/>
      <w:lvlText w:val=""/>
      <w:lvlJc w:val="left"/>
      <w:pPr>
        <w:tabs>
          <w:tab w:val="num" w:pos="5190"/>
        </w:tabs>
        <w:ind w:left="5190" w:hanging="360"/>
      </w:pPr>
      <w:rPr>
        <w:rFonts w:ascii="Symbol" w:hAnsi="Symbol" w:hint="default"/>
      </w:rPr>
    </w:lvl>
    <w:lvl w:ilvl="7" w:tplc="0C090003" w:tentative="1">
      <w:start w:val="1"/>
      <w:numFmt w:val="bullet"/>
      <w:lvlText w:val="o"/>
      <w:lvlJc w:val="left"/>
      <w:pPr>
        <w:tabs>
          <w:tab w:val="num" w:pos="5910"/>
        </w:tabs>
        <w:ind w:left="5910" w:hanging="360"/>
      </w:pPr>
      <w:rPr>
        <w:rFonts w:ascii="Courier New" w:hAnsi="Courier New" w:cs="Courier New" w:hint="default"/>
      </w:rPr>
    </w:lvl>
    <w:lvl w:ilvl="8" w:tplc="0C090005" w:tentative="1">
      <w:start w:val="1"/>
      <w:numFmt w:val="bullet"/>
      <w:lvlText w:val=""/>
      <w:lvlJc w:val="left"/>
      <w:pPr>
        <w:tabs>
          <w:tab w:val="num" w:pos="6630"/>
        </w:tabs>
        <w:ind w:left="6630" w:hanging="360"/>
      </w:pPr>
      <w:rPr>
        <w:rFonts w:ascii="Wingdings" w:hAnsi="Wingdings" w:hint="default"/>
      </w:rPr>
    </w:lvl>
  </w:abstractNum>
  <w:abstractNum w:abstractNumId="16">
    <w:nsid w:val="713E3892"/>
    <w:multiLevelType w:val="multilevel"/>
    <w:tmpl w:val="98546364"/>
    <w:lvl w:ilvl="0">
      <w:start w:val="2"/>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0"/>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7">
    <w:nsid w:val="78F3491B"/>
    <w:multiLevelType w:val="multilevel"/>
    <w:tmpl w:val="0A222A44"/>
    <w:styleLink w:val="Style1"/>
    <w:lvl w:ilvl="0">
      <w:start w:val="2"/>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2"/>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8">
    <w:nsid w:val="7AEF67FF"/>
    <w:multiLevelType w:val="multilevel"/>
    <w:tmpl w:val="7AAEDBAA"/>
    <w:lvl w:ilvl="0">
      <w:start w:val="1"/>
      <w:numFmt w:val="bullet"/>
      <w:pStyle w:val="AERbulletlistfirststyle"/>
      <w:lvlText w:val=""/>
      <w:lvlJc w:val="left"/>
      <w:pPr>
        <w:tabs>
          <w:tab w:val="num" w:pos="357"/>
        </w:tabs>
        <w:ind w:left="357" w:hanging="357"/>
      </w:pPr>
      <w:rPr>
        <w:rFonts w:ascii="Wingdings" w:hAnsi="Wingdings" w:hint="default"/>
        <w:sz w:val="28"/>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8"/>
  </w:num>
  <w:num w:numId="3">
    <w:abstractNumId w:val="10"/>
  </w:num>
  <w:num w:numId="4">
    <w:abstractNumId w:val="18"/>
  </w:num>
  <w:num w:numId="5">
    <w:abstractNumId w:val="2"/>
  </w:num>
  <w:num w:numId="6">
    <w:abstractNumId w:val="15"/>
  </w:num>
  <w:num w:numId="7">
    <w:abstractNumId w:val="11"/>
  </w:num>
  <w:num w:numId="8">
    <w:abstractNumId w:val="7"/>
  </w:num>
  <w:num w:numId="9">
    <w:abstractNumId w:val="5"/>
  </w:num>
  <w:num w:numId="10">
    <w:abstractNumId w:val="9"/>
  </w:num>
  <w:num w:numId="11">
    <w:abstractNumId w:val="0"/>
  </w:num>
  <w:num w:numId="12">
    <w:abstractNumId w:val="12"/>
  </w:num>
  <w:num w:numId="13">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4">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5">
    <w:abstractNumId w:val="4"/>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lvl w:ilvl="0">
        <w:start w:val="1"/>
        <w:numFmt w:val="decimal"/>
        <w:lvlText w:val="%1"/>
        <w:lvlJc w:val="left"/>
        <w:pPr>
          <w:tabs>
            <w:tab w:val="num" w:pos="851"/>
          </w:tabs>
          <w:ind w:left="851" w:hanging="851"/>
        </w:pPr>
        <w:rPr>
          <w:rFonts w:hint="default"/>
        </w:rPr>
      </w:lvl>
    </w:lvlOverride>
    <w:lvlOverride w:ilvl="1">
      <w:lvl w:ilvl="1">
        <w:start w:val="1"/>
        <w:numFmt w:val="decimal"/>
        <w:lvlText w:val="%1.%2"/>
        <w:lvlJc w:val="left"/>
        <w:pPr>
          <w:tabs>
            <w:tab w:val="num" w:pos="851"/>
          </w:tabs>
          <w:ind w:left="851" w:hanging="851"/>
        </w:pPr>
        <w:rPr>
          <w:rFonts w:hint="default"/>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851"/>
          </w:tabs>
          <w:ind w:left="851" w:hanging="851"/>
        </w:pPr>
        <w:rPr>
          <w:rFonts w:hint="default"/>
        </w:rPr>
      </w:lvl>
    </w:lvlOverride>
    <w:lvlOverride w:ilvl="4">
      <w:lvl w:ilvl="4">
        <w:start w:val="1"/>
        <w:numFmt w:val="decimal"/>
        <w:lvlRestart w:val="1"/>
        <w:lvlText w:val="Table %1.%5"/>
        <w:lvlJc w:val="left"/>
        <w:pPr>
          <w:tabs>
            <w:tab w:val="num" w:pos="1361"/>
          </w:tabs>
          <w:ind w:left="1361" w:hanging="1361"/>
        </w:pPr>
        <w:rPr>
          <w:rFonts w:hint="default"/>
        </w:rPr>
      </w:lvl>
    </w:lvlOverride>
    <w:lvlOverride w:ilvl="5">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Override>
    <w:lvlOverride w:ilvl="6">
      <w:lvl w:ilvl="6">
        <w:start w:val="1"/>
        <w:numFmt w:val="lowerLetter"/>
        <w:lvlRestart w:val="0"/>
        <w:lvlText w:val="Figure 2.2 (%7)"/>
        <w:lvlJc w:val="left"/>
        <w:pPr>
          <w:tabs>
            <w:tab w:val="num" w:pos="1361"/>
          </w:tabs>
          <w:ind w:left="1361" w:hanging="1361"/>
        </w:pPr>
        <w:rPr>
          <w:rFonts w:hint="default"/>
        </w:rPr>
      </w:lvl>
    </w:lvlOverride>
    <w:lvlOverride w:ilvl="7">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Override>
    <w:lvlOverride w:ilvl="8">
      <w:lvl w:ilvl="8">
        <w:start w:val="1"/>
        <w:numFmt w:val="none"/>
        <w:lvlText w:val=""/>
        <w:lvlJc w:val="right"/>
        <w:pPr>
          <w:tabs>
            <w:tab w:val="num" w:pos="1584"/>
          </w:tabs>
          <w:ind w:left="1584" w:hanging="144"/>
        </w:pPr>
        <w:rPr>
          <w:rFonts w:hint="default"/>
        </w:rPr>
      </w:lvl>
    </w:lvlOverride>
  </w:num>
  <w:num w:numId="18">
    <w:abstractNumId w:val="12"/>
    <w:lvlOverride w:ilvl="0">
      <w:lvl w:ilvl="0">
        <w:start w:val="1"/>
        <w:numFmt w:val="decimal"/>
        <w:lvlText w:val="%1"/>
        <w:lvlJc w:val="left"/>
        <w:pPr>
          <w:tabs>
            <w:tab w:val="num" w:pos="851"/>
          </w:tabs>
          <w:ind w:left="851" w:hanging="851"/>
        </w:pPr>
        <w:rPr>
          <w:rFonts w:hint="default"/>
        </w:rPr>
      </w:lvl>
    </w:lvlOverride>
    <w:lvlOverride w:ilvl="1">
      <w:lvl w:ilvl="1">
        <w:start w:val="1"/>
        <w:numFmt w:val="decimal"/>
        <w:lvlText w:val="%1.%2"/>
        <w:lvlJc w:val="left"/>
        <w:pPr>
          <w:tabs>
            <w:tab w:val="num" w:pos="851"/>
          </w:tabs>
          <w:ind w:left="851" w:hanging="851"/>
        </w:pPr>
        <w:rPr>
          <w:rFonts w:hint="default"/>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851"/>
          </w:tabs>
          <w:ind w:left="851" w:hanging="851"/>
        </w:pPr>
        <w:rPr>
          <w:rFonts w:hint="default"/>
        </w:rPr>
      </w:lvl>
    </w:lvlOverride>
    <w:lvlOverride w:ilvl="4">
      <w:lvl w:ilvl="4">
        <w:start w:val="1"/>
        <w:numFmt w:val="decimal"/>
        <w:lvlRestart w:val="1"/>
        <w:lvlText w:val="Table %1.%5"/>
        <w:lvlJc w:val="left"/>
        <w:pPr>
          <w:tabs>
            <w:tab w:val="num" w:pos="1361"/>
          </w:tabs>
          <w:ind w:left="1361" w:hanging="1361"/>
        </w:pPr>
        <w:rPr>
          <w:rFonts w:hint="default"/>
        </w:rPr>
      </w:lvl>
    </w:lvlOverride>
    <w:lvlOverride w:ilvl="5">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Override>
    <w:lvlOverride w:ilvl="6">
      <w:lvl w:ilvl="6">
        <w:start w:val="1"/>
        <w:numFmt w:val="lowerLetter"/>
        <w:lvlRestart w:val="0"/>
        <w:lvlText w:val="Figure 2.2 (%7)"/>
        <w:lvlJc w:val="left"/>
        <w:pPr>
          <w:tabs>
            <w:tab w:val="num" w:pos="1361"/>
          </w:tabs>
          <w:ind w:left="1361" w:hanging="1361"/>
        </w:pPr>
        <w:rPr>
          <w:rFonts w:hint="default"/>
        </w:rPr>
      </w:lvl>
    </w:lvlOverride>
    <w:lvlOverride w:ilvl="7">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Override>
    <w:lvlOverride w:ilvl="8">
      <w:lvl w:ilvl="8">
        <w:start w:val="1"/>
        <w:numFmt w:val="none"/>
        <w:lvlText w:val=""/>
        <w:lvlJc w:val="right"/>
        <w:pPr>
          <w:tabs>
            <w:tab w:val="num" w:pos="1584"/>
          </w:tabs>
          <w:ind w:left="1584" w:hanging="144"/>
        </w:pPr>
        <w:rPr>
          <w:rFonts w:hint="default"/>
        </w:rPr>
      </w:lvl>
    </w:lvlOverride>
  </w:num>
  <w:num w:numId="19">
    <w:abstractNumId w:val="16"/>
  </w:num>
  <w:num w:numId="20">
    <w:abstractNumId w:val="17"/>
  </w:num>
  <w:num w:numId="21">
    <w:abstractNumId w:val="1"/>
  </w:num>
  <w:num w:numId="22">
    <w:abstractNumId w:val="6"/>
  </w:num>
  <w:num w:numId="23">
    <w:abstractNumId w:val="3"/>
  </w:num>
  <w:num w:numId="24">
    <w:abstractNumId w:val="3"/>
    <w:lvlOverride w:ilvl="0">
      <w:lvl w:ilvl="0">
        <w:start w:val="1"/>
        <w:numFmt w:val="none"/>
        <w:pStyle w:val="Heading1"/>
        <w:lvlText w:val="%1"/>
        <w:lvlJc w:val="left"/>
        <w:pPr>
          <w:ind w:left="0" w:firstLine="0"/>
        </w:pPr>
        <w:rPr>
          <w:rFonts w:ascii="Arial Bold" w:hAnsi="Arial Bold" w:hint="default"/>
          <w:b/>
          <w:i w:val="0"/>
          <w:color w:val="365F91" w:themeColor="accent1" w:themeShade="BF"/>
          <w:sz w:val="32"/>
        </w:rPr>
      </w:lvl>
    </w:lvlOverride>
    <w:lvlOverride w:ilvl="1">
      <w:lvl w:ilvl="1">
        <w:start w:val="1"/>
        <w:numFmt w:val="decimal"/>
        <w:pStyle w:val="Heading2"/>
        <w:lvlText w:val="Figure %2"/>
        <w:lvlJc w:val="left"/>
        <w:pPr>
          <w:ind w:left="0" w:firstLine="0"/>
        </w:pPr>
        <w:rPr>
          <w:rFonts w:ascii="Arial Bold" w:hAnsi="Arial Bold" w:hint="default"/>
          <w:b/>
          <w:i w:val="0"/>
          <w:color w:val="365F91" w:themeColor="accent1" w:themeShade="BF"/>
          <w:sz w:val="24"/>
        </w:rPr>
      </w:lvl>
    </w:lvlOverride>
    <w:lvlOverride w:ilvl="2">
      <w:lvl w:ilvl="2">
        <w:start w:val="1"/>
        <w:numFmt w:val="decimal"/>
        <w:pStyle w:val="Heading3"/>
        <w:lvlText w:val="%3"/>
        <w:lvlJc w:val="left"/>
        <w:pPr>
          <w:ind w:left="0" w:firstLine="0"/>
        </w:pPr>
        <w:rPr>
          <w:rFonts w:ascii="Arial Bold" w:hAnsi="Arial Bold" w:hint="default"/>
          <w:b/>
          <w:i w:val="0"/>
          <w:color w:val="365F91" w:themeColor="accent1" w:themeShade="BF"/>
          <w:sz w:val="24"/>
        </w:rPr>
      </w:lvl>
    </w:lvlOverride>
    <w:lvlOverride w:ilvl="3">
      <w:lvl w:ilvl="3">
        <w:start w:val="1"/>
        <w:numFmt w:val="decimal"/>
        <w:pStyle w:val="Heading4"/>
        <w:lvlText w:val="Figure %3.%4"/>
        <w:lvlJc w:val="left"/>
        <w:pPr>
          <w:ind w:left="0" w:firstLine="0"/>
        </w:pPr>
        <w:rPr>
          <w:rFonts w:ascii="Arial Bold" w:hAnsi="Arial Bold" w:hint="default"/>
          <w:b/>
          <w:i w:val="0"/>
          <w:color w:val="365F91" w:themeColor="accent1" w:themeShade="BF"/>
          <w:sz w:val="24"/>
        </w:rPr>
      </w:lvl>
    </w:lvlOverride>
    <w:lvlOverride w:ilvl="4">
      <w:lvl w:ilvl="4">
        <w:start w:val="1"/>
        <w:numFmt w:val="lowerLetter"/>
        <w:lvlText w:val="(%5)"/>
        <w:lvlJc w:val="left"/>
        <w:pPr>
          <w:ind w:left="0" w:firstLine="0"/>
        </w:pPr>
        <w:rPr>
          <w:rFonts w:hint="default"/>
        </w:rPr>
      </w:lvl>
    </w:lvlOverride>
    <w:lvlOverride w:ilvl="5">
      <w:lvl w:ilvl="5">
        <w:start w:val="1"/>
        <w:numFmt w:val="lowerRoman"/>
        <w:lvlText w:val="(%6)"/>
        <w:lvlJc w:val="left"/>
        <w:pPr>
          <w:ind w:left="0" w:firstLine="0"/>
        </w:pPr>
        <w:rPr>
          <w:rFonts w:hint="default"/>
        </w:rPr>
      </w:lvl>
    </w:lvlOverride>
    <w:lvlOverride w:ilvl="6">
      <w:lvl w:ilvl="6">
        <w:start w:val="1"/>
        <w:numFmt w:val="decimal"/>
        <w:lvlText w:val="%7."/>
        <w:lvlJc w:val="left"/>
        <w:pPr>
          <w:ind w:left="0" w:firstLine="0"/>
        </w:pPr>
        <w:rPr>
          <w:rFonts w:hint="default"/>
        </w:rPr>
      </w:lvl>
    </w:lvlOverride>
    <w:lvlOverride w:ilvl="7">
      <w:lvl w:ilvl="7">
        <w:start w:val="1"/>
        <w:numFmt w:val="lowerLetter"/>
        <w:lvlText w:val="%8."/>
        <w:lvlJc w:val="left"/>
        <w:pPr>
          <w:ind w:left="0" w:firstLine="0"/>
        </w:pPr>
        <w:rPr>
          <w:rFonts w:hint="default"/>
        </w:rPr>
      </w:lvl>
    </w:lvlOverride>
    <w:lvlOverride w:ilvl="8">
      <w:lvl w:ilvl="8">
        <w:start w:val="1"/>
        <w:numFmt w:val="lowerRoman"/>
        <w:lvlText w:val="%9."/>
        <w:lvlJc w:val="left"/>
        <w:pPr>
          <w:ind w:left="0" w:firstLine="0"/>
        </w:pPr>
        <w:rPr>
          <w:rFonts w:hint="default"/>
        </w:rPr>
      </w:lvl>
    </w:lvlOverride>
  </w:num>
  <w:num w:numId="25">
    <w:abstractNumId w:val="3"/>
  </w:num>
  <w:num w:numId="26">
    <w:abstractNumId w:val="3"/>
  </w:num>
  <w:num w:numId="27">
    <w:abstractNumId w:val="3"/>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 w:numId="30">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characterSpacingControl w:val="doNotCompress"/>
  <w:hdrShapeDefaults>
    <o:shapedefaults v:ext="edit" spidmax="5939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cdchnas-evs02\home$\wvosp\Desktop\AER gas weekly report - 13 – 19 December 2015.docx"/>
  </w:docVars>
  <w:rsids>
    <w:rsidRoot w:val="005F18AD"/>
    <w:rsid w:val="000013C1"/>
    <w:rsid w:val="00001BFB"/>
    <w:rsid w:val="00002313"/>
    <w:rsid w:val="00004A63"/>
    <w:rsid w:val="00010025"/>
    <w:rsid w:val="000123CA"/>
    <w:rsid w:val="00014986"/>
    <w:rsid w:val="00020978"/>
    <w:rsid w:val="0002268D"/>
    <w:rsid w:val="00027115"/>
    <w:rsid w:val="000323BA"/>
    <w:rsid w:val="00033456"/>
    <w:rsid w:val="00040F6B"/>
    <w:rsid w:val="000552AF"/>
    <w:rsid w:val="00055584"/>
    <w:rsid w:val="00061656"/>
    <w:rsid w:val="0006609A"/>
    <w:rsid w:val="00073D01"/>
    <w:rsid w:val="00076046"/>
    <w:rsid w:val="000813BF"/>
    <w:rsid w:val="0008491C"/>
    <w:rsid w:val="00085092"/>
    <w:rsid w:val="000876E7"/>
    <w:rsid w:val="00093854"/>
    <w:rsid w:val="000974A2"/>
    <w:rsid w:val="00097D40"/>
    <w:rsid w:val="000B4A1F"/>
    <w:rsid w:val="000B6397"/>
    <w:rsid w:val="000B69E0"/>
    <w:rsid w:val="000B7FAF"/>
    <w:rsid w:val="000C2657"/>
    <w:rsid w:val="000D1FEB"/>
    <w:rsid w:val="000E1F9A"/>
    <w:rsid w:val="000F0BBB"/>
    <w:rsid w:val="000F2287"/>
    <w:rsid w:val="000F3B46"/>
    <w:rsid w:val="000F59F8"/>
    <w:rsid w:val="000F5F5E"/>
    <w:rsid w:val="000F6D05"/>
    <w:rsid w:val="00113D67"/>
    <w:rsid w:val="00117C98"/>
    <w:rsid w:val="00125818"/>
    <w:rsid w:val="001347FC"/>
    <w:rsid w:val="001420EB"/>
    <w:rsid w:val="001452B3"/>
    <w:rsid w:val="00150A19"/>
    <w:rsid w:val="00153729"/>
    <w:rsid w:val="001544BD"/>
    <w:rsid w:val="00157AFD"/>
    <w:rsid w:val="001608BE"/>
    <w:rsid w:val="001656C3"/>
    <w:rsid w:val="00171BD5"/>
    <w:rsid w:val="00181F4A"/>
    <w:rsid w:val="001831BF"/>
    <w:rsid w:val="001835B2"/>
    <w:rsid w:val="00183D85"/>
    <w:rsid w:val="00191758"/>
    <w:rsid w:val="00193ECC"/>
    <w:rsid w:val="001A41B4"/>
    <w:rsid w:val="001A5893"/>
    <w:rsid w:val="001A5B94"/>
    <w:rsid w:val="001A5C1A"/>
    <w:rsid w:val="001A765F"/>
    <w:rsid w:val="001B294E"/>
    <w:rsid w:val="001B2ADA"/>
    <w:rsid w:val="001B3823"/>
    <w:rsid w:val="001C006C"/>
    <w:rsid w:val="001C5A74"/>
    <w:rsid w:val="001E79FF"/>
    <w:rsid w:val="001F0F9B"/>
    <w:rsid w:val="002052B6"/>
    <w:rsid w:val="00205786"/>
    <w:rsid w:val="00206559"/>
    <w:rsid w:val="002168D4"/>
    <w:rsid w:val="002312F5"/>
    <w:rsid w:val="00231B0A"/>
    <w:rsid w:val="00233988"/>
    <w:rsid w:val="00234764"/>
    <w:rsid w:val="00252A22"/>
    <w:rsid w:val="00254746"/>
    <w:rsid w:val="00266CA5"/>
    <w:rsid w:val="0026725A"/>
    <w:rsid w:val="0026764C"/>
    <w:rsid w:val="00270B82"/>
    <w:rsid w:val="002765A2"/>
    <w:rsid w:val="00285E00"/>
    <w:rsid w:val="002861A9"/>
    <w:rsid w:val="00290C57"/>
    <w:rsid w:val="002910A1"/>
    <w:rsid w:val="002A0CD1"/>
    <w:rsid w:val="002A30E7"/>
    <w:rsid w:val="002A3E5D"/>
    <w:rsid w:val="002A46AC"/>
    <w:rsid w:val="002A5634"/>
    <w:rsid w:val="002B1803"/>
    <w:rsid w:val="002B3D3C"/>
    <w:rsid w:val="002B4D21"/>
    <w:rsid w:val="002C0499"/>
    <w:rsid w:val="002C2576"/>
    <w:rsid w:val="002D0C16"/>
    <w:rsid w:val="002D59B3"/>
    <w:rsid w:val="002D5CEC"/>
    <w:rsid w:val="002E0688"/>
    <w:rsid w:val="002E2C96"/>
    <w:rsid w:val="002E2E46"/>
    <w:rsid w:val="002E7E9E"/>
    <w:rsid w:val="002F0AE7"/>
    <w:rsid w:val="002F139A"/>
    <w:rsid w:val="002F4250"/>
    <w:rsid w:val="0030240F"/>
    <w:rsid w:val="00310156"/>
    <w:rsid w:val="00311A09"/>
    <w:rsid w:val="00314A8B"/>
    <w:rsid w:val="00320141"/>
    <w:rsid w:val="003216CA"/>
    <w:rsid w:val="0032174C"/>
    <w:rsid w:val="00323327"/>
    <w:rsid w:val="00330B70"/>
    <w:rsid w:val="003314EE"/>
    <w:rsid w:val="003348F7"/>
    <w:rsid w:val="00336E8E"/>
    <w:rsid w:val="003410C4"/>
    <w:rsid w:val="00345444"/>
    <w:rsid w:val="00347FBB"/>
    <w:rsid w:val="003548AA"/>
    <w:rsid w:val="0035758F"/>
    <w:rsid w:val="00357C72"/>
    <w:rsid w:val="003625A6"/>
    <w:rsid w:val="00362B9A"/>
    <w:rsid w:val="003632A4"/>
    <w:rsid w:val="003664D0"/>
    <w:rsid w:val="00366BDF"/>
    <w:rsid w:val="00372976"/>
    <w:rsid w:val="00374CF9"/>
    <w:rsid w:val="003800B4"/>
    <w:rsid w:val="00387B66"/>
    <w:rsid w:val="00396C2C"/>
    <w:rsid w:val="00396C7A"/>
    <w:rsid w:val="003977B4"/>
    <w:rsid w:val="003B0AAD"/>
    <w:rsid w:val="003B65E0"/>
    <w:rsid w:val="003C5272"/>
    <w:rsid w:val="003C5482"/>
    <w:rsid w:val="003D59BF"/>
    <w:rsid w:val="003E313D"/>
    <w:rsid w:val="003F3391"/>
    <w:rsid w:val="003F44AD"/>
    <w:rsid w:val="003F44B7"/>
    <w:rsid w:val="003F51E6"/>
    <w:rsid w:val="003F7FD2"/>
    <w:rsid w:val="0040076C"/>
    <w:rsid w:val="004055AC"/>
    <w:rsid w:val="00411C3F"/>
    <w:rsid w:val="004149DB"/>
    <w:rsid w:val="00421FFF"/>
    <w:rsid w:val="00433231"/>
    <w:rsid w:val="00434FC1"/>
    <w:rsid w:val="004420C4"/>
    <w:rsid w:val="00442756"/>
    <w:rsid w:val="00445D38"/>
    <w:rsid w:val="00447C09"/>
    <w:rsid w:val="004505EA"/>
    <w:rsid w:val="0045204B"/>
    <w:rsid w:val="00452149"/>
    <w:rsid w:val="00452AAD"/>
    <w:rsid w:val="004560B0"/>
    <w:rsid w:val="00460629"/>
    <w:rsid w:val="00463EFA"/>
    <w:rsid w:val="004777B8"/>
    <w:rsid w:val="004814EE"/>
    <w:rsid w:val="00483EDA"/>
    <w:rsid w:val="00491029"/>
    <w:rsid w:val="00492501"/>
    <w:rsid w:val="00496CEF"/>
    <w:rsid w:val="004A09D6"/>
    <w:rsid w:val="004A10A7"/>
    <w:rsid w:val="004B068E"/>
    <w:rsid w:val="004B18D8"/>
    <w:rsid w:val="004B2256"/>
    <w:rsid w:val="004B2A1A"/>
    <w:rsid w:val="004B5AEA"/>
    <w:rsid w:val="004B6D60"/>
    <w:rsid w:val="004D09C9"/>
    <w:rsid w:val="004D1EBF"/>
    <w:rsid w:val="004D3B99"/>
    <w:rsid w:val="004D3E78"/>
    <w:rsid w:val="004E20BF"/>
    <w:rsid w:val="004F3D13"/>
    <w:rsid w:val="00502181"/>
    <w:rsid w:val="00505139"/>
    <w:rsid w:val="00514A82"/>
    <w:rsid w:val="005157B0"/>
    <w:rsid w:val="005178FC"/>
    <w:rsid w:val="00522E00"/>
    <w:rsid w:val="005244DA"/>
    <w:rsid w:val="00524B11"/>
    <w:rsid w:val="00527765"/>
    <w:rsid w:val="0053609E"/>
    <w:rsid w:val="00541108"/>
    <w:rsid w:val="00547827"/>
    <w:rsid w:val="00563C94"/>
    <w:rsid w:val="00564C71"/>
    <w:rsid w:val="0056618C"/>
    <w:rsid w:val="0058198F"/>
    <w:rsid w:val="00582F1C"/>
    <w:rsid w:val="005859CC"/>
    <w:rsid w:val="00586C57"/>
    <w:rsid w:val="00587CD1"/>
    <w:rsid w:val="005A1650"/>
    <w:rsid w:val="005A4569"/>
    <w:rsid w:val="005A6687"/>
    <w:rsid w:val="005A77AC"/>
    <w:rsid w:val="005C4B8B"/>
    <w:rsid w:val="005C68CE"/>
    <w:rsid w:val="005D1037"/>
    <w:rsid w:val="005D4097"/>
    <w:rsid w:val="005D6652"/>
    <w:rsid w:val="005E3DFB"/>
    <w:rsid w:val="005E4C48"/>
    <w:rsid w:val="005F18AD"/>
    <w:rsid w:val="005F31D0"/>
    <w:rsid w:val="00601A25"/>
    <w:rsid w:val="00601C18"/>
    <w:rsid w:val="00601E71"/>
    <w:rsid w:val="0060661E"/>
    <w:rsid w:val="00612663"/>
    <w:rsid w:val="00642B9F"/>
    <w:rsid w:val="00645036"/>
    <w:rsid w:val="00647DD2"/>
    <w:rsid w:val="006520EE"/>
    <w:rsid w:val="00652A42"/>
    <w:rsid w:val="006540A8"/>
    <w:rsid w:val="006705A4"/>
    <w:rsid w:val="006722EB"/>
    <w:rsid w:val="00686F6E"/>
    <w:rsid w:val="00697E41"/>
    <w:rsid w:val="006A5317"/>
    <w:rsid w:val="006A7228"/>
    <w:rsid w:val="006B004C"/>
    <w:rsid w:val="006C1858"/>
    <w:rsid w:val="006C242A"/>
    <w:rsid w:val="006C2B2B"/>
    <w:rsid w:val="006C57B2"/>
    <w:rsid w:val="006C5A2C"/>
    <w:rsid w:val="006C6D60"/>
    <w:rsid w:val="006D6E0B"/>
    <w:rsid w:val="006E1063"/>
    <w:rsid w:val="006E312B"/>
    <w:rsid w:val="006E40BD"/>
    <w:rsid w:val="006E7E57"/>
    <w:rsid w:val="006F4169"/>
    <w:rsid w:val="007001FF"/>
    <w:rsid w:val="007059A9"/>
    <w:rsid w:val="00706720"/>
    <w:rsid w:val="00710600"/>
    <w:rsid w:val="0071106C"/>
    <w:rsid w:val="00715BED"/>
    <w:rsid w:val="00716B82"/>
    <w:rsid w:val="007201F8"/>
    <w:rsid w:val="007209C0"/>
    <w:rsid w:val="00722B62"/>
    <w:rsid w:val="0072650E"/>
    <w:rsid w:val="007306EC"/>
    <w:rsid w:val="00740EE4"/>
    <w:rsid w:val="00747724"/>
    <w:rsid w:val="00750C0F"/>
    <w:rsid w:val="00763150"/>
    <w:rsid w:val="0076429B"/>
    <w:rsid w:val="00767397"/>
    <w:rsid w:val="00773AE0"/>
    <w:rsid w:val="00776BBA"/>
    <w:rsid w:val="00780129"/>
    <w:rsid w:val="00781A4A"/>
    <w:rsid w:val="00791198"/>
    <w:rsid w:val="007941C2"/>
    <w:rsid w:val="00795966"/>
    <w:rsid w:val="007966A5"/>
    <w:rsid w:val="007A12DE"/>
    <w:rsid w:val="007A24B5"/>
    <w:rsid w:val="007A51E1"/>
    <w:rsid w:val="007A7E7A"/>
    <w:rsid w:val="007B7771"/>
    <w:rsid w:val="007D470C"/>
    <w:rsid w:val="007D4B14"/>
    <w:rsid w:val="007D4F53"/>
    <w:rsid w:val="007D7254"/>
    <w:rsid w:val="007E52F7"/>
    <w:rsid w:val="007E5F68"/>
    <w:rsid w:val="0080456D"/>
    <w:rsid w:val="00811D1C"/>
    <w:rsid w:val="008133CF"/>
    <w:rsid w:val="008170C0"/>
    <w:rsid w:val="008205ED"/>
    <w:rsid w:val="0082168C"/>
    <w:rsid w:val="008344A6"/>
    <w:rsid w:val="00847BA4"/>
    <w:rsid w:val="00875D0C"/>
    <w:rsid w:val="008776EF"/>
    <w:rsid w:val="00882958"/>
    <w:rsid w:val="008936C5"/>
    <w:rsid w:val="00895965"/>
    <w:rsid w:val="008A6DB5"/>
    <w:rsid w:val="008B4A16"/>
    <w:rsid w:val="008B7161"/>
    <w:rsid w:val="008C0EC8"/>
    <w:rsid w:val="008C268E"/>
    <w:rsid w:val="008C7F3A"/>
    <w:rsid w:val="008D39F4"/>
    <w:rsid w:val="008D4DAB"/>
    <w:rsid w:val="008D70A4"/>
    <w:rsid w:val="008E2239"/>
    <w:rsid w:val="008E24DA"/>
    <w:rsid w:val="008F4BF5"/>
    <w:rsid w:val="008F4EAE"/>
    <w:rsid w:val="008F5409"/>
    <w:rsid w:val="0090044A"/>
    <w:rsid w:val="00900CEB"/>
    <w:rsid w:val="00903620"/>
    <w:rsid w:val="009136B3"/>
    <w:rsid w:val="009143E0"/>
    <w:rsid w:val="0091453B"/>
    <w:rsid w:val="00936A7B"/>
    <w:rsid w:val="00937543"/>
    <w:rsid w:val="00942622"/>
    <w:rsid w:val="00942640"/>
    <w:rsid w:val="00947C34"/>
    <w:rsid w:val="00950C55"/>
    <w:rsid w:val="00951926"/>
    <w:rsid w:val="00956CE9"/>
    <w:rsid w:val="009629B5"/>
    <w:rsid w:val="00976584"/>
    <w:rsid w:val="00987973"/>
    <w:rsid w:val="00990F83"/>
    <w:rsid w:val="009962A0"/>
    <w:rsid w:val="009A04DD"/>
    <w:rsid w:val="009A1BBA"/>
    <w:rsid w:val="009B2F99"/>
    <w:rsid w:val="009B4053"/>
    <w:rsid w:val="009B48FB"/>
    <w:rsid w:val="009B6259"/>
    <w:rsid w:val="009B77E9"/>
    <w:rsid w:val="009B7937"/>
    <w:rsid w:val="009C2C0E"/>
    <w:rsid w:val="009C30E2"/>
    <w:rsid w:val="009C4CBD"/>
    <w:rsid w:val="009C7F8C"/>
    <w:rsid w:val="009D2B17"/>
    <w:rsid w:val="009D7763"/>
    <w:rsid w:val="009D7D0F"/>
    <w:rsid w:val="009E18FE"/>
    <w:rsid w:val="009E74E3"/>
    <w:rsid w:val="009F43B1"/>
    <w:rsid w:val="009F4655"/>
    <w:rsid w:val="009F4DF7"/>
    <w:rsid w:val="009F6FA3"/>
    <w:rsid w:val="00A0223D"/>
    <w:rsid w:val="00A13F97"/>
    <w:rsid w:val="00A156EE"/>
    <w:rsid w:val="00A200D0"/>
    <w:rsid w:val="00A26940"/>
    <w:rsid w:val="00A270DD"/>
    <w:rsid w:val="00A324A8"/>
    <w:rsid w:val="00A349B0"/>
    <w:rsid w:val="00A475A2"/>
    <w:rsid w:val="00A51DDD"/>
    <w:rsid w:val="00A55660"/>
    <w:rsid w:val="00A55C96"/>
    <w:rsid w:val="00A642B8"/>
    <w:rsid w:val="00A66FD2"/>
    <w:rsid w:val="00A67716"/>
    <w:rsid w:val="00A677D8"/>
    <w:rsid w:val="00A71E47"/>
    <w:rsid w:val="00A834DF"/>
    <w:rsid w:val="00A91C53"/>
    <w:rsid w:val="00A936AE"/>
    <w:rsid w:val="00AA1D87"/>
    <w:rsid w:val="00AD3EBD"/>
    <w:rsid w:val="00AE03A4"/>
    <w:rsid w:val="00AE309F"/>
    <w:rsid w:val="00AE4633"/>
    <w:rsid w:val="00AE748C"/>
    <w:rsid w:val="00AF2164"/>
    <w:rsid w:val="00AF2281"/>
    <w:rsid w:val="00B00058"/>
    <w:rsid w:val="00B015F8"/>
    <w:rsid w:val="00B1081E"/>
    <w:rsid w:val="00B16118"/>
    <w:rsid w:val="00B17A8A"/>
    <w:rsid w:val="00B24A61"/>
    <w:rsid w:val="00B254F8"/>
    <w:rsid w:val="00B30EB3"/>
    <w:rsid w:val="00B3322A"/>
    <w:rsid w:val="00B33F8C"/>
    <w:rsid w:val="00B4302A"/>
    <w:rsid w:val="00B4661F"/>
    <w:rsid w:val="00B46A79"/>
    <w:rsid w:val="00B507D2"/>
    <w:rsid w:val="00B529D0"/>
    <w:rsid w:val="00B56814"/>
    <w:rsid w:val="00B60F88"/>
    <w:rsid w:val="00B61751"/>
    <w:rsid w:val="00B659EE"/>
    <w:rsid w:val="00B66BAB"/>
    <w:rsid w:val="00B66E50"/>
    <w:rsid w:val="00B70A9F"/>
    <w:rsid w:val="00B71A5E"/>
    <w:rsid w:val="00B76529"/>
    <w:rsid w:val="00B82478"/>
    <w:rsid w:val="00B8698C"/>
    <w:rsid w:val="00B9666A"/>
    <w:rsid w:val="00BA16E2"/>
    <w:rsid w:val="00BA31C3"/>
    <w:rsid w:val="00BA65E6"/>
    <w:rsid w:val="00BA6C2E"/>
    <w:rsid w:val="00BB2FF6"/>
    <w:rsid w:val="00BC18FB"/>
    <w:rsid w:val="00BC21AB"/>
    <w:rsid w:val="00BC254C"/>
    <w:rsid w:val="00BC4C5B"/>
    <w:rsid w:val="00BC77F9"/>
    <w:rsid w:val="00BD3A40"/>
    <w:rsid w:val="00BD60AA"/>
    <w:rsid w:val="00BE18D0"/>
    <w:rsid w:val="00BE240C"/>
    <w:rsid w:val="00BE4577"/>
    <w:rsid w:val="00BF1D01"/>
    <w:rsid w:val="00BF3080"/>
    <w:rsid w:val="00C12B36"/>
    <w:rsid w:val="00C21D81"/>
    <w:rsid w:val="00C25FEB"/>
    <w:rsid w:val="00C26B1D"/>
    <w:rsid w:val="00C26E38"/>
    <w:rsid w:val="00C3163F"/>
    <w:rsid w:val="00C560C2"/>
    <w:rsid w:val="00C60857"/>
    <w:rsid w:val="00C75920"/>
    <w:rsid w:val="00C80FD8"/>
    <w:rsid w:val="00C83657"/>
    <w:rsid w:val="00C859CC"/>
    <w:rsid w:val="00C94431"/>
    <w:rsid w:val="00C9498F"/>
    <w:rsid w:val="00CA0EE1"/>
    <w:rsid w:val="00CB0C0E"/>
    <w:rsid w:val="00CC300D"/>
    <w:rsid w:val="00CC385B"/>
    <w:rsid w:val="00CC4A35"/>
    <w:rsid w:val="00CD3544"/>
    <w:rsid w:val="00CE48FC"/>
    <w:rsid w:val="00CE58FB"/>
    <w:rsid w:val="00CE5DB6"/>
    <w:rsid w:val="00CE75EF"/>
    <w:rsid w:val="00CF32A8"/>
    <w:rsid w:val="00CF53CA"/>
    <w:rsid w:val="00CF5471"/>
    <w:rsid w:val="00D10FA6"/>
    <w:rsid w:val="00D11DDB"/>
    <w:rsid w:val="00D161D7"/>
    <w:rsid w:val="00D1641C"/>
    <w:rsid w:val="00D16FE8"/>
    <w:rsid w:val="00D22793"/>
    <w:rsid w:val="00D329E0"/>
    <w:rsid w:val="00D40430"/>
    <w:rsid w:val="00D41D64"/>
    <w:rsid w:val="00D50980"/>
    <w:rsid w:val="00D60D45"/>
    <w:rsid w:val="00D635F1"/>
    <w:rsid w:val="00D67440"/>
    <w:rsid w:val="00D71951"/>
    <w:rsid w:val="00D76436"/>
    <w:rsid w:val="00D83864"/>
    <w:rsid w:val="00D84A8C"/>
    <w:rsid w:val="00DA0113"/>
    <w:rsid w:val="00DA37EC"/>
    <w:rsid w:val="00DA38A8"/>
    <w:rsid w:val="00DA3AAA"/>
    <w:rsid w:val="00DB0182"/>
    <w:rsid w:val="00DB12E4"/>
    <w:rsid w:val="00DB3B79"/>
    <w:rsid w:val="00DB3D7F"/>
    <w:rsid w:val="00DB5A3A"/>
    <w:rsid w:val="00DC0A52"/>
    <w:rsid w:val="00DC12FF"/>
    <w:rsid w:val="00DC154F"/>
    <w:rsid w:val="00DC158D"/>
    <w:rsid w:val="00DD0358"/>
    <w:rsid w:val="00DD5ACD"/>
    <w:rsid w:val="00E01475"/>
    <w:rsid w:val="00E032F3"/>
    <w:rsid w:val="00E16C03"/>
    <w:rsid w:val="00E2040E"/>
    <w:rsid w:val="00E2256B"/>
    <w:rsid w:val="00E27FEA"/>
    <w:rsid w:val="00E37A86"/>
    <w:rsid w:val="00E40361"/>
    <w:rsid w:val="00E41452"/>
    <w:rsid w:val="00E524B2"/>
    <w:rsid w:val="00E52E2A"/>
    <w:rsid w:val="00E74D68"/>
    <w:rsid w:val="00E7533D"/>
    <w:rsid w:val="00E7639D"/>
    <w:rsid w:val="00E77449"/>
    <w:rsid w:val="00E7755A"/>
    <w:rsid w:val="00E8378F"/>
    <w:rsid w:val="00E86AAA"/>
    <w:rsid w:val="00E92E1D"/>
    <w:rsid w:val="00E938B4"/>
    <w:rsid w:val="00E93C7C"/>
    <w:rsid w:val="00E94C7D"/>
    <w:rsid w:val="00EA2F65"/>
    <w:rsid w:val="00EA4813"/>
    <w:rsid w:val="00EA6E29"/>
    <w:rsid w:val="00ED3374"/>
    <w:rsid w:val="00ED5E08"/>
    <w:rsid w:val="00EE2B5F"/>
    <w:rsid w:val="00EE51D2"/>
    <w:rsid w:val="00EE6F2C"/>
    <w:rsid w:val="00EF4E45"/>
    <w:rsid w:val="00EF58A8"/>
    <w:rsid w:val="00EF5A5D"/>
    <w:rsid w:val="00EF6B0C"/>
    <w:rsid w:val="00F01843"/>
    <w:rsid w:val="00F02D8D"/>
    <w:rsid w:val="00F114D5"/>
    <w:rsid w:val="00F16C55"/>
    <w:rsid w:val="00F25FA8"/>
    <w:rsid w:val="00F415E2"/>
    <w:rsid w:val="00F427B4"/>
    <w:rsid w:val="00F45735"/>
    <w:rsid w:val="00F5024F"/>
    <w:rsid w:val="00F50297"/>
    <w:rsid w:val="00F51FA1"/>
    <w:rsid w:val="00F5594F"/>
    <w:rsid w:val="00F55D61"/>
    <w:rsid w:val="00F621E8"/>
    <w:rsid w:val="00F63042"/>
    <w:rsid w:val="00F645EC"/>
    <w:rsid w:val="00F67024"/>
    <w:rsid w:val="00F67559"/>
    <w:rsid w:val="00F705F1"/>
    <w:rsid w:val="00F71200"/>
    <w:rsid w:val="00F73DCA"/>
    <w:rsid w:val="00F76C75"/>
    <w:rsid w:val="00F77722"/>
    <w:rsid w:val="00F803DE"/>
    <w:rsid w:val="00F87375"/>
    <w:rsid w:val="00F934D3"/>
    <w:rsid w:val="00F96C04"/>
    <w:rsid w:val="00F976F4"/>
    <w:rsid w:val="00FB3934"/>
    <w:rsid w:val="00FB594A"/>
    <w:rsid w:val="00FB7DD0"/>
    <w:rsid w:val="00FC4B88"/>
    <w:rsid w:val="00FD08B1"/>
    <w:rsid w:val="00FD7009"/>
    <w:rsid w:val="00FD7231"/>
    <w:rsid w:val="00FE0150"/>
    <w:rsid w:val="00FE30E3"/>
    <w:rsid w:val="00FF0D8A"/>
    <w:rsid w:val="00FF2760"/>
    <w:rsid w:val="00FF328C"/>
    <w:rsid w:val="00FF442C"/>
    <w:rsid w:val="00FF6C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footnote text" w:qFormat="1"/>
    <w:lsdException w:name="annotation text" w:uiPriority="99"/>
    <w:lsdException w:name="caption" w:qFormat="1"/>
    <w:lsdException w:name="annotation reference" w:uiPriority="99"/>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6A7B"/>
    <w:pPr>
      <w:spacing w:before="120" w:after="120"/>
    </w:pPr>
    <w:rPr>
      <w:rFonts w:ascii="Arial" w:hAnsi="Arial"/>
      <w:sz w:val="22"/>
      <w:szCs w:val="24"/>
    </w:rPr>
  </w:style>
  <w:style w:type="paragraph" w:styleId="Heading1">
    <w:name w:val="heading 1"/>
    <w:basedOn w:val="Normal"/>
    <w:next w:val="Normal"/>
    <w:link w:val="Heading1Char"/>
    <w:qFormat/>
    <w:rsid w:val="005F18AD"/>
    <w:pPr>
      <w:keepNext/>
      <w:numPr>
        <w:numId w:val="23"/>
      </w:numPr>
      <w:spacing w:before="240" w:after="60"/>
      <w:outlineLvl w:val="0"/>
    </w:pPr>
    <w:rPr>
      <w:rFonts w:cs="Arial"/>
      <w:b/>
      <w:bCs/>
      <w:kern w:val="32"/>
      <w:sz w:val="32"/>
      <w:szCs w:val="32"/>
    </w:rPr>
  </w:style>
  <w:style w:type="paragraph" w:styleId="Heading2">
    <w:name w:val="heading 2"/>
    <w:basedOn w:val="Normal"/>
    <w:next w:val="Normal"/>
    <w:link w:val="Heading2Char"/>
    <w:qFormat/>
    <w:rsid w:val="005F18AD"/>
    <w:pPr>
      <w:keepNext/>
      <w:numPr>
        <w:ilvl w:val="1"/>
        <w:numId w:val="23"/>
      </w:numPr>
      <w:spacing w:before="240" w:after="60"/>
      <w:outlineLvl w:val="1"/>
    </w:pPr>
    <w:rPr>
      <w:rFonts w:cs="Arial"/>
      <w:b/>
      <w:bCs/>
      <w:i/>
      <w:iCs/>
      <w:sz w:val="28"/>
      <w:szCs w:val="28"/>
    </w:rPr>
  </w:style>
  <w:style w:type="paragraph" w:styleId="Heading3">
    <w:name w:val="heading 3"/>
    <w:basedOn w:val="Normal"/>
    <w:next w:val="Normal"/>
    <w:link w:val="Heading3Char"/>
    <w:qFormat/>
    <w:rsid w:val="005F18AD"/>
    <w:pPr>
      <w:keepNext/>
      <w:numPr>
        <w:ilvl w:val="2"/>
        <w:numId w:val="23"/>
      </w:numPr>
      <w:spacing w:before="240" w:after="60"/>
      <w:outlineLvl w:val="2"/>
    </w:pPr>
    <w:rPr>
      <w:rFonts w:cs="Arial"/>
      <w:b/>
      <w:bCs/>
      <w:sz w:val="26"/>
      <w:szCs w:val="26"/>
    </w:rPr>
  </w:style>
  <w:style w:type="paragraph" w:styleId="Heading4">
    <w:name w:val="heading 4"/>
    <w:basedOn w:val="Normal"/>
    <w:next w:val="Normal"/>
    <w:link w:val="Heading4Char"/>
    <w:qFormat/>
    <w:rsid w:val="005F18AD"/>
    <w:pPr>
      <w:keepNext/>
      <w:numPr>
        <w:ilvl w:val="3"/>
        <w:numId w:val="23"/>
      </w:numPr>
      <w:spacing w:before="240" w:after="60"/>
      <w:outlineLvl w:val="3"/>
    </w:pPr>
    <w:rPr>
      <w:b/>
      <w:bCs/>
      <w:sz w:val="28"/>
      <w:szCs w:val="28"/>
    </w:rPr>
  </w:style>
  <w:style w:type="paragraph" w:styleId="Heading5">
    <w:name w:val="heading 5"/>
    <w:basedOn w:val="Normal"/>
    <w:next w:val="Normal"/>
    <w:link w:val="Heading5Char"/>
    <w:qFormat/>
    <w:rsid w:val="005F18AD"/>
    <w:pPr>
      <w:spacing w:before="240" w:after="60"/>
      <w:outlineLvl w:val="4"/>
    </w:pPr>
    <w:rPr>
      <w:b/>
      <w:bCs/>
      <w:i/>
      <w:iCs/>
      <w:sz w:val="26"/>
      <w:szCs w:val="26"/>
    </w:rPr>
  </w:style>
  <w:style w:type="paragraph" w:styleId="Heading6">
    <w:name w:val="heading 6"/>
    <w:basedOn w:val="Normal"/>
    <w:next w:val="Normal"/>
    <w:link w:val="Heading6Char"/>
    <w:qFormat/>
    <w:rsid w:val="005F18AD"/>
    <w:pPr>
      <w:spacing w:before="240" w:after="60"/>
      <w:outlineLvl w:val="5"/>
    </w:pPr>
    <w:rPr>
      <w:b/>
      <w:bCs/>
      <w:szCs w:val="22"/>
    </w:rPr>
  </w:style>
  <w:style w:type="paragraph" w:styleId="Heading8">
    <w:name w:val="heading 8"/>
    <w:basedOn w:val="Normal"/>
    <w:next w:val="Normal"/>
    <w:link w:val="Heading8Char"/>
    <w:qFormat/>
    <w:rsid w:val="005F18AD"/>
    <w:pPr>
      <w:spacing w:before="240" w:after="60"/>
      <w:outlineLvl w:val="7"/>
    </w:pPr>
    <w:rPr>
      <w:rFonts w:eastAsia="Batang"/>
      <w:i/>
      <w:iCs/>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F18AD"/>
    <w:rPr>
      <w:rFonts w:ascii="Arial" w:hAnsi="Arial" w:cs="Arial"/>
      <w:b/>
      <w:bCs/>
      <w:kern w:val="32"/>
      <w:sz w:val="32"/>
      <w:szCs w:val="32"/>
    </w:rPr>
  </w:style>
  <w:style w:type="character" w:customStyle="1" w:styleId="Heading2Char">
    <w:name w:val="Heading 2 Char"/>
    <w:link w:val="Heading2"/>
    <w:locked/>
    <w:rsid w:val="005F18AD"/>
    <w:rPr>
      <w:rFonts w:ascii="Arial" w:hAnsi="Arial" w:cs="Arial"/>
      <w:b/>
      <w:bCs/>
      <w:i/>
      <w:iCs/>
      <w:sz w:val="28"/>
      <w:szCs w:val="28"/>
    </w:rPr>
  </w:style>
  <w:style w:type="character" w:customStyle="1" w:styleId="Heading3Char">
    <w:name w:val="Heading 3 Char"/>
    <w:link w:val="Heading3"/>
    <w:locked/>
    <w:rsid w:val="005F18AD"/>
    <w:rPr>
      <w:rFonts w:ascii="Arial" w:hAnsi="Arial" w:cs="Arial"/>
      <w:b/>
      <w:bCs/>
      <w:sz w:val="26"/>
      <w:szCs w:val="26"/>
    </w:rPr>
  </w:style>
  <w:style w:type="character" w:customStyle="1" w:styleId="Heading4Char">
    <w:name w:val="Heading 4 Char"/>
    <w:link w:val="Heading4"/>
    <w:locked/>
    <w:rsid w:val="005F18AD"/>
    <w:rPr>
      <w:rFonts w:ascii="Arial" w:hAnsi="Arial"/>
      <w:b/>
      <w:bCs/>
      <w:sz w:val="28"/>
      <w:szCs w:val="28"/>
    </w:rPr>
  </w:style>
  <w:style w:type="character" w:customStyle="1" w:styleId="Heading5Char">
    <w:name w:val="Heading 5 Char"/>
    <w:link w:val="Heading5"/>
    <w:semiHidden/>
    <w:locked/>
    <w:rsid w:val="005F18AD"/>
    <w:rPr>
      <w:b/>
      <w:bCs/>
      <w:i/>
      <w:iCs/>
      <w:sz w:val="26"/>
      <w:szCs w:val="26"/>
      <w:lang w:val="en-AU" w:eastAsia="en-AU" w:bidi="ar-SA"/>
    </w:rPr>
  </w:style>
  <w:style w:type="character" w:customStyle="1" w:styleId="Heading6Char">
    <w:name w:val="Heading 6 Char"/>
    <w:link w:val="Heading6"/>
    <w:semiHidden/>
    <w:locked/>
    <w:rsid w:val="005F18AD"/>
    <w:rPr>
      <w:b/>
      <w:bCs/>
      <w:sz w:val="22"/>
      <w:szCs w:val="22"/>
      <w:lang w:val="en-AU" w:eastAsia="en-AU" w:bidi="ar-SA"/>
    </w:rPr>
  </w:style>
  <w:style w:type="character" w:customStyle="1" w:styleId="Heading8Char">
    <w:name w:val="Heading 8 Char"/>
    <w:link w:val="Heading8"/>
    <w:semiHidden/>
    <w:locked/>
    <w:rsid w:val="005F18AD"/>
    <w:rPr>
      <w:rFonts w:eastAsia="Batang"/>
      <w:i/>
      <w:iCs/>
      <w:sz w:val="24"/>
      <w:szCs w:val="24"/>
      <w:lang w:val="en-AU" w:eastAsia="ko-KR" w:bidi="ar-SA"/>
    </w:rPr>
  </w:style>
  <w:style w:type="paragraph" w:styleId="Header">
    <w:name w:val="header"/>
    <w:basedOn w:val="Normal"/>
    <w:link w:val="HeaderChar"/>
    <w:rsid w:val="005F18AD"/>
    <w:pPr>
      <w:tabs>
        <w:tab w:val="center" w:pos="4153"/>
        <w:tab w:val="right" w:pos="8306"/>
      </w:tabs>
    </w:pPr>
    <w:rPr>
      <w:lang w:eastAsia="en-US"/>
    </w:rPr>
  </w:style>
  <w:style w:type="character" w:customStyle="1" w:styleId="HeaderChar">
    <w:name w:val="Header Char"/>
    <w:link w:val="Header"/>
    <w:semiHidden/>
    <w:locked/>
    <w:rsid w:val="005F18AD"/>
    <w:rPr>
      <w:sz w:val="24"/>
      <w:szCs w:val="24"/>
      <w:lang w:val="en-AU" w:eastAsia="en-US" w:bidi="ar-SA"/>
    </w:rPr>
  </w:style>
  <w:style w:type="paragraph" w:styleId="Footer">
    <w:name w:val="footer"/>
    <w:basedOn w:val="Normal"/>
    <w:link w:val="FooterChar"/>
    <w:rsid w:val="005F18AD"/>
    <w:pPr>
      <w:pBdr>
        <w:top w:val="single" w:sz="4" w:space="4" w:color="auto"/>
      </w:pBdr>
      <w:tabs>
        <w:tab w:val="right" w:pos="8306"/>
      </w:tabs>
    </w:pPr>
    <w:rPr>
      <w:smallCaps/>
      <w:sz w:val="20"/>
      <w:lang w:eastAsia="en-US"/>
    </w:rPr>
  </w:style>
  <w:style w:type="character" w:customStyle="1" w:styleId="FooterChar">
    <w:name w:val="Footer Char"/>
    <w:link w:val="Footer"/>
    <w:locked/>
    <w:rsid w:val="005F18AD"/>
    <w:rPr>
      <w:rFonts w:ascii="Arial" w:hAnsi="Arial"/>
      <w:smallCaps/>
      <w:szCs w:val="24"/>
      <w:lang w:val="en-AU" w:eastAsia="en-US" w:bidi="ar-SA"/>
    </w:rPr>
  </w:style>
  <w:style w:type="paragraph" w:styleId="BodyText">
    <w:name w:val="Body Text"/>
    <w:basedOn w:val="Normal"/>
    <w:link w:val="BodyTextChar"/>
    <w:rsid w:val="005F18AD"/>
    <w:pPr>
      <w:spacing w:after="240"/>
    </w:pPr>
  </w:style>
  <w:style w:type="character" w:customStyle="1" w:styleId="BodyTextChar">
    <w:name w:val="Body Text Char"/>
    <w:link w:val="BodyText"/>
    <w:locked/>
    <w:rsid w:val="005F18AD"/>
    <w:rPr>
      <w:sz w:val="24"/>
      <w:szCs w:val="24"/>
      <w:lang w:val="en-AU" w:eastAsia="en-AU" w:bidi="ar-SA"/>
    </w:rPr>
  </w:style>
  <w:style w:type="paragraph" w:styleId="CommentText">
    <w:name w:val="annotation text"/>
    <w:basedOn w:val="Normal"/>
    <w:link w:val="CommentTextChar"/>
    <w:uiPriority w:val="99"/>
    <w:semiHidden/>
    <w:rsid w:val="005F18AD"/>
    <w:rPr>
      <w:sz w:val="20"/>
    </w:rPr>
  </w:style>
  <w:style w:type="character" w:customStyle="1" w:styleId="CommentTextChar">
    <w:name w:val="Comment Text Char"/>
    <w:link w:val="CommentText"/>
    <w:uiPriority w:val="99"/>
    <w:semiHidden/>
    <w:locked/>
    <w:rsid w:val="005F18AD"/>
    <w:rPr>
      <w:szCs w:val="24"/>
      <w:lang w:val="en-AU" w:eastAsia="en-AU" w:bidi="ar-SA"/>
    </w:rPr>
  </w:style>
  <w:style w:type="paragraph" w:styleId="CommentSubject">
    <w:name w:val="annotation subject"/>
    <w:basedOn w:val="CommentText"/>
    <w:next w:val="CommentText"/>
    <w:link w:val="CommentSubjectChar"/>
    <w:semiHidden/>
    <w:rsid w:val="005F18AD"/>
    <w:rPr>
      <w:b/>
      <w:bCs/>
    </w:rPr>
  </w:style>
  <w:style w:type="character" w:customStyle="1" w:styleId="CommentSubjectChar">
    <w:name w:val="Comment Subject Char"/>
    <w:link w:val="CommentSubject"/>
    <w:semiHidden/>
    <w:locked/>
    <w:rsid w:val="005F18AD"/>
    <w:rPr>
      <w:b/>
      <w:bCs/>
      <w:szCs w:val="24"/>
      <w:lang w:val="en-AU" w:eastAsia="en-AU" w:bidi="ar-SA"/>
    </w:rPr>
  </w:style>
  <w:style w:type="paragraph" w:styleId="BalloonText">
    <w:name w:val="Balloon Text"/>
    <w:basedOn w:val="Normal"/>
    <w:link w:val="BalloonTextChar"/>
    <w:semiHidden/>
    <w:rsid w:val="005F18AD"/>
    <w:rPr>
      <w:rFonts w:ascii="Tahoma" w:hAnsi="Tahoma" w:cs="Tahoma"/>
      <w:sz w:val="16"/>
      <w:szCs w:val="16"/>
    </w:rPr>
  </w:style>
  <w:style w:type="character" w:customStyle="1" w:styleId="BalloonTextChar">
    <w:name w:val="Balloon Text Char"/>
    <w:link w:val="BalloonText"/>
    <w:semiHidden/>
    <w:locked/>
    <w:rsid w:val="005F18AD"/>
    <w:rPr>
      <w:rFonts w:ascii="Tahoma" w:hAnsi="Tahoma" w:cs="Tahoma"/>
      <w:sz w:val="16"/>
      <w:szCs w:val="16"/>
      <w:lang w:val="en-AU" w:eastAsia="en-AU" w:bidi="ar-SA"/>
    </w:rPr>
  </w:style>
  <w:style w:type="paragraph" w:customStyle="1" w:styleId="FigHeading">
    <w:name w:val="Fig Heading"/>
    <w:basedOn w:val="Normal"/>
    <w:link w:val="FigHeadingCharChar"/>
    <w:rsid w:val="005F18AD"/>
    <w:pPr>
      <w:keepNext/>
      <w:numPr>
        <w:numId w:val="3"/>
      </w:numPr>
    </w:pPr>
    <w:rPr>
      <w:rFonts w:cs="Arial"/>
      <w:b/>
      <w:sz w:val="20"/>
    </w:rPr>
  </w:style>
  <w:style w:type="character" w:customStyle="1" w:styleId="FigHeadingCharChar">
    <w:name w:val="Fig Heading Char Char"/>
    <w:link w:val="FigHeading"/>
    <w:rsid w:val="005F18AD"/>
    <w:rPr>
      <w:rFonts w:ascii="Arial" w:hAnsi="Arial" w:cs="Arial"/>
      <w:b/>
      <w:szCs w:val="24"/>
    </w:rPr>
  </w:style>
  <w:style w:type="paragraph" w:customStyle="1" w:styleId="AERbodytext">
    <w:name w:val="AER body text"/>
    <w:basedOn w:val="Normal"/>
    <w:qFormat/>
    <w:rsid w:val="00936A7B"/>
    <w:pPr>
      <w:spacing w:before="200" w:after="0" w:line="276" w:lineRule="auto"/>
    </w:pPr>
    <w:rPr>
      <w:lang w:eastAsia="en-US"/>
    </w:rPr>
  </w:style>
  <w:style w:type="character" w:customStyle="1" w:styleId="AERbodytextChar">
    <w:name w:val="AER body text Char"/>
    <w:locked/>
    <w:rsid w:val="005F18AD"/>
    <w:rPr>
      <w:rFonts w:cs="Times New Roman"/>
      <w:sz w:val="24"/>
      <w:lang w:val="en-AU" w:eastAsia="en-AU" w:bidi="ar-SA"/>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rsid w:val="005F18AD"/>
    <w:rPr>
      <w:vertAlign w:val="superscript"/>
    </w:rPr>
  </w:style>
  <w:style w:type="paragraph" w:styleId="FootnoteText">
    <w:name w:val="footnote text"/>
    <w:aliases w:val="Footnote Text Char1 Char,Footnote Text Char Char Char,Footnote Text Char2 Char Char Char,ALTS FOOTNOTE Char2 Char Char Char,Footnote Text Char1 Char1 Char Char Char,Footnote Text Char Char Char1 Char Char Char,Footnote Text2,Footnote Text1"/>
    <w:basedOn w:val="Normal"/>
    <w:link w:val="FootnoteTextChar"/>
    <w:qFormat/>
    <w:rsid w:val="005F18AD"/>
    <w:pPr>
      <w:ind w:left="340" w:hanging="340"/>
    </w:pPr>
    <w:rPr>
      <w:sz w:val="20"/>
      <w:szCs w:val="20"/>
      <w:lang w:eastAsia="en-US"/>
    </w:rPr>
  </w:style>
  <w:style w:type="character" w:customStyle="1" w:styleId="FootnoteTextChar">
    <w:name w:val="Footnote Text Char"/>
    <w:aliases w:val="Footnote Text Char1 Char Char,Footnote Text Char Char Char Char,Footnote Text Char2 Char Char Char Char,ALTS FOOTNOTE Char2 Char Char Char Char,Footnote Text Char1 Char1 Char Char Char Char,Footnote Text2 Char,Footnote Text1 Char"/>
    <w:link w:val="FootnoteText"/>
    <w:locked/>
    <w:rsid w:val="005F18AD"/>
    <w:rPr>
      <w:lang w:val="en-AU" w:eastAsia="en-US" w:bidi="ar-SA"/>
    </w:rPr>
  </w:style>
  <w:style w:type="paragraph" w:styleId="Caption">
    <w:name w:val="caption"/>
    <w:basedOn w:val="Normal"/>
    <w:next w:val="Normal"/>
    <w:qFormat/>
    <w:rsid w:val="000F2287"/>
    <w:pPr>
      <w:keepNext/>
      <w:spacing w:before="240" w:line="276" w:lineRule="auto"/>
    </w:pPr>
    <w:rPr>
      <w:rFonts w:eastAsiaTheme="minorHAnsi" w:cstheme="minorBidi"/>
      <w:b/>
      <w:bCs/>
      <w:color w:val="0070C0"/>
      <w:szCs w:val="22"/>
      <w:lang w:eastAsia="en-US"/>
    </w:rPr>
  </w:style>
  <w:style w:type="character" w:styleId="Hyperlink">
    <w:name w:val="Hyperlink"/>
    <w:semiHidden/>
    <w:rsid w:val="005F18AD"/>
    <w:rPr>
      <w:color w:val="0000FF"/>
      <w:u w:val="single"/>
    </w:rPr>
  </w:style>
  <w:style w:type="character" w:customStyle="1" w:styleId="FigHeadingChar">
    <w:name w:val="Fig Heading Char"/>
    <w:locked/>
    <w:rsid w:val="005F18AD"/>
    <w:rPr>
      <w:b/>
      <w:i/>
      <w:sz w:val="22"/>
      <w:szCs w:val="24"/>
      <w:lang w:val="en-AU" w:eastAsia="en-AU" w:bidi="ar-SA"/>
    </w:rPr>
  </w:style>
  <w:style w:type="paragraph" w:customStyle="1" w:styleId="TableHeader">
    <w:name w:val="Table Header"/>
    <w:basedOn w:val="Normal"/>
    <w:rsid w:val="005F18AD"/>
    <w:pPr>
      <w:jc w:val="center"/>
    </w:pPr>
    <w:rPr>
      <w:b/>
      <w:bCs/>
    </w:rPr>
  </w:style>
  <w:style w:type="paragraph" w:styleId="DocumentMap">
    <w:name w:val="Document Map"/>
    <w:basedOn w:val="Normal"/>
    <w:link w:val="DocumentMapChar"/>
    <w:semiHidden/>
    <w:rsid w:val="005F18AD"/>
    <w:pPr>
      <w:shd w:val="clear" w:color="auto" w:fill="000080"/>
    </w:pPr>
    <w:rPr>
      <w:rFonts w:ascii="Tahoma" w:hAnsi="Tahoma" w:cs="Tahoma"/>
      <w:sz w:val="20"/>
    </w:rPr>
  </w:style>
  <w:style w:type="character" w:customStyle="1" w:styleId="DocumentMapChar">
    <w:name w:val="Document Map Char"/>
    <w:link w:val="DocumentMap"/>
    <w:semiHidden/>
    <w:locked/>
    <w:rsid w:val="005F18AD"/>
    <w:rPr>
      <w:rFonts w:ascii="Tahoma" w:hAnsi="Tahoma" w:cs="Tahoma"/>
      <w:szCs w:val="24"/>
      <w:lang w:val="en-AU" w:eastAsia="en-AU" w:bidi="ar-SA"/>
    </w:rPr>
  </w:style>
  <w:style w:type="paragraph" w:customStyle="1" w:styleId="Tabletext">
    <w:name w:val="Table text"/>
    <w:basedOn w:val="Normal"/>
    <w:rsid w:val="005F18AD"/>
    <w:pPr>
      <w:jc w:val="center"/>
    </w:pPr>
  </w:style>
  <w:style w:type="paragraph" w:customStyle="1" w:styleId="Char">
    <w:name w:val="Char"/>
    <w:basedOn w:val="Normal"/>
    <w:rsid w:val="005F18AD"/>
    <w:pPr>
      <w:spacing w:after="160" w:line="240" w:lineRule="exact"/>
    </w:pPr>
    <w:rPr>
      <w:rFonts w:ascii="Tahoma" w:hAnsi="Tahoma"/>
      <w:sz w:val="20"/>
      <w:lang w:val="en-US"/>
    </w:rPr>
  </w:style>
  <w:style w:type="character" w:styleId="FollowedHyperlink">
    <w:name w:val="FollowedHyperlink"/>
    <w:rsid w:val="005F18AD"/>
    <w:rPr>
      <w:rFonts w:cs="Times New Roman"/>
      <w:color w:val="800080"/>
      <w:u w:val="single"/>
    </w:rPr>
  </w:style>
  <w:style w:type="paragraph" w:styleId="Date">
    <w:name w:val="Date"/>
    <w:basedOn w:val="Normal"/>
    <w:next w:val="Normal"/>
    <w:link w:val="DateChar"/>
    <w:rsid w:val="005F18AD"/>
  </w:style>
  <w:style w:type="character" w:customStyle="1" w:styleId="DateChar">
    <w:name w:val="Date Char"/>
    <w:link w:val="Date"/>
    <w:semiHidden/>
    <w:locked/>
    <w:rsid w:val="005F18AD"/>
    <w:rPr>
      <w:sz w:val="24"/>
      <w:szCs w:val="24"/>
      <w:lang w:val="en-AU" w:eastAsia="en-AU" w:bidi="ar-SA"/>
    </w:rPr>
  </w:style>
  <w:style w:type="paragraph" w:styleId="NormalWeb">
    <w:name w:val="Normal (Web)"/>
    <w:basedOn w:val="Normal"/>
    <w:uiPriority w:val="99"/>
    <w:rsid w:val="005F18AD"/>
    <w:pPr>
      <w:spacing w:before="100" w:beforeAutospacing="1" w:after="100" w:afterAutospacing="1"/>
    </w:pPr>
  </w:style>
  <w:style w:type="paragraph" w:customStyle="1" w:styleId="AERBullet1">
    <w:name w:val="AER Bullet 1"/>
    <w:basedOn w:val="AERbodytext"/>
    <w:rsid w:val="005F18AD"/>
    <w:pPr>
      <w:numPr>
        <w:numId w:val="1"/>
      </w:numPr>
    </w:pPr>
  </w:style>
  <w:style w:type="paragraph" w:customStyle="1" w:styleId="Default">
    <w:name w:val="Default"/>
    <w:rsid w:val="005F18AD"/>
    <w:pPr>
      <w:autoSpaceDE w:val="0"/>
      <w:autoSpaceDN w:val="0"/>
      <w:adjustRightInd w:val="0"/>
    </w:pPr>
    <w:rPr>
      <w:color w:val="000000"/>
      <w:sz w:val="24"/>
      <w:szCs w:val="24"/>
    </w:rPr>
  </w:style>
  <w:style w:type="paragraph" w:styleId="ListContinue">
    <w:name w:val="List Continue"/>
    <w:basedOn w:val="Normal"/>
    <w:rsid w:val="005F18AD"/>
    <w:pPr>
      <w:ind w:left="283"/>
    </w:pPr>
  </w:style>
  <w:style w:type="paragraph" w:customStyle="1" w:styleId="Char0">
    <w:name w:val="Char"/>
    <w:basedOn w:val="Normal"/>
    <w:rsid w:val="005F18AD"/>
    <w:pPr>
      <w:spacing w:after="160" w:line="240" w:lineRule="exact"/>
    </w:pPr>
    <w:rPr>
      <w:rFonts w:ascii="Tahoma" w:hAnsi="Tahoma"/>
      <w:sz w:val="20"/>
      <w:lang w:val="en-US"/>
    </w:rPr>
  </w:style>
  <w:style w:type="paragraph" w:customStyle="1" w:styleId="Body1">
    <w:name w:val="Body 1"/>
    <w:basedOn w:val="Normal"/>
    <w:rsid w:val="005F18AD"/>
    <w:pPr>
      <w:keepLines/>
      <w:overflowPunct w:val="0"/>
      <w:autoSpaceDE w:val="0"/>
      <w:autoSpaceDN w:val="0"/>
      <w:adjustRightInd w:val="0"/>
      <w:spacing w:before="60" w:after="60"/>
      <w:textAlignment w:val="baseline"/>
    </w:pPr>
    <w:rPr>
      <w:rFonts w:cs="Arial"/>
      <w:sz w:val="20"/>
      <w:lang w:val="en-IE" w:eastAsia="en-GB"/>
    </w:rPr>
  </w:style>
  <w:style w:type="character" w:styleId="Emphasis">
    <w:name w:val="Emphasis"/>
    <w:qFormat/>
    <w:rsid w:val="005F18AD"/>
    <w:rPr>
      <w:i/>
      <w:iCs/>
    </w:rPr>
  </w:style>
  <w:style w:type="paragraph" w:customStyle="1" w:styleId="Footnote">
    <w:name w:val="Footnote"/>
    <w:basedOn w:val="Normal"/>
    <w:link w:val="FootnoteChar"/>
    <w:rsid w:val="005F18AD"/>
    <w:pPr>
      <w:tabs>
        <w:tab w:val="left" w:pos="7380"/>
      </w:tabs>
      <w:autoSpaceDE w:val="0"/>
      <w:autoSpaceDN w:val="0"/>
      <w:adjustRightInd w:val="0"/>
      <w:jc w:val="both"/>
    </w:pPr>
    <w:rPr>
      <w:sz w:val="20"/>
    </w:rPr>
  </w:style>
  <w:style w:type="paragraph" w:customStyle="1" w:styleId="AERunnumberedheading5">
    <w:name w:val="AER unnumbered heading 5"/>
    <w:basedOn w:val="Heading5"/>
    <w:next w:val="AERbodytext"/>
    <w:rsid w:val="005F18AD"/>
    <w:pPr>
      <w:keepNext/>
      <w:spacing w:line="240" w:lineRule="atLeast"/>
    </w:pPr>
    <w:rPr>
      <w:sz w:val="22"/>
    </w:rPr>
  </w:style>
  <w:style w:type="paragraph" w:customStyle="1" w:styleId="AERtabletextheading">
    <w:name w:val="AER table text heading"/>
    <w:basedOn w:val="AERtabletext"/>
    <w:rsid w:val="005F18AD"/>
    <w:rPr>
      <w:b/>
    </w:rPr>
  </w:style>
  <w:style w:type="paragraph" w:customStyle="1" w:styleId="FigHeadingN">
    <w:name w:val="Fig Heading N"/>
    <w:basedOn w:val="FigHeading"/>
    <w:rsid w:val="005F18AD"/>
    <w:pPr>
      <w:numPr>
        <w:ilvl w:val="1"/>
        <w:numId w:val="2"/>
      </w:numPr>
      <w:tabs>
        <w:tab w:val="clear" w:pos="0"/>
        <w:tab w:val="num" w:pos="360"/>
      </w:tabs>
    </w:pPr>
  </w:style>
  <w:style w:type="paragraph" w:customStyle="1" w:styleId="AERheading2">
    <w:name w:val="AER heading 2"/>
    <w:basedOn w:val="Heading2"/>
    <w:next w:val="AERbodytext"/>
    <w:rsid w:val="005F18AD"/>
    <w:pPr>
      <w:spacing w:after="120"/>
    </w:pPr>
    <w:rPr>
      <w:i w:val="0"/>
      <w:sz w:val="30"/>
      <w:lang w:eastAsia="en-US"/>
    </w:rPr>
  </w:style>
  <w:style w:type="paragraph" w:customStyle="1" w:styleId="AERheading3">
    <w:name w:val="AER heading 3"/>
    <w:basedOn w:val="Heading3"/>
    <w:next w:val="AERbodytext"/>
    <w:rsid w:val="005F18AD"/>
    <w:pPr>
      <w:spacing w:after="120"/>
    </w:pPr>
    <w:rPr>
      <w:rFonts w:ascii="Arial Bold" w:hAnsi="Arial Bold"/>
      <w:sz w:val="24"/>
      <w:szCs w:val="24"/>
      <w:lang w:eastAsia="en-US"/>
    </w:rPr>
  </w:style>
  <w:style w:type="paragraph" w:customStyle="1" w:styleId="AERheading4">
    <w:name w:val="AER heading 4"/>
    <w:basedOn w:val="Heading4"/>
    <w:next w:val="AERbodytext"/>
    <w:rsid w:val="005F18AD"/>
    <w:pPr>
      <w:spacing w:after="120"/>
    </w:pPr>
    <w:rPr>
      <w:sz w:val="22"/>
      <w:lang w:eastAsia="en-US"/>
    </w:rPr>
  </w:style>
  <w:style w:type="paragraph" w:customStyle="1" w:styleId="AERtableheading">
    <w:name w:val="AER table heading"/>
    <w:basedOn w:val="Normal"/>
    <w:next w:val="Normal"/>
    <w:rsid w:val="005F18AD"/>
    <w:pPr>
      <w:keepNext/>
      <w:spacing w:before="240"/>
      <w:outlineLvl w:val="3"/>
    </w:pPr>
    <w:rPr>
      <w:b/>
      <w:lang w:eastAsia="en-US"/>
    </w:rPr>
  </w:style>
  <w:style w:type="paragraph" w:customStyle="1" w:styleId="AERfigureheading">
    <w:name w:val="AER figure heading"/>
    <w:basedOn w:val="Normal"/>
    <w:next w:val="AERbodytext"/>
    <w:rsid w:val="000F2287"/>
    <w:pPr>
      <w:keepNext/>
      <w:spacing w:before="240"/>
      <w:outlineLvl w:val="3"/>
    </w:pPr>
    <w:rPr>
      <w:b/>
      <w:color w:val="0070C0"/>
      <w:lang w:eastAsia="en-US"/>
    </w:rPr>
  </w:style>
  <w:style w:type="paragraph" w:customStyle="1" w:styleId="AERtableheading-unnumbered">
    <w:name w:val="AER table heading - unnumbered"/>
    <w:basedOn w:val="AERtableheading"/>
    <w:rsid w:val="005F18AD"/>
    <w:pPr>
      <w:numPr>
        <w:ilvl w:val="6"/>
      </w:numPr>
    </w:pPr>
  </w:style>
  <w:style w:type="paragraph" w:customStyle="1" w:styleId="AERfigureheading-unnumbered">
    <w:name w:val="AER figure heading - unnumbered"/>
    <w:basedOn w:val="AERfigureheading"/>
    <w:rsid w:val="005F18AD"/>
    <w:pPr>
      <w:tabs>
        <w:tab w:val="num" w:pos="1134"/>
      </w:tabs>
      <w:ind w:left="1361" w:hanging="1361"/>
    </w:pPr>
  </w:style>
  <w:style w:type="paragraph" w:customStyle="1" w:styleId="FigHeadingV">
    <w:name w:val="Fig Heading V"/>
    <w:basedOn w:val="FigHeading"/>
    <w:rsid w:val="005F18AD"/>
    <w:pPr>
      <w:numPr>
        <w:ilvl w:val="2"/>
        <w:numId w:val="2"/>
      </w:numPr>
      <w:tabs>
        <w:tab w:val="clear" w:pos="0"/>
        <w:tab w:val="num" w:pos="360"/>
      </w:tabs>
    </w:pPr>
  </w:style>
  <w:style w:type="paragraph" w:customStyle="1" w:styleId="FigHeadingS">
    <w:name w:val="Fig Heading S"/>
    <w:basedOn w:val="FigHeading"/>
    <w:link w:val="FigHeadingSChar"/>
    <w:rsid w:val="005F18AD"/>
    <w:pPr>
      <w:numPr>
        <w:ilvl w:val="3"/>
      </w:numPr>
    </w:pPr>
  </w:style>
  <w:style w:type="character" w:customStyle="1" w:styleId="FigHeadingSChar">
    <w:name w:val="Fig Heading S Char"/>
    <w:basedOn w:val="FigHeadingCharChar"/>
    <w:link w:val="FigHeadingS"/>
    <w:rsid w:val="005F18AD"/>
    <w:rPr>
      <w:rFonts w:ascii="Arial" w:hAnsi="Arial" w:cs="Arial"/>
      <w:b/>
      <w:szCs w:val="24"/>
    </w:rPr>
  </w:style>
  <w:style w:type="paragraph" w:customStyle="1" w:styleId="FigheadingA">
    <w:name w:val="Fig heading A"/>
    <w:basedOn w:val="Heading6"/>
    <w:rsid w:val="005F18AD"/>
    <w:pPr>
      <w:numPr>
        <w:ilvl w:val="5"/>
        <w:numId w:val="3"/>
      </w:numPr>
      <w:spacing w:before="0" w:after="120"/>
    </w:pPr>
    <w:rPr>
      <w:rFonts w:cs="Arial"/>
      <w:sz w:val="20"/>
      <w:szCs w:val="20"/>
    </w:rPr>
  </w:style>
  <w:style w:type="paragraph" w:customStyle="1" w:styleId="aerbodytext0">
    <w:name w:val="aerbodytext"/>
    <w:basedOn w:val="Normal"/>
    <w:rsid w:val="005F18AD"/>
    <w:pPr>
      <w:spacing w:after="240"/>
    </w:pPr>
  </w:style>
  <w:style w:type="character" w:styleId="CommentReference">
    <w:name w:val="annotation reference"/>
    <w:uiPriority w:val="99"/>
    <w:semiHidden/>
    <w:rsid w:val="005F18AD"/>
    <w:rPr>
      <w:sz w:val="16"/>
      <w:szCs w:val="16"/>
    </w:rPr>
  </w:style>
  <w:style w:type="table" w:styleId="TableGrid">
    <w:name w:val="Table Grid"/>
    <w:basedOn w:val="TableNormal"/>
    <w:rsid w:val="005F18AD"/>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R1indentalphalista">
    <w:name w:val="AER (1) indent alpha list (a)"/>
    <w:basedOn w:val="Normal"/>
    <w:next w:val="Normal"/>
    <w:locked/>
    <w:rsid w:val="005F18AD"/>
    <w:pPr>
      <w:widowControl w:val="0"/>
      <w:tabs>
        <w:tab w:val="left" w:pos="1260"/>
      </w:tabs>
      <w:spacing w:after="240"/>
      <w:ind w:left="1259" w:hanging="539"/>
    </w:pPr>
    <w:rPr>
      <w:lang w:eastAsia="en-US"/>
    </w:rPr>
  </w:style>
  <w:style w:type="paragraph" w:customStyle="1" w:styleId="AERAindentcapalphalista1">
    <w:name w:val="AER (A.)  indent cap alpha list (a)(1)"/>
    <w:basedOn w:val="Normal"/>
    <w:next w:val="Normal"/>
    <w:locked/>
    <w:rsid w:val="005F18AD"/>
    <w:pPr>
      <w:tabs>
        <w:tab w:val="left" w:pos="1800"/>
      </w:tabs>
      <w:spacing w:after="240"/>
      <w:ind w:left="1798" w:hanging="539"/>
    </w:pPr>
    <w:rPr>
      <w:lang w:eastAsia="en-US"/>
    </w:rPr>
  </w:style>
  <w:style w:type="paragraph" w:customStyle="1" w:styleId="AERalphalist1">
    <w:name w:val="AER alpha list (1)"/>
    <w:basedOn w:val="Normal"/>
    <w:locked/>
    <w:rsid w:val="005F18AD"/>
    <w:pPr>
      <w:widowControl w:val="0"/>
      <w:tabs>
        <w:tab w:val="left" w:pos="1260"/>
      </w:tabs>
      <w:spacing w:after="240"/>
      <w:ind w:left="1797" w:hanging="1077"/>
    </w:pPr>
    <w:rPr>
      <w:lang w:eastAsia="en-US"/>
    </w:rPr>
  </w:style>
  <w:style w:type="paragraph" w:customStyle="1" w:styleId="AERalphalista">
    <w:name w:val="AER alpha list (a)"/>
    <w:basedOn w:val="Normal"/>
    <w:locked/>
    <w:rsid w:val="005F18AD"/>
    <w:pPr>
      <w:spacing w:after="240"/>
      <w:ind w:left="720" w:hanging="720"/>
    </w:pPr>
    <w:rPr>
      <w:lang w:eastAsia="en-US"/>
    </w:rPr>
  </w:style>
  <w:style w:type="paragraph" w:customStyle="1" w:styleId="AERappendixfigureheading">
    <w:name w:val="AER appendix figure heading"/>
    <w:basedOn w:val="Normal"/>
    <w:next w:val="Normal"/>
    <w:rsid w:val="005F18AD"/>
    <w:pPr>
      <w:keepNext/>
      <w:numPr>
        <w:ilvl w:val="5"/>
        <w:numId w:val="11"/>
      </w:numPr>
      <w:spacing w:before="240"/>
      <w:outlineLvl w:val="3"/>
    </w:pPr>
    <w:rPr>
      <w:b/>
      <w:lang w:eastAsia="en-US"/>
    </w:rPr>
  </w:style>
  <w:style w:type="paragraph" w:customStyle="1" w:styleId="AERappendixheading1">
    <w:name w:val="AER appendix heading 1"/>
    <w:basedOn w:val="AERheading1"/>
    <w:next w:val="AERbodytext"/>
    <w:rsid w:val="005F18AD"/>
    <w:pPr>
      <w:widowControl w:val="0"/>
      <w:numPr>
        <w:numId w:val="11"/>
      </w:numPr>
      <w:jc w:val="both"/>
    </w:pPr>
    <w:rPr>
      <w:rFonts w:ascii="Arial Bold" w:hAnsi="Arial Bold"/>
      <w:b w:val="0"/>
      <w:bCs w:val="0"/>
      <w:spacing w:val="5"/>
      <w:kern w:val="36"/>
      <w:szCs w:val="27"/>
    </w:rPr>
  </w:style>
  <w:style w:type="paragraph" w:customStyle="1" w:styleId="AERappendixheading2">
    <w:name w:val="AER appendix heading 2"/>
    <w:basedOn w:val="AERappendixheading1"/>
    <w:next w:val="AERbodytext"/>
    <w:rsid w:val="005F18AD"/>
    <w:pPr>
      <w:pageBreakBefore w:val="0"/>
      <w:numPr>
        <w:ilvl w:val="1"/>
      </w:numPr>
    </w:pPr>
    <w:rPr>
      <w:sz w:val="30"/>
    </w:rPr>
  </w:style>
  <w:style w:type="paragraph" w:customStyle="1" w:styleId="AERappendixheading3">
    <w:name w:val="AER appendix heading 3"/>
    <w:basedOn w:val="AERappendixheading2"/>
    <w:next w:val="AERbodytext"/>
    <w:rsid w:val="005F18AD"/>
    <w:pPr>
      <w:numPr>
        <w:ilvl w:val="2"/>
      </w:numPr>
    </w:pPr>
    <w:rPr>
      <w:sz w:val="24"/>
    </w:rPr>
  </w:style>
  <w:style w:type="paragraph" w:customStyle="1" w:styleId="AERappendixheading4">
    <w:name w:val="AER appendix heading 4"/>
    <w:basedOn w:val="AERheading4"/>
    <w:next w:val="AERbodytext"/>
    <w:rsid w:val="005F18AD"/>
    <w:pPr>
      <w:numPr>
        <w:numId w:val="11"/>
      </w:numPr>
    </w:pPr>
  </w:style>
  <w:style w:type="paragraph" w:customStyle="1" w:styleId="AERappendixtableheading">
    <w:name w:val="AER appendix table heading"/>
    <w:basedOn w:val="AERtableheading"/>
    <w:next w:val="AERbodytext"/>
    <w:rsid w:val="005F18AD"/>
    <w:pPr>
      <w:tabs>
        <w:tab w:val="num" w:pos="851"/>
      </w:tabs>
      <w:ind w:left="851" w:hanging="851"/>
    </w:pPr>
  </w:style>
  <w:style w:type="character" w:customStyle="1" w:styleId="AERbold">
    <w:name w:val="AER bold"/>
    <w:rsid w:val="005F18AD"/>
    <w:rPr>
      <w:b/>
    </w:rPr>
  </w:style>
  <w:style w:type="character" w:customStyle="1" w:styleId="AERbolditals">
    <w:name w:val="AER bold itals"/>
    <w:rsid w:val="005F18AD"/>
    <w:rPr>
      <w:b/>
      <w:i/>
    </w:rPr>
  </w:style>
  <w:style w:type="paragraph" w:customStyle="1" w:styleId="AERbulletlistfirststyle">
    <w:name w:val="AER bullet list (first style)"/>
    <w:basedOn w:val="Normal"/>
    <w:rsid w:val="005F18AD"/>
    <w:pPr>
      <w:numPr>
        <w:numId w:val="4"/>
      </w:numPr>
      <w:spacing w:after="240" w:line="240" w:lineRule="atLeast"/>
    </w:pPr>
    <w:rPr>
      <w:lang w:eastAsia="en-US"/>
    </w:rPr>
  </w:style>
  <w:style w:type="paragraph" w:customStyle="1" w:styleId="AERbulletlistsecondstyle">
    <w:name w:val="AER bullet list (second style)"/>
    <w:basedOn w:val="AERbodytext"/>
    <w:rsid w:val="005F18AD"/>
    <w:pPr>
      <w:numPr>
        <w:numId w:val="5"/>
      </w:numPr>
      <w:tabs>
        <w:tab w:val="clear" w:pos="714"/>
        <w:tab w:val="left" w:pos="720"/>
      </w:tabs>
      <w:ind w:left="720" w:hanging="363"/>
    </w:pPr>
  </w:style>
  <w:style w:type="paragraph" w:customStyle="1" w:styleId="AERbulletlistthirdstyle">
    <w:name w:val="AER bullet list (third style)"/>
    <w:basedOn w:val="Normal"/>
    <w:rsid w:val="005F18AD"/>
    <w:pPr>
      <w:numPr>
        <w:numId w:val="6"/>
      </w:numPr>
      <w:tabs>
        <w:tab w:val="clear" w:pos="870"/>
        <w:tab w:val="left" w:pos="1077"/>
      </w:tabs>
      <w:ind w:left="1077" w:hanging="357"/>
    </w:pPr>
    <w:rPr>
      <w:lang w:eastAsia="en-US"/>
    </w:rPr>
  </w:style>
  <w:style w:type="paragraph" w:customStyle="1" w:styleId="AERcopyrighttext">
    <w:name w:val="AER copyright text"/>
    <w:basedOn w:val="Normal"/>
    <w:rsid w:val="005F18AD"/>
    <w:pPr>
      <w:spacing w:before="240" w:after="240"/>
    </w:pPr>
    <w:rPr>
      <w:sz w:val="20"/>
      <w:lang w:eastAsia="en-US"/>
    </w:rPr>
  </w:style>
  <w:style w:type="paragraph" w:customStyle="1" w:styleId="AERDecisionBox">
    <w:name w:val="AER Decision Box"/>
    <w:basedOn w:val="AERbodytext"/>
    <w:rsid w:val="005F18AD"/>
    <w:pPr>
      <w:keepLines/>
      <w:pBdr>
        <w:top w:val="single" w:sz="4" w:space="5" w:color="auto"/>
        <w:left w:val="single" w:sz="4" w:space="5" w:color="auto"/>
        <w:bottom w:val="single" w:sz="4" w:space="5" w:color="auto"/>
        <w:right w:val="single" w:sz="4" w:space="5" w:color="auto"/>
      </w:pBdr>
      <w:shd w:val="clear" w:color="auto" w:fill="CCCCCC"/>
    </w:pPr>
  </w:style>
  <w:style w:type="paragraph" w:customStyle="1" w:styleId="AERdraftfinalminortitle">
    <w:name w:val="AER 'draft/final' minor title"/>
    <w:next w:val="Title"/>
    <w:rsid w:val="005F18AD"/>
    <w:pPr>
      <w:spacing w:before="3600" w:after="600"/>
      <w:jc w:val="center"/>
      <w:outlineLvl w:val="1"/>
    </w:pPr>
    <w:rPr>
      <w:rFonts w:ascii="Arial" w:hAnsi="Arial"/>
      <w:sz w:val="32"/>
      <w:lang w:eastAsia="en-US"/>
    </w:rPr>
  </w:style>
  <w:style w:type="paragraph" w:styleId="Title">
    <w:name w:val="Title"/>
    <w:next w:val="Subtitle"/>
    <w:link w:val="TitleChar"/>
    <w:qFormat/>
    <w:rsid w:val="00231B0A"/>
    <w:pPr>
      <w:spacing w:before="100" w:beforeAutospacing="1" w:after="100" w:afterAutospacing="1"/>
    </w:pPr>
    <w:rPr>
      <w:rFonts w:ascii="Arial" w:hAnsi="Arial" w:cs="Arial"/>
      <w:b/>
      <w:bCs/>
      <w:kern w:val="28"/>
      <w:sz w:val="36"/>
      <w:szCs w:val="32"/>
      <w:lang w:eastAsia="en-US"/>
    </w:rPr>
  </w:style>
  <w:style w:type="paragraph" w:customStyle="1" w:styleId="AERFinalminortitle">
    <w:name w:val="AER 'Final' minor title"/>
    <w:next w:val="Title"/>
    <w:rsid w:val="005F18AD"/>
    <w:pPr>
      <w:spacing w:before="3600" w:after="600"/>
      <w:jc w:val="center"/>
    </w:pPr>
    <w:rPr>
      <w:rFonts w:ascii="Arial" w:hAnsi="Arial" w:cs="Arial"/>
      <w:sz w:val="32"/>
      <w:szCs w:val="24"/>
      <w:lang w:eastAsia="en-US"/>
    </w:rPr>
  </w:style>
  <w:style w:type="paragraph" w:customStyle="1" w:styleId="AERheading1">
    <w:name w:val="AER heading 1"/>
    <w:basedOn w:val="Heading1"/>
    <w:next w:val="AERbodytext"/>
    <w:rsid w:val="005F18AD"/>
    <w:pPr>
      <w:pageBreakBefore/>
      <w:spacing w:after="120"/>
    </w:pPr>
    <w:rPr>
      <w:sz w:val="36"/>
      <w:lang w:eastAsia="en-US"/>
    </w:rPr>
  </w:style>
  <w:style w:type="character" w:customStyle="1" w:styleId="AERitals">
    <w:name w:val="AER itals"/>
    <w:rsid w:val="005F18AD"/>
    <w:rPr>
      <w:i/>
    </w:rPr>
  </w:style>
  <w:style w:type="paragraph" w:customStyle="1" w:styleId="AERmaintitle">
    <w:name w:val="AER main title"/>
    <w:next w:val="AERdraftfinalminortitle"/>
    <w:rsid w:val="005F18AD"/>
    <w:pPr>
      <w:spacing w:before="2400" w:after="2000"/>
    </w:pPr>
    <w:rPr>
      <w:rFonts w:ascii="Arial" w:hAnsi="Arial" w:cs="Arial"/>
      <w:b/>
      <w:bCs/>
      <w:kern w:val="28"/>
      <w:sz w:val="32"/>
      <w:szCs w:val="32"/>
      <w:lang w:eastAsia="en-US"/>
    </w:rPr>
  </w:style>
  <w:style w:type="paragraph" w:customStyle="1" w:styleId="AERnumberedlistfirststyle">
    <w:name w:val="AER numbered list (first style)"/>
    <w:qFormat/>
    <w:rsid w:val="005F18AD"/>
    <w:pPr>
      <w:numPr>
        <w:numId w:val="7"/>
      </w:numPr>
      <w:spacing w:before="120" w:after="120" w:line="240" w:lineRule="atLeast"/>
    </w:pPr>
    <w:rPr>
      <w:sz w:val="24"/>
      <w:szCs w:val="24"/>
      <w:lang w:eastAsia="en-US"/>
    </w:rPr>
  </w:style>
  <w:style w:type="paragraph" w:customStyle="1" w:styleId="AERnumberedlistsecondstyle">
    <w:name w:val="AER numbered list (second style)"/>
    <w:basedOn w:val="AERnumberedlistfirststyle"/>
    <w:qFormat/>
    <w:rsid w:val="005F18AD"/>
    <w:pPr>
      <w:numPr>
        <w:numId w:val="8"/>
      </w:numPr>
      <w:tabs>
        <w:tab w:val="left" w:pos="720"/>
      </w:tabs>
      <w:ind w:hanging="363"/>
    </w:pPr>
  </w:style>
  <w:style w:type="paragraph" w:customStyle="1" w:styleId="AERnumberedlistthirdstyle">
    <w:name w:val="AER numbered list (third style)"/>
    <w:basedOn w:val="AERnumberedlistsecondstyle"/>
    <w:qFormat/>
    <w:rsid w:val="005F18AD"/>
    <w:pPr>
      <w:numPr>
        <w:numId w:val="9"/>
      </w:numPr>
      <w:tabs>
        <w:tab w:val="clear" w:pos="1440"/>
        <w:tab w:val="left" w:pos="720"/>
        <w:tab w:val="left" w:pos="1077"/>
      </w:tabs>
      <w:ind w:left="1077" w:hanging="357"/>
    </w:pPr>
  </w:style>
  <w:style w:type="paragraph" w:customStyle="1" w:styleId="AERquote">
    <w:name w:val="AER quote"/>
    <w:basedOn w:val="Normal"/>
    <w:next w:val="AERbodytext"/>
    <w:rsid w:val="005F18AD"/>
    <w:pPr>
      <w:spacing w:after="240"/>
      <w:ind w:left="1077" w:right="1077"/>
    </w:pPr>
    <w:rPr>
      <w:color w:val="000000"/>
      <w:sz w:val="20"/>
      <w:lang w:eastAsia="en-US"/>
    </w:rPr>
  </w:style>
  <w:style w:type="paragraph" w:customStyle="1" w:styleId="AERquotebullet1">
    <w:name w:val="AER quote bullet 1"/>
    <w:basedOn w:val="AERquote"/>
    <w:rsid w:val="005F18AD"/>
    <w:pPr>
      <w:numPr>
        <w:ilvl w:val="1"/>
        <w:numId w:val="10"/>
      </w:numPr>
      <w:tabs>
        <w:tab w:val="clear" w:pos="1378"/>
        <w:tab w:val="left" w:pos="1440"/>
      </w:tabs>
      <w:ind w:left="1440" w:hanging="363"/>
    </w:pPr>
  </w:style>
  <w:style w:type="character" w:customStyle="1" w:styleId="AERsubscript">
    <w:name w:val="AER subscript"/>
    <w:rsid w:val="005F18AD"/>
    <w:rPr>
      <w:vertAlign w:val="subscript"/>
    </w:rPr>
  </w:style>
  <w:style w:type="character" w:customStyle="1" w:styleId="AERsuperscript">
    <w:name w:val="AER superscript"/>
    <w:rsid w:val="005F18AD"/>
    <w:rPr>
      <w:vertAlign w:val="superscript"/>
    </w:rPr>
  </w:style>
  <w:style w:type="table" w:customStyle="1" w:styleId="AERtable-numbers">
    <w:name w:val="AER table - numbers"/>
    <w:basedOn w:val="TableNormal"/>
    <w:rsid w:val="005F18AD"/>
    <w:pPr>
      <w:keepNext/>
      <w:spacing w:before="40" w:after="40"/>
      <w:jc w:val="right"/>
    </w:pPr>
    <w:tblPr>
      <w:tblStyleRowBandSize w:val="1"/>
      <w:tblBorders>
        <w:top w:val="single" w:sz="12" w:space="0" w:color="auto"/>
        <w:bottom w:val="single" w:sz="4" w:space="0" w:color="auto"/>
      </w:tblBorders>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tablesource">
    <w:name w:val="AER table source"/>
    <w:next w:val="AERbodytext"/>
    <w:rsid w:val="005F18AD"/>
    <w:pPr>
      <w:tabs>
        <w:tab w:val="left" w:pos="1361"/>
      </w:tabs>
      <w:spacing w:before="40" w:after="240"/>
      <w:ind w:left="794" w:right="1077" w:hanging="794"/>
      <w:contextualSpacing/>
    </w:pPr>
    <w:rPr>
      <w:szCs w:val="24"/>
      <w:lang w:eastAsia="en-US"/>
    </w:rPr>
  </w:style>
  <w:style w:type="paragraph" w:customStyle="1" w:styleId="AERtabletext">
    <w:name w:val="AER table text"/>
    <w:basedOn w:val="Normal"/>
    <w:rsid w:val="005F18AD"/>
    <w:pPr>
      <w:widowControl w:val="0"/>
    </w:pPr>
    <w:rPr>
      <w:sz w:val="20"/>
      <w:lang w:eastAsia="en-US"/>
    </w:rPr>
  </w:style>
  <w:style w:type="character" w:customStyle="1" w:styleId="AERunderline">
    <w:name w:val="AER underline"/>
    <w:rsid w:val="005F18AD"/>
    <w:rPr>
      <w:u w:val="single"/>
    </w:rPr>
  </w:style>
  <w:style w:type="paragraph" w:customStyle="1" w:styleId="AERunnumberedheading1">
    <w:name w:val="AER unnumbered heading 1"/>
    <w:basedOn w:val="Normal"/>
    <w:next w:val="AERbodytext"/>
    <w:rsid w:val="005F18AD"/>
    <w:pPr>
      <w:pageBreakBefore/>
      <w:widowControl w:val="0"/>
      <w:tabs>
        <w:tab w:val="left" w:pos="851"/>
      </w:tabs>
      <w:spacing w:before="240"/>
      <w:outlineLvl w:val="0"/>
    </w:pPr>
    <w:rPr>
      <w:rFonts w:ascii="Arial Bold" w:hAnsi="Arial Bold"/>
      <w:b/>
      <w:bCs/>
      <w:spacing w:val="5"/>
      <w:kern w:val="36"/>
      <w:sz w:val="36"/>
      <w:szCs w:val="27"/>
      <w:lang w:eastAsia="en-US"/>
    </w:rPr>
  </w:style>
  <w:style w:type="paragraph" w:customStyle="1" w:styleId="AERunnumberedheading2">
    <w:name w:val="AER unnumbered heading 2"/>
    <w:basedOn w:val="Normal"/>
    <w:next w:val="AERbodytext"/>
    <w:rsid w:val="005F18AD"/>
    <w:pPr>
      <w:keepNext/>
      <w:tabs>
        <w:tab w:val="left" w:pos="851"/>
      </w:tabs>
      <w:spacing w:before="240"/>
    </w:pPr>
    <w:rPr>
      <w:rFonts w:ascii="Arial Bold" w:hAnsi="Arial Bold"/>
      <w:sz w:val="30"/>
      <w:lang w:eastAsia="en-US"/>
    </w:rPr>
  </w:style>
  <w:style w:type="paragraph" w:customStyle="1" w:styleId="AERunnumberedheading3">
    <w:name w:val="AER unnumbered heading 3"/>
    <w:basedOn w:val="AERHeading10"/>
    <w:next w:val="AERbodytext"/>
    <w:rsid w:val="00936A7B"/>
  </w:style>
  <w:style w:type="paragraph" w:customStyle="1" w:styleId="AERunnumberedheading4">
    <w:name w:val="AER unnumbered heading 4"/>
    <w:basedOn w:val="Normal"/>
    <w:next w:val="AERbodytext"/>
    <w:rsid w:val="005F18AD"/>
    <w:pPr>
      <w:keepNext/>
      <w:tabs>
        <w:tab w:val="left" w:pos="851"/>
        <w:tab w:val="left" w:pos="1080"/>
      </w:tabs>
      <w:spacing w:before="240"/>
      <w:outlineLvl w:val="3"/>
    </w:pPr>
    <w:rPr>
      <w:b/>
      <w:lang w:eastAsia="en-US"/>
    </w:rPr>
  </w:style>
  <w:style w:type="character" w:styleId="PageNumber">
    <w:name w:val="page number"/>
    <w:rsid w:val="005F18AD"/>
    <w:rPr>
      <w:rFonts w:ascii="Arial" w:hAnsi="Arial"/>
      <w:sz w:val="20"/>
    </w:rPr>
  </w:style>
  <w:style w:type="paragraph" w:styleId="Subtitle">
    <w:name w:val="Subtitle"/>
    <w:link w:val="SubtitleChar"/>
    <w:qFormat/>
    <w:rsid w:val="005F18AD"/>
    <w:pPr>
      <w:spacing w:after="60"/>
      <w:jc w:val="center"/>
      <w:outlineLvl w:val="1"/>
    </w:pPr>
    <w:rPr>
      <w:rFonts w:ascii="Arial" w:hAnsi="Arial" w:cs="Arial"/>
      <w:sz w:val="28"/>
      <w:szCs w:val="24"/>
      <w:lang w:eastAsia="en-US"/>
    </w:rPr>
  </w:style>
  <w:style w:type="paragraph" w:styleId="TOC1">
    <w:name w:val="toc 1"/>
    <w:basedOn w:val="Normal"/>
    <w:next w:val="Normal"/>
    <w:rsid w:val="005F18AD"/>
    <w:pPr>
      <w:tabs>
        <w:tab w:val="left" w:pos="567"/>
        <w:tab w:val="right" w:leader="dot" w:pos="8307"/>
      </w:tabs>
    </w:pPr>
    <w:rPr>
      <w:b/>
      <w:lang w:eastAsia="en-US"/>
    </w:rPr>
  </w:style>
  <w:style w:type="paragraph" w:styleId="TOC2">
    <w:name w:val="toc 2"/>
    <w:basedOn w:val="Normal"/>
    <w:next w:val="Normal"/>
    <w:rsid w:val="005F18AD"/>
    <w:pPr>
      <w:tabs>
        <w:tab w:val="left" w:pos="1080"/>
        <w:tab w:val="right" w:leader="dot" w:pos="8307"/>
      </w:tabs>
      <w:ind w:left="1134" w:hanging="567"/>
    </w:pPr>
    <w:rPr>
      <w:lang w:eastAsia="en-US"/>
    </w:rPr>
  </w:style>
  <w:style w:type="paragraph" w:styleId="TOC3">
    <w:name w:val="toc 3"/>
    <w:basedOn w:val="Normal"/>
    <w:next w:val="Normal"/>
    <w:rsid w:val="005F18AD"/>
    <w:pPr>
      <w:tabs>
        <w:tab w:val="left" w:pos="1980"/>
        <w:tab w:val="right" w:leader="dot" w:pos="8307"/>
      </w:tabs>
      <w:ind w:left="1980" w:hanging="900"/>
    </w:pPr>
    <w:rPr>
      <w:lang w:eastAsia="en-US"/>
    </w:rPr>
  </w:style>
  <w:style w:type="table" w:customStyle="1" w:styleId="AERtable-text">
    <w:name w:val="AER table - text"/>
    <w:basedOn w:val="AERtable-numbers"/>
    <w:rsid w:val="005F18AD"/>
    <w:pPr>
      <w:jc w:val="left"/>
    </w:pPr>
    <w:tbl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quoteindent1">
    <w:name w:val="AER quote (indent 1)"/>
    <w:basedOn w:val="AERquote"/>
    <w:rsid w:val="005F18AD"/>
    <w:pPr>
      <w:ind w:left="1440" w:right="1440"/>
    </w:pPr>
  </w:style>
  <w:style w:type="paragraph" w:customStyle="1" w:styleId="AERbodytextindent2">
    <w:name w:val="AER body text (indent 2)"/>
    <w:basedOn w:val="AERbodytext"/>
    <w:rsid w:val="005F18AD"/>
    <w:pPr>
      <w:ind w:left="720"/>
    </w:pPr>
  </w:style>
  <w:style w:type="paragraph" w:customStyle="1" w:styleId="AERbodytextindent1">
    <w:name w:val="AER body text (indent 1)"/>
    <w:basedOn w:val="AERbodytext"/>
    <w:rsid w:val="005F18AD"/>
    <w:pPr>
      <w:ind w:left="357"/>
    </w:pPr>
  </w:style>
  <w:style w:type="paragraph" w:customStyle="1" w:styleId="AERbodytextindent3">
    <w:name w:val="AER body text (indent 3)"/>
    <w:basedOn w:val="AERbodytext"/>
    <w:rsid w:val="005F18AD"/>
    <w:pPr>
      <w:ind w:left="1077"/>
    </w:pPr>
  </w:style>
  <w:style w:type="paragraph" w:customStyle="1" w:styleId="AERunnumberedheading6">
    <w:name w:val="AER unnumbered heading 6"/>
    <w:basedOn w:val="Heading6"/>
    <w:next w:val="AERbodytext"/>
    <w:rsid w:val="005F18AD"/>
    <w:pPr>
      <w:spacing w:before="120" w:after="0"/>
    </w:pPr>
    <w:rPr>
      <w:b w:val="0"/>
      <w:i/>
      <w:lang w:eastAsia="en-US"/>
    </w:rPr>
  </w:style>
  <w:style w:type="paragraph" w:customStyle="1" w:styleId="AERquoteindent2">
    <w:name w:val="AER quote (indent 2)"/>
    <w:basedOn w:val="AERquoteindent1"/>
    <w:rsid w:val="005F18AD"/>
    <w:pPr>
      <w:ind w:left="1797" w:right="1797"/>
    </w:pPr>
  </w:style>
  <w:style w:type="paragraph" w:customStyle="1" w:styleId="AERquoteindent3">
    <w:name w:val="AER quote (indent 3)"/>
    <w:basedOn w:val="AERquoteindent2"/>
    <w:rsid w:val="005F18AD"/>
    <w:pPr>
      <w:ind w:left="2160" w:right="2160"/>
    </w:pPr>
  </w:style>
  <w:style w:type="character" w:customStyle="1" w:styleId="FigHeadingChar1">
    <w:name w:val="Fig Heading Char1"/>
    <w:rsid w:val="00CF53CA"/>
    <w:rPr>
      <w:rFonts w:ascii="Arial" w:hAnsi="Arial" w:cs="Arial"/>
      <w:b/>
      <w:lang w:val="en-AU" w:eastAsia="en-US" w:bidi="ar-SA"/>
    </w:rPr>
  </w:style>
  <w:style w:type="character" w:customStyle="1" w:styleId="FootnoteChar">
    <w:name w:val="Footnote Char"/>
    <w:link w:val="Footnote"/>
    <w:rsid w:val="006F4169"/>
    <w:rPr>
      <w:szCs w:val="24"/>
      <w:lang w:val="en-AU" w:eastAsia="en-AU" w:bidi="ar-SA"/>
    </w:rPr>
  </w:style>
  <w:style w:type="paragraph" w:styleId="ListParagraph">
    <w:name w:val="List Paragraph"/>
    <w:basedOn w:val="Normal"/>
    <w:uiPriority w:val="34"/>
    <w:qFormat/>
    <w:rsid w:val="002052B6"/>
    <w:pPr>
      <w:ind w:left="720"/>
      <w:contextualSpacing/>
    </w:pPr>
    <w:rPr>
      <w:rFonts w:ascii="Calibri" w:eastAsia="Calibri" w:hAnsi="Calibri" w:cs="Calibri"/>
      <w:sz w:val="20"/>
      <w:szCs w:val="20"/>
    </w:rPr>
  </w:style>
  <w:style w:type="table" w:customStyle="1" w:styleId="AERTable-Text0">
    <w:name w:val="AER Table - Text"/>
    <w:basedOn w:val="TableNormal"/>
    <w:uiPriority w:val="99"/>
    <w:rsid w:val="00936A7B"/>
    <w:pPr>
      <w:spacing w:before="120" w:after="120"/>
    </w:pPr>
    <w:rPr>
      <w:rFonts w:ascii="Arial" w:eastAsia="Arial" w:hAnsi="Arial"/>
      <w:sz w:val="18"/>
      <w:szCs w:val="22"/>
      <w:lang w:eastAsia="en-US"/>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AERHeading10">
    <w:name w:val="AER Heading 1"/>
    <w:basedOn w:val="Normal"/>
    <w:link w:val="AERHeading1Char"/>
    <w:qFormat/>
    <w:rsid w:val="00936A7B"/>
    <w:pPr>
      <w:tabs>
        <w:tab w:val="left" w:pos="680"/>
      </w:tabs>
      <w:spacing w:before="200" w:after="0" w:line="240" w:lineRule="atLeast"/>
      <w:outlineLvl w:val="1"/>
    </w:pPr>
    <w:rPr>
      <w:b/>
      <w:bCs/>
      <w:color w:val="2272A3"/>
      <w:sz w:val="32"/>
      <w:szCs w:val="20"/>
      <w:lang w:eastAsia="en-US"/>
    </w:rPr>
  </w:style>
  <w:style w:type="character" w:customStyle="1" w:styleId="AERHeading1Char">
    <w:name w:val="AER Heading 1 Char"/>
    <w:link w:val="AERHeading10"/>
    <w:rsid w:val="00936A7B"/>
    <w:rPr>
      <w:rFonts w:ascii="Arial" w:hAnsi="Arial"/>
      <w:b/>
      <w:bCs/>
      <w:color w:val="2272A3"/>
      <w:sz w:val="32"/>
      <w:lang w:eastAsia="en-US"/>
    </w:rPr>
  </w:style>
  <w:style w:type="paragraph" w:customStyle="1" w:styleId="AERNumberedheading1nonewpage">
    <w:name w:val="AER Numbered heading 1 no new page"/>
    <w:basedOn w:val="AERHeading10"/>
    <w:link w:val="AERNumberedheading1nonewpageChar"/>
    <w:qFormat/>
    <w:rsid w:val="000F2287"/>
    <w:pPr>
      <w:numPr>
        <w:numId w:val="15"/>
      </w:numPr>
      <w:tabs>
        <w:tab w:val="clear" w:pos="680"/>
        <w:tab w:val="left" w:pos="709"/>
      </w:tabs>
    </w:pPr>
  </w:style>
  <w:style w:type="character" w:customStyle="1" w:styleId="AERNumberedheading1nonewpageChar">
    <w:name w:val="AER Numbered heading 1 no new page Char"/>
    <w:basedOn w:val="AERHeading1Char"/>
    <w:link w:val="AERNumberedheading1nonewpage"/>
    <w:rsid w:val="000F2287"/>
    <w:rPr>
      <w:rFonts w:ascii="Arial" w:hAnsi="Arial"/>
      <w:b/>
      <w:bCs/>
      <w:color w:val="2272A3"/>
      <w:sz w:val="32"/>
      <w:lang w:eastAsia="en-US"/>
    </w:rPr>
  </w:style>
  <w:style w:type="numbering" w:customStyle="1" w:styleId="Style1">
    <w:name w:val="Style1"/>
    <w:uiPriority w:val="99"/>
    <w:rsid w:val="00E2040E"/>
    <w:pPr>
      <w:numPr>
        <w:numId w:val="20"/>
      </w:numPr>
    </w:pPr>
  </w:style>
  <w:style w:type="character" w:customStyle="1" w:styleId="TitleChar">
    <w:name w:val="Title Char"/>
    <w:link w:val="Title"/>
    <w:rsid w:val="00004A63"/>
    <w:rPr>
      <w:rFonts w:ascii="Arial" w:hAnsi="Arial" w:cs="Arial"/>
      <w:b/>
      <w:bCs/>
      <w:kern w:val="28"/>
      <w:sz w:val="36"/>
      <w:szCs w:val="32"/>
      <w:lang w:eastAsia="en-US"/>
    </w:rPr>
  </w:style>
  <w:style w:type="character" w:customStyle="1" w:styleId="SubtitleChar">
    <w:name w:val="Subtitle Char"/>
    <w:link w:val="Subtitle"/>
    <w:rsid w:val="00004A63"/>
    <w:rPr>
      <w:rFonts w:ascii="Arial" w:hAnsi="Arial" w:cs="Arial"/>
      <w:sz w:val="28"/>
      <w:szCs w:val="24"/>
      <w:lang w:eastAsia="en-US"/>
    </w:rPr>
  </w:style>
  <w:style w:type="paragraph" w:customStyle="1" w:styleId="TableHeading">
    <w:name w:val="Table Heading"/>
    <w:basedOn w:val="Tabletext"/>
    <w:link w:val="TableHeadingChar"/>
    <w:qFormat/>
    <w:rsid w:val="0091453B"/>
    <w:pPr>
      <w:spacing w:before="60" w:after="60" w:line="276" w:lineRule="auto"/>
      <w:jc w:val="left"/>
    </w:pPr>
    <w:rPr>
      <w:rFonts w:eastAsia="Arial"/>
      <w:color w:val="FFFFFF"/>
      <w:sz w:val="18"/>
      <w:szCs w:val="22"/>
      <w:lang w:eastAsia="en-US"/>
    </w:rPr>
  </w:style>
  <w:style w:type="character" w:customStyle="1" w:styleId="TableHeadingChar">
    <w:name w:val="Table Heading Char"/>
    <w:link w:val="TableHeading"/>
    <w:rsid w:val="0091453B"/>
    <w:rPr>
      <w:rFonts w:ascii="Arial" w:eastAsia="Arial" w:hAnsi="Arial"/>
      <w:color w:val="FFFFFF"/>
      <w:sz w:val="18"/>
      <w:szCs w:val="22"/>
      <w:lang w:eastAsia="en-US"/>
    </w:rPr>
  </w:style>
  <w:style w:type="paragraph" w:customStyle="1" w:styleId="tableheadingline2">
    <w:name w:val="table heading line 2"/>
    <w:basedOn w:val="Normal"/>
    <w:link w:val="tableheadingline2Char"/>
    <w:qFormat/>
    <w:rsid w:val="0091453B"/>
    <w:pPr>
      <w:spacing w:before="0" w:line="276" w:lineRule="auto"/>
      <w:jc w:val="center"/>
    </w:pPr>
    <w:rPr>
      <w:rFonts w:eastAsia="Arial"/>
      <w:b/>
      <w:sz w:val="18"/>
      <w:szCs w:val="22"/>
      <w:lang w:eastAsia="en-US"/>
    </w:rPr>
  </w:style>
  <w:style w:type="character" w:customStyle="1" w:styleId="tableheadingline2Char">
    <w:name w:val="table heading line 2 Char"/>
    <w:link w:val="tableheadingline2"/>
    <w:rsid w:val="0091453B"/>
    <w:rPr>
      <w:rFonts w:ascii="Arial" w:eastAsia="Arial" w:hAnsi="Arial"/>
      <w:b/>
      <w:sz w:val="18"/>
      <w:szCs w:val="22"/>
      <w:lang w:eastAsia="en-US"/>
    </w:rPr>
  </w:style>
  <w:style w:type="numbering" w:customStyle="1" w:styleId="AERnumberedlist">
    <w:name w:val="AER numbered list"/>
    <w:uiPriority w:val="99"/>
    <w:rsid w:val="009A1BBA"/>
    <w:pPr>
      <w:numPr>
        <w:numId w:val="30"/>
      </w:numPr>
    </w:pPr>
  </w:style>
  <w:style w:type="paragraph" w:customStyle="1" w:styleId="AERnumberedlist2first">
    <w:name w:val="AER numbered list 2 first"/>
    <w:basedOn w:val="AERbodytext"/>
    <w:qFormat/>
    <w:rsid w:val="009A1BBA"/>
    <w:pPr>
      <w:tabs>
        <w:tab w:val="num" w:pos="357"/>
      </w:tabs>
      <w:spacing w:before="0" w:after="240" w:line="288" w:lineRule="auto"/>
      <w:ind w:left="357" w:hanging="357"/>
      <w:jc w:val="both"/>
    </w:pPr>
    <w:rPr>
      <w:rFonts w:ascii="Calibri" w:hAnsi="Calibri"/>
      <w:sz w:val="20"/>
    </w:rPr>
  </w:style>
  <w:style w:type="paragraph" w:customStyle="1" w:styleId="AERnumberedlist2second">
    <w:name w:val="AER numbered list 2 second"/>
    <w:basedOn w:val="AERnumberedlist2first"/>
    <w:qFormat/>
    <w:rsid w:val="009A1BBA"/>
    <w:pPr>
      <w:tabs>
        <w:tab w:val="clear" w:pos="357"/>
        <w:tab w:val="num" w:pos="720"/>
      </w:tabs>
      <w:ind w:left="720" w:hanging="363"/>
    </w:pPr>
  </w:style>
  <w:style w:type="paragraph" w:customStyle="1" w:styleId="AERnumberedlist2third">
    <w:name w:val="AER numbered list 2 third"/>
    <w:basedOn w:val="AERnumberedlist2second"/>
    <w:qFormat/>
    <w:rsid w:val="009A1BBA"/>
    <w:pPr>
      <w:tabs>
        <w:tab w:val="clear" w:pos="720"/>
        <w:tab w:val="num" w:pos="1361"/>
      </w:tabs>
      <w:ind w:left="1361" w:hanging="136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Style1"/>
    <w:pPr>
      <w:numPr>
        <w:numId w:val="20"/>
      </w:numPr>
    </w:pPr>
  </w:style>
  <w:style w:type="numbering" w:customStyle="1" w:styleId="Heading2Char">
    <w:name w:val="AERnumberedlist"/>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82389">
      <w:bodyDiv w:val="1"/>
      <w:marLeft w:val="0"/>
      <w:marRight w:val="0"/>
      <w:marTop w:val="0"/>
      <w:marBottom w:val="0"/>
      <w:divBdr>
        <w:top w:val="none" w:sz="0" w:space="0" w:color="auto"/>
        <w:left w:val="none" w:sz="0" w:space="0" w:color="auto"/>
        <w:bottom w:val="none" w:sz="0" w:space="0" w:color="auto"/>
        <w:right w:val="none" w:sz="0" w:space="0" w:color="auto"/>
      </w:divBdr>
    </w:div>
    <w:div w:id="700863153">
      <w:bodyDiv w:val="1"/>
      <w:marLeft w:val="0"/>
      <w:marRight w:val="0"/>
      <w:marTop w:val="0"/>
      <w:marBottom w:val="0"/>
      <w:divBdr>
        <w:top w:val="none" w:sz="0" w:space="0" w:color="auto"/>
        <w:left w:val="none" w:sz="0" w:space="0" w:color="auto"/>
        <w:bottom w:val="none" w:sz="0" w:space="0" w:color="auto"/>
        <w:right w:val="none" w:sz="0" w:space="0" w:color="auto"/>
      </w:divBdr>
    </w:div>
    <w:div w:id="872185116">
      <w:bodyDiv w:val="1"/>
      <w:marLeft w:val="0"/>
      <w:marRight w:val="0"/>
      <w:marTop w:val="0"/>
      <w:marBottom w:val="0"/>
      <w:divBdr>
        <w:top w:val="none" w:sz="0" w:space="0" w:color="auto"/>
        <w:left w:val="none" w:sz="0" w:space="0" w:color="auto"/>
        <w:bottom w:val="none" w:sz="0" w:space="0" w:color="auto"/>
        <w:right w:val="none" w:sz="0" w:space="0" w:color="auto"/>
      </w:divBdr>
    </w:div>
    <w:div w:id="1117607492">
      <w:bodyDiv w:val="1"/>
      <w:marLeft w:val="0"/>
      <w:marRight w:val="0"/>
      <w:marTop w:val="0"/>
      <w:marBottom w:val="0"/>
      <w:divBdr>
        <w:top w:val="none" w:sz="0" w:space="0" w:color="auto"/>
        <w:left w:val="none" w:sz="0" w:space="0" w:color="auto"/>
        <w:bottom w:val="none" w:sz="0" w:space="0" w:color="auto"/>
        <w:right w:val="none" w:sz="0" w:space="0" w:color="auto"/>
      </w:divBdr>
    </w:div>
    <w:div w:id="1458179203">
      <w:bodyDiv w:val="1"/>
      <w:marLeft w:val="0"/>
      <w:marRight w:val="0"/>
      <w:marTop w:val="0"/>
      <w:marBottom w:val="0"/>
      <w:divBdr>
        <w:top w:val="none" w:sz="0" w:space="0" w:color="auto"/>
        <w:left w:val="none" w:sz="0" w:space="0" w:color="auto"/>
        <w:bottom w:val="none" w:sz="0" w:space="0" w:color="auto"/>
        <w:right w:val="none" w:sz="0" w:space="0" w:color="auto"/>
      </w:divBdr>
    </w:div>
    <w:div w:id="185633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yperlink" Target="http://www.aer.gov.au/node/451" TargetMode="External"/><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hyperlink" Target="http://www.aer.gov.au/node/456" TargetMode="External"/><Relationship Id="rId17" Type="http://schemas.openxmlformats.org/officeDocument/2006/relationships/image" Target="media/image7.emf"/><Relationship Id="rId25" Type="http://schemas.openxmlformats.org/officeDocument/2006/relationships/image" Target="media/image14.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er.gov.au/node/451" TargetMode="External"/><Relationship Id="rId24" Type="http://schemas.openxmlformats.org/officeDocument/2006/relationships/image" Target="media/image13.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7.emf"/><Relationship Id="rId10" Type="http://schemas.openxmlformats.org/officeDocument/2006/relationships/image" Target="media/image2.emf"/><Relationship Id="rId19" Type="http://schemas.openxmlformats.org/officeDocument/2006/relationships/image" Target="media/image8.emf"/><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EA9F52-97B9-4E96-ADFE-9485890AD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78430EF8</Template>
  <TotalTime>0</TotalTime>
  <Pages>12</Pages>
  <Words>2085</Words>
  <Characters>10050</Characters>
  <Application>Microsoft Office Word</Application>
  <DocSecurity>0</DocSecurity>
  <Lines>83</Lines>
  <Paragraphs>24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12111</CharactersWithSpaces>
  <SharedDoc>false</SharedDoc>
  <HLinks>
    <vt:vector size="12" baseType="variant">
      <vt:variant>
        <vt:i4>7274559</vt:i4>
      </vt:variant>
      <vt:variant>
        <vt:i4>3</vt:i4>
      </vt:variant>
      <vt:variant>
        <vt:i4>0</vt:i4>
      </vt:variant>
      <vt:variant>
        <vt:i4>5</vt:i4>
      </vt:variant>
      <vt:variant>
        <vt:lpwstr>http://www.aer.gov.au/node/456</vt:lpwstr>
      </vt:variant>
      <vt:variant>
        <vt:lpwstr/>
      </vt:variant>
      <vt:variant>
        <vt:i4>6815807</vt:i4>
      </vt:variant>
      <vt:variant>
        <vt:i4>0</vt:i4>
      </vt:variant>
      <vt:variant>
        <vt:i4>0</vt:i4>
      </vt:variant>
      <vt:variant>
        <vt:i4>5</vt:i4>
      </vt:variant>
      <vt:variant>
        <vt:lpwstr>http://www.aer.gov.au/node/451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2016-01-12T03:45:00Z</dcterms:created>
  <dcterms:modified xsi:type="dcterms:W3CDTF">2016-01-12T04:09:00Z</dcterms:modified>
</cp:coreProperties>
</file>