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EF8" w:rsidRPr="00C4712A" w:rsidRDefault="002A4EF8" w:rsidP="002A4EF8">
      <w:pPr>
        <w:pStyle w:val="Heading1"/>
        <w:spacing w:before="120"/>
        <w:ind w:left="142"/>
        <w:rPr>
          <w:rFonts w:asciiTheme="minorHAnsi" w:hAnsiTheme="minorHAnsi" w:cstheme="minorHAnsi"/>
          <w:b/>
          <w:sz w:val="36"/>
          <w:szCs w:val="36"/>
        </w:rPr>
      </w:pPr>
      <w:bookmarkStart w:id="0" w:name="_Toc305751931"/>
      <w:bookmarkStart w:id="1" w:name="_Toc308601044"/>
      <w:bookmarkStart w:id="2" w:name="_Toc316978870"/>
      <w:bookmarkStart w:id="3" w:name="_Toc317520246"/>
      <w:bookmarkStart w:id="4" w:name="OLE_LINK72"/>
      <w:bookmarkStart w:id="5" w:name="OLE_LINK73"/>
      <w:r w:rsidRPr="00C4712A">
        <w:rPr>
          <w:rFonts w:asciiTheme="minorHAnsi" w:hAnsiTheme="minorHAnsi" w:cstheme="minorHAnsi"/>
          <w:b/>
          <w:noProof/>
          <w:color w:val="FFFFFF" w:themeColor="background1"/>
          <w:sz w:val="36"/>
          <w:szCs w:val="36"/>
          <w:lang w:eastAsia="en-AU"/>
        </w:rPr>
        <w:drawing>
          <wp:anchor distT="0" distB="0" distL="114300" distR="114300" simplePos="0" relativeHeight="251666432" behindDoc="1" locked="0" layoutInCell="1" allowOverlap="1" wp14:anchorId="0BE068F8" wp14:editId="3B27A352">
            <wp:simplePos x="0" y="0"/>
            <wp:positionH relativeFrom="column">
              <wp:posOffset>0</wp:posOffset>
            </wp:positionH>
            <wp:positionV relativeFrom="paragraph">
              <wp:posOffset>7800</wp:posOffset>
            </wp:positionV>
            <wp:extent cx="5693434" cy="923502"/>
            <wp:effectExtent l="0" t="0" r="2540" b="0"/>
            <wp:wrapNone/>
            <wp:docPr id="1" name="Picture 1"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4619" cy="923694"/>
                    </a:xfrm>
                    <a:prstGeom prst="rect">
                      <a:avLst/>
                    </a:prstGeom>
                    <a:noFill/>
                  </pic:spPr>
                </pic:pic>
              </a:graphicData>
            </a:graphic>
            <wp14:sizeRelH relativeFrom="page">
              <wp14:pctWidth>0</wp14:pctWidth>
            </wp14:sizeRelH>
            <wp14:sizeRelV relativeFrom="page">
              <wp14:pctHeight>0</wp14:pctHeight>
            </wp14:sizeRelV>
          </wp:anchor>
        </w:drawing>
      </w:r>
      <w:r w:rsidR="0015496E">
        <w:rPr>
          <w:rFonts w:asciiTheme="minorHAnsi" w:hAnsiTheme="minorHAnsi" w:cstheme="minorHAnsi"/>
          <w:b/>
          <w:color w:val="FFFFFF" w:themeColor="background1"/>
          <w:sz w:val="36"/>
          <w:szCs w:val="36"/>
        </w:rPr>
        <w:t xml:space="preserve"> </w:t>
      </w:r>
      <w:r w:rsidR="003171C6">
        <w:rPr>
          <w:rFonts w:asciiTheme="minorHAnsi" w:hAnsiTheme="minorHAnsi" w:cstheme="minorHAnsi"/>
          <w:b/>
          <w:color w:val="FFFFFF" w:themeColor="background1"/>
          <w:sz w:val="36"/>
          <w:szCs w:val="36"/>
        </w:rPr>
        <w:t>Gas Market</w:t>
      </w:r>
      <w:r w:rsidRPr="00C4712A">
        <w:rPr>
          <w:rFonts w:asciiTheme="minorHAnsi" w:hAnsiTheme="minorHAnsi" w:cstheme="minorHAnsi"/>
          <w:b/>
          <w:color w:val="FFFFFF" w:themeColor="background1"/>
          <w:sz w:val="36"/>
          <w:szCs w:val="36"/>
        </w:rPr>
        <w:t xml:space="preserve"> Report</w:t>
      </w:r>
    </w:p>
    <w:p w:rsidR="002A4EF8" w:rsidRPr="00C4712A" w:rsidRDefault="002A4EF8" w:rsidP="002A4EF8"/>
    <w:p w:rsidR="002A4EF8" w:rsidRDefault="002A4EF8" w:rsidP="002A4EF8"/>
    <w:p w:rsidR="00286866" w:rsidRPr="00AC3047" w:rsidRDefault="00D82D29" w:rsidP="00286866">
      <w:pPr>
        <w:pStyle w:val="Heading2"/>
        <w:rPr>
          <w:i/>
        </w:rPr>
      </w:pPr>
      <w:r w:rsidRPr="00D82D29">
        <w:rPr>
          <w:sz w:val="36"/>
          <w:szCs w:val="36"/>
        </w:rPr>
        <w:t>12 – 18</w:t>
      </w:r>
      <w:r w:rsidR="00286866" w:rsidRPr="00D82D29">
        <w:rPr>
          <w:sz w:val="36"/>
          <w:szCs w:val="36"/>
        </w:rPr>
        <w:t xml:space="preserve"> </w:t>
      </w:r>
      <w:r w:rsidRPr="00D82D29">
        <w:rPr>
          <w:sz w:val="36"/>
          <w:szCs w:val="36"/>
        </w:rPr>
        <w:t>February</w:t>
      </w:r>
      <w:r w:rsidR="00286866" w:rsidRPr="00D82D29">
        <w:rPr>
          <w:sz w:val="36"/>
          <w:szCs w:val="36"/>
        </w:rPr>
        <w:t xml:space="preserve"> </w:t>
      </w:r>
      <w:r>
        <w:rPr>
          <w:sz w:val="36"/>
          <w:szCs w:val="36"/>
        </w:rPr>
        <w:t>2017</w:t>
      </w:r>
    </w:p>
    <w:p w:rsidR="000835F4" w:rsidRPr="000835F4" w:rsidRDefault="000835F4" w:rsidP="000835F4">
      <w:pPr>
        <w:pStyle w:val="Heading2"/>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Weekly Summary</w:t>
      </w:r>
    </w:p>
    <w:p w:rsidR="006B245C" w:rsidRPr="000A4EC2" w:rsidRDefault="00D90769" w:rsidP="00F26128">
      <w:pPr>
        <w:jc w:val="both"/>
      </w:pPr>
      <w:r w:rsidRPr="000A4EC2">
        <w:t xml:space="preserve">Prices continued to decline this week across all markets, except Victoria which experienced a modest price increase. </w:t>
      </w:r>
      <w:r w:rsidR="00E37BB8" w:rsidRPr="000A4EC2">
        <w:t>This followed declining demand for gas, particularly from gas powered generators (GPGs)</w:t>
      </w:r>
      <w:r w:rsidR="00016E4F" w:rsidRPr="000A4EC2">
        <w:t xml:space="preserve"> and cooler ambient temperatures</w:t>
      </w:r>
      <w:r w:rsidR="00E37BB8" w:rsidRPr="000A4EC2">
        <w:t xml:space="preserve">. </w:t>
      </w:r>
      <w:r w:rsidR="00016E4F" w:rsidRPr="000A4EC2">
        <w:t>Subdued</w:t>
      </w:r>
      <w:r w:rsidR="00E37BB8" w:rsidRPr="000A4EC2">
        <w:t xml:space="preserve"> flows </w:t>
      </w:r>
      <w:r w:rsidR="00016E4F" w:rsidRPr="000A4EC2">
        <w:t xml:space="preserve">of gas </w:t>
      </w:r>
      <w:r w:rsidR="00E37BB8" w:rsidRPr="000A4EC2">
        <w:t xml:space="preserve">to LNG facilities </w:t>
      </w:r>
      <w:r w:rsidR="00016E4F" w:rsidRPr="000A4EC2">
        <w:t xml:space="preserve">continued, </w:t>
      </w:r>
      <w:r w:rsidR="00935022" w:rsidRPr="000A4EC2">
        <w:t>also easing pressure on</w:t>
      </w:r>
      <w:r w:rsidR="00016E4F" w:rsidRPr="000A4EC2">
        <w:t xml:space="preserve"> gas prices</w:t>
      </w:r>
      <w:r w:rsidR="00935022" w:rsidRPr="000A4EC2">
        <w:t xml:space="preserve">. Trade through the Wallumbilla hub declined steeply and although weighted average prices declined, </w:t>
      </w:r>
      <w:r w:rsidR="000A4EC2" w:rsidRPr="000A4EC2">
        <w:t>one</w:t>
      </w:r>
      <w:r w:rsidR="00935022" w:rsidRPr="000A4EC2">
        <w:t xml:space="preserve"> trade reached </w:t>
      </w:r>
      <w:r w:rsidR="000A4EC2" w:rsidRPr="000A4EC2">
        <w:t xml:space="preserve">a </w:t>
      </w:r>
      <w:r w:rsidR="000A4EC2">
        <w:t xml:space="preserve">new </w:t>
      </w:r>
      <w:r w:rsidR="00935022" w:rsidRPr="000A4EC2">
        <w:t>record high price.</w:t>
      </w:r>
      <w:r w:rsidR="00016E4F" w:rsidRPr="000A4EC2">
        <w:t xml:space="preserve"> </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Long term statistics and explanatory material</w:t>
      </w:r>
    </w:p>
    <w:p w:rsidR="000835F4" w:rsidRPr="00AF2164" w:rsidRDefault="000835F4" w:rsidP="000835F4">
      <w:pPr>
        <w:jc w:val="both"/>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Market overview</w:t>
      </w:r>
    </w:p>
    <w:p w:rsidR="000835F4" w:rsidRDefault="000835F4" w:rsidP="000835F4">
      <w:pPr>
        <w:jc w:val="both"/>
      </w:pPr>
      <w:r w:rsidRPr="00EC137F">
        <w:t>Figure 1 sets out the average daily prices ($/GJ) for the current week</w:t>
      </w:r>
      <w:r w:rsidR="003106BC" w:rsidRPr="00EC137F">
        <w:t>, and demand levels,</w:t>
      </w:r>
      <w:r w:rsidRPr="00EC137F">
        <w:t xml:space="preserve"> compared to historical averages. </w:t>
      </w:r>
      <w:r w:rsidR="003106BC" w:rsidRPr="00EC137F">
        <w:t>Regions shown include</w:t>
      </w:r>
      <w:r w:rsidRPr="00EC137F">
        <w:t xml:space="preserve"> the Victorian Declared Wholesale Market </w:t>
      </w:r>
      <w:r w:rsidRPr="00EC137F">
        <w:rPr>
          <w:b/>
        </w:rPr>
        <w:t>(VGM or Victorian gas market)</w:t>
      </w:r>
      <w:r w:rsidRPr="00EC137F">
        <w:t xml:space="preserve"> and for the Sydney </w:t>
      </w:r>
      <w:r w:rsidRPr="00EC137F">
        <w:rPr>
          <w:b/>
        </w:rPr>
        <w:t>(SYD)</w:t>
      </w:r>
      <w:r w:rsidRPr="00EC137F">
        <w:t xml:space="preserve">, Adelaide </w:t>
      </w:r>
      <w:r w:rsidRPr="00EC137F">
        <w:rPr>
          <w:b/>
        </w:rPr>
        <w:t xml:space="preserve">(ADL) </w:t>
      </w:r>
      <w:r w:rsidRPr="00EC137F">
        <w:t xml:space="preserve">and Brisbane </w:t>
      </w:r>
      <w:r w:rsidRPr="00EC137F">
        <w:rPr>
          <w:b/>
        </w:rPr>
        <w:t xml:space="preserve">(BRI) </w:t>
      </w:r>
      <w:r w:rsidRPr="00EC137F">
        <w:t xml:space="preserve">Short Term Trading Market hubs </w:t>
      </w:r>
      <w:r w:rsidRPr="00EC137F">
        <w:rPr>
          <w:b/>
        </w:rPr>
        <w:t>(STTM)</w:t>
      </w:r>
      <w:r w:rsidRPr="00EC137F">
        <w:t xml:space="preserve">. </w:t>
      </w:r>
      <w:r w:rsidR="003106BC" w:rsidRPr="00EC137F">
        <w:t>Price and demand information</w:t>
      </w:r>
      <w:r w:rsidRPr="00EC137F">
        <w:t xml:space="preserve"> </w:t>
      </w:r>
      <w:r w:rsidR="003106BC" w:rsidRPr="00EC137F">
        <w:t>is</w:t>
      </w:r>
      <w:r w:rsidRPr="00EC137F">
        <w:t xml:space="preserve"> also shown for the voluntary Wallumbilla and Moomba Gas Supply Hubs </w:t>
      </w:r>
      <w:r w:rsidR="006621AB" w:rsidRPr="00EC137F">
        <w:rPr>
          <w:b/>
        </w:rPr>
        <w:t>(GSH</w:t>
      </w:r>
      <w:r w:rsidRPr="00EC137F">
        <w:rPr>
          <w:b/>
        </w:rPr>
        <w:t>)</w:t>
      </w:r>
      <w:r w:rsidRPr="00EC137F">
        <w:t>.</w:t>
      </w:r>
    </w:p>
    <w:p w:rsidR="000835F4" w:rsidRDefault="000835F4" w:rsidP="000835F4">
      <w:pPr>
        <w:pStyle w:val="Caption"/>
        <w:rPr>
          <w:color w:val="2272A3"/>
          <w:szCs w:val="24"/>
        </w:rPr>
      </w:pPr>
      <w:r w:rsidRPr="00BE2075">
        <w:t xml:space="preserve">Figure </w:t>
      </w:r>
      <w:fldSimple w:instr=" SEQ Figure \* ARABIC ">
        <w:r w:rsidR="001521CB">
          <w:rPr>
            <w:noProof/>
          </w:rPr>
          <w:t>1</w:t>
        </w:r>
      </w:fldSimple>
      <w:r w:rsidRPr="00BE2075">
        <w:t xml:space="preserve">: </w:t>
      </w:r>
      <w:r w:rsidRPr="006E7E57">
        <w:rPr>
          <w:color w:val="2272A3"/>
          <w:szCs w:val="24"/>
        </w:rPr>
        <w:t>Average daily prices</w:t>
      </w:r>
      <w:r w:rsidR="003106BC">
        <w:rPr>
          <w:color w:val="2272A3"/>
          <w:szCs w:val="24"/>
        </w:rPr>
        <w:t xml:space="preserve"> and demand</w:t>
      </w:r>
      <w:r w:rsidRPr="006E7E57">
        <w:rPr>
          <w:color w:val="2272A3"/>
          <w:szCs w:val="24"/>
        </w:rPr>
        <w:t xml:space="preserve"> – all markets ($/GJ</w:t>
      </w:r>
      <w:r w:rsidR="003106BC" w:rsidRPr="00EC137F">
        <w:rPr>
          <w:color w:val="2272A3"/>
          <w:szCs w:val="24"/>
        </w:rPr>
        <w:t>, TJ</w:t>
      </w:r>
      <w:r w:rsidRPr="00EC137F">
        <w:rPr>
          <w:color w:val="2272A3"/>
          <w:szCs w:val="24"/>
        </w:rPr>
        <w:t>)</w:t>
      </w:r>
      <w:r w:rsidRPr="00EC137F">
        <w:rPr>
          <w:color w:val="2272A3"/>
          <w:szCs w:val="24"/>
          <w:vertAlign w:val="superscript"/>
        </w:rPr>
        <w:footnoteReference w:id="1"/>
      </w:r>
    </w:p>
    <w:tbl>
      <w:tblPr>
        <w:tblStyle w:val="AERTable-Text"/>
        <w:tblW w:w="4991" w:type="pct"/>
        <w:tblLayout w:type="fixed"/>
        <w:tblLook w:val="04A0" w:firstRow="1" w:lastRow="0" w:firstColumn="1" w:lastColumn="0" w:noHBand="0" w:noVBand="1"/>
      </w:tblPr>
      <w:tblGrid>
        <w:gridCol w:w="1382"/>
        <w:gridCol w:w="607"/>
        <w:gridCol w:w="814"/>
        <w:gridCol w:w="607"/>
        <w:gridCol w:w="769"/>
        <w:gridCol w:w="607"/>
        <w:gridCol w:w="572"/>
        <w:gridCol w:w="607"/>
        <w:gridCol w:w="670"/>
        <w:gridCol w:w="609"/>
        <w:gridCol w:w="662"/>
        <w:gridCol w:w="79"/>
        <w:gridCol w:w="480"/>
        <w:gridCol w:w="760"/>
      </w:tblGrid>
      <w:tr w:rsidR="00546B16" w:rsidRPr="002861A9" w:rsidTr="00C5766F">
        <w:trPr>
          <w:cnfStyle w:val="100000000000" w:firstRow="1" w:lastRow="0" w:firstColumn="0" w:lastColumn="0" w:oddVBand="0" w:evenVBand="0" w:oddHBand="0" w:evenHBand="0" w:firstRowFirstColumn="0" w:firstRowLastColumn="0" w:lastRowFirstColumn="0" w:lastRowLastColumn="0"/>
          <w:trHeight w:val="404"/>
          <w:tblHeader/>
        </w:trPr>
        <w:tc>
          <w:tcPr>
            <w:tcW w:w="749" w:type="pct"/>
            <w:tcBorders>
              <w:bottom w:val="nil"/>
            </w:tcBorders>
            <w:vAlign w:val="center"/>
          </w:tcPr>
          <w:p w:rsidR="00546B16" w:rsidRPr="00E16EDC" w:rsidRDefault="00546B16" w:rsidP="00546B16">
            <w:pPr>
              <w:pStyle w:val="TableHeading"/>
              <w:spacing w:before="120" w:after="0" w:line="240" w:lineRule="auto"/>
              <w:jc w:val="center"/>
              <w:rPr>
                <w:rFonts w:cs="Arial"/>
                <w:sz w:val="20"/>
                <w:szCs w:val="20"/>
              </w:rPr>
            </w:pPr>
          </w:p>
        </w:tc>
        <w:tc>
          <w:tcPr>
            <w:tcW w:w="770"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Victoria</w:t>
            </w:r>
          </w:p>
        </w:tc>
        <w:tc>
          <w:tcPr>
            <w:tcW w:w="746"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Sydney</w:t>
            </w:r>
          </w:p>
        </w:tc>
        <w:tc>
          <w:tcPr>
            <w:tcW w:w="639"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Adelaide</w:t>
            </w:r>
          </w:p>
        </w:tc>
        <w:tc>
          <w:tcPr>
            <w:tcW w:w="692"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Brisbane</w:t>
            </w:r>
          </w:p>
        </w:tc>
        <w:tc>
          <w:tcPr>
            <w:tcW w:w="732" w:type="pct"/>
            <w:gridSpan w:val="3"/>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Wallumbilla</w:t>
            </w:r>
          </w:p>
        </w:tc>
        <w:tc>
          <w:tcPr>
            <w:tcW w:w="672"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Moomba</w:t>
            </w:r>
          </w:p>
        </w:tc>
      </w:tr>
      <w:tr w:rsidR="00534DD9" w:rsidRPr="002861A9" w:rsidTr="00534DD9">
        <w:trPr>
          <w:cnfStyle w:val="100000000000" w:firstRow="1" w:lastRow="0" w:firstColumn="0" w:lastColumn="0" w:oddVBand="0" w:evenVBand="0" w:oddHBand="0" w:evenHBand="0" w:firstRowFirstColumn="0" w:firstRowLastColumn="0" w:lastRowFirstColumn="0" w:lastRowLastColumn="0"/>
          <w:tblHeader/>
        </w:trPr>
        <w:tc>
          <w:tcPr>
            <w:tcW w:w="749" w:type="pct"/>
            <w:tcBorders>
              <w:bottom w:val="nil"/>
            </w:tcBorders>
            <w:vAlign w:val="center"/>
            <w:hideMark/>
          </w:tcPr>
          <w:p w:rsidR="00546B16" w:rsidRPr="00A226E9" w:rsidRDefault="00546B16" w:rsidP="00546B16">
            <w:pPr>
              <w:spacing w:before="0" w:line="240" w:lineRule="auto"/>
              <w:rPr>
                <w:rFonts w:cs="Arial"/>
                <w:sz w:val="20"/>
                <w:szCs w:val="20"/>
                <w:highlight w:val="yellow"/>
              </w:rPr>
            </w:pPr>
          </w:p>
        </w:tc>
        <w:tc>
          <w:tcPr>
            <w:tcW w:w="329"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41"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17"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10"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63"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30"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59" w:type="pct"/>
            <w:tcBorders>
              <w:bottom w:val="nil"/>
            </w:tcBorders>
            <w:vAlign w:val="center"/>
          </w:tcPr>
          <w:p w:rsidR="00546B16" w:rsidRPr="00E16EDC" w:rsidRDefault="00506624" w:rsidP="00534DD9">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303" w:type="pct"/>
            <w:gridSpan w:val="2"/>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12" w:type="pct"/>
            <w:tcBorders>
              <w:bottom w:val="nil"/>
            </w:tcBorders>
            <w:vAlign w:val="center"/>
          </w:tcPr>
          <w:p w:rsidR="00546B16" w:rsidRPr="00E16EDC" w:rsidRDefault="00506624" w:rsidP="00534DD9">
            <w:pPr>
              <w:spacing w:before="120" w:line="240" w:lineRule="auto"/>
              <w:ind w:left="-113" w:right="-113"/>
              <w:jc w:val="center"/>
              <w:rPr>
                <w:rFonts w:cs="Arial"/>
                <w:bCs/>
                <w:color w:val="FFFFFF"/>
                <w:sz w:val="14"/>
                <w:szCs w:val="20"/>
              </w:rPr>
            </w:pPr>
            <w:r>
              <w:rPr>
                <w:rFonts w:cs="Arial"/>
                <w:bCs/>
                <w:color w:val="FFFFFF"/>
                <w:sz w:val="14"/>
                <w:szCs w:val="20"/>
              </w:rPr>
              <w:t>Quantity</w:t>
            </w:r>
          </w:p>
        </w:tc>
      </w:tr>
      <w:tr w:rsidR="000E564F" w:rsidRPr="006A7228" w:rsidTr="00534DD9">
        <w:trPr>
          <w:trHeight w:val="510"/>
        </w:trPr>
        <w:tc>
          <w:tcPr>
            <w:tcW w:w="749" w:type="pct"/>
            <w:tcBorders>
              <w:top w:val="nil"/>
              <w:bottom w:val="nil"/>
            </w:tcBorders>
            <w:vAlign w:val="center"/>
          </w:tcPr>
          <w:p w:rsidR="000E564F" w:rsidRPr="000E564F" w:rsidRDefault="000E564F">
            <w:pPr>
              <w:rPr>
                <w:rFonts w:asciiTheme="minorHAnsi" w:hAnsiTheme="minorHAnsi" w:cstheme="minorHAnsi"/>
                <w:sz w:val="16"/>
                <w:szCs w:val="16"/>
              </w:rPr>
            </w:pPr>
            <w:r w:rsidRPr="000E564F">
              <w:rPr>
                <w:rFonts w:asciiTheme="minorHAnsi" w:hAnsiTheme="minorHAnsi" w:cstheme="minorHAnsi"/>
                <w:sz w:val="16"/>
                <w:szCs w:val="16"/>
              </w:rPr>
              <w:t>12 Feb - 18 Feb 2017</w:t>
            </w:r>
          </w:p>
        </w:tc>
        <w:tc>
          <w:tcPr>
            <w:tcW w:w="329" w:type="pct"/>
            <w:tcBorders>
              <w:top w:val="nil"/>
              <w:bottom w:val="nil"/>
            </w:tcBorders>
            <w:vAlign w:val="center"/>
          </w:tcPr>
          <w:p w:rsidR="000E564F" w:rsidRPr="00E5049E" w:rsidRDefault="000E564F" w:rsidP="00E5049E">
            <w:pPr>
              <w:ind w:left="-106" w:right="-70"/>
              <w:jc w:val="center"/>
              <w:rPr>
                <w:rFonts w:asciiTheme="minorHAnsi" w:hAnsiTheme="minorHAnsi" w:cstheme="minorHAnsi"/>
                <w:sz w:val="20"/>
                <w:szCs w:val="20"/>
              </w:rPr>
            </w:pPr>
            <w:r w:rsidRPr="00E5049E">
              <w:rPr>
                <w:rFonts w:asciiTheme="minorHAnsi" w:hAnsiTheme="minorHAnsi" w:cstheme="minorHAnsi"/>
                <w:sz w:val="20"/>
                <w:szCs w:val="20"/>
              </w:rPr>
              <w:t>10.37</w:t>
            </w:r>
          </w:p>
        </w:tc>
        <w:tc>
          <w:tcPr>
            <w:tcW w:w="441" w:type="pct"/>
            <w:tcBorders>
              <w:top w:val="nil"/>
              <w:bottom w:val="nil"/>
            </w:tcBorders>
            <w:vAlign w:val="center"/>
          </w:tcPr>
          <w:p w:rsidR="000E564F" w:rsidRPr="00E5049E" w:rsidRDefault="000E564F" w:rsidP="00E5049E">
            <w:pPr>
              <w:ind w:left="-106" w:right="-70"/>
              <w:jc w:val="center"/>
              <w:rPr>
                <w:rFonts w:asciiTheme="minorHAnsi" w:hAnsiTheme="minorHAnsi" w:cstheme="minorHAnsi"/>
                <w:sz w:val="20"/>
                <w:szCs w:val="20"/>
              </w:rPr>
            </w:pPr>
            <w:r w:rsidRPr="00E5049E">
              <w:rPr>
                <w:rFonts w:asciiTheme="minorHAnsi" w:hAnsiTheme="minorHAnsi" w:cstheme="minorHAnsi"/>
                <w:sz w:val="20"/>
                <w:szCs w:val="20"/>
              </w:rPr>
              <w:t>316</w:t>
            </w:r>
          </w:p>
        </w:tc>
        <w:tc>
          <w:tcPr>
            <w:tcW w:w="329" w:type="pct"/>
            <w:tcBorders>
              <w:top w:val="nil"/>
              <w:bottom w:val="nil"/>
            </w:tcBorders>
            <w:vAlign w:val="center"/>
          </w:tcPr>
          <w:p w:rsidR="000E564F" w:rsidRPr="00E5049E" w:rsidRDefault="000E564F" w:rsidP="00E5049E">
            <w:pPr>
              <w:ind w:left="-106" w:right="-70"/>
              <w:jc w:val="center"/>
              <w:rPr>
                <w:rFonts w:asciiTheme="minorHAnsi" w:hAnsiTheme="minorHAnsi" w:cstheme="minorHAnsi"/>
                <w:sz w:val="20"/>
                <w:szCs w:val="20"/>
              </w:rPr>
            </w:pPr>
            <w:r w:rsidRPr="00E5049E">
              <w:rPr>
                <w:rFonts w:asciiTheme="minorHAnsi" w:hAnsiTheme="minorHAnsi" w:cstheme="minorHAnsi"/>
                <w:sz w:val="20"/>
                <w:szCs w:val="20"/>
              </w:rPr>
              <w:t>11.06</w:t>
            </w:r>
          </w:p>
        </w:tc>
        <w:tc>
          <w:tcPr>
            <w:tcW w:w="417" w:type="pct"/>
            <w:tcBorders>
              <w:top w:val="nil"/>
              <w:bottom w:val="nil"/>
            </w:tcBorders>
            <w:vAlign w:val="center"/>
          </w:tcPr>
          <w:p w:rsidR="000E564F" w:rsidRPr="00E5049E" w:rsidRDefault="000E564F" w:rsidP="00E5049E">
            <w:pPr>
              <w:ind w:left="-106" w:right="-70"/>
              <w:jc w:val="center"/>
              <w:rPr>
                <w:rFonts w:asciiTheme="minorHAnsi" w:hAnsiTheme="minorHAnsi" w:cstheme="minorHAnsi"/>
                <w:sz w:val="20"/>
                <w:szCs w:val="20"/>
              </w:rPr>
            </w:pPr>
            <w:r w:rsidRPr="00E5049E">
              <w:rPr>
                <w:rFonts w:asciiTheme="minorHAnsi" w:hAnsiTheme="minorHAnsi" w:cstheme="minorHAnsi"/>
                <w:sz w:val="20"/>
                <w:szCs w:val="20"/>
              </w:rPr>
              <w:t>214</w:t>
            </w:r>
          </w:p>
        </w:tc>
        <w:tc>
          <w:tcPr>
            <w:tcW w:w="329" w:type="pct"/>
            <w:tcBorders>
              <w:top w:val="nil"/>
              <w:bottom w:val="nil"/>
            </w:tcBorders>
            <w:vAlign w:val="center"/>
          </w:tcPr>
          <w:p w:rsidR="000E564F" w:rsidRPr="00E5049E" w:rsidRDefault="000E564F" w:rsidP="00E5049E">
            <w:pPr>
              <w:ind w:left="-106" w:right="-70"/>
              <w:jc w:val="center"/>
              <w:rPr>
                <w:rFonts w:asciiTheme="minorHAnsi" w:hAnsiTheme="minorHAnsi" w:cstheme="minorHAnsi"/>
                <w:sz w:val="20"/>
                <w:szCs w:val="20"/>
              </w:rPr>
            </w:pPr>
            <w:r w:rsidRPr="00E5049E">
              <w:rPr>
                <w:rFonts w:asciiTheme="minorHAnsi" w:hAnsiTheme="minorHAnsi" w:cstheme="minorHAnsi"/>
                <w:sz w:val="20"/>
                <w:szCs w:val="20"/>
              </w:rPr>
              <w:t>11.41</w:t>
            </w:r>
          </w:p>
        </w:tc>
        <w:tc>
          <w:tcPr>
            <w:tcW w:w="310" w:type="pct"/>
            <w:tcBorders>
              <w:top w:val="nil"/>
              <w:bottom w:val="nil"/>
            </w:tcBorders>
            <w:vAlign w:val="center"/>
          </w:tcPr>
          <w:p w:rsidR="000E564F" w:rsidRPr="00E5049E" w:rsidRDefault="000E564F" w:rsidP="00E5049E">
            <w:pPr>
              <w:ind w:left="-106" w:right="-70"/>
              <w:jc w:val="center"/>
              <w:rPr>
                <w:rFonts w:asciiTheme="minorHAnsi" w:hAnsiTheme="minorHAnsi" w:cstheme="minorHAnsi"/>
                <w:sz w:val="20"/>
                <w:szCs w:val="20"/>
              </w:rPr>
            </w:pPr>
            <w:r w:rsidRPr="00E5049E">
              <w:rPr>
                <w:rFonts w:asciiTheme="minorHAnsi" w:hAnsiTheme="minorHAnsi" w:cstheme="minorHAnsi"/>
                <w:sz w:val="20"/>
                <w:szCs w:val="20"/>
              </w:rPr>
              <w:t>48</w:t>
            </w:r>
          </w:p>
        </w:tc>
        <w:tc>
          <w:tcPr>
            <w:tcW w:w="329" w:type="pct"/>
            <w:tcBorders>
              <w:top w:val="nil"/>
              <w:bottom w:val="nil"/>
            </w:tcBorders>
            <w:vAlign w:val="center"/>
          </w:tcPr>
          <w:p w:rsidR="000E564F" w:rsidRPr="00E5049E" w:rsidRDefault="000E564F" w:rsidP="00E5049E">
            <w:pPr>
              <w:ind w:left="-106" w:right="-70"/>
              <w:jc w:val="center"/>
              <w:rPr>
                <w:rFonts w:asciiTheme="minorHAnsi" w:hAnsiTheme="minorHAnsi" w:cstheme="minorHAnsi"/>
                <w:sz w:val="20"/>
                <w:szCs w:val="20"/>
              </w:rPr>
            </w:pPr>
            <w:r w:rsidRPr="00E5049E">
              <w:rPr>
                <w:rFonts w:asciiTheme="minorHAnsi" w:hAnsiTheme="minorHAnsi" w:cstheme="minorHAnsi"/>
                <w:sz w:val="20"/>
                <w:szCs w:val="20"/>
              </w:rPr>
              <w:t>12.52</w:t>
            </w:r>
          </w:p>
        </w:tc>
        <w:tc>
          <w:tcPr>
            <w:tcW w:w="363" w:type="pct"/>
            <w:tcBorders>
              <w:top w:val="nil"/>
              <w:bottom w:val="nil"/>
            </w:tcBorders>
            <w:vAlign w:val="center"/>
          </w:tcPr>
          <w:p w:rsidR="000E564F" w:rsidRPr="00E5049E" w:rsidRDefault="000E564F" w:rsidP="00E5049E">
            <w:pPr>
              <w:ind w:left="-106" w:right="-70"/>
              <w:jc w:val="center"/>
              <w:rPr>
                <w:rFonts w:asciiTheme="minorHAnsi" w:hAnsiTheme="minorHAnsi" w:cstheme="minorHAnsi"/>
                <w:sz w:val="20"/>
                <w:szCs w:val="20"/>
              </w:rPr>
            </w:pPr>
            <w:r w:rsidRPr="00E5049E">
              <w:rPr>
                <w:rFonts w:asciiTheme="minorHAnsi" w:hAnsiTheme="minorHAnsi" w:cstheme="minorHAnsi"/>
                <w:sz w:val="20"/>
                <w:szCs w:val="20"/>
              </w:rPr>
              <w:t>79</w:t>
            </w:r>
          </w:p>
        </w:tc>
        <w:tc>
          <w:tcPr>
            <w:tcW w:w="330" w:type="pct"/>
            <w:tcBorders>
              <w:top w:val="nil"/>
              <w:bottom w:val="nil"/>
            </w:tcBorders>
            <w:vAlign w:val="center"/>
          </w:tcPr>
          <w:p w:rsidR="000E564F" w:rsidRPr="00E5049E" w:rsidRDefault="000E564F" w:rsidP="00E5049E">
            <w:pPr>
              <w:ind w:left="-106" w:right="-70"/>
              <w:jc w:val="center"/>
              <w:rPr>
                <w:rFonts w:asciiTheme="minorHAnsi" w:hAnsiTheme="minorHAnsi" w:cstheme="minorHAnsi"/>
                <w:sz w:val="20"/>
                <w:szCs w:val="20"/>
              </w:rPr>
            </w:pPr>
            <w:r w:rsidRPr="00E5049E">
              <w:rPr>
                <w:rFonts w:asciiTheme="minorHAnsi" w:hAnsiTheme="minorHAnsi" w:cstheme="minorHAnsi"/>
                <w:sz w:val="20"/>
                <w:szCs w:val="20"/>
              </w:rPr>
              <w:t>12.44</w:t>
            </w:r>
          </w:p>
        </w:tc>
        <w:tc>
          <w:tcPr>
            <w:tcW w:w="359" w:type="pct"/>
            <w:tcBorders>
              <w:top w:val="nil"/>
              <w:bottom w:val="nil"/>
            </w:tcBorders>
            <w:vAlign w:val="center"/>
          </w:tcPr>
          <w:p w:rsidR="000E564F" w:rsidRPr="00E5049E" w:rsidRDefault="000E564F" w:rsidP="00E5049E">
            <w:pPr>
              <w:ind w:left="-106" w:right="-70"/>
              <w:jc w:val="center"/>
              <w:rPr>
                <w:rFonts w:asciiTheme="minorHAnsi" w:hAnsiTheme="minorHAnsi" w:cstheme="minorHAnsi"/>
                <w:sz w:val="20"/>
                <w:szCs w:val="20"/>
              </w:rPr>
            </w:pPr>
            <w:r w:rsidRPr="00E5049E">
              <w:rPr>
                <w:rFonts w:asciiTheme="minorHAnsi" w:hAnsiTheme="minorHAnsi" w:cstheme="minorHAnsi"/>
                <w:sz w:val="20"/>
                <w:szCs w:val="20"/>
              </w:rPr>
              <w:t>18</w:t>
            </w:r>
          </w:p>
        </w:tc>
        <w:tc>
          <w:tcPr>
            <w:tcW w:w="303" w:type="pct"/>
            <w:gridSpan w:val="2"/>
            <w:tcBorders>
              <w:top w:val="nil"/>
              <w:bottom w:val="nil"/>
            </w:tcBorders>
            <w:vAlign w:val="center"/>
          </w:tcPr>
          <w:p w:rsidR="000E564F" w:rsidRPr="00E5049E" w:rsidRDefault="000E564F" w:rsidP="00E5049E">
            <w:pPr>
              <w:ind w:left="-106" w:right="-70"/>
              <w:jc w:val="center"/>
              <w:rPr>
                <w:rFonts w:asciiTheme="minorHAnsi" w:hAnsiTheme="minorHAnsi" w:cstheme="minorHAnsi"/>
                <w:sz w:val="20"/>
                <w:szCs w:val="20"/>
              </w:rPr>
            </w:pPr>
            <w:r w:rsidRPr="00E5049E">
              <w:rPr>
                <w:rFonts w:asciiTheme="minorHAnsi" w:hAnsiTheme="minorHAnsi" w:cstheme="minorHAnsi"/>
                <w:sz w:val="20"/>
                <w:szCs w:val="20"/>
              </w:rPr>
              <w:t>-</w:t>
            </w:r>
          </w:p>
        </w:tc>
        <w:tc>
          <w:tcPr>
            <w:tcW w:w="412" w:type="pct"/>
            <w:tcBorders>
              <w:top w:val="nil"/>
              <w:bottom w:val="nil"/>
            </w:tcBorders>
            <w:vAlign w:val="center"/>
          </w:tcPr>
          <w:p w:rsidR="000E564F" w:rsidRPr="00E5049E" w:rsidRDefault="000E564F" w:rsidP="00E5049E">
            <w:pPr>
              <w:ind w:left="-106" w:right="-70"/>
              <w:jc w:val="center"/>
              <w:rPr>
                <w:rFonts w:asciiTheme="minorHAnsi" w:hAnsiTheme="minorHAnsi" w:cstheme="minorHAnsi"/>
                <w:sz w:val="20"/>
                <w:szCs w:val="20"/>
              </w:rPr>
            </w:pPr>
            <w:r w:rsidRPr="00E5049E">
              <w:rPr>
                <w:rFonts w:asciiTheme="minorHAnsi" w:hAnsiTheme="minorHAnsi" w:cstheme="minorHAnsi"/>
                <w:sz w:val="20"/>
                <w:szCs w:val="20"/>
              </w:rPr>
              <w:t>-</w:t>
            </w:r>
          </w:p>
        </w:tc>
      </w:tr>
      <w:tr w:rsidR="000E564F" w:rsidRPr="006A7228" w:rsidTr="00534DD9">
        <w:trPr>
          <w:cnfStyle w:val="000000010000" w:firstRow="0" w:lastRow="0" w:firstColumn="0" w:lastColumn="0" w:oddVBand="0" w:evenVBand="0" w:oddHBand="0" w:evenHBand="1" w:firstRowFirstColumn="0" w:firstRowLastColumn="0" w:lastRowFirstColumn="0" w:lastRowLastColumn="0"/>
          <w:trHeight w:val="510"/>
        </w:trPr>
        <w:tc>
          <w:tcPr>
            <w:tcW w:w="749" w:type="pct"/>
            <w:tcBorders>
              <w:top w:val="nil"/>
              <w:bottom w:val="nil"/>
            </w:tcBorders>
            <w:vAlign w:val="center"/>
          </w:tcPr>
          <w:p w:rsidR="000E564F" w:rsidRPr="000E564F" w:rsidRDefault="000E564F">
            <w:pPr>
              <w:rPr>
                <w:rFonts w:asciiTheme="minorHAnsi" w:hAnsiTheme="minorHAnsi" w:cstheme="minorHAnsi"/>
                <w:sz w:val="16"/>
                <w:szCs w:val="16"/>
              </w:rPr>
            </w:pPr>
            <w:r w:rsidRPr="000E564F">
              <w:rPr>
                <w:rFonts w:asciiTheme="minorHAnsi" w:hAnsiTheme="minorHAnsi" w:cstheme="minorHAnsi"/>
                <w:sz w:val="16"/>
                <w:szCs w:val="16"/>
              </w:rPr>
              <w:t>% change from previous week</w:t>
            </w:r>
          </w:p>
        </w:tc>
        <w:tc>
          <w:tcPr>
            <w:tcW w:w="329" w:type="pct"/>
            <w:tcBorders>
              <w:top w:val="nil"/>
              <w:bottom w:val="nil"/>
            </w:tcBorders>
            <w:vAlign w:val="center"/>
          </w:tcPr>
          <w:p w:rsidR="000E564F" w:rsidRPr="00E5049E" w:rsidRDefault="000E564F" w:rsidP="00E5049E">
            <w:pPr>
              <w:ind w:left="-106" w:right="-70"/>
              <w:jc w:val="center"/>
              <w:rPr>
                <w:rFonts w:asciiTheme="minorHAnsi" w:hAnsiTheme="minorHAnsi" w:cstheme="minorHAnsi"/>
                <w:szCs w:val="20"/>
              </w:rPr>
            </w:pPr>
            <w:r w:rsidRPr="00E5049E">
              <w:rPr>
                <w:rFonts w:asciiTheme="minorHAnsi" w:hAnsiTheme="minorHAnsi" w:cstheme="minorHAnsi"/>
                <w:szCs w:val="20"/>
              </w:rPr>
              <w:t>2</w:t>
            </w:r>
          </w:p>
        </w:tc>
        <w:tc>
          <w:tcPr>
            <w:tcW w:w="441" w:type="pct"/>
            <w:tcBorders>
              <w:top w:val="nil"/>
              <w:bottom w:val="nil"/>
            </w:tcBorders>
            <w:vAlign w:val="center"/>
          </w:tcPr>
          <w:p w:rsidR="000E564F" w:rsidRPr="00E5049E" w:rsidRDefault="000E564F" w:rsidP="00E5049E">
            <w:pPr>
              <w:ind w:left="-106" w:right="-70"/>
              <w:jc w:val="center"/>
              <w:rPr>
                <w:rFonts w:asciiTheme="minorHAnsi" w:hAnsiTheme="minorHAnsi" w:cstheme="minorHAnsi"/>
                <w:szCs w:val="20"/>
              </w:rPr>
            </w:pPr>
            <w:r w:rsidRPr="00E5049E">
              <w:rPr>
                <w:rFonts w:asciiTheme="minorHAnsi" w:hAnsiTheme="minorHAnsi" w:cstheme="minorHAnsi"/>
                <w:szCs w:val="20"/>
              </w:rPr>
              <w:t>-4</w:t>
            </w:r>
          </w:p>
        </w:tc>
        <w:tc>
          <w:tcPr>
            <w:tcW w:w="329" w:type="pct"/>
            <w:tcBorders>
              <w:top w:val="nil"/>
              <w:bottom w:val="nil"/>
            </w:tcBorders>
            <w:vAlign w:val="center"/>
          </w:tcPr>
          <w:p w:rsidR="000E564F" w:rsidRPr="00E5049E" w:rsidRDefault="000E564F" w:rsidP="00E5049E">
            <w:pPr>
              <w:ind w:left="-106" w:right="-70"/>
              <w:jc w:val="center"/>
              <w:rPr>
                <w:rFonts w:asciiTheme="minorHAnsi" w:hAnsiTheme="minorHAnsi" w:cstheme="minorHAnsi"/>
                <w:szCs w:val="20"/>
              </w:rPr>
            </w:pPr>
            <w:r w:rsidRPr="00E5049E">
              <w:rPr>
                <w:rFonts w:asciiTheme="minorHAnsi" w:hAnsiTheme="minorHAnsi" w:cstheme="minorHAnsi"/>
                <w:szCs w:val="20"/>
              </w:rPr>
              <w:t>-7</w:t>
            </w:r>
          </w:p>
        </w:tc>
        <w:tc>
          <w:tcPr>
            <w:tcW w:w="417" w:type="pct"/>
            <w:tcBorders>
              <w:top w:val="nil"/>
              <w:bottom w:val="nil"/>
            </w:tcBorders>
            <w:vAlign w:val="center"/>
          </w:tcPr>
          <w:p w:rsidR="000E564F" w:rsidRPr="00E5049E" w:rsidRDefault="000E564F" w:rsidP="00E5049E">
            <w:pPr>
              <w:ind w:left="-106" w:right="-70"/>
              <w:jc w:val="center"/>
              <w:rPr>
                <w:rFonts w:asciiTheme="minorHAnsi" w:hAnsiTheme="minorHAnsi" w:cstheme="minorHAnsi"/>
                <w:szCs w:val="20"/>
              </w:rPr>
            </w:pPr>
            <w:r w:rsidRPr="00E5049E">
              <w:rPr>
                <w:rFonts w:asciiTheme="minorHAnsi" w:hAnsiTheme="minorHAnsi" w:cstheme="minorHAnsi"/>
                <w:szCs w:val="20"/>
              </w:rPr>
              <w:t>-5</w:t>
            </w:r>
          </w:p>
        </w:tc>
        <w:tc>
          <w:tcPr>
            <w:tcW w:w="329" w:type="pct"/>
            <w:tcBorders>
              <w:top w:val="nil"/>
              <w:bottom w:val="nil"/>
            </w:tcBorders>
            <w:vAlign w:val="center"/>
          </w:tcPr>
          <w:p w:rsidR="000E564F" w:rsidRPr="00E5049E" w:rsidRDefault="000E564F" w:rsidP="00E5049E">
            <w:pPr>
              <w:ind w:left="-106" w:right="-70"/>
              <w:jc w:val="center"/>
              <w:rPr>
                <w:rFonts w:asciiTheme="minorHAnsi" w:hAnsiTheme="minorHAnsi" w:cstheme="minorHAnsi"/>
                <w:szCs w:val="20"/>
              </w:rPr>
            </w:pPr>
            <w:r w:rsidRPr="00E5049E">
              <w:rPr>
                <w:rFonts w:asciiTheme="minorHAnsi" w:hAnsiTheme="minorHAnsi" w:cstheme="minorHAnsi"/>
                <w:szCs w:val="20"/>
              </w:rPr>
              <w:t>4</w:t>
            </w:r>
          </w:p>
        </w:tc>
        <w:tc>
          <w:tcPr>
            <w:tcW w:w="310" w:type="pct"/>
            <w:tcBorders>
              <w:top w:val="nil"/>
              <w:bottom w:val="nil"/>
            </w:tcBorders>
            <w:vAlign w:val="center"/>
          </w:tcPr>
          <w:p w:rsidR="000E564F" w:rsidRPr="00E5049E" w:rsidRDefault="000E564F" w:rsidP="00E5049E">
            <w:pPr>
              <w:ind w:left="-106" w:right="-70"/>
              <w:jc w:val="center"/>
              <w:rPr>
                <w:rFonts w:asciiTheme="minorHAnsi" w:hAnsiTheme="minorHAnsi" w:cstheme="minorHAnsi"/>
                <w:szCs w:val="20"/>
              </w:rPr>
            </w:pPr>
            <w:r w:rsidRPr="00E5049E">
              <w:rPr>
                <w:rFonts w:asciiTheme="minorHAnsi" w:hAnsiTheme="minorHAnsi" w:cstheme="minorHAnsi"/>
                <w:szCs w:val="20"/>
              </w:rPr>
              <w:t>-1</w:t>
            </w:r>
          </w:p>
        </w:tc>
        <w:tc>
          <w:tcPr>
            <w:tcW w:w="329" w:type="pct"/>
            <w:tcBorders>
              <w:top w:val="nil"/>
              <w:bottom w:val="nil"/>
            </w:tcBorders>
            <w:vAlign w:val="center"/>
          </w:tcPr>
          <w:p w:rsidR="000E564F" w:rsidRPr="00E5049E" w:rsidRDefault="000E564F" w:rsidP="00E5049E">
            <w:pPr>
              <w:ind w:left="-106" w:right="-70"/>
              <w:jc w:val="center"/>
              <w:rPr>
                <w:rFonts w:asciiTheme="minorHAnsi" w:hAnsiTheme="minorHAnsi" w:cstheme="minorHAnsi"/>
                <w:szCs w:val="20"/>
              </w:rPr>
            </w:pPr>
            <w:r w:rsidRPr="00E5049E">
              <w:rPr>
                <w:rFonts w:asciiTheme="minorHAnsi" w:hAnsiTheme="minorHAnsi" w:cstheme="minorHAnsi"/>
                <w:szCs w:val="20"/>
              </w:rPr>
              <w:t>-10</w:t>
            </w:r>
          </w:p>
        </w:tc>
        <w:tc>
          <w:tcPr>
            <w:tcW w:w="363" w:type="pct"/>
            <w:tcBorders>
              <w:top w:val="nil"/>
              <w:bottom w:val="nil"/>
            </w:tcBorders>
            <w:vAlign w:val="center"/>
          </w:tcPr>
          <w:p w:rsidR="000E564F" w:rsidRPr="00E5049E" w:rsidRDefault="000E564F" w:rsidP="00E5049E">
            <w:pPr>
              <w:ind w:left="-106" w:right="-70"/>
              <w:jc w:val="center"/>
              <w:rPr>
                <w:rFonts w:asciiTheme="minorHAnsi" w:hAnsiTheme="minorHAnsi" w:cstheme="minorHAnsi"/>
                <w:szCs w:val="20"/>
              </w:rPr>
            </w:pPr>
            <w:r w:rsidRPr="00E5049E">
              <w:rPr>
                <w:rFonts w:asciiTheme="minorHAnsi" w:hAnsiTheme="minorHAnsi" w:cstheme="minorHAnsi"/>
                <w:szCs w:val="20"/>
              </w:rPr>
              <w:t>0</w:t>
            </w:r>
          </w:p>
        </w:tc>
        <w:tc>
          <w:tcPr>
            <w:tcW w:w="330" w:type="pct"/>
            <w:tcBorders>
              <w:top w:val="nil"/>
              <w:bottom w:val="nil"/>
            </w:tcBorders>
            <w:vAlign w:val="center"/>
          </w:tcPr>
          <w:p w:rsidR="000E564F" w:rsidRPr="00E5049E" w:rsidRDefault="000E564F" w:rsidP="00E5049E">
            <w:pPr>
              <w:ind w:left="-106" w:right="-70"/>
              <w:jc w:val="center"/>
              <w:rPr>
                <w:rFonts w:asciiTheme="minorHAnsi" w:hAnsiTheme="minorHAnsi" w:cstheme="minorHAnsi"/>
                <w:szCs w:val="20"/>
              </w:rPr>
            </w:pPr>
            <w:r w:rsidRPr="00E5049E">
              <w:rPr>
                <w:rFonts w:asciiTheme="minorHAnsi" w:hAnsiTheme="minorHAnsi" w:cstheme="minorHAnsi"/>
                <w:szCs w:val="20"/>
              </w:rPr>
              <w:t>-15</w:t>
            </w:r>
          </w:p>
        </w:tc>
        <w:tc>
          <w:tcPr>
            <w:tcW w:w="359" w:type="pct"/>
            <w:tcBorders>
              <w:top w:val="nil"/>
              <w:bottom w:val="nil"/>
            </w:tcBorders>
            <w:vAlign w:val="center"/>
          </w:tcPr>
          <w:p w:rsidR="000E564F" w:rsidRPr="00E5049E" w:rsidRDefault="000E564F" w:rsidP="00E5049E">
            <w:pPr>
              <w:ind w:left="-106" w:right="-70"/>
              <w:jc w:val="center"/>
              <w:rPr>
                <w:rFonts w:asciiTheme="minorHAnsi" w:hAnsiTheme="minorHAnsi" w:cstheme="minorHAnsi"/>
                <w:szCs w:val="20"/>
              </w:rPr>
            </w:pPr>
            <w:r w:rsidRPr="00E5049E">
              <w:rPr>
                <w:rFonts w:asciiTheme="minorHAnsi" w:hAnsiTheme="minorHAnsi" w:cstheme="minorHAnsi"/>
                <w:szCs w:val="20"/>
              </w:rPr>
              <w:t>-71</w:t>
            </w:r>
          </w:p>
        </w:tc>
        <w:tc>
          <w:tcPr>
            <w:tcW w:w="303" w:type="pct"/>
            <w:gridSpan w:val="2"/>
            <w:tcBorders>
              <w:top w:val="nil"/>
              <w:bottom w:val="nil"/>
            </w:tcBorders>
            <w:vAlign w:val="center"/>
          </w:tcPr>
          <w:p w:rsidR="000E564F" w:rsidRPr="00E5049E" w:rsidRDefault="000E564F" w:rsidP="00E5049E">
            <w:pPr>
              <w:ind w:left="-106" w:right="-70"/>
              <w:jc w:val="center"/>
              <w:rPr>
                <w:rFonts w:asciiTheme="minorHAnsi" w:hAnsiTheme="minorHAnsi" w:cstheme="minorHAnsi"/>
                <w:szCs w:val="20"/>
              </w:rPr>
            </w:pPr>
            <w:r w:rsidRPr="00E5049E">
              <w:rPr>
                <w:rFonts w:asciiTheme="minorHAnsi" w:hAnsiTheme="minorHAnsi" w:cstheme="minorHAnsi"/>
                <w:szCs w:val="20"/>
              </w:rPr>
              <w:t>-</w:t>
            </w:r>
          </w:p>
        </w:tc>
        <w:tc>
          <w:tcPr>
            <w:tcW w:w="412" w:type="pct"/>
            <w:tcBorders>
              <w:top w:val="nil"/>
              <w:bottom w:val="nil"/>
            </w:tcBorders>
            <w:vAlign w:val="center"/>
          </w:tcPr>
          <w:p w:rsidR="000E564F" w:rsidRPr="00E5049E" w:rsidRDefault="000E564F" w:rsidP="00E5049E">
            <w:pPr>
              <w:ind w:left="-106" w:right="-70"/>
              <w:jc w:val="center"/>
              <w:rPr>
                <w:rFonts w:asciiTheme="minorHAnsi" w:hAnsiTheme="minorHAnsi" w:cstheme="minorHAnsi"/>
                <w:szCs w:val="20"/>
              </w:rPr>
            </w:pPr>
            <w:r w:rsidRPr="00E5049E">
              <w:rPr>
                <w:rFonts w:asciiTheme="minorHAnsi" w:hAnsiTheme="minorHAnsi" w:cstheme="minorHAnsi"/>
                <w:szCs w:val="20"/>
              </w:rPr>
              <w:t>-</w:t>
            </w:r>
          </w:p>
        </w:tc>
      </w:tr>
      <w:tr w:rsidR="000E564F" w:rsidRPr="006A7228" w:rsidTr="00534DD9">
        <w:trPr>
          <w:trHeight w:val="510"/>
        </w:trPr>
        <w:tc>
          <w:tcPr>
            <w:tcW w:w="749" w:type="pct"/>
            <w:tcBorders>
              <w:top w:val="nil"/>
              <w:bottom w:val="nil"/>
            </w:tcBorders>
            <w:vAlign w:val="center"/>
          </w:tcPr>
          <w:p w:rsidR="000E564F" w:rsidRPr="000E564F" w:rsidRDefault="000E564F">
            <w:pPr>
              <w:rPr>
                <w:rFonts w:asciiTheme="minorHAnsi" w:hAnsiTheme="minorHAnsi" w:cstheme="minorHAnsi"/>
                <w:sz w:val="16"/>
                <w:szCs w:val="16"/>
              </w:rPr>
            </w:pPr>
            <w:r w:rsidRPr="000E564F">
              <w:rPr>
                <w:rFonts w:asciiTheme="minorHAnsi" w:hAnsiTheme="minorHAnsi" w:cstheme="minorHAnsi"/>
                <w:sz w:val="16"/>
                <w:szCs w:val="16"/>
              </w:rPr>
              <w:t>16-17 financial YTD</w:t>
            </w:r>
          </w:p>
        </w:tc>
        <w:tc>
          <w:tcPr>
            <w:tcW w:w="329" w:type="pct"/>
            <w:tcBorders>
              <w:top w:val="nil"/>
              <w:bottom w:val="nil"/>
            </w:tcBorders>
            <w:vAlign w:val="center"/>
          </w:tcPr>
          <w:p w:rsidR="000E564F" w:rsidRPr="00E5049E" w:rsidRDefault="000E564F" w:rsidP="00E5049E">
            <w:pPr>
              <w:ind w:left="-106" w:right="-70"/>
              <w:jc w:val="center"/>
              <w:rPr>
                <w:rFonts w:asciiTheme="minorHAnsi" w:hAnsiTheme="minorHAnsi" w:cstheme="minorHAnsi"/>
                <w:sz w:val="20"/>
                <w:szCs w:val="20"/>
              </w:rPr>
            </w:pPr>
            <w:r w:rsidRPr="00E5049E">
              <w:rPr>
                <w:rFonts w:asciiTheme="minorHAnsi" w:hAnsiTheme="minorHAnsi" w:cstheme="minorHAnsi"/>
                <w:sz w:val="20"/>
                <w:szCs w:val="20"/>
              </w:rPr>
              <w:t>8.01</w:t>
            </w:r>
          </w:p>
        </w:tc>
        <w:tc>
          <w:tcPr>
            <w:tcW w:w="441" w:type="pct"/>
            <w:tcBorders>
              <w:top w:val="nil"/>
              <w:bottom w:val="nil"/>
            </w:tcBorders>
            <w:vAlign w:val="center"/>
          </w:tcPr>
          <w:p w:rsidR="000E564F" w:rsidRPr="00E5049E" w:rsidRDefault="000E564F" w:rsidP="00E5049E">
            <w:pPr>
              <w:ind w:left="-106" w:right="-70"/>
              <w:jc w:val="center"/>
              <w:rPr>
                <w:rFonts w:asciiTheme="minorHAnsi" w:hAnsiTheme="minorHAnsi" w:cstheme="minorHAnsi"/>
                <w:sz w:val="20"/>
                <w:szCs w:val="20"/>
              </w:rPr>
            </w:pPr>
            <w:r w:rsidRPr="00E5049E">
              <w:rPr>
                <w:rFonts w:asciiTheme="minorHAnsi" w:hAnsiTheme="minorHAnsi" w:cstheme="minorHAnsi"/>
                <w:sz w:val="20"/>
                <w:szCs w:val="20"/>
              </w:rPr>
              <w:t>552</w:t>
            </w:r>
          </w:p>
        </w:tc>
        <w:tc>
          <w:tcPr>
            <w:tcW w:w="329" w:type="pct"/>
            <w:tcBorders>
              <w:top w:val="nil"/>
              <w:bottom w:val="nil"/>
            </w:tcBorders>
            <w:vAlign w:val="center"/>
          </w:tcPr>
          <w:p w:rsidR="000E564F" w:rsidRPr="00E5049E" w:rsidRDefault="000E564F" w:rsidP="00E5049E">
            <w:pPr>
              <w:ind w:left="-106" w:right="-70"/>
              <w:jc w:val="center"/>
              <w:rPr>
                <w:rFonts w:asciiTheme="minorHAnsi" w:hAnsiTheme="minorHAnsi" w:cstheme="minorHAnsi"/>
                <w:sz w:val="20"/>
                <w:szCs w:val="20"/>
              </w:rPr>
            </w:pPr>
            <w:r w:rsidRPr="00E5049E">
              <w:rPr>
                <w:rFonts w:asciiTheme="minorHAnsi" w:hAnsiTheme="minorHAnsi" w:cstheme="minorHAnsi"/>
                <w:sz w:val="20"/>
                <w:szCs w:val="20"/>
              </w:rPr>
              <w:t>7.82</w:t>
            </w:r>
          </w:p>
        </w:tc>
        <w:tc>
          <w:tcPr>
            <w:tcW w:w="417" w:type="pct"/>
            <w:tcBorders>
              <w:top w:val="nil"/>
              <w:bottom w:val="nil"/>
            </w:tcBorders>
            <w:vAlign w:val="center"/>
          </w:tcPr>
          <w:p w:rsidR="000E564F" w:rsidRPr="00E5049E" w:rsidRDefault="000E564F" w:rsidP="00E5049E">
            <w:pPr>
              <w:ind w:left="-106" w:right="-70"/>
              <w:jc w:val="center"/>
              <w:rPr>
                <w:rFonts w:asciiTheme="minorHAnsi" w:hAnsiTheme="minorHAnsi" w:cstheme="minorHAnsi"/>
                <w:sz w:val="20"/>
                <w:szCs w:val="20"/>
              </w:rPr>
            </w:pPr>
            <w:r w:rsidRPr="00E5049E">
              <w:rPr>
                <w:rFonts w:asciiTheme="minorHAnsi" w:hAnsiTheme="minorHAnsi" w:cstheme="minorHAnsi"/>
                <w:sz w:val="20"/>
                <w:szCs w:val="20"/>
              </w:rPr>
              <w:t>245</w:t>
            </w:r>
          </w:p>
        </w:tc>
        <w:tc>
          <w:tcPr>
            <w:tcW w:w="329" w:type="pct"/>
            <w:tcBorders>
              <w:top w:val="nil"/>
              <w:bottom w:val="nil"/>
            </w:tcBorders>
            <w:vAlign w:val="center"/>
          </w:tcPr>
          <w:p w:rsidR="000E564F" w:rsidRPr="00E5049E" w:rsidRDefault="000E564F" w:rsidP="00E5049E">
            <w:pPr>
              <w:ind w:left="-106" w:right="-70"/>
              <w:jc w:val="center"/>
              <w:rPr>
                <w:rFonts w:asciiTheme="minorHAnsi" w:hAnsiTheme="minorHAnsi" w:cstheme="minorHAnsi"/>
                <w:sz w:val="20"/>
                <w:szCs w:val="20"/>
              </w:rPr>
            </w:pPr>
            <w:r w:rsidRPr="00E5049E">
              <w:rPr>
                <w:rFonts w:asciiTheme="minorHAnsi" w:hAnsiTheme="minorHAnsi" w:cstheme="minorHAnsi"/>
                <w:sz w:val="20"/>
                <w:szCs w:val="20"/>
              </w:rPr>
              <w:t>8.55</w:t>
            </w:r>
          </w:p>
        </w:tc>
        <w:tc>
          <w:tcPr>
            <w:tcW w:w="310" w:type="pct"/>
            <w:tcBorders>
              <w:top w:val="nil"/>
              <w:bottom w:val="nil"/>
            </w:tcBorders>
            <w:vAlign w:val="center"/>
          </w:tcPr>
          <w:p w:rsidR="000E564F" w:rsidRPr="00E5049E" w:rsidRDefault="000E564F" w:rsidP="00E5049E">
            <w:pPr>
              <w:ind w:left="-106" w:right="-70"/>
              <w:jc w:val="center"/>
              <w:rPr>
                <w:rFonts w:asciiTheme="minorHAnsi" w:hAnsiTheme="minorHAnsi" w:cstheme="minorHAnsi"/>
                <w:sz w:val="20"/>
                <w:szCs w:val="20"/>
              </w:rPr>
            </w:pPr>
            <w:r w:rsidRPr="00E5049E">
              <w:rPr>
                <w:rFonts w:asciiTheme="minorHAnsi" w:hAnsiTheme="minorHAnsi" w:cstheme="minorHAnsi"/>
                <w:sz w:val="20"/>
                <w:szCs w:val="20"/>
              </w:rPr>
              <w:t>63</w:t>
            </w:r>
          </w:p>
        </w:tc>
        <w:tc>
          <w:tcPr>
            <w:tcW w:w="329" w:type="pct"/>
            <w:tcBorders>
              <w:top w:val="nil"/>
              <w:bottom w:val="nil"/>
            </w:tcBorders>
            <w:vAlign w:val="center"/>
          </w:tcPr>
          <w:p w:rsidR="000E564F" w:rsidRPr="00E5049E" w:rsidRDefault="000E564F" w:rsidP="00E5049E">
            <w:pPr>
              <w:ind w:left="-106" w:right="-70"/>
              <w:jc w:val="center"/>
              <w:rPr>
                <w:rFonts w:asciiTheme="minorHAnsi" w:hAnsiTheme="minorHAnsi" w:cstheme="minorHAnsi"/>
                <w:sz w:val="20"/>
                <w:szCs w:val="20"/>
              </w:rPr>
            </w:pPr>
            <w:r w:rsidRPr="00E5049E">
              <w:rPr>
                <w:rFonts w:asciiTheme="minorHAnsi" w:hAnsiTheme="minorHAnsi" w:cstheme="minorHAnsi"/>
                <w:sz w:val="20"/>
                <w:szCs w:val="20"/>
              </w:rPr>
              <w:t>8.14</w:t>
            </w:r>
          </w:p>
        </w:tc>
        <w:tc>
          <w:tcPr>
            <w:tcW w:w="363" w:type="pct"/>
            <w:tcBorders>
              <w:top w:val="nil"/>
              <w:bottom w:val="nil"/>
            </w:tcBorders>
            <w:vAlign w:val="center"/>
          </w:tcPr>
          <w:p w:rsidR="000E564F" w:rsidRPr="00E5049E" w:rsidRDefault="000E564F" w:rsidP="00E5049E">
            <w:pPr>
              <w:ind w:left="-106" w:right="-70"/>
              <w:jc w:val="center"/>
              <w:rPr>
                <w:rFonts w:asciiTheme="minorHAnsi" w:hAnsiTheme="minorHAnsi" w:cstheme="minorHAnsi"/>
                <w:sz w:val="20"/>
                <w:szCs w:val="20"/>
              </w:rPr>
            </w:pPr>
            <w:r w:rsidRPr="00E5049E">
              <w:rPr>
                <w:rFonts w:asciiTheme="minorHAnsi" w:hAnsiTheme="minorHAnsi" w:cstheme="minorHAnsi"/>
                <w:sz w:val="20"/>
                <w:szCs w:val="20"/>
              </w:rPr>
              <w:t>84</w:t>
            </w:r>
          </w:p>
        </w:tc>
        <w:tc>
          <w:tcPr>
            <w:tcW w:w="330" w:type="pct"/>
            <w:tcBorders>
              <w:top w:val="nil"/>
              <w:bottom w:val="nil"/>
            </w:tcBorders>
            <w:vAlign w:val="center"/>
          </w:tcPr>
          <w:p w:rsidR="000E564F" w:rsidRPr="00E5049E" w:rsidRDefault="000E564F" w:rsidP="00E5049E">
            <w:pPr>
              <w:ind w:left="-106" w:right="-70"/>
              <w:jc w:val="center"/>
              <w:rPr>
                <w:rFonts w:asciiTheme="minorHAnsi" w:hAnsiTheme="minorHAnsi" w:cstheme="minorHAnsi"/>
                <w:sz w:val="20"/>
                <w:szCs w:val="20"/>
              </w:rPr>
            </w:pPr>
            <w:r w:rsidRPr="00E5049E">
              <w:rPr>
                <w:rFonts w:asciiTheme="minorHAnsi" w:hAnsiTheme="minorHAnsi" w:cstheme="minorHAnsi"/>
                <w:sz w:val="20"/>
                <w:szCs w:val="20"/>
              </w:rPr>
              <w:t>8.35</w:t>
            </w:r>
          </w:p>
        </w:tc>
        <w:tc>
          <w:tcPr>
            <w:tcW w:w="359" w:type="pct"/>
            <w:tcBorders>
              <w:top w:val="nil"/>
              <w:bottom w:val="nil"/>
            </w:tcBorders>
            <w:vAlign w:val="center"/>
          </w:tcPr>
          <w:p w:rsidR="000E564F" w:rsidRPr="00E5049E" w:rsidRDefault="000E564F" w:rsidP="00E5049E">
            <w:pPr>
              <w:ind w:left="-106" w:right="-70"/>
              <w:jc w:val="center"/>
              <w:rPr>
                <w:rFonts w:asciiTheme="minorHAnsi" w:hAnsiTheme="minorHAnsi" w:cstheme="minorHAnsi"/>
                <w:sz w:val="20"/>
                <w:szCs w:val="20"/>
              </w:rPr>
            </w:pPr>
            <w:r w:rsidRPr="00E5049E">
              <w:rPr>
                <w:rFonts w:asciiTheme="minorHAnsi" w:hAnsiTheme="minorHAnsi" w:cstheme="minorHAnsi"/>
                <w:sz w:val="20"/>
                <w:szCs w:val="20"/>
              </w:rPr>
              <w:t>5958</w:t>
            </w:r>
          </w:p>
        </w:tc>
        <w:tc>
          <w:tcPr>
            <w:tcW w:w="303" w:type="pct"/>
            <w:gridSpan w:val="2"/>
            <w:tcBorders>
              <w:top w:val="nil"/>
              <w:bottom w:val="nil"/>
            </w:tcBorders>
            <w:vAlign w:val="center"/>
          </w:tcPr>
          <w:p w:rsidR="000E564F" w:rsidRPr="00E5049E" w:rsidRDefault="000E564F" w:rsidP="00E5049E">
            <w:pPr>
              <w:ind w:left="-106" w:right="-70"/>
              <w:jc w:val="center"/>
              <w:rPr>
                <w:rFonts w:asciiTheme="minorHAnsi" w:hAnsiTheme="minorHAnsi" w:cstheme="minorHAnsi"/>
                <w:sz w:val="20"/>
                <w:szCs w:val="20"/>
              </w:rPr>
            </w:pPr>
            <w:r w:rsidRPr="00E5049E">
              <w:rPr>
                <w:rFonts w:asciiTheme="minorHAnsi" w:hAnsiTheme="minorHAnsi" w:cstheme="minorHAnsi"/>
                <w:sz w:val="20"/>
                <w:szCs w:val="20"/>
              </w:rPr>
              <w:t>-</w:t>
            </w:r>
          </w:p>
        </w:tc>
        <w:tc>
          <w:tcPr>
            <w:tcW w:w="412" w:type="pct"/>
            <w:tcBorders>
              <w:top w:val="nil"/>
              <w:bottom w:val="nil"/>
            </w:tcBorders>
            <w:vAlign w:val="center"/>
          </w:tcPr>
          <w:p w:rsidR="000E564F" w:rsidRPr="00E5049E" w:rsidRDefault="000E564F" w:rsidP="00E5049E">
            <w:pPr>
              <w:ind w:left="-106" w:right="-70"/>
              <w:jc w:val="center"/>
              <w:rPr>
                <w:rFonts w:asciiTheme="minorHAnsi" w:hAnsiTheme="minorHAnsi" w:cstheme="minorHAnsi"/>
                <w:sz w:val="20"/>
                <w:szCs w:val="20"/>
              </w:rPr>
            </w:pPr>
            <w:r w:rsidRPr="00E5049E">
              <w:rPr>
                <w:rFonts w:asciiTheme="minorHAnsi" w:hAnsiTheme="minorHAnsi" w:cstheme="minorHAnsi"/>
                <w:sz w:val="20"/>
                <w:szCs w:val="20"/>
              </w:rPr>
              <w:t>-</w:t>
            </w:r>
          </w:p>
        </w:tc>
      </w:tr>
      <w:tr w:rsidR="000E564F" w:rsidRPr="006A7228" w:rsidTr="00534DD9">
        <w:trPr>
          <w:cnfStyle w:val="000000010000" w:firstRow="0" w:lastRow="0" w:firstColumn="0" w:lastColumn="0" w:oddVBand="0" w:evenVBand="0" w:oddHBand="0" w:evenHBand="1" w:firstRowFirstColumn="0" w:firstRowLastColumn="0" w:lastRowFirstColumn="0" w:lastRowLastColumn="0"/>
          <w:trHeight w:val="510"/>
        </w:trPr>
        <w:tc>
          <w:tcPr>
            <w:tcW w:w="749" w:type="pct"/>
            <w:tcBorders>
              <w:top w:val="nil"/>
              <w:bottom w:val="single" w:sz="4" w:space="0" w:color="auto"/>
            </w:tcBorders>
            <w:vAlign w:val="center"/>
          </w:tcPr>
          <w:p w:rsidR="000E564F" w:rsidRPr="000E564F" w:rsidRDefault="000E564F">
            <w:pPr>
              <w:rPr>
                <w:rFonts w:asciiTheme="minorHAnsi" w:hAnsiTheme="minorHAnsi" w:cstheme="minorHAnsi"/>
                <w:sz w:val="16"/>
                <w:szCs w:val="16"/>
              </w:rPr>
            </w:pPr>
            <w:r w:rsidRPr="000E564F">
              <w:rPr>
                <w:rFonts w:asciiTheme="minorHAnsi" w:hAnsiTheme="minorHAnsi" w:cstheme="minorHAnsi"/>
                <w:sz w:val="16"/>
                <w:szCs w:val="16"/>
              </w:rPr>
              <w:t>% change from previous financial YTD</w:t>
            </w:r>
          </w:p>
        </w:tc>
        <w:tc>
          <w:tcPr>
            <w:tcW w:w="329" w:type="pct"/>
            <w:tcBorders>
              <w:top w:val="nil"/>
              <w:bottom w:val="single" w:sz="4" w:space="0" w:color="auto"/>
            </w:tcBorders>
            <w:vAlign w:val="center"/>
          </w:tcPr>
          <w:p w:rsidR="000E564F" w:rsidRPr="00E5049E" w:rsidRDefault="000E564F" w:rsidP="00E5049E">
            <w:pPr>
              <w:ind w:left="-106" w:right="-70"/>
              <w:jc w:val="center"/>
              <w:rPr>
                <w:rFonts w:asciiTheme="minorHAnsi" w:hAnsiTheme="minorHAnsi" w:cstheme="minorHAnsi"/>
                <w:szCs w:val="20"/>
              </w:rPr>
            </w:pPr>
            <w:r w:rsidRPr="00E5049E">
              <w:rPr>
                <w:rFonts w:asciiTheme="minorHAnsi" w:hAnsiTheme="minorHAnsi" w:cstheme="minorHAnsi"/>
                <w:szCs w:val="20"/>
              </w:rPr>
              <w:t>84</w:t>
            </w:r>
          </w:p>
        </w:tc>
        <w:tc>
          <w:tcPr>
            <w:tcW w:w="441" w:type="pct"/>
            <w:tcBorders>
              <w:top w:val="nil"/>
              <w:bottom w:val="single" w:sz="4" w:space="0" w:color="auto"/>
            </w:tcBorders>
            <w:vAlign w:val="center"/>
          </w:tcPr>
          <w:p w:rsidR="000E564F" w:rsidRPr="00E5049E" w:rsidRDefault="000E564F" w:rsidP="00E5049E">
            <w:pPr>
              <w:ind w:left="-106" w:right="-70"/>
              <w:jc w:val="center"/>
              <w:rPr>
                <w:rFonts w:asciiTheme="minorHAnsi" w:hAnsiTheme="minorHAnsi" w:cstheme="minorHAnsi"/>
                <w:szCs w:val="20"/>
              </w:rPr>
            </w:pPr>
            <w:r w:rsidRPr="00E5049E">
              <w:rPr>
                <w:rFonts w:asciiTheme="minorHAnsi" w:hAnsiTheme="minorHAnsi" w:cstheme="minorHAnsi"/>
                <w:szCs w:val="20"/>
              </w:rPr>
              <w:t>-2</w:t>
            </w:r>
          </w:p>
        </w:tc>
        <w:tc>
          <w:tcPr>
            <w:tcW w:w="329" w:type="pct"/>
            <w:tcBorders>
              <w:top w:val="nil"/>
              <w:bottom w:val="single" w:sz="4" w:space="0" w:color="auto"/>
            </w:tcBorders>
            <w:vAlign w:val="center"/>
          </w:tcPr>
          <w:p w:rsidR="000E564F" w:rsidRPr="00E5049E" w:rsidRDefault="000E564F" w:rsidP="00E5049E">
            <w:pPr>
              <w:ind w:left="-106" w:right="-70"/>
              <w:jc w:val="center"/>
              <w:rPr>
                <w:rFonts w:asciiTheme="minorHAnsi" w:hAnsiTheme="minorHAnsi" w:cstheme="minorHAnsi"/>
                <w:szCs w:val="20"/>
              </w:rPr>
            </w:pPr>
            <w:r w:rsidRPr="00E5049E">
              <w:rPr>
                <w:rFonts w:asciiTheme="minorHAnsi" w:hAnsiTheme="minorHAnsi" w:cstheme="minorHAnsi"/>
                <w:szCs w:val="20"/>
              </w:rPr>
              <w:t>71</w:t>
            </w:r>
          </w:p>
        </w:tc>
        <w:tc>
          <w:tcPr>
            <w:tcW w:w="417" w:type="pct"/>
            <w:tcBorders>
              <w:top w:val="nil"/>
              <w:bottom w:val="single" w:sz="4" w:space="0" w:color="auto"/>
            </w:tcBorders>
            <w:vAlign w:val="center"/>
          </w:tcPr>
          <w:p w:rsidR="000E564F" w:rsidRPr="00E5049E" w:rsidRDefault="000E564F" w:rsidP="00E5049E">
            <w:pPr>
              <w:ind w:left="-106" w:right="-70"/>
              <w:jc w:val="center"/>
              <w:rPr>
                <w:rFonts w:asciiTheme="minorHAnsi" w:hAnsiTheme="minorHAnsi" w:cstheme="minorHAnsi"/>
                <w:szCs w:val="20"/>
              </w:rPr>
            </w:pPr>
            <w:r w:rsidRPr="00E5049E">
              <w:rPr>
                <w:rFonts w:asciiTheme="minorHAnsi" w:hAnsiTheme="minorHAnsi" w:cstheme="minorHAnsi"/>
                <w:szCs w:val="20"/>
              </w:rPr>
              <w:t>4</w:t>
            </w:r>
          </w:p>
        </w:tc>
        <w:tc>
          <w:tcPr>
            <w:tcW w:w="329" w:type="pct"/>
            <w:tcBorders>
              <w:top w:val="nil"/>
              <w:bottom w:val="single" w:sz="4" w:space="0" w:color="auto"/>
            </w:tcBorders>
            <w:vAlign w:val="center"/>
          </w:tcPr>
          <w:p w:rsidR="000E564F" w:rsidRPr="00E5049E" w:rsidRDefault="000E564F" w:rsidP="00E5049E">
            <w:pPr>
              <w:ind w:left="-106" w:right="-70"/>
              <w:jc w:val="center"/>
              <w:rPr>
                <w:rFonts w:asciiTheme="minorHAnsi" w:hAnsiTheme="minorHAnsi" w:cstheme="minorHAnsi"/>
                <w:szCs w:val="20"/>
              </w:rPr>
            </w:pPr>
            <w:r w:rsidRPr="00E5049E">
              <w:rPr>
                <w:rFonts w:asciiTheme="minorHAnsi" w:hAnsiTheme="minorHAnsi" w:cstheme="minorHAnsi"/>
                <w:szCs w:val="20"/>
              </w:rPr>
              <w:t>67</w:t>
            </w:r>
          </w:p>
        </w:tc>
        <w:tc>
          <w:tcPr>
            <w:tcW w:w="310" w:type="pct"/>
            <w:tcBorders>
              <w:top w:val="nil"/>
              <w:bottom w:val="single" w:sz="4" w:space="0" w:color="auto"/>
            </w:tcBorders>
            <w:vAlign w:val="center"/>
          </w:tcPr>
          <w:p w:rsidR="000E564F" w:rsidRPr="00E5049E" w:rsidRDefault="000E564F" w:rsidP="00E5049E">
            <w:pPr>
              <w:ind w:left="-106" w:right="-70"/>
              <w:jc w:val="center"/>
              <w:rPr>
                <w:rFonts w:asciiTheme="minorHAnsi" w:hAnsiTheme="minorHAnsi" w:cstheme="minorHAnsi"/>
                <w:szCs w:val="20"/>
              </w:rPr>
            </w:pPr>
            <w:r w:rsidRPr="00E5049E">
              <w:rPr>
                <w:rFonts w:asciiTheme="minorHAnsi" w:hAnsiTheme="minorHAnsi" w:cstheme="minorHAnsi"/>
                <w:szCs w:val="20"/>
              </w:rPr>
              <w:t>1</w:t>
            </w:r>
          </w:p>
        </w:tc>
        <w:tc>
          <w:tcPr>
            <w:tcW w:w="329" w:type="pct"/>
            <w:tcBorders>
              <w:top w:val="nil"/>
              <w:bottom w:val="single" w:sz="4" w:space="0" w:color="auto"/>
            </w:tcBorders>
            <w:vAlign w:val="center"/>
          </w:tcPr>
          <w:p w:rsidR="000E564F" w:rsidRPr="00E5049E" w:rsidRDefault="000E564F" w:rsidP="00E5049E">
            <w:pPr>
              <w:ind w:left="-106" w:right="-70"/>
              <w:jc w:val="center"/>
              <w:rPr>
                <w:rFonts w:asciiTheme="minorHAnsi" w:hAnsiTheme="minorHAnsi" w:cstheme="minorHAnsi"/>
                <w:szCs w:val="20"/>
              </w:rPr>
            </w:pPr>
            <w:r w:rsidRPr="00E5049E">
              <w:rPr>
                <w:rFonts w:asciiTheme="minorHAnsi" w:hAnsiTheme="minorHAnsi" w:cstheme="minorHAnsi"/>
                <w:szCs w:val="20"/>
              </w:rPr>
              <w:t>108</w:t>
            </w:r>
          </w:p>
        </w:tc>
        <w:tc>
          <w:tcPr>
            <w:tcW w:w="363" w:type="pct"/>
            <w:tcBorders>
              <w:top w:val="nil"/>
              <w:bottom w:val="single" w:sz="4" w:space="0" w:color="auto"/>
            </w:tcBorders>
            <w:vAlign w:val="center"/>
          </w:tcPr>
          <w:p w:rsidR="000E564F" w:rsidRPr="00E5049E" w:rsidRDefault="000E564F" w:rsidP="00E5049E">
            <w:pPr>
              <w:ind w:left="-106" w:right="-70"/>
              <w:jc w:val="center"/>
              <w:rPr>
                <w:rFonts w:asciiTheme="minorHAnsi" w:hAnsiTheme="minorHAnsi" w:cstheme="minorHAnsi"/>
                <w:szCs w:val="20"/>
              </w:rPr>
            </w:pPr>
            <w:r w:rsidRPr="00E5049E">
              <w:rPr>
                <w:rFonts w:asciiTheme="minorHAnsi" w:hAnsiTheme="minorHAnsi" w:cstheme="minorHAnsi"/>
                <w:szCs w:val="20"/>
              </w:rPr>
              <w:t>-4</w:t>
            </w:r>
          </w:p>
        </w:tc>
        <w:tc>
          <w:tcPr>
            <w:tcW w:w="330" w:type="pct"/>
            <w:tcBorders>
              <w:top w:val="nil"/>
              <w:bottom w:val="single" w:sz="4" w:space="0" w:color="auto"/>
            </w:tcBorders>
            <w:vAlign w:val="center"/>
          </w:tcPr>
          <w:p w:rsidR="000E564F" w:rsidRPr="00E5049E" w:rsidRDefault="000E564F" w:rsidP="00E5049E">
            <w:pPr>
              <w:ind w:left="-106" w:right="-70"/>
              <w:jc w:val="center"/>
              <w:rPr>
                <w:rFonts w:asciiTheme="minorHAnsi" w:hAnsiTheme="minorHAnsi" w:cstheme="minorHAnsi"/>
                <w:szCs w:val="20"/>
              </w:rPr>
            </w:pPr>
            <w:r w:rsidRPr="00E5049E">
              <w:rPr>
                <w:rFonts w:asciiTheme="minorHAnsi" w:hAnsiTheme="minorHAnsi" w:cstheme="minorHAnsi"/>
                <w:szCs w:val="20"/>
              </w:rPr>
              <w:t>125</w:t>
            </w:r>
          </w:p>
        </w:tc>
        <w:tc>
          <w:tcPr>
            <w:tcW w:w="359" w:type="pct"/>
            <w:tcBorders>
              <w:top w:val="nil"/>
              <w:bottom w:val="single" w:sz="4" w:space="0" w:color="auto"/>
            </w:tcBorders>
            <w:vAlign w:val="center"/>
          </w:tcPr>
          <w:p w:rsidR="000E564F" w:rsidRPr="00E5049E" w:rsidRDefault="000E564F" w:rsidP="00E5049E">
            <w:pPr>
              <w:ind w:left="-106" w:right="-70"/>
              <w:jc w:val="center"/>
              <w:rPr>
                <w:rFonts w:asciiTheme="minorHAnsi" w:hAnsiTheme="minorHAnsi" w:cstheme="minorHAnsi"/>
                <w:szCs w:val="20"/>
              </w:rPr>
            </w:pPr>
            <w:r w:rsidRPr="00E5049E">
              <w:rPr>
                <w:rFonts w:asciiTheme="minorHAnsi" w:hAnsiTheme="minorHAnsi" w:cstheme="minorHAnsi"/>
                <w:szCs w:val="20"/>
              </w:rPr>
              <w:t>7</w:t>
            </w:r>
          </w:p>
        </w:tc>
        <w:tc>
          <w:tcPr>
            <w:tcW w:w="303" w:type="pct"/>
            <w:gridSpan w:val="2"/>
            <w:tcBorders>
              <w:top w:val="nil"/>
              <w:bottom w:val="single" w:sz="4" w:space="0" w:color="auto"/>
            </w:tcBorders>
            <w:vAlign w:val="center"/>
          </w:tcPr>
          <w:p w:rsidR="000E564F" w:rsidRPr="00E5049E" w:rsidRDefault="000E564F" w:rsidP="00E5049E">
            <w:pPr>
              <w:ind w:left="-106" w:right="-70"/>
              <w:jc w:val="center"/>
              <w:rPr>
                <w:rFonts w:asciiTheme="minorHAnsi" w:hAnsiTheme="minorHAnsi" w:cstheme="minorHAnsi"/>
                <w:szCs w:val="20"/>
              </w:rPr>
            </w:pPr>
            <w:r w:rsidRPr="00E5049E">
              <w:rPr>
                <w:rFonts w:asciiTheme="minorHAnsi" w:hAnsiTheme="minorHAnsi" w:cstheme="minorHAnsi"/>
                <w:szCs w:val="20"/>
              </w:rPr>
              <w:t>-</w:t>
            </w:r>
          </w:p>
        </w:tc>
        <w:tc>
          <w:tcPr>
            <w:tcW w:w="412" w:type="pct"/>
            <w:tcBorders>
              <w:top w:val="nil"/>
              <w:bottom w:val="single" w:sz="4" w:space="0" w:color="auto"/>
            </w:tcBorders>
            <w:vAlign w:val="center"/>
          </w:tcPr>
          <w:p w:rsidR="000E564F" w:rsidRPr="00E5049E" w:rsidRDefault="000E564F" w:rsidP="00E5049E">
            <w:pPr>
              <w:ind w:left="-106" w:right="-70"/>
              <w:jc w:val="center"/>
              <w:rPr>
                <w:rFonts w:asciiTheme="minorHAnsi" w:hAnsiTheme="minorHAnsi" w:cstheme="minorHAnsi"/>
                <w:szCs w:val="20"/>
              </w:rPr>
            </w:pPr>
            <w:r w:rsidRPr="00E5049E">
              <w:rPr>
                <w:rFonts w:asciiTheme="minorHAnsi" w:hAnsiTheme="minorHAnsi" w:cstheme="minorHAnsi"/>
                <w:szCs w:val="20"/>
              </w:rPr>
              <w:t>-</w:t>
            </w:r>
          </w:p>
        </w:tc>
      </w:tr>
    </w:tbl>
    <w:p w:rsidR="001521CB" w:rsidRPr="008D4DAB" w:rsidRDefault="001521CB" w:rsidP="00A226E9">
      <w:pPr>
        <w:pStyle w:val="AERbodytext"/>
        <w:keepNext/>
      </w:pPr>
      <w:r w:rsidRPr="00EC137F">
        <w:lastRenderedPageBreak/>
        <w:t>Figure 2 illustrates the daily prices in each gas market</w:t>
      </w:r>
      <w:r w:rsidR="00580E72" w:rsidRPr="00EC137F">
        <w:t>, as defined in figure 1</w:t>
      </w:r>
      <w:r w:rsidRPr="00EC137F">
        <w:t>.</w:t>
      </w:r>
    </w:p>
    <w:p w:rsidR="001521CB" w:rsidRPr="001521CB" w:rsidRDefault="001521CB" w:rsidP="001521CB">
      <w:pPr>
        <w:pStyle w:val="Caption"/>
      </w:pPr>
      <w:r w:rsidRPr="001521CB">
        <w:t xml:space="preserve">Figure </w:t>
      </w:r>
      <w:fldSimple w:instr=" SEQ Figure \* ARABIC ">
        <w:r>
          <w:rPr>
            <w:noProof/>
          </w:rPr>
          <w:t>2</w:t>
        </w:r>
      </w:fldSimple>
      <w:r w:rsidRPr="001521CB">
        <w:t xml:space="preserve">: </w:t>
      </w:r>
      <w:r w:rsidRPr="001521CB">
        <w:rPr>
          <w:color w:val="2272A3"/>
          <w:szCs w:val="24"/>
        </w:rPr>
        <w:t>Daily gas market prices</w:t>
      </w:r>
      <w:r w:rsidR="00A84149">
        <w:rPr>
          <w:color w:val="2272A3"/>
          <w:szCs w:val="24"/>
        </w:rPr>
        <w:t xml:space="preserve"> ($/GJ)</w:t>
      </w:r>
    </w:p>
    <w:p w:rsidR="001521CB" w:rsidRDefault="000E564F" w:rsidP="001521CB">
      <w:r w:rsidRPr="000E564F">
        <w:rPr>
          <w:noProof/>
          <w:lang w:eastAsia="en-AU"/>
        </w:rPr>
        <w:drawing>
          <wp:inline distT="0" distB="0" distL="0" distR="0" wp14:anchorId="72C3ED7F" wp14:editId="617B1F64">
            <wp:extent cx="5731510" cy="3547765"/>
            <wp:effectExtent l="0" t="0" r="2540" b="0"/>
            <wp:docPr id="2" name="Picture 2" descr="Figure 2 shows the daily price of gas in the mandatory gas markets and voluntary gas supply hubs (GSH). The weighted average daily imbalance price applies for Victoria. The prices shown for the GSH in Wallumbilla and Moomba are volume weighted average prices for all products traded on each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547765"/>
                    </a:xfrm>
                    <a:prstGeom prst="rect">
                      <a:avLst/>
                    </a:prstGeom>
                    <a:noFill/>
                    <a:ln>
                      <a:noFill/>
                    </a:ln>
                  </pic:spPr>
                </pic:pic>
              </a:graphicData>
            </a:graphic>
          </wp:inline>
        </w:drawing>
      </w:r>
    </w:p>
    <w:p w:rsidR="001521CB" w:rsidRPr="008D4DAB" w:rsidRDefault="001521CB" w:rsidP="00F26128">
      <w:pPr>
        <w:pStyle w:val="AERbodytext"/>
      </w:pPr>
      <w:r w:rsidRPr="00EC137F">
        <w:t xml:space="preserve">Figure 3 compares average ancillary market payments </w:t>
      </w:r>
      <w:r w:rsidR="006621AB" w:rsidRPr="00EC137F">
        <w:t xml:space="preserve">(VGM) </w:t>
      </w:r>
      <w:r w:rsidRPr="00EC137F">
        <w:t xml:space="preserve">and </w:t>
      </w:r>
      <w:r w:rsidR="006621AB" w:rsidRPr="00EC137F">
        <w:t xml:space="preserve">balancing gas service payments (STTM) </w:t>
      </w:r>
      <w:r w:rsidRPr="00EC137F">
        <w:t>against historical averages.</w:t>
      </w:r>
    </w:p>
    <w:p w:rsidR="001521CB" w:rsidRPr="001521CB" w:rsidRDefault="001521CB" w:rsidP="001521CB">
      <w:pPr>
        <w:pStyle w:val="Caption"/>
      </w:pPr>
      <w:r w:rsidRPr="001521CB">
        <w:t xml:space="preserve">Figure </w:t>
      </w:r>
      <w:fldSimple w:instr=" SEQ Figure \* ARABIC ">
        <w:r>
          <w:rPr>
            <w:noProof/>
          </w:rPr>
          <w:t>3</w:t>
        </w:r>
      </w:fldSimple>
      <w:r w:rsidRPr="001521CB">
        <w:t xml:space="preserve">: </w:t>
      </w:r>
      <w:r w:rsidR="00E95390">
        <w:rPr>
          <w:color w:val="2272A3"/>
          <w:szCs w:val="24"/>
        </w:rPr>
        <w:t xml:space="preserve">Average ancillary </w:t>
      </w:r>
      <w:r w:rsidR="00E7180D">
        <w:rPr>
          <w:color w:val="2272A3"/>
          <w:szCs w:val="24"/>
        </w:rPr>
        <w:t>payments</w:t>
      </w:r>
      <w:r w:rsidR="0092084D">
        <w:rPr>
          <w:color w:val="2272A3"/>
          <w:szCs w:val="24"/>
        </w:rPr>
        <w:t xml:space="preserve"> ($000)</w:t>
      </w:r>
    </w:p>
    <w:tbl>
      <w:tblPr>
        <w:tblStyle w:val="AERTable-Text"/>
        <w:tblW w:w="5000" w:type="pct"/>
        <w:tblLook w:val="04A0" w:firstRow="1" w:lastRow="0" w:firstColumn="1" w:lastColumn="0" w:noHBand="0" w:noVBand="1"/>
      </w:tblPr>
      <w:tblGrid>
        <w:gridCol w:w="2930"/>
        <w:gridCol w:w="1835"/>
        <w:gridCol w:w="1401"/>
        <w:gridCol w:w="1536"/>
        <w:gridCol w:w="1540"/>
      </w:tblGrid>
      <w:tr w:rsidR="00534DD9" w:rsidRPr="00405CDE" w:rsidTr="00534DD9">
        <w:trPr>
          <w:cnfStyle w:val="100000000000" w:firstRow="1" w:lastRow="0" w:firstColumn="0" w:lastColumn="0" w:oddVBand="0" w:evenVBand="0" w:oddHBand="0" w:evenHBand="0" w:firstRowFirstColumn="0" w:firstRowLastColumn="0" w:lastRowFirstColumn="0" w:lastRowLastColumn="0"/>
          <w:tblHeader/>
        </w:trPr>
        <w:tc>
          <w:tcPr>
            <w:tcW w:w="1585" w:type="pct"/>
            <w:tcBorders>
              <w:bottom w:val="nil"/>
            </w:tcBorders>
            <w:vAlign w:val="center"/>
            <w:hideMark/>
          </w:tcPr>
          <w:p w:rsidR="00534DD9" w:rsidRPr="00DC24BF" w:rsidRDefault="001521CB" w:rsidP="00534DD9">
            <w:pPr>
              <w:pStyle w:val="TableHeading"/>
              <w:spacing w:before="120" w:after="120" w:line="240" w:lineRule="auto"/>
              <w:jc w:val="center"/>
              <w:rPr>
                <w:rFonts w:cs="Arial"/>
                <w:sz w:val="20"/>
                <w:szCs w:val="20"/>
              </w:rPr>
            </w:pPr>
            <w:r w:rsidRPr="00D329E0">
              <w:t xml:space="preserve"> </w:t>
            </w:r>
          </w:p>
        </w:tc>
        <w:tc>
          <w:tcPr>
            <w:tcW w:w="993" w:type="pct"/>
            <w:tcBorders>
              <w:bottom w:val="nil"/>
            </w:tcBorders>
            <w:vAlign w:val="center"/>
            <w:hideMark/>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Victoria                                   </w:t>
            </w:r>
            <w:r w:rsidRPr="00534DD9">
              <w:rPr>
                <w:rFonts w:eastAsia="Times New Roman" w:cs="Arial"/>
                <w:b w:val="0"/>
                <w:color w:val="FFFFFF"/>
                <w:sz w:val="16"/>
                <w:szCs w:val="16"/>
                <w:lang w:eastAsia="en-AU"/>
              </w:rPr>
              <w:t>Ancillary Payments</w:t>
            </w:r>
            <w:r>
              <w:rPr>
                <w:rFonts w:eastAsia="Times New Roman" w:cs="Arial"/>
                <w:b w:val="0"/>
                <w:color w:val="FFFFFF"/>
                <w:sz w:val="16"/>
                <w:szCs w:val="16"/>
                <w:lang w:eastAsia="en-AU"/>
              </w:rPr>
              <w:t>*</w:t>
            </w:r>
          </w:p>
        </w:tc>
        <w:tc>
          <w:tcPr>
            <w:tcW w:w="758"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Sydney                                    </w:t>
            </w:r>
            <w:r w:rsidRPr="00534DD9">
              <w:rPr>
                <w:rFonts w:eastAsia="Times New Roman" w:cs="Arial"/>
                <w:b w:val="0"/>
                <w:color w:val="FFFFFF"/>
                <w:sz w:val="16"/>
                <w:szCs w:val="16"/>
                <w:lang w:eastAsia="en-AU"/>
              </w:rPr>
              <w:t>MOS</w:t>
            </w:r>
          </w:p>
        </w:tc>
        <w:tc>
          <w:tcPr>
            <w:tcW w:w="831"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Adelaide                                    </w:t>
            </w:r>
            <w:r w:rsidRPr="00534DD9">
              <w:rPr>
                <w:rFonts w:eastAsia="Times New Roman" w:cs="Arial"/>
                <w:b w:val="0"/>
                <w:color w:val="FFFFFF"/>
                <w:sz w:val="16"/>
                <w:szCs w:val="16"/>
                <w:lang w:eastAsia="en-AU"/>
              </w:rPr>
              <w:t>MOS</w:t>
            </w:r>
          </w:p>
        </w:tc>
        <w:tc>
          <w:tcPr>
            <w:tcW w:w="833"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Brisbane                                    </w:t>
            </w:r>
            <w:r w:rsidRPr="00534DD9">
              <w:rPr>
                <w:rFonts w:eastAsia="Times New Roman" w:cs="Arial"/>
                <w:b w:val="0"/>
                <w:color w:val="FFFFFF"/>
                <w:sz w:val="16"/>
                <w:szCs w:val="16"/>
                <w:lang w:eastAsia="en-AU"/>
              </w:rPr>
              <w:t>MOS</w:t>
            </w:r>
          </w:p>
        </w:tc>
      </w:tr>
      <w:tr w:rsidR="000E564F" w:rsidRPr="00405CDE" w:rsidTr="00871EFD">
        <w:trPr>
          <w:trHeight w:val="510"/>
        </w:trPr>
        <w:tc>
          <w:tcPr>
            <w:tcW w:w="1585" w:type="pct"/>
            <w:tcBorders>
              <w:top w:val="nil"/>
              <w:bottom w:val="nil"/>
            </w:tcBorders>
            <w:vAlign w:val="center"/>
          </w:tcPr>
          <w:p w:rsidR="000E564F" w:rsidRPr="00871EFD" w:rsidRDefault="000E564F" w:rsidP="00871EFD">
            <w:pPr>
              <w:rPr>
                <w:sz w:val="16"/>
              </w:rPr>
            </w:pPr>
            <w:r w:rsidRPr="00871EFD">
              <w:rPr>
                <w:sz w:val="16"/>
              </w:rPr>
              <w:t>12 Feb - 18 Feb 2017</w:t>
            </w:r>
          </w:p>
        </w:tc>
        <w:tc>
          <w:tcPr>
            <w:tcW w:w="993" w:type="pct"/>
            <w:tcBorders>
              <w:top w:val="nil"/>
              <w:bottom w:val="nil"/>
            </w:tcBorders>
          </w:tcPr>
          <w:p w:rsidR="000E564F" w:rsidRPr="00871EFD" w:rsidRDefault="000E564F" w:rsidP="000E564F">
            <w:pPr>
              <w:jc w:val="center"/>
              <w:rPr>
                <w:sz w:val="20"/>
                <w:szCs w:val="20"/>
              </w:rPr>
            </w:pPr>
            <w:r w:rsidRPr="00871EFD">
              <w:rPr>
                <w:sz w:val="20"/>
                <w:szCs w:val="20"/>
              </w:rPr>
              <w:t>-</w:t>
            </w:r>
          </w:p>
        </w:tc>
        <w:tc>
          <w:tcPr>
            <w:tcW w:w="758" w:type="pct"/>
            <w:tcBorders>
              <w:top w:val="nil"/>
              <w:bottom w:val="nil"/>
            </w:tcBorders>
          </w:tcPr>
          <w:p w:rsidR="000E564F" w:rsidRPr="00871EFD" w:rsidRDefault="000E564F" w:rsidP="000E564F">
            <w:pPr>
              <w:jc w:val="center"/>
              <w:rPr>
                <w:sz w:val="20"/>
                <w:szCs w:val="20"/>
              </w:rPr>
            </w:pPr>
            <w:r w:rsidRPr="00871EFD">
              <w:rPr>
                <w:sz w:val="20"/>
                <w:szCs w:val="20"/>
              </w:rPr>
              <w:t>56.45</w:t>
            </w:r>
          </w:p>
        </w:tc>
        <w:tc>
          <w:tcPr>
            <w:tcW w:w="831" w:type="pct"/>
            <w:tcBorders>
              <w:top w:val="nil"/>
              <w:bottom w:val="nil"/>
            </w:tcBorders>
          </w:tcPr>
          <w:p w:rsidR="000E564F" w:rsidRPr="00871EFD" w:rsidRDefault="000E564F" w:rsidP="000E564F">
            <w:pPr>
              <w:jc w:val="center"/>
              <w:rPr>
                <w:sz w:val="20"/>
                <w:szCs w:val="20"/>
              </w:rPr>
            </w:pPr>
            <w:r w:rsidRPr="00871EFD">
              <w:rPr>
                <w:sz w:val="20"/>
                <w:szCs w:val="20"/>
              </w:rPr>
              <w:t>6.70</w:t>
            </w:r>
          </w:p>
        </w:tc>
        <w:tc>
          <w:tcPr>
            <w:tcW w:w="833" w:type="pct"/>
            <w:tcBorders>
              <w:top w:val="nil"/>
              <w:bottom w:val="nil"/>
            </w:tcBorders>
          </w:tcPr>
          <w:p w:rsidR="000E564F" w:rsidRPr="00871EFD" w:rsidRDefault="000E564F" w:rsidP="000E564F">
            <w:pPr>
              <w:jc w:val="center"/>
              <w:rPr>
                <w:sz w:val="20"/>
                <w:szCs w:val="20"/>
              </w:rPr>
            </w:pPr>
            <w:r w:rsidRPr="00871EFD">
              <w:rPr>
                <w:sz w:val="20"/>
                <w:szCs w:val="20"/>
              </w:rPr>
              <w:t>1.32</w:t>
            </w:r>
          </w:p>
        </w:tc>
      </w:tr>
      <w:tr w:rsidR="000E564F" w:rsidRPr="00405CDE" w:rsidTr="00871EFD">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nil"/>
            </w:tcBorders>
            <w:vAlign w:val="center"/>
          </w:tcPr>
          <w:p w:rsidR="000E564F" w:rsidRPr="00871EFD" w:rsidRDefault="000E564F" w:rsidP="00871EFD">
            <w:pPr>
              <w:rPr>
                <w:sz w:val="16"/>
              </w:rPr>
            </w:pPr>
            <w:r w:rsidRPr="00871EFD">
              <w:rPr>
                <w:sz w:val="16"/>
              </w:rPr>
              <w:t>% change from previous week</w:t>
            </w:r>
          </w:p>
        </w:tc>
        <w:tc>
          <w:tcPr>
            <w:tcW w:w="993" w:type="pct"/>
            <w:tcBorders>
              <w:top w:val="nil"/>
              <w:bottom w:val="nil"/>
            </w:tcBorders>
          </w:tcPr>
          <w:p w:rsidR="000E564F" w:rsidRPr="00871EFD" w:rsidRDefault="000E564F" w:rsidP="000E564F">
            <w:pPr>
              <w:jc w:val="center"/>
              <w:rPr>
                <w:szCs w:val="20"/>
              </w:rPr>
            </w:pPr>
            <w:r w:rsidRPr="00871EFD">
              <w:rPr>
                <w:szCs w:val="20"/>
              </w:rPr>
              <w:t>-</w:t>
            </w:r>
          </w:p>
        </w:tc>
        <w:tc>
          <w:tcPr>
            <w:tcW w:w="758" w:type="pct"/>
            <w:tcBorders>
              <w:top w:val="nil"/>
              <w:bottom w:val="nil"/>
            </w:tcBorders>
          </w:tcPr>
          <w:p w:rsidR="000E564F" w:rsidRPr="00871EFD" w:rsidRDefault="000E564F" w:rsidP="000E564F">
            <w:pPr>
              <w:jc w:val="center"/>
              <w:rPr>
                <w:szCs w:val="20"/>
              </w:rPr>
            </w:pPr>
            <w:r w:rsidRPr="00871EFD">
              <w:rPr>
                <w:szCs w:val="20"/>
              </w:rPr>
              <w:t>-8</w:t>
            </w:r>
          </w:p>
        </w:tc>
        <w:tc>
          <w:tcPr>
            <w:tcW w:w="831" w:type="pct"/>
            <w:tcBorders>
              <w:top w:val="nil"/>
              <w:bottom w:val="nil"/>
            </w:tcBorders>
          </w:tcPr>
          <w:p w:rsidR="000E564F" w:rsidRPr="00871EFD" w:rsidRDefault="000E564F" w:rsidP="000E564F">
            <w:pPr>
              <w:jc w:val="center"/>
              <w:rPr>
                <w:szCs w:val="20"/>
              </w:rPr>
            </w:pPr>
            <w:r w:rsidRPr="00871EFD">
              <w:rPr>
                <w:szCs w:val="20"/>
              </w:rPr>
              <w:t>59</w:t>
            </w:r>
          </w:p>
        </w:tc>
        <w:tc>
          <w:tcPr>
            <w:tcW w:w="833" w:type="pct"/>
            <w:tcBorders>
              <w:top w:val="nil"/>
              <w:bottom w:val="nil"/>
            </w:tcBorders>
          </w:tcPr>
          <w:p w:rsidR="000E564F" w:rsidRPr="00871EFD" w:rsidRDefault="000E564F" w:rsidP="000E564F">
            <w:pPr>
              <w:jc w:val="center"/>
              <w:rPr>
                <w:szCs w:val="20"/>
              </w:rPr>
            </w:pPr>
            <w:r w:rsidRPr="00871EFD">
              <w:rPr>
                <w:szCs w:val="20"/>
              </w:rPr>
              <w:t>-17</w:t>
            </w:r>
          </w:p>
        </w:tc>
      </w:tr>
      <w:tr w:rsidR="000E564F" w:rsidRPr="00405CDE" w:rsidTr="00871EFD">
        <w:trPr>
          <w:trHeight w:val="510"/>
        </w:trPr>
        <w:tc>
          <w:tcPr>
            <w:tcW w:w="1585" w:type="pct"/>
            <w:tcBorders>
              <w:top w:val="nil"/>
              <w:bottom w:val="nil"/>
            </w:tcBorders>
            <w:vAlign w:val="center"/>
          </w:tcPr>
          <w:p w:rsidR="000E564F" w:rsidRPr="00871EFD" w:rsidRDefault="000E564F" w:rsidP="00871EFD">
            <w:pPr>
              <w:rPr>
                <w:sz w:val="16"/>
              </w:rPr>
            </w:pPr>
            <w:r w:rsidRPr="00871EFD">
              <w:rPr>
                <w:sz w:val="16"/>
              </w:rPr>
              <w:t>16-17 financial YTD</w:t>
            </w:r>
          </w:p>
        </w:tc>
        <w:tc>
          <w:tcPr>
            <w:tcW w:w="993" w:type="pct"/>
            <w:tcBorders>
              <w:top w:val="nil"/>
              <w:bottom w:val="nil"/>
            </w:tcBorders>
          </w:tcPr>
          <w:p w:rsidR="000E564F" w:rsidRPr="00871EFD" w:rsidRDefault="000E564F" w:rsidP="000E564F">
            <w:pPr>
              <w:jc w:val="center"/>
              <w:rPr>
                <w:sz w:val="20"/>
                <w:szCs w:val="20"/>
              </w:rPr>
            </w:pPr>
          </w:p>
        </w:tc>
        <w:tc>
          <w:tcPr>
            <w:tcW w:w="758" w:type="pct"/>
            <w:tcBorders>
              <w:top w:val="nil"/>
              <w:bottom w:val="nil"/>
            </w:tcBorders>
          </w:tcPr>
          <w:p w:rsidR="000E564F" w:rsidRPr="00871EFD" w:rsidRDefault="000E564F" w:rsidP="000E564F">
            <w:pPr>
              <w:jc w:val="center"/>
              <w:rPr>
                <w:sz w:val="20"/>
                <w:szCs w:val="20"/>
              </w:rPr>
            </w:pPr>
            <w:r w:rsidRPr="00871EFD">
              <w:rPr>
                <w:sz w:val="20"/>
                <w:szCs w:val="20"/>
              </w:rPr>
              <w:t>56.00</w:t>
            </w:r>
          </w:p>
        </w:tc>
        <w:tc>
          <w:tcPr>
            <w:tcW w:w="831" w:type="pct"/>
            <w:tcBorders>
              <w:top w:val="nil"/>
              <w:bottom w:val="nil"/>
            </w:tcBorders>
          </w:tcPr>
          <w:p w:rsidR="000E564F" w:rsidRPr="00871EFD" w:rsidRDefault="000E564F" w:rsidP="000E564F">
            <w:pPr>
              <w:jc w:val="center"/>
              <w:rPr>
                <w:sz w:val="20"/>
                <w:szCs w:val="20"/>
              </w:rPr>
            </w:pPr>
            <w:r w:rsidRPr="00871EFD">
              <w:rPr>
                <w:sz w:val="20"/>
                <w:szCs w:val="20"/>
              </w:rPr>
              <w:t>22.08</w:t>
            </w:r>
          </w:p>
        </w:tc>
        <w:tc>
          <w:tcPr>
            <w:tcW w:w="833" w:type="pct"/>
            <w:tcBorders>
              <w:top w:val="nil"/>
              <w:bottom w:val="nil"/>
            </w:tcBorders>
          </w:tcPr>
          <w:p w:rsidR="000E564F" w:rsidRPr="00871EFD" w:rsidRDefault="000E564F" w:rsidP="000E564F">
            <w:pPr>
              <w:jc w:val="center"/>
              <w:rPr>
                <w:sz w:val="20"/>
                <w:szCs w:val="20"/>
              </w:rPr>
            </w:pPr>
            <w:r w:rsidRPr="00871EFD">
              <w:rPr>
                <w:sz w:val="20"/>
                <w:szCs w:val="20"/>
              </w:rPr>
              <w:t>1.58</w:t>
            </w:r>
          </w:p>
        </w:tc>
      </w:tr>
      <w:tr w:rsidR="000E564F" w:rsidRPr="00405CDE" w:rsidTr="00871EFD">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single" w:sz="4" w:space="0" w:color="auto"/>
            </w:tcBorders>
            <w:vAlign w:val="center"/>
          </w:tcPr>
          <w:p w:rsidR="000E564F" w:rsidRPr="00871EFD" w:rsidRDefault="000E564F" w:rsidP="00871EFD">
            <w:pPr>
              <w:rPr>
                <w:sz w:val="16"/>
              </w:rPr>
            </w:pPr>
            <w:r w:rsidRPr="00871EFD">
              <w:rPr>
                <w:sz w:val="16"/>
              </w:rPr>
              <w:t xml:space="preserve">% change from previous financial YTD </w:t>
            </w:r>
          </w:p>
        </w:tc>
        <w:tc>
          <w:tcPr>
            <w:tcW w:w="993" w:type="pct"/>
            <w:tcBorders>
              <w:top w:val="nil"/>
              <w:bottom w:val="single" w:sz="4" w:space="0" w:color="auto"/>
            </w:tcBorders>
          </w:tcPr>
          <w:p w:rsidR="000E564F" w:rsidRPr="00871EFD" w:rsidRDefault="000E564F" w:rsidP="000E564F">
            <w:pPr>
              <w:jc w:val="center"/>
              <w:rPr>
                <w:szCs w:val="20"/>
              </w:rPr>
            </w:pPr>
          </w:p>
        </w:tc>
        <w:tc>
          <w:tcPr>
            <w:tcW w:w="758" w:type="pct"/>
            <w:tcBorders>
              <w:top w:val="nil"/>
              <w:bottom w:val="single" w:sz="4" w:space="0" w:color="auto"/>
            </w:tcBorders>
            <w:vAlign w:val="center"/>
          </w:tcPr>
          <w:p w:rsidR="000E564F" w:rsidRPr="00871EFD" w:rsidRDefault="000E564F" w:rsidP="00871EFD">
            <w:pPr>
              <w:jc w:val="center"/>
              <w:rPr>
                <w:szCs w:val="20"/>
              </w:rPr>
            </w:pPr>
            <w:r w:rsidRPr="00871EFD">
              <w:rPr>
                <w:szCs w:val="20"/>
              </w:rPr>
              <w:t>80</w:t>
            </w:r>
          </w:p>
        </w:tc>
        <w:tc>
          <w:tcPr>
            <w:tcW w:w="831" w:type="pct"/>
            <w:tcBorders>
              <w:top w:val="nil"/>
              <w:bottom w:val="single" w:sz="4" w:space="0" w:color="auto"/>
            </w:tcBorders>
            <w:vAlign w:val="center"/>
          </w:tcPr>
          <w:p w:rsidR="000E564F" w:rsidRPr="00871EFD" w:rsidRDefault="000E564F" w:rsidP="00871EFD">
            <w:pPr>
              <w:jc w:val="center"/>
              <w:rPr>
                <w:szCs w:val="20"/>
              </w:rPr>
            </w:pPr>
            <w:r w:rsidRPr="00871EFD">
              <w:rPr>
                <w:szCs w:val="20"/>
              </w:rPr>
              <w:t>164</w:t>
            </w:r>
          </w:p>
        </w:tc>
        <w:tc>
          <w:tcPr>
            <w:tcW w:w="833" w:type="pct"/>
            <w:tcBorders>
              <w:top w:val="nil"/>
              <w:bottom w:val="single" w:sz="4" w:space="0" w:color="auto"/>
            </w:tcBorders>
            <w:vAlign w:val="center"/>
          </w:tcPr>
          <w:p w:rsidR="000E564F" w:rsidRPr="00871EFD" w:rsidRDefault="000E564F" w:rsidP="00871EFD">
            <w:pPr>
              <w:jc w:val="center"/>
              <w:rPr>
                <w:szCs w:val="20"/>
              </w:rPr>
            </w:pPr>
            <w:r w:rsidRPr="00871EFD">
              <w:rPr>
                <w:szCs w:val="20"/>
              </w:rPr>
              <w:t>-2</w:t>
            </w:r>
          </w:p>
        </w:tc>
      </w:tr>
    </w:tbl>
    <w:p w:rsidR="00534DD9" w:rsidRPr="001521CB" w:rsidRDefault="00534DD9" w:rsidP="00534DD9">
      <w:pPr>
        <w:pStyle w:val="AERbodytext"/>
        <w:rPr>
          <w:sz w:val="16"/>
        </w:rPr>
      </w:pPr>
      <w:r w:rsidRPr="00EC137F">
        <w:rPr>
          <w:sz w:val="16"/>
        </w:rPr>
        <w:t xml:space="preserve">* </w:t>
      </w:r>
      <w:r w:rsidR="00A16975" w:rsidRPr="00EC137F">
        <w:rPr>
          <w:sz w:val="16"/>
        </w:rPr>
        <w:t xml:space="preserve">Ancillary payments reflect </w:t>
      </w:r>
      <w:r w:rsidR="00963914" w:rsidRPr="00EC137F">
        <w:rPr>
          <w:sz w:val="16"/>
        </w:rPr>
        <w:t xml:space="preserve">the compensation costs for any </w:t>
      </w:r>
      <w:r w:rsidR="00A16975" w:rsidRPr="00EC137F">
        <w:rPr>
          <w:sz w:val="16"/>
        </w:rPr>
        <w:t>additional injections offered at a price higher than the market price.</w:t>
      </w:r>
      <w:r w:rsidR="00963914">
        <w:rPr>
          <w:sz w:val="16"/>
        </w:rPr>
        <w:t xml:space="preserve"> </w:t>
      </w:r>
      <w:r w:rsidRPr="001521CB">
        <w:rPr>
          <w:sz w:val="16"/>
        </w:rPr>
        <w:t>Note: only positive ancillary payments, reflecting system constraints will be shown here.</w:t>
      </w:r>
    </w:p>
    <w:p w:rsidR="00F26128" w:rsidRDefault="00534DD9" w:rsidP="00534DD9">
      <w:pPr>
        <w:pStyle w:val="AERbodytext"/>
      </w:pPr>
      <w:r>
        <w:t>More</w:t>
      </w:r>
      <w:r w:rsidRPr="00D329E0">
        <w:t xml:space="preserve"> </w:t>
      </w:r>
      <w:r>
        <w:t xml:space="preserve">detailed </w:t>
      </w:r>
      <w:r w:rsidRPr="00D329E0">
        <w:t xml:space="preserve">analysis on the </w:t>
      </w:r>
      <w:r>
        <w:t>VGM is provided in section 1</w:t>
      </w:r>
      <w:r w:rsidRPr="00D329E0">
        <w:t>.</w:t>
      </w:r>
    </w:p>
    <w:p w:rsidR="004C571B" w:rsidRPr="00552F68" w:rsidRDefault="004C571B" w:rsidP="00F26128">
      <w:pPr>
        <w:keepNext/>
      </w:pPr>
      <w:bookmarkStart w:id="6" w:name="_GoBack"/>
      <w:bookmarkEnd w:id="6"/>
      <w:r w:rsidRPr="00552F68">
        <w:t xml:space="preserve">Figure </w:t>
      </w:r>
      <w:r w:rsidR="00534DD9" w:rsidRPr="00552F68">
        <w:t>4</w:t>
      </w:r>
      <w:r w:rsidRPr="00552F68">
        <w:t xml:space="preserve"> shows</w:t>
      </w:r>
      <w:r w:rsidR="001934E9" w:rsidRPr="00552F68">
        <w:t xml:space="preserve"> the quantity and v</w:t>
      </w:r>
      <w:r w:rsidR="00A226E9" w:rsidRPr="00552F68">
        <w:t>o</w:t>
      </w:r>
      <w:r w:rsidR="001934E9" w:rsidRPr="00552F68">
        <w:t>lume weighted pr</w:t>
      </w:r>
      <w:r w:rsidR="00A226E9" w:rsidRPr="00552F68">
        <w:t>ices of products traded in the Gas Supply Hub locations at Wallumbilla and Moomba.</w:t>
      </w:r>
    </w:p>
    <w:p w:rsidR="001521CB" w:rsidRDefault="001521CB" w:rsidP="001521CB">
      <w:pPr>
        <w:pStyle w:val="Caption"/>
        <w:rPr>
          <w:color w:val="2272A3"/>
          <w:szCs w:val="24"/>
        </w:rPr>
      </w:pPr>
      <w:r w:rsidRPr="00552F68">
        <w:t xml:space="preserve">Figure </w:t>
      </w:r>
      <w:fldSimple w:instr=" SEQ Figure \* ARABIC ">
        <w:r w:rsidR="00587CFB" w:rsidRPr="00552F68">
          <w:rPr>
            <w:noProof/>
          </w:rPr>
          <w:t>4</w:t>
        </w:r>
      </w:fldSimple>
      <w:r w:rsidRPr="00552F68">
        <w:t xml:space="preserve">: </w:t>
      </w:r>
      <w:r w:rsidR="004C571B" w:rsidRPr="00552F68">
        <w:rPr>
          <w:color w:val="2272A3"/>
          <w:szCs w:val="24"/>
        </w:rPr>
        <w:t>Gas supply hub products traded</w:t>
      </w:r>
      <w:r w:rsidR="00C5766F" w:rsidRPr="00552F68">
        <w:rPr>
          <w:color w:val="2272A3"/>
          <w:szCs w:val="24"/>
        </w:rPr>
        <w:t xml:space="preserve"> for the current week</w:t>
      </w:r>
      <w:r w:rsidR="004C690D" w:rsidRPr="00552F68">
        <w:rPr>
          <w:color w:val="2272A3"/>
          <w:szCs w:val="24"/>
        </w:rPr>
        <w:t xml:space="preserve"> </w:t>
      </w:r>
      <w:r w:rsidR="00B302BF" w:rsidRPr="00552F68">
        <w:rPr>
          <w:color w:val="2272A3"/>
          <w:szCs w:val="24"/>
        </w:rPr>
        <w:t>(</w:t>
      </w:r>
      <w:r w:rsidR="004C690D" w:rsidRPr="00552F68">
        <w:rPr>
          <w:color w:val="2272A3"/>
          <w:szCs w:val="24"/>
        </w:rPr>
        <w:t>$/GJ</w:t>
      </w:r>
      <w:r w:rsidR="00B302BF" w:rsidRPr="00552F68">
        <w:rPr>
          <w:color w:val="2272A3"/>
          <w:szCs w:val="24"/>
        </w:rPr>
        <w:t>, TJ</w:t>
      </w:r>
      <w:r w:rsidR="004C690D" w:rsidRPr="00552F68">
        <w:rPr>
          <w:color w:val="2272A3"/>
          <w:szCs w:val="24"/>
        </w:rPr>
        <w:t>)</w:t>
      </w:r>
      <w:r w:rsidR="00410584" w:rsidRPr="00552F68">
        <w:rPr>
          <w:color w:val="2272A3"/>
          <w:szCs w:val="24"/>
        </w:rPr>
        <w:t>*</w:t>
      </w:r>
    </w:p>
    <w:tbl>
      <w:tblPr>
        <w:tblStyle w:val="AERTable-Text"/>
        <w:tblW w:w="4830" w:type="pct"/>
        <w:tblLayout w:type="fixed"/>
        <w:tblLook w:val="04A0" w:firstRow="1" w:lastRow="0" w:firstColumn="1" w:lastColumn="0" w:noHBand="0" w:noVBand="1"/>
      </w:tblPr>
      <w:tblGrid>
        <w:gridCol w:w="1665"/>
        <w:gridCol w:w="625"/>
        <w:gridCol w:w="795"/>
        <w:gridCol w:w="714"/>
        <w:gridCol w:w="787"/>
        <w:gridCol w:w="634"/>
        <w:gridCol w:w="789"/>
        <w:gridCol w:w="723"/>
        <w:gridCol w:w="787"/>
        <w:gridCol w:w="623"/>
        <w:gridCol w:w="786"/>
      </w:tblGrid>
      <w:tr w:rsidR="00B302BF" w:rsidRPr="002861A9" w:rsidTr="00B302BF">
        <w:trPr>
          <w:cnfStyle w:val="100000000000" w:firstRow="1" w:lastRow="0" w:firstColumn="0" w:lastColumn="0" w:oddVBand="0" w:evenVBand="0" w:oddHBand="0" w:evenHBand="0" w:firstRowFirstColumn="0" w:firstRowLastColumn="0" w:lastRowFirstColumn="0" w:lastRowLastColumn="0"/>
          <w:trHeight w:val="404"/>
          <w:tblHeader/>
        </w:trPr>
        <w:tc>
          <w:tcPr>
            <w:tcW w:w="932" w:type="pct"/>
            <w:tcBorders>
              <w:bottom w:val="nil"/>
            </w:tcBorders>
            <w:vAlign w:val="center"/>
          </w:tcPr>
          <w:p w:rsidR="00A226E9" w:rsidRPr="00E16EDC" w:rsidRDefault="00A226E9" w:rsidP="00A226E9">
            <w:pPr>
              <w:pStyle w:val="TableHeading"/>
              <w:spacing w:before="120" w:after="0" w:line="240" w:lineRule="auto"/>
              <w:jc w:val="center"/>
              <w:rPr>
                <w:rFonts w:cs="Arial"/>
                <w:sz w:val="20"/>
                <w:szCs w:val="20"/>
              </w:rPr>
            </w:pPr>
          </w:p>
        </w:tc>
        <w:tc>
          <w:tcPr>
            <w:tcW w:w="795"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RBP</w:t>
            </w:r>
          </w:p>
        </w:tc>
        <w:tc>
          <w:tcPr>
            <w:tcW w:w="841"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Pr>
                <w:rFonts w:cs="Arial"/>
                <w:bCs/>
                <w:color w:val="FFFFFF"/>
                <w:sz w:val="20"/>
                <w:szCs w:val="20"/>
              </w:rPr>
              <w:t>SWQP</w:t>
            </w:r>
          </w:p>
        </w:tc>
        <w:tc>
          <w:tcPr>
            <w:tcW w:w="797"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MAP</w:t>
            </w:r>
          </w:p>
        </w:tc>
        <w:tc>
          <w:tcPr>
            <w:tcW w:w="846"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MSP</w:t>
            </w:r>
          </w:p>
        </w:tc>
        <w:tc>
          <w:tcPr>
            <w:tcW w:w="789"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QGP</w:t>
            </w:r>
          </w:p>
        </w:tc>
      </w:tr>
      <w:tr w:rsidR="00B302BF" w:rsidRPr="002861A9" w:rsidTr="00B302BF">
        <w:trPr>
          <w:cnfStyle w:val="100000000000" w:firstRow="1" w:lastRow="0" w:firstColumn="0" w:lastColumn="0" w:oddVBand="0" w:evenVBand="0" w:oddHBand="0" w:evenHBand="0" w:firstRowFirstColumn="0" w:firstRowLastColumn="0" w:lastRowFirstColumn="0" w:lastRowLastColumn="0"/>
          <w:tblHeader/>
        </w:trPr>
        <w:tc>
          <w:tcPr>
            <w:tcW w:w="932" w:type="pct"/>
            <w:tcBorders>
              <w:bottom w:val="nil"/>
            </w:tcBorders>
            <w:vAlign w:val="center"/>
          </w:tcPr>
          <w:p w:rsidR="00B302BF" w:rsidRPr="00587CFB" w:rsidRDefault="00B302BF" w:rsidP="00A226E9">
            <w:pPr>
              <w:pStyle w:val="TableHeading"/>
              <w:jc w:val="center"/>
              <w:rPr>
                <w:rFonts w:cs="Arial"/>
                <w:sz w:val="20"/>
                <w:szCs w:val="20"/>
              </w:rPr>
            </w:pPr>
          </w:p>
        </w:tc>
        <w:tc>
          <w:tcPr>
            <w:tcW w:w="350" w:type="pct"/>
            <w:tcBorders>
              <w:bottom w:val="nil"/>
            </w:tcBorders>
            <w:vAlign w:val="center"/>
            <w:hideMark/>
          </w:tcPr>
          <w:p w:rsidR="00B302BF" w:rsidRPr="00587CFB" w:rsidRDefault="00B302BF" w:rsidP="00A226E9">
            <w:pPr>
              <w:jc w:val="center"/>
              <w:rPr>
                <w:rFonts w:cs="Arial"/>
                <w:bCs/>
                <w:color w:val="FFFFFF"/>
                <w:sz w:val="14"/>
                <w:szCs w:val="20"/>
                <w:highlight w:val="cyan"/>
              </w:rPr>
            </w:pPr>
            <w:r w:rsidRPr="00587CFB">
              <w:rPr>
                <w:rFonts w:cs="Arial"/>
                <w:bCs/>
                <w:color w:val="FFFFFF"/>
                <w:sz w:val="14"/>
                <w:szCs w:val="20"/>
              </w:rPr>
              <w:t>VWA price</w:t>
            </w:r>
          </w:p>
        </w:tc>
        <w:tc>
          <w:tcPr>
            <w:tcW w:w="445" w:type="pct"/>
            <w:tcBorders>
              <w:bottom w:val="nil"/>
            </w:tcBorders>
            <w:vAlign w:val="center"/>
            <w:hideMark/>
          </w:tcPr>
          <w:p w:rsidR="00B302BF" w:rsidRPr="00587CFB" w:rsidRDefault="00B302BF" w:rsidP="00A226E9">
            <w:pPr>
              <w:jc w:val="center"/>
              <w:rPr>
                <w:rFonts w:cs="Arial"/>
                <w:bCs/>
                <w:color w:val="FFFFFF"/>
                <w:sz w:val="14"/>
                <w:szCs w:val="20"/>
                <w:highlight w:val="cyan"/>
              </w:rPr>
            </w:pPr>
            <w:r>
              <w:rPr>
                <w:rFonts w:cs="Arial"/>
                <w:bCs/>
                <w:color w:val="FFFFFF"/>
                <w:sz w:val="14"/>
                <w:szCs w:val="20"/>
              </w:rPr>
              <w:t>Quantity</w:t>
            </w:r>
          </w:p>
        </w:tc>
        <w:tc>
          <w:tcPr>
            <w:tcW w:w="400" w:type="pct"/>
            <w:tcBorders>
              <w:bottom w:val="nil"/>
            </w:tcBorders>
            <w:vAlign w:val="center"/>
            <w:hideMark/>
          </w:tcPr>
          <w:p w:rsidR="00B302BF" w:rsidRPr="00587CFB" w:rsidRDefault="00B302BF" w:rsidP="000A4EC2">
            <w:pPr>
              <w:jc w:val="center"/>
              <w:rPr>
                <w:rFonts w:cs="Arial"/>
                <w:bCs/>
                <w:color w:val="FFFFFF"/>
                <w:sz w:val="14"/>
                <w:szCs w:val="20"/>
                <w:highlight w:val="cyan"/>
              </w:rPr>
            </w:pPr>
            <w:r w:rsidRPr="00587CFB">
              <w:rPr>
                <w:rFonts w:cs="Arial"/>
                <w:bCs/>
                <w:color w:val="FFFFFF"/>
                <w:sz w:val="14"/>
                <w:szCs w:val="20"/>
              </w:rPr>
              <w:t>VWA price</w:t>
            </w:r>
          </w:p>
        </w:tc>
        <w:tc>
          <w:tcPr>
            <w:tcW w:w="441" w:type="pct"/>
            <w:tcBorders>
              <w:bottom w:val="nil"/>
            </w:tcBorders>
            <w:vAlign w:val="center"/>
          </w:tcPr>
          <w:p w:rsidR="00B302BF" w:rsidRPr="00587CFB" w:rsidRDefault="00B302BF" w:rsidP="000A4EC2">
            <w:pPr>
              <w:jc w:val="center"/>
              <w:rPr>
                <w:rFonts w:cs="Arial"/>
                <w:bCs/>
                <w:color w:val="FFFFFF"/>
                <w:sz w:val="14"/>
                <w:szCs w:val="20"/>
                <w:highlight w:val="cyan"/>
              </w:rPr>
            </w:pPr>
            <w:r>
              <w:rPr>
                <w:rFonts w:cs="Arial"/>
                <w:bCs/>
                <w:color w:val="FFFFFF"/>
                <w:sz w:val="14"/>
                <w:szCs w:val="20"/>
              </w:rPr>
              <w:t>Quantity</w:t>
            </w:r>
          </w:p>
        </w:tc>
        <w:tc>
          <w:tcPr>
            <w:tcW w:w="355" w:type="pct"/>
            <w:tcBorders>
              <w:bottom w:val="nil"/>
            </w:tcBorders>
            <w:vAlign w:val="center"/>
          </w:tcPr>
          <w:p w:rsidR="00B302BF" w:rsidRPr="00587CFB" w:rsidRDefault="00B302BF" w:rsidP="000A4EC2">
            <w:pPr>
              <w:jc w:val="center"/>
              <w:rPr>
                <w:rFonts w:cs="Arial"/>
                <w:bCs/>
                <w:color w:val="FFFFFF"/>
                <w:sz w:val="14"/>
                <w:szCs w:val="20"/>
                <w:highlight w:val="cyan"/>
              </w:rPr>
            </w:pPr>
            <w:r w:rsidRPr="00587CFB">
              <w:rPr>
                <w:rFonts w:cs="Arial"/>
                <w:bCs/>
                <w:color w:val="FFFFFF"/>
                <w:sz w:val="14"/>
                <w:szCs w:val="20"/>
              </w:rPr>
              <w:t>VWA price</w:t>
            </w:r>
          </w:p>
        </w:tc>
        <w:tc>
          <w:tcPr>
            <w:tcW w:w="442" w:type="pct"/>
            <w:tcBorders>
              <w:bottom w:val="nil"/>
            </w:tcBorders>
            <w:vAlign w:val="center"/>
          </w:tcPr>
          <w:p w:rsidR="00B302BF" w:rsidRPr="00587CFB" w:rsidRDefault="00B302BF" w:rsidP="000A4EC2">
            <w:pPr>
              <w:jc w:val="center"/>
              <w:rPr>
                <w:rFonts w:cs="Arial"/>
                <w:bCs/>
                <w:color w:val="FFFFFF"/>
                <w:sz w:val="14"/>
                <w:szCs w:val="20"/>
                <w:highlight w:val="cyan"/>
              </w:rPr>
            </w:pPr>
            <w:r>
              <w:rPr>
                <w:rFonts w:cs="Arial"/>
                <w:bCs/>
                <w:color w:val="FFFFFF"/>
                <w:sz w:val="14"/>
                <w:szCs w:val="20"/>
              </w:rPr>
              <w:t>Quantity</w:t>
            </w:r>
          </w:p>
        </w:tc>
        <w:tc>
          <w:tcPr>
            <w:tcW w:w="405" w:type="pct"/>
            <w:tcBorders>
              <w:bottom w:val="nil"/>
            </w:tcBorders>
            <w:vAlign w:val="center"/>
          </w:tcPr>
          <w:p w:rsidR="00B302BF" w:rsidRPr="00587CFB" w:rsidRDefault="00B302BF" w:rsidP="000A4EC2">
            <w:pPr>
              <w:jc w:val="center"/>
              <w:rPr>
                <w:rFonts w:cs="Arial"/>
                <w:bCs/>
                <w:color w:val="FFFFFF"/>
                <w:sz w:val="14"/>
                <w:szCs w:val="20"/>
                <w:highlight w:val="cyan"/>
              </w:rPr>
            </w:pPr>
            <w:r w:rsidRPr="00587CFB">
              <w:rPr>
                <w:rFonts w:cs="Arial"/>
                <w:bCs/>
                <w:color w:val="FFFFFF"/>
                <w:sz w:val="14"/>
                <w:szCs w:val="20"/>
              </w:rPr>
              <w:t>VWA price</w:t>
            </w:r>
          </w:p>
        </w:tc>
        <w:tc>
          <w:tcPr>
            <w:tcW w:w="441" w:type="pct"/>
            <w:tcBorders>
              <w:bottom w:val="nil"/>
            </w:tcBorders>
            <w:vAlign w:val="center"/>
          </w:tcPr>
          <w:p w:rsidR="00B302BF" w:rsidRPr="00587CFB" w:rsidRDefault="00B302BF" w:rsidP="000A4EC2">
            <w:pPr>
              <w:jc w:val="center"/>
              <w:rPr>
                <w:rFonts w:cs="Arial"/>
                <w:bCs/>
                <w:color w:val="FFFFFF"/>
                <w:sz w:val="14"/>
                <w:szCs w:val="20"/>
                <w:highlight w:val="cyan"/>
              </w:rPr>
            </w:pPr>
            <w:r>
              <w:rPr>
                <w:rFonts w:cs="Arial"/>
                <w:bCs/>
                <w:color w:val="FFFFFF"/>
                <w:sz w:val="14"/>
                <w:szCs w:val="20"/>
              </w:rPr>
              <w:t>Quantity</w:t>
            </w:r>
          </w:p>
        </w:tc>
        <w:tc>
          <w:tcPr>
            <w:tcW w:w="349" w:type="pct"/>
            <w:tcBorders>
              <w:bottom w:val="nil"/>
            </w:tcBorders>
            <w:vAlign w:val="center"/>
          </w:tcPr>
          <w:p w:rsidR="00B302BF" w:rsidRPr="00587CFB" w:rsidRDefault="00B302BF" w:rsidP="000A4EC2">
            <w:pPr>
              <w:jc w:val="center"/>
              <w:rPr>
                <w:rFonts w:cs="Arial"/>
                <w:bCs/>
                <w:color w:val="FFFFFF"/>
                <w:sz w:val="14"/>
                <w:szCs w:val="20"/>
                <w:highlight w:val="cyan"/>
              </w:rPr>
            </w:pPr>
            <w:r w:rsidRPr="00587CFB">
              <w:rPr>
                <w:rFonts w:cs="Arial"/>
                <w:bCs/>
                <w:color w:val="FFFFFF"/>
                <w:sz w:val="14"/>
                <w:szCs w:val="20"/>
              </w:rPr>
              <w:t>VWA price</w:t>
            </w:r>
          </w:p>
        </w:tc>
        <w:tc>
          <w:tcPr>
            <w:tcW w:w="440" w:type="pct"/>
            <w:tcBorders>
              <w:bottom w:val="nil"/>
            </w:tcBorders>
            <w:vAlign w:val="center"/>
          </w:tcPr>
          <w:p w:rsidR="00B302BF" w:rsidRPr="00587CFB" w:rsidRDefault="00B302BF" w:rsidP="000A4EC2">
            <w:pPr>
              <w:jc w:val="center"/>
              <w:rPr>
                <w:rFonts w:cs="Arial"/>
                <w:bCs/>
                <w:color w:val="FFFFFF"/>
                <w:sz w:val="14"/>
                <w:szCs w:val="20"/>
                <w:highlight w:val="cyan"/>
              </w:rPr>
            </w:pPr>
            <w:r>
              <w:rPr>
                <w:rFonts w:cs="Arial"/>
                <w:bCs/>
                <w:color w:val="FFFFFF"/>
                <w:sz w:val="14"/>
                <w:szCs w:val="20"/>
              </w:rPr>
              <w:t>Quantity</w:t>
            </w:r>
          </w:p>
        </w:tc>
      </w:tr>
      <w:tr w:rsidR="000E564F" w:rsidRPr="006A7228" w:rsidTr="00B302BF">
        <w:trPr>
          <w:trHeight w:val="510"/>
        </w:trPr>
        <w:tc>
          <w:tcPr>
            <w:tcW w:w="932" w:type="pct"/>
            <w:tcBorders>
              <w:top w:val="nil"/>
              <w:bottom w:val="nil"/>
            </w:tcBorders>
            <w:vAlign w:val="center"/>
          </w:tcPr>
          <w:p w:rsidR="000E564F" w:rsidRDefault="000E564F">
            <w:pPr>
              <w:rPr>
                <w:rFonts w:cs="Arial"/>
                <w:b/>
                <w:bCs/>
                <w:sz w:val="20"/>
                <w:szCs w:val="20"/>
              </w:rPr>
            </w:pPr>
            <w:r>
              <w:rPr>
                <w:rFonts w:cs="Arial"/>
                <w:b/>
                <w:bCs/>
                <w:sz w:val="20"/>
                <w:szCs w:val="20"/>
              </w:rPr>
              <w:t>Balance of day</w:t>
            </w:r>
          </w:p>
        </w:tc>
        <w:tc>
          <w:tcPr>
            <w:tcW w:w="350" w:type="pct"/>
            <w:tcBorders>
              <w:top w:val="nil"/>
              <w:bottom w:val="nil"/>
            </w:tcBorders>
            <w:vAlign w:val="center"/>
          </w:tcPr>
          <w:p w:rsidR="000E564F" w:rsidRDefault="000E564F" w:rsidP="00871EFD">
            <w:pPr>
              <w:ind w:left="-105" w:right="-53"/>
              <w:jc w:val="center"/>
              <w:rPr>
                <w:rFonts w:cs="Arial"/>
                <w:sz w:val="20"/>
                <w:szCs w:val="20"/>
              </w:rPr>
            </w:pPr>
            <w:r>
              <w:rPr>
                <w:rFonts w:cs="Arial"/>
                <w:sz w:val="20"/>
                <w:szCs w:val="20"/>
              </w:rPr>
              <w:t>10.00</w:t>
            </w:r>
          </w:p>
        </w:tc>
        <w:tc>
          <w:tcPr>
            <w:tcW w:w="445" w:type="pct"/>
            <w:tcBorders>
              <w:top w:val="nil"/>
              <w:bottom w:val="nil"/>
            </w:tcBorders>
            <w:vAlign w:val="center"/>
          </w:tcPr>
          <w:p w:rsidR="000E564F" w:rsidRDefault="000E564F" w:rsidP="00871EFD">
            <w:pPr>
              <w:ind w:left="-105" w:right="-53"/>
              <w:jc w:val="center"/>
              <w:rPr>
                <w:rFonts w:cs="Arial"/>
                <w:sz w:val="20"/>
                <w:szCs w:val="20"/>
              </w:rPr>
            </w:pPr>
            <w:r>
              <w:rPr>
                <w:rFonts w:cs="Arial"/>
                <w:sz w:val="20"/>
                <w:szCs w:val="20"/>
              </w:rPr>
              <w:t>2.3</w:t>
            </w:r>
          </w:p>
        </w:tc>
        <w:tc>
          <w:tcPr>
            <w:tcW w:w="400" w:type="pct"/>
            <w:tcBorders>
              <w:top w:val="nil"/>
              <w:bottom w:val="nil"/>
            </w:tcBorders>
            <w:vAlign w:val="center"/>
          </w:tcPr>
          <w:p w:rsidR="000E564F" w:rsidRDefault="000E564F" w:rsidP="00871EFD">
            <w:pPr>
              <w:ind w:left="-105" w:right="-53"/>
              <w:jc w:val="center"/>
              <w:rPr>
                <w:rFonts w:cs="Arial"/>
                <w:sz w:val="20"/>
                <w:szCs w:val="20"/>
              </w:rPr>
            </w:pPr>
            <w:r>
              <w:rPr>
                <w:rFonts w:cs="Arial"/>
                <w:sz w:val="20"/>
                <w:szCs w:val="20"/>
              </w:rPr>
              <w:t>16.50</w:t>
            </w:r>
          </w:p>
        </w:tc>
        <w:tc>
          <w:tcPr>
            <w:tcW w:w="441" w:type="pct"/>
            <w:tcBorders>
              <w:top w:val="nil"/>
              <w:bottom w:val="nil"/>
            </w:tcBorders>
            <w:vAlign w:val="center"/>
          </w:tcPr>
          <w:p w:rsidR="000E564F" w:rsidRDefault="000E564F" w:rsidP="00871EFD">
            <w:pPr>
              <w:ind w:left="-105" w:right="-53"/>
              <w:jc w:val="center"/>
              <w:rPr>
                <w:rFonts w:cs="Arial"/>
                <w:sz w:val="20"/>
                <w:szCs w:val="20"/>
              </w:rPr>
            </w:pPr>
            <w:r>
              <w:rPr>
                <w:rFonts w:cs="Arial"/>
                <w:sz w:val="20"/>
                <w:szCs w:val="20"/>
              </w:rPr>
              <w:t>2.1</w:t>
            </w:r>
          </w:p>
        </w:tc>
        <w:tc>
          <w:tcPr>
            <w:tcW w:w="355" w:type="pct"/>
            <w:tcBorders>
              <w:top w:val="nil"/>
              <w:bottom w:val="nil"/>
            </w:tcBorders>
            <w:vAlign w:val="center"/>
          </w:tcPr>
          <w:p w:rsidR="000E564F" w:rsidRDefault="000E564F" w:rsidP="00871EFD">
            <w:pPr>
              <w:ind w:left="-105" w:right="-53"/>
              <w:jc w:val="center"/>
              <w:rPr>
                <w:rFonts w:cs="Arial"/>
                <w:sz w:val="20"/>
                <w:szCs w:val="20"/>
              </w:rPr>
            </w:pPr>
            <w:r>
              <w:rPr>
                <w:rFonts w:cs="Arial"/>
                <w:sz w:val="20"/>
                <w:szCs w:val="20"/>
              </w:rPr>
              <w:t>-</w:t>
            </w:r>
          </w:p>
        </w:tc>
        <w:tc>
          <w:tcPr>
            <w:tcW w:w="442" w:type="pct"/>
            <w:tcBorders>
              <w:top w:val="nil"/>
              <w:bottom w:val="nil"/>
            </w:tcBorders>
            <w:vAlign w:val="center"/>
          </w:tcPr>
          <w:p w:rsidR="000E564F" w:rsidRDefault="000E564F" w:rsidP="00871EFD">
            <w:pPr>
              <w:ind w:left="-105" w:right="-53"/>
              <w:jc w:val="center"/>
              <w:rPr>
                <w:rFonts w:cs="Arial"/>
                <w:sz w:val="20"/>
                <w:szCs w:val="20"/>
              </w:rPr>
            </w:pPr>
            <w:r>
              <w:rPr>
                <w:rFonts w:cs="Arial"/>
                <w:sz w:val="20"/>
                <w:szCs w:val="20"/>
              </w:rPr>
              <w:t>-</w:t>
            </w:r>
          </w:p>
        </w:tc>
        <w:tc>
          <w:tcPr>
            <w:tcW w:w="405" w:type="pct"/>
            <w:tcBorders>
              <w:top w:val="nil"/>
              <w:bottom w:val="nil"/>
            </w:tcBorders>
            <w:vAlign w:val="center"/>
          </w:tcPr>
          <w:p w:rsidR="000E564F" w:rsidRDefault="000E564F" w:rsidP="00871EFD">
            <w:pPr>
              <w:ind w:left="-105" w:right="-53"/>
              <w:jc w:val="center"/>
              <w:rPr>
                <w:rFonts w:cs="Arial"/>
                <w:sz w:val="20"/>
                <w:szCs w:val="20"/>
              </w:rPr>
            </w:pPr>
            <w:r>
              <w:rPr>
                <w:rFonts w:cs="Arial"/>
                <w:sz w:val="20"/>
                <w:szCs w:val="20"/>
              </w:rPr>
              <w:t>-</w:t>
            </w:r>
          </w:p>
        </w:tc>
        <w:tc>
          <w:tcPr>
            <w:tcW w:w="441" w:type="pct"/>
            <w:tcBorders>
              <w:top w:val="nil"/>
              <w:bottom w:val="nil"/>
            </w:tcBorders>
            <w:vAlign w:val="center"/>
          </w:tcPr>
          <w:p w:rsidR="000E564F" w:rsidRDefault="000E564F" w:rsidP="00871EFD">
            <w:pPr>
              <w:ind w:left="-105" w:right="-53"/>
              <w:jc w:val="center"/>
              <w:rPr>
                <w:rFonts w:cs="Arial"/>
                <w:sz w:val="20"/>
                <w:szCs w:val="20"/>
              </w:rPr>
            </w:pPr>
            <w:r>
              <w:rPr>
                <w:rFonts w:cs="Arial"/>
                <w:sz w:val="20"/>
                <w:szCs w:val="20"/>
              </w:rPr>
              <w:t>-</w:t>
            </w:r>
          </w:p>
        </w:tc>
        <w:tc>
          <w:tcPr>
            <w:tcW w:w="349" w:type="pct"/>
            <w:tcBorders>
              <w:top w:val="nil"/>
              <w:bottom w:val="nil"/>
            </w:tcBorders>
            <w:vAlign w:val="center"/>
          </w:tcPr>
          <w:p w:rsidR="000E564F" w:rsidRDefault="000E564F" w:rsidP="00871EFD">
            <w:pPr>
              <w:ind w:left="-105" w:right="-53"/>
              <w:jc w:val="center"/>
              <w:rPr>
                <w:rFonts w:cs="Arial"/>
                <w:sz w:val="20"/>
                <w:szCs w:val="20"/>
              </w:rPr>
            </w:pPr>
            <w:r>
              <w:rPr>
                <w:rFonts w:cs="Arial"/>
                <w:sz w:val="20"/>
                <w:szCs w:val="20"/>
              </w:rPr>
              <w:t>-</w:t>
            </w:r>
          </w:p>
        </w:tc>
        <w:tc>
          <w:tcPr>
            <w:tcW w:w="440" w:type="pct"/>
            <w:tcBorders>
              <w:top w:val="nil"/>
              <w:bottom w:val="nil"/>
            </w:tcBorders>
            <w:vAlign w:val="center"/>
          </w:tcPr>
          <w:p w:rsidR="000E564F" w:rsidRDefault="000E564F" w:rsidP="00871EFD">
            <w:pPr>
              <w:ind w:left="-105" w:right="-53"/>
              <w:jc w:val="center"/>
              <w:rPr>
                <w:rFonts w:cs="Arial"/>
                <w:sz w:val="20"/>
                <w:szCs w:val="20"/>
              </w:rPr>
            </w:pPr>
            <w:r>
              <w:rPr>
                <w:rFonts w:cs="Arial"/>
                <w:sz w:val="20"/>
                <w:szCs w:val="20"/>
              </w:rPr>
              <w:t>-</w:t>
            </w:r>
          </w:p>
        </w:tc>
      </w:tr>
      <w:tr w:rsidR="000E564F" w:rsidRPr="006A7228" w:rsidTr="00B302BF">
        <w:trPr>
          <w:cnfStyle w:val="000000010000" w:firstRow="0" w:lastRow="0" w:firstColumn="0" w:lastColumn="0" w:oddVBand="0" w:evenVBand="0" w:oddHBand="0" w:evenHBand="1" w:firstRowFirstColumn="0" w:firstRowLastColumn="0" w:lastRowFirstColumn="0" w:lastRowLastColumn="0"/>
          <w:trHeight w:val="510"/>
        </w:trPr>
        <w:tc>
          <w:tcPr>
            <w:tcW w:w="932" w:type="pct"/>
            <w:tcBorders>
              <w:top w:val="nil"/>
              <w:bottom w:val="nil"/>
            </w:tcBorders>
            <w:vAlign w:val="center"/>
          </w:tcPr>
          <w:p w:rsidR="000E564F" w:rsidRDefault="000E564F">
            <w:pPr>
              <w:rPr>
                <w:rFonts w:cs="Arial"/>
                <w:b/>
                <w:bCs/>
                <w:szCs w:val="20"/>
              </w:rPr>
            </w:pPr>
            <w:r>
              <w:rPr>
                <w:rFonts w:cs="Arial"/>
                <w:b/>
                <w:bCs/>
                <w:szCs w:val="20"/>
              </w:rPr>
              <w:lastRenderedPageBreak/>
              <w:t>Daily</w:t>
            </w:r>
          </w:p>
        </w:tc>
        <w:tc>
          <w:tcPr>
            <w:tcW w:w="350" w:type="pct"/>
            <w:tcBorders>
              <w:top w:val="nil"/>
              <w:bottom w:val="nil"/>
            </w:tcBorders>
            <w:vAlign w:val="center"/>
          </w:tcPr>
          <w:p w:rsidR="000E564F" w:rsidRDefault="000E564F" w:rsidP="00871EFD">
            <w:pPr>
              <w:ind w:left="-105" w:right="-53"/>
              <w:jc w:val="center"/>
              <w:rPr>
                <w:rFonts w:cs="Arial"/>
                <w:szCs w:val="20"/>
              </w:rPr>
            </w:pPr>
            <w:r>
              <w:rPr>
                <w:rFonts w:cs="Arial"/>
                <w:szCs w:val="20"/>
              </w:rPr>
              <w:t>11.68</w:t>
            </w:r>
          </w:p>
        </w:tc>
        <w:tc>
          <w:tcPr>
            <w:tcW w:w="445" w:type="pct"/>
            <w:tcBorders>
              <w:top w:val="nil"/>
              <w:bottom w:val="nil"/>
            </w:tcBorders>
            <w:vAlign w:val="center"/>
          </w:tcPr>
          <w:p w:rsidR="000E564F" w:rsidRDefault="000E564F" w:rsidP="00871EFD">
            <w:pPr>
              <w:ind w:left="-105" w:right="-53"/>
              <w:jc w:val="center"/>
              <w:rPr>
                <w:rFonts w:cs="Arial"/>
                <w:szCs w:val="20"/>
              </w:rPr>
            </w:pPr>
            <w:r>
              <w:rPr>
                <w:rFonts w:cs="Arial"/>
                <w:szCs w:val="20"/>
              </w:rPr>
              <w:t>6.0</w:t>
            </w:r>
          </w:p>
        </w:tc>
        <w:tc>
          <w:tcPr>
            <w:tcW w:w="400" w:type="pct"/>
            <w:tcBorders>
              <w:top w:val="nil"/>
              <w:bottom w:val="nil"/>
            </w:tcBorders>
            <w:vAlign w:val="center"/>
          </w:tcPr>
          <w:p w:rsidR="000E564F" w:rsidRDefault="000E564F" w:rsidP="00871EFD">
            <w:pPr>
              <w:ind w:left="-105" w:right="-53"/>
              <w:jc w:val="center"/>
              <w:rPr>
                <w:rFonts w:cs="Arial"/>
                <w:szCs w:val="20"/>
              </w:rPr>
            </w:pPr>
            <w:r>
              <w:rPr>
                <w:rFonts w:cs="Arial"/>
                <w:szCs w:val="20"/>
              </w:rPr>
              <w:t>-</w:t>
            </w:r>
          </w:p>
        </w:tc>
        <w:tc>
          <w:tcPr>
            <w:tcW w:w="441" w:type="pct"/>
            <w:tcBorders>
              <w:top w:val="nil"/>
              <w:bottom w:val="nil"/>
            </w:tcBorders>
            <w:vAlign w:val="center"/>
          </w:tcPr>
          <w:p w:rsidR="000E564F" w:rsidRDefault="000E564F" w:rsidP="00871EFD">
            <w:pPr>
              <w:ind w:left="-105" w:right="-53"/>
              <w:jc w:val="center"/>
              <w:rPr>
                <w:rFonts w:cs="Arial"/>
                <w:szCs w:val="20"/>
              </w:rPr>
            </w:pPr>
            <w:r>
              <w:rPr>
                <w:rFonts w:cs="Arial"/>
                <w:szCs w:val="20"/>
              </w:rPr>
              <w:t>-</w:t>
            </w:r>
          </w:p>
        </w:tc>
        <w:tc>
          <w:tcPr>
            <w:tcW w:w="355" w:type="pct"/>
            <w:tcBorders>
              <w:top w:val="nil"/>
              <w:bottom w:val="nil"/>
            </w:tcBorders>
            <w:vAlign w:val="center"/>
          </w:tcPr>
          <w:p w:rsidR="000E564F" w:rsidRDefault="000E564F" w:rsidP="00871EFD">
            <w:pPr>
              <w:ind w:left="-105" w:right="-53"/>
              <w:jc w:val="center"/>
              <w:rPr>
                <w:rFonts w:cs="Arial"/>
                <w:szCs w:val="20"/>
              </w:rPr>
            </w:pPr>
            <w:r>
              <w:rPr>
                <w:rFonts w:cs="Arial"/>
                <w:szCs w:val="20"/>
              </w:rPr>
              <w:t>-</w:t>
            </w:r>
          </w:p>
        </w:tc>
        <w:tc>
          <w:tcPr>
            <w:tcW w:w="442" w:type="pct"/>
            <w:tcBorders>
              <w:top w:val="nil"/>
              <w:bottom w:val="nil"/>
            </w:tcBorders>
            <w:vAlign w:val="center"/>
          </w:tcPr>
          <w:p w:rsidR="000E564F" w:rsidRDefault="000E564F" w:rsidP="00871EFD">
            <w:pPr>
              <w:ind w:left="-105" w:right="-53"/>
              <w:jc w:val="center"/>
              <w:rPr>
                <w:rFonts w:cs="Arial"/>
                <w:szCs w:val="20"/>
              </w:rPr>
            </w:pPr>
            <w:r>
              <w:rPr>
                <w:rFonts w:cs="Arial"/>
                <w:szCs w:val="20"/>
              </w:rPr>
              <w:t>-</w:t>
            </w:r>
          </w:p>
        </w:tc>
        <w:tc>
          <w:tcPr>
            <w:tcW w:w="405" w:type="pct"/>
            <w:tcBorders>
              <w:top w:val="nil"/>
              <w:bottom w:val="nil"/>
            </w:tcBorders>
            <w:vAlign w:val="center"/>
          </w:tcPr>
          <w:p w:rsidR="000E564F" w:rsidRDefault="000E564F" w:rsidP="00871EFD">
            <w:pPr>
              <w:ind w:left="-105" w:right="-53"/>
              <w:jc w:val="center"/>
              <w:rPr>
                <w:rFonts w:cs="Arial"/>
                <w:szCs w:val="20"/>
              </w:rPr>
            </w:pPr>
            <w:r>
              <w:rPr>
                <w:rFonts w:cs="Arial"/>
                <w:szCs w:val="20"/>
              </w:rPr>
              <w:t>-</w:t>
            </w:r>
          </w:p>
        </w:tc>
        <w:tc>
          <w:tcPr>
            <w:tcW w:w="441" w:type="pct"/>
            <w:tcBorders>
              <w:top w:val="nil"/>
              <w:bottom w:val="nil"/>
            </w:tcBorders>
            <w:vAlign w:val="center"/>
          </w:tcPr>
          <w:p w:rsidR="000E564F" w:rsidRDefault="000E564F" w:rsidP="00871EFD">
            <w:pPr>
              <w:ind w:left="-105" w:right="-53"/>
              <w:jc w:val="center"/>
              <w:rPr>
                <w:rFonts w:cs="Arial"/>
                <w:szCs w:val="20"/>
              </w:rPr>
            </w:pPr>
            <w:r>
              <w:rPr>
                <w:rFonts w:cs="Arial"/>
                <w:szCs w:val="20"/>
              </w:rPr>
              <w:t>-</w:t>
            </w:r>
          </w:p>
        </w:tc>
        <w:tc>
          <w:tcPr>
            <w:tcW w:w="349" w:type="pct"/>
            <w:tcBorders>
              <w:top w:val="nil"/>
              <w:bottom w:val="nil"/>
            </w:tcBorders>
            <w:vAlign w:val="center"/>
          </w:tcPr>
          <w:p w:rsidR="000E564F" w:rsidRDefault="000E564F" w:rsidP="00871EFD">
            <w:pPr>
              <w:ind w:left="-105" w:right="-53"/>
              <w:jc w:val="center"/>
              <w:rPr>
                <w:rFonts w:cs="Arial"/>
                <w:szCs w:val="20"/>
              </w:rPr>
            </w:pPr>
            <w:r>
              <w:rPr>
                <w:rFonts w:cs="Arial"/>
                <w:szCs w:val="20"/>
              </w:rPr>
              <w:t>-</w:t>
            </w:r>
          </w:p>
        </w:tc>
        <w:tc>
          <w:tcPr>
            <w:tcW w:w="440" w:type="pct"/>
            <w:tcBorders>
              <w:top w:val="nil"/>
              <w:bottom w:val="nil"/>
            </w:tcBorders>
            <w:vAlign w:val="center"/>
          </w:tcPr>
          <w:p w:rsidR="000E564F" w:rsidRDefault="000E564F" w:rsidP="00871EFD">
            <w:pPr>
              <w:ind w:left="-105" w:right="-53"/>
              <w:jc w:val="center"/>
              <w:rPr>
                <w:rFonts w:cs="Arial"/>
                <w:szCs w:val="20"/>
              </w:rPr>
            </w:pPr>
            <w:r>
              <w:rPr>
                <w:rFonts w:cs="Arial"/>
                <w:szCs w:val="20"/>
              </w:rPr>
              <w:t>-</w:t>
            </w:r>
          </w:p>
        </w:tc>
      </w:tr>
      <w:tr w:rsidR="000E564F" w:rsidRPr="006A7228" w:rsidTr="00B302BF">
        <w:trPr>
          <w:trHeight w:val="510"/>
        </w:trPr>
        <w:tc>
          <w:tcPr>
            <w:tcW w:w="932" w:type="pct"/>
            <w:tcBorders>
              <w:top w:val="nil"/>
              <w:bottom w:val="nil"/>
            </w:tcBorders>
            <w:vAlign w:val="center"/>
          </w:tcPr>
          <w:p w:rsidR="000E564F" w:rsidRDefault="000E564F">
            <w:pPr>
              <w:rPr>
                <w:rFonts w:cs="Arial"/>
                <w:b/>
                <w:bCs/>
                <w:sz w:val="20"/>
                <w:szCs w:val="20"/>
              </w:rPr>
            </w:pPr>
            <w:r>
              <w:rPr>
                <w:rFonts w:cs="Arial"/>
                <w:b/>
                <w:bCs/>
                <w:sz w:val="20"/>
                <w:szCs w:val="20"/>
              </w:rPr>
              <w:t>Day ahead</w:t>
            </w:r>
          </w:p>
        </w:tc>
        <w:tc>
          <w:tcPr>
            <w:tcW w:w="350" w:type="pct"/>
            <w:tcBorders>
              <w:top w:val="nil"/>
              <w:bottom w:val="nil"/>
            </w:tcBorders>
            <w:vAlign w:val="center"/>
          </w:tcPr>
          <w:p w:rsidR="000E564F" w:rsidRDefault="000E564F" w:rsidP="00871EFD">
            <w:pPr>
              <w:ind w:left="-105" w:right="-53"/>
              <w:jc w:val="center"/>
              <w:rPr>
                <w:rFonts w:cs="Arial"/>
                <w:sz w:val="20"/>
                <w:szCs w:val="20"/>
              </w:rPr>
            </w:pPr>
            <w:r>
              <w:rPr>
                <w:rFonts w:cs="Arial"/>
                <w:sz w:val="20"/>
                <w:szCs w:val="20"/>
              </w:rPr>
              <w:t>9.50</w:t>
            </w:r>
          </w:p>
        </w:tc>
        <w:tc>
          <w:tcPr>
            <w:tcW w:w="445" w:type="pct"/>
            <w:tcBorders>
              <w:top w:val="nil"/>
              <w:bottom w:val="nil"/>
            </w:tcBorders>
            <w:vAlign w:val="center"/>
          </w:tcPr>
          <w:p w:rsidR="000E564F" w:rsidRDefault="000E564F" w:rsidP="00871EFD">
            <w:pPr>
              <w:ind w:left="-105" w:right="-53"/>
              <w:jc w:val="center"/>
              <w:rPr>
                <w:rFonts w:cs="Arial"/>
                <w:sz w:val="20"/>
                <w:szCs w:val="20"/>
              </w:rPr>
            </w:pPr>
            <w:r>
              <w:rPr>
                <w:rFonts w:cs="Arial"/>
                <w:sz w:val="20"/>
                <w:szCs w:val="20"/>
              </w:rPr>
              <w:t>3.0</w:t>
            </w:r>
          </w:p>
        </w:tc>
        <w:tc>
          <w:tcPr>
            <w:tcW w:w="400" w:type="pct"/>
            <w:tcBorders>
              <w:top w:val="nil"/>
              <w:bottom w:val="nil"/>
            </w:tcBorders>
            <w:vAlign w:val="center"/>
          </w:tcPr>
          <w:p w:rsidR="000E564F" w:rsidRDefault="000E564F" w:rsidP="00871EFD">
            <w:pPr>
              <w:ind w:left="-105" w:right="-53"/>
              <w:jc w:val="center"/>
              <w:rPr>
                <w:rFonts w:cs="Arial"/>
                <w:sz w:val="20"/>
                <w:szCs w:val="20"/>
              </w:rPr>
            </w:pPr>
            <w:r>
              <w:rPr>
                <w:rFonts w:cs="Arial"/>
                <w:sz w:val="20"/>
                <w:szCs w:val="20"/>
              </w:rPr>
              <w:t>14.50</w:t>
            </w:r>
          </w:p>
        </w:tc>
        <w:tc>
          <w:tcPr>
            <w:tcW w:w="441" w:type="pct"/>
            <w:tcBorders>
              <w:top w:val="nil"/>
              <w:bottom w:val="nil"/>
            </w:tcBorders>
            <w:vAlign w:val="center"/>
          </w:tcPr>
          <w:p w:rsidR="000E564F" w:rsidRDefault="000E564F" w:rsidP="00871EFD">
            <w:pPr>
              <w:ind w:left="-105" w:right="-53"/>
              <w:jc w:val="center"/>
              <w:rPr>
                <w:rFonts w:cs="Arial"/>
                <w:sz w:val="20"/>
                <w:szCs w:val="20"/>
              </w:rPr>
            </w:pPr>
            <w:r>
              <w:rPr>
                <w:rFonts w:cs="Arial"/>
                <w:sz w:val="20"/>
                <w:szCs w:val="20"/>
              </w:rPr>
              <w:t>5.0</w:t>
            </w:r>
          </w:p>
        </w:tc>
        <w:tc>
          <w:tcPr>
            <w:tcW w:w="355" w:type="pct"/>
            <w:tcBorders>
              <w:top w:val="nil"/>
              <w:bottom w:val="nil"/>
            </w:tcBorders>
            <w:vAlign w:val="center"/>
          </w:tcPr>
          <w:p w:rsidR="000E564F" w:rsidRDefault="000E564F" w:rsidP="00871EFD">
            <w:pPr>
              <w:ind w:left="-105" w:right="-53"/>
              <w:jc w:val="center"/>
              <w:rPr>
                <w:rFonts w:cs="Arial"/>
                <w:sz w:val="20"/>
                <w:szCs w:val="20"/>
              </w:rPr>
            </w:pPr>
            <w:r>
              <w:rPr>
                <w:rFonts w:cs="Arial"/>
                <w:sz w:val="20"/>
                <w:szCs w:val="20"/>
              </w:rPr>
              <w:t>-</w:t>
            </w:r>
          </w:p>
        </w:tc>
        <w:tc>
          <w:tcPr>
            <w:tcW w:w="442" w:type="pct"/>
            <w:tcBorders>
              <w:top w:val="nil"/>
              <w:bottom w:val="nil"/>
            </w:tcBorders>
            <w:vAlign w:val="center"/>
          </w:tcPr>
          <w:p w:rsidR="000E564F" w:rsidRDefault="000E564F" w:rsidP="00871EFD">
            <w:pPr>
              <w:ind w:left="-105" w:right="-53"/>
              <w:jc w:val="center"/>
              <w:rPr>
                <w:rFonts w:cs="Arial"/>
                <w:sz w:val="20"/>
                <w:szCs w:val="20"/>
              </w:rPr>
            </w:pPr>
            <w:r>
              <w:rPr>
                <w:rFonts w:cs="Arial"/>
                <w:sz w:val="20"/>
                <w:szCs w:val="20"/>
              </w:rPr>
              <w:t>-</w:t>
            </w:r>
          </w:p>
        </w:tc>
        <w:tc>
          <w:tcPr>
            <w:tcW w:w="405" w:type="pct"/>
            <w:tcBorders>
              <w:top w:val="nil"/>
              <w:bottom w:val="nil"/>
            </w:tcBorders>
            <w:vAlign w:val="center"/>
          </w:tcPr>
          <w:p w:rsidR="000E564F" w:rsidRDefault="000E564F" w:rsidP="00871EFD">
            <w:pPr>
              <w:ind w:left="-105" w:right="-53"/>
              <w:jc w:val="center"/>
              <w:rPr>
                <w:rFonts w:cs="Arial"/>
                <w:sz w:val="20"/>
                <w:szCs w:val="20"/>
              </w:rPr>
            </w:pPr>
            <w:r>
              <w:rPr>
                <w:rFonts w:cs="Arial"/>
                <w:sz w:val="20"/>
                <w:szCs w:val="20"/>
              </w:rPr>
              <w:t>-</w:t>
            </w:r>
          </w:p>
        </w:tc>
        <w:tc>
          <w:tcPr>
            <w:tcW w:w="441" w:type="pct"/>
            <w:tcBorders>
              <w:top w:val="nil"/>
              <w:bottom w:val="nil"/>
            </w:tcBorders>
            <w:vAlign w:val="center"/>
          </w:tcPr>
          <w:p w:rsidR="000E564F" w:rsidRDefault="000E564F" w:rsidP="00871EFD">
            <w:pPr>
              <w:ind w:left="-105" w:right="-53"/>
              <w:jc w:val="center"/>
              <w:rPr>
                <w:rFonts w:cs="Arial"/>
                <w:sz w:val="20"/>
                <w:szCs w:val="20"/>
              </w:rPr>
            </w:pPr>
            <w:r>
              <w:rPr>
                <w:rFonts w:cs="Arial"/>
                <w:sz w:val="20"/>
                <w:szCs w:val="20"/>
              </w:rPr>
              <w:t>-</w:t>
            </w:r>
          </w:p>
        </w:tc>
        <w:tc>
          <w:tcPr>
            <w:tcW w:w="349" w:type="pct"/>
            <w:tcBorders>
              <w:top w:val="nil"/>
              <w:bottom w:val="nil"/>
            </w:tcBorders>
            <w:vAlign w:val="center"/>
          </w:tcPr>
          <w:p w:rsidR="000E564F" w:rsidRDefault="000E564F" w:rsidP="00871EFD">
            <w:pPr>
              <w:ind w:left="-105" w:right="-53"/>
              <w:jc w:val="center"/>
              <w:rPr>
                <w:rFonts w:cs="Arial"/>
                <w:sz w:val="20"/>
                <w:szCs w:val="20"/>
              </w:rPr>
            </w:pPr>
            <w:r>
              <w:rPr>
                <w:rFonts w:cs="Arial"/>
                <w:sz w:val="20"/>
                <w:szCs w:val="20"/>
              </w:rPr>
              <w:t>-</w:t>
            </w:r>
          </w:p>
        </w:tc>
        <w:tc>
          <w:tcPr>
            <w:tcW w:w="440" w:type="pct"/>
            <w:tcBorders>
              <w:top w:val="nil"/>
              <w:bottom w:val="nil"/>
            </w:tcBorders>
            <w:vAlign w:val="center"/>
          </w:tcPr>
          <w:p w:rsidR="000E564F" w:rsidRDefault="000E564F" w:rsidP="00871EFD">
            <w:pPr>
              <w:ind w:left="-105" w:right="-53"/>
              <w:jc w:val="center"/>
              <w:rPr>
                <w:rFonts w:cs="Arial"/>
                <w:sz w:val="20"/>
                <w:szCs w:val="20"/>
              </w:rPr>
            </w:pPr>
            <w:r>
              <w:rPr>
                <w:rFonts w:cs="Arial"/>
                <w:sz w:val="20"/>
                <w:szCs w:val="20"/>
              </w:rPr>
              <w:t>-</w:t>
            </w:r>
          </w:p>
        </w:tc>
      </w:tr>
      <w:tr w:rsidR="000E564F" w:rsidRPr="006A7228" w:rsidTr="00B302BF">
        <w:trPr>
          <w:cnfStyle w:val="000000010000" w:firstRow="0" w:lastRow="0" w:firstColumn="0" w:lastColumn="0" w:oddVBand="0" w:evenVBand="0" w:oddHBand="0" w:evenHBand="1" w:firstRowFirstColumn="0" w:firstRowLastColumn="0" w:lastRowFirstColumn="0" w:lastRowLastColumn="0"/>
          <w:trHeight w:val="510"/>
        </w:trPr>
        <w:tc>
          <w:tcPr>
            <w:tcW w:w="932" w:type="pct"/>
            <w:tcBorders>
              <w:top w:val="nil"/>
              <w:bottom w:val="nil"/>
            </w:tcBorders>
            <w:vAlign w:val="center"/>
          </w:tcPr>
          <w:p w:rsidR="000E564F" w:rsidRDefault="000E564F">
            <w:pPr>
              <w:rPr>
                <w:rFonts w:cs="Arial"/>
                <w:b/>
                <w:bCs/>
                <w:szCs w:val="20"/>
              </w:rPr>
            </w:pPr>
            <w:r>
              <w:rPr>
                <w:rFonts w:cs="Arial"/>
                <w:b/>
                <w:bCs/>
                <w:szCs w:val="20"/>
              </w:rPr>
              <w:t>Weekly</w:t>
            </w:r>
          </w:p>
        </w:tc>
        <w:tc>
          <w:tcPr>
            <w:tcW w:w="350" w:type="pct"/>
            <w:tcBorders>
              <w:top w:val="nil"/>
              <w:bottom w:val="nil"/>
            </w:tcBorders>
            <w:vAlign w:val="center"/>
          </w:tcPr>
          <w:p w:rsidR="000E564F" w:rsidRDefault="000E564F" w:rsidP="00871EFD">
            <w:pPr>
              <w:ind w:left="-105" w:right="-53"/>
              <w:jc w:val="center"/>
              <w:rPr>
                <w:rFonts w:cs="Arial"/>
                <w:szCs w:val="20"/>
              </w:rPr>
            </w:pPr>
            <w:r>
              <w:rPr>
                <w:rFonts w:cs="Arial"/>
                <w:szCs w:val="20"/>
              </w:rPr>
              <w:t>-</w:t>
            </w:r>
          </w:p>
        </w:tc>
        <w:tc>
          <w:tcPr>
            <w:tcW w:w="445" w:type="pct"/>
            <w:tcBorders>
              <w:top w:val="nil"/>
              <w:bottom w:val="nil"/>
            </w:tcBorders>
            <w:vAlign w:val="center"/>
          </w:tcPr>
          <w:p w:rsidR="000E564F" w:rsidRDefault="000E564F" w:rsidP="00871EFD">
            <w:pPr>
              <w:ind w:left="-105" w:right="-53"/>
              <w:jc w:val="center"/>
              <w:rPr>
                <w:rFonts w:cs="Arial"/>
                <w:szCs w:val="20"/>
              </w:rPr>
            </w:pPr>
            <w:r>
              <w:rPr>
                <w:rFonts w:cs="Arial"/>
                <w:szCs w:val="20"/>
              </w:rPr>
              <w:t>-</w:t>
            </w:r>
          </w:p>
        </w:tc>
        <w:tc>
          <w:tcPr>
            <w:tcW w:w="400" w:type="pct"/>
            <w:tcBorders>
              <w:top w:val="nil"/>
              <w:bottom w:val="nil"/>
            </w:tcBorders>
            <w:vAlign w:val="center"/>
          </w:tcPr>
          <w:p w:rsidR="000E564F" w:rsidRDefault="000E564F" w:rsidP="00871EFD">
            <w:pPr>
              <w:ind w:left="-105" w:right="-53"/>
              <w:jc w:val="center"/>
              <w:rPr>
                <w:rFonts w:cs="Arial"/>
                <w:szCs w:val="20"/>
              </w:rPr>
            </w:pPr>
            <w:r>
              <w:rPr>
                <w:rFonts w:cs="Arial"/>
                <w:szCs w:val="20"/>
              </w:rPr>
              <w:t>-</w:t>
            </w:r>
          </w:p>
        </w:tc>
        <w:tc>
          <w:tcPr>
            <w:tcW w:w="441" w:type="pct"/>
            <w:tcBorders>
              <w:top w:val="nil"/>
              <w:bottom w:val="nil"/>
            </w:tcBorders>
            <w:vAlign w:val="center"/>
          </w:tcPr>
          <w:p w:rsidR="000E564F" w:rsidRDefault="000E564F" w:rsidP="00871EFD">
            <w:pPr>
              <w:ind w:left="-105" w:right="-53"/>
              <w:jc w:val="center"/>
              <w:rPr>
                <w:rFonts w:cs="Arial"/>
                <w:szCs w:val="20"/>
              </w:rPr>
            </w:pPr>
            <w:r>
              <w:rPr>
                <w:rFonts w:cs="Arial"/>
                <w:szCs w:val="20"/>
              </w:rPr>
              <w:t>-</w:t>
            </w:r>
          </w:p>
        </w:tc>
        <w:tc>
          <w:tcPr>
            <w:tcW w:w="355" w:type="pct"/>
            <w:tcBorders>
              <w:top w:val="nil"/>
              <w:bottom w:val="nil"/>
            </w:tcBorders>
            <w:vAlign w:val="center"/>
          </w:tcPr>
          <w:p w:rsidR="000E564F" w:rsidRDefault="000E564F" w:rsidP="00871EFD">
            <w:pPr>
              <w:ind w:left="-105" w:right="-53"/>
              <w:jc w:val="center"/>
              <w:rPr>
                <w:rFonts w:cs="Arial"/>
                <w:szCs w:val="20"/>
              </w:rPr>
            </w:pPr>
            <w:r>
              <w:rPr>
                <w:rFonts w:cs="Arial"/>
                <w:szCs w:val="20"/>
              </w:rPr>
              <w:t>-</w:t>
            </w:r>
          </w:p>
        </w:tc>
        <w:tc>
          <w:tcPr>
            <w:tcW w:w="442" w:type="pct"/>
            <w:tcBorders>
              <w:top w:val="nil"/>
              <w:bottom w:val="nil"/>
            </w:tcBorders>
            <w:vAlign w:val="center"/>
          </w:tcPr>
          <w:p w:rsidR="000E564F" w:rsidRDefault="000E564F" w:rsidP="00871EFD">
            <w:pPr>
              <w:ind w:left="-105" w:right="-53"/>
              <w:jc w:val="center"/>
              <w:rPr>
                <w:rFonts w:cs="Arial"/>
                <w:szCs w:val="20"/>
              </w:rPr>
            </w:pPr>
            <w:r>
              <w:rPr>
                <w:rFonts w:cs="Arial"/>
                <w:szCs w:val="20"/>
              </w:rPr>
              <w:t>-</w:t>
            </w:r>
          </w:p>
        </w:tc>
        <w:tc>
          <w:tcPr>
            <w:tcW w:w="405" w:type="pct"/>
            <w:tcBorders>
              <w:top w:val="nil"/>
              <w:bottom w:val="nil"/>
            </w:tcBorders>
            <w:vAlign w:val="center"/>
          </w:tcPr>
          <w:p w:rsidR="000E564F" w:rsidRDefault="000E564F" w:rsidP="00871EFD">
            <w:pPr>
              <w:ind w:left="-105" w:right="-53"/>
              <w:jc w:val="center"/>
              <w:rPr>
                <w:rFonts w:cs="Arial"/>
                <w:szCs w:val="20"/>
              </w:rPr>
            </w:pPr>
            <w:r>
              <w:rPr>
                <w:rFonts w:cs="Arial"/>
                <w:szCs w:val="20"/>
              </w:rPr>
              <w:t>-</w:t>
            </w:r>
          </w:p>
        </w:tc>
        <w:tc>
          <w:tcPr>
            <w:tcW w:w="441" w:type="pct"/>
            <w:tcBorders>
              <w:top w:val="nil"/>
              <w:bottom w:val="nil"/>
            </w:tcBorders>
            <w:vAlign w:val="center"/>
          </w:tcPr>
          <w:p w:rsidR="000E564F" w:rsidRDefault="000E564F" w:rsidP="00871EFD">
            <w:pPr>
              <w:ind w:left="-105" w:right="-53"/>
              <w:jc w:val="center"/>
              <w:rPr>
                <w:rFonts w:cs="Arial"/>
                <w:szCs w:val="20"/>
              </w:rPr>
            </w:pPr>
            <w:r>
              <w:rPr>
                <w:rFonts w:cs="Arial"/>
                <w:szCs w:val="20"/>
              </w:rPr>
              <w:t>-</w:t>
            </w:r>
          </w:p>
        </w:tc>
        <w:tc>
          <w:tcPr>
            <w:tcW w:w="349" w:type="pct"/>
            <w:tcBorders>
              <w:top w:val="nil"/>
              <w:bottom w:val="nil"/>
            </w:tcBorders>
            <w:vAlign w:val="center"/>
          </w:tcPr>
          <w:p w:rsidR="000E564F" w:rsidRDefault="000E564F" w:rsidP="00871EFD">
            <w:pPr>
              <w:ind w:left="-105" w:right="-53"/>
              <w:jc w:val="center"/>
              <w:rPr>
                <w:rFonts w:cs="Arial"/>
                <w:szCs w:val="20"/>
              </w:rPr>
            </w:pPr>
            <w:r>
              <w:rPr>
                <w:rFonts w:cs="Arial"/>
                <w:szCs w:val="20"/>
              </w:rPr>
              <w:t>-</w:t>
            </w:r>
          </w:p>
        </w:tc>
        <w:tc>
          <w:tcPr>
            <w:tcW w:w="440" w:type="pct"/>
            <w:tcBorders>
              <w:top w:val="nil"/>
              <w:bottom w:val="nil"/>
            </w:tcBorders>
            <w:vAlign w:val="center"/>
          </w:tcPr>
          <w:p w:rsidR="000E564F" w:rsidRDefault="000E564F" w:rsidP="00871EFD">
            <w:pPr>
              <w:ind w:left="-105" w:right="-53"/>
              <w:jc w:val="center"/>
              <w:rPr>
                <w:rFonts w:cs="Arial"/>
                <w:szCs w:val="20"/>
              </w:rPr>
            </w:pPr>
            <w:r>
              <w:rPr>
                <w:rFonts w:cs="Arial"/>
                <w:szCs w:val="20"/>
              </w:rPr>
              <w:t>-</w:t>
            </w:r>
          </w:p>
        </w:tc>
      </w:tr>
      <w:tr w:rsidR="000E564F" w:rsidRPr="006A7228" w:rsidTr="00B302BF">
        <w:trPr>
          <w:trHeight w:val="510"/>
        </w:trPr>
        <w:tc>
          <w:tcPr>
            <w:tcW w:w="932" w:type="pct"/>
            <w:tcBorders>
              <w:top w:val="nil"/>
              <w:bottom w:val="single" w:sz="4" w:space="0" w:color="auto"/>
            </w:tcBorders>
            <w:vAlign w:val="center"/>
          </w:tcPr>
          <w:p w:rsidR="000E564F" w:rsidRDefault="000E564F">
            <w:pPr>
              <w:rPr>
                <w:rFonts w:cs="Arial"/>
                <w:b/>
                <w:bCs/>
                <w:sz w:val="20"/>
                <w:szCs w:val="20"/>
              </w:rPr>
            </w:pPr>
            <w:r>
              <w:rPr>
                <w:rFonts w:cs="Arial"/>
                <w:b/>
                <w:bCs/>
                <w:sz w:val="20"/>
                <w:szCs w:val="20"/>
              </w:rPr>
              <w:t>Monthly</w:t>
            </w:r>
          </w:p>
        </w:tc>
        <w:tc>
          <w:tcPr>
            <w:tcW w:w="350" w:type="pct"/>
            <w:tcBorders>
              <w:top w:val="nil"/>
              <w:bottom w:val="single" w:sz="4" w:space="0" w:color="auto"/>
            </w:tcBorders>
            <w:vAlign w:val="center"/>
          </w:tcPr>
          <w:p w:rsidR="000E564F" w:rsidRDefault="000E564F" w:rsidP="00871EFD">
            <w:pPr>
              <w:ind w:left="-105" w:right="-53"/>
              <w:jc w:val="center"/>
              <w:rPr>
                <w:rFonts w:cs="Arial"/>
                <w:sz w:val="20"/>
                <w:szCs w:val="20"/>
              </w:rPr>
            </w:pPr>
            <w:r>
              <w:rPr>
                <w:rFonts w:cs="Arial"/>
                <w:sz w:val="20"/>
                <w:szCs w:val="20"/>
              </w:rPr>
              <w:t>-</w:t>
            </w:r>
          </w:p>
        </w:tc>
        <w:tc>
          <w:tcPr>
            <w:tcW w:w="445" w:type="pct"/>
            <w:tcBorders>
              <w:top w:val="nil"/>
              <w:bottom w:val="single" w:sz="4" w:space="0" w:color="auto"/>
            </w:tcBorders>
            <w:vAlign w:val="center"/>
          </w:tcPr>
          <w:p w:rsidR="000E564F" w:rsidRDefault="000E564F" w:rsidP="00871EFD">
            <w:pPr>
              <w:ind w:left="-105" w:right="-53"/>
              <w:jc w:val="center"/>
              <w:rPr>
                <w:rFonts w:cs="Arial"/>
                <w:sz w:val="20"/>
                <w:szCs w:val="20"/>
              </w:rPr>
            </w:pPr>
            <w:r>
              <w:rPr>
                <w:rFonts w:cs="Arial"/>
                <w:sz w:val="20"/>
                <w:szCs w:val="20"/>
              </w:rPr>
              <w:t>-</w:t>
            </w:r>
          </w:p>
        </w:tc>
        <w:tc>
          <w:tcPr>
            <w:tcW w:w="400" w:type="pct"/>
            <w:tcBorders>
              <w:top w:val="nil"/>
              <w:bottom w:val="single" w:sz="4" w:space="0" w:color="auto"/>
            </w:tcBorders>
            <w:vAlign w:val="center"/>
          </w:tcPr>
          <w:p w:rsidR="000E564F" w:rsidRDefault="000E564F" w:rsidP="00871EFD">
            <w:pPr>
              <w:ind w:left="-105" w:right="-53"/>
              <w:jc w:val="center"/>
              <w:rPr>
                <w:rFonts w:cs="Arial"/>
                <w:sz w:val="20"/>
                <w:szCs w:val="20"/>
              </w:rPr>
            </w:pPr>
            <w:r>
              <w:rPr>
                <w:rFonts w:cs="Arial"/>
                <w:sz w:val="20"/>
                <w:szCs w:val="20"/>
              </w:rPr>
              <w:t>-</w:t>
            </w:r>
          </w:p>
        </w:tc>
        <w:tc>
          <w:tcPr>
            <w:tcW w:w="441" w:type="pct"/>
            <w:tcBorders>
              <w:top w:val="nil"/>
              <w:bottom w:val="single" w:sz="4" w:space="0" w:color="auto"/>
            </w:tcBorders>
            <w:vAlign w:val="center"/>
          </w:tcPr>
          <w:p w:rsidR="000E564F" w:rsidRDefault="000E564F" w:rsidP="00871EFD">
            <w:pPr>
              <w:ind w:left="-105" w:right="-53"/>
              <w:jc w:val="center"/>
              <w:rPr>
                <w:rFonts w:cs="Arial"/>
                <w:sz w:val="20"/>
                <w:szCs w:val="20"/>
              </w:rPr>
            </w:pPr>
            <w:r>
              <w:rPr>
                <w:rFonts w:cs="Arial"/>
                <w:sz w:val="20"/>
                <w:szCs w:val="20"/>
              </w:rPr>
              <w:t>-</w:t>
            </w:r>
          </w:p>
        </w:tc>
        <w:tc>
          <w:tcPr>
            <w:tcW w:w="355" w:type="pct"/>
            <w:tcBorders>
              <w:top w:val="nil"/>
              <w:bottom w:val="single" w:sz="4" w:space="0" w:color="auto"/>
            </w:tcBorders>
            <w:vAlign w:val="center"/>
          </w:tcPr>
          <w:p w:rsidR="000E564F" w:rsidRDefault="000E564F" w:rsidP="00871EFD">
            <w:pPr>
              <w:ind w:left="-105" w:right="-53"/>
              <w:jc w:val="center"/>
              <w:rPr>
                <w:rFonts w:cs="Arial"/>
                <w:sz w:val="20"/>
                <w:szCs w:val="20"/>
              </w:rPr>
            </w:pPr>
            <w:r>
              <w:rPr>
                <w:rFonts w:cs="Arial"/>
                <w:sz w:val="20"/>
                <w:szCs w:val="20"/>
              </w:rPr>
              <w:t>-</w:t>
            </w:r>
          </w:p>
        </w:tc>
        <w:tc>
          <w:tcPr>
            <w:tcW w:w="442" w:type="pct"/>
            <w:tcBorders>
              <w:top w:val="nil"/>
              <w:bottom w:val="single" w:sz="4" w:space="0" w:color="auto"/>
            </w:tcBorders>
            <w:vAlign w:val="center"/>
          </w:tcPr>
          <w:p w:rsidR="000E564F" w:rsidRDefault="000E564F" w:rsidP="00871EFD">
            <w:pPr>
              <w:ind w:left="-105" w:right="-53"/>
              <w:jc w:val="center"/>
              <w:rPr>
                <w:rFonts w:cs="Arial"/>
                <w:sz w:val="20"/>
                <w:szCs w:val="20"/>
              </w:rPr>
            </w:pPr>
            <w:r>
              <w:rPr>
                <w:rFonts w:cs="Arial"/>
                <w:sz w:val="20"/>
                <w:szCs w:val="20"/>
              </w:rPr>
              <w:t>-</w:t>
            </w:r>
          </w:p>
        </w:tc>
        <w:tc>
          <w:tcPr>
            <w:tcW w:w="405" w:type="pct"/>
            <w:tcBorders>
              <w:top w:val="nil"/>
              <w:bottom w:val="single" w:sz="4" w:space="0" w:color="auto"/>
            </w:tcBorders>
            <w:vAlign w:val="center"/>
          </w:tcPr>
          <w:p w:rsidR="000E564F" w:rsidRDefault="000E564F" w:rsidP="00871EFD">
            <w:pPr>
              <w:ind w:left="-105" w:right="-53"/>
              <w:jc w:val="center"/>
              <w:rPr>
                <w:rFonts w:cs="Arial"/>
                <w:sz w:val="20"/>
                <w:szCs w:val="20"/>
              </w:rPr>
            </w:pPr>
            <w:r>
              <w:rPr>
                <w:rFonts w:cs="Arial"/>
                <w:sz w:val="20"/>
                <w:szCs w:val="20"/>
              </w:rPr>
              <w:t>-</w:t>
            </w:r>
          </w:p>
        </w:tc>
        <w:tc>
          <w:tcPr>
            <w:tcW w:w="441" w:type="pct"/>
            <w:tcBorders>
              <w:top w:val="nil"/>
              <w:bottom w:val="single" w:sz="4" w:space="0" w:color="auto"/>
            </w:tcBorders>
            <w:vAlign w:val="center"/>
          </w:tcPr>
          <w:p w:rsidR="000E564F" w:rsidRDefault="000E564F" w:rsidP="00871EFD">
            <w:pPr>
              <w:ind w:left="-105" w:right="-53"/>
              <w:jc w:val="center"/>
              <w:rPr>
                <w:rFonts w:cs="Arial"/>
                <w:sz w:val="20"/>
                <w:szCs w:val="20"/>
              </w:rPr>
            </w:pPr>
            <w:r>
              <w:rPr>
                <w:rFonts w:cs="Arial"/>
                <w:sz w:val="20"/>
                <w:szCs w:val="20"/>
              </w:rPr>
              <w:t>-</w:t>
            </w:r>
          </w:p>
        </w:tc>
        <w:tc>
          <w:tcPr>
            <w:tcW w:w="349" w:type="pct"/>
            <w:tcBorders>
              <w:top w:val="nil"/>
              <w:bottom w:val="single" w:sz="4" w:space="0" w:color="auto"/>
            </w:tcBorders>
            <w:vAlign w:val="center"/>
          </w:tcPr>
          <w:p w:rsidR="000E564F" w:rsidRDefault="000E564F" w:rsidP="00871EFD">
            <w:pPr>
              <w:ind w:left="-105" w:right="-53"/>
              <w:jc w:val="center"/>
              <w:rPr>
                <w:rFonts w:cs="Arial"/>
                <w:sz w:val="20"/>
                <w:szCs w:val="20"/>
              </w:rPr>
            </w:pPr>
            <w:r>
              <w:rPr>
                <w:rFonts w:cs="Arial"/>
                <w:sz w:val="20"/>
                <w:szCs w:val="20"/>
              </w:rPr>
              <w:t>-</w:t>
            </w:r>
          </w:p>
        </w:tc>
        <w:tc>
          <w:tcPr>
            <w:tcW w:w="440" w:type="pct"/>
            <w:tcBorders>
              <w:top w:val="nil"/>
              <w:bottom w:val="single" w:sz="4" w:space="0" w:color="auto"/>
            </w:tcBorders>
            <w:vAlign w:val="center"/>
          </w:tcPr>
          <w:p w:rsidR="000E564F" w:rsidRDefault="000E564F" w:rsidP="00871EFD">
            <w:pPr>
              <w:ind w:left="-105" w:right="-53"/>
              <w:jc w:val="center"/>
              <w:rPr>
                <w:rFonts w:cs="Arial"/>
                <w:sz w:val="20"/>
                <w:szCs w:val="20"/>
              </w:rPr>
            </w:pPr>
            <w:r>
              <w:rPr>
                <w:rFonts w:cs="Arial"/>
                <w:sz w:val="20"/>
                <w:szCs w:val="20"/>
              </w:rPr>
              <w:t>-</w:t>
            </w:r>
          </w:p>
        </w:tc>
      </w:tr>
    </w:tbl>
    <w:p w:rsidR="00410584" w:rsidRPr="00552F68" w:rsidRDefault="00410584" w:rsidP="00410584">
      <w:pPr>
        <w:pStyle w:val="AERbodytext"/>
        <w:rPr>
          <w:sz w:val="16"/>
        </w:rPr>
      </w:pPr>
      <w:r w:rsidRPr="00552F68">
        <w:rPr>
          <w:sz w:val="16"/>
        </w:rPr>
        <w:t>* Non-netted products are not shown here. For information about these products, refer to figure 6.1.</w:t>
      </w:r>
    </w:p>
    <w:p w:rsidR="001934E9" w:rsidRDefault="001934E9" w:rsidP="00A226E9">
      <w:pPr>
        <w:keepNext/>
      </w:pPr>
      <w:r w:rsidRPr="00552F68">
        <w:t xml:space="preserve">Figure </w:t>
      </w:r>
      <w:r w:rsidR="00587CFB" w:rsidRPr="00552F68">
        <w:t>5</w:t>
      </w:r>
      <w:r w:rsidRPr="00552F68">
        <w:t xml:space="preserve"> shows Bulletin Board pipeline flows for the three LNG export pipeline facilities and the production output at related production facilities in the Roma region.</w:t>
      </w:r>
    </w:p>
    <w:p w:rsidR="001934E9" w:rsidRDefault="001934E9" w:rsidP="001934E9">
      <w:pPr>
        <w:pStyle w:val="Caption"/>
        <w:rPr>
          <w:color w:val="2272A3"/>
          <w:szCs w:val="24"/>
        </w:rPr>
      </w:pPr>
      <w:r w:rsidRPr="001521CB">
        <w:t xml:space="preserve">Figure </w:t>
      </w:r>
      <w:fldSimple w:instr=" SEQ Figure \* ARABIC ">
        <w:r w:rsidR="00587CFB">
          <w:rPr>
            <w:noProof/>
          </w:rPr>
          <w:t>5</w:t>
        </w:r>
      </w:fldSimple>
      <w:r w:rsidRPr="001521CB">
        <w:t xml:space="preserve">: </w:t>
      </w:r>
      <w:r w:rsidR="00A226E9">
        <w:rPr>
          <w:color w:val="2272A3"/>
          <w:szCs w:val="24"/>
        </w:rPr>
        <w:t>LNG export pipeline and production flows</w:t>
      </w:r>
      <w:r w:rsidR="00587CFB">
        <w:rPr>
          <w:color w:val="2272A3"/>
          <w:szCs w:val="24"/>
        </w:rPr>
        <w:t xml:space="preserve"> (TJ)</w:t>
      </w:r>
      <w:r w:rsidR="000C52E2">
        <w:rPr>
          <w:color w:val="2272A3"/>
          <w:szCs w:val="24"/>
        </w:rPr>
        <w:t>*</w:t>
      </w:r>
    </w:p>
    <w:p w:rsidR="001934E9" w:rsidRPr="00E16EDC" w:rsidRDefault="000E564F" w:rsidP="00E16EDC">
      <w:r w:rsidRPr="000E564F">
        <w:rPr>
          <w:noProof/>
          <w:lang w:eastAsia="en-AU"/>
        </w:rPr>
        <w:drawing>
          <wp:inline distT="0" distB="0" distL="0" distR="0" wp14:anchorId="4B701BB7" wp14:editId="26E413E6">
            <wp:extent cx="5731510" cy="3179062"/>
            <wp:effectExtent l="0" t="0" r="2540" b="2540"/>
            <wp:docPr id="6" name="Picture 6" descr="Figure 5 shows the daily quantity of gas flowed on each of the three Queensland LNG export pipelines. Quantities of gas supplied by production facilities in the Roma region owned by these pipelines are also shown, grouped for each participant (APLNG, GLNG/Santos and QCLNG/Q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179062"/>
                    </a:xfrm>
                    <a:prstGeom prst="rect">
                      <a:avLst/>
                    </a:prstGeom>
                    <a:noFill/>
                    <a:ln>
                      <a:noFill/>
                    </a:ln>
                  </pic:spPr>
                </pic:pic>
              </a:graphicData>
            </a:graphic>
          </wp:inline>
        </w:drawing>
      </w:r>
    </w:p>
    <w:p w:rsidR="009C4C5E" w:rsidRPr="00AB478D" w:rsidRDefault="009C4C5E" w:rsidP="009C4C5E">
      <w:pPr>
        <w:jc w:val="both"/>
        <w:rPr>
          <w:sz w:val="16"/>
          <w:szCs w:val="16"/>
        </w:rPr>
      </w:pPr>
      <w:r w:rsidRPr="00973B9F">
        <w:rPr>
          <w:sz w:val="16"/>
          <w:szCs w:val="16"/>
        </w:rPr>
        <w:t xml:space="preserve">* Production quantities represent flows from facilities operated by APLNG, Santos </w:t>
      </w:r>
      <w:r>
        <w:rPr>
          <w:sz w:val="16"/>
          <w:szCs w:val="16"/>
        </w:rPr>
        <w:t xml:space="preserve">and </w:t>
      </w:r>
      <w:r w:rsidRPr="00973B9F">
        <w:rPr>
          <w:sz w:val="16"/>
          <w:szCs w:val="16"/>
        </w:rPr>
        <w:t>QGC in the Roma region. Gas from individual facilities may also supply the domestic market, other LNG projects or storage facilities.</w:t>
      </w:r>
    </w:p>
    <w:p w:rsidR="001521CB" w:rsidRDefault="001521CB" w:rsidP="001521CB">
      <w:pPr>
        <w:pStyle w:val="Heading3"/>
        <w:rPr>
          <w:rFonts w:eastAsia="Times New Roman" w:cs="Times New Roman"/>
          <w:color w:val="2272A3" w:themeColor="accent4" w:themeShade="80"/>
          <w:sz w:val="32"/>
          <w:szCs w:val="20"/>
        </w:rPr>
      </w:pPr>
      <w:r w:rsidRPr="001521CB">
        <w:rPr>
          <w:rFonts w:eastAsia="Times New Roman" w:cs="Times New Roman"/>
          <w:color w:val="2272A3" w:themeColor="accent4" w:themeShade="80"/>
          <w:sz w:val="32"/>
          <w:szCs w:val="20"/>
        </w:rPr>
        <w:t>Detailed market analysis</w:t>
      </w:r>
    </w:p>
    <w:p w:rsidR="00595599" w:rsidRPr="000A4EC2" w:rsidRDefault="000A4EC2" w:rsidP="00871EFD">
      <w:pPr>
        <w:jc w:val="both"/>
      </w:pPr>
      <w:r>
        <w:t>Figure 5.1 shows d</w:t>
      </w:r>
      <w:r w:rsidRPr="000A4EC2">
        <w:t xml:space="preserve">eclines </w:t>
      </w:r>
      <w:r w:rsidR="00935022" w:rsidRPr="000A4EC2">
        <w:t>in gas demand from GPGs, most notably in SA (79</w:t>
      </w:r>
      <w:r w:rsidR="00871EFD" w:rsidRPr="000A4EC2">
        <w:t> </w:t>
      </w:r>
      <w:r w:rsidR="00935022" w:rsidRPr="000A4EC2">
        <w:t>TJ</w:t>
      </w:r>
      <w:r w:rsidRPr="000A4EC2">
        <w:t>/day</w:t>
      </w:r>
      <w:r w:rsidR="00935022" w:rsidRPr="000A4EC2">
        <w:t>), VIC (61</w:t>
      </w:r>
      <w:r w:rsidR="00871EFD" w:rsidRPr="000A4EC2">
        <w:t> </w:t>
      </w:r>
      <w:r w:rsidR="00935022" w:rsidRPr="000A4EC2">
        <w:t>TJ</w:t>
      </w:r>
      <w:r>
        <w:t>/day</w:t>
      </w:r>
      <w:r w:rsidR="00935022" w:rsidRPr="000A4EC2">
        <w:t>) and NSW (47</w:t>
      </w:r>
      <w:r w:rsidR="00871EFD" w:rsidRPr="000A4EC2">
        <w:t> </w:t>
      </w:r>
      <w:r w:rsidR="00935022" w:rsidRPr="000A4EC2">
        <w:t>TJ</w:t>
      </w:r>
      <w:r>
        <w:t>/day</w:t>
      </w:r>
      <w:r w:rsidR="00935022" w:rsidRPr="000A4EC2">
        <w:t xml:space="preserve">) </w:t>
      </w:r>
      <w:r w:rsidR="00C2374D">
        <w:t xml:space="preserve">which </w:t>
      </w:r>
      <w:r w:rsidR="00595599" w:rsidRPr="000A4EC2">
        <w:t xml:space="preserve">reduced the gap between prices in </w:t>
      </w:r>
      <w:r>
        <w:t>n</w:t>
      </w:r>
      <w:r w:rsidRPr="000A4EC2">
        <w:t xml:space="preserve">orthern </w:t>
      </w:r>
      <w:r w:rsidR="00595599" w:rsidRPr="000A4EC2">
        <w:t xml:space="preserve">and </w:t>
      </w:r>
      <w:r>
        <w:t>s</w:t>
      </w:r>
      <w:r w:rsidRPr="000A4EC2">
        <w:t xml:space="preserve">outhern </w:t>
      </w:r>
      <w:r w:rsidR="00595599" w:rsidRPr="000A4EC2">
        <w:t xml:space="preserve">states. Prices in </w:t>
      </w:r>
      <w:r>
        <w:t>s</w:t>
      </w:r>
      <w:r w:rsidRPr="000A4EC2">
        <w:t xml:space="preserve">outhern </w:t>
      </w:r>
      <w:r w:rsidR="00595599" w:rsidRPr="000A4EC2">
        <w:t>states ranged</w:t>
      </w:r>
      <w:r w:rsidR="00935022" w:rsidRPr="000A4EC2">
        <w:t xml:space="preserve"> between $10–11/GJ</w:t>
      </w:r>
      <w:r>
        <w:t>,</w:t>
      </w:r>
      <w:r w:rsidR="00935022" w:rsidRPr="000A4EC2">
        <w:t xml:space="preserve"> and </w:t>
      </w:r>
      <w:r>
        <w:t xml:space="preserve">were </w:t>
      </w:r>
      <w:r w:rsidR="00595599" w:rsidRPr="000A4EC2">
        <w:t xml:space="preserve">around </w:t>
      </w:r>
      <w:r w:rsidR="00935022" w:rsidRPr="000A4EC2">
        <w:t>$12</w:t>
      </w:r>
      <w:r w:rsidR="00595599" w:rsidRPr="000A4EC2">
        <w:t>–13/GJ in Brisbane and Wallumbilla.</w:t>
      </w:r>
    </w:p>
    <w:p w:rsidR="000C5FC0" w:rsidRDefault="000C5FC0" w:rsidP="00871EFD">
      <w:pPr>
        <w:jc w:val="both"/>
      </w:pPr>
      <w:r>
        <w:t xml:space="preserve">Under forecasting led to net decrease MOS requirements in Sydney of more than 12.5 TJ and costs above $66 000 on 14 and 16 February. </w:t>
      </w:r>
      <w:r w:rsidR="00595599" w:rsidRPr="000A4EC2">
        <w:t>Counteracting MOS</w:t>
      </w:r>
      <w:r>
        <w:t xml:space="preserve"> (CMOS)</w:t>
      </w:r>
      <w:r w:rsidR="00595599" w:rsidRPr="000A4EC2">
        <w:t xml:space="preserve"> on the EGP and MSP resulted in large MOS service payments of approximately $180,000 on 18</w:t>
      </w:r>
      <w:r w:rsidR="000A4EC2">
        <w:t> </w:t>
      </w:r>
      <w:r w:rsidR="00595599" w:rsidRPr="000A4EC2">
        <w:t>February.</w:t>
      </w:r>
      <w:r w:rsidR="00B3690C" w:rsidRPr="000A4EC2">
        <w:t xml:space="preserve"> The </w:t>
      </w:r>
      <w:r>
        <w:t>C</w:t>
      </w:r>
      <w:r w:rsidR="00B3690C" w:rsidRPr="000A4EC2">
        <w:t>MOS was likely due to a combination of over</w:t>
      </w:r>
      <w:r w:rsidR="000A4EC2">
        <w:t xml:space="preserve"> </w:t>
      </w:r>
      <w:r w:rsidR="00B3690C" w:rsidRPr="000A4EC2">
        <w:t xml:space="preserve">forecasting within the Wollongong sub-network </w:t>
      </w:r>
      <w:r w:rsidR="000A4EC2">
        <w:t xml:space="preserve">while overall </w:t>
      </w:r>
      <w:r w:rsidR="00B3690C" w:rsidRPr="000A4EC2">
        <w:t>under</w:t>
      </w:r>
      <w:r w:rsidR="000A4EC2">
        <w:t xml:space="preserve"> </w:t>
      </w:r>
      <w:r w:rsidR="00B3690C" w:rsidRPr="000A4EC2">
        <w:t xml:space="preserve">forecasting </w:t>
      </w:r>
      <w:r>
        <w:t>generated</w:t>
      </w:r>
      <w:r w:rsidR="000A4EC2">
        <w:t xml:space="preserve"> a net decrease requirement of </w:t>
      </w:r>
      <w:r>
        <w:t>around 5 TJ</w:t>
      </w:r>
      <w:r w:rsidR="00B3690C" w:rsidRPr="000A4EC2">
        <w:t xml:space="preserve">. </w:t>
      </w:r>
    </w:p>
    <w:p w:rsidR="001521CB" w:rsidRPr="003171C6" w:rsidRDefault="001521CB" w:rsidP="003171C6">
      <w:pPr>
        <w:pStyle w:val="Heading2"/>
        <w:ind w:left="142"/>
        <w:rPr>
          <w:sz w:val="36"/>
          <w:szCs w:val="36"/>
        </w:rPr>
      </w:pPr>
      <w:r w:rsidRPr="000A4EC2">
        <w:br w:type="page"/>
      </w:r>
      <w:r w:rsidRPr="003171C6">
        <w:rPr>
          <w:noProof/>
          <w:color w:val="FFFFFF" w:themeColor="background1"/>
          <w:sz w:val="36"/>
          <w:szCs w:val="36"/>
          <w:lang w:eastAsia="en-AU"/>
        </w:rPr>
        <w:lastRenderedPageBreak/>
        <w:drawing>
          <wp:anchor distT="0" distB="0" distL="114300" distR="114300" simplePos="0" relativeHeight="251667456" behindDoc="1" locked="0" layoutInCell="1" allowOverlap="1" wp14:anchorId="6750D75D" wp14:editId="2362F1D0">
            <wp:simplePos x="0" y="0"/>
            <wp:positionH relativeFrom="column">
              <wp:posOffset>0</wp:posOffset>
            </wp:positionH>
            <wp:positionV relativeFrom="paragraph">
              <wp:posOffset>-13970</wp:posOffset>
            </wp:positionV>
            <wp:extent cx="6048375" cy="981075"/>
            <wp:effectExtent l="0" t="0" r="9525" b="9525"/>
            <wp:wrapNone/>
            <wp:docPr id="4" name="Picture 4"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48375" cy="981075"/>
                    </a:xfrm>
                    <a:prstGeom prst="rect">
                      <a:avLst/>
                    </a:prstGeom>
                    <a:noFill/>
                  </pic:spPr>
                </pic:pic>
              </a:graphicData>
            </a:graphic>
            <wp14:sizeRelH relativeFrom="page">
              <wp14:pctWidth>0</wp14:pctWidth>
            </wp14:sizeRelH>
            <wp14:sizeRelV relativeFrom="page">
              <wp14:pctHeight>0</wp14:pctHeight>
            </wp14:sizeRelV>
          </wp:anchor>
        </w:drawing>
      </w:r>
      <w:r w:rsidRPr="003171C6">
        <w:rPr>
          <w:color w:val="FFFFFF" w:themeColor="background1"/>
          <w:sz w:val="36"/>
          <w:szCs w:val="36"/>
        </w:rPr>
        <w:t xml:space="preserve">Detailed </w:t>
      </w:r>
      <w:r w:rsidR="003171C6">
        <w:rPr>
          <w:color w:val="FFFFFF" w:themeColor="background1"/>
          <w:sz w:val="36"/>
          <w:szCs w:val="36"/>
        </w:rPr>
        <w:t>M</w:t>
      </w:r>
      <w:r w:rsidRPr="003171C6">
        <w:rPr>
          <w:color w:val="FFFFFF" w:themeColor="background1"/>
          <w:sz w:val="36"/>
          <w:szCs w:val="36"/>
        </w:rPr>
        <w:t xml:space="preserve">arket </w:t>
      </w:r>
      <w:r w:rsidR="003171C6">
        <w:rPr>
          <w:color w:val="FFFFFF" w:themeColor="background1"/>
          <w:sz w:val="36"/>
          <w:szCs w:val="36"/>
        </w:rPr>
        <w:t>F</w:t>
      </w:r>
      <w:r w:rsidRPr="003171C6">
        <w:rPr>
          <w:color w:val="FFFFFF" w:themeColor="background1"/>
          <w:sz w:val="36"/>
          <w:szCs w:val="36"/>
        </w:rPr>
        <w:t>igures</w:t>
      </w:r>
    </w:p>
    <w:p w:rsidR="001521CB" w:rsidRPr="00A16975" w:rsidRDefault="001521CB" w:rsidP="001521CB">
      <w:pPr>
        <w:rPr>
          <w:sz w:val="28"/>
        </w:rPr>
      </w:pPr>
    </w:p>
    <w:p w:rsidR="001521CB" w:rsidRPr="00A16975" w:rsidRDefault="001521CB" w:rsidP="001521CB">
      <w:pPr>
        <w:rPr>
          <w:sz w:val="28"/>
        </w:rPr>
      </w:pPr>
    </w:p>
    <w:p w:rsidR="003171C6" w:rsidRDefault="003171C6" w:rsidP="003171C6">
      <w:pPr>
        <w:pStyle w:val="Heading3"/>
        <w:rPr>
          <w:rFonts w:eastAsia="Times New Roman" w:cs="Times New Roman"/>
          <w:color w:val="2272A3" w:themeColor="accent4" w:themeShade="80"/>
          <w:sz w:val="32"/>
          <w:szCs w:val="20"/>
        </w:rPr>
      </w:pPr>
      <w:r w:rsidRPr="003171C6">
        <w:rPr>
          <w:rFonts w:eastAsia="Times New Roman" w:cs="Times New Roman"/>
          <w:color w:val="2272A3" w:themeColor="accent4" w:themeShade="80"/>
          <w:sz w:val="32"/>
          <w:szCs w:val="20"/>
        </w:rPr>
        <w:t>1. Victorian Declared Wholesale Market</w:t>
      </w:r>
    </w:p>
    <w:p w:rsidR="00EC2CB1" w:rsidRPr="00EF58A8" w:rsidRDefault="00EC2CB1" w:rsidP="00551D6B">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2"/>
      </w:r>
      <w:r w:rsidRPr="00EF58A8">
        <w:t xml:space="preserve"> which is the schedule at which most gas is traded. </w:t>
      </w:r>
    </w:p>
    <w:p w:rsidR="003171C6" w:rsidRDefault="00EC2CB1" w:rsidP="00551D6B">
      <w:pPr>
        <w:jc w:val="both"/>
      </w:pPr>
      <w:r w:rsidRPr="00EF58A8">
        <w:t>The main drivers</w:t>
      </w:r>
      <w:r w:rsidRPr="00EF58A8">
        <w:rPr>
          <w:rStyle w:val="FootnoteReference"/>
        </w:rPr>
        <w:footnoteReference w:id="3"/>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4"/>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A16975" w:rsidRDefault="00A16975" w:rsidP="00551D6B">
      <w:pPr>
        <w:jc w:val="both"/>
      </w:pPr>
      <w:r w:rsidRPr="00552F68">
        <w:t>Ancillary payments for gas injected above the market price are shown above in figure 3.</w:t>
      </w:r>
    </w:p>
    <w:p w:rsidR="003171C6" w:rsidRDefault="00EC2CB1" w:rsidP="003171C6">
      <w:pPr>
        <w:pStyle w:val="Caption"/>
        <w:numPr>
          <w:ilvl w:val="0"/>
          <w:numId w:val="29"/>
        </w:numPr>
        <w:ind w:left="709" w:hanging="709"/>
        <w:rPr>
          <w:color w:val="2272A3"/>
          <w:szCs w:val="24"/>
        </w:rPr>
      </w:pPr>
      <w:r w:rsidRPr="00DD0358">
        <w:rPr>
          <w:color w:val="2272A3"/>
        </w:rPr>
        <w:t>Prices by schedule</w:t>
      </w:r>
      <w:r w:rsidR="00817724">
        <w:rPr>
          <w:color w:val="2272A3"/>
        </w:rPr>
        <w:t xml:space="preserve"> </w:t>
      </w:r>
      <w:r w:rsidR="00817724" w:rsidRPr="00552F68">
        <w:rPr>
          <w:color w:val="2272A3"/>
          <w:szCs w:val="24"/>
        </w:rPr>
        <w:t>($/GJ)</w:t>
      </w:r>
    </w:p>
    <w:p w:rsidR="003171C6" w:rsidRPr="004C571B" w:rsidRDefault="000E564F" w:rsidP="003171C6">
      <w:r w:rsidRPr="000E564F">
        <w:rPr>
          <w:noProof/>
          <w:lang w:eastAsia="en-AU"/>
        </w:rPr>
        <w:drawing>
          <wp:inline distT="0" distB="0" distL="0" distR="0" wp14:anchorId="25E3890A" wp14:editId="250CFB42">
            <wp:extent cx="5731510" cy="1650203"/>
            <wp:effectExtent l="0" t="0" r="2540" b="7620"/>
            <wp:docPr id="7" name="Picture 7" descr="Figure 1.1 shows the five Victorian schedule prices for each day this week. The marker indicates the daily imbalance weighted average price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1650203"/>
                    </a:xfrm>
                    <a:prstGeom prst="rect">
                      <a:avLst/>
                    </a:prstGeom>
                    <a:noFill/>
                    <a:ln>
                      <a:noFill/>
                    </a:ln>
                  </pic:spPr>
                </pic:pic>
              </a:graphicData>
            </a:graphic>
          </wp:inline>
        </w:drawing>
      </w:r>
    </w:p>
    <w:p w:rsidR="003171C6" w:rsidRPr="001521CB" w:rsidRDefault="00EC2CB1" w:rsidP="003171C6">
      <w:pPr>
        <w:pStyle w:val="Caption"/>
        <w:numPr>
          <w:ilvl w:val="0"/>
          <w:numId w:val="29"/>
        </w:numPr>
        <w:ind w:left="709" w:hanging="709"/>
      </w:pPr>
      <w:r w:rsidRPr="00DD0358">
        <w:rPr>
          <w:color w:val="2272A3"/>
        </w:rPr>
        <w:t>Demand forecasts</w:t>
      </w:r>
      <w:r w:rsidR="00817724">
        <w:rPr>
          <w:color w:val="2272A3"/>
        </w:rPr>
        <w:t xml:space="preserve"> </w:t>
      </w:r>
      <w:r w:rsidR="00817724" w:rsidRPr="00552F68">
        <w:rPr>
          <w:color w:val="2272A3"/>
          <w:szCs w:val="24"/>
        </w:rPr>
        <w:t>(TJ)</w:t>
      </w:r>
    </w:p>
    <w:p w:rsidR="003171C6" w:rsidRDefault="000E564F" w:rsidP="003171C6">
      <w:r w:rsidRPr="000E564F">
        <w:rPr>
          <w:noProof/>
          <w:lang w:eastAsia="en-AU"/>
        </w:rPr>
        <w:drawing>
          <wp:inline distT="0" distB="0" distL="0" distR="0" wp14:anchorId="7E0FD669" wp14:editId="40A16644">
            <wp:extent cx="5731510" cy="2132322"/>
            <wp:effectExtent l="0" t="0" r="2540" b="1905"/>
            <wp:docPr id="9" name="Picture 9" descr="Figure 1.2 shows the demand forecast used to calculate the five daily schedule prices for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13232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lastRenderedPageBreak/>
        <w:t>Injection bids by price bands</w:t>
      </w:r>
      <w:r w:rsidR="00817724">
        <w:rPr>
          <w:color w:val="2272A3"/>
        </w:rPr>
        <w:t xml:space="preserve"> </w:t>
      </w:r>
      <w:r w:rsidR="00817724">
        <w:rPr>
          <w:color w:val="2272A3"/>
          <w:szCs w:val="24"/>
        </w:rPr>
        <w:t>(</w:t>
      </w:r>
      <w:r w:rsidR="00817724" w:rsidRPr="00552F68">
        <w:rPr>
          <w:color w:val="2272A3"/>
          <w:szCs w:val="24"/>
        </w:rPr>
        <w:t>TJ)</w:t>
      </w:r>
    </w:p>
    <w:p w:rsidR="00EC2CB1" w:rsidRDefault="000E564F" w:rsidP="003171C6">
      <w:r w:rsidRPr="000E564F">
        <w:rPr>
          <w:noProof/>
          <w:lang w:eastAsia="en-AU"/>
        </w:rPr>
        <w:drawing>
          <wp:inline distT="0" distB="0" distL="0" distR="0" wp14:anchorId="0ADD1CBE" wp14:editId="5FA456ED">
            <wp:extent cx="5731510" cy="2486687"/>
            <wp:effectExtent l="0" t="0" r="2540" b="8890"/>
            <wp:docPr id="10" name="Picture 10" descr="Figure 1.3 shows the injection bids within certain price bands for each trading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486687"/>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Withdrawal bids by price bands</w:t>
      </w:r>
      <w:r w:rsidR="00817724">
        <w:rPr>
          <w:color w:val="2272A3"/>
        </w:rPr>
        <w:t xml:space="preserve"> </w:t>
      </w:r>
      <w:r w:rsidR="00817724" w:rsidRPr="00552F68">
        <w:rPr>
          <w:color w:val="2272A3"/>
          <w:szCs w:val="24"/>
        </w:rPr>
        <w:t>(TJ)</w:t>
      </w:r>
    </w:p>
    <w:p w:rsidR="00EC2CB1" w:rsidRDefault="000E564F" w:rsidP="003171C6">
      <w:r w:rsidRPr="000E564F">
        <w:rPr>
          <w:noProof/>
          <w:lang w:eastAsia="en-AU"/>
        </w:rPr>
        <w:drawing>
          <wp:inline distT="0" distB="0" distL="0" distR="0" wp14:anchorId="3EA79AE3" wp14:editId="3EEDD9AC">
            <wp:extent cx="5731510" cy="1958582"/>
            <wp:effectExtent l="0" t="0" r="2540" b="3810"/>
            <wp:docPr id="11" name="Picture 11" descr="Figure 1.4 shows the withdrawal bids within certain price bands for each trading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195858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Metered Injections by System Injection Point</w:t>
      </w:r>
      <w:r w:rsidR="00817724">
        <w:rPr>
          <w:color w:val="2272A3"/>
        </w:rPr>
        <w:t xml:space="preserve"> </w:t>
      </w:r>
      <w:r w:rsidR="00817724" w:rsidRPr="00552F68">
        <w:rPr>
          <w:color w:val="2272A3"/>
          <w:szCs w:val="24"/>
        </w:rPr>
        <w:t>(TJ)</w:t>
      </w:r>
    </w:p>
    <w:p w:rsidR="00EC2CB1" w:rsidRDefault="000E564F" w:rsidP="003171C6">
      <w:r w:rsidRPr="000E564F">
        <w:rPr>
          <w:noProof/>
          <w:lang w:eastAsia="en-AU"/>
        </w:rPr>
        <w:drawing>
          <wp:inline distT="0" distB="0" distL="0" distR="0" wp14:anchorId="45C461D8" wp14:editId="19EA6474">
            <wp:extent cx="5731510" cy="2142691"/>
            <wp:effectExtent l="0" t="0" r="2540" b="0"/>
            <wp:docPr id="12" name="Picture 12" descr="Figure 1.5 shows the metered injections sorted by facility for each 4 hour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142691"/>
                    </a:xfrm>
                    <a:prstGeom prst="rect">
                      <a:avLst/>
                    </a:prstGeom>
                    <a:noFill/>
                    <a:ln>
                      <a:noFill/>
                    </a:ln>
                  </pic:spPr>
                </pic:pic>
              </a:graphicData>
            </a:graphic>
          </wp:inline>
        </w:drawing>
      </w:r>
    </w:p>
    <w:p w:rsidR="00EC2CB1" w:rsidRPr="00EF58A8" w:rsidRDefault="00EC2CB1" w:rsidP="00EC2CB1">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EC2CB1" w:rsidRPr="003171C6" w:rsidRDefault="00EC2CB1" w:rsidP="003171C6"/>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2</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Sydney STTM</w:t>
      </w:r>
    </w:p>
    <w:p w:rsidR="00EC2CB1" w:rsidRPr="00EF58A8" w:rsidRDefault="00EC2CB1" w:rsidP="00EC2CB1">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5"/>
      </w:r>
      <w:r w:rsidRPr="00EF58A8">
        <w:t xml:space="preserve"> Divergences in ex ante and ex post prices for a gas day may occur due to differences in scheduled (forecast) and allocated (actual) quantities.</w:t>
      </w:r>
      <w:r>
        <w:t xml:space="preserve"> Pipeline acronyms are defined in the </w:t>
      </w:r>
      <w:hyperlink r:id="rId21" w:history="1">
        <w:r>
          <w:rPr>
            <w:rStyle w:val="Hyperlink"/>
          </w:rPr>
          <w:t>user guide</w:t>
        </w:r>
      </w:hyperlink>
      <w:r>
        <w:t>.</w:t>
      </w:r>
    </w:p>
    <w:p w:rsidR="00EC2CB1" w:rsidRPr="00EF58A8" w:rsidRDefault="00EC2CB1" w:rsidP="00EC2CB1">
      <w:pPr>
        <w:pStyle w:val="AERbodytext"/>
        <w:spacing w:line="240" w:lineRule="auto"/>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6"/>
      </w:r>
      <w:r w:rsidRPr="00EF58A8">
        <w:t xml:space="preserve"> </w:t>
      </w:r>
    </w:p>
    <w:p w:rsidR="004C571B" w:rsidRDefault="00EC2CB1" w:rsidP="00551D6B">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4C571B" w:rsidRDefault="00EC2CB1" w:rsidP="004C571B">
      <w:pPr>
        <w:pStyle w:val="Caption"/>
        <w:numPr>
          <w:ilvl w:val="0"/>
          <w:numId w:val="30"/>
        </w:numPr>
        <w:ind w:left="709" w:hanging="709"/>
        <w:rPr>
          <w:color w:val="2272A3"/>
          <w:szCs w:val="24"/>
        </w:rPr>
      </w:pPr>
      <w:r w:rsidRPr="00362B9A">
        <w:rPr>
          <w:color w:val="2272A3"/>
          <w:szCs w:val="24"/>
        </w:rPr>
        <w:t>SYD STTM daily ex ante and ex post prices and quantities</w:t>
      </w:r>
    </w:p>
    <w:tbl>
      <w:tblPr>
        <w:tblStyle w:val="AERTable-Text"/>
        <w:tblW w:w="4994" w:type="pct"/>
        <w:tblLook w:val="04A0" w:firstRow="1" w:lastRow="0" w:firstColumn="1" w:lastColumn="0" w:noHBand="0" w:noVBand="1"/>
      </w:tblPr>
      <w:tblGrid>
        <w:gridCol w:w="2236"/>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211"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0"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0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89"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17"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0"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0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78"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0E564F" w:rsidRPr="00405CDE" w:rsidTr="00A226E9">
        <w:trPr>
          <w:trHeight w:val="510"/>
        </w:trPr>
        <w:tc>
          <w:tcPr>
            <w:tcW w:w="1211" w:type="pct"/>
            <w:tcBorders>
              <w:top w:val="nil"/>
              <w:bottom w:val="nil"/>
            </w:tcBorders>
            <w:vAlign w:val="center"/>
          </w:tcPr>
          <w:p w:rsidR="000E564F" w:rsidRDefault="000E564F">
            <w:pPr>
              <w:rPr>
                <w:rFonts w:cs="Arial"/>
                <w:sz w:val="20"/>
                <w:szCs w:val="20"/>
              </w:rPr>
            </w:pPr>
            <w:r>
              <w:rPr>
                <w:rFonts w:cs="Arial"/>
                <w:sz w:val="20"/>
                <w:szCs w:val="20"/>
              </w:rPr>
              <w:t>Ex ante price ($/GJ)</w:t>
            </w:r>
          </w:p>
        </w:tc>
        <w:tc>
          <w:tcPr>
            <w:tcW w:w="580" w:type="pct"/>
            <w:tcBorders>
              <w:top w:val="nil"/>
              <w:bottom w:val="nil"/>
            </w:tcBorders>
            <w:vAlign w:val="center"/>
          </w:tcPr>
          <w:p w:rsidR="000E564F" w:rsidRDefault="000E564F">
            <w:pPr>
              <w:jc w:val="center"/>
              <w:rPr>
                <w:rFonts w:cs="Arial"/>
                <w:sz w:val="20"/>
                <w:szCs w:val="20"/>
              </w:rPr>
            </w:pPr>
            <w:r>
              <w:rPr>
                <w:rFonts w:cs="Arial"/>
                <w:sz w:val="20"/>
                <w:szCs w:val="20"/>
              </w:rPr>
              <w:t>13.80</w:t>
            </w:r>
          </w:p>
        </w:tc>
        <w:tc>
          <w:tcPr>
            <w:tcW w:w="508" w:type="pct"/>
            <w:tcBorders>
              <w:top w:val="nil"/>
              <w:bottom w:val="nil"/>
            </w:tcBorders>
            <w:vAlign w:val="center"/>
          </w:tcPr>
          <w:p w:rsidR="000E564F" w:rsidRDefault="000E564F">
            <w:pPr>
              <w:jc w:val="center"/>
              <w:rPr>
                <w:rFonts w:cs="Arial"/>
                <w:sz w:val="20"/>
                <w:szCs w:val="20"/>
              </w:rPr>
            </w:pPr>
            <w:r>
              <w:rPr>
                <w:rFonts w:cs="Arial"/>
                <w:sz w:val="20"/>
                <w:szCs w:val="20"/>
              </w:rPr>
              <w:t>10.61</w:t>
            </w:r>
          </w:p>
        </w:tc>
        <w:tc>
          <w:tcPr>
            <w:tcW w:w="589" w:type="pct"/>
            <w:tcBorders>
              <w:top w:val="nil"/>
              <w:bottom w:val="nil"/>
            </w:tcBorders>
            <w:vAlign w:val="center"/>
          </w:tcPr>
          <w:p w:rsidR="000E564F" w:rsidRDefault="000E564F">
            <w:pPr>
              <w:jc w:val="center"/>
              <w:rPr>
                <w:rFonts w:cs="Arial"/>
                <w:sz w:val="20"/>
                <w:szCs w:val="20"/>
              </w:rPr>
            </w:pPr>
            <w:r>
              <w:rPr>
                <w:rFonts w:cs="Arial"/>
                <w:sz w:val="20"/>
                <w:szCs w:val="20"/>
              </w:rPr>
              <w:t>10.99</w:t>
            </w:r>
          </w:p>
        </w:tc>
        <w:tc>
          <w:tcPr>
            <w:tcW w:w="517" w:type="pct"/>
            <w:tcBorders>
              <w:top w:val="nil"/>
              <w:bottom w:val="nil"/>
            </w:tcBorders>
            <w:vAlign w:val="center"/>
          </w:tcPr>
          <w:p w:rsidR="000E564F" w:rsidRDefault="000E564F">
            <w:pPr>
              <w:jc w:val="center"/>
              <w:rPr>
                <w:rFonts w:cs="Arial"/>
                <w:sz w:val="20"/>
                <w:szCs w:val="20"/>
              </w:rPr>
            </w:pPr>
            <w:r>
              <w:rPr>
                <w:rFonts w:cs="Arial"/>
                <w:sz w:val="20"/>
                <w:szCs w:val="20"/>
              </w:rPr>
              <w:t>11.00</w:t>
            </w:r>
          </w:p>
        </w:tc>
        <w:tc>
          <w:tcPr>
            <w:tcW w:w="510" w:type="pct"/>
            <w:tcBorders>
              <w:top w:val="nil"/>
              <w:bottom w:val="nil"/>
            </w:tcBorders>
            <w:vAlign w:val="center"/>
          </w:tcPr>
          <w:p w:rsidR="000E564F" w:rsidRDefault="000E564F">
            <w:pPr>
              <w:jc w:val="center"/>
              <w:rPr>
                <w:rFonts w:cs="Arial"/>
                <w:sz w:val="20"/>
                <w:szCs w:val="20"/>
              </w:rPr>
            </w:pPr>
            <w:r>
              <w:rPr>
                <w:rFonts w:cs="Arial"/>
                <w:sz w:val="20"/>
                <w:szCs w:val="20"/>
              </w:rPr>
              <w:t>11.00</w:t>
            </w:r>
          </w:p>
        </w:tc>
        <w:tc>
          <w:tcPr>
            <w:tcW w:w="507" w:type="pct"/>
            <w:tcBorders>
              <w:top w:val="nil"/>
              <w:bottom w:val="nil"/>
            </w:tcBorders>
            <w:vAlign w:val="center"/>
          </w:tcPr>
          <w:p w:rsidR="000E564F" w:rsidRDefault="000E564F">
            <w:pPr>
              <w:jc w:val="center"/>
              <w:rPr>
                <w:rFonts w:cs="Arial"/>
                <w:sz w:val="20"/>
                <w:szCs w:val="20"/>
              </w:rPr>
            </w:pPr>
            <w:r>
              <w:rPr>
                <w:rFonts w:cs="Arial"/>
                <w:sz w:val="20"/>
                <w:szCs w:val="20"/>
              </w:rPr>
              <w:t>10.00</w:t>
            </w:r>
          </w:p>
        </w:tc>
        <w:tc>
          <w:tcPr>
            <w:tcW w:w="578" w:type="pct"/>
            <w:tcBorders>
              <w:top w:val="nil"/>
              <w:bottom w:val="nil"/>
            </w:tcBorders>
            <w:vAlign w:val="center"/>
          </w:tcPr>
          <w:p w:rsidR="000E564F" w:rsidRDefault="000E564F">
            <w:pPr>
              <w:jc w:val="center"/>
              <w:rPr>
                <w:rFonts w:cs="Arial"/>
                <w:sz w:val="20"/>
                <w:szCs w:val="20"/>
              </w:rPr>
            </w:pPr>
            <w:r>
              <w:rPr>
                <w:rFonts w:cs="Arial"/>
                <w:sz w:val="20"/>
                <w:szCs w:val="20"/>
              </w:rPr>
              <w:t>10.00</w:t>
            </w:r>
          </w:p>
        </w:tc>
      </w:tr>
      <w:tr w:rsidR="000E564F"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nil"/>
            </w:tcBorders>
            <w:vAlign w:val="center"/>
          </w:tcPr>
          <w:p w:rsidR="000E564F" w:rsidRDefault="000E564F">
            <w:pPr>
              <w:rPr>
                <w:rFonts w:cs="Arial"/>
                <w:szCs w:val="20"/>
              </w:rPr>
            </w:pPr>
            <w:r>
              <w:rPr>
                <w:rFonts w:cs="Arial"/>
                <w:szCs w:val="20"/>
              </w:rPr>
              <w:t>Ex ante quantity (TJ)</w:t>
            </w:r>
          </w:p>
        </w:tc>
        <w:tc>
          <w:tcPr>
            <w:tcW w:w="580" w:type="pct"/>
            <w:tcBorders>
              <w:top w:val="nil"/>
              <w:bottom w:val="nil"/>
            </w:tcBorders>
            <w:vAlign w:val="center"/>
          </w:tcPr>
          <w:p w:rsidR="000E564F" w:rsidRDefault="000E564F">
            <w:pPr>
              <w:jc w:val="center"/>
              <w:rPr>
                <w:rFonts w:cs="Arial"/>
                <w:szCs w:val="20"/>
              </w:rPr>
            </w:pPr>
            <w:r>
              <w:rPr>
                <w:rFonts w:cs="Arial"/>
                <w:szCs w:val="20"/>
              </w:rPr>
              <w:t>192</w:t>
            </w:r>
          </w:p>
        </w:tc>
        <w:tc>
          <w:tcPr>
            <w:tcW w:w="508" w:type="pct"/>
            <w:tcBorders>
              <w:top w:val="nil"/>
              <w:bottom w:val="nil"/>
            </w:tcBorders>
            <w:vAlign w:val="center"/>
          </w:tcPr>
          <w:p w:rsidR="000E564F" w:rsidRDefault="000E564F">
            <w:pPr>
              <w:jc w:val="center"/>
              <w:rPr>
                <w:rFonts w:cs="Arial"/>
                <w:szCs w:val="20"/>
              </w:rPr>
            </w:pPr>
            <w:r>
              <w:rPr>
                <w:rFonts w:cs="Arial"/>
                <w:szCs w:val="20"/>
              </w:rPr>
              <w:t>220</w:t>
            </w:r>
          </w:p>
        </w:tc>
        <w:tc>
          <w:tcPr>
            <w:tcW w:w="589" w:type="pct"/>
            <w:tcBorders>
              <w:top w:val="nil"/>
              <w:bottom w:val="nil"/>
            </w:tcBorders>
            <w:vAlign w:val="center"/>
          </w:tcPr>
          <w:p w:rsidR="000E564F" w:rsidRDefault="000E564F">
            <w:pPr>
              <w:jc w:val="center"/>
              <w:rPr>
                <w:rFonts w:cs="Arial"/>
                <w:szCs w:val="20"/>
              </w:rPr>
            </w:pPr>
            <w:r>
              <w:rPr>
                <w:rFonts w:cs="Arial"/>
                <w:szCs w:val="20"/>
              </w:rPr>
              <w:t>234</w:t>
            </w:r>
          </w:p>
        </w:tc>
        <w:tc>
          <w:tcPr>
            <w:tcW w:w="517" w:type="pct"/>
            <w:tcBorders>
              <w:top w:val="nil"/>
              <w:bottom w:val="nil"/>
            </w:tcBorders>
            <w:vAlign w:val="center"/>
          </w:tcPr>
          <w:p w:rsidR="000E564F" w:rsidRDefault="000E564F">
            <w:pPr>
              <w:jc w:val="center"/>
              <w:rPr>
                <w:rFonts w:cs="Arial"/>
                <w:szCs w:val="20"/>
              </w:rPr>
            </w:pPr>
            <w:r>
              <w:rPr>
                <w:rFonts w:cs="Arial"/>
                <w:szCs w:val="20"/>
              </w:rPr>
              <w:t>213</w:t>
            </w:r>
          </w:p>
        </w:tc>
        <w:tc>
          <w:tcPr>
            <w:tcW w:w="510" w:type="pct"/>
            <w:tcBorders>
              <w:top w:val="nil"/>
              <w:bottom w:val="nil"/>
            </w:tcBorders>
            <w:vAlign w:val="center"/>
          </w:tcPr>
          <w:p w:rsidR="000E564F" w:rsidRDefault="000E564F">
            <w:pPr>
              <w:jc w:val="center"/>
              <w:rPr>
                <w:rFonts w:cs="Arial"/>
                <w:szCs w:val="20"/>
              </w:rPr>
            </w:pPr>
            <w:r>
              <w:rPr>
                <w:rFonts w:cs="Arial"/>
                <w:szCs w:val="20"/>
              </w:rPr>
              <w:t>231</w:t>
            </w:r>
          </w:p>
        </w:tc>
        <w:tc>
          <w:tcPr>
            <w:tcW w:w="507" w:type="pct"/>
            <w:tcBorders>
              <w:top w:val="nil"/>
              <w:bottom w:val="nil"/>
            </w:tcBorders>
            <w:vAlign w:val="center"/>
          </w:tcPr>
          <w:p w:rsidR="000E564F" w:rsidRDefault="000E564F">
            <w:pPr>
              <w:jc w:val="center"/>
              <w:rPr>
                <w:rFonts w:cs="Arial"/>
                <w:szCs w:val="20"/>
              </w:rPr>
            </w:pPr>
            <w:r>
              <w:rPr>
                <w:rFonts w:cs="Arial"/>
                <w:szCs w:val="20"/>
              </w:rPr>
              <w:t>216</w:t>
            </w:r>
          </w:p>
        </w:tc>
        <w:tc>
          <w:tcPr>
            <w:tcW w:w="578" w:type="pct"/>
            <w:tcBorders>
              <w:top w:val="nil"/>
              <w:bottom w:val="nil"/>
            </w:tcBorders>
            <w:vAlign w:val="center"/>
          </w:tcPr>
          <w:p w:rsidR="000E564F" w:rsidRDefault="000E564F">
            <w:pPr>
              <w:jc w:val="center"/>
              <w:rPr>
                <w:rFonts w:cs="Arial"/>
                <w:szCs w:val="20"/>
              </w:rPr>
            </w:pPr>
            <w:r>
              <w:rPr>
                <w:rFonts w:cs="Arial"/>
                <w:szCs w:val="20"/>
              </w:rPr>
              <w:t>196</w:t>
            </w:r>
          </w:p>
        </w:tc>
      </w:tr>
      <w:tr w:rsidR="000E564F" w:rsidRPr="00405CDE" w:rsidTr="00A226E9">
        <w:trPr>
          <w:trHeight w:val="510"/>
        </w:trPr>
        <w:tc>
          <w:tcPr>
            <w:tcW w:w="1211" w:type="pct"/>
            <w:tcBorders>
              <w:top w:val="nil"/>
              <w:bottom w:val="nil"/>
            </w:tcBorders>
            <w:vAlign w:val="center"/>
          </w:tcPr>
          <w:p w:rsidR="000E564F" w:rsidRDefault="000E564F">
            <w:pPr>
              <w:rPr>
                <w:rFonts w:cs="Arial"/>
                <w:sz w:val="20"/>
                <w:szCs w:val="20"/>
              </w:rPr>
            </w:pPr>
            <w:r>
              <w:rPr>
                <w:rFonts w:cs="Arial"/>
                <w:sz w:val="20"/>
                <w:szCs w:val="20"/>
              </w:rPr>
              <w:t>Ex post price ($/GJ)</w:t>
            </w:r>
          </w:p>
        </w:tc>
        <w:tc>
          <w:tcPr>
            <w:tcW w:w="580" w:type="pct"/>
            <w:tcBorders>
              <w:top w:val="nil"/>
              <w:bottom w:val="nil"/>
            </w:tcBorders>
            <w:vAlign w:val="center"/>
          </w:tcPr>
          <w:p w:rsidR="000E564F" w:rsidRDefault="000E564F">
            <w:pPr>
              <w:jc w:val="center"/>
              <w:rPr>
                <w:rFonts w:cs="Arial"/>
                <w:sz w:val="20"/>
                <w:szCs w:val="20"/>
              </w:rPr>
            </w:pPr>
            <w:r>
              <w:rPr>
                <w:rFonts w:cs="Arial"/>
                <w:sz w:val="20"/>
                <w:szCs w:val="20"/>
              </w:rPr>
              <w:t>12.69</w:t>
            </w:r>
          </w:p>
        </w:tc>
        <w:tc>
          <w:tcPr>
            <w:tcW w:w="508" w:type="pct"/>
            <w:tcBorders>
              <w:top w:val="nil"/>
              <w:bottom w:val="nil"/>
            </w:tcBorders>
            <w:vAlign w:val="center"/>
          </w:tcPr>
          <w:p w:rsidR="000E564F" w:rsidRDefault="000E564F">
            <w:pPr>
              <w:jc w:val="center"/>
              <w:rPr>
                <w:rFonts w:cs="Arial"/>
                <w:sz w:val="20"/>
                <w:szCs w:val="20"/>
              </w:rPr>
            </w:pPr>
            <w:r>
              <w:rPr>
                <w:rFonts w:cs="Arial"/>
                <w:sz w:val="20"/>
                <w:szCs w:val="20"/>
              </w:rPr>
              <w:t>9.60</w:t>
            </w:r>
          </w:p>
        </w:tc>
        <w:tc>
          <w:tcPr>
            <w:tcW w:w="589" w:type="pct"/>
            <w:tcBorders>
              <w:top w:val="nil"/>
              <w:bottom w:val="nil"/>
            </w:tcBorders>
            <w:vAlign w:val="center"/>
          </w:tcPr>
          <w:p w:rsidR="000E564F" w:rsidRDefault="000E564F">
            <w:pPr>
              <w:jc w:val="center"/>
              <w:rPr>
                <w:rFonts w:cs="Arial"/>
                <w:sz w:val="20"/>
                <w:szCs w:val="20"/>
              </w:rPr>
            </w:pPr>
            <w:r>
              <w:rPr>
                <w:rFonts w:cs="Arial"/>
                <w:sz w:val="20"/>
                <w:szCs w:val="20"/>
              </w:rPr>
              <w:t>9.98</w:t>
            </w:r>
          </w:p>
        </w:tc>
        <w:tc>
          <w:tcPr>
            <w:tcW w:w="517" w:type="pct"/>
            <w:tcBorders>
              <w:top w:val="nil"/>
              <w:bottom w:val="nil"/>
            </w:tcBorders>
            <w:vAlign w:val="center"/>
          </w:tcPr>
          <w:p w:rsidR="000E564F" w:rsidRDefault="000E564F">
            <w:pPr>
              <w:jc w:val="center"/>
              <w:rPr>
                <w:rFonts w:cs="Arial"/>
                <w:sz w:val="20"/>
                <w:szCs w:val="20"/>
              </w:rPr>
            </w:pPr>
            <w:r>
              <w:rPr>
                <w:rFonts w:cs="Arial"/>
                <w:sz w:val="20"/>
                <w:szCs w:val="20"/>
              </w:rPr>
              <w:t>11.00</w:t>
            </w:r>
          </w:p>
        </w:tc>
        <w:tc>
          <w:tcPr>
            <w:tcW w:w="510" w:type="pct"/>
            <w:tcBorders>
              <w:top w:val="nil"/>
              <w:bottom w:val="nil"/>
            </w:tcBorders>
            <w:vAlign w:val="center"/>
          </w:tcPr>
          <w:p w:rsidR="000E564F" w:rsidRDefault="000E564F">
            <w:pPr>
              <w:jc w:val="center"/>
              <w:rPr>
                <w:rFonts w:cs="Arial"/>
                <w:sz w:val="20"/>
                <w:szCs w:val="20"/>
              </w:rPr>
            </w:pPr>
            <w:r>
              <w:rPr>
                <w:rFonts w:cs="Arial"/>
                <w:sz w:val="20"/>
                <w:szCs w:val="20"/>
              </w:rPr>
              <w:t>10.30</w:t>
            </w:r>
          </w:p>
        </w:tc>
        <w:tc>
          <w:tcPr>
            <w:tcW w:w="507" w:type="pct"/>
            <w:tcBorders>
              <w:top w:val="nil"/>
              <w:bottom w:val="nil"/>
            </w:tcBorders>
            <w:vAlign w:val="center"/>
          </w:tcPr>
          <w:p w:rsidR="000E564F" w:rsidRDefault="000E564F">
            <w:pPr>
              <w:jc w:val="center"/>
              <w:rPr>
                <w:rFonts w:cs="Arial"/>
                <w:sz w:val="20"/>
                <w:szCs w:val="20"/>
              </w:rPr>
            </w:pPr>
            <w:r>
              <w:rPr>
                <w:rFonts w:cs="Arial"/>
                <w:sz w:val="20"/>
                <w:szCs w:val="20"/>
              </w:rPr>
              <w:t>9.80</w:t>
            </w:r>
          </w:p>
        </w:tc>
        <w:tc>
          <w:tcPr>
            <w:tcW w:w="578" w:type="pct"/>
            <w:tcBorders>
              <w:top w:val="nil"/>
              <w:bottom w:val="nil"/>
            </w:tcBorders>
            <w:vAlign w:val="center"/>
          </w:tcPr>
          <w:p w:rsidR="000E564F" w:rsidRDefault="000E564F">
            <w:pPr>
              <w:jc w:val="center"/>
              <w:rPr>
                <w:rFonts w:cs="Arial"/>
                <w:sz w:val="20"/>
                <w:szCs w:val="20"/>
              </w:rPr>
            </w:pPr>
            <w:r>
              <w:rPr>
                <w:rFonts w:cs="Arial"/>
                <w:sz w:val="20"/>
                <w:szCs w:val="20"/>
              </w:rPr>
              <w:t>10.03</w:t>
            </w:r>
          </w:p>
        </w:tc>
      </w:tr>
      <w:tr w:rsidR="000E564F"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single" w:sz="4" w:space="0" w:color="auto"/>
            </w:tcBorders>
            <w:vAlign w:val="center"/>
          </w:tcPr>
          <w:p w:rsidR="000E564F" w:rsidRDefault="000E564F">
            <w:pPr>
              <w:rPr>
                <w:rFonts w:cs="Arial"/>
                <w:szCs w:val="20"/>
              </w:rPr>
            </w:pPr>
            <w:r>
              <w:rPr>
                <w:rFonts w:cs="Arial"/>
                <w:szCs w:val="20"/>
              </w:rPr>
              <w:t>Ex post quantity (TJ)</w:t>
            </w:r>
          </w:p>
        </w:tc>
        <w:tc>
          <w:tcPr>
            <w:tcW w:w="580" w:type="pct"/>
            <w:tcBorders>
              <w:top w:val="nil"/>
              <w:bottom w:val="single" w:sz="4" w:space="0" w:color="auto"/>
            </w:tcBorders>
            <w:vAlign w:val="center"/>
          </w:tcPr>
          <w:p w:rsidR="000E564F" w:rsidRDefault="000E564F">
            <w:pPr>
              <w:jc w:val="center"/>
              <w:rPr>
                <w:rFonts w:cs="Arial"/>
                <w:szCs w:val="20"/>
              </w:rPr>
            </w:pPr>
            <w:r>
              <w:rPr>
                <w:rFonts w:cs="Arial"/>
                <w:szCs w:val="20"/>
              </w:rPr>
              <w:t>190</w:t>
            </w:r>
          </w:p>
        </w:tc>
        <w:tc>
          <w:tcPr>
            <w:tcW w:w="508" w:type="pct"/>
            <w:tcBorders>
              <w:top w:val="nil"/>
              <w:bottom w:val="single" w:sz="4" w:space="0" w:color="auto"/>
            </w:tcBorders>
            <w:vAlign w:val="center"/>
          </w:tcPr>
          <w:p w:rsidR="000E564F" w:rsidRDefault="000E564F">
            <w:pPr>
              <w:jc w:val="center"/>
              <w:rPr>
                <w:rFonts w:cs="Arial"/>
                <w:szCs w:val="20"/>
              </w:rPr>
            </w:pPr>
            <w:r>
              <w:rPr>
                <w:rFonts w:cs="Arial"/>
                <w:szCs w:val="20"/>
              </w:rPr>
              <w:t>212</w:t>
            </w:r>
          </w:p>
        </w:tc>
        <w:tc>
          <w:tcPr>
            <w:tcW w:w="589" w:type="pct"/>
            <w:tcBorders>
              <w:top w:val="nil"/>
              <w:bottom w:val="single" w:sz="4" w:space="0" w:color="auto"/>
            </w:tcBorders>
            <w:vAlign w:val="center"/>
          </w:tcPr>
          <w:p w:rsidR="000E564F" w:rsidRDefault="000E564F">
            <w:pPr>
              <w:jc w:val="center"/>
              <w:rPr>
                <w:rFonts w:cs="Arial"/>
                <w:szCs w:val="20"/>
              </w:rPr>
            </w:pPr>
            <w:r>
              <w:rPr>
                <w:rFonts w:cs="Arial"/>
                <w:szCs w:val="20"/>
              </w:rPr>
              <w:t>221</w:t>
            </w:r>
          </w:p>
        </w:tc>
        <w:tc>
          <w:tcPr>
            <w:tcW w:w="517" w:type="pct"/>
            <w:tcBorders>
              <w:top w:val="nil"/>
              <w:bottom w:val="single" w:sz="4" w:space="0" w:color="auto"/>
            </w:tcBorders>
            <w:vAlign w:val="center"/>
          </w:tcPr>
          <w:p w:rsidR="000E564F" w:rsidRDefault="000E564F">
            <w:pPr>
              <w:jc w:val="center"/>
              <w:rPr>
                <w:rFonts w:cs="Arial"/>
                <w:szCs w:val="20"/>
              </w:rPr>
            </w:pPr>
            <w:r>
              <w:rPr>
                <w:rFonts w:cs="Arial"/>
                <w:szCs w:val="20"/>
              </w:rPr>
              <w:t>212</w:t>
            </w:r>
          </w:p>
        </w:tc>
        <w:tc>
          <w:tcPr>
            <w:tcW w:w="510" w:type="pct"/>
            <w:tcBorders>
              <w:top w:val="nil"/>
              <w:bottom w:val="single" w:sz="4" w:space="0" w:color="auto"/>
            </w:tcBorders>
            <w:vAlign w:val="center"/>
          </w:tcPr>
          <w:p w:rsidR="000E564F" w:rsidRDefault="000E564F">
            <w:pPr>
              <w:jc w:val="center"/>
              <w:rPr>
                <w:rFonts w:cs="Arial"/>
                <w:szCs w:val="20"/>
              </w:rPr>
            </w:pPr>
            <w:r>
              <w:rPr>
                <w:rFonts w:cs="Arial"/>
                <w:szCs w:val="20"/>
              </w:rPr>
              <w:t>218</w:t>
            </w:r>
          </w:p>
        </w:tc>
        <w:tc>
          <w:tcPr>
            <w:tcW w:w="507" w:type="pct"/>
            <w:tcBorders>
              <w:top w:val="nil"/>
              <w:bottom w:val="single" w:sz="4" w:space="0" w:color="auto"/>
            </w:tcBorders>
            <w:vAlign w:val="center"/>
          </w:tcPr>
          <w:p w:rsidR="000E564F" w:rsidRDefault="000E564F">
            <w:pPr>
              <w:jc w:val="center"/>
              <w:rPr>
                <w:rFonts w:cs="Arial"/>
                <w:szCs w:val="20"/>
              </w:rPr>
            </w:pPr>
            <w:r>
              <w:rPr>
                <w:rFonts w:cs="Arial"/>
                <w:szCs w:val="20"/>
              </w:rPr>
              <w:t>210</w:t>
            </w:r>
          </w:p>
        </w:tc>
        <w:tc>
          <w:tcPr>
            <w:tcW w:w="578" w:type="pct"/>
            <w:tcBorders>
              <w:top w:val="nil"/>
              <w:bottom w:val="single" w:sz="4" w:space="0" w:color="auto"/>
            </w:tcBorders>
            <w:vAlign w:val="center"/>
          </w:tcPr>
          <w:p w:rsidR="000E564F" w:rsidRDefault="000E564F">
            <w:pPr>
              <w:jc w:val="center"/>
              <w:rPr>
                <w:rFonts w:cs="Arial"/>
                <w:szCs w:val="20"/>
              </w:rPr>
            </w:pPr>
            <w:r>
              <w:rPr>
                <w:rFonts w:cs="Arial"/>
                <w:szCs w:val="20"/>
              </w:rPr>
              <w:t>199</w:t>
            </w:r>
          </w:p>
        </w:tc>
      </w:tr>
    </w:tbl>
    <w:p w:rsidR="00EC2CB1" w:rsidRPr="001521CB" w:rsidRDefault="00EC2CB1" w:rsidP="00EC2CB1">
      <w:pPr>
        <w:pStyle w:val="Caption"/>
        <w:numPr>
          <w:ilvl w:val="0"/>
          <w:numId w:val="30"/>
        </w:numPr>
        <w:ind w:left="709" w:hanging="709"/>
      </w:pPr>
      <w:r w:rsidRPr="00DD0358">
        <w:rPr>
          <w:color w:val="2272A3"/>
          <w:szCs w:val="24"/>
        </w:rPr>
        <w:t>SYD daily hub offers and daily hub bids in price bands ($/GJ)</w:t>
      </w:r>
    </w:p>
    <w:p w:rsidR="00EC2CB1" w:rsidRDefault="000E564F" w:rsidP="00EC2CB1">
      <w:r w:rsidRPr="000E564F">
        <w:rPr>
          <w:noProof/>
          <w:lang w:eastAsia="en-AU"/>
        </w:rPr>
        <w:drawing>
          <wp:inline distT="0" distB="0" distL="0" distR="0" wp14:anchorId="501C6678" wp14:editId="6C93E980">
            <wp:extent cx="5731510" cy="2046203"/>
            <wp:effectExtent l="0" t="0" r="0" b="0"/>
            <wp:docPr id="17" name="Picture 17" descr="Figure 2.2 shows the daily hub offers and bid in within certain price bands in Sydney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046203"/>
                    </a:xfrm>
                    <a:prstGeom prst="rect">
                      <a:avLst/>
                    </a:prstGeom>
                    <a:noFill/>
                    <a:ln>
                      <a:noFill/>
                    </a:ln>
                  </pic:spPr>
                </pic:pic>
              </a:graphicData>
            </a:graphic>
          </wp:inline>
        </w:drawing>
      </w:r>
    </w:p>
    <w:p w:rsidR="00EC2CB1" w:rsidRDefault="00EC2CB1" w:rsidP="00EC2CB1"/>
    <w:p w:rsidR="00EC2CB1" w:rsidRPr="001521CB" w:rsidRDefault="00EC2CB1" w:rsidP="00EC2CB1">
      <w:pPr>
        <w:pStyle w:val="Caption"/>
        <w:numPr>
          <w:ilvl w:val="0"/>
          <w:numId w:val="30"/>
        </w:numPr>
        <w:ind w:left="709" w:hanging="709"/>
      </w:pPr>
      <w:r w:rsidRPr="00DD0358">
        <w:rPr>
          <w:color w:val="2272A3"/>
          <w:szCs w:val="24"/>
        </w:rPr>
        <w:lastRenderedPageBreak/>
        <w:t>SYD net scheduled and allocated gas hub supply (excluding MOS)</w:t>
      </w:r>
    </w:p>
    <w:p w:rsidR="00EC2CB1" w:rsidRDefault="000E564F" w:rsidP="000E564F">
      <w:pPr>
        <w:spacing w:line="240" w:lineRule="auto"/>
      </w:pPr>
      <w:r w:rsidRPr="000E564F">
        <w:rPr>
          <w:noProof/>
          <w:lang w:eastAsia="en-AU"/>
        </w:rPr>
        <w:drawing>
          <wp:inline distT="0" distB="0" distL="0" distR="0" wp14:anchorId="0171C086" wp14:editId="03F39340">
            <wp:extent cx="5731510" cy="2555336"/>
            <wp:effectExtent l="0" t="0" r="2540" b="0"/>
            <wp:docPr id="19" name="Picture 19" descr="Figure 2.3 shows the daily scheduled and allocated quantities sorted by facility for Sydney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555336"/>
                    </a:xfrm>
                    <a:prstGeom prst="rect">
                      <a:avLst/>
                    </a:prstGeom>
                    <a:noFill/>
                    <a:ln>
                      <a:noFill/>
                    </a:ln>
                  </pic:spPr>
                </pic:pic>
              </a:graphicData>
            </a:graphic>
          </wp:inline>
        </w:drawing>
      </w:r>
    </w:p>
    <w:p w:rsidR="00EC2CB1" w:rsidRPr="00552F68" w:rsidRDefault="00EC2CB1" w:rsidP="00EC2CB1">
      <w:pPr>
        <w:pStyle w:val="Caption"/>
        <w:numPr>
          <w:ilvl w:val="0"/>
          <w:numId w:val="30"/>
        </w:numPr>
        <w:ind w:left="1418" w:hanging="1418"/>
      </w:pPr>
      <w:r w:rsidRPr="00DD0358">
        <w:rPr>
          <w:color w:val="2272A3"/>
          <w:szCs w:val="24"/>
        </w:rPr>
        <w:t>SYD MOS allocations (TJ), service payments and commodity payments/charges ($</w:t>
      </w:r>
      <w:r w:rsidRPr="00552F68">
        <w:rPr>
          <w:color w:val="2272A3"/>
          <w:szCs w:val="24"/>
        </w:rPr>
        <w:t>000)</w:t>
      </w:r>
      <w:r w:rsidR="00914872" w:rsidRPr="00552F68">
        <w:rPr>
          <w:rStyle w:val="FootnoteReference"/>
          <w:color w:val="2272A3"/>
          <w:szCs w:val="24"/>
        </w:rPr>
        <w:footnoteReference w:id="7"/>
      </w:r>
    </w:p>
    <w:p w:rsidR="00EC2CB1" w:rsidRDefault="000E564F" w:rsidP="00EC2CB1">
      <w:r w:rsidRPr="000E564F">
        <w:rPr>
          <w:noProof/>
          <w:lang w:eastAsia="en-AU"/>
        </w:rPr>
        <w:drawing>
          <wp:inline distT="0" distB="0" distL="0" distR="0" wp14:anchorId="3264A511" wp14:editId="5A1D3F99">
            <wp:extent cx="5731510" cy="2175613"/>
            <wp:effectExtent l="0" t="0" r="2540" b="0"/>
            <wp:docPr id="21" name="Picture 21" descr="Figure 2.4 shows the daily MOS allocations sorted by facility for each facility in Sydney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175613"/>
                    </a:xfrm>
                    <a:prstGeom prst="rect">
                      <a:avLst/>
                    </a:prstGeom>
                    <a:noFill/>
                    <a:ln>
                      <a:noFill/>
                    </a:ln>
                  </pic:spPr>
                </pic:pic>
              </a:graphicData>
            </a:graphic>
          </wp:inline>
        </w:drawing>
      </w:r>
    </w:p>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3</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Adelaide STTM</w:t>
      </w:r>
    </w:p>
    <w:p w:rsidR="00EC2CB1" w:rsidRPr="003625A6" w:rsidRDefault="00EC2CB1" w:rsidP="00EC2CB1">
      <w:pPr>
        <w:jc w:val="both"/>
      </w:pPr>
      <w:r>
        <w:t>The Adelaide STTM hub functions in the same way as the Sydney STTM hub.  The same data that was presented for the Sydney hub is presented for the Adelaide hub in the figures below.</w:t>
      </w:r>
    </w:p>
    <w:p w:rsidR="004C571B" w:rsidRDefault="00EC2CB1" w:rsidP="004C571B">
      <w:pPr>
        <w:pStyle w:val="Caption"/>
        <w:numPr>
          <w:ilvl w:val="0"/>
          <w:numId w:val="31"/>
        </w:numPr>
        <w:ind w:left="709" w:hanging="709"/>
        <w:rPr>
          <w:color w:val="2272A3"/>
          <w:szCs w:val="24"/>
        </w:rPr>
      </w:pPr>
      <w:r>
        <w:rPr>
          <w:color w:val="2272A3"/>
          <w:szCs w:val="24"/>
        </w:rPr>
        <w:t>ADL</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0E564F" w:rsidRPr="00405CDE" w:rsidTr="00A226E9">
        <w:trPr>
          <w:trHeight w:val="389"/>
        </w:trPr>
        <w:tc>
          <w:tcPr>
            <w:tcW w:w="1152" w:type="pct"/>
            <w:tcBorders>
              <w:top w:val="nil"/>
              <w:bottom w:val="nil"/>
            </w:tcBorders>
            <w:vAlign w:val="center"/>
          </w:tcPr>
          <w:p w:rsidR="000E564F" w:rsidRDefault="000E564F">
            <w:pPr>
              <w:rPr>
                <w:rFonts w:cs="Arial"/>
                <w:sz w:val="20"/>
                <w:szCs w:val="20"/>
              </w:rPr>
            </w:pPr>
            <w:r>
              <w:rPr>
                <w:rFonts w:cs="Arial"/>
                <w:sz w:val="20"/>
                <w:szCs w:val="20"/>
              </w:rPr>
              <w:t>Ex ante price ($/GJ)</w:t>
            </w:r>
          </w:p>
        </w:tc>
        <w:tc>
          <w:tcPr>
            <w:tcW w:w="589" w:type="pct"/>
            <w:tcBorders>
              <w:top w:val="nil"/>
              <w:bottom w:val="nil"/>
            </w:tcBorders>
            <w:vAlign w:val="center"/>
          </w:tcPr>
          <w:p w:rsidR="000E564F" w:rsidRDefault="000E564F">
            <w:pPr>
              <w:jc w:val="center"/>
              <w:rPr>
                <w:rFonts w:cs="Arial"/>
                <w:sz w:val="20"/>
                <w:szCs w:val="20"/>
              </w:rPr>
            </w:pPr>
            <w:r>
              <w:rPr>
                <w:rFonts w:cs="Arial"/>
                <w:sz w:val="20"/>
                <w:szCs w:val="20"/>
              </w:rPr>
              <w:t>14.69</w:t>
            </w:r>
          </w:p>
        </w:tc>
        <w:tc>
          <w:tcPr>
            <w:tcW w:w="516" w:type="pct"/>
            <w:tcBorders>
              <w:top w:val="nil"/>
              <w:bottom w:val="nil"/>
            </w:tcBorders>
            <w:vAlign w:val="center"/>
          </w:tcPr>
          <w:p w:rsidR="000E564F" w:rsidRDefault="000E564F">
            <w:pPr>
              <w:jc w:val="center"/>
              <w:rPr>
                <w:rFonts w:cs="Arial"/>
                <w:sz w:val="20"/>
                <w:szCs w:val="20"/>
              </w:rPr>
            </w:pPr>
            <w:r>
              <w:rPr>
                <w:rFonts w:cs="Arial"/>
                <w:sz w:val="20"/>
                <w:szCs w:val="20"/>
              </w:rPr>
              <w:t>12.09</w:t>
            </w:r>
          </w:p>
        </w:tc>
        <w:tc>
          <w:tcPr>
            <w:tcW w:w="598" w:type="pct"/>
            <w:tcBorders>
              <w:top w:val="nil"/>
              <w:bottom w:val="nil"/>
            </w:tcBorders>
            <w:vAlign w:val="center"/>
          </w:tcPr>
          <w:p w:rsidR="000E564F" w:rsidRDefault="000E564F">
            <w:pPr>
              <w:jc w:val="center"/>
              <w:rPr>
                <w:rFonts w:cs="Arial"/>
                <w:sz w:val="20"/>
                <w:szCs w:val="20"/>
              </w:rPr>
            </w:pPr>
            <w:r>
              <w:rPr>
                <w:rFonts w:cs="Arial"/>
                <w:sz w:val="20"/>
                <w:szCs w:val="20"/>
              </w:rPr>
              <w:t>10.30</w:t>
            </w:r>
          </w:p>
        </w:tc>
        <w:tc>
          <w:tcPr>
            <w:tcW w:w="525" w:type="pct"/>
            <w:tcBorders>
              <w:top w:val="nil"/>
              <w:bottom w:val="nil"/>
            </w:tcBorders>
            <w:vAlign w:val="center"/>
          </w:tcPr>
          <w:p w:rsidR="000E564F" w:rsidRDefault="000E564F">
            <w:pPr>
              <w:jc w:val="center"/>
              <w:rPr>
                <w:rFonts w:cs="Arial"/>
                <w:sz w:val="20"/>
                <w:szCs w:val="20"/>
              </w:rPr>
            </w:pPr>
            <w:r>
              <w:rPr>
                <w:rFonts w:cs="Arial"/>
                <w:sz w:val="20"/>
                <w:szCs w:val="20"/>
              </w:rPr>
              <w:t>12.00</w:t>
            </w:r>
          </w:p>
        </w:tc>
        <w:tc>
          <w:tcPr>
            <w:tcW w:w="518" w:type="pct"/>
            <w:tcBorders>
              <w:top w:val="nil"/>
              <w:bottom w:val="nil"/>
            </w:tcBorders>
            <w:vAlign w:val="center"/>
          </w:tcPr>
          <w:p w:rsidR="000E564F" w:rsidRDefault="000E564F">
            <w:pPr>
              <w:jc w:val="center"/>
              <w:rPr>
                <w:rFonts w:cs="Arial"/>
                <w:sz w:val="20"/>
                <w:szCs w:val="20"/>
              </w:rPr>
            </w:pPr>
            <w:r>
              <w:rPr>
                <w:rFonts w:cs="Arial"/>
                <w:sz w:val="20"/>
                <w:szCs w:val="20"/>
              </w:rPr>
              <w:t>11.50</w:t>
            </w:r>
          </w:p>
        </w:tc>
        <w:tc>
          <w:tcPr>
            <w:tcW w:w="515" w:type="pct"/>
            <w:tcBorders>
              <w:top w:val="nil"/>
              <w:bottom w:val="nil"/>
            </w:tcBorders>
            <w:vAlign w:val="center"/>
          </w:tcPr>
          <w:p w:rsidR="000E564F" w:rsidRDefault="000E564F">
            <w:pPr>
              <w:jc w:val="center"/>
              <w:rPr>
                <w:rFonts w:cs="Arial"/>
                <w:sz w:val="20"/>
                <w:szCs w:val="20"/>
              </w:rPr>
            </w:pPr>
            <w:r>
              <w:rPr>
                <w:rFonts w:cs="Arial"/>
                <w:sz w:val="20"/>
                <w:szCs w:val="20"/>
              </w:rPr>
              <w:t>10.15</w:t>
            </w:r>
          </w:p>
        </w:tc>
        <w:tc>
          <w:tcPr>
            <w:tcW w:w="587" w:type="pct"/>
            <w:tcBorders>
              <w:top w:val="nil"/>
              <w:bottom w:val="nil"/>
            </w:tcBorders>
            <w:vAlign w:val="center"/>
          </w:tcPr>
          <w:p w:rsidR="000E564F" w:rsidRDefault="000E564F">
            <w:pPr>
              <w:jc w:val="center"/>
              <w:rPr>
                <w:rFonts w:cs="Arial"/>
                <w:sz w:val="20"/>
                <w:szCs w:val="20"/>
              </w:rPr>
            </w:pPr>
            <w:r>
              <w:rPr>
                <w:rFonts w:cs="Arial"/>
                <w:sz w:val="20"/>
                <w:szCs w:val="20"/>
              </w:rPr>
              <w:t>9.15</w:t>
            </w:r>
          </w:p>
        </w:tc>
      </w:tr>
      <w:tr w:rsidR="000E564F" w:rsidRPr="00405CDE" w:rsidTr="00A226E9">
        <w:trPr>
          <w:cnfStyle w:val="000000010000" w:firstRow="0" w:lastRow="0" w:firstColumn="0" w:lastColumn="0" w:oddVBand="0" w:evenVBand="0" w:oddHBand="0" w:evenHBand="1" w:firstRowFirstColumn="0" w:firstRowLastColumn="0" w:lastRowFirstColumn="0" w:lastRowLastColumn="0"/>
          <w:trHeight w:val="325"/>
        </w:trPr>
        <w:tc>
          <w:tcPr>
            <w:tcW w:w="1152" w:type="pct"/>
            <w:tcBorders>
              <w:top w:val="nil"/>
              <w:bottom w:val="nil"/>
            </w:tcBorders>
            <w:vAlign w:val="center"/>
          </w:tcPr>
          <w:p w:rsidR="000E564F" w:rsidRDefault="000E564F">
            <w:pPr>
              <w:rPr>
                <w:rFonts w:cs="Arial"/>
                <w:szCs w:val="20"/>
              </w:rPr>
            </w:pPr>
            <w:r>
              <w:rPr>
                <w:rFonts w:cs="Arial"/>
                <w:szCs w:val="20"/>
              </w:rPr>
              <w:t>Ex ante quantity (TJ)</w:t>
            </w:r>
          </w:p>
        </w:tc>
        <w:tc>
          <w:tcPr>
            <w:tcW w:w="589" w:type="pct"/>
            <w:tcBorders>
              <w:top w:val="nil"/>
              <w:bottom w:val="nil"/>
            </w:tcBorders>
            <w:vAlign w:val="center"/>
          </w:tcPr>
          <w:p w:rsidR="000E564F" w:rsidRDefault="000E564F">
            <w:pPr>
              <w:jc w:val="center"/>
              <w:rPr>
                <w:rFonts w:cs="Arial"/>
                <w:szCs w:val="20"/>
              </w:rPr>
            </w:pPr>
            <w:r>
              <w:rPr>
                <w:rFonts w:cs="Arial"/>
                <w:szCs w:val="20"/>
              </w:rPr>
              <w:t>43</w:t>
            </w:r>
          </w:p>
        </w:tc>
        <w:tc>
          <w:tcPr>
            <w:tcW w:w="516" w:type="pct"/>
            <w:tcBorders>
              <w:top w:val="nil"/>
              <w:bottom w:val="nil"/>
            </w:tcBorders>
            <w:vAlign w:val="center"/>
          </w:tcPr>
          <w:p w:rsidR="000E564F" w:rsidRDefault="000E564F">
            <w:pPr>
              <w:jc w:val="center"/>
              <w:rPr>
                <w:rFonts w:cs="Arial"/>
                <w:szCs w:val="20"/>
              </w:rPr>
            </w:pPr>
            <w:r>
              <w:rPr>
                <w:rFonts w:cs="Arial"/>
                <w:szCs w:val="20"/>
              </w:rPr>
              <w:t>52</w:t>
            </w:r>
          </w:p>
        </w:tc>
        <w:tc>
          <w:tcPr>
            <w:tcW w:w="598" w:type="pct"/>
            <w:tcBorders>
              <w:top w:val="nil"/>
              <w:bottom w:val="nil"/>
            </w:tcBorders>
            <w:vAlign w:val="center"/>
          </w:tcPr>
          <w:p w:rsidR="000E564F" w:rsidRDefault="000E564F">
            <w:pPr>
              <w:jc w:val="center"/>
              <w:rPr>
                <w:rFonts w:cs="Arial"/>
                <w:szCs w:val="20"/>
              </w:rPr>
            </w:pPr>
            <w:r>
              <w:rPr>
                <w:rFonts w:cs="Arial"/>
                <w:szCs w:val="20"/>
              </w:rPr>
              <w:t>51</w:t>
            </w:r>
          </w:p>
        </w:tc>
        <w:tc>
          <w:tcPr>
            <w:tcW w:w="525" w:type="pct"/>
            <w:tcBorders>
              <w:top w:val="nil"/>
              <w:bottom w:val="nil"/>
            </w:tcBorders>
            <w:vAlign w:val="center"/>
          </w:tcPr>
          <w:p w:rsidR="000E564F" w:rsidRDefault="000E564F">
            <w:pPr>
              <w:jc w:val="center"/>
              <w:rPr>
                <w:rFonts w:cs="Arial"/>
                <w:szCs w:val="20"/>
              </w:rPr>
            </w:pPr>
            <w:r>
              <w:rPr>
                <w:rFonts w:cs="Arial"/>
                <w:szCs w:val="20"/>
              </w:rPr>
              <w:t>51</w:t>
            </w:r>
          </w:p>
        </w:tc>
        <w:tc>
          <w:tcPr>
            <w:tcW w:w="518" w:type="pct"/>
            <w:tcBorders>
              <w:top w:val="nil"/>
              <w:bottom w:val="nil"/>
            </w:tcBorders>
            <w:vAlign w:val="center"/>
          </w:tcPr>
          <w:p w:rsidR="000E564F" w:rsidRDefault="000E564F">
            <w:pPr>
              <w:jc w:val="center"/>
              <w:rPr>
                <w:rFonts w:cs="Arial"/>
                <w:szCs w:val="20"/>
              </w:rPr>
            </w:pPr>
            <w:r>
              <w:rPr>
                <w:rFonts w:cs="Arial"/>
                <w:szCs w:val="20"/>
              </w:rPr>
              <w:t>51</w:t>
            </w:r>
          </w:p>
        </w:tc>
        <w:tc>
          <w:tcPr>
            <w:tcW w:w="515" w:type="pct"/>
            <w:tcBorders>
              <w:top w:val="nil"/>
              <w:bottom w:val="nil"/>
            </w:tcBorders>
            <w:vAlign w:val="center"/>
          </w:tcPr>
          <w:p w:rsidR="000E564F" w:rsidRDefault="000E564F">
            <w:pPr>
              <w:jc w:val="center"/>
              <w:rPr>
                <w:rFonts w:cs="Arial"/>
                <w:szCs w:val="20"/>
              </w:rPr>
            </w:pPr>
            <w:r>
              <w:rPr>
                <w:rFonts w:cs="Arial"/>
                <w:szCs w:val="20"/>
              </w:rPr>
              <w:t>49</w:t>
            </w:r>
          </w:p>
        </w:tc>
        <w:tc>
          <w:tcPr>
            <w:tcW w:w="587" w:type="pct"/>
            <w:tcBorders>
              <w:top w:val="nil"/>
              <w:bottom w:val="nil"/>
            </w:tcBorders>
            <w:vAlign w:val="center"/>
          </w:tcPr>
          <w:p w:rsidR="000E564F" w:rsidRDefault="000E564F">
            <w:pPr>
              <w:jc w:val="center"/>
              <w:rPr>
                <w:rFonts w:cs="Arial"/>
                <w:szCs w:val="20"/>
              </w:rPr>
            </w:pPr>
            <w:r>
              <w:rPr>
                <w:rFonts w:cs="Arial"/>
                <w:szCs w:val="20"/>
              </w:rPr>
              <w:t>41</w:t>
            </w:r>
          </w:p>
        </w:tc>
      </w:tr>
      <w:tr w:rsidR="000E564F" w:rsidRPr="00405CDE" w:rsidTr="00A226E9">
        <w:trPr>
          <w:trHeight w:val="87"/>
        </w:trPr>
        <w:tc>
          <w:tcPr>
            <w:tcW w:w="1152" w:type="pct"/>
            <w:tcBorders>
              <w:top w:val="nil"/>
              <w:bottom w:val="nil"/>
            </w:tcBorders>
            <w:vAlign w:val="center"/>
          </w:tcPr>
          <w:p w:rsidR="000E564F" w:rsidRDefault="000E564F">
            <w:pPr>
              <w:rPr>
                <w:rFonts w:cs="Arial"/>
                <w:sz w:val="20"/>
                <w:szCs w:val="20"/>
              </w:rPr>
            </w:pPr>
            <w:r>
              <w:rPr>
                <w:rFonts w:cs="Arial"/>
                <w:sz w:val="20"/>
                <w:szCs w:val="20"/>
              </w:rPr>
              <w:t>Ex post price ($/GJ)</w:t>
            </w:r>
          </w:p>
        </w:tc>
        <w:tc>
          <w:tcPr>
            <w:tcW w:w="589" w:type="pct"/>
            <w:tcBorders>
              <w:top w:val="nil"/>
              <w:bottom w:val="nil"/>
            </w:tcBorders>
            <w:vAlign w:val="center"/>
          </w:tcPr>
          <w:p w:rsidR="000E564F" w:rsidRDefault="000E564F">
            <w:pPr>
              <w:jc w:val="center"/>
              <w:rPr>
                <w:rFonts w:cs="Arial"/>
                <w:sz w:val="20"/>
                <w:szCs w:val="20"/>
              </w:rPr>
            </w:pPr>
            <w:r>
              <w:rPr>
                <w:rFonts w:cs="Arial"/>
                <w:sz w:val="20"/>
                <w:szCs w:val="20"/>
              </w:rPr>
              <w:t>13.10</w:t>
            </w:r>
          </w:p>
        </w:tc>
        <w:tc>
          <w:tcPr>
            <w:tcW w:w="516" w:type="pct"/>
            <w:tcBorders>
              <w:top w:val="nil"/>
              <w:bottom w:val="nil"/>
            </w:tcBorders>
            <w:vAlign w:val="center"/>
          </w:tcPr>
          <w:p w:rsidR="000E564F" w:rsidRDefault="000E564F">
            <w:pPr>
              <w:jc w:val="center"/>
              <w:rPr>
                <w:rFonts w:cs="Arial"/>
                <w:sz w:val="20"/>
                <w:szCs w:val="20"/>
              </w:rPr>
            </w:pPr>
            <w:r>
              <w:rPr>
                <w:rFonts w:cs="Arial"/>
                <w:sz w:val="20"/>
                <w:szCs w:val="20"/>
              </w:rPr>
              <w:t>10.30</w:t>
            </w:r>
          </w:p>
        </w:tc>
        <w:tc>
          <w:tcPr>
            <w:tcW w:w="598" w:type="pct"/>
            <w:tcBorders>
              <w:top w:val="nil"/>
              <w:bottom w:val="nil"/>
            </w:tcBorders>
            <w:vAlign w:val="center"/>
          </w:tcPr>
          <w:p w:rsidR="000E564F" w:rsidRDefault="000E564F">
            <w:pPr>
              <w:jc w:val="center"/>
              <w:rPr>
                <w:rFonts w:cs="Arial"/>
                <w:sz w:val="20"/>
                <w:szCs w:val="20"/>
              </w:rPr>
            </w:pPr>
            <w:r>
              <w:rPr>
                <w:rFonts w:cs="Arial"/>
                <w:sz w:val="20"/>
                <w:szCs w:val="20"/>
              </w:rPr>
              <w:t>9.45</w:t>
            </w:r>
          </w:p>
        </w:tc>
        <w:tc>
          <w:tcPr>
            <w:tcW w:w="525" w:type="pct"/>
            <w:tcBorders>
              <w:top w:val="nil"/>
              <w:bottom w:val="nil"/>
            </w:tcBorders>
            <w:vAlign w:val="center"/>
          </w:tcPr>
          <w:p w:rsidR="000E564F" w:rsidRDefault="000E564F">
            <w:pPr>
              <w:jc w:val="center"/>
              <w:rPr>
                <w:rFonts w:cs="Arial"/>
                <w:sz w:val="20"/>
                <w:szCs w:val="20"/>
              </w:rPr>
            </w:pPr>
            <w:r>
              <w:rPr>
                <w:rFonts w:cs="Arial"/>
                <w:sz w:val="20"/>
                <w:szCs w:val="20"/>
              </w:rPr>
              <w:t>11.40</w:t>
            </w:r>
          </w:p>
        </w:tc>
        <w:tc>
          <w:tcPr>
            <w:tcW w:w="518" w:type="pct"/>
            <w:tcBorders>
              <w:top w:val="nil"/>
              <w:bottom w:val="nil"/>
            </w:tcBorders>
            <w:vAlign w:val="center"/>
          </w:tcPr>
          <w:p w:rsidR="000E564F" w:rsidRDefault="000E564F">
            <w:pPr>
              <w:jc w:val="center"/>
              <w:rPr>
                <w:rFonts w:cs="Arial"/>
                <w:sz w:val="20"/>
                <w:szCs w:val="20"/>
              </w:rPr>
            </w:pPr>
            <w:r>
              <w:rPr>
                <w:rFonts w:cs="Arial"/>
                <w:sz w:val="20"/>
                <w:szCs w:val="20"/>
              </w:rPr>
              <w:t>11.01</w:t>
            </w:r>
          </w:p>
        </w:tc>
        <w:tc>
          <w:tcPr>
            <w:tcW w:w="515" w:type="pct"/>
            <w:tcBorders>
              <w:top w:val="nil"/>
              <w:bottom w:val="nil"/>
            </w:tcBorders>
            <w:vAlign w:val="center"/>
          </w:tcPr>
          <w:p w:rsidR="000E564F" w:rsidRDefault="000E564F">
            <w:pPr>
              <w:jc w:val="center"/>
              <w:rPr>
                <w:rFonts w:cs="Arial"/>
                <w:sz w:val="20"/>
                <w:szCs w:val="20"/>
              </w:rPr>
            </w:pPr>
            <w:r>
              <w:rPr>
                <w:rFonts w:cs="Arial"/>
                <w:sz w:val="20"/>
                <w:szCs w:val="20"/>
              </w:rPr>
              <w:t>10.15</w:t>
            </w:r>
          </w:p>
        </w:tc>
        <w:tc>
          <w:tcPr>
            <w:tcW w:w="587" w:type="pct"/>
            <w:tcBorders>
              <w:top w:val="nil"/>
              <w:bottom w:val="nil"/>
            </w:tcBorders>
            <w:vAlign w:val="center"/>
          </w:tcPr>
          <w:p w:rsidR="000E564F" w:rsidRDefault="000E564F">
            <w:pPr>
              <w:jc w:val="center"/>
              <w:rPr>
                <w:rFonts w:cs="Arial"/>
                <w:sz w:val="20"/>
                <w:szCs w:val="20"/>
              </w:rPr>
            </w:pPr>
            <w:r>
              <w:rPr>
                <w:rFonts w:cs="Arial"/>
                <w:sz w:val="20"/>
                <w:szCs w:val="20"/>
              </w:rPr>
              <w:t>9.15</w:t>
            </w:r>
          </w:p>
        </w:tc>
      </w:tr>
      <w:tr w:rsidR="000E564F" w:rsidRPr="00405CDE" w:rsidTr="00A226E9">
        <w:trPr>
          <w:cnfStyle w:val="000000010000" w:firstRow="0" w:lastRow="0" w:firstColumn="0" w:lastColumn="0" w:oddVBand="0" w:evenVBand="0" w:oddHBand="0" w:evenHBand="1" w:firstRowFirstColumn="0" w:firstRowLastColumn="0" w:lastRowFirstColumn="0" w:lastRowLastColumn="0"/>
          <w:trHeight w:val="87"/>
        </w:trPr>
        <w:tc>
          <w:tcPr>
            <w:tcW w:w="1152" w:type="pct"/>
            <w:tcBorders>
              <w:top w:val="nil"/>
              <w:bottom w:val="single" w:sz="4" w:space="0" w:color="auto"/>
            </w:tcBorders>
            <w:vAlign w:val="center"/>
          </w:tcPr>
          <w:p w:rsidR="000E564F" w:rsidRDefault="000E564F">
            <w:pPr>
              <w:rPr>
                <w:rFonts w:cs="Arial"/>
                <w:szCs w:val="20"/>
              </w:rPr>
            </w:pPr>
            <w:r>
              <w:rPr>
                <w:rFonts w:cs="Arial"/>
                <w:szCs w:val="20"/>
              </w:rPr>
              <w:t>Ex post quantity (TJ)</w:t>
            </w:r>
          </w:p>
        </w:tc>
        <w:tc>
          <w:tcPr>
            <w:tcW w:w="589" w:type="pct"/>
            <w:tcBorders>
              <w:top w:val="nil"/>
              <w:bottom w:val="single" w:sz="4" w:space="0" w:color="auto"/>
            </w:tcBorders>
            <w:vAlign w:val="center"/>
          </w:tcPr>
          <w:p w:rsidR="000E564F" w:rsidRDefault="000E564F">
            <w:pPr>
              <w:jc w:val="center"/>
              <w:rPr>
                <w:rFonts w:cs="Arial"/>
                <w:szCs w:val="20"/>
              </w:rPr>
            </w:pPr>
            <w:r>
              <w:rPr>
                <w:rFonts w:cs="Arial"/>
                <w:szCs w:val="20"/>
              </w:rPr>
              <w:t>38</w:t>
            </w:r>
          </w:p>
        </w:tc>
        <w:tc>
          <w:tcPr>
            <w:tcW w:w="516" w:type="pct"/>
            <w:tcBorders>
              <w:top w:val="nil"/>
              <w:bottom w:val="single" w:sz="4" w:space="0" w:color="auto"/>
            </w:tcBorders>
            <w:vAlign w:val="center"/>
          </w:tcPr>
          <w:p w:rsidR="000E564F" w:rsidRDefault="000E564F">
            <w:pPr>
              <w:jc w:val="center"/>
              <w:rPr>
                <w:rFonts w:cs="Arial"/>
                <w:szCs w:val="20"/>
              </w:rPr>
            </w:pPr>
            <w:r>
              <w:rPr>
                <w:rFonts w:cs="Arial"/>
                <w:szCs w:val="20"/>
              </w:rPr>
              <w:t>46</w:t>
            </w:r>
          </w:p>
        </w:tc>
        <w:tc>
          <w:tcPr>
            <w:tcW w:w="598" w:type="pct"/>
            <w:tcBorders>
              <w:top w:val="nil"/>
              <w:bottom w:val="single" w:sz="4" w:space="0" w:color="auto"/>
            </w:tcBorders>
            <w:vAlign w:val="center"/>
          </w:tcPr>
          <w:p w:rsidR="000E564F" w:rsidRDefault="000E564F">
            <w:pPr>
              <w:jc w:val="center"/>
              <w:rPr>
                <w:rFonts w:cs="Arial"/>
                <w:szCs w:val="20"/>
              </w:rPr>
            </w:pPr>
            <w:r>
              <w:rPr>
                <w:rFonts w:cs="Arial"/>
                <w:szCs w:val="20"/>
              </w:rPr>
              <w:t>42</w:t>
            </w:r>
          </w:p>
        </w:tc>
        <w:tc>
          <w:tcPr>
            <w:tcW w:w="525" w:type="pct"/>
            <w:tcBorders>
              <w:top w:val="nil"/>
              <w:bottom w:val="single" w:sz="4" w:space="0" w:color="auto"/>
            </w:tcBorders>
            <w:vAlign w:val="center"/>
          </w:tcPr>
          <w:p w:rsidR="000E564F" w:rsidRDefault="000E564F">
            <w:pPr>
              <w:jc w:val="center"/>
              <w:rPr>
                <w:rFonts w:cs="Arial"/>
                <w:szCs w:val="20"/>
              </w:rPr>
            </w:pPr>
            <w:r>
              <w:rPr>
                <w:rFonts w:cs="Arial"/>
                <w:szCs w:val="20"/>
              </w:rPr>
              <w:t>49</w:t>
            </w:r>
          </w:p>
        </w:tc>
        <w:tc>
          <w:tcPr>
            <w:tcW w:w="518" w:type="pct"/>
            <w:tcBorders>
              <w:top w:val="nil"/>
              <w:bottom w:val="single" w:sz="4" w:space="0" w:color="auto"/>
            </w:tcBorders>
            <w:vAlign w:val="center"/>
          </w:tcPr>
          <w:p w:rsidR="000E564F" w:rsidRDefault="000E564F">
            <w:pPr>
              <w:jc w:val="center"/>
              <w:rPr>
                <w:rFonts w:cs="Arial"/>
                <w:szCs w:val="20"/>
              </w:rPr>
            </w:pPr>
            <w:r>
              <w:rPr>
                <w:rFonts w:cs="Arial"/>
                <w:szCs w:val="20"/>
              </w:rPr>
              <w:t>48</w:t>
            </w:r>
          </w:p>
        </w:tc>
        <w:tc>
          <w:tcPr>
            <w:tcW w:w="515" w:type="pct"/>
            <w:tcBorders>
              <w:top w:val="nil"/>
              <w:bottom w:val="single" w:sz="4" w:space="0" w:color="auto"/>
            </w:tcBorders>
            <w:vAlign w:val="center"/>
          </w:tcPr>
          <w:p w:rsidR="000E564F" w:rsidRDefault="000E564F">
            <w:pPr>
              <w:jc w:val="center"/>
              <w:rPr>
                <w:rFonts w:cs="Arial"/>
                <w:szCs w:val="20"/>
              </w:rPr>
            </w:pPr>
            <w:r>
              <w:rPr>
                <w:rFonts w:cs="Arial"/>
                <w:szCs w:val="20"/>
              </w:rPr>
              <w:t>49</w:t>
            </w:r>
          </w:p>
        </w:tc>
        <w:tc>
          <w:tcPr>
            <w:tcW w:w="587" w:type="pct"/>
            <w:tcBorders>
              <w:top w:val="nil"/>
              <w:bottom w:val="single" w:sz="4" w:space="0" w:color="auto"/>
            </w:tcBorders>
            <w:vAlign w:val="center"/>
          </w:tcPr>
          <w:p w:rsidR="000E564F" w:rsidRDefault="000E564F">
            <w:pPr>
              <w:jc w:val="center"/>
              <w:rPr>
                <w:rFonts w:cs="Arial"/>
                <w:szCs w:val="20"/>
              </w:rPr>
            </w:pPr>
            <w:r>
              <w:rPr>
                <w:rFonts w:cs="Arial"/>
                <w:szCs w:val="20"/>
              </w:rPr>
              <w:t>41</w:t>
            </w:r>
          </w:p>
        </w:tc>
      </w:tr>
    </w:tbl>
    <w:p w:rsidR="00EC2CB1" w:rsidRPr="001521CB" w:rsidRDefault="00EC2CB1" w:rsidP="00EC2CB1">
      <w:pPr>
        <w:pStyle w:val="Caption"/>
        <w:numPr>
          <w:ilvl w:val="0"/>
          <w:numId w:val="31"/>
        </w:numPr>
        <w:ind w:left="709" w:hanging="709"/>
      </w:pPr>
      <w:r w:rsidRPr="00DD0358">
        <w:rPr>
          <w:color w:val="2272A3"/>
          <w:szCs w:val="24"/>
        </w:rPr>
        <w:t>ADL daily hub offers and daily hub bids in price bands ($/GJ)</w:t>
      </w:r>
    </w:p>
    <w:p w:rsidR="00EC2CB1" w:rsidRDefault="00006B66" w:rsidP="00EC2CB1">
      <w:r w:rsidRPr="00006B66">
        <w:rPr>
          <w:noProof/>
          <w:lang w:eastAsia="en-AU"/>
        </w:rPr>
        <w:drawing>
          <wp:inline distT="0" distB="0" distL="0" distR="0" wp14:anchorId="2F1DBE8A" wp14:editId="23239039">
            <wp:extent cx="5731510" cy="1739923"/>
            <wp:effectExtent l="0" t="0" r="2540" b="0"/>
            <wp:docPr id="22" name="Picture 22" descr="Figure 3.2 shows the daily hub offers and bid in within certain price bands in Adelaide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1739923"/>
                    </a:xfrm>
                    <a:prstGeom prst="rect">
                      <a:avLst/>
                    </a:prstGeom>
                    <a:noFill/>
                    <a:ln>
                      <a:noFill/>
                    </a:ln>
                  </pic:spPr>
                </pic:pic>
              </a:graphicData>
            </a:graphic>
          </wp:inline>
        </w:drawing>
      </w:r>
    </w:p>
    <w:p w:rsidR="00EC2CB1" w:rsidRPr="001521CB" w:rsidRDefault="00EC2CB1" w:rsidP="00EC2CB1">
      <w:pPr>
        <w:pStyle w:val="Caption"/>
        <w:numPr>
          <w:ilvl w:val="0"/>
          <w:numId w:val="31"/>
        </w:numPr>
        <w:ind w:left="709" w:hanging="709"/>
      </w:pPr>
      <w:r w:rsidRPr="00DD0358">
        <w:rPr>
          <w:color w:val="2272A3"/>
          <w:szCs w:val="24"/>
        </w:rPr>
        <w:t>ADL net scheduled and allocated gas hub supply (excluding MOS)</w:t>
      </w:r>
    </w:p>
    <w:p w:rsidR="00EC2CB1" w:rsidRDefault="00006B66" w:rsidP="00EC2CB1">
      <w:r w:rsidRPr="00006B66">
        <w:rPr>
          <w:noProof/>
          <w:lang w:eastAsia="en-AU"/>
        </w:rPr>
        <w:drawing>
          <wp:inline distT="0" distB="0" distL="0" distR="0" wp14:anchorId="26609740" wp14:editId="62974319">
            <wp:extent cx="5731510" cy="1511607"/>
            <wp:effectExtent l="0" t="0" r="2540" b="0"/>
            <wp:docPr id="23" name="Picture 23" descr="Figure 3.3 shows the daily scheduled and allocated quantities sorted by facility for Adelaide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1511607"/>
                    </a:xfrm>
                    <a:prstGeom prst="rect">
                      <a:avLst/>
                    </a:prstGeom>
                    <a:noFill/>
                    <a:ln>
                      <a:noFill/>
                    </a:ln>
                  </pic:spPr>
                </pic:pic>
              </a:graphicData>
            </a:graphic>
          </wp:inline>
        </w:drawing>
      </w:r>
    </w:p>
    <w:p w:rsidR="00EC2CB1" w:rsidRPr="001521CB" w:rsidRDefault="00EC2CB1" w:rsidP="00EC2CB1">
      <w:pPr>
        <w:pStyle w:val="Caption"/>
        <w:numPr>
          <w:ilvl w:val="0"/>
          <w:numId w:val="31"/>
        </w:numPr>
        <w:ind w:left="1418" w:hanging="1418"/>
      </w:pPr>
      <w:r w:rsidRPr="00DD0358">
        <w:rPr>
          <w:color w:val="2272A3"/>
          <w:szCs w:val="24"/>
        </w:rPr>
        <w:t>ADL MOS allocations (TJ), service payments and commodity payments/charges ($000)</w:t>
      </w:r>
    </w:p>
    <w:p w:rsidR="00EC2CB1" w:rsidRPr="00A226E9" w:rsidRDefault="00006B66" w:rsidP="00A226E9">
      <w:r w:rsidRPr="00006B66">
        <w:rPr>
          <w:noProof/>
          <w:lang w:eastAsia="en-AU"/>
        </w:rPr>
        <w:drawing>
          <wp:inline distT="0" distB="0" distL="0" distR="0" wp14:anchorId="5FF5EF8B" wp14:editId="78F3A30D">
            <wp:extent cx="5731510" cy="1802652"/>
            <wp:effectExtent l="0" t="0" r="2540" b="7620"/>
            <wp:docPr id="24" name="Picture 24" descr="Figure 3.4 shows the daily MOS allocations sorted by facility for each facility in Adelaide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1802652"/>
                    </a:xfrm>
                    <a:prstGeom prst="rect">
                      <a:avLst/>
                    </a:prstGeom>
                    <a:noFill/>
                    <a:ln>
                      <a:noFill/>
                    </a:ln>
                  </pic:spPr>
                </pic:pic>
              </a:graphicData>
            </a:graphic>
          </wp:inline>
        </w:drawing>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4</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Brisbane STTM</w:t>
      </w:r>
    </w:p>
    <w:p w:rsidR="00EC2CB1" w:rsidRPr="003625A6" w:rsidRDefault="00EC2CB1" w:rsidP="00551D6B">
      <w:pPr>
        <w:jc w:val="both"/>
      </w:pPr>
      <w:r>
        <w:t>The Brisbane STTM hub functions in the same way as the Sydney STTM hub.  The same data that was presented for the Sydney hub is presented for the Brisbane hub in the figures below.</w:t>
      </w:r>
    </w:p>
    <w:p w:rsidR="004C571B" w:rsidRDefault="00EC2CB1" w:rsidP="00E16EDC">
      <w:pPr>
        <w:pStyle w:val="Caption"/>
        <w:numPr>
          <w:ilvl w:val="0"/>
          <w:numId w:val="32"/>
        </w:numPr>
        <w:ind w:left="709" w:hanging="709"/>
        <w:rPr>
          <w:color w:val="2272A3"/>
          <w:szCs w:val="24"/>
        </w:rPr>
      </w:pPr>
      <w:r>
        <w:rPr>
          <w:color w:val="2272A3"/>
          <w:szCs w:val="24"/>
        </w:rPr>
        <w:t>BRI</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006B66" w:rsidRPr="00405CDE" w:rsidTr="00A226E9">
        <w:trPr>
          <w:trHeight w:val="510"/>
        </w:trPr>
        <w:tc>
          <w:tcPr>
            <w:tcW w:w="1152" w:type="pct"/>
            <w:tcBorders>
              <w:top w:val="nil"/>
              <w:bottom w:val="nil"/>
            </w:tcBorders>
            <w:vAlign w:val="center"/>
          </w:tcPr>
          <w:p w:rsidR="00006B66" w:rsidRDefault="00006B66">
            <w:pPr>
              <w:rPr>
                <w:rFonts w:cs="Arial"/>
                <w:sz w:val="20"/>
                <w:szCs w:val="20"/>
              </w:rPr>
            </w:pPr>
            <w:r>
              <w:rPr>
                <w:rFonts w:cs="Arial"/>
                <w:sz w:val="20"/>
                <w:szCs w:val="20"/>
              </w:rPr>
              <w:t>Ex ante price ($/GJ)</w:t>
            </w:r>
          </w:p>
        </w:tc>
        <w:tc>
          <w:tcPr>
            <w:tcW w:w="589" w:type="pct"/>
            <w:tcBorders>
              <w:top w:val="nil"/>
              <w:bottom w:val="nil"/>
            </w:tcBorders>
            <w:vAlign w:val="center"/>
          </w:tcPr>
          <w:p w:rsidR="00006B66" w:rsidRDefault="00006B66">
            <w:pPr>
              <w:jc w:val="center"/>
              <w:rPr>
                <w:rFonts w:cs="Arial"/>
                <w:sz w:val="20"/>
                <w:szCs w:val="20"/>
              </w:rPr>
            </w:pPr>
            <w:r>
              <w:rPr>
                <w:rFonts w:cs="Arial"/>
                <w:sz w:val="20"/>
                <w:szCs w:val="20"/>
              </w:rPr>
              <w:t>14.10</w:t>
            </w:r>
          </w:p>
        </w:tc>
        <w:tc>
          <w:tcPr>
            <w:tcW w:w="516" w:type="pct"/>
            <w:tcBorders>
              <w:top w:val="nil"/>
              <w:bottom w:val="nil"/>
            </w:tcBorders>
            <w:vAlign w:val="center"/>
          </w:tcPr>
          <w:p w:rsidR="00006B66" w:rsidRDefault="00006B66">
            <w:pPr>
              <w:jc w:val="center"/>
              <w:rPr>
                <w:rFonts w:cs="Arial"/>
                <w:sz w:val="20"/>
                <w:szCs w:val="20"/>
              </w:rPr>
            </w:pPr>
            <w:r>
              <w:rPr>
                <w:rFonts w:cs="Arial"/>
                <w:sz w:val="20"/>
                <w:szCs w:val="20"/>
              </w:rPr>
              <w:t>13.61</w:t>
            </w:r>
          </w:p>
        </w:tc>
        <w:tc>
          <w:tcPr>
            <w:tcW w:w="598" w:type="pct"/>
            <w:tcBorders>
              <w:top w:val="nil"/>
              <w:bottom w:val="nil"/>
            </w:tcBorders>
            <w:vAlign w:val="center"/>
          </w:tcPr>
          <w:p w:rsidR="00006B66" w:rsidRDefault="00006B66">
            <w:pPr>
              <w:jc w:val="center"/>
              <w:rPr>
                <w:rFonts w:cs="Arial"/>
                <w:sz w:val="20"/>
                <w:szCs w:val="20"/>
              </w:rPr>
            </w:pPr>
            <w:r>
              <w:rPr>
                <w:rFonts w:cs="Arial"/>
                <w:sz w:val="20"/>
                <w:szCs w:val="20"/>
              </w:rPr>
              <w:t>13.75</w:t>
            </w:r>
          </w:p>
        </w:tc>
        <w:tc>
          <w:tcPr>
            <w:tcW w:w="525" w:type="pct"/>
            <w:tcBorders>
              <w:top w:val="nil"/>
              <w:bottom w:val="nil"/>
            </w:tcBorders>
            <w:vAlign w:val="center"/>
          </w:tcPr>
          <w:p w:rsidR="00006B66" w:rsidRDefault="00006B66">
            <w:pPr>
              <w:jc w:val="center"/>
              <w:rPr>
                <w:rFonts w:cs="Arial"/>
                <w:sz w:val="20"/>
                <w:szCs w:val="20"/>
              </w:rPr>
            </w:pPr>
            <w:r>
              <w:rPr>
                <w:rFonts w:cs="Arial"/>
                <w:sz w:val="20"/>
                <w:szCs w:val="20"/>
              </w:rPr>
              <w:t>11.04</w:t>
            </w:r>
          </w:p>
        </w:tc>
        <w:tc>
          <w:tcPr>
            <w:tcW w:w="518" w:type="pct"/>
            <w:tcBorders>
              <w:top w:val="nil"/>
              <w:bottom w:val="nil"/>
            </w:tcBorders>
            <w:vAlign w:val="center"/>
          </w:tcPr>
          <w:p w:rsidR="00006B66" w:rsidRDefault="00006B66">
            <w:pPr>
              <w:jc w:val="center"/>
              <w:rPr>
                <w:rFonts w:cs="Arial"/>
                <w:sz w:val="20"/>
                <w:szCs w:val="20"/>
              </w:rPr>
            </w:pPr>
            <w:r>
              <w:rPr>
                <w:rFonts w:cs="Arial"/>
                <w:sz w:val="20"/>
                <w:szCs w:val="20"/>
              </w:rPr>
              <w:t>11.49</w:t>
            </w:r>
          </w:p>
        </w:tc>
        <w:tc>
          <w:tcPr>
            <w:tcW w:w="515" w:type="pct"/>
            <w:tcBorders>
              <w:top w:val="nil"/>
              <w:bottom w:val="nil"/>
            </w:tcBorders>
            <w:vAlign w:val="center"/>
          </w:tcPr>
          <w:p w:rsidR="00006B66" w:rsidRDefault="00006B66">
            <w:pPr>
              <w:jc w:val="center"/>
              <w:rPr>
                <w:rFonts w:cs="Arial"/>
                <w:sz w:val="20"/>
                <w:szCs w:val="20"/>
              </w:rPr>
            </w:pPr>
            <w:r>
              <w:rPr>
                <w:rFonts w:cs="Arial"/>
                <w:sz w:val="20"/>
                <w:szCs w:val="20"/>
              </w:rPr>
              <w:t>11.84</w:t>
            </w:r>
          </w:p>
        </w:tc>
        <w:tc>
          <w:tcPr>
            <w:tcW w:w="587" w:type="pct"/>
            <w:tcBorders>
              <w:top w:val="nil"/>
              <w:bottom w:val="nil"/>
            </w:tcBorders>
            <w:vAlign w:val="center"/>
          </w:tcPr>
          <w:p w:rsidR="00006B66" w:rsidRDefault="00006B66">
            <w:pPr>
              <w:jc w:val="center"/>
              <w:rPr>
                <w:rFonts w:cs="Arial"/>
                <w:sz w:val="20"/>
                <w:szCs w:val="20"/>
              </w:rPr>
            </w:pPr>
            <w:r>
              <w:rPr>
                <w:rFonts w:cs="Arial"/>
                <w:sz w:val="20"/>
                <w:szCs w:val="20"/>
              </w:rPr>
              <w:t>11.84</w:t>
            </w:r>
          </w:p>
        </w:tc>
      </w:tr>
      <w:tr w:rsidR="00006B66"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nil"/>
            </w:tcBorders>
            <w:vAlign w:val="center"/>
          </w:tcPr>
          <w:p w:rsidR="00006B66" w:rsidRDefault="00006B66">
            <w:pPr>
              <w:rPr>
                <w:rFonts w:cs="Arial"/>
                <w:szCs w:val="20"/>
              </w:rPr>
            </w:pPr>
            <w:r>
              <w:rPr>
                <w:rFonts w:cs="Arial"/>
                <w:szCs w:val="20"/>
              </w:rPr>
              <w:t>Ex ante quantity (TJ)</w:t>
            </w:r>
          </w:p>
        </w:tc>
        <w:tc>
          <w:tcPr>
            <w:tcW w:w="589" w:type="pct"/>
            <w:tcBorders>
              <w:top w:val="nil"/>
              <w:bottom w:val="nil"/>
            </w:tcBorders>
            <w:vAlign w:val="center"/>
          </w:tcPr>
          <w:p w:rsidR="00006B66" w:rsidRDefault="00006B66">
            <w:pPr>
              <w:jc w:val="center"/>
              <w:rPr>
                <w:rFonts w:cs="Arial"/>
                <w:szCs w:val="20"/>
              </w:rPr>
            </w:pPr>
            <w:r>
              <w:rPr>
                <w:rFonts w:cs="Arial"/>
                <w:szCs w:val="20"/>
              </w:rPr>
              <w:t>72</w:t>
            </w:r>
          </w:p>
        </w:tc>
        <w:tc>
          <w:tcPr>
            <w:tcW w:w="516" w:type="pct"/>
            <w:tcBorders>
              <w:top w:val="nil"/>
              <w:bottom w:val="nil"/>
            </w:tcBorders>
            <w:vAlign w:val="center"/>
          </w:tcPr>
          <w:p w:rsidR="00006B66" w:rsidRDefault="00006B66">
            <w:pPr>
              <w:jc w:val="center"/>
              <w:rPr>
                <w:rFonts w:cs="Arial"/>
                <w:szCs w:val="20"/>
              </w:rPr>
            </w:pPr>
            <w:r>
              <w:rPr>
                <w:rFonts w:cs="Arial"/>
                <w:szCs w:val="20"/>
              </w:rPr>
              <w:t>86</w:t>
            </w:r>
          </w:p>
        </w:tc>
        <w:tc>
          <w:tcPr>
            <w:tcW w:w="598" w:type="pct"/>
            <w:tcBorders>
              <w:top w:val="nil"/>
              <w:bottom w:val="nil"/>
            </w:tcBorders>
            <w:vAlign w:val="center"/>
          </w:tcPr>
          <w:p w:rsidR="00006B66" w:rsidRDefault="00006B66">
            <w:pPr>
              <w:jc w:val="center"/>
              <w:rPr>
                <w:rFonts w:cs="Arial"/>
                <w:szCs w:val="20"/>
              </w:rPr>
            </w:pPr>
            <w:r>
              <w:rPr>
                <w:rFonts w:cs="Arial"/>
                <w:szCs w:val="20"/>
              </w:rPr>
              <w:t>85</w:t>
            </w:r>
          </w:p>
        </w:tc>
        <w:tc>
          <w:tcPr>
            <w:tcW w:w="525" w:type="pct"/>
            <w:tcBorders>
              <w:top w:val="nil"/>
              <w:bottom w:val="nil"/>
            </w:tcBorders>
            <w:vAlign w:val="center"/>
          </w:tcPr>
          <w:p w:rsidR="00006B66" w:rsidRDefault="00006B66">
            <w:pPr>
              <w:jc w:val="center"/>
              <w:rPr>
                <w:rFonts w:cs="Arial"/>
                <w:szCs w:val="20"/>
              </w:rPr>
            </w:pPr>
            <w:r>
              <w:rPr>
                <w:rFonts w:cs="Arial"/>
                <w:szCs w:val="20"/>
              </w:rPr>
              <w:t>82</w:t>
            </w:r>
          </w:p>
        </w:tc>
        <w:tc>
          <w:tcPr>
            <w:tcW w:w="518" w:type="pct"/>
            <w:tcBorders>
              <w:top w:val="nil"/>
              <w:bottom w:val="nil"/>
            </w:tcBorders>
            <w:vAlign w:val="center"/>
          </w:tcPr>
          <w:p w:rsidR="00006B66" w:rsidRDefault="00006B66">
            <w:pPr>
              <w:jc w:val="center"/>
              <w:rPr>
                <w:rFonts w:cs="Arial"/>
                <w:szCs w:val="20"/>
              </w:rPr>
            </w:pPr>
            <w:r>
              <w:rPr>
                <w:rFonts w:cs="Arial"/>
                <w:szCs w:val="20"/>
              </w:rPr>
              <w:t>81</w:t>
            </w:r>
          </w:p>
        </w:tc>
        <w:tc>
          <w:tcPr>
            <w:tcW w:w="515" w:type="pct"/>
            <w:tcBorders>
              <w:top w:val="nil"/>
              <w:bottom w:val="nil"/>
            </w:tcBorders>
            <w:vAlign w:val="center"/>
          </w:tcPr>
          <w:p w:rsidR="00006B66" w:rsidRDefault="00006B66">
            <w:pPr>
              <w:jc w:val="center"/>
              <w:rPr>
                <w:rFonts w:cs="Arial"/>
                <w:szCs w:val="20"/>
              </w:rPr>
            </w:pPr>
            <w:r>
              <w:rPr>
                <w:rFonts w:cs="Arial"/>
                <w:szCs w:val="20"/>
              </w:rPr>
              <w:t>77</w:t>
            </w:r>
          </w:p>
        </w:tc>
        <w:tc>
          <w:tcPr>
            <w:tcW w:w="587" w:type="pct"/>
            <w:tcBorders>
              <w:top w:val="nil"/>
              <w:bottom w:val="nil"/>
            </w:tcBorders>
            <w:vAlign w:val="center"/>
          </w:tcPr>
          <w:p w:rsidR="00006B66" w:rsidRDefault="00006B66">
            <w:pPr>
              <w:jc w:val="center"/>
              <w:rPr>
                <w:rFonts w:cs="Arial"/>
                <w:szCs w:val="20"/>
              </w:rPr>
            </w:pPr>
            <w:r>
              <w:rPr>
                <w:rFonts w:cs="Arial"/>
                <w:szCs w:val="20"/>
              </w:rPr>
              <w:t>70</w:t>
            </w:r>
          </w:p>
        </w:tc>
      </w:tr>
      <w:tr w:rsidR="00006B66" w:rsidRPr="00405CDE" w:rsidTr="00A226E9">
        <w:trPr>
          <w:trHeight w:val="510"/>
        </w:trPr>
        <w:tc>
          <w:tcPr>
            <w:tcW w:w="1152" w:type="pct"/>
            <w:tcBorders>
              <w:top w:val="nil"/>
              <w:bottom w:val="nil"/>
            </w:tcBorders>
            <w:vAlign w:val="center"/>
          </w:tcPr>
          <w:p w:rsidR="00006B66" w:rsidRDefault="00006B66">
            <w:pPr>
              <w:rPr>
                <w:rFonts w:cs="Arial"/>
                <w:sz w:val="20"/>
                <w:szCs w:val="20"/>
              </w:rPr>
            </w:pPr>
            <w:r>
              <w:rPr>
                <w:rFonts w:cs="Arial"/>
                <w:sz w:val="20"/>
                <w:szCs w:val="20"/>
              </w:rPr>
              <w:t>Ex post price ($/GJ)</w:t>
            </w:r>
          </w:p>
        </w:tc>
        <w:tc>
          <w:tcPr>
            <w:tcW w:w="589" w:type="pct"/>
            <w:tcBorders>
              <w:top w:val="nil"/>
              <w:bottom w:val="nil"/>
            </w:tcBorders>
            <w:vAlign w:val="center"/>
          </w:tcPr>
          <w:p w:rsidR="00006B66" w:rsidRDefault="00006B66">
            <w:pPr>
              <w:jc w:val="center"/>
              <w:rPr>
                <w:rFonts w:cs="Arial"/>
                <w:sz w:val="20"/>
                <w:szCs w:val="20"/>
              </w:rPr>
            </w:pPr>
            <w:r>
              <w:rPr>
                <w:rFonts w:cs="Arial"/>
                <w:sz w:val="20"/>
                <w:szCs w:val="20"/>
              </w:rPr>
              <w:t>13.60</w:t>
            </w:r>
          </w:p>
        </w:tc>
        <w:tc>
          <w:tcPr>
            <w:tcW w:w="516" w:type="pct"/>
            <w:tcBorders>
              <w:top w:val="nil"/>
              <w:bottom w:val="nil"/>
            </w:tcBorders>
            <w:vAlign w:val="center"/>
          </w:tcPr>
          <w:p w:rsidR="00006B66" w:rsidRDefault="00006B66">
            <w:pPr>
              <w:jc w:val="center"/>
              <w:rPr>
                <w:rFonts w:cs="Arial"/>
                <w:sz w:val="20"/>
                <w:szCs w:val="20"/>
              </w:rPr>
            </w:pPr>
            <w:r>
              <w:rPr>
                <w:rFonts w:cs="Arial"/>
                <w:sz w:val="20"/>
                <w:szCs w:val="20"/>
              </w:rPr>
              <w:t>13.61</w:t>
            </w:r>
          </w:p>
        </w:tc>
        <w:tc>
          <w:tcPr>
            <w:tcW w:w="598" w:type="pct"/>
            <w:tcBorders>
              <w:top w:val="nil"/>
              <w:bottom w:val="nil"/>
            </w:tcBorders>
            <w:vAlign w:val="center"/>
          </w:tcPr>
          <w:p w:rsidR="00006B66" w:rsidRDefault="00006B66">
            <w:pPr>
              <w:jc w:val="center"/>
              <w:rPr>
                <w:rFonts w:cs="Arial"/>
                <w:sz w:val="20"/>
                <w:szCs w:val="20"/>
              </w:rPr>
            </w:pPr>
            <w:r>
              <w:rPr>
                <w:rFonts w:cs="Arial"/>
                <w:sz w:val="20"/>
                <w:szCs w:val="20"/>
              </w:rPr>
              <w:t>13.58</w:t>
            </w:r>
          </w:p>
        </w:tc>
        <w:tc>
          <w:tcPr>
            <w:tcW w:w="525" w:type="pct"/>
            <w:tcBorders>
              <w:top w:val="nil"/>
              <w:bottom w:val="nil"/>
            </w:tcBorders>
            <w:vAlign w:val="center"/>
          </w:tcPr>
          <w:p w:rsidR="00006B66" w:rsidRDefault="00006B66">
            <w:pPr>
              <w:jc w:val="center"/>
              <w:rPr>
                <w:rFonts w:cs="Arial"/>
                <w:sz w:val="20"/>
                <w:szCs w:val="20"/>
              </w:rPr>
            </w:pPr>
            <w:r>
              <w:rPr>
                <w:rFonts w:cs="Arial"/>
                <w:sz w:val="20"/>
                <w:szCs w:val="20"/>
              </w:rPr>
              <w:t>11.04</w:t>
            </w:r>
          </w:p>
        </w:tc>
        <w:tc>
          <w:tcPr>
            <w:tcW w:w="518" w:type="pct"/>
            <w:tcBorders>
              <w:top w:val="nil"/>
              <w:bottom w:val="nil"/>
            </w:tcBorders>
            <w:vAlign w:val="center"/>
          </w:tcPr>
          <w:p w:rsidR="00006B66" w:rsidRDefault="00006B66">
            <w:pPr>
              <w:jc w:val="center"/>
              <w:rPr>
                <w:rFonts w:cs="Arial"/>
                <w:sz w:val="20"/>
                <w:szCs w:val="20"/>
              </w:rPr>
            </w:pPr>
            <w:r>
              <w:rPr>
                <w:rFonts w:cs="Arial"/>
                <w:sz w:val="20"/>
                <w:szCs w:val="20"/>
              </w:rPr>
              <w:t>12.49</w:t>
            </w:r>
          </w:p>
        </w:tc>
        <w:tc>
          <w:tcPr>
            <w:tcW w:w="515" w:type="pct"/>
            <w:tcBorders>
              <w:top w:val="nil"/>
              <w:bottom w:val="nil"/>
            </w:tcBorders>
            <w:vAlign w:val="center"/>
          </w:tcPr>
          <w:p w:rsidR="00006B66" w:rsidRDefault="00006B66">
            <w:pPr>
              <w:jc w:val="center"/>
              <w:rPr>
                <w:rFonts w:cs="Arial"/>
                <w:sz w:val="20"/>
                <w:szCs w:val="20"/>
              </w:rPr>
            </w:pPr>
            <w:r>
              <w:rPr>
                <w:rFonts w:cs="Arial"/>
                <w:sz w:val="20"/>
                <w:szCs w:val="20"/>
              </w:rPr>
              <w:t>12.49</w:t>
            </w:r>
          </w:p>
        </w:tc>
        <w:tc>
          <w:tcPr>
            <w:tcW w:w="587" w:type="pct"/>
            <w:tcBorders>
              <w:top w:val="nil"/>
              <w:bottom w:val="nil"/>
            </w:tcBorders>
            <w:vAlign w:val="center"/>
          </w:tcPr>
          <w:p w:rsidR="00006B66" w:rsidRDefault="00006B66">
            <w:pPr>
              <w:jc w:val="center"/>
              <w:rPr>
                <w:rFonts w:cs="Arial"/>
                <w:sz w:val="20"/>
                <w:szCs w:val="20"/>
              </w:rPr>
            </w:pPr>
            <w:r>
              <w:rPr>
                <w:rFonts w:cs="Arial"/>
                <w:sz w:val="20"/>
                <w:szCs w:val="20"/>
              </w:rPr>
              <w:t>11.84</w:t>
            </w:r>
          </w:p>
        </w:tc>
      </w:tr>
      <w:tr w:rsidR="00006B66"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single" w:sz="4" w:space="0" w:color="auto"/>
            </w:tcBorders>
            <w:vAlign w:val="center"/>
          </w:tcPr>
          <w:p w:rsidR="00006B66" w:rsidRDefault="00006B66">
            <w:pPr>
              <w:rPr>
                <w:rFonts w:cs="Arial"/>
                <w:szCs w:val="20"/>
              </w:rPr>
            </w:pPr>
            <w:r>
              <w:rPr>
                <w:rFonts w:cs="Arial"/>
                <w:szCs w:val="20"/>
              </w:rPr>
              <w:t>Ex post quantity (TJ)</w:t>
            </w:r>
          </w:p>
        </w:tc>
        <w:tc>
          <w:tcPr>
            <w:tcW w:w="589" w:type="pct"/>
            <w:tcBorders>
              <w:top w:val="nil"/>
              <w:bottom w:val="single" w:sz="4" w:space="0" w:color="auto"/>
            </w:tcBorders>
            <w:vAlign w:val="center"/>
          </w:tcPr>
          <w:p w:rsidR="00006B66" w:rsidRDefault="00006B66">
            <w:pPr>
              <w:jc w:val="center"/>
              <w:rPr>
                <w:rFonts w:cs="Arial"/>
                <w:szCs w:val="20"/>
              </w:rPr>
            </w:pPr>
            <w:r>
              <w:rPr>
                <w:rFonts w:cs="Arial"/>
                <w:szCs w:val="20"/>
              </w:rPr>
              <w:t>68</w:t>
            </w:r>
          </w:p>
        </w:tc>
        <w:tc>
          <w:tcPr>
            <w:tcW w:w="516" w:type="pct"/>
            <w:tcBorders>
              <w:top w:val="nil"/>
              <w:bottom w:val="single" w:sz="4" w:space="0" w:color="auto"/>
            </w:tcBorders>
            <w:vAlign w:val="center"/>
          </w:tcPr>
          <w:p w:rsidR="00006B66" w:rsidRDefault="00006B66">
            <w:pPr>
              <w:jc w:val="center"/>
              <w:rPr>
                <w:rFonts w:cs="Arial"/>
                <w:szCs w:val="20"/>
              </w:rPr>
            </w:pPr>
            <w:r>
              <w:rPr>
                <w:rFonts w:cs="Arial"/>
                <w:szCs w:val="20"/>
              </w:rPr>
              <w:t>83</w:t>
            </w:r>
          </w:p>
        </w:tc>
        <w:tc>
          <w:tcPr>
            <w:tcW w:w="598" w:type="pct"/>
            <w:tcBorders>
              <w:top w:val="nil"/>
              <w:bottom w:val="single" w:sz="4" w:space="0" w:color="auto"/>
            </w:tcBorders>
            <w:vAlign w:val="center"/>
          </w:tcPr>
          <w:p w:rsidR="00006B66" w:rsidRDefault="00006B66">
            <w:pPr>
              <w:jc w:val="center"/>
              <w:rPr>
                <w:rFonts w:cs="Arial"/>
                <w:szCs w:val="20"/>
              </w:rPr>
            </w:pPr>
            <w:r>
              <w:rPr>
                <w:rFonts w:cs="Arial"/>
                <w:szCs w:val="20"/>
              </w:rPr>
              <w:t>83</w:t>
            </w:r>
          </w:p>
        </w:tc>
        <w:tc>
          <w:tcPr>
            <w:tcW w:w="525" w:type="pct"/>
            <w:tcBorders>
              <w:top w:val="nil"/>
              <w:bottom w:val="single" w:sz="4" w:space="0" w:color="auto"/>
            </w:tcBorders>
            <w:vAlign w:val="center"/>
          </w:tcPr>
          <w:p w:rsidR="00006B66" w:rsidRDefault="00006B66">
            <w:pPr>
              <w:jc w:val="center"/>
              <w:rPr>
                <w:rFonts w:cs="Arial"/>
                <w:szCs w:val="20"/>
              </w:rPr>
            </w:pPr>
            <w:r>
              <w:rPr>
                <w:rFonts w:cs="Arial"/>
                <w:szCs w:val="20"/>
              </w:rPr>
              <w:t>83</w:t>
            </w:r>
          </w:p>
        </w:tc>
        <w:tc>
          <w:tcPr>
            <w:tcW w:w="518" w:type="pct"/>
            <w:tcBorders>
              <w:top w:val="nil"/>
              <w:bottom w:val="single" w:sz="4" w:space="0" w:color="auto"/>
            </w:tcBorders>
            <w:vAlign w:val="center"/>
          </w:tcPr>
          <w:p w:rsidR="00006B66" w:rsidRDefault="00006B66">
            <w:pPr>
              <w:jc w:val="center"/>
              <w:rPr>
                <w:rFonts w:cs="Arial"/>
                <w:szCs w:val="20"/>
              </w:rPr>
            </w:pPr>
            <w:r>
              <w:rPr>
                <w:rFonts w:cs="Arial"/>
                <w:szCs w:val="20"/>
              </w:rPr>
              <w:t>85</w:t>
            </w:r>
          </w:p>
        </w:tc>
        <w:tc>
          <w:tcPr>
            <w:tcW w:w="515" w:type="pct"/>
            <w:tcBorders>
              <w:top w:val="nil"/>
              <w:bottom w:val="single" w:sz="4" w:space="0" w:color="auto"/>
            </w:tcBorders>
            <w:vAlign w:val="center"/>
          </w:tcPr>
          <w:p w:rsidR="00006B66" w:rsidRDefault="00006B66">
            <w:pPr>
              <w:jc w:val="center"/>
              <w:rPr>
                <w:rFonts w:cs="Arial"/>
                <w:szCs w:val="20"/>
              </w:rPr>
            </w:pPr>
            <w:r>
              <w:rPr>
                <w:rFonts w:cs="Arial"/>
                <w:szCs w:val="20"/>
              </w:rPr>
              <w:t>80</w:t>
            </w:r>
          </w:p>
        </w:tc>
        <w:tc>
          <w:tcPr>
            <w:tcW w:w="587" w:type="pct"/>
            <w:tcBorders>
              <w:top w:val="nil"/>
              <w:bottom w:val="single" w:sz="4" w:space="0" w:color="auto"/>
            </w:tcBorders>
            <w:vAlign w:val="center"/>
          </w:tcPr>
          <w:p w:rsidR="00006B66" w:rsidRDefault="00006B66">
            <w:pPr>
              <w:jc w:val="center"/>
              <w:rPr>
                <w:rFonts w:cs="Arial"/>
                <w:szCs w:val="20"/>
              </w:rPr>
            </w:pPr>
            <w:r>
              <w:rPr>
                <w:rFonts w:cs="Arial"/>
                <w:szCs w:val="20"/>
              </w:rPr>
              <w:t>70</w:t>
            </w:r>
          </w:p>
        </w:tc>
      </w:tr>
    </w:tbl>
    <w:p w:rsidR="004C571B" w:rsidRDefault="00EC2CB1" w:rsidP="00E16EDC">
      <w:pPr>
        <w:pStyle w:val="Caption"/>
        <w:numPr>
          <w:ilvl w:val="0"/>
          <w:numId w:val="32"/>
        </w:numPr>
        <w:ind w:left="709" w:hanging="709"/>
        <w:rPr>
          <w:color w:val="2272A3"/>
          <w:szCs w:val="24"/>
        </w:rPr>
      </w:pPr>
      <w:r w:rsidRPr="00DD0358">
        <w:rPr>
          <w:color w:val="2272A3"/>
          <w:szCs w:val="24"/>
        </w:rPr>
        <w:t>BRI daily hub offers and daily hub bids in price bands ($/GJ)</w:t>
      </w:r>
    </w:p>
    <w:p w:rsidR="00EC2CB1" w:rsidRPr="00EC2CB1" w:rsidRDefault="00006B66" w:rsidP="00EC2CB1">
      <w:r w:rsidRPr="00006B66">
        <w:rPr>
          <w:noProof/>
          <w:lang w:eastAsia="en-AU"/>
        </w:rPr>
        <w:drawing>
          <wp:inline distT="0" distB="0" distL="0" distR="0" wp14:anchorId="35C317B8" wp14:editId="1871BA33">
            <wp:extent cx="5731510" cy="1725905"/>
            <wp:effectExtent l="0" t="0" r="2540" b="0"/>
            <wp:docPr id="27" name="Picture 27" descr="Figure 4.2 shows the daily hub offers and bid in within certain price bands in Brisbane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725905"/>
                    </a:xfrm>
                    <a:prstGeom prst="rect">
                      <a:avLst/>
                    </a:prstGeom>
                    <a:noFill/>
                    <a:ln>
                      <a:noFill/>
                    </a:ln>
                  </pic:spPr>
                </pic:pic>
              </a:graphicData>
            </a:graphic>
          </wp:inline>
        </w:drawing>
      </w:r>
    </w:p>
    <w:p w:rsidR="00EC2CB1" w:rsidRDefault="00EC2CB1" w:rsidP="00EC2CB1">
      <w:pPr>
        <w:pStyle w:val="Caption"/>
        <w:numPr>
          <w:ilvl w:val="0"/>
          <w:numId w:val="32"/>
        </w:numPr>
        <w:ind w:left="709" w:hanging="709"/>
        <w:rPr>
          <w:color w:val="2272A3"/>
          <w:szCs w:val="24"/>
        </w:rPr>
      </w:pPr>
      <w:r w:rsidRPr="00DD0358">
        <w:rPr>
          <w:color w:val="2272A3"/>
          <w:szCs w:val="24"/>
        </w:rPr>
        <w:t>BRI net scheduled and allocated gas hub supply (excluding MOS)</w:t>
      </w:r>
    </w:p>
    <w:p w:rsidR="00EC2CB1" w:rsidRPr="00EC2CB1" w:rsidRDefault="00006B66" w:rsidP="00EC2CB1">
      <w:r w:rsidRPr="00006B66">
        <w:rPr>
          <w:noProof/>
          <w:lang w:eastAsia="en-AU"/>
        </w:rPr>
        <w:drawing>
          <wp:inline distT="0" distB="0" distL="0" distR="0" wp14:anchorId="5E00ED86" wp14:editId="64A513F4">
            <wp:extent cx="5731510" cy="1475616"/>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475616"/>
                    </a:xfrm>
                    <a:prstGeom prst="rect">
                      <a:avLst/>
                    </a:prstGeom>
                    <a:noFill/>
                    <a:ln>
                      <a:noFill/>
                    </a:ln>
                  </pic:spPr>
                </pic:pic>
              </a:graphicData>
            </a:graphic>
          </wp:inline>
        </w:drawing>
      </w:r>
    </w:p>
    <w:p w:rsidR="00EC2CB1" w:rsidRPr="001521CB" w:rsidRDefault="00EC2CB1" w:rsidP="00551D6B">
      <w:pPr>
        <w:pStyle w:val="Caption"/>
        <w:numPr>
          <w:ilvl w:val="0"/>
          <w:numId w:val="32"/>
        </w:numPr>
        <w:ind w:left="1418" w:hanging="1418"/>
      </w:pPr>
      <w:r w:rsidRPr="00DD0358">
        <w:rPr>
          <w:color w:val="2272A3"/>
          <w:szCs w:val="24"/>
        </w:rPr>
        <w:t>BRI MOS allocations (TJ), service payments and commodity payments/charges ($000)</w:t>
      </w:r>
    </w:p>
    <w:p w:rsidR="00551D6B" w:rsidRPr="00A226E9" w:rsidRDefault="00006B66" w:rsidP="00A226E9">
      <w:r w:rsidRPr="00006B66">
        <w:rPr>
          <w:noProof/>
          <w:lang w:eastAsia="en-AU"/>
        </w:rPr>
        <w:drawing>
          <wp:inline distT="0" distB="0" distL="0" distR="0" wp14:anchorId="2BFB7586" wp14:editId="68D84F26">
            <wp:extent cx="5731510" cy="1883137"/>
            <wp:effectExtent l="0" t="0" r="2540" b="3175"/>
            <wp:docPr id="29" name="Picture 29" descr="Figure 4.4 shows the daily MOS allocations sorted by facility for each facility in Brisbane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1883137"/>
                    </a:xfrm>
                    <a:prstGeom prst="rect">
                      <a:avLst/>
                    </a:prstGeom>
                    <a:noFill/>
                    <a:ln>
                      <a:noFill/>
                    </a:ln>
                  </pic:spPr>
                </pic:pic>
              </a:graphicData>
            </a:graphic>
          </wp:inline>
        </w:drawing>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5</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National Gas Bulletin Board</w:t>
      </w:r>
    </w:p>
    <w:p w:rsidR="00596DE3" w:rsidRDefault="00596DE3" w:rsidP="00596DE3">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8"/>
      </w:r>
      <w:r>
        <w:t xml:space="preserve"> from </w:t>
      </w:r>
      <w:r w:rsidRPr="00A475A2">
        <w:t xml:space="preserve">the Bulletin Board (changes from the </w:t>
      </w:r>
      <w:r>
        <w:t>previous week’s</w:t>
      </w:r>
      <w:r w:rsidRPr="00A475A2">
        <w:t xml:space="preserve"> average are shown in brackets).</w:t>
      </w:r>
      <w:r w:rsidRPr="00DF25FF">
        <w:t xml:space="preserve"> </w:t>
      </w:r>
      <w:r>
        <w:t>Average daily prices</w:t>
      </w:r>
      <w:r>
        <w:rPr>
          <w:rStyle w:val="FootnoteReference"/>
        </w:rPr>
        <w:footnoteReference w:id="9"/>
      </w:r>
      <w:r>
        <w:t xml:space="preserve"> are provided for gas markets and gas supply hubs. Average daily quantities are provided for gas powered generation for each region.</w:t>
      </w:r>
    </w:p>
    <w:p w:rsidR="00596DE3" w:rsidRDefault="00596DE3" w:rsidP="00596DE3">
      <w:pPr>
        <w:pStyle w:val="Caption"/>
        <w:numPr>
          <w:ilvl w:val="0"/>
          <w:numId w:val="33"/>
        </w:numPr>
        <w:ind w:left="1418" w:hanging="1418"/>
        <w:rPr>
          <w:color w:val="2272A3"/>
          <w:szCs w:val="24"/>
        </w:rPr>
      </w:pPr>
      <w:r w:rsidRPr="00DD0358">
        <w:rPr>
          <w:color w:val="2272A3"/>
          <w:szCs w:val="24"/>
        </w:rPr>
        <w:t xml:space="preserve">Gas market data ($/GJ, TJ); </w:t>
      </w:r>
      <w:r>
        <w:rPr>
          <w:color w:val="2272A3"/>
          <w:szCs w:val="24"/>
        </w:rPr>
        <w:t>Bulletin Board</w:t>
      </w:r>
      <w:r w:rsidRPr="00DD0358">
        <w:rPr>
          <w:color w:val="2272A3"/>
          <w:szCs w:val="24"/>
        </w:rPr>
        <w:t xml:space="preserve"> flows (TJ)</w:t>
      </w:r>
      <w:r>
        <w:rPr>
          <w:rStyle w:val="FootnoteReference"/>
          <w:color w:val="2272A3"/>
          <w:szCs w:val="24"/>
        </w:rPr>
        <w:footnoteReference w:id="10"/>
      </w:r>
    </w:p>
    <w:p w:rsidR="00665C0C" w:rsidRDefault="00006B66" w:rsidP="00596DE3">
      <w:pPr>
        <w:spacing w:line="240" w:lineRule="auto"/>
      </w:pPr>
      <w:r w:rsidRPr="00006B66">
        <w:rPr>
          <w:noProof/>
          <w:lang w:eastAsia="en-AU"/>
        </w:rPr>
        <w:drawing>
          <wp:inline distT="0" distB="0" distL="0" distR="0" wp14:anchorId="4D614ADB" wp14:editId="28819C89">
            <wp:extent cx="5731510" cy="6265120"/>
            <wp:effectExtent l="0" t="0" r="2540" b="2540"/>
            <wp:docPr id="30" name="Picture 30" descr="Figure 5.1 shows the average daily Bulletin Board flows for this week compared to the previous week. It includes price data for gas markets across the east coast of Australia and gas powered generation usage estimates for each state.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6265120"/>
                    </a:xfrm>
                    <a:prstGeom prst="rect">
                      <a:avLst/>
                    </a:prstGeom>
                    <a:noFill/>
                    <a:ln>
                      <a:noFill/>
                    </a:ln>
                  </pic:spPr>
                </pic:pic>
              </a:graphicData>
            </a:graphic>
          </wp:inline>
        </w:drawing>
      </w:r>
      <w:r w:rsidR="00665C0C">
        <w:rPr>
          <w:b/>
          <w:bCs/>
        </w:rPr>
        <w:br w:type="page"/>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6</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Gas Supply Hub</w:t>
      </w:r>
    </w:p>
    <w:p w:rsidR="00596DE3" w:rsidRDefault="00596DE3" w:rsidP="00596DE3">
      <w:pPr>
        <w:jc w:val="both"/>
        <w:rPr>
          <w:color w:val="FF0000"/>
        </w:rPr>
      </w:pPr>
      <w:r w:rsidRPr="00DD0DBA">
        <w:t xml:space="preserve">The gas supply hub was established at Wallumbilla in March 2014 to facilitate the voluntary trading of gas between participants, with products listed for sale and purchase at delivery points on three major connecting pipelines at Wallumbilla – the </w:t>
      </w:r>
      <w:r w:rsidRPr="00DD0DBA">
        <w:rPr>
          <w:b/>
        </w:rPr>
        <w:t>QGP</w:t>
      </w:r>
      <w:r w:rsidRPr="00DD0DBA">
        <w:t xml:space="preserve">, the </w:t>
      </w:r>
      <w:r w:rsidRPr="00DD0DBA">
        <w:rPr>
          <w:b/>
        </w:rPr>
        <w:t>SWQP</w:t>
      </w:r>
      <w:r w:rsidRPr="00DD0DBA">
        <w:t xml:space="preserve"> and the </w:t>
      </w:r>
      <w:r w:rsidRPr="00DD0DBA">
        <w:rPr>
          <w:b/>
        </w:rPr>
        <w:t>RBP</w:t>
      </w:r>
      <w:r w:rsidRPr="00DD0DBA">
        <w:t xml:space="preserve">. </w:t>
      </w:r>
      <w:r w:rsidRPr="00552F68">
        <w:t>There are separate products for each pipeline (</w:t>
      </w:r>
      <w:r>
        <w:t>trading location</w:t>
      </w:r>
      <w:r w:rsidRPr="00552F68">
        <w:t>) and delivery period (daily, day-ahead, balance-of-day, weekly and monthly products).</w:t>
      </w:r>
      <w:r>
        <w:rPr>
          <w:rStyle w:val="FootnoteReference"/>
        </w:rPr>
        <w:footnoteReference w:id="11"/>
      </w:r>
      <w:r w:rsidRPr="00552F68">
        <w:rPr>
          <w:color w:val="FF0000"/>
        </w:rPr>
        <w:t xml:space="preserve"> </w:t>
      </w:r>
    </w:p>
    <w:p w:rsidR="00596DE3" w:rsidRDefault="00596DE3" w:rsidP="00596DE3">
      <w:pPr>
        <w:jc w:val="both"/>
      </w:pPr>
      <w:r w:rsidRPr="00DD0DBA">
        <w:t xml:space="preserve">The Moomba hub commenced operation from June 2016 to further facilitate trading on the </w:t>
      </w:r>
      <w:r w:rsidRPr="00DD0DBA">
        <w:rPr>
          <w:b/>
        </w:rPr>
        <w:t>MAP</w:t>
      </w:r>
      <w:r w:rsidRPr="00DD0DBA">
        <w:t xml:space="preserve"> and </w:t>
      </w:r>
      <w:r w:rsidRPr="00DD0DBA">
        <w:rPr>
          <w:b/>
        </w:rPr>
        <w:t>MSP</w:t>
      </w:r>
      <w:r w:rsidRPr="00DD0DBA">
        <w:t xml:space="preserve">, with trading between the two hubs </w:t>
      </w:r>
      <w:r>
        <w:t xml:space="preserve">on </w:t>
      </w:r>
      <w:r w:rsidRPr="00DD0DBA">
        <w:t>the SWQP</w:t>
      </w:r>
      <w:r>
        <w:t xml:space="preserve"> via a spread product (representing the price differential between the hubs). From October 2016, the addition of a Wallumbilla Compression Product was introduced to facilitate</w:t>
      </w:r>
      <w:r w:rsidRPr="003804B2">
        <w:t xml:space="preserve"> </w:t>
      </w:r>
      <w:r>
        <w:t xml:space="preserve">the supply </w:t>
      </w:r>
      <w:r w:rsidRPr="004A7BD7">
        <w:t>hub’s transition from three different trading locations into one</w:t>
      </w:r>
      <w:r>
        <w:t xml:space="preserve">. </w:t>
      </w:r>
    </w:p>
    <w:p w:rsidR="00AC4BF5" w:rsidRPr="00871EFD" w:rsidRDefault="00596DE3" w:rsidP="00551D6B">
      <w:pPr>
        <w:jc w:val="both"/>
      </w:pPr>
      <w:r w:rsidRPr="00871EFD">
        <w:t xml:space="preserve">This week in the Wallumbilla hub there were </w:t>
      </w:r>
      <w:r w:rsidR="00B3690C" w:rsidRPr="00871EFD">
        <w:t>6</w:t>
      </w:r>
      <w:r w:rsidRPr="00871EFD">
        <w:t xml:space="preserve"> trades for </w:t>
      </w:r>
      <w:r w:rsidR="00FA19FB" w:rsidRPr="00871EFD">
        <w:t>18</w:t>
      </w:r>
      <w:r w:rsidRPr="00871EFD">
        <w:t>.4 TJ of gas at a volume weighted price of $</w:t>
      </w:r>
      <w:r w:rsidR="00FA19FB" w:rsidRPr="00871EFD">
        <w:t xml:space="preserve">12.44/GJ. </w:t>
      </w:r>
      <w:r w:rsidR="00871EFD">
        <w:t xml:space="preserve">These consisted of balance-of-day (RBP/SWQP), daily (RBP) and day-ahead (RBP/SWQP) products. Volume weighted prices were $10.76/GJ on RBP and $15.09/GJ on SWQP. </w:t>
      </w:r>
      <w:r w:rsidR="000A4EC2">
        <w:t>One trade on the SWQP set a new record price at $16.50/GJ.</w:t>
      </w:r>
    </w:p>
    <w:p w:rsidR="000C1A94" w:rsidRPr="00E06937" w:rsidRDefault="00596DE3" w:rsidP="00551D6B">
      <w:pPr>
        <w:jc w:val="both"/>
      </w:pPr>
      <w:r w:rsidRPr="00552F68">
        <w:t>Figure 6.1 shows the quantity of gas traded by product type for each trading day on pipeline trading locations in the Wallumbilla and Moomba Gas Supply Hubs.</w:t>
      </w:r>
      <w:r>
        <w:rPr>
          <w:rStyle w:val="FootnoteReference"/>
        </w:rPr>
        <w:footnoteReference w:id="12"/>
      </w:r>
    </w:p>
    <w:p w:rsidR="00E16EDC" w:rsidRDefault="00F65699" w:rsidP="00E16EDC">
      <w:pPr>
        <w:pStyle w:val="Caption"/>
        <w:numPr>
          <w:ilvl w:val="0"/>
          <w:numId w:val="34"/>
        </w:numPr>
        <w:ind w:left="709" w:hanging="709"/>
        <w:rPr>
          <w:color w:val="2272A3"/>
          <w:szCs w:val="24"/>
        </w:rPr>
      </w:pPr>
      <w:r>
        <w:rPr>
          <w:color w:val="2272A3"/>
          <w:szCs w:val="24"/>
        </w:rPr>
        <w:t>GSH traded quantities</w:t>
      </w:r>
    </w:p>
    <w:p w:rsidR="00E16EDC" w:rsidRDefault="00006B66" w:rsidP="00E16EDC">
      <w:r w:rsidRPr="00006B66">
        <w:rPr>
          <w:noProof/>
          <w:lang w:eastAsia="en-AU"/>
        </w:rPr>
        <w:drawing>
          <wp:inline distT="0" distB="0" distL="0" distR="0" wp14:anchorId="273BAA84" wp14:editId="370947B2">
            <wp:extent cx="5731510" cy="3126794"/>
            <wp:effectExtent l="0" t="0" r="2540" b="0"/>
            <wp:docPr id="31" name="Picture 31" descr="Figure 6.1 shows the daily quantity of gas traded during the week at each trading location. In the Moomba hub, trading locations include registered facilities at MSP (SWQP) and MAP. In the Wallumbilla hub, trading locations include registered facilities at RBP, SWQP and QGP, and registered/alternate delivery points for non-netted product trades (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126794"/>
                    </a:xfrm>
                    <a:prstGeom prst="rect">
                      <a:avLst/>
                    </a:prstGeom>
                    <a:noFill/>
                    <a:ln>
                      <a:noFill/>
                    </a:ln>
                  </pic:spPr>
                </pic:pic>
              </a:graphicData>
            </a:graphic>
          </wp:inline>
        </w:drawing>
      </w:r>
    </w:p>
    <w:bookmarkEnd w:id="0"/>
    <w:bookmarkEnd w:id="1"/>
    <w:bookmarkEnd w:id="2"/>
    <w:bookmarkEnd w:id="3"/>
    <w:bookmarkEnd w:id="4"/>
    <w:bookmarkEnd w:id="5"/>
    <w:p w:rsidR="00275002" w:rsidRPr="009F2CAC" w:rsidRDefault="00275002" w:rsidP="00783D4E">
      <w:pPr>
        <w:pStyle w:val="Heading4notnumbered"/>
      </w:pPr>
      <w:r w:rsidRPr="00D92E07">
        <w:t>Australian Energy Regulator</w:t>
      </w:r>
      <w:r w:rsidR="005B0EF5" w:rsidRPr="00D92E07">
        <w:br/>
      </w:r>
      <w:r w:rsidR="00871EFD" w:rsidRPr="00871EFD">
        <w:t>March</w:t>
      </w:r>
      <w:r w:rsidR="004D5447" w:rsidRPr="00871EFD">
        <w:t xml:space="preserve"> </w:t>
      </w:r>
      <w:r w:rsidR="00C4712A" w:rsidRPr="00871EFD">
        <w:t>2016</w:t>
      </w:r>
    </w:p>
    <w:sectPr w:rsidR="00275002" w:rsidRPr="009F2CAC" w:rsidSect="00A226E9">
      <w:footerReference w:type="even" r:id="rId33"/>
      <w:footerReference w:type="default" r:id="rId34"/>
      <w:footerReference w:type="first" r:id="rId35"/>
      <w:pgSz w:w="11906" w:h="16838"/>
      <w:pgMar w:top="709" w:right="1440" w:bottom="851" w:left="1440" w:header="708" w:footer="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4EC2" w:rsidRDefault="000A4EC2" w:rsidP="004B4412">
      <w:pPr>
        <w:spacing w:before="0"/>
      </w:pPr>
      <w:r>
        <w:separator/>
      </w:r>
    </w:p>
  </w:endnote>
  <w:endnote w:type="continuationSeparator" w:id="0">
    <w:p w:rsidR="000A4EC2" w:rsidRDefault="000A4EC2" w:rsidP="004B441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1"/>
    <w:family w:val="roman"/>
    <w:notTrueType/>
    <w:pitch w:val="variable"/>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EC2" w:rsidRPr="00A91A9E" w:rsidRDefault="000A4EC2" w:rsidP="00275002">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0A4EC2" w:rsidRDefault="000A4EC2"/>
  <w:p w:rsidR="000A4EC2" w:rsidRDefault="000A4EC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EC2" w:rsidRPr="00A94D89" w:rsidRDefault="000A4EC2" w:rsidP="00A94D89">
    <w:pPr>
      <w:pStyle w:val="Footer"/>
      <w:pBdr>
        <w:top w:val="single" w:sz="4" w:space="1" w:color="auto"/>
      </w:pBdr>
      <w:rPr>
        <w:rFonts w:cs="Arial"/>
        <w:i/>
      </w:rPr>
    </w:pP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020AC1">
      <w:rPr>
        <w:rFonts w:cs="Arial"/>
        <w:i/>
        <w:noProof/>
      </w:rPr>
      <w:t>11</w:t>
    </w:r>
    <w:r w:rsidRPr="001F1B78">
      <w:rPr>
        <w:rFonts w:cs="Arial"/>
        <w:i/>
        <w:noProof/>
      </w:rPr>
      <w:fldChar w:fldCharType="end"/>
    </w:r>
    <w:r w:rsidRPr="00F52F00">
      <w:rPr>
        <w:rFonts w:cs="Arial"/>
        <w:i/>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EC2" w:rsidRPr="00A94D89" w:rsidRDefault="000A4EC2" w:rsidP="00A94D89">
    <w:pPr>
      <w:pStyle w:val="Footer"/>
      <w:pBdr>
        <w:top w:val="single" w:sz="4" w:space="1" w:color="auto"/>
      </w:pBdr>
      <w:rPr>
        <w:rFonts w:cs="Arial"/>
        <w:i/>
      </w:rPr>
    </w:pPr>
    <w:r w:rsidRPr="00F52F00">
      <w:rPr>
        <w:rFonts w:cs="Arial"/>
        <w:i/>
      </w:rPr>
      <w:t>© Commonwealth of Australia</w:t>
    </w: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020AC1">
      <w:rPr>
        <w:rFonts w:cs="Arial"/>
        <w:i/>
        <w:noProof/>
      </w:rPr>
      <w:t>1</w:t>
    </w:r>
    <w:r w:rsidRPr="001F1B78">
      <w:rPr>
        <w:rFonts w:cs="Arial"/>
        <w:i/>
        <w:noProof/>
      </w:rPr>
      <w:fldChar w:fldCharType="end"/>
    </w:r>
    <w:r w:rsidRPr="00F52F00">
      <w:rPr>
        <w:rFonts w:cs="Arial"/>
        <w:i/>
      </w:rPr>
      <w:tab/>
      <w:t>AER reference: 392</w:t>
    </w:r>
    <w:r>
      <w:rPr>
        <w:rFonts w:cs="Arial"/>
        <w:i/>
      </w:rPr>
      <w:t>7</w:t>
    </w:r>
    <w:r w:rsidRPr="00F52F00">
      <w:rPr>
        <w:rFonts w:cs="Arial"/>
        <w:i/>
      </w:rPr>
      <w:t xml:space="preserve">0 – </w:t>
    </w:r>
    <w:r w:rsidRPr="007F43CB">
      <w:rPr>
        <w:rFonts w:cs="Arial"/>
        <w:i/>
        <w:szCs w:val="18"/>
      </w:rPr>
      <w:t>D1</w:t>
    </w:r>
    <w:r>
      <w:rPr>
        <w:rFonts w:cs="Arial"/>
        <w:i/>
        <w:szCs w:val="18"/>
      </w:rPr>
      <w:t>7</w:t>
    </w:r>
    <w:r w:rsidRPr="007F43CB">
      <w:rPr>
        <w:rFonts w:cs="Arial"/>
        <w:i/>
        <w:szCs w:val="18"/>
      </w:rPr>
      <w:t>/</w:t>
    </w:r>
    <w:r>
      <w:rPr>
        <w:rFonts w:cs="Arial"/>
        <w:i/>
        <w:szCs w:val="18"/>
      </w:rPr>
      <w:t>28018</w:t>
    </w:r>
  </w:p>
  <w:p w:rsidR="000A4EC2" w:rsidRDefault="000A4EC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4EC2" w:rsidRDefault="000A4EC2" w:rsidP="004B4412">
      <w:pPr>
        <w:spacing w:before="0"/>
      </w:pPr>
      <w:r>
        <w:separator/>
      </w:r>
    </w:p>
  </w:footnote>
  <w:footnote w:type="continuationSeparator" w:id="0">
    <w:p w:rsidR="000A4EC2" w:rsidRDefault="000A4EC2" w:rsidP="004B4412">
      <w:pPr>
        <w:spacing w:before="0"/>
      </w:pPr>
      <w:r>
        <w:continuationSeparator/>
      </w:r>
    </w:p>
  </w:footnote>
  <w:footnote w:id="1">
    <w:p w:rsidR="000A4EC2" w:rsidRPr="000835F4" w:rsidRDefault="000A4EC2" w:rsidP="000835F4">
      <w:pPr>
        <w:pStyle w:val="FootnoteText"/>
        <w:spacing w:before="0"/>
        <w:ind w:left="709" w:hanging="709"/>
        <w:jc w:val="both"/>
        <w:rPr>
          <w:szCs w:val="16"/>
        </w:rPr>
      </w:pPr>
      <w:r w:rsidRPr="00EC137F">
        <w:rPr>
          <w:rStyle w:val="FootnoteReference"/>
        </w:rPr>
        <w:footnoteRef/>
      </w:r>
      <w:r w:rsidRPr="00EC137F">
        <w:t xml:space="preserve"> </w:t>
      </w:r>
      <w:r w:rsidRPr="00EC137F">
        <w:tab/>
        <w:t xml:space="preserve">Average daily quantities are displayed for each region, with the exception of Gas Supply Hubs (GSH). </w:t>
      </w:r>
      <w:r w:rsidRPr="00EC137F">
        <w:rPr>
          <w:szCs w:val="16"/>
        </w:rPr>
        <w:t>The weighted average daily imbalance price applies for Victoria. The prices shown for the GSH in Wallumbilla and Moomba are volume weighted average prices for all products traded across the period. The total quantity contributing to the weighted price is displayed for these GSH.</w:t>
      </w:r>
    </w:p>
  </w:footnote>
  <w:footnote w:id="2">
    <w:p w:rsidR="000A4EC2" w:rsidRPr="00EC2CB1" w:rsidRDefault="000A4EC2"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Prices for subsequent schedules are applied only to the differences in scheduled quantities (imbalances) to calculate the weighted price. The 6 am price applies to the entire scheduled quantity in the initial schedule.</w:t>
      </w:r>
    </w:p>
  </w:footnote>
  <w:footnote w:id="3">
    <w:p w:rsidR="000A4EC2" w:rsidRPr="00EC2CB1" w:rsidRDefault="000A4EC2"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 price might also be affected by transmission or production (contractual) constraints limiting how much gas can be delivered from a locale or System Injection Point (SIP) from time to time.</w:t>
      </w:r>
    </w:p>
  </w:footnote>
  <w:footnote w:id="4">
    <w:p w:rsidR="000A4EC2" w:rsidRPr="00EC2CB1" w:rsidRDefault="000A4EC2"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These are Market Participants’ aggregate demand forecasts adjusted for any override as applied by AEMO from time to time. These forecasts must be scheduled and cannot respond to price like withdrawal bids.</w:t>
      </w:r>
    </w:p>
  </w:footnote>
  <w:footnote w:id="5">
    <w:p w:rsidR="000A4EC2" w:rsidRPr="00551D6B" w:rsidRDefault="000A4EC2" w:rsidP="00551D6B">
      <w:pPr>
        <w:pStyle w:val="FootnoteText"/>
        <w:spacing w:before="0"/>
        <w:ind w:left="709" w:hanging="709"/>
        <w:jc w:val="both"/>
        <w:rPr>
          <w:szCs w:val="16"/>
        </w:rPr>
      </w:pPr>
      <w:r w:rsidRPr="00551D6B">
        <w:rPr>
          <w:rStyle w:val="FootnoteReference"/>
          <w:szCs w:val="16"/>
        </w:rPr>
        <w:footnoteRef/>
      </w:r>
      <w:r w:rsidRPr="00551D6B">
        <w:rPr>
          <w:szCs w:val="16"/>
        </w:rPr>
        <w:t xml:space="preserve"> </w:t>
      </w:r>
      <w:r w:rsidRPr="00551D6B">
        <w:rPr>
          <w:szCs w:val="16"/>
        </w:rPr>
        <w:tab/>
        <w:t>The main driver of the amount of gas scheduled on a gas day is the ‘price-taker’ bid, which is forecast hub demand that cannot respond to price and which must be delivered, regardless of the price.</w:t>
      </w:r>
    </w:p>
  </w:footnote>
  <w:footnote w:id="6">
    <w:p w:rsidR="000A4EC2" w:rsidRPr="00551D6B" w:rsidRDefault="000A4EC2" w:rsidP="00551D6B">
      <w:pPr>
        <w:pStyle w:val="AERbodytext"/>
        <w:spacing w:before="0" w:line="240" w:lineRule="auto"/>
        <w:ind w:left="709" w:hanging="709"/>
        <w:rPr>
          <w:sz w:val="16"/>
          <w:szCs w:val="16"/>
        </w:rPr>
      </w:pPr>
      <w:r w:rsidRPr="00551D6B">
        <w:rPr>
          <w:rStyle w:val="FootnoteReference"/>
          <w:sz w:val="16"/>
          <w:szCs w:val="16"/>
        </w:rPr>
        <w:footnoteRef/>
      </w:r>
      <w:r w:rsidRPr="00551D6B">
        <w:rPr>
          <w:sz w:val="16"/>
          <w:szCs w:val="16"/>
        </w:rPr>
        <w:t xml:space="preserve"> </w:t>
      </w:r>
      <w:r w:rsidRPr="00551D6B">
        <w:rPr>
          <w:sz w:val="16"/>
          <w:szCs w:val="16"/>
        </w:rPr>
        <w:tab/>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7">
    <w:p w:rsidR="000A4EC2" w:rsidRPr="00552F68" w:rsidRDefault="000A4EC2" w:rsidP="00914872">
      <w:pPr>
        <w:pStyle w:val="FootnoteText"/>
        <w:ind w:left="709" w:hanging="709"/>
        <w:jc w:val="both"/>
      </w:pPr>
      <w:r w:rsidRPr="00552F68">
        <w:rPr>
          <w:rStyle w:val="FootnoteReference"/>
        </w:rPr>
        <w:footnoteRef/>
      </w:r>
      <w:r w:rsidRPr="00552F68">
        <w:t xml:space="preserve"> </w:t>
      </w:r>
      <w:r w:rsidRPr="00552F68">
        <w:tab/>
        <w:t>The commodity cost of MOS illustrated on the right of the figure represents the commodity quantity at the D+2 ex ante price. Commodity payments and charges for a given gas day relate to quantities traded two days earlier. That is, the commodity cost for services provided on Sunday will appear in the chart for Tuesday, when the D+2 price is set. In contrast, service payments are shown alongside the day they occurred.</w:t>
      </w:r>
    </w:p>
  </w:footnote>
  <w:footnote w:id="8">
    <w:p w:rsidR="000A4EC2" w:rsidRPr="0087350F" w:rsidRDefault="000A4EC2" w:rsidP="00596DE3">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b/>
          <w:szCs w:val="16"/>
        </w:rPr>
        <w:t>Domestic gas flows</w:t>
      </w:r>
      <w:r w:rsidRPr="0087350F">
        <w:rPr>
          <w:szCs w:val="16"/>
        </w:rPr>
        <w:t xml:space="preserve"> are calculated as the total of:  </w:t>
      </w:r>
      <w:r w:rsidRPr="0087350F">
        <w:rPr>
          <w:b/>
          <w:szCs w:val="16"/>
        </w:rPr>
        <w:t>SA</w:t>
      </w:r>
      <w:r w:rsidRPr="0087350F">
        <w:rPr>
          <w:szCs w:val="16"/>
        </w:rPr>
        <w:t xml:space="preserve"> = MAP + SEAGAS; </w:t>
      </w:r>
      <w:r w:rsidRPr="0087350F">
        <w:rPr>
          <w:b/>
          <w:szCs w:val="16"/>
        </w:rPr>
        <w:t>VIC</w:t>
      </w:r>
      <w:r w:rsidRPr="0087350F">
        <w:rPr>
          <w:szCs w:val="16"/>
        </w:rPr>
        <w:t xml:space="preserve"> = SWP + LMP + (absolute quantity of negative flows only on the ‘NSW-VIC </w:t>
      </w:r>
      <w:proofErr w:type="gramStart"/>
      <w:r w:rsidRPr="0087350F">
        <w:rPr>
          <w:szCs w:val="16"/>
        </w:rPr>
        <w:t>interconnect</w:t>
      </w:r>
      <w:proofErr w:type="gramEnd"/>
      <w:r w:rsidRPr="0087350F">
        <w:rPr>
          <w:szCs w:val="16"/>
        </w:rPr>
        <w:t xml:space="preserve">’); </w:t>
      </w:r>
      <w:r w:rsidRPr="0087350F">
        <w:rPr>
          <w:b/>
          <w:szCs w:val="16"/>
        </w:rPr>
        <w:t>NSW/ACT</w:t>
      </w:r>
      <w:r w:rsidRPr="0087350F">
        <w:rPr>
          <w:szCs w:val="16"/>
        </w:rPr>
        <w:t xml:space="preserve"> = EGP + MSP; </w:t>
      </w:r>
      <w:r w:rsidRPr="0087350F">
        <w:rPr>
          <w:b/>
          <w:szCs w:val="16"/>
        </w:rPr>
        <w:t>TAS</w:t>
      </w:r>
      <w:r w:rsidRPr="0087350F">
        <w:rPr>
          <w:szCs w:val="16"/>
        </w:rPr>
        <w:t xml:space="preserve"> = TGP; </w:t>
      </w:r>
      <w:r w:rsidRPr="0087350F">
        <w:rPr>
          <w:b/>
          <w:szCs w:val="16"/>
        </w:rPr>
        <w:t>QLD (Brisbane)</w:t>
      </w:r>
      <w:r w:rsidRPr="0087350F">
        <w:rPr>
          <w:szCs w:val="16"/>
        </w:rPr>
        <w:t xml:space="preserve"> = RBP; </w:t>
      </w:r>
      <w:r w:rsidRPr="0087350F">
        <w:rPr>
          <w:b/>
          <w:szCs w:val="16"/>
        </w:rPr>
        <w:t>QLD (Mt Isa)</w:t>
      </w:r>
      <w:r w:rsidRPr="0087350F">
        <w:rPr>
          <w:szCs w:val="16"/>
        </w:rPr>
        <w:t xml:space="preserve"> = CGP; and </w:t>
      </w:r>
      <w:r w:rsidRPr="0087350F">
        <w:rPr>
          <w:b/>
          <w:szCs w:val="16"/>
        </w:rPr>
        <w:t>QLD (Gladstone)</w:t>
      </w:r>
      <w:r w:rsidRPr="0087350F">
        <w:rPr>
          <w:szCs w:val="16"/>
        </w:rPr>
        <w:t xml:space="preserve"> = QGP. </w:t>
      </w:r>
    </w:p>
    <w:p w:rsidR="000A4EC2" w:rsidRPr="0087350F" w:rsidRDefault="000A4EC2" w:rsidP="00596DE3">
      <w:pPr>
        <w:pStyle w:val="FootnoteText"/>
        <w:spacing w:before="0"/>
        <w:ind w:left="709"/>
        <w:jc w:val="both"/>
        <w:rPr>
          <w:szCs w:val="16"/>
        </w:rPr>
      </w:pPr>
      <w:r w:rsidRPr="0087350F">
        <w:rPr>
          <w:b/>
          <w:szCs w:val="16"/>
        </w:rPr>
        <w:t xml:space="preserve">Export gas flows </w:t>
      </w:r>
      <w:r w:rsidRPr="0087350F">
        <w:rPr>
          <w:szCs w:val="16"/>
        </w:rPr>
        <w:t>are calculated as the total of: the APLNG pipeline; the GLNG pipeline; and the Wallumbilla to Gladstone pipeline.</w:t>
      </w:r>
    </w:p>
    <w:p w:rsidR="000A4EC2" w:rsidRPr="0087350F" w:rsidRDefault="000A4EC2" w:rsidP="00596DE3">
      <w:pPr>
        <w:pStyle w:val="FootnoteText"/>
        <w:spacing w:before="0"/>
        <w:ind w:left="709"/>
        <w:jc w:val="both"/>
        <w:rPr>
          <w:szCs w:val="16"/>
        </w:rPr>
      </w:pPr>
      <w:r w:rsidRPr="0087350F">
        <w:rPr>
          <w:b/>
          <w:szCs w:val="16"/>
        </w:rPr>
        <w:t>GPG volumes</w:t>
      </w:r>
      <w:r w:rsidRPr="0087350F">
        <w:rPr>
          <w:szCs w:val="16"/>
        </w:rPr>
        <w:t xml:space="preserve"> may include gas usage that does not show up on Bulletin Board pipeline flows.</w:t>
      </w:r>
    </w:p>
  </w:footnote>
  <w:footnote w:id="9">
    <w:p w:rsidR="000A4EC2" w:rsidRPr="0087350F" w:rsidRDefault="000A4EC2" w:rsidP="00596DE3">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szCs w:val="16"/>
        </w:rPr>
        <w:t>GSH supply is the average daily volume of gas ‘traded’, while price is a volume weighted average.</w:t>
      </w:r>
      <w:r>
        <w:rPr>
          <w:szCs w:val="16"/>
        </w:rPr>
        <w:t xml:space="preserve"> Optional hub services (for compression and redirection) are shown separately from commodity trades.</w:t>
      </w:r>
    </w:p>
  </w:footnote>
  <w:footnote w:id="10">
    <w:p w:rsidR="000A4EC2" w:rsidRDefault="000A4EC2" w:rsidP="00596DE3">
      <w:pPr>
        <w:pStyle w:val="FootnoteText"/>
      </w:pPr>
      <w:r w:rsidRPr="00596DE3">
        <w:rPr>
          <w:rStyle w:val="FootnoteReference"/>
          <w:sz w:val="20"/>
        </w:rPr>
        <w:footnoteRef/>
      </w:r>
      <w:r w:rsidRPr="00596DE3">
        <w:rPr>
          <w:sz w:val="20"/>
        </w:rPr>
        <w:t xml:space="preserve"> </w:t>
      </w:r>
      <w:r w:rsidRPr="00596DE3">
        <w:rPr>
          <w:sz w:val="20"/>
        </w:rPr>
        <w:tab/>
      </w:r>
      <w:r>
        <w:t xml:space="preserve">Net flows are shown for Bulletin Board facilities, as outlined in the </w:t>
      </w:r>
      <w:hyperlink r:id="rId1" w:history="1">
        <w:r w:rsidRPr="00A952AA">
          <w:rPr>
            <w:rStyle w:val="Hyperlink"/>
            <w:sz w:val="16"/>
          </w:rPr>
          <w:t>user guide</w:t>
        </w:r>
      </w:hyperlink>
      <w:r>
        <w:t>.</w:t>
      </w:r>
    </w:p>
  </w:footnote>
  <w:footnote w:id="11">
    <w:p w:rsidR="000A4EC2" w:rsidRDefault="000A4EC2" w:rsidP="00596DE3">
      <w:pPr>
        <w:pStyle w:val="FootnoteText"/>
        <w:ind w:left="709" w:hanging="709"/>
        <w:jc w:val="both"/>
      </w:pPr>
      <w:r w:rsidRPr="00F978C8">
        <w:rPr>
          <w:rStyle w:val="FootnoteReference"/>
          <w:sz w:val="20"/>
        </w:rPr>
        <w:footnoteRef/>
      </w:r>
      <w:r w:rsidRPr="00F978C8">
        <w:rPr>
          <w:sz w:val="20"/>
        </w:rPr>
        <w:t xml:space="preserve"> </w:t>
      </w:r>
      <w:r w:rsidRPr="00F978C8">
        <w:rPr>
          <w:sz w:val="20"/>
        </w:rPr>
        <w:tab/>
      </w:r>
      <w:r>
        <w:t xml:space="preserve">Additional information on trading locations and available products is detailed in the </w:t>
      </w:r>
      <w:hyperlink r:id="rId2" w:history="1">
        <w:r w:rsidRPr="00A952AA">
          <w:rPr>
            <w:rStyle w:val="Hyperlink"/>
            <w:sz w:val="16"/>
          </w:rPr>
          <w:t>user guide</w:t>
        </w:r>
      </w:hyperlink>
      <w:r>
        <w:t>.</w:t>
      </w:r>
    </w:p>
  </w:footnote>
  <w:footnote w:id="12">
    <w:p w:rsidR="000A4EC2" w:rsidRDefault="000A4EC2" w:rsidP="00596DE3">
      <w:pPr>
        <w:pStyle w:val="FootnoteText"/>
        <w:ind w:left="709" w:hanging="709"/>
        <w:jc w:val="both"/>
      </w:pPr>
      <w:r w:rsidRPr="00F978C8">
        <w:rPr>
          <w:rStyle w:val="FootnoteReference"/>
          <w:sz w:val="20"/>
        </w:rPr>
        <w:footnoteRef/>
      </w:r>
      <w:r w:rsidRPr="00F978C8">
        <w:rPr>
          <w:sz w:val="20"/>
        </w:rPr>
        <w:t xml:space="preserve"> </w:t>
      </w:r>
      <w:r w:rsidRPr="00F978C8">
        <w:rPr>
          <w:sz w:val="20"/>
        </w:rPr>
        <w:tab/>
      </w:r>
      <w:r>
        <w:t>Non-netted (off-market) trades, allowing the selection of specific delivery point at a trading location, are denoted as WAL*.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0CCD3AE"/>
    <w:lvl w:ilvl="0">
      <w:start w:val="1"/>
      <w:numFmt w:val="decimal"/>
      <w:pStyle w:val="ListNumber3"/>
      <w:lvlText w:val="%1."/>
      <w:lvlJc w:val="left"/>
      <w:pPr>
        <w:tabs>
          <w:tab w:val="num" w:pos="926"/>
        </w:tabs>
        <w:ind w:left="926" w:hanging="360"/>
      </w:pPr>
    </w:lvl>
  </w:abstractNum>
  <w:abstractNum w:abstractNumId="3">
    <w:nsid w:val="FFFFFF7F"/>
    <w:multiLevelType w:val="singleLevel"/>
    <w:tmpl w:val="7F741816"/>
    <w:lvl w:ilvl="0">
      <w:start w:val="1"/>
      <w:numFmt w:val="lowerLetter"/>
      <w:pStyle w:val="ListNumber2"/>
      <w:lvlText w:val="%1)"/>
      <w:lvlJc w:val="left"/>
      <w:pPr>
        <w:ind w:left="36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nsid w:val="025F1CAC"/>
    <w:multiLevelType w:val="hybridMultilevel"/>
    <w:tmpl w:val="62FA8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4E03282"/>
    <w:multiLevelType w:val="hybridMultilevel"/>
    <w:tmpl w:val="B7C2FE76"/>
    <w:lvl w:ilvl="0" w:tplc="F41A51E2">
      <w:start w:val="1"/>
      <w:numFmt w:val="decimal"/>
      <w:lvlText w:val="Figure 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281AC6"/>
    <w:multiLevelType w:val="hybridMultilevel"/>
    <w:tmpl w:val="83BAD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33E73B6"/>
    <w:multiLevelType w:val="hybridMultilevel"/>
    <w:tmpl w:val="80220B84"/>
    <w:lvl w:ilvl="0" w:tplc="F5987420">
      <w:start w:val="1"/>
      <w:numFmt w:val="decimal"/>
      <w:pStyle w:val="Numberedlist"/>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4">
    <w:nsid w:val="16991208"/>
    <w:multiLevelType w:val="hybridMultilevel"/>
    <w:tmpl w:val="55284E2C"/>
    <w:lvl w:ilvl="0" w:tplc="F07A3D8A">
      <w:start w:val="1"/>
      <w:numFmt w:val="decimal"/>
      <w:lvlText w:val="Figure 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CF519CE"/>
    <w:multiLevelType w:val="multilevel"/>
    <w:tmpl w:val="3AD8CB4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7">
    <w:nsid w:val="1F844A98"/>
    <w:multiLevelType w:val="hybridMultilevel"/>
    <w:tmpl w:val="9A46145E"/>
    <w:lvl w:ilvl="0" w:tplc="AB546016">
      <w:start w:val="10"/>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25C9538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28F75099"/>
    <w:multiLevelType w:val="hybridMultilevel"/>
    <w:tmpl w:val="2E1E9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8CB5BD0"/>
    <w:multiLevelType w:val="hybridMultilevel"/>
    <w:tmpl w:val="0E2C1E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3396CE6"/>
    <w:multiLevelType w:val="hybridMultilevel"/>
    <w:tmpl w:val="6AF2555A"/>
    <w:lvl w:ilvl="0" w:tplc="D03C4C38">
      <w:start w:val="1"/>
      <w:numFmt w:val="decimal"/>
      <w:lvlText w:val="Figure 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7">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28">
    <w:nsid w:val="6C1C3940"/>
    <w:multiLevelType w:val="hybridMultilevel"/>
    <w:tmpl w:val="787CCB50"/>
    <w:lvl w:ilvl="0" w:tplc="4C920FA4">
      <w:start w:val="1"/>
      <w:numFmt w:val="decimal"/>
      <w:lvlText w:val="Figure 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ED40010"/>
    <w:multiLevelType w:val="hybridMultilevel"/>
    <w:tmpl w:val="C89CC66C"/>
    <w:lvl w:ilvl="0" w:tplc="7792B686">
      <w:start w:val="1"/>
      <w:numFmt w:val="decimal"/>
      <w:lvlText w:val="Figure 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05C4980"/>
    <w:multiLevelType w:val="hybridMultilevel"/>
    <w:tmpl w:val="027A3B86"/>
    <w:lvl w:ilvl="0" w:tplc="982A071C">
      <w:start w:val="1"/>
      <w:numFmt w:val="decimal"/>
      <w:lvlText w:val="Figure 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ACB7F6B"/>
    <w:multiLevelType w:val="hybridMultilevel"/>
    <w:tmpl w:val="0F2A3F9A"/>
    <w:lvl w:ilvl="0" w:tplc="1038B32C">
      <w:start w:val="1"/>
      <w:numFmt w:val="lowerRoman"/>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33">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33"/>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7"/>
  </w:num>
  <w:num w:numId="13">
    <w:abstractNumId w:val="21"/>
  </w:num>
  <w:num w:numId="14">
    <w:abstractNumId w:val="11"/>
  </w:num>
  <w:num w:numId="15">
    <w:abstractNumId w:val="16"/>
  </w:num>
  <w:num w:numId="16">
    <w:abstractNumId w:val="23"/>
  </w:num>
  <w:num w:numId="17">
    <w:abstractNumId w:val="19"/>
  </w:num>
  <w:num w:numId="18">
    <w:abstractNumId w:val="24"/>
  </w:num>
  <w:num w:numId="19">
    <w:abstractNumId w:val="31"/>
  </w:num>
  <w:num w:numId="20">
    <w:abstractNumId w:val="26"/>
  </w:num>
  <w:num w:numId="21">
    <w:abstractNumId w:val="15"/>
  </w:num>
  <w:num w:numId="22">
    <w:abstractNumId w:val="18"/>
  </w:num>
  <w:num w:numId="23">
    <w:abstractNumId w:val="22"/>
  </w:num>
  <w:num w:numId="24">
    <w:abstractNumId w:val="17"/>
  </w:num>
  <w:num w:numId="25">
    <w:abstractNumId w:val="32"/>
  </w:num>
  <w:num w:numId="26">
    <w:abstractNumId w:val="20"/>
  </w:num>
  <w:num w:numId="27">
    <w:abstractNumId w:val="9"/>
  </w:num>
  <w:num w:numId="28">
    <w:abstractNumId w:val="12"/>
  </w:num>
  <w:num w:numId="29">
    <w:abstractNumId w:val="14"/>
  </w:num>
  <w:num w:numId="30">
    <w:abstractNumId w:val="28"/>
  </w:num>
  <w:num w:numId="31">
    <w:abstractNumId w:val="29"/>
  </w:num>
  <w:num w:numId="32">
    <w:abstractNumId w:val="25"/>
  </w:num>
  <w:num w:numId="33">
    <w:abstractNumId w:val="30"/>
  </w:num>
  <w:num w:numId="34">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trackRevisions/>
  <w:defaultTabStop w:val="720"/>
  <w:characterSpacingControl w:val="doNotCompress"/>
  <w:hdrShapeDefaults>
    <o:shapedefaults v:ext="edit" spidmax="1239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9356\D17 28018  20170212 - 20170218 gas weekly report.DOCX"/>
  </w:docVars>
  <w:rsids>
    <w:rsidRoot w:val="00275002"/>
    <w:rsid w:val="00000817"/>
    <w:rsid w:val="00000BFE"/>
    <w:rsid w:val="00000CC3"/>
    <w:rsid w:val="00003169"/>
    <w:rsid w:val="00005D12"/>
    <w:rsid w:val="00006B66"/>
    <w:rsid w:val="0000728F"/>
    <w:rsid w:val="00007624"/>
    <w:rsid w:val="000128E1"/>
    <w:rsid w:val="0001415C"/>
    <w:rsid w:val="000147C1"/>
    <w:rsid w:val="00014D5F"/>
    <w:rsid w:val="00016E4F"/>
    <w:rsid w:val="00017DD0"/>
    <w:rsid w:val="00020AC1"/>
    <w:rsid w:val="00021202"/>
    <w:rsid w:val="0002123D"/>
    <w:rsid w:val="00022F09"/>
    <w:rsid w:val="00024215"/>
    <w:rsid w:val="000242E7"/>
    <w:rsid w:val="00024369"/>
    <w:rsid w:val="00024C84"/>
    <w:rsid w:val="00026E0A"/>
    <w:rsid w:val="00030794"/>
    <w:rsid w:val="000308B1"/>
    <w:rsid w:val="000312E6"/>
    <w:rsid w:val="000316E7"/>
    <w:rsid w:val="00033902"/>
    <w:rsid w:val="00033BE8"/>
    <w:rsid w:val="00034A40"/>
    <w:rsid w:val="0003564D"/>
    <w:rsid w:val="0003578C"/>
    <w:rsid w:val="00035A9A"/>
    <w:rsid w:val="00037A6F"/>
    <w:rsid w:val="00037EB9"/>
    <w:rsid w:val="00040E4C"/>
    <w:rsid w:val="00041A89"/>
    <w:rsid w:val="000422AB"/>
    <w:rsid w:val="00043FA7"/>
    <w:rsid w:val="000442BA"/>
    <w:rsid w:val="00044D80"/>
    <w:rsid w:val="000452BA"/>
    <w:rsid w:val="000461E2"/>
    <w:rsid w:val="0005123C"/>
    <w:rsid w:val="00051880"/>
    <w:rsid w:val="000528FD"/>
    <w:rsid w:val="00056949"/>
    <w:rsid w:val="000572DC"/>
    <w:rsid w:val="000576CD"/>
    <w:rsid w:val="00057973"/>
    <w:rsid w:val="00061ABD"/>
    <w:rsid w:val="00061CE2"/>
    <w:rsid w:val="00061E3B"/>
    <w:rsid w:val="00063247"/>
    <w:rsid w:val="00063473"/>
    <w:rsid w:val="00066157"/>
    <w:rsid w:val="000661AF"/>
    <w:rsid w:val="00070EAB"/>
    <w:rsid w:val="00070F9F"/>
    <w:rsid w:val="0007137B"/>
    <w:rsid w:val="000738F4"/>
    <w:rsid w:val="00074A4E"/>
    <w:rsid w:val="000758D3"/>
    <w:rsid w:val="000766E2"/>
    <w:rsid w:val="00077616"/>
    <w:rsid w:val="00077819"/>
    <w:rsid w:val="000835F4"/>
    <w:rsid w:val="00085663"/>
    <w:rsid w:val="00085EBF"/>
    <w:rsid w:val="00086CF3"/>
    <w:rsid w:val="00087C4A"/>
    <w:rsid w:val="00087CDC"/>
    <w:rsid w:val="00091FB4"/>
    <w:rsid w:val="0009584C"/>
    <w:rsid w:val="000961FA"/>
    <w:rsid w:val="0009653D"/>
    <w:rsid w:val="000A241B"/>
    <w:rsid w:val="000A29ED"/>
    <w:rsid w:val="000A4529"/>
    <w:rsid w:val="000A4EC2"/>
    <w:rsid w:val="000A62B4"/>
    <w:rsid w:val="000A62D6"/>
    <w:rsid w:val="000A6F14"/>
    <w:rsid w:val="000B0311"/>
    <w:rsid w:val="000B364C"/>
    <w:rsid w:val="000B3C8A"/>
    <w:rsid w:val="000C0472"/>
    <w:rsid w:val="000C1A94"/>
    <w:rsid w:val="000C52E2"/>
    <w:rsid w:val="000C5FC0"/>
    <w:rsid w:val="000D122C"/>
    <w:rsid w:val="000D355E"/>
    <w:rsid w:val="000D3C77"/>
    <w:rsid w:val="000D4350"/>
    <w:rsid w:val="000D5ADE"/>
    <w:rsid w:val="000D68C5"/>
    <w:rsid w:val="000E1819"/>
    <w:rsid w:val="000E1A1B"/>
    <w:rsid w:val="000E2946"/>
    <w:rsid w:val="000E4F81"/>
    <w:rsid w:val="000E54D6"/>
    <w:rsid w:val="000E55C7"/>
    <w:rsid w:val="000E564F"/>
    <w:rsid w:val="000E5B55"/>
    <w:rsid w:val="000E6C72"/>
    <w:rsid w:val="000E77BB"/>
    <w:rsid w:val="000E7D8C"/>
    <w:rsid w:val="000E7E24"/>
    <w:rsid w:val="000F189E"/>
    <w:rsid w:val="000F1956"/>
    <w:rsid w:val="000F1D61"/>
    <w:rsid w:val="000F56F6"/>
    <w:rsid w:val="000F5855"/>
    <w:rsid w:val="000F6FA7"/>
    <w:rsid w:val="000F77D6"/>
    <w:rsid w:val="00100142"/>
    <w:rsid w:val="00102B64"/>
    <w:rsid w:val="00105281"/>
    <w:rsid w:val="00105AF3"/>
    <w:rsid w:val="001107FF"/>
    <w:rsid w:val="00113430"/>
    <w:rsid w:val="00113AE0"/>
    <w:rsid w:val="001158FE"/>
    <w:rsid w:val="00115CCB"/>
    <w:rsid w:val="00116EB2"/>
    <w:rsid w:val="00117195"/>
    <w:rsid w:val="0012092C"/>
    <w:rsid w:val="00122831"/>
    <w:rsid w:val="001235DD"/>
    <w:rsid w:val="00124609"/>
    <w:rsid w:val="00125F4F"/>
    <w:rsid w:val="001270EB"/>
    <w:rsid w:val="00127CAB"/>
    <w:rsid w:val="00130196"/>
    <w:rsid w:val="0013057E"/>
    <w:rsid w:val="001337EF"/>
    <w:rsid w:val="00133FC8"/>
    <w:rsid w:val="00134BD7"/>
    <w:rsid w:val="00136716"/>
    <w:rsid w:val="00136A08"/>
    <w:rsid w:val="001373F1"/>
    <w:rsid w:val="001435CC"/>
    <w:rsid w:val="001436FC"/>
    <w:rsid w:val="001450FB"/>
    <w:rsid w:val="0014511E"/>
    <w:rsid w:val="00145982"/>
    <w:rsid w:val="00145ACE"/>
    <w:rsid w:val="00146F42"/>
    <w:rsid w:val="00151F61"/>
    <w:rsid w:val="001521CB"/>
    <w:rsid w:val="001539E0"/>
    <w:rsid w:val="0015451B"/>
    <w:rsid w:val="0015496E"/>
    <w:rsid w:val="00155113"/>
    <w:rsid w:val="0015602B"/>
    <w:rsid w:val="001566F6"/>
    <w:rsid w:val="001573E4"/>
    <w:rsid w:val="00160756"/>
    <w:rsid w:val="00162584"/>
    <w:rsid w:val="00164658"/>
    <w:rsid w:val="00164FB1"/>
    <w:rsid w:val="00165247"/>
    <w:rsid w:val="001653F3"/>
    <w:rsid w:val="00165C87"/>
    <w:rsid w:val="001666AA"/>
    <w:rsid w:val="00166BD2"/>
    <w:rsid w:val="001711CC"/>
    <w:rsid w:val="0017232E"/>
    <w:rsid w:val="00173AE6"/>
    <w:rsid w:val="00173DC1"/>
    <w:rsid w:val="00174102"/>
    <w:rsid w:val="001756AF"/>
    <w:rsid w:val="001778E3"/>
    <w:rsid w:val="00180157"/>
    <w:rsid w:val="00181C46"/>
    <w:rsid w:val="001832C7"/>
    <w:rsid w:val="00186831"/>
    <w:rsid w:val="00186F77"/>
    <w:rsid w:val="001901A4"/>
    <w:rsid w:val="00190F24"/>
    <w:rsid w:val="00191C6F"/>
    <w:rsid w:val="00192441"/>
    <w:rsid w:val="001926A4"/>
    <w:rsid w:val="001934E9"/>
    <w:rsid w:val="00193ED7"/>
    <w:rsid w:val="001968BD"/>
    <w:rsid w:val="001A2C0A"/>
    <w:rsid w:val="001A3CDA"/>
    <w:rsid w:val="001A6790"/>
    <w:rsid w:val="001B0C3B"/>
    <w:rsid w:val="001B2363"/>
    <w:rsid w:val="001B3ABC"/>
    <w:rsid w:val="001B45A0"/>
    <w:rsid w:val="001B4A7D"/>
    <w:rsid w:val="001B684F"/>
    <w:rsid w:val="001B6C15"/>
    <w:rsid w:val="001C027D"/>
    <w:rsid w:val="001C13CD"/>
    <w:rsid w:val="001C17B3"/>
    <w:rsid w:val="001C1BC0"/>
    <w:rsid w:val="001C2EE8"/>
    <w:rsid w:val="001C3452"/>
    <w:rsid w:val="001C5079"/>
    <w:rsid w:val="001C5EF2"/>
    <w:rsid w:val="001C5F6B"/>
    <w:rsid w:val="001C6748"/>
    <w:rsid w:val="001D055E"/>
    <w:rsid w:val="001D0C65"/>
    <w:rsid w:val="001D0CE3"/>
    <w:rsid w:val="001D3A5B"/>
    <w:rsid w:val="001D5BEB"/>
    <w:rsid w:val="001D60FF"/>
    <w:rsid w:val="001D7698"/>
    <w:rsid w:val="001D7FB7"/>
    <w:rsid w:val="001E01B4"/>
    <w:rsid w:val="001E14C2"/>
    <w:rsid w:val="001E2F01"/>
    <w:rsid w:val="001E4665"/>
    <w:rsid w:val="001E48B3"/>
    <w:rsid w:val="001E5AEE"/>
    <w:rsid w:val="001E6FDD"/>
    <w:rsid w:val="001F03EF"/>
    <w:rsid w:val="001F0EC9"/>
    <w:rsid w:val="001F1548"/>
    <w:rsid w:val="001F1B78"/>
    <w:rsid w:val="001F22EE"/>
    <w:rsid w:val="001F2577"/>
    <w:rsid w:val="001F3530"/>
    <w:rsid w:val="001F492E"/>
    <w:rsid w:val="001F6DA3"/>
    <w:rsid w:val="001F7575"/>
    <w:rsid w:val="00201136"/>
    <w:rsid w:val="0020132A"/>
    <w:rsid w:val="00201C06"/>
    <w:rsid w:val="00203300"/>
    <w:rsid w:val="0020376D"/>
    <w:rsid w:val="0020489F"/>
    <w:rsid w:val="002050F5"/>
    <w:rsid w:val="002062A9"/>
    <w:rsid w:val="002065C6"/>
    <w:rsid w:val="002072A2"/>
    <w:rsid w:val="00207D5B"/>
    <w:rsid w:val="0021027A"/>
    <w:rsid w:val="0021147E"/>
    <w:rsid w:val="00212D2F"/>
    <w:rsid w:val="00213CF6"/>
    <w:rsid w:val="00214FBA"/>
    <w:rsid w:val="0021500B"/>
    <w:rsid w:val="00215E19"/>
    <w:rsid w:val="002164FB"/>
    <w:rsid w:val="00216865"/>
    <w:rsid w:val="00217C29"/>
    <w:rsid w:val="002214D9"/>
    <w:rsid w:val="002216F5"/>
    <w:rsid w:val="00222F04"/>
    <w:rsid w:val="00224DB9"/>
    <w:rsid w:val="00224EE7"/>
    <w:rsid w:val="002276F0"/>
    <w:rsid w:val="00227C97"/>
    <w:rsid w:val="00230D26"/>
    <w:rsid w:val="00231C73"/>
    <w:rsid w:val="00232A71"/>
    <w:rsid w:val="00232FBD"/>
    <w:rsid w:val="002338A0"/>
    <w:rsid w:val="00237048"/>
    <w:rsid w:val="00240AA4"/>
    <w:rsid w:val="002427B3"/>
    <w:rsid w:val="00242C25"/>
    <w:rsid w:val="00243222"/>
    <w:rsid w:val="00243347"/>
    <w:rsid w:val="002438D9"/>
    <w:rsid w:val="00245913"/>
    <w:rsid w:val="00247473"/>
    <w:rsid w:val="00250859"/>
    <w:rsid w:val="002515C3"/>
    <w:rsid w:val="002516A1"/>
    <w:rsid w:val="00251745"/>
    <w:rsid w:val="00251C37"/>
    <w:rsid w:val="00251D74"/>
    <w:rsid w:val="00261C02"/>
    <w:rsid w:val="00262F65"/>
    <w:rsid w:val="00263AC0"/>
    <w:rsid w:val="002649D2"/>
    <w:rsid w:val="002649D8"/>
    <w:rsid w:val="00265486"/>
    <w:rsid w:val="0026772D"/>
    <w:rsid w:val="00270A51"/>
    <w:rsid w:val="00270AF4"/>
    <w:rsid w:val="0027318A"/>
    <w:rsid w:val="00275002"/>
    <w:rsid w:val="00275927"/>
    <w:rsid w:val="002762EA"/>
    <w:rsid w:val="00276A9F"/>
    <w:rsid w:val="00277570"/>
    <w:rsid w:val="002817AB"/>
    <w:rsid w:val="002828A0"/>
    <w:rsid w:val="00283BF8"/>
    <w:rsid w:val="0028440E"/>
    <w:rsid w:val="0028521F"/>
    <w:rsid w:val="00285B8A"/>
    <w:rsid w:val="00286866"/>
    <w:rsid w:val="00286874"/>
    <w:rsid w:val="00291658"/>
    <w:rsid w:val="0029246F"/>
    <w:rsid w:val="00294653"/>
    <w:rsid w:val="00294D01"/>
    <w:rsid w:val="00296B65"/>
    <w:rsid w:val="00296D07"/>
    <w:rsid w:val="002A0450"/>
    <w:rsid w:val="002A0AF0"/>
    <w:rsid w:val="002A1B5C"/>
    <w:rsid w:val="002A2900"/>
    <w:rsid w:val="002A3CF2"/>
    <w:rsid w:val="002A4EF8"/>
    <w:rsid w:val="002A7439"/>
    <w:rsid w:val="002A7729"/>
    <w:rsid w:val="002A7C78"/>
    <w:rsid w:val="002A7DEF"/>
    <w:rsid w:val="002B0749"/>
    <w:rsid w:val="002B0DAE"/>
    <w:rsid w:val="002B1949"/>
    <w:rsid w:val="002B1B50"/>
    <w:rsid w:val="002B3B2D"/>
    <w:rsid w:val="002B6FD1"/>
    <w:rsid w:val="002B720D"/>
    <w:rsid w:val="002C2278"/>
    <w:rsid w:val="002C2A63"/>
    <w:rsid w:val="002C341F"/>
    <w:rsid w:val="002C3E5B"/>
    <w:rsid w:val="002C42B0"/>
    <w:rsid w:val="002C4965"/>
    <w:rsid w:val="002C581B"/>
    <w:rsid w:val="002C621D"/>
    <w:rsid w:val="002C6B96"/>
    <w:rsid w:val="002C6DD3"/>
    <w:rsid w:val="002D1734"/>
    <w:rsid w:val="002D37FB"/>
    <w:rsid w:val="002D484E"/>
    <w:rsid w:val="002D4A1F"/>
    <w:rsid w:val="002E29A0"/>
    <w:rsid w:val="002E5E33"/>
    <w:rsid w:val="002E6254"/>
    <w:rsid w:val="002E64AB"/>
    <w:rsid w:val="002F02A4"/>
    <w:rsid w:val="002F22FD"/>
    <w:rsid w:val="002F2481"/>
    <w:rsid w:val="002F3D02"/>
    <w:rsid w:val="002F4F34"/>
    <w:rsid w:val="002F7986"/>
    <w:rsid w:val="00300C0B"/>
    <w:rsid w:val="00302D83"/>
    <w:rsid w:val="003061FA"/>
    <w:rsid w:val="003062C2"/>
    <w:rsid w:val="00306DD8"/>
    <w:rsid w:val="00307F6D"/>
    <w:rsid w:val="003105F5"/>
    <w:rsid w:val="003106BC"/>
    <w:rsid w:val="0031318F"/>
    <w:rsid w:val="003152BD"/>
    <w:rsid w:val="003153EB"/>
    <w:rsid w:val="003171C6"/>
    <w:rsid w:val="003177A2"/>
    <w:rsid w:val="00317A81"/>
    <w:rsid w:val="003208C0"/>
    <w:rsid w:val="00321853"/>
    <w:rsid w:val="00322300"/>
    <w:rsid w:val="00323CE7"/>
    <w:rsid w:val="003243B4"/>
    <w:rsid w:val="003271B5"/>
    <w:rsid w:val="003274A9"/>
    <w:rsid w:val="0032770E"/>
    <w:rsid w:val="00331264"/>
    <w:rsid w:val="00332F5D"/>
    <w:rsid w:val="00334C8D"/>
    <w:rsid w:val="00336D50"/>
    <w:rsid w:val="003375A4"/>
    <w:rsid w:val="00337F4F"/>
    <w:rsid w:val="003401B9"/>
    <w:rsid w:val="00341169"/>
    <w:rsid w:val="00342870"/>
    <w:rsid w:val="00343BF7"/>
    <w:rsid w:val="00346F05"/>
    <w:rsid w:val="0035089F"/>
    <w:rsid w:val="003518B3"/>
    <w:rsid w:val="00351FDC"/>
    <w:rsid w:val="00352DA8"/>
    <w:rsid w:val="00354887"/>
    <w:rsid w:val="00354A9E"/>
    <w:rsid w:val="0035522A"/>
    <w:rsid w:val="00355CDD"/>
    <w:rsid w:val="00355D1A"/>
    <w:rsid w:val="00355D2F"/>
    <w:rsid w:val="00356706"/>
    <w:rsid w:val="00356E72"/>
    <w:rsid w:val="00361D84"/>
    <w:rsid w:val="00362ABA"/>
    <w:rsid w:val="003642AD"/>
    <w:rsid w:val="00366515"/>
    <w:rsid w:val="003715C8"/>
    <w:rsid w:val="00371F3A"/>
    <w:rsid w:val="003749F7"/>
    <w:rsid w:val="00375E24"/>
    <w:rsid w:val="00376373"/>
    <w:rsid w:val="00383C6B"/>
    <w:rsid w:val="003846F1"/>
    <w:rsid w:val="00384A55"/>
    <w:rsid w:val="00384B54"/>
    <w:rsid w:val="00386C86"/>
    <w:rsid w:val="003874F8"/>
    <w:rsid w:val="003904D2"/>
    <w:rsid w:val="00395B4C"/>
    <w:rsid w:val="00397EB2"/>
    <w:rsid w:val="003A0810"/>
    <w:rsid w:val="003A0CB8"/>
    <w:rsid w:val="003A1F17"/>
    <w:rsid w:val="003A3E2D"/>
    <w:rsid w:val="003A41E0"/>
    <w:rsid w:val="003A431D"/>
    <w:rsid w:val="003A4B6B"/>
    <w:rsid w:val="003A7DC0"/>
    <w:rsid w:val="003B0D56"/>
    <w:rsid w:val="003B282E"/>
    <w:rsid w:val="003B40ED"/>
    <w:rsid w:val="003B4804"/>
    <w:rsid w:val="003B4D9B"/>
    <w:rsid w:val="003B6F90"/>
    <w:rsid w:val="003C0710"/>
    <w:rsid w:val="003C24A9"/>
    <w:rsid w:val="003C2B22"/>
    <w:rsid w:val="003C2BC1"/>
    <w:rsid w:val="003C30E5"/>
    <w:rsid w:val="003C3C98"/>
    <w:rsid w:val="003C3D77"/>
    <w:rsid w:val="003C62E9"/>
    <w:rsid w:val="003C7164"/>
    <w:rsid w:val="003C7B5B"/>
    <w:rsid w:val="003C7EFA"/>
    <w:rsid w:val="003D30EE"/>
    <w:rsid w:val="003D5258"/>
    <w:rsid w:val="003E1341"/>
    <w:rsid w:val="003E3C33"/>
    <w:rsid w:val="003E47DC"/>
    <w:rsid w:val="003E521D"/>
    <w:rsid w:val="003E74FF"/>
    <w:rsid w:val="003E78A9"/>
    <w:rsid w:val="003F004E"/>
    <w:rsid w:val="003F0289"/>
    <w:rsid w:val="003F3672"/>
    <w:rsid w:val="003F54CB"/>
    <w:rsid w:val="003F57F1"/>
    <w:rsid w:val="003F5F74"/>
    <w:rsid w:val="003F66C5"/>
    <w:rsid w:val="003F75C8"/>
    <w:rsid w:val="00401B53"/>
    <w:rsid w:val="00402142"/>
    <w:rsid w:val="00403473"/>
    <w:rsid w:val="004034C5"/>
    <w:rsid w:val="00404492"/>
    <w:rsid w:val="00404504"/>
    <w:rsid w:val="00405B42"/>
    <w:rsid w:val="00407337"/>
    <w:rsid w:val="00410584"/>
    <w:rsid w:val="00411897"/>
    <w:rsid w:val="00412176"/>
    <w:rsid w:val="00414488"/>
    <w:rsid w:val="00414EA6"/>
    <w:rsid w:val="00415788"/>
    <w:rsid w:val="004157C0"/>
    <w:rsid w:val="00416641"/>
    <w:rsid w:val="004176E8"/>
    <w:rsid w:val="00421154"/>
    <w:rsid w:val="0042429B"/>
    <w:rsid w:val="00424809"/>
    <w:rsid w:val="004253D6"/>
    <w:rsid w:val="004303EE"/>
    <w:rsid w:val="00436F76"/>
    <w:rsid w:val="00440D85"/>
    <w:rsid w:val="00441A99"/>
    <w:rsid w:val="00442767"/>
    <w:rsid w:val="00444A48"/>
    <w:rsid w:val="00450611"/>
    <w:rsid w:val="004507A1"/>
    <w:rsid w:val="0045129B"/>
    <w:rsid w:val="004518EA"/>
    <w:rsid w:val="00453327"/>
    <w:rsid w:val="00456C20"/>
    <w:rsid w:val="00462CFF"/>
    <w:rsid w:val="00465210"/>
    <w:rsid w:val="00470AF4"/>
    <w:rsid w:val="00470EE9"/>
    <w:rsid w:val="0047130B"/>
    <w:rsid w:val="00471992"/>
    <w:rsid w:val="00471E68"/>
    <w:rsid w:val="0047346C"/>
    <w:rsid w:val="00477821"/>
    <w:rsid w:val="0048018F"/>
    <w:rsid w:val="00480B4B"/>
    <w:rsid w:val="00480DA9"/>
    <w:rsid w:val="004831F8"/>
    <w:rsid w:val="00485752"/>
    <w:rsid w:val="00485DC4"/>
    <w:rsid w:val="00487C10"/>
    <w:rsid w:val="004923CD"/>
    <w:rsid w:val="00492A06"/>
    <w:rsid w:val="00493B02"/>
    <w:rsid w:val="00494036"/>
    <w:rsid w:val="00495574"/>
    <w:rsid w:val="0049751C"/>
    <w:rsid w:val="004A0AB5"/>
    <w:rsid w:val="004A1061"/>
    <w:rsid w:val="004A1184"/>
    <w:rsid w:val="004A13A6"/>
    <w:rsid w:val="004A2770"/>
    <w:rsid w:val="004A364A"/>
    <w:rsid w:val="004B104F"/>
    <w:rsid w:val="004B1708"/>
    <w:rsid w:val="004B231C"/>
    <w:rsid w:val="004B42A7"/>
    <w:rsid w:val="004B4412"/>
    <w:rsid w:val="004B5B3F"/>
    <w:rsid w:val="004C28B2"/>
    <w:rsid w:val="004C348C"/>
    <w:rsid w:val="004C4E90"/>
    <w:rsid w:val="004C571B"/>
    <w:rsid w:val="004C63B9"/>
    <w:rsid w:val="004C6486"/>
    <w:rsid w:val="004C690D"/>
    <w:rsid w:val="004C6C5B"/>
    <w:rsid w:val="004D1774"/>
    <w:rsid w:val="004D4A76"/>
    <w:rsid w:val="004D5447"/>
    <w:rsid w:val="004D55BA"/>
    <w:rsid w:val="004E1B1C"/>
    <w:rsid w:val="004E1E95"/>
    <w:rsid w:val="004E34E7"/>
    <w:rsid w:val="004E4142"/>
    <w:rsid w:val="004E6AFC"/>
    <w:rsid w:val="004E755C"/>
    <w:rsid w:val="004E7D10"/>
    <w:rsid w:val="004F171D"/>
    <w:rsid w:val="004F18F3"/>
    <w:rsid w:val="004F6D0A"/>
    <w:rsid w:val="004F6ED0"/>
    <w:rsid w:val="00501B85"/>
    <w:rsid w:val="0050244E"/>
    <w:rsid w:val="00502843"/>
    <w:rsid w:val="00502D42"/>
    <w:rsid w:val="005033F6"/>
    <w:rsid w:val="005047F1"/>
    <w:rsid w:val="00505B5E"/>
    <w:rsid w:val="00506624"/>
    <w:rsid w:val="00510A43"/>
    <w:rsid w:val="005177C0"/>
    <w:rsid w:val="00522360"/>
    <w:rsid w:val="00522486"/>
    <w:rsid w:val="00522668"/>
    <w:rsid w:val="00523AD2"/>
    <w:rsid w:val="00524513"/>
    <w:rsid w:val="00527551"/>
    <w:rsid w:val="005279B6"/>
    <w:rsid w:val="00530128"/>
    <w:rsid w:val="00530657"/>
    <w:rsid w:val="005323B2"/>
    <w:rsid w:val="00532467"/>
    <w:rsid w:val="0053491C"/>
    <w:rsid w:val="00534DD9"/>
    <w:rsid w:val="0053611E"/>
    <w:rsid w:val="0054102B"/>
    <w:rsid w:val="0054173F"/>
    <w:rsid w:val="0054254C"/>
    <w:rsid w:val="00543945"/>
    <w:rsid w:val="00543BEC"/>
    <w:rsid w:val="00544C6F"/>
    <w:rsid w:val="00546B16"/>
    <w:rsid w:val="00547DC4"/>
    <w:rsid w:val="005502E7"/>
    <w:rsid w:val="00551739"/>
    <w:rsid w:val="00551D6B"/>
    <w:rsid w:val="00552DA2"/>
    <w:rsid w:val="00552F68"/>
    <w:rsid w:val="00555667"/>
    <w:rsid w:val="005556B9"/>
    <w:rsid w:val="00556B64"/>
    <w:rsid w:val="005575B9"/>
    <w:rsid w:val="00560CE5"/>
    <w:rsid w:val="00562103"/>
    <w:rsid w:val="00562CEE"/>
    <w:rsid w:val="00562EF1"/>
    <w:rsid w:val="00564A4D"/>
    <w:rsid w:val="00565239"/>
    <w:rsid w:val="005656E2"/>
    <w:rsid w:val="00565F50"/>
    <w:rsid w:val="0056783F"/>
    <w:rsid w:val="005703C9"/>
    <w:rsid w:val="005707D4"/>
    <w:rsid w:val="00571680"/>
    <w:rsid w:val="00571B35"/>
    <w:rsid w:val="005722FF"/>
    <w:rsid w:val="00572D20"/>
    <w:rsid w:val="00573042"/>
    <w:rsid w:val="00574241"/>
    <w:rsid w:val="00575C43"/>
    <w:rsid w:val="00577A09"/>
    <w:rsid w:val="00577F68"/>
    <w:rsid w:val="00580E72"/>
    <w:rsid w:val="005810AE"/>
    <w:rsid w:val="005819F3"/>
    <w:rsid w:val="00582446"/>
    <w:rsid w:val="005839B3"/>
    <w:rsid w:val="00584D8F"/>
    <w:rsid w:val="00585D42"/>
    <w:rsid w:val="00587CFB"/>
    <w:rsid w:val="0059539A"/>
    <w:rsid w:val="00595599"/>
    <w:rsid w:val="00595613"/>
    <w:rsid w:val="00595ED0"/>
    <w:rsid w:val="00596275"/>
    <w:rsid w:val="00596DE3"/>
    <w:rsid w:val="005A1287"/>
    <w:rsid w:val="005A1339"/>
    <w:rsid w:val="005A3B2C"/>
    <w:rsid w:val="005A3F7E"/>
    <w:rsid w:val="005A404D"/>
    <w:rsid w:val="005A42D5"/>
    <w:rsid w:val="005A5657"/>
    <w:rsid w:val="005A6CB0"/>
    <w:rsid w:val="005A6F22"/>
    <w:rsid w:val="005A731B"/>
    <w:rsid w:val="005B0461"/>
    <w:rsid w:val="005B0EF5"/>
    <w:rsid w:val="005B1402"/>
    <w:rsid w:val="005B1E3C"/>
    <w:rsid w:val="005B62AF"/>
    <w:rsid w:val="005B7F8F"/>
    <w:rsid w:val="005C26CC"/>
    <w:rsid w:val="005C3411"/>
    <w:rsid w:val="005C3D54"/>
    <w:rsid w:val="005C3DEC"/>
    <w:rsid w:val="005C4E3D"/>
    <w:rsid w:val="005C4F80"/>
    <w:rsid w:val="005C53C0"/>
    <w:rsid w:val="005C546A"/>
    <w:rsid w:val="005C553B"/>
    <w:rsid w:val="005C592F"/>
    <w:rsid w:val="005C5D2E"/>
    <w:rsid w:val="005C5E72"/>
    <w:rsid w:val="005D24A9"/>
    <w:rsid w:val="005D2FBD"/>
    <w:rsid w:val="005D5ECD"/>
    <w:rsid w:val="005D69AF"/>
    <w:rsid w:val="005E0B7E"/>
    <w:rsid w:val="005E2086"/>
    <w:rsid w:val="005E6FFA"/>
    <w:rsid w:val="005E7718"/>
    <w:rsid w:val="005F0661"/>
    <w:rsid w:val="005F0CD5"/>
    <w:rsid w:val="005F69C4"/>
    <w:rsid w:val="005F6ADE"/>
    <w:rsid w:val="005F702C"/>
    <w:rsid w:val="005F7247"/>
    <w:rsid w:val="00600B2D"/>
    <w:rsid w:val="00602A58"/>
    <w:rsid w:val="00603914"/>
    <w:rsid w:val="00604DB6"/>
    <w:rsid w:val="006057DD"/>
    <w:rsid w:val="00607BA0"/>
    <w:rsid w:val="00610304"/>
    <w:rsid w:val="00612006"/>
    <w:rsid w:val="00613324"/>
    <w:rsid w:val="00613DEC"/>
    <w:rsid w:val="00615619"/>
    <w:rsid w:val="00615C6B"/>
    <w:rsid w:val="00616CEC"/>
    <w:rsid w:val="00620B1B"/>
    <w:rsid w:val="00621545"/>
    <w:rsid w:val="0062525D"/>
    <w:rsid w:val="00626A3A"/>
    <w:rsid w:val="00626E1A"/>
    <w:rsid w:val="00627B2D"/>
    <w:rsid w:val="0063066D"/>
    <w:rsid w:val="006309A2"/>
    <w:rsid w:val="00630A15"/>
    <w:rsid w:val="00631560"/>
    <w:rsid w:val="006319C1"/>
    <w:rsid w:val="00632D6D"/>
    <w:rsid w:val="00634D01"/>
    <w:rsid w:val="0063567F"/>
    <w:rsid w:val="00636936"/>
    <w:rsid w:val="006411E6"/>
    <w:rsid w:val="00642C3E"/>
    <w:rsid w:val="00644F6E"/>
    <w:rsid w:val="006471D4"/>
    <w:rsid w:val="00647804"/>
    <w:rsid w:val="0065049E"/>
    <w:rsid w:val="00651005"/>
    <w:rsid w:val="0065226B"/>
    <w:rsid w:val="0065567D"/>
    <w:rsid w:val="006556AA"/>
    <w:rsid w:val="00656588"/>
    <w:rsid w:val="0065661E"/>
    <w:rsid w:val="006566B8"/>
    <w:rsid w:val="006569A5"/>
    <w:rsid w:val="006573B5"/>
    <w:rsid w:val="00660F82"/>
    <w:rsid w:val="00661F88"/>
    <w:rsid w:val="006621AB"/>
    <w:rsid w:val="00663DAD"/>
    <w:rsid w:val="00665ACC"/>
    <w:rsid w:val="00665C0C"/>
    <w:rsid w:val="00666226"/>
    <w:rsid w:val="0067180B"/>
    <w:rsid w:val="00673D15"/>
    <w:rsid w:val="006741D4"/>
    <w:rsid w:val="00675E21"/>
    <w:rsid w:val="00676679"/>
    <w:rsid w:val="00677233"/>
    <w:rsid w:val="006777D7"/>
    <w:rsid w:val="00686411"/>
    <w:rsid w:val="00687AA8"/>
    <w:rsid w:val="00694FD6"/>
    <w:rsid w:val="0069547C"/>
    <w:rsid w:val="006956EC"/>
    <w:rsid w:val="006A0411"/>
    <w:rsid w:val="006A1226"/>
    <w:rsid w:val="006A20CE"/>
    <w:rsid w:val="006A21CD"/>
    <w:rsid w:val="006A35B0"/>
    <w:rsid w:val="006A6EDD"/>
    <w:rsid w:val="006A7C64"/>
    <w:rsid w:val="006B0C7B"/>
    <w:rsid w:val="006B245C"/>
    <w:rsid w:val="006B32F3"/>
    <w:rsid w:val="006B4CF9"/>
    <w:rsid w:val="006B6CC3"/>
    <w:rsid w:val="006B77F5"/>
    <w:rsid w:val="006B7AC8"/>
    <w:rsid w:val="006C196C"/>
    <w:rsid w:val="006C1E8B"/>
    <w:rsid w:val="006C2373"/>
    <w:rsid w:val="006C318F"/>
    <w:rsid w:val="006C3620"/>
    <w:rsid w:val="006C41C4"/>
    <w:rsid w:val="006C447D"/>
    <w:rsid w:val="006C5B09"/>
    <w:rsid w:val="006C62B7"/>
    <w:rsid w:val="006D0C1E"/>
    <w:rsid w:val="006D1D94"/>
    <w:rsid w:val="006D3561"/>
    <w:rsid w:val="006D38CE"/>
    <w:rsid w:val="006D550F"/>
    <w:rsid w:val="006D5B9F"/>
    <w:rsid w:val="006D6001"/>
    <w:rsid w:val="006D6AE2"/>
    <w:rsid w:val="006D7923"/>
    <w:rsid w:val="006E0523"/>
    <w:rsid w:val="006E1E7D"/>
    <w:rsid w:val="006E218F"/>
    <w:rsid w:val="006E244A"/>
    <w:rsid w:val="006E5F3E"/>
    <w:rsid w:val="006E78CF"/>
    <w:rsid w:val="006F0601"/>
    <w:rsid w:val="006F0B74"/>
    <w:rsid w:val="006F0D76"/>
    <w:rsid w:val="006F1044"/>
    <w:rsid w:val="006F3750"/>
    <w:rsid w:val="006F393C"/>
    <w:rsid w:val="006F3FCB"/>
    <w:rsid w:val="006F48AA"/>
    <w:rsid w:val="006F4C38"/>
    <w:rsid w:val="006F6C2D"/>
    <w:rsid w:val="00700DAB"/>
    <w:rsid w:val="00701CAB"/>
    <w:rsid w:val="007037F6"/>
    <w:rsid w:val="00704518"/>
    <w:rsid w:val="00704CA4"/>
    <w:rsid w:val="00707011"/>
    <w:rsid w:val="00707563"/>
    <w:rsid w:val="00711BF6"/>
    <w:rsid w:val="00712D03"/>
    <w:rsid w:val="00716355"/>
    <w:rsid w:val="0071735A"/>
    <w:rsid w:val="0072073C"/>
    <w:rsid w:val="00720AB2"/>
    <w:rsid w:val="0072348C"/>
    <w:rsid w:val="007241D7"/>
    <w:rsid w:val="007247EC"/>
    <w:rsid w:val="00724827"/>
    <w:rsid w:val="00724A37"/>
    <w:rsid w:val="00724BF3"/>
    <w:rsid w:val="00727D4D"/>
    <w:rsid w:val="007303C3"/>
    <w:rsid w:val="00731F13"/>
    <w:rsid w:val="0073214E"/>
    <w:rsid w:val="0073561F"/>
    <w:rsid w:val="007356A7"/>
    <w:rsid w:val="00741247"/>
    <w:rsid w:val="00741D03"/>
    <w:rsid w:val="007426D5"/>
    <w:rsid w:val="00743223"/>
    <w:rsid w:val="00743977"/>
    <w:rsid w:val="00746063"/>
    <w:rsid w:val="00746E01"/>
    <w:rsid w:val="00747D2F"/>
    <w:rsid w:val="00751821"/>
    <w:rsid w:val="007532DD"/>
    <w:rsid w:val="00753ADA"/>
    <w:rsid w:val="00760FD8"/>
    <w:rsid w:val="007618A3"/>
    <w:rsid w:val="00762D41"/>
    <w:rsid w:val="00763E5D"/>
    <w:rsid w:val="00764C7F"/>
    <w:rsid w:val="00767740"/>
    <w:rsid w:val="00771822"/>
    <w:rsid w:val="00772A95"/>
    <w:rsid w:val="00777EE6"/>
    <w:rsid w:val="00780452"/>
    <w:rsid w:val="00781A01"/>
    <w:rsid w:val="00782EEA"/>
    <w:rsid w:val="0078319A"/>
    <w:rsid w:val="00783D4E"/>
    <w:rsid w:val="00783E1A"/>
    <w:rsid w:val="00784059"/>
    <w:rsid w:val="0078423F"/>
    <w:rsid w:val="00784A7E"/>
    <w:rsid w:val="007861E0"/>
    <w:rsid w:val="0079277A"/>
    <w:rsid w:val="0079310A"/>
    <w:rsid w:val="007959E7"/>
    <w:rsid w:val="00796C78"/>
    <w:rsid w:val="00796D6A"/>
    <w:rsid w:val="007A1135"/>
    <w:rsid w:val="007A1428"/>
    <w:rsid w:val="007A1AB0"/>
    <w:rsid w:val="007A33E8"/>
    <w:rsid w:val="007A6656"/>
    <w:rsid w:val="007A7264"/>
    <w:rsid w:val="007B1732"/>
    <w:rsid w:val="007B2C72"/>
    <w:rsid w:val="007B3F68"/>
    <w:rsid w:val="007B497F"/>
    <w:rsid w:val="007B57F8"/>
    <w:rsid w:val="007B742A"/>
    <w:rsid w:val="007B78AB"/>
    <w:rsid w:val="007C1C53"/>
    <w:rsid w:val="007C2EE8"/>
    <w:rsid w:val="007C62FE"/>
    <w:rsid w:val="007C6FE2"/>
    <w:rsid w:val="007D1133"/>
    <w:rsid w:val="007D2028"/>
    <w:rsid w:val="007D47B2"/>
    <w:rsid w:val="007D53A8"/>
    <w:rsid w:val="007D6FC9"/>
    <w:rsid w:val="007E1516"/>
    <w:rsid w:val="007E4904"/>
    <w:rsid w:val="007E4CB5"/>
    <w:rsid w:val="007E5597"/>
    <w:rsid w:val="007E74E0"/>
    <w:rsid w:val="007F066B"/>
    <w:rsid w:val="007F0F77"/>
    <w:rsid w:val="007F2BBD"/>
    <w:rsid w:val="007F2D03"/>
    <w:rsid w:val="007F3B2C"/>
    <w:rsid w:val="007F43CB"/>
    <w:rsid w:val="007F475F"/>
    <w:rsid w:val="007F4AB4"/>
    <w:rsid w:val="007F5457"/>
    <w:rsid w:val="008011F4"/>
    <w:rsid w:val="008033C4"/>
    <w:rsid w:val="00806C88"/>
    <w:rsid w:val="00807112"/>
    <w:rsid w:val="00807A5C"/>
    <w:rsid w:val="0081034E"/>
    <w:rsid w:val="0081253D"/>
    <w:rsid w:val="00812E7B"/>
    <w:rsid w:val="0081351D"/>
    <w:rsid w:val="00813CE4"/>
    <w:rsid w:val="0081592A"/>
    <w:rsid w:val="00817724"/>
    <w:rsid w:val="008238B2"/>
    <w:rsid w:val="008245E2"/>
    <w:rsid w:val="008257CA"/>
    <w:rsid w:val="008301E7"/>
    <w:rsid w:val="00831483"/>
    <w:rsid w:val="008344B4"/>
    <w:rsid w:val="008344F6"/>
    <w:rsid w:val="0083510F"/>
    <w:rsid w:val="008366CD"/>
    <w:rsid w:val="00836890"/>
    <w:rsid w:val="00840C6C"/>
    <w:rsid w:val="00840FCC"/>
    <w:rsid w:val="008445D3"/>
    <w:rsid w:val="00845396"/>
    <w:rsid w:val="00847ED9"/>
    <w:rsid w:val="00851209"/>
    <w:rsid w:val="0085188E"/>
    <w:rsid w:val="00851B46"/>
    <w:rsid w:val="00852B3D"/>
    <w:rsid w:val="008556A5"/>
    <w:rsid w:val="00856965"/>
    <w:rsid w:val="00857917"/>
    <w:rsid w:val="00861AED"/>
    <w:rsid w:val="00864A9F"/>
    <w:rsid w:val="00867506"/>
    <w:rsid w:val="008707C1"/>
    <w:rsid w:val="00870903"/>
    <w:rsid w:val="00871EFD"/>
    <w:rsid w:val="0087280A"/>
    <w:rsid w:val="0087308C"/>
    <w:rsid w:val="0087350F"/>
    <w:rsid w:val="00873B1F"/>
    <w:rsid w:val="0087479D"/>
    <w:rsid w:val="008837AC"/>
    <w:rsid w:val="00884D30"/>
    <w:rsid w:val="0088604D"/>
    <w:rsid w:val="00886662"/>
    <w:rsid w:val="00886BAB"/>
    <w:rsid w:val="00886CEC"/>
    <w:rsid w:val="00886FA8"/>
    <w:rsid w:val="00887EBF"/>
    <w:rsid w:val="008909FD"/>
    <w:rsid w:val="008934F4"/>
    <w:rsid w:val="00895878"/>
    <w:rsid w:val="00896C79"/>
    <w:rsid w:val="008A147B"/>
    <w:rsid w:val="008A157D"/>
    <w:rsid w:val="008A4DB6"/>
    <w:rsid w:val="008A587D"/>
    <w:rsid w:val="008A59AB"/>
    <w:rsid w:val="008A6198"/>
    <w:rsid w:val="008A7580"/>
    <w:rsid w:val="008A7E37"/>
    <w:rsid w:val="008B0D4C"/>
    <w:rsid w:val="008B22BE"/>
    <w:rsid w:val="008B416B"/>
    <w:rsid w:val="008B6DA5"/>
    <w:rsid w:val="008C094A"/>
    <w:rsid w:val="008C1D7C"/>
    <w:rsid w:val="008C1FE0"/>
    <w:rsid w:val="008C4E0D"/>
    <w:rsid w:val="008C50F7"/>
    <w:rsid w:val="008C50FB"/>
    <w:rsid w:val="008C5486"/>
    <w:rsid w:val="008C6384"/>
    <w:rsid w:val="008C6B16"/>
    <w:rsid w:val="008D21CB"/>
    <w:rsid w:val="008D2CEE"/>
    <w:rsid w:val="008D4820"/>
    <w:rsid w:val="008D4E23"/>
    <w:rsid w:val="008D6AC3"/>
    <w:rsid w:val="008E0757"/>
    <w:rsid w:val="008E1E8E"/>
    <w:rsid w:val="008E2C54"/>
    <w:rsid w:val="008E535A"/>
    <w:rsid w:val="008E6CAE"/>
    <w:rsid w:val="008E7031"/>
    <w:rsid w:val="008F05DF"/>
    <w:rsid w:val="008F14C9"/>
    <w:rsid w:val="008F2DE1"/>
    <w:rsid w:val="008F2F48"/>
    <w:rsid w:val="008F4AD5"/>
    <w:rsid w:val="008F4C72"/>
    <w:rsid w:val="008F4DFD"/>
    <w:rsid w:val="008F6E27"/>
    <w:rsid w:val="008F6FC7"/>
    <w:rsid w:val="008F71C7"/>
    <w:rsid w:val="008F7954"/>
    <w:rsid w:val="009004F5"/>
    <w:rsid w:val="0090239D"/>
    <w:rsid w:val="00902445"/>
    <w:rsid w:val="00903A78"/>
    <w:rsid w:val="009057E0"/>
    <w:rsid w:val="009064FC"/>
    <w:rsid w:val="0091130F"/>
    <w:rsid w:val="00913C7D"/>
    <w:rsid w:val="00914872"/>
    <w:rsid w:val="00914975"/>
    <w:rsid w:val="00914A87"/>
    <w:rsid w:val="00915BFF"/>
    <w:rsid w:val="0091710E"/>
    <w:rsid w:val="0092084D"/>
    <w:rsid w:val="00921066"/>
    <w:rsid w:val="00921957"/>
    <w:rsid w:val="00922ACF"/>
    <w:rsid w:val="009233EE"/>
    <w:rsid w:val="00924207"/>
    <w:rsid w:val="0092422F"/>
    <w:rsid w:val="00925EDB"/>
    <w:rsid w:val="00932606"/>
    <w:rsid w:val="009335AE"/>
    <w:rsid w:val="00933B55"/>
    <w:rsid w:val="00935022"/>
    <w:rsid w:val="00936740"/>
    <w:rsid w:val="009377D8"/>
    <w:rsid w:val="00940393"/>
    <w:rsid w:val="0094150C"/>
    <w:rsid w:val="00941935"/>
    <w:rsid w:val="00942863"/>
    <w:rsid w:val="00944863"/>
    <w:rsid w:val="009456DC"/>
    <w:rsid w:val="00947919"/>
    <w:rsid w:val="00950B15"/>
    <w:rsid w:val="0095158D"/>
    <w:rsid w:val="00952CF7"/>
    <w:rsid w:val="00953534"/>
    <w:rsid w:val="009540FA"/>
    <w:rsid w:val="00956C19"/>
    <w:rsid w:val="00957591"/>
    <w:rsid w:val="0095772E"/>
    <w:rsid w:val="00960AC5"/>
    <w:rsid w:val="00960C83"/>
    <w:rsid w:val="00963914"/>
    <w:rsid w:val="00963EC7"/>
    <w:rsid w:val="009661DE"/>
    <w:rsid w:val="009721AF"/>
    <w:rsid w:val="00972A40"/>
    <w:rsid w:val="00974CDB"/>
    <w:rsid w:val="009777E3"/>
    <w:rsid w:val="00981578"/>
    <w:rsid w:val="00981E7F"/>
    <w:rsid w:val="00982FEB"/>
    <w:rsid w:val="009837D1"/>
    <w:rsid w:val="00983EEC"/>
    <w:rsid w:val="009856B7"/>
    <w:rsid w:val="00985A66"/>
    <w:rsid w:val="0098646A"/>
    <w:rsid w:val="009920D2"/>
    <w:rsid w:val="009928BC"/>
    <w:rsid w:val="009937B4"/>
    <w:rsid w:val="0099572C"/>
    <w:rsid w:val="009A090B"/>
    <w:rsid w:val="009A0A73"/>
    <w:rsid w:val="009A0EDF"/>
    <w:rsid w:val="009A14D0"/>
    <w:rsid w:val="009A3D22"/>
    <w:rsid w:val="009A4B08"/>
    <w:rsid w:val="009A574C"/>
    <w:rsid w:val="009A6D69"/>
    <w:rsid w:val="009B0884"/>
    <w:rsid w:val="009B1174"/>
    <w:rsid w:val="009B21F2"/>
    <w:rsid w:val="009B4E65"/>
    <w:rsid w:val="009B533B"/>
    <w:rsid w:val="009B5478"/>
    <w:rsid w:val="009B5D28"/>
    <w:rsid w:val="009B615C"/>
    <w:rsid w:val="009B69AA"/>
    <w:rsid w:val="009B74B0"/>
    <w:rsid w:val="009C01D7"/>
    <w:rsid w:val="009C05B5"/>
    <w:rsid w:val="009C1BE3"/>
    <w:rsid w:val="009C381D"/>
    <w:rsid w:val="009C4C5E"/>
    <w:rsid w:val="009C4FB9"/>
    <w:rsid w:val="009C6A83"/>
    <w:rsid w:val="009C77CC"/>
    <w:rsid w:val="009C7E88"/>
    <w:rsid w:val="009C7FDF"/>
    <w:rsid w:val="009D0B16"/>
    <w:rsid w:val="009D3016"/>
    <w:rsid w:val="009D30B3"/>
    <w:rsid w:val="009D3902"/>
    <w:rsid w:val="009D47E3"/>
    <w:rsid w:val="009D633E"/>
    <w:rsid w:val="009D6B46"/>
    <w:rsid w:val="009E1209"/>
    <w:rsid w:val="009E1242"/>
    <w:rsid w:val="009E2520"/>
    <w:rsid w:val="009E2B88"/>
    <w:rsid w:val="009E464D"/>
    <w:rsid w:val="009E6668"/>
    <w:rsid w:val="009E7749"/>
    <w:rsid w:val="009E7AC6"/>
    <w:rsid w:val="009E7D2D"/>
    <w:rsid w:val="009F0A79"/>
    <w:rsid w:val="009F1D03"/>
    <w:rsid w:val="009F1E42"/>
    <w:rsid w:val="009F2CAC"/>
    <w:rsid w:val="009F4806"/>
    <w:rsid w:val="009F4940"/>
    <w:rsid w:val="00A041F4"/>
    <w:rsid w:val="00A04451"/>
    <w:rsid w:val="00A04F9F"/>
    <w:rsid w:val="00A057D1"/>
    <w:rsid w:val="00A05BED"/>
    <w:rsid w:val="00A06AD1"/>
    <w:rsid w:val="00A06E0E"/>
    <w:rsid w:val="00A1210E"/>
    <w:rsid w:val="00A159BF"/>
    <w:rsid w:val="00A15E40"/>
    <w:rsid w:val="00A16975"/>
    <w:rsid w:val="00A16DAF"/>
    <w:rsid w:val="00A16F26"/>
    <w:rsid w:val="00A21F54"/>
    <w:rsid w:val="00A226E9"/>
    <w:rsid w:val="00A2302C"/>
    <w:rsid w:val="00A25353"/>
    <w:rsid w:val="00A26739"/>
    <w:rsid w:val="00A26C2F"/>
    <w:rsid w:val="00A30B76"/>
    <w:rsid w:val="00A3632A"/>
    <w:rsid w:val="00A42006"/>
    <w:rsid w:val="00A432BC"/>
    <w:rsid w:val="00A433FB"/>
    <w:rsid w:val="00A4478A"/>
    <w:rsid w:val="00A44852"/>
    <w:rsid w:val="00A45EAC"/>
    <w:rsid w:val="00A47A03"/>
    <w:rsid w:val="00A52A18"/>
    <w:rsid w:val="00A5631E"/>
    <w:rsid w:val="00A575E8"/>
    <w:rsid w:val="00A57D04"/>
    <w:rsid w:val="00A57D69"/>
    <w:rsid w:val="00A60A26"/>
    <w:rsid w:val="00A61598"/>
    <w:rsid w:val="00A61DCF"/>
    <w:rsid w:val="00A645F9"/>
    <w:rsid w:val="00A64EBB"/>
    <w:rsid w:val="00A672B8"/>
    <w:rsid w:val="00A6730F"/>
    <w:rsid w:val="00A679F2"/>
    <w:rsid w:val="00A70908"/>
    <w:rsid w:val="00A71AA6"/>
    <w:rsid w:val="00A75AAA"/>
    <w:rsid w:val="00A81710"/>
    <w:rsid w:val="00A81EF8"/>
    <w:rsid w:val="00A8219E"/>
    <w:rsid w:val="00A84149"/>
    <w:rsid w:val="00A84E2D"/>
    <w:rsid w:val="00A84F46"/>
    <w:rsid w:val="00A871F4"/>
    <w:rsid w:val="00A87F90"/>
    <w:rsid w:val="00A912B1"/>
    <w:rsid w:val="00A91A4B"/>
    <w:rsid w:val="00A923DD"/>
    <w:rsid w:val="00A9455D"/>
    <w:rsid w:val="00A94D89"/>
    <w:rsid w:val="00A956AD"/>
    <w:rsid w:val="00A96CE0"/>
    <w:rsid w:val="00A971A0"/>
    <w:rsid w:val="00AA0CEB"/>
    <w:rsid w:val="00AA12D3"/>
    <w:rsid w:val="00AA39C0"/>
    <w:rsid w:val="00AA3A2C"/>
    <w:rsid w:val="00AA476F"/>
    <w:rsid w:val="00AA649A"/>
    <w:rsid w:val="00AA73F0"/>
    <w:rsid w:val="00AB6478"/>
    <w:rsid w:val="00AB6927"/>
    <w:rsid w:val="00AC0FE9"/>
    <w:rsid w:val="00AC1B2C"/>
    <w:rsid w:val="00AC1CF3"/>
    <w:rsid w:val="00AC242C"/>
    <w:rsid w:val="00AC3264"/>
    <w:rsid w:val="00AC48DA"/>
    <w:rsid w:val="00AC4BF5"/>
    <w:rsid w:val="00AD0424"/>
    <w:rsid w:val="00AD36D0"/>
    <w:rsid w:val="00AD3987"/>
    <w:rsid w:val="00AD3D69"/>
    <w:rsid w:val="00AD592F"/>
    <w:rsid w:val="00AD6D98"/>
    <w:rsid w:val="00AD76AE"/>
    <w:rsid w:val="00AE0399"/>
    <w:rsid w:val="00AE18EA"/>
    <w:rsid w:val="00AE1BF1"/>
    <w:rsid w:val="00AE20B1"/>
    <w:rsid w:val="00AE2792"/>
    <w:rsid w:val="00AE317D"/>
    <w:rsid w:val="00AE33E0"/>
    <w:rsid w:val="00AF0CA1"/>
    <w:rsid w:val="00AF0DD2"/>
    <w:rsid w:val="00AF0ED5"/>
    <w:rsid w:val="00AF3A41"/>
    <w:rsid w:val="00AF46F3"/>
    <w:rsid w:val="00AF66A7"/>
    <w:rsid w:val="00AF7058"/>
    <w:rsid w:val="00AF7C0E"/>
    <w:rsid w:val="00B01BD3"/>
    <w:rsid w:val="00B02ED5"/>
    <w:rsid w:val="00B03817"/>
    <w:rsid w:val="00B057C8"/>
    <w:rsid w:val="00B06353"/>
    <w:rsid w:val="00B065C9"/>
    <w:rsid w:val="00B0779B"/>
    <w:rsid w:val="00B109DD"/>
    <w:rsid w:val="00B11C09"/>
    <w:rsid w:val="00B1285B"/>
    <w:rsid w:val="00B13048"/>
    <w:rsid w:val="00B135AC"/>
    <w:rsid w:val="00B14CE4"/>
    <w:rsid w:val="00B162BD"/>
    <w:rsid w:val="00B16A28"/>
    <w:rsid w:val="00B1716D"/>
    <w:rsid w:val="00B17A1D"/>
    <w:rsid w:val="00B207A0"/>
    <w:rsid w:val="00B20F61"/>
    <w:rsid w:val="00B211EE"/>
    <w:rsid w:val="00B23484"/>
    <w:rsid w:val="00B251A4"/>
    <w:rsid w:val="00B25887"/>
    <w:rsid w:val="00B26AAA"/>
    <w:rsid w:val="00B276D9"/>
    <w:rsid w:val="00B302BF"/>
    <w:rsid w:val="00B30D82"/>
    <w:rsid w:val="00B31071"/>
    <w:rsid w:val="00B33C7F"/>
    <w:rsid w:val="00B35810"/>
    <w:rsid w:val="00B35937"/>
    <w:rsid w:val="00B3690C"/>
    <w:rsid w:val="00B3773B"/>
    <w:rsid w:val="00B4128D"/>
    <w:rsid w:val="00B41686"/>
    <w:rsid w:val="00B44E99"/>
    <w:rsid w:val="00B474EE"/>
    <w:rsid w:val="00B52EC8"/>
    <w:rsid w:val="00B55C24"/>
    <w:rsid w:val="00B56CF6"/>
    <w:rsid w:val="00B56E03"/>
    <w:rsid w:val="00B6278D"/>
    <w:rsid w:val="00B62BB5"/>
    <w:rsid w:val="00B63E2C"/>
    <w:rsid w:val="00B64DF7"/>
    <w:rsid w:val="00B652AF"/>
    <w:rsid w:val="00B65CAC"/>
    <w:rsid w:val="00B66E74"/>
    <w:rsid w:val="00B673A4"/>
    <w:rsid w:val="00B70A7F"/>
    <w:rsid w:val="00B70CA5"/>
    <w:rsid w:val="00B7397E"/>
    <w:rsid w:val="00B73C3A"/>
    <w:rsid w:val="00B752C5"/>
    <w:rsid w:val="00B8080B"/>
    <w:rsid w:val="00B82845"/>
    <w:rsid w:val="00B85D8A"/>
    <w:rsid w:val="00B87C39"/>
    <w:rsid w:val="00B87DD6"/>
    <w:rsid w:val="00B904FF"/>
    <w:rsid w:val="00B91BE8"/>
    <w:rsid w:val="00B92CD5"/>
    <w:rsid w:val="00B956D7"/>
    <w:rsid w:val="00BA05DD"/>
    <w:rsid w:val="00BA1F27"/>
    <w:rsid w:val="00BA2E61"/>
    <w:rsid w:val="00BA390A"/>
    <w:rsid w:val="00BA3992"/>
    <w:rsid w:val="00BA4665"/>
    <w:rsid w:val="00BB20BA"/>
    <w:rsid w:val="00BB2FB2"/>
    <w:rsid w:val="00BB3304"/>
    <w:rsid w:val="00BB4732"/>
    <w:rsid w:val="00BB51C2"/>
    <w:rsid w:val="00BB6815"/>
    <w:rsid w:val="00BB7780"/>
    <w:rsid w:val="00BC03BC"/>
    <w:rsid w:val="00BC1B6B"/>
    <w:rsid w:val="00BC4CD2"/>
    <w:rsid w:val="00BC614B"/>
    <w:rsid w:val="00BC6398"/>
    <w:rsid w:val="00BC675F"/>
    <w:rsid w:val="00BD0BD0"/>
    <w:rsid w:val="00BD10B4"/>
    <w:rsid w:val="00BD1AD7"/>
    <w:rsid w:val="00BD1BCA"/>
    <w:rsid w:val="00BD26AE"/>
    <w:rsid w:val="00BD3446"/>
    <w:rsid w:val="00BD412C"/>
    <w:rsid w:val="00BD4E33"/>
    <w:rsid w:val="00BD545F"/>
    <w:rsid w:val="00BD5467"/>
    <w:rsid w:val="00BD6CD4"/>
    <w:rsid w:val="00BD7176"/>
    <w:rsid w:val="00BD71BD"/>
    <w:rsid w:val="00BE1F1B"/>
    <w:rsid w:val="00BE2075"/>
    <w:rsid w:val="00BE2F8A"/>
    <w:rsid w:val="00BE377D"/>
    <w:rsid w:val="00BE3F55"/>
    <w:rsid w:val="00BE40E3"/>
    <w:rsid w:val="00BE47B5"/>
    <w:rsid w:val="00BE5AC5"/>
    <w:rsid w:val="00BE6087"/>
    <w:rsid w:val="00BE7DBC"/>
    <w:rsid w:val="00BF19CB"/>
    <w:rsid w:val="00BF1BF5"/>
    <w:rsid w:val="00BF1E45"/>
    <w:rsid w:val="00BF295F"/>
    <w:rsid w:val="00BF4639"/>
    <w:rsid w:val="00BF65C1"/>
    <w:rsid w:val="00BF771C"/>
    <w:rsid w:val="00C008E0"/>
    <w:rsid w:val="00C008FE"/>
    <w:rsid w:val="00C01734"/>
    <w:rsid w:val="00C024A5"/>
    <w:rsid w:val="00C030BB"/>
    <w:rsid w:val="00C03C71"/>
    <w:rsid w:val="00C04914"/>
    <w:rsid w:val="00C05C48"/>
    <w:rsid w:val="00C064A7"/>
    <w:rsid w:val="00C075A3"/>
    <w:rsid w:val="00C07A89"/>
    <w:rsid w:val="00C101F2"/>
    <w:rsid w:val="00C11AE0"/>
    <w:rsid w:val="00C12A83"/>
    <w:rsid w:val="00C154C0"/>
    <w:rsid w:val="00C15CB2"/>
    <w:rsid w:val="00C15DA4"/>
    <w:rsid w:val="00C16B2C"/>
    <w:rsid w:val="00C1786D"/>
    <w:rsid w:val="00C17CB8"/>
    <w:rsid w:val="00C17F0D"/>
    <w:rsid w:val="00C17FC7"/>
    <w:rsid w:val="00C21CBD"/>
    <w:rsid w:val="00C2374D"/>
    <w:rsid w:val="00C238EB"/>
    <w:rsid w:val="00C24398"/>
    <w:rsid w:val="00C248B1"/>
    <w:rsid w:val="00C25A9A"/>
    <w:rsid w:val="00C273A6"/>
    <w:rsid w:val="00C30BBE"/>
    <w:rsid w:val="00C34065"/>
    <w:rsid w:val="00C35876"/>
    <w:rsid w:val="00C361EB"/>
    <w:rsid w:val="00C41237"/>
    <w:rsid w:val="00C420D7"/>
    <w:rsid w:val="00C420EB"/>
    <w:rsid w:val="00C43C4F"/>
    <w:rsid w:val="00C452B9"/>
    <w:rsid w:val="00C466B4"/>
    <w:rsid w:val="00C46AB5"/>
    <w:rsid w:val="00C4709E"/>
    <w:rsid w:val="00C4712A"/>
    <w:rsid w:val="00C47DEE"/>
    <w:rsid w:val="00C47EC0"/>
    <w:rsid w:val="00C50EC2"/>
    <w:rsid w:val="00C51484"/>
    <w:rsid w:val="00C51BE7"/>
    <w:rsid w:val="00C532EF"/>
    <w:rsid w:val="00C538A9"/>
    <w:rsid w:val="00C53B5A"/>
    <w:rsid w:val="00C54CF3"/>
    <w:rsid w:val="00C54F5A"/>
    <w:rsid w:val="00C55452"/>
    <w:rsid w:val="00C56506"/>
    <w:rsid w:val="00C565C5"/>
    <w:rsid w:val="00C5766F"/>
    <w:rsid w:val="00C601EF"/>
    <w:rsid w:val="00C60452"/>
    <w:rsid w:val="00C6191E"/>
    <w:rsid w:val="00C62797"/>
    <w:rsid w:val="00C6290C"/>
    <w:rsid w:val="00C63A42"/>
    <w:rsid w:val="00C672E0"/>
    <w:rsid w:val="00C70205"/>
    <w:rsid w:val="00C729B4"/>
    <w:rsid w:val="00C73A47"/>
    <w:rsid w:val="00C73C83"/>
    <w:rsid w:val="00C74A11"/>
    <w:rsid w:val="00C80612"/>
    <w:rsid w:val="00C81324"/>
    <w:rsid w:val="00C81890"/>
    <w:rsid w:val="00C81A67"/>
    <w:rsid w:val="00C8473D"/>
    <w:rsid w:val="00C86679"/>
    <w:rsid w:val="00C86919"/>
    <w:rsid w:val="00C872DB"/>
    <w:rsid w:val="00C87867"/>
    <w:rsid w:val="00C91830"/>
    <w:rsid w:val="00C9478B"/>
    <w:rsid w:val="00C950AF"/>
    <w:rsid w:val="00C9660A"/>
    <w:rsid w:val="00C96A92"/>
    <w:rsid w:val="00CA04F2"/>
    <w:rsid w:val="00CA0ECB"/>
    <w:rsid w:val="00CA4EE0"/>
    <w:rsid w:val="00CA51FE"/>
    <w:rsid w:val="00CA6B3A"/>
    <w:rsid w:val="00CA771A"/>
    <w:rsid w:val="00CA7D3F"/>
    <w:rsid w:val="00CB0FA5"/>
    <w:rsid w:val="00CB44E1"/>
    <w:rsid w:val="00CB45EC"/>
    <w:rsid w:val="00CB666B"/>
    <w:rsid w:val="00CB695E"/>
    <w:rsid w:val="00CC1AC0"/>
    <w:rsid w:val="00CC1D64"/>
    <w:rsid w:val="00CC2C03"/>
    <w:rsid w:val="00CC2CA1"/>
    <w:rsid w:val="00CC3B19"/>
    <w:rsid w:val="00CC6516"/>
    <w:rsid w:val="00CC656F"/>
    <w:rsid w:val="00CC6738"/>
    <w:rsid w:val="00CD2754"/>
    <w:rsid w:val="00CD40AD"/>
    <w:rsid w:val="00CD4E7F"/>
    <w:rsid w:val="00CE0A5F"/>
    <w:rsid w:val="00CE15A5"/>
    <w:rsid w:val="00CE1831"/>
    <w:rsid w:val="00CE1B68"/>
    <w:rsid w:val="00CE6345"/>
    <w:rsid w:val="00CE661E"/>
    <w:rsid w:val="00CE695E"/>
    <w:rsid w:val="00CE6F6D"/>
    <w:rsid w:val="00CF0B65"/>
    <w:rsid w:val="00CF0E01"/>
    <w:rsid w:val="00CF0E07"/>
    <w:rsid w:val="00CF36F5"/>
    <w:rsid w:val="00CF455C"/>
    <w:rsid w:val="00CF4D2E"/>
    <w:rsid w:val="00CF5382"/>
    <w:rsid w:val="00CF62CA"/>
    <w:rsid w:val="00CF6F3C"/>
    <w:rsid w:val="00CF7D47"/>
    <w:rsid w:val="00D01CF0"/>
    <w:rsid w:val="00D0442A"/>
    <w:rsid w:val="00D05840"/>
    <w:rsid w:val="00D07128"/>
    <w:rsid w:val="00D10120"/>
    <w:rsid w:val="00D10E76"/>
    <w:rsid w:val="00D11721"/>
    <w:rsid w:val="00D11CB3"/>
    <w:rsid w:val="00D1516F"/>
    <w:rsid w:val="00D1614C"/>
    <w:rsid w:val="00D16710"/>
    <w:rsid w:val="00D22BD4"/>
    <w:rsid w:val="00D22E23"/>
    <w:rsid w:val="00D2306D"/>
    <w:rsid w:val="00D250AC"/>
    <w:rsid w:val="00D270E1"/>
    <w:rsid w:val="00D323D0"/>
    <w:rsid w:val="00D32684"/>
    <w:rsid w:val="00D32767"/>
    <w:rsid w:val="00D33489"/>
    <w:rsid w:val="00D372FA"/>
    <w:rsid w:val="00D40B44"/>
    <w:rsid w:val="00D43663"/>
    <w:rsid w:val="00D44037"/>
    <w:rsid w:val="00D4594F"/>
    <w:rsid w:val="00D4681D"/>
    <w:rsid w:val="00D5111E"/>
    <w:rsid w:val="00D5124C"/>
    <w:rsid w:val="00D53F55"/>
    <w:rsid w:val="00D61388"/>
    <w:rsid w:val="00D613F3"/>
    <w:rsid w:val="00D615F9"/>
    <w:rsid w:val="00D61A54"/>
    <w:rsid w:val="00D62BAD"/>
    <w:rsid w:val="00D64DEA"/>
    <w:rsid w:val="00D65E49"/>
    <w:rsid w:val="00D67D07"/>
    <w:rsid w:val="00D70F71"/>
    <w:rsid w:val="00D71771"/>
    <w:rsid w:val="00D725C2"/>
    <w:rsid w:val="00D73D17"/>
    <w:rsid w:val="00D74261"/>
    <w:rsid w:val="00D74971"/>
    <w:rsid w:val="00D80893"/>
    <w:rsid w:val="00D82D29"/>
    <w:rsid w:val="00D839A7"/>
    <w:rsid w:val="00D86899"/>
    <w:rsid w:val="00D87097"/>
    <w:rsid w:val="00D90769"/>
    <w:rsid w:val="00D90FB7"/>
    <w:rsid w:val="00D92A31"/>
    <w:rsid w:val="00D92CF1"/>
    <w:rsid w:val="00D92D38"/>
    <w:rsid w:val="00D92E07"/>
    <w:rsid w:val="00D936B6"/>
    <w:rsid w:val="00D950F5"/>
    <w:rsid w:val="00D95177"/>
    <w:rsid w:val="00D96914"/>
    <w:rsid w:val="00DA0C4C"/>
    <w:rsid w:val="00DA1CA3"/>
    <w:rsid w:val="00DA289D"/>
    <w:rsid w:val="00DA331C"/>
    <w:rsid w:val="00DA4BC4"/>
    <w:rsid w:val="00DA4E07"/>
    <w:rsid w:val="00DB0F93"/>
    <w:rsid w:val="00DB134D"/>
    <w:rsid w:val="00DB16A7"/>
    <w:rsid w:val="00DB196A"/>
    <w:rsid w:val="00DB20BF"/>
    <w:rsid w:val="00DB2353"/>
    <w:rsid w:val="00DB402D"/>
    <w:rsid w:val="00DB4CC4"/>
    <w:rsid w:val="00DB6861"/>
    <w:rsid w:val="00DB7193"/>
    <w:rsid w:val="00DB7AB9"/>
    <w:rsid w:val="00DB7B59"/>
    <w:rsid w:val="00DB7FD1"/>
    <w:rsid w:val="00DC153A"/>
    <w:rsid w:val="00DC22E3"/>
    <w:rsid w:val="00DC24BF"/>
    <w:rsid w:val="00DC2907"/>
    <w:rsid w:val="00DC395C"/>
    <w:rsid w:val="00DC5E54"/>
    <w:rsid w:val="00DC693A"/>
    <w:rsid w:val="00DC7981"/>
    <w:rsid w:val="00DC7B5A"/>
    <w:rsid w:val="00DD15C2"/>
    <w:rsid w:val="00DD21C4"/>
    <w:rsid w:val="00DD27EA"/>
    <w:rsid w:val="00DD33DE"/>
    <w:rsid w:val="00DD79F4"/>
    <w:rsid w:val="00DE45B5"/>
    <w:rsid w:val="00DE4EFA"/>
    <w:rsid w:val="00DE5104"/>
    <w:rsid w:val="00DE5520"/>
    <w:rsid w:val="00DE5AB1"/>
    <w:rsid w:val="00DE6AA6"/>
    <w:rsid w:val="00DE7345"/>
    <w:rsid w:val="00DF02A4"/>
    <w:rsid w:val="00DF0714"/>
    <w:rsid w:val="00DF1C55"/>
    <w:rsid w:val="00DF2298"/>
    <w:rsid w:val="00DF2D42"/>
    <w:rsid w:val="00DF3C7E"/>
    <w:rsid w:val="00DF6E09"/>
    <w:rsid w:val="00DF7793"/>
    <w:rsid w:val="00E00EC9"/>
    <w:rsid w:val="00E03069"/>
    <w:rsid w:val="00E034A6"/>
    <w:rsid w:val="00E03725"/>
    <w:rsid w:val="00E04818"/>
    <w:rsid w:val="00E06442"/>
    <w:rsid w:val="00E06937"/>
    <w:rsid w:val="00E113E2"/>
    <w:rsid w:val="00E115DE"/>
    <w:rsid w:val="00E13056"/>
    <w:rsid w:val="00E135DB"/>
    <w:rsid w:val="00E13C85"/>
    <w:rsid w:val="00E15B15"/>
    <w:rsid w:val="00E15F74"/>
    <w:rsid w:val="00E16EDC"/>
    <w:rsid w:val="00E2257E"/>
    <w:rsid w:val="00E227A4"/>
    <w:rsid w:val="00E2374E"/>
    <w:rsid w:val="00E23993"/>
    <w:rsid w:val="00E24D12"/>
    <w:rsid w:val="00E2504E"/>
    <w:rsid w:val="00E25B8C"/>
    <w:rsid w:val="00E25F40"/>
    <w:rsid w:val="00E3279F"/>
    <w:rsid w:val="00E32A8C"/>
    <w:rsid w:val="00E333EF"/>
    <w:rsid w:val="00E334A4"/>
    <w:rsid w:val="00E35AE8"/>
    <w:rsid w:val="00E3678B"/>
    <w:rsid w:val="00E3724C"/>
    <w:rsid w:val="00E37BB8"/>
    <w:rsid w:val="00E37F0B"/>
    <w:rsid w:val="00E40426"/>
    <w:rsid w:val="00E40B9C"/>
    <w:rsid w:val="00E42976"/>
    <w:rsid w:val="00E42DF3"/>
    <w:rsid w:val="00E43848"/>
    <w:rsid w:val="00E438D4"/>
    <w:rsid w:val="00E43BBA"/>
    <w:rsid w:val="00E4482C"/>
    <w:rsid w:val="00E4680F"/>
    <w:rsid w:val="00E46D48"/>
    <w:rsid w:val="00E47EAD"/>
    <w:rsid w:val="00E5049E"/>
    <w:rsid w:val="00E5181B"/>
    <w:rsid w:val="00E52107"/>
    <w:rsid w:val="00E52A27"/>
    <w:rsid w:val="00E54461"/>
    <w:rsid w:val="00E55C3C"/>
    <w:rsid w:val="00E56018"/>
    <w:rsid w:val="00E6018A"/>
    <w:rsid w:val="00E605DA"/>
    <w:rsid w:val="00E65839"/>
    <w:rsid w:val="00E65C85"/>
    <w:rsid w:val="00E65CF4"/>
    <w:rsid w:val="00E66199"/>
    <w:rsid w:val="00E675DF"/>
    <w:rsid w:val="00E715D5"/>
    <w:rsid w:val="00E7180D"/>
    <w:rsid w:val="00E737E3"/>
    <w:rsid w:val="00E74532"/>
    <w:rsid w:val="00E7472E"/>
    <w:rsid w:val="00E755EC"/>
    <w:rsid w:val="00E761D6"/>
    <w:rsid w:val="00E7624D"/>
    <w:rsid w:val="00E8137D"/>
    <w:rsid w:val="00E823D9"/>
    <w:rsid w:val="00E8569F"/>
    <w:rsid w:val="00E86851"/>
    <w:rsid w:val="00E91678"/>
    <w:rsid w:val="00E91BED"/>
    <w:rsid w:val="00E926FC"/>
    <w:rsid w:val="00E95390"/>
    <w:rsid w:val="00E95CA7"/>
    <w:rsid w:val="00E96EFF"/>
    <w:rsid w:val="00EA1DEE"/>
    <w:rsid w:val="00EA3D42"/>
    <w:rsid w:val="00EA4DD9"/>
    <w:rsid w:val="00EA6B1B"/>
    <w:rsid w:val="00EB049F"/>
    <w:rsid w:val="00EB100D"/>
    <w:rsid w:val="00EB456D"/>
    <w:rsid w:val="00EB540F"/>
    <w:rsid w:val="00EB7D7F"/>
    <w:rsid w:val="00EC05BF"/>
    <w:rsid w:val="00EC0D58"/>
    <w:rsid w:val="00EC10A1"/>
    <w:rsid w:val="00EC137F"/>
    <w:rsid w:val="00EC24B0"/>
    <w:rsid w:val="00EC2CB1"/>
    <w:rsid w:val="00EC317E"/>
    <w:rsid w:val="00EC67D4"/>
    <w:rsid w:val="00EC7EB1"/>
    <w:rsid w:val="00ED3C5B"/>
    <w:rsid w:val="00ED4A25"/>
    <w:rsid w:val="00ED6E24"/>
    <w:rsid w:val="00EE164B"/>
    <w:rsid w:val="00EE28F3"/>
    <w:rsid w:val="00EE347F"/>
    <w:rsid w:val="00EE42C2"/>
    <w:rsid w:val="00EE46CE"/>
    <w:rsid w:val="00EE575A"/>
    <w:rsid w:val="00EF013A"/>
    <w:rsid w:val="00EF0E42"/>
    <w:rsid w:val="00EF0FE6"/>
    <w:rsid w:val="00EF1961"/>
    <w:rsid w:val="00EF3FB8"/>
    <w:rsid w:val="00EF5110"/>
    <w:rsid w:val="00EF62CA"/>
    <w:rsid w:val="00EF69CB"/>
    <w:rsid w:val="00F00587"/>
    <w:rsid w:val="00F019C5"/>
    <w:rsid w:val="00F02D9B"/>
    <w:rsid w:val="00F031FE"/>
    <w:rsid w:val="00F05EAD"/>
    <w:rsid w:val="00F06B5B"/>
    <w:rsid w:val="00F072C7"/>
    <w:rsid w:val="00F10CDA"/>
    <w:rsid w:val="00F113FD"/>
    <w:rsid w:val="00F13B99"/>
    <w:rsid w:val="00F13EAA"/>
    <w:rsid w:val="00F1535C"/>
    <w:rsid w:val="00F15882"/>
    <w:rsid w:val="00F15AB9"/>
    <w:rsid w:val="00F167CF"/>
    <w:rsid w:val="00F16858"/>
    <w:rsid w:val="00F1785E"/>
    <w:rsid w:val="00F20BD3"/>
    <w:rsid w:val="00F248D0"/>
    <w:rsid w:val="00F26128"/>
    <w:rsid w:val="00F27967"/>
    <w:rsid w:val="00F32D35"/>
    <w:rsid w:val="00F336DF"/>
    <w:rsid w:val="00F3590E"/>
    <w:rsid w:val="00F36430"/>
    <w:rsid w:val="00F373A5"/>
    <w:rsid w:val="00F376D3"/>
    <w:rsid w:val="00F42DB4"/>
    <w:rsid w:val="00F45B2F"/>
    <w:rsid w:val="00F47559"/>
    <w:rsid w:val="00F5112C"/>
    <w:rsid w:val="00F55548"/>
    <w:rsid w:val="00F55859"/>
    <w:rsid w:val="00F6043C"/>
    <w:rsid w:val="00F60561"/>
    <w:rsid w:val="00F61055"/>
    <w:rsid w:val="00F61AA8"/>
    <w:rsid w:val="00F61EEA"/>
    <w:rsid w:val="00F64A21"/>
    <w:rsid w:val="00F64C7B"/>
    <w:rsid w:val="00F64F82"/>
    <w:rsid w:val="00F65699"/>
    <w:rsid w:val="00F662F1"/>
    <w:rsid w:val="00F66967"/>
    <w:rsid w:val="00F676DD"/>
    <w:rsid w:val="00F70811"/>
    <w:rsid w:val="00F70D8D"/>
    <w:rsid w:val="00F71486"/>
    <w:rsid w:val="00F72F41"/>
    <w:rsid w:val="00F74CBC"/>
    <w:rsid w:val="00F75A26"/>
    <w:rsid w:val="00F766B3"/>
    <w:rsid w:val="00F77D49"/>
    <w:rsid w:val="00F8021A"/>
    <w:rsid w:val="00F805F3"/>
    <w:rsid w:val="00F83FAD"/>
    <w:rsid w:val="00F87EBA"/>
    <w:rsid w:val="00F90A80"/>
    <w:rsid w:val="00F91BC0"/>
    <w:rsid w:val="00F93027"/>
    <w:rsid w:val="00F946BA"/>
    <w:rsid w:val="00F94788"/>
    <w:rsid w:val="00F952A0"/>
    <w:rsid w:val="00F965FC"/>
    <w:rsid w:val="00F978C8"/>
    <w:rsid w:val="00FA19FB"/>
    <w:rsid w:val="00FA25D4"/>
    <w:rsid w:val="00FA3830"/>
    <w:rsid w:val="00FA3C7F"/>
    <w:rsid w:val="00FA7736"/>
    <w:rsid w:val="00FA7920"/>
    <w:rsid w:val="00FB153F"/>
    <w:rsid w:val="00FB265D"/>
    <w:rsid w:val="00FB2690"/>
    <w:rsid w:val="00FB4068"/>
    <w:rsid w:val="00FB411D"/>
    <w:rsid w:val="00FB41E6"/>
    <w:rsid w:val="00FB45CF"/>
    <w:rsid w:val="00FB6C59"/>
    <w:rsid w:val="00FB74E2"/>
    <w:rsid w:val="00FC0060"/>
    <w:rsid w:val="00FC447B"/>
    <w:rsid w:val="00FC4CF7"/>
    <w:rsid w:val="00FC52AC"/>
    <w:rsid w:val="00FC54E6"/>
    <w:rsid w:val="00FC5EB3"/>
    <w:rsid w:val="00FC5FE0"/>
    <w:rsid w:val="00FC626F"/>
    <w:rsid w:val="00FC656F"/>
    <w:rsid w:val="00FC7B0B"/>
    <w:rsid w:val="00FD0763"/>
    <w:rsid w:val="00FD166D"/>
    <w:rsid w:val="00FD22A2"/>
    <w:rsid w:val="00FD29EE"/>
    <w:rsid w:val="00FD2F97"/>
    <w:rsid w:val="00FD5316"/>
    <w:rsid w:val="00FD5614"/>
    <w:rsid w:val="00FD72DC"/>
    <w:rsid w:val="00FE07CB"/>
    <w:rsid w:val="00FE0BE1"/>
    <w:rsid w:val="00FE12E5"/>
    <w:rsid w:val="00FE1DE9"/>
    <w:rsid w:val="00FE292D"/>
    <w:rsid w:val="00FE39C2"/>
    <w:rsid w:val="00FE3E67"/>
    <w:rsid w:val="00FE4B6D"/>
    <w:rsid w:val="00FE602C"/>
    <w:rsid w:val="00FE64AE"/>
    <w:rsid w:val="00FE6FD3"/>
    <w:rsid w:val="00FE7E62"/>
    <w:rsid w:val="00FF2C56"/>
    <w:rsid w:val="00FF3373"/>
    <w:rsid w:val="00FF3980"/>
    <w:rsid w:val="00FF657C"/>
    <w:rsid w:val="00FF6EE1"/>
    <w:rsid w:val="00FF7A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82484">
      <w:bodyDiv w:val="1"/>
      <w:marLeft w:val="0"/>
      <w:marRight w:val="0"/>
      <w:marTop w:val="0"/>
      <w:marBottom w:val="0"/>
      <w:divBdr>
        <w:top w:val="none" w:sz="0" w:space="0" w:color="auto"/>
        <w:left w:val="none" w:sz="0" w:space="0" w:color="auto"/>
        <w:bottom w:val="none" w:sz="0" w:space="0" w:color="auto"/>
        <w:right w:val="none" w:sz="0" w:space="0" w:color="auto"/>
      </w:divBdr>
    </w:div>
    <w:div w:id="300615641">
      <w:bodyDiv w:val="1"/>
      <w:marLeft w:val="0"/>
      <w:marRight w:val="0"/>
      <w:marTop w:val="0"/>
      <w:marBottom w:val="0"/>
      <w:divBdr>
        <w:top w:val="none" w:sz="0" w:space="0" w:color="auto"/>
        <w:left w:val="none" w:sz="0" w:space="0" w:color="auto"/>
        <w:bottom w:val="none" w:sz="0" w:space="0" w:color="auto"/>
        <w:right w:val="none" w:sz="0" w:space="0" w:color="auto"/>
      </w:divBdr>
    </w:div>
    <w:div w:id="326597061">
      <w:bodyDiv w:val="1"/>
      <w:marLeft w:val="0"/>
      <w:marRight w:val="0"/>
      <w:marTop w:val="0"/>
      <w:marBottom w:val="0"/>
      <w:divBdr>
        <w:top w:val="none" w:sz="0" w:space="0" w:color="auto"/>
        <w:left w:val="none" w:sz="0" w:space="0" w:color="auto"/>
        <w:bottom w:val="none" w:sz="0" w:space="0" w:color="auto"/>
        <w:right w:val="none" w:sz="0" w:space="0" w:color="auto"/>
      </w:divBdr>
    </w:div>
    <w:div w:id="361899807">
      <w:bodyDiv w:val="1"/>
      <w:marLeft w:val="0"/>
      <w:marRight w:val="0"/>
      <w:marTop w:val="0"/>
      <w:marBottom w:val="0"/>
      <w:divBdr>
        <w:top w:val="none" w:sz="0" w:space="0" w:color="auto"/>
        <w:left w:val="none" w:sz="0" w:space="0" w:color="auto"/>
        <w:bottom w:val="none" w:sz="0" w:space="0" w:color="auto"/>
        <w:right w:val="none" w:sz="0" w:space="0" w:color="auto"/>
      </w:divBdr>
    </w:div>
    <w:div w:id="368650552">
      <w:bodyDiv w:val="1"/>
      <w:marLeft w:val="0"/>
      <w:marRight w:val="0"/>
      <w:marTop w:val="0"/>
      <w:marBottom w:val="0"/>
      <w:divBdr>
        <w:top w:val="none" w:sz="0" w:space="0" w:color="auto"/>
        <w:left w:val="none" w:sz="0" w:space="0" w:color="auto"/>
        <w:bottom w:val="none" w:sz="0" w:space="0" w:color="auto"/>
        <w:right w:val="none" w:sz="0" w:space="0" w:color="auto"/>
      </w:divBdr>
    </w:div>
    <w:div w:id="370884515">
      <w:bodyDiv w:val="1"/>
      <w:marLeft w:val="0"/>
      <w:marRight w:val="0"/>
      <w:marTop w:val="0"/>
      <w:marBottom w:val="0"/>
      <w:divBdr>
        <w:top w:val="none" w:sz="0" w:space="0" w:color="auto"/>
        <w:left w:val="none" w:sz="0" w:space="0" w:color="auto"/>
        <w:bottom w:val="none" w:sz="0" w:space="0" w:color="auto"/>
        <w:right w:val="none" w:sz="0" w:space="0" w:color="auto"/>
      </w:divBdr>
    </w:div>
    <w:div w:id="492918306">
      <w:bodyDiv w:val="1"/>
      <w:marLeft w:val="0"/>
      <w:marRight w:val="0"/>
      <w:marTop w:val="0"/>
      <w:marBottom w:val="0"/>
      <w:divBdr>
        <w:top w:val="none" w:sz="0" w:space="0" w:color="auto"/>
        <w:left w:val="none" w:sz="0" w:space="0" w:color="auto"/>
        <w:bottom w:val="none" w:sz="0" w:space="0" w:color="auto"/>
        <w:right w:val="none" w:sz="0" w:space="0" w:color="auto"/>
      </w:divBdr>
    </w:div>
    <w:div w:id="551885407">
      <w:bodyDiv w:val="1"/>
      <w:marLeft w:val="0"/>
      <w:marRight w:val="0"/>
      <w:marTop w:val="0"/>
      <w:marBottom w:val="0"/>
      <w:divBdr>
        <w:top w:val="none" w:sz="0" w:space="0" w:color="auto"/>
        <w:left w:val="none" w:sz="0" w:space="0" w:color="auto"/>
        <w:bottom w:val="none" w:sz="0" w:space="0" w:color="auto"/>
        <w:right w:val="none" w:sz="0" w:space="0" w:color="auto"/>
      </w:divBdr>
    </w:div>
    <w:div w:id="607350953">
      <w:bodyDiv w:val="1"/>
      <w:marLeft w:val="0"/>
      <w:marRight w:val="0"/>
      <w:marTop w:val="0"/>
      <w:marBottom w:val="0"/>
      <w:divBdr>
        <w:top w:val="none" w:sz="0" w:space="0" w:color="auto"/>
        <w:left w:val="none" w:sz="0" w:space="0" w:color="auto"/>
        <w:bottom w:val="none" w:sz="0" w:space="0" w:color="auto"/>
        <w:right w:val="none" w:sz="0" w:space="0" w:color="auto"/>
      </w:divBdr>
      <w:divsChild>
        <w:div w:id="1477409511">
          <w:marLeft w:val="0"/>
          <w:marRight w:val="0"/>
          <w:marTop w:val="0"/>
          <w:marBottom w:val="0"/>
          <w:divBdr>
            <w:top w:val="none" w:sz="0" w:space="0" w:color="auto"/>
            <w:left w:val="none" w:sz="0" w:space="0" w:color="auto"/>
            <w:bottom w:val="none" w:sz="0" w:space="0" w:color="auto"/>
            <w:right w:val="none" w:sz="0" w:space="0" w:color="auto"/>
          </w:divBdr>
          <w:divsChild>
            <w:div w:id="1592464704">
              <w:marLeft w:val="0"/>
              <w:marRight w:val="0"/>
              <w:marTop w:val="0"/>
              <w:marBottom w:val="0"/>
              <w:divBdr>
                <w:top w:val="none" w:sz="0" w:space="0" w:color="auto"/>
                <w:left w:val="none" w:sz="0" w:space="0" w:color="auto"/>
                <w:bottom w:val="none" w:sz="0" w:space="0" w:color="auto"/>
                <w:right w:val="none" w:sz="0" w:space="0" w:color="auto"/>
              </w:divBdr>
              <w:divsChild>
                <w:div w:id="734359218">
                  <w:marLeft w:val="0"/>
                  <w:marRight w:val="0"/>
                  <w:marTop w:val="0"/>
                  <w:marBottom w:val="0"/>
                  <w:divBdr>
                    <w:top w:val="none" w:sz="0" w:space="0" w:color="auto"/>
                    <w:left w:val="none" w:sz="0" w:space="0" w:color="auto"/>
                    <w:bottom w:val="none" w:sz="0" w:space="0" w:color="auto"/>
                    <w:right w:val="none" w:sz="0" w:space="0" w:color="auto"/>
                  </w:divBdr>
                  <w:divsChild>
                    <w:div w:id="148524803">
                      <w:marLeft w:val="0"/>
                      <w:marRight w:val="0"/>
                      <w:marTop w:val="0"/>
                      <w:marBottom w:val="0"/>
                      <w:divBdr>
                        <w:top w:val="none" w:sz="0" w:space="0" w:color="auto"/>
                        <w:left w:val="none" w:sz="0" w:space="0" w:color="auto"/>
                        <w:bottom w:val="none" w:sz="0" w:space="0" w:color="auto"/>
                        <w:right w:val="none" w:sz="0" w:space="0" w:color="auto"/>
                      </w:divBdr>
                      <w:divsChild>
                        <w:div w:id="574323894">
                          <w:marLeft w:val="0"/>
                          <w:marRight w:val="0"/>
                          <w:marTop w:val="0"/>
                          <w:marBottom w:val="0"/>
                          <w:divBdr>
                            <w:top w:val="none" w:sz="0" w:space="0" w:color="auto"/>
                            <w:left w:val="none" w:sz="0" w:space="0" w:color="auto"/>
                            <w:bottom w:val="none" w:sz="0" w:space="0" w:color="auto"/>
                            <w:right w:val="none" w:sz="0" w:space="0" w:color="auto"/>
                          </w:divBdr>
                        </w:div>
                      </w:divsChild>
                    </w:div>
                    <w:div w:id="282813355">
                      <w:marLeft w:val="0"/>
                      <w:marRight w:val="0"/>
                      <w:marTop w:val="0"/>
                      <w:marBottom w:val="0"/>
                      <w:divBdr>
                        <w:top w:val="none" w:sz="0" w:space="0" w:color="auto"/>
                        <w:left w:val="none" w:sz="0" w:space="0" w:color="auto"/>
                        <w:bottom w:val="none" w:sz="0" w:space="0" w:color="auto"/>
                        <w:right w:val="none" w:sz="0" w:space="0" w:color="auto"/>
                      </w:divBdr>
                      <w:divsChild>
                        <w:div w:id="1136265507">
                          <w:marLeft w:val="0"/>
                          <w:marRight w:val="0"/>
                          <w:marTop w:val="0"/>
                          <w:marBottom w:val="0"/>
                          <w:divBdr>
                            <w:top w:val="none" w:sz="0" w:space="0" w:color="auto"/>
                            <w:left w:val="none" w:sz="0" w:space="0" w:color="auto"/>
                            <w:bottom w:val="none" w:sz="0" w:space="0" w:color="auto"/>
                            <w:right w:val="none" w:sz="0" w:space="0" w:color="auto"/>
                          </w:divBdr>
                        </w:div>
                      </w:divsChild>
                    </w:div>
                    <w:div w:id="1495608441">
                      <w:marLeft w:val="0"/>
                      <w:marRight w:val="0"/>
                      <w:marTop w:val="0"/>
                      <w:marBottom w:val="0"/>
                      <w:divBdr>
                        <w:top w:val="none" w:sz="0" w:space="0" w:color="auto"/>
                        <w:left w:val="none" w:sz="0" w:space="0" w:color="auto"/>
                        <w:bottom w:val="none" w:sz="0" w:space="0" w:color="auto"/>
                        <w:right w:val="none" w:sz="0" w:space="0" w:color="auto"/>
                      </w:divBdr>
                      <w:divsChild>
                        <w:div w:id="761222663">
                          <w:marLeft w:val="0"/>
                          <w:marRight w:val="0"/>
                          <w:marTop w:val="0"/>
                          <w:marBottom w:val="0"/>
                          <w:divBdr>
                            <w:top w:val="none" w:sz="0" w:space="0" w:color="auto"/>
                            <w:left w:val="none" w:sz="0" w:space="0" w:color="auto"/>
                            <w:bottom w:val="none" w:sz="0" w:space="0" w:color="auto"/>
                            <w:right w:val="none" w:sz="0" w:space="0" w:color="auto"/>
                          </w:divBdr>
                        </w:div>
                      </w:divsChild>
                    </w:div>
                    <w:div w:id="1695614408">
                      <w:marLeft w:val="0"/>
                      <w:marRight w:val="0"/>
                      <w:marTop w:val="0"/>
                      <w:marBottom w:val="0"/>
                      <w:divBdr>
                        <w:top w:val="none" w:sz="0" w:space="0" w:color="auto"/>
                        <w:left w:val="none" w:sz="0" w:space="0" w:color="auto"/>
                        <w:bottom w:val="none" w:sz="0" w:space="0" w:color="auto"/>
                        <w:right w:val="none" w:sz="0" w:space="0" w:color="auto"/>
                      </w:divBdr>
                      <w:divsChild>
                        <w:div w:id="938560433">
                          <w:marLeft w:val="0"/>
                          <w:marRight w:val="0"/>
                          <w:marTop w:val="0"/>
                          <w:marBottom w:val="0"/>
                          <w:divBdr>
                            <w:top w:val="none" w:sz="0" w:space="0" w:color="auto"/>
                            <w:left w:val="none" w:sz="0" w:space="0" w:color="auto"/>
                            <w:bottom w:val="none" w:sz="0" w:space="0" w:color="auto"/>
                            <w:right w:val="none" w:sz="0" w:space="0" w:color="auto"/>
                          </w:divBdr>
                        </w:div>
                      </w:divsChild>
                    </w:div>
                    <w:div w:id="1756435873">
                      <w:marLeft w:val="0"/>
                      <w:marRight w:val="0"/>
                      <w:marTop w:val="0"/>
                      <w:marBottom w:val="0"/>
                      <w:divBdr>
                        <w:top w:val="none" w:sz="0" w:space="0" w:color="auto"/>
                        <w:left w:val="none" w:sz="0" w:space="0" w:color="auto"/>
                        <w:bottom w:val="none" w:sz="0" w:space="0" w:color="auto"/>
                        <w:right w:val="none" w:sz="0" w:space="0" w:color="auto"/>
                      </w:divBdr>
                      <w:divsChild>
                        <w:div w:id="13355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089711">
      <w:bodyDiv w:val="1"/>
      <w:marLeft w:val="0"/>
      <w:marRight w:val="0"/>
      <w:marTop w:val="0"/>
      <w:marBottom w:val="0"/>
      <w:divBdr>
        <w:top w:val="none" w:sz="0" w:space="0" w:color="auto"/>
        <w:left w:val="none" w:sz="0" w:space="0" w:color="auto"/>
        <w:bottom w:val="none" w:sz="0" w:space="0" w:color="auto"/>
        <w:right w:val="none" w:sz="0" w:space="0" w:color="auto"/>
      </w:divBdr>
    </w:div>
    <w:div w:id="688801072">
      <w:bodyDiv w:val="1"/>
      <w:marLeft w:val="0"/>
      <w:marRight w:val="0"/>
      <w:marTop w:val="0"/>
      <w:marBottom w:val="0"/>
      <w:divBdr>
        <w:top w:val="none" w:sz="0" w:space="0" w:color="auto"/>
        <w:left w:val="none" w:sz="0" w:space="0" w:color="auto"/>
        <w:bottom w:val="none" w:sz="0" w:space="0" w:color="auto"/>
        <w:right w:val="none" w:sz="0" w:space="0" w:color="auto"/>
      </w:divBdr>
    </w:div>
    <w:div w:id="742337540">
      <w:bodyDiv w:val="1"/>
      <w:marLeft w:val="0"/>
      <w:marRight w:val="0"/>
      <w:marTop w:val="0"/>
      <w:marBottom w:val="0"/>
      <w:divBdr>
        <w:top w:val="none" w:sz="0" w:space="0" w:color="auto"/>
        <w:left w:val="none" w:sz="0" w:space="0" w:color="auto"/>
        <w:bottom w:val="none" w:sz="0" w:space="0" w:color="auto"/>
        <w:right w:val="none" w:sz="0" w:space="0" w:color="auto"/>
      </w:divBdr>
    </w:div>
    <w:div w:id="844250539">
      <w:bodyDiv w:val="1"/>
      <w:marLeft w:val="0"/>
      <w:marRight w:val="0"/>
      <w:marTop w:val="0"/>
      <w:marBottom w:val="0"/>
      <w:divBdr>
        <w:top w:val="none" w:sz="0" w:space="0" w:color="auto"/>
        <w:left w:val="none" w:sz="0" w:space="0" w:color="auto"/>
        <w:bottom w:val="none" w:sz="0" w:space="0" w:color="auto"/>
        <w:right w:val="none" w:sz="0" w:space="0" w:color="auto"/>
      </w:divBdr>
    </w:div>
    <w:div w:id="851798394">
      <w:bodyDiv w:val="1"/>
      <w:marLeft w:val="0"/>
      <w:marRight w:val="0"/>
      <w:marTop w:val="0"/>
      <w:marBottom w:val="0"/>
      <w:divBdr>
        <w:top w:val="none" w:sz="0" w:space="0" w:color="auto"/>
        <w:left w:val="none" w:sz="0" w:space="0" w:color="auto"/>
        <w:bottom w:val="none" w:sz="0" w:space="0" w:color="auto"/>
        <w:right w:val="none" w:sz="0" w:space="0" w:color="auto"/>
      </w:divBdr>
    </w:div>
    <w:div w:id="882669064">
      <w:bodyDiv w:val="1"/>
      <w:marLeft w:val="0"/>
      <w:marRight w:val="0"/>
      <w:marTop w:val="0"/>
      <w:marBottom w:val="0"/>
      <w:divBdr>
        <w:top w:val="none" w:sz="0" w:space="0" w:color="auto"/>
        <w:left w:val="none" w:sz="0" w:space="0" w:color="auto"/>
        <w:bottom w:val="none" w:sz="0" w:space="0" w:color="auto"/>
        <w:right w:val="none" w:sz="0" w:space="0" w:color="auto"/>
      </w:divBdr>
    </w:div>
    <w:div w:id="884219376">
      <w:bodyDiv w:val="1"/>
      <w:marLeft w:val="0"/>
      <w:marRight w:val="0"/>
      <w:marTop w:val="0"/>
      <w:marBottom w:val="0"/>
      <w:divBdr>
        <w:top w:val="none" w:sz="0" w:space="0" w:color="auto"/>
        <w:left w:val="none" w:sz="0" w:space="0" w:color="auto"/>
        <w:bottom w:val="none" w:sz="0" w:space="0" w:color="auto"/>
        <w:right w:val="none" w:sz="0" w:space="0" w:color="auto"/>
      </w:divBdr>
    </w:div>
    <w:div w:id="1022441387">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46876556">
      <w:bodyDiv w:val="1"/>
      <w:marLeft w:val="0"/>
      <w:marRight w:val="0"/>
      <w:marTop w:val="0"/>
      <w:marBottom w:val="0"/>
      <w:divBdr>
        <w:top w:val="none" w:sz="0" w:space="0" w:color="auto"/>
        <w:left w:val="none" w:sz="0" w:space="0" w:color="auto"/>
        <w:bottom w:val="none" w:sz="0" w:space="0" w:color="auto"/>
        <w:right w:val="none" w:sz="0" w:space="0" w:color="auto"/>
      </w:divBdr>
    </w:div>
    <w:div w:id="1086655771">
      <w:bodyDiv w:val="1"/>
      <w:marLeft w:val="0"/>
      <w:marRight w:val="0"/>
      <w:marTop w:val="0"/>
      <w:marBottom w:val="0"/>
      <w:divBdr>
        <w:top w:val="none" w:sz="0" w:space="0" w:color="auto"/>
        <w:left w:val="none" w:sz="0" w:space="0" w:color="auto"/>
        <w:bottom w:val="none" w:sz="0" w:space="0" w:color="auto"/>
        <w:right w:val="none" w:sz="0" w:space="0" w:color="auto"/>
      </w:divBdr>
    </w:div>
    <w:div w:id="1098868369">
      <w:bodyDiv w:val="1"/>
      <w:marLeft w:val="0"/>
      <w:marRight w:val="0"/>
      <w:marTop w:val="0"/>
      <w:marBottom w:val="0"/>
      <w:divBdr>
        <w:top w:val="none" w:sz="0" w:space="0" w:color="auto"/>
        <w:left w:val="none" w:sz="0" w:space="0" w:color="auto"/>
        <w:bottom w:val="none" w:sz="0" w:space="0" w:color="auto"/>
        <w:right w:val="none" w:sz="0" w:space="0" w:color="auto"/>
      </w:divBdr>
    </w:div>
    <w:div w:id="1222518291">
      <w:bodyDiv w:val="1"/>
      <w:marLeft w:val="0"/>
      <w:marRight w:val="0"/>
      <w:marTop w:val="0"/>
      <w:marBottom w:val="0"/>
      <w:divBdr>
        <w:top w:val="none" w:sz="0" w:space="0" w:color="auto"/>
        <w:left w:val="none" w:sz="0" w:space="0" w:color="auto"/>
        <w:bottom w:val="none" w:sz="0" w:space="0" w:color="auto"/>
        <w:right w:val="none" w:sz="0" w:space="0" w:color="auto"/>
      </w:divBdr>
    </w:div>
    <w:div w:id="1333071894">
      <w:bodyDiv w:val="1"/>
      <w:marLeft w:val="0"/>
      <w:marRight w:val="0"/>
      <w:marTop w:val="0"/>
      <w:marBottom w:val="0"/>
      <w:divBdr>
        <w:top w:val="none" w:sz="0" w:space="0" w:color="auto"/>
        <w:left w:val="none" w:sz="0" w:space="0" w:color="auto"/>
        <w:bottom w:val="none" w:sz="0" w:space="0" w:color="auto"/>
        <w:right w:val="none" w:sz="0" w:space="0" w:color="auto"/>
      </w:divBdr>
    </w:div>
    <w:div w:id="1383939366">
      <w:bodyDiv w:val="1"/>
      <w:marLeft w:val="0"/>
      <w:marRight w:val="0"/>
      <w:marTop w:val="0"/>
      <w:marBottom w:val="0"/>
      <w:divBdr>
        <w:top w:val="none" w:sz="0" w:space="0" w:color="auto"/>
        <w:left w:val="none" w:sz="0" w:space="0" w:color="auto"/>
        <w:bottom w:val="none" w:sz="0" w:space="0" w:color="auto"/>
        <w:right w:val="none" w:sz="0" w:space="0" w:color="auto"/>
      </w:divBdr>
    </w:div>
    <w:div w:id="1406144921">
      <w:bodyDiv w:val="1"/>
      <w:marLeft w:val="0"/>
      <w:marRight w:val="0"/>
      <w:marTop w:val="0"/>
      <w:marBottom w:val="0"/>
      <w:divBdr>
        <w:top w:val="none" w:sz="0" w:space="0" w:color="auto"/>
        <w:left w:val="none" w:sz="0" w:space="0" w:color="auto"/>
        <w:bottom w:val="none" w:sz="0" w:space="0" w:color="auto"/>
        <w:right w:val="none" w:sz="0" w:space="0" w:color="auto"/>
      </w:divBdr>
    </w:div>
    <w:div w:id="1464157369">
      <w:bodyDiv w:val="1"/>
      <w:marLeft w:val="0"/>
      <w:marRight w:val="0"/>
      <w:marTop w:val="0"/>
      <w:marBottom w:val="0"/>
      <w:divBdr>
        <w:top w:val="none" w:sz="0" w:space="0" w:color="auto"/>
        <w:left w:val="none" w:sz="0" w:space="0" w:color="auto"/>
        <w:bottom w:val="none" w:sz="0" w:space="0" w:color="auto"/>
        <w:right w:val="none" w:sz="0" w:space="0" w:color="auto"/>
      </w:divBdr>
    </w:div>
    <w:div w:id="1481730809">
      <w:bodyDiv w:val="1"/>
      <w:marLeft w:val="0"/>
      <w:marRight w:val="0"/>
      <w:marTop w:val="0"/>
      <w:marBottom w:val="0"/>
      <w:divBdr>
        <w:top w:val="none" w:sz="0" w:space="0" w:color="auto"/>
        <w:left w:val="none" w:sz="0" w:space="0" w:color="auto"/>
        <w:bottom w:val="none" w:sz="0" w:space="0" w:color="auto"/>
        <w:right w:val="none" w:sz="0" w:space="0" w:color="auto"/>
      </w:divBdr>
    </w:div>
    <w:div w:id="1542669960">
      <w:bodyDiv w:val="1"/>
      <w:marLeft w:val="0"/>
      <w:marRight w:val="0"/>
      <w:marTop w:val="0"/>
      <w:marBottom w:val="0"/>
      <w:divBdr>
        <w:top w:val="none" w:sz="0" w:space="0" w:color="auto"/>
        <w:left w:val="none" w:sz="0" w:space="0" w:color="auto"/>
        <w:bottom w:val="none" w:sz="0" w:space="0" w:color="auto"/>
        <w:right w:val="none" w:sz="0" w:space="0" w:color="auto"/>
      </w:divBdr>
    </w:div>
    <w:div w:id="1580599939">
      <w:bodyDiv w:val="1"/>
      <w:marLeft w:val="0"/>
      <w:marRight w:val="0"/>
      <w:marTop w:val="0"/>
      <w:marBottom w:val="0"/>
      <w:divBdr>
        <w:top w:val="none" w:sz="0" w:space="0" w:color="auto"/>
        <w:left w:val="none" w:sz="0" w:space="0" w:color="auto"/>
        <w:bottom w:val="none" w:sz="0" w:space="0" w:color="auto"/>
        <w:right w:val="none" w:sz="0" w:space="0" w:color="auto"/>
      </w:divBdr>
    </w:div>
    <w:div w:id="1822455881">
      <w:bodyDiv w:val="1"/>
      <w:marLeft w:val="0"/>
      <w:marRight w:val="0"/>
      <w:marTop w:val="0"/>
      <w:marBottom w:val="0"/>
      <w:divBdr>
        <w:top w:val="none" w:sz="0" w:space="0" w:color="auto"/>
        <w:left w:val="none" w:sz="0" w:space="0" w:color="auto"/>
        <w:bottom w:val="none" w:sz="0" w:space="0" w:color="auto"/>
        <w:right w:val="none" w:sz="0" w:space="0" w:color="auto"/>
      </w:divBdr>
      <w:divsChild>
        <w:div w:id="560797537">
          <w:marLeft w:val="0"/>
          <w:marRight w:val="0"/>
          <w:marTop w:val="0"/>
          <w:marBottom w:val="0"/>
          <w:divBdr>
            <w:top w:val="none" w:sz="0" w:space="0" w:color="auto"/>
            <w:left w:val="none" w:sz="0" w:space="0" w:color="auto"/>
            <w:bottom w:val="none" w:sz="0" w:space="0" w:color="auto"/>
            <w:right w:val="none" w:sz="0" w:space="0" w:color="auto"/>
          </w:divBdr>
          <w:divsChild>
            <w:div w:id="593125470">
              <w:marLeft w:val="0"/>
              <w:marRight w:val="0"/>
              <w:marTop w:val="0"/>
              <w:marBottom w:val="0"/>
              <w:divBdr>
                <w:top w:val="none" w:sz="0" w:space="0" w:color="auto"/>
                <w:left w:val="none" w:sz="0" w:space="0" w:color="auto"/>
                <w:bottom w:val="none" w:sz="0" w:space="0" w:color="auto"/>
                <w:right w:val="none" w:sz="0" w:space="0" w:color="auto"/>
              </w:divBdr>
              <w:divsChild>
                <w:div w:id="1316841165">
                  <w:marLeft w:val="0"/>
                  <w:marRight w:val="0"/>
                  <w:marTop w:val="0"/>
                  <w:marBottom w:val="0"/>
                  <w:divBdr>
                    <w:top w:val="none" w:sz="0" w:space="0" w:color="auto"/>
                    <w:left w:val="none" w:sz="0" w:space="0" w:color="auto"/>
                    <w:bottom w:val="none" w:sz="0" w:space="0" w:color="auto"/>
                    <w:right w:val="none" w:sz="0" w:space="0" w:color="auto"/>
                  </w:divBdr>
                  <w:divsChild>
                    <w:div w:id="228424745">
                      <w:marLeft w:val="0"/>
                      <w:marRight w:val="0"/>
                      <w:marTop w:val="0"/>
                      <w:marBottom w:val="0"/>
                      <w:divBdr>
                        <w:top w:val="none" w:sz="0" w:space="0" w:color="auto"/>
                        <w:left w:val="none" w:sz="0" w:space="0" w:color="auto"/>
                        <w:bottom w:val="none" w:sz="0" w:space="0" w:color="auto"/>
                        <w:right w:val="none" w:sz="0" w:space="0" w:color="auto"/>
                      </w:divBdr>
                      <w:divsChild>
                        <w:div w:id="763839833">
                          <w:marLeft w:val="0"/>
                          <w:marRight w:val="0"/>
                          <w:marTop w:val="0"/>
                          <w:marBottom w:val="0"/>
                          <w:divBdr>
                            <w:top w:val="none" w:sz="0" w:space="0" w:color="auto"/>
                            <w:left w:val="none" w:sz="0" w:space="0" w:color="auto"/>
                            <w:bottom w:val="none" w:sz="0" w:space="0" w:color="auto"/>
                            <w:right w:val="none" w:sz="0" w:space="0" w:color="auto"/>
                          </w:divBdr>
                        </w:div>
                      </w:divsChild>
                    </w:div>
                    <w:div w:id="376928848">
                      <w:marLeft w:val="0"/>
                      <w:marRight w:val="0"/>
                      <w:marTop w:val="0"/>
                      <w:marBottom w:val="0"/>
                      <w:divBdr>
                        <w:top w:val="none" w:sz="0" w:space="0" w:color="auto"/>
                        <w:left w:val="none" w:sz="0" w:space="0" w:color="auto"/>
                        <w:bottom w:val="none" w:sz="0" w:space="0" w:color="auto"/>
                        <w:right w:val="none" w:sz="0" w:space="0" w:color="auto"/>
                      </w:divBdr>
                      <w:divsChild>
                        <w:div w:id="1865053153">
                          <w:marLeft w:val="0"/>
                          <w:marRight w:val="0"/>
                          <w:marTop w:val="0"/>
                          <w:marBottom w:val="0"/>
                          <w:divBdr>
                            <w:top w:val="none" w:sz="0" w:space="0" w:color="auto"/>
                            <w:left w:val="none" w:sz="0" w:space="0" w:color="auto"/>
                            <w:bottom w:val="none" w:sz="0" w:space="0" w:color="auto"/>
                            <w:right w:val="none" w:sz="0" w:space="0" w:color="auto"/>
                          </w:divBdr>
                        </w:div>
                      </w:divsChild>
                    </w:div>
                    <w:div w:id="869800885">
                      <w:marLeft w:val="0"/>
                      <w:marRight w:val="0"/>
                      <w:marTop w:val="0"/>
                      <w:marBottom w:val="0"/>
                      <w:divBdr>
                        <w:top w:val="none" w:sz="0" w:space="0" w:color="auto"/>
                        <w:left w:val="none" w:sz="0" w:space="0" w:color="auto"/>
                        <w:bottom w:val="none" w:sz="0" w:space="0" w:color="auto"/>
                        <w:right w:val="none" w:sz="0" w:space="0" w:color="auto"/>
                      </w:divBdr>
                      <w:divsChild>
                        <w:div w:id="1443502136">
                          <w:marLeft w:val="0"/>
                          <w:marRight w:val="0"/>
                          <w:marTop w:val="0"/>
                          <w:marBottom w:val="0"/>
                          <w:divBdr>
                            <w:top w:val="none" w:sz="0" w:space="0" w:color="auto"/>
                            <w:left w:val="none" w:sz="0" w:space="0" w:color="auto"/>
                            <w:bottom w:val="none" w:sz="0" w:space="0" w:color="auto"/>
                            <w:right w:val="none" w:sz="0" w:space="0" w:color="auto"/>
                          </w:divBdr>
                        </w:div>
                      </w:divsChild>
                    </w:div>
                    <w:div w:id="880243303">
                      <w:marLeft w:val="0"/>
                      <w:marRight w:val="0"/>
                      <w:marTop w:val="0"/>
                      <w:marBottom w:val="0"/>
                      <w:divBdr>
                        <w:top w:val="none" w:sz="0" w:space="0" w:color="auto"/>
                        <w:left w:val="none" w:sz="0" w:space="0" w:color="auto"/>
                        <w:bottom w:val="none" w:sz="0" w:space="0" w:color="auto"/>
                        <w:right w:val="none" w:sz="0" w:space="0" w:color="auto"/>
                      </w:divBdr>
                      <w:divsChild>
                        <w:div w:id="1872836296">
                          <w:marLeft w:val="0"/>
                          <w:marRight w:val="0"/>
                          <w:marTop w:val="0"/>
                          <w:marBottom w:val="0"/>
                          <w:divBdr>
                            <w:top w:val="none" w:sz="0" w:space="0" w:color="auto"/>
                            <w:left w:val="none" w:sz="0" w:space="0" w:color="auto"/>
                            <w:bottom w:val="none" w:sz="0" w:space="0" w:color="auto"/>
                            <w:right w:val="none" w:sz="0" w:space="0" w:color="auto"/>
                          </w:divBdr>
                        </w:div>
                      </w:divsChild>
                    </w:div>
                    <w:div w:id="1784616926">
                      <w:marLeft w:val="0"/>
                      <w:marRight w:val="0"/>
                      <w:marTop w:val="0"/>
                      <w:marBottom w:val="0"/>
                      <w:divBdr>
                        <w:top w:val="none" w:sz="0" w:space="0" w:color="auto"/>
                        <w:left w:val="none" w:sz="0" w:space="0" w:color="auto"/>
                        <w:bottom w:val="none" w:sz="0" w:space="0" w:color="auto"/>
                        <w:right w:val="none" w:sz="0" w:space="0" w:color="auto"/>
                      </w:divBdr>
                      <w:divsChild>
                        <w:div w:id="2601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92597">
      <w:bodyDiv w:val="1"/>
      <w:marLeft w:val="0"/>
      <w:marRight w:val="0"/>
      <w:marTop w:val="0"/>
      <w:marBottom w:val="0"/>
      <w:divBdr>
        <w:top w:val="none" w:sz="0" w:space="0" w:color="auto"/>
        <w:left w:val="none" w:sz="0" w:space="0" w:color="auto"/>
        <w:bottom w:val="none" w:sz="0" w:space="0" w:color="auto"/>
        <w:right w:val="none" w:sz="0" w:space="0" w:color="auto"/>
      </w:divBdr>
    </w:div>
    <w:div w:id="1848859156">
      <w:bodyDiv w:val="1"/>
      <w:marLeft w:val="0"/>
      <w:marRight w:val="0"/>
      <w:marTop w:val="0"/>
      <w:marBottom w:val="0"/>
      <w:divBdr>
        <w:top w:val="none" w:sz="0" w:space="0" w:color="auto"/>
        <w:left w:val="none" w:sz="0" w:space="0" w:color="auto"/>
        <w:bottom w:val="none" w:sz="0" w:space="0" w:color="auto"/>
        <w:right w:val="none" w:sz="0" w:space="0" w:color="auto"/>
      </w:divBdr>
    </w:div>
    <w:div w:id="1879587762">
      <w:bodyDiv w:val="1"/>
      <w:marLeft w:val="0"/>
      <w:marRight w:val="0"/>
      <w:marTop w:val="0"/>
      <w:marBottom w:val="0"/>
      <w:divBdr>
        <w:top w:val="none" w:sz="0" w:space="0" w:color="auto"/>
        <w:left w:val="none" w:sz="0" w:space="0" w:color="auto"/>
        <w:bottom w:val="none" w:sz="0" w:space="0" w:color="auto"/>
        <w:right w:val="none" w:sz="0" w:space="0" w:color="auto"/>
      </w:divBdr>
    </w:div>
    <w:div w:id="2029481601">
      <w:bodyDiv w:val="1"/>
      <w:marLeft w:val="0"/>
      <w:marRight w:val="0"/>
      <w:marTop w:val="0"/>
      <w:marBottom w:val="0"/>
      <w:divBdr>
        <w:top w:val="none" w:sz="0" w:space="0" w:color="auto"/>
        <w:left w:val="none" w:sz="0" w:space="0" w:color="auto"/>
        <w:bottom w:val="none" w:sz="0" w:space="0" w:color="auto"/>
        <w:right w:val="none" w:sz="0" w:space="0" w:color="auto"/>
      </w:divBdr>
    </w:div>
    <w:div w:id="2083333955">
      <w:bodyDiv w:val="1"/>
      <w:marLeft w:val="0"/>
      <w:marRight w:val="0"/>
      <w:marTop w:val="0"/>
      <w:marBottom w:val="0"/>
      <w:divBdr>
        <w:top w:val="none" w:sz="0" w:space="0" w:color="auto"/>
        <w:left w:val="none" w:sz="0" w:space="0" w:color="auto"/>
        <w:bottom w:val="none" w:sz="0" w:space="0" w:color="auto"/>
        <w:right w:val="none" w:sz="0" w:space="0" w:color="auto"/>
      </w:divBdr>
    </w:div>
    <w:div w:id="2116511574">
      <w:bodyDiv w:val="1"/>
      <w:marLeft w:val="0"/>
      <w:marRight w:val="0"/>
      <w:marTop w:val="0"/>
      <w:marBottom w:val="0"/>
      <w:divBdr>
        <w:top w:val="none" w:sz="0" w:space="0" w:color="auto"/>
        <w:left w:val="none" w:sz="0" w:space="0" w:color="auto"/>
        <w:bottom w:val="none" w:sz="0" w:space="0" w:color="auto"/>
        <w:right w:val="none" w:sz="0" w:space="0" w:color="auto"/>
      </w:divBdr>
      <w:divsChild>
        <w:div w:id="41172161">
          <w:marLeft w:val="0"/>
          <w:marRight w:val="0"/>
          <w:marTop w:val="0"/>
          <w:marBottom w:val="0"/>
          <w:divBdr>
            <w:top w:val="none" w:sz="0" w:space="0" w:color="auto"/>
            <w:left w:val="none" w:sz="0" w:space="0" w:color="auto"/>
            <w:bottom w:val="none" w:sz="0" w:space="0" w:color="auto"/>
            <w:right w:val="none" w:sz="0" w:space="0" w:color="auto"/>
          </w:divBdr>
          <w:divsChild>
            <w:div w:id="898325867">
              <w:marLeft w:val="0"/>
              <w:marRight w:val="0"/>
              <w:marTop w:val="0"/>
              <w:marBottom w:val="0"/>
              <w:divBdr>
                <w:top w:val="none" w:sz="0" w:space="0" w:color="auto"/>
                <w:left w:val="none" w:sz="0" w:space="0" w:color="auto"/>
                <w:bottom w:val="none" w:sz="0" w:space="0" w:color="auto"/>
                <w:right w:val="none" w:sz="0" w:space="0" w:color="auto"/>
              </w:divBdr>
            </w:div>
            <w:div w:id="2037462382">
              <w:marLeft w:val="0"/>
              <w:marRight w:val="0"/>
              <w:marTop w:val="0"/>
              <w:marBottom w:val="0"/>
              <w:divBdr>
                <w:top w:val="none" w:sz="0" w:space="0" w:color="auto"/>
                <w:left w:val="none" w:sz="0" w:space="0" w:color="auto"/>
                <w:bottom w:val="none" w:sz="0" w:space="0" w:color="auto"/>
                <w:right w:val="none" w:sz="0" w:space="0" w:color="auto"/>
              </w:divBdr>
            </w:div>
            <w:div w:id="1704093197">
              <w:marLeft w:val="0"/>
              <w:marRight w:val="0"/>
              <w:marTop w:val="0"/>
              <w:marBottom w:val="0"/>
              <w:divBdr>
                <w:top w:val="none" w:sz="0" w:space="0" w:color="auto"/>
                <w:left w:val="none" w:sz="0" w:space="0" w:color="auto"/>
                <w:bottom w:val="none" w:sz="0" w:space="0" w:color="auto"/>
                <w:right w:val="none" w:sz="0" w:space="0" w:color="auto"/>
              </w:divBdr>
            </w:div>
            <w:div w:id="382561846">
              <w:marLeft w:val="0"/>
              <w:marRight w:val="0"/>
              <w:marTop w:val="0"/>
              <w:marBottom w:val="0"/>
              <w:divBdr>
                <w:top w:val="none" w:sz="0" w:space="0" w:color="auto"/>
                <w:left w:val="none" w:sz="0" w:space="0" w:color="auto"/>
                <w:bottom w:val="none" w:sz="0" w:space="0" w:color="auto"/>
                <w:right w:val="none" w:sz="0" w:space="0" w:color="auto"/>
              </w:divBdr>
            </w:div>
            <w:div w:id="6914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4.emf"/><Relationship Id="rId3" Type="http://schemas.openxmlformats.org/officeDocument/2006/relationships/numbering" Target="numbering.xml"/><Relationship Id="rId21" Type="http://schemas.openxmlformats.org/officeDocument/2006/relationships/hyperlink" Target="http://www.aer.gov.au/node/451" TargetMode="External"/><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www.aer.gov.au/industry-information/industry-statistics" TargetMode="External"/><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er.gov.au/wholesale-markets/market-performance"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emf"/><Relationship Id="rId31" Type="http://schemas.openxmlformats.org/officeDocument/2006/relationships/image" Target="media/image19.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www.aer.gov.au/system/files/User%20guide%20to%20the%20AER%20gas%20weekly%20report%20-%20November%202016.pdf" TargetMode="External"/><Relationship Id="rId1" Type="http://schemas.openxmlformats.org/officeDocument/2006/relationships/hyperlink" Target="https://www.aer.gov.au/system/files/User%20guide%20to%20the%20AER%20gas%20weekly%20report%20-%20November%202016.pdf"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454C3B4-AEF7-4FBE-B642-68D1D462C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171C8A8B.dotm</Template>
  <TotalTime>0</TotalTime>
  <Pages>11</Pages>
  <Words>1631</Words>
  <Characters>9303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2017-03-09T03:39:00Z</dcterms:created>
  <dcterms:modified xsi:type="dcterms:W3CDTF">2017-03-09T03:39:00Z</dcterms:modified>
</cp:coreProperties>
</file>