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4EF8" w:rsidRPr="00C4712A" w:rsidRDefault="002A4EF8" w:rsidP="002A4EF8">
      <w:pPr>
        <w:pStyle w:val="Heading1"/>
        <w:spacing w:before="120"/>
        <w:ind w:left="142"/>
        <w:rPr>
          <w:rFonts w:asciiTheme="minorHAnsi" w:hAnsiTheme="minorHAnsi" w:cstheme="minorHAnsi"/>
          <w:b/>
          <w:sz w:val="36"/>
          <w:szCs w:val="36"/>
        </w:rPr>
      </w:pPr>
      <w:bookmarkStart w:id="0" w:name="_Toc305751931"/>
      <w:bookmarkStart w:id="1" w:name="_Toc308601044"/>
      <w:bookmarkStart w:id="2" w:name="_Toc316978870"/>
      <w:bookmarkStart w:id="3" w:name="_Toc317520246"/>
      <w:bookmarkStart w:id="4" w:name="OLE_LINK72"/>
      <w:bookmarkStart w:id="5" w:name="OLE_LINK73"/>
      <w:r w:rsidRPr="00C4712A">
        <w:rPr>
          <w:rFonts w:asciiTheme="minorHAnsi" w:hAnsiTheme="minorHAnsi" w:cstheme="minorHAnsi"/>
          <w:b/>
          <w:noProof/>
          <w:color w:val="FFFFFF" w:themeColor="background1"/>
          <w:sz w:val="36"/>
          <w:szCs w:val="36"/>
          <w:lang w:eastAsia="en-AU"/>
        </w:rPr>
        <w:drawing>
          <wp:anchor distT="0" distB="0" distL="114300" distR="114300" simplePos="0" relativeHeight="251666432" behindDoc="1" locked="0" layoutInCell="1" allowOverlap="1" wp14:anchorId="0BE068F8" wp14:editId="3B27A352">
            <wp:simplePos x="0" y="0"/>
            <wp:positionH relativeFrom="column">
              <wp:posOffset>0</wp:posOffset>
            </wp:positionH>
            <wp:positionV relativeFrom="paragraph">
              <wp:posOffset>7800</wp:posOffset>
            </wp:positionV>
            <wp:extent cx="5693434" cy="923502"/>
            <wp:effectExtent l="0" t="0" r="2540" b="0"/>
            <wp:wrapNone/>
            <wp:docPr id="1" name="Picture 1" descr="Australian Energy Regula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stralian Energy Regulator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94619" cy="923694"/>
                    </a:xfrm>
                    <a:prstGeom prst="rect">
                      <a:avLst/>
                    </a:prstGeom>
                    <a:noFill/>
                  </pic:spPr>
                </pic:pic>
              </a:graphicData>
            </a:graphic>
            <wp14:sizeRelH relativeFrom="page">
              <wp14:pctWidth>0</wp14:pctWidth>
            </wp14:sizeRelH>
            <wp14:sizeRelV relativeFrom="page">
              <wp14:pctHeight>0</wp14:pctHeight>
            </wp14:sizeRelV>
          </wp:anchor>
        </w:drawing>
      </w:r>
      <w:r w:rsidR="0015496E">
        <w:rPr>
          <w:rFonts w:asciiTheme="minorHAnsi" w:hAnsiTheme="minorHAnsi" w:cstheme="minorHAnsi"/>
          <w:b/>
          <w:color w:val="FFFFFF" w:themeColor="background1"/>
          <w:sz w:val="36"/>
          <w:szCs w:val="36"/>
        </w:rPr>
        <w:t xml:space="preserve"> </w:t>
      </w:r>
      <w:r w:rsidR="003171C6">
        <w:rPr>
          <w:rFonts w:asciiTheme="minorHAnsi" w:hAnsiTheme="minorHAnsi" w:cstheme="minorHAnsi"/>
          <w:b/>
          <w:color w:val="FFFFFF" w:themeColor="background1"/>
          <w:sz w:val="36"/>
          <w:szCs w:val="36"/>
        </w:rPr>
        <w:t>Gas Market</w:t>
      </w:r>
      <w:r w:rsidRPr="00C4712A">
        <w:rPr>
          <w:rFonts w:asciiTheme="minorHAnsi" w:hAnsiTheme="minorHAnsi" w:cstheme="minorHAnsi"/>
          <w:b/>
          <w:color w:val="FFFFFF" w:themeColor="background1"/>
          <w:sz w:val="36"/>
          <w:szCs w:val="36"/>
        </w:rPr>
        <w:t xml:space="preserve"> Report</w:t>
      </w:r>
    </w:p>
    <w:p w:rsidR="002A4EF8" w:rsidRPr="00C4712A" w:rsidRDefault="002A4EF8" w:rsidP="002A4EF8"/>
    <w:p w:rsidR="002A4EF8" w:rsidRDefault="002A4EF8" w:rsidP="002A4EF8"/>
    <w:p w:rsidR="00286866" w:rsidRPr="00AC3047" w:rsidRDefault="00634E52" w:rsidP="00286866">
      <w:pPr>
        <w:pStyle w:val="Heading2"/>
        <w:rPr>
          <w:i/>
        </w:rPr>
      </w:pPr>
      <w:r w:rsidRPr="00634E52">
        <w:rPr>
          <w:sz w:val="36"/>
          <w:szCs w:val="36"/>
        </w:rPr>
        <w:t>11 – 17 June</w:t>
      </w:r>
      <w:r w:rsidR="00286866" w:rsidRPr="00634E52">
        <w:rPr>
          <w:sz w:val="36"/>
          <w:szCs w:val="36"/>
        </w:rPr>
        <w:t xml:space="preserve"> </w:t>
      </w:r>
      <w:r w:rsidRPr="00634E52">
        <w:rPr>
          <w:sz w:val="36"/>
          <w:szCs w:val="36"/>
        </w:rPr>
        <w:t>2017</w:t>
      </w:r>
    </w:p>
    <w:p w:rsidR="000835F4" w:rsidRPr="000835F4" w:rsidRDefault="000835F4" w:rsidP="000835F4">
      <w:pPr>
        <w:pStyle w:val="Heading2"/>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Weekly Summary</w:t>
      </w:r>
    </w:p>
    <w:p w:rsidR="006B245C" w:rsidRPr="00995346" w:rsidRDefault="00D636F6" w:rsidP="00F26128">
      <w:pPr>
        <w:jc w:val="both"/>
        <w:rPr>
          <w:color w:val="000000" w:themeColor="text1"/>
        </w:rPr>
      </w:pPr>
      <w:r>
        <w:rPr>
          <w:color w:val="000000" w:themeColor="text1"/>
        </w:rPr>
        <w:t>Figure 1 shows t</w:t>
      </w:r>
      <w:r w:rsidRPr="00995346">
        <w:rPr>
          <w:color w:val="000000" w:themeColor="text1"/>
        </w:rPr>
        <w:t xml:space="preserve">here </w:t>
      </w:r>
      <w:r w:rsidR="00A16ED7" w:rsidRPr="00995346">
        <w:rPr>
          <w:color w:val="000000" w:themeColor="text1"/>
        </w:rPr>
        <w:t>were small demand and price decre</w:t>
      </w:r>
      <w:r w:rsidR="00567759" w:rsidRPr="00995346">
        <w:rPr>
          <w:color w:val="000000" w:themeColor="text1"/>
        </w:rPr>
        <w:t xml:space="preserve">ases in all markets this week. </w:t>
      </w:r>
      <w:r w:rsidR="00A16ED7" w:rsidRPr="00995346">
        <w:rPr>
          <w:color w:val="000000" w:themeColor="text1"/>
        </w:rPr>
        <w:t>The most pronounced decreases were in the Sydney market, with demand declining by 11 per cent and the average daily price declining by 18 per cent.</w:t>
      </w:r>
    </w:p>
    <w:p w:rsidR="00E66D68" w:rsidRPr="000835F4" w:rsidRDefault="00E66D68" w:rsidP="00F26128">
      <w:pPr>
        <w:jc w:val="both"/>
      </w:pPr>
      <w:r>
        <w:t xml:space="preserve">Figure 5.1 shows </w:t>
      </w:r>
      <w:r w:rsidR="00DF192B">
        <w:t xml:space="preserve">a small increase </w:t>
      </w:r>
      <w:r w:rsidR="00607A78">
        <w:t xml:space="preserve">in gas usage </w:t>
      </w:r>
      <w:r w:rsidR="00DF192B">
        <w:t xml:space="preserve">of 15 TJ by </w:t>
      </w:r>
      <w:r>
        <w:t xml:space="preserve">Gas Powered Generation (GPG) from the previous week. GPG gas usage increased in all states except Tasmania, where </w:t>
      </w:r>
      <w:r w:rsidR="00DF192B">
        <w:t xml:space="preserve">GPG </w:t>
      </w:r>
      <w:r>
        <w:t xml:space="preserve">gas usage decreased significantly from 35 TJ to 4 TJ.  </w:t>
      </w:r>
    </w:p>
    <w:p w:rsidR="00AB26AE" w:rsidRPr="00567759" w:rsidRDefault="00497DDE" w:rsidP="00567759">
      <w:pPr>
        <w:jc w:val="both"/>
      </w:pPr>
      <w:r>
        <w:t>The quantity of gas traded on the Wallumbilla exchange was similar to the previous week at 261</w:t>
      </w:r>
      <w:r w:rsidR="00AA0301">
        <w:t> </w:t>
      </w:r>
      <w:r>
        <w:t>TJ. On 12</w:t>
      </w:r>
      <w:r w:rsidR="00AA0301">
        <w:t> </w:t>
      </w:r>
      <w:r>
        <w:t xml:space="preserve">June, the first spread product trade occurred between the SEQ and WAL trading points. </w:t>
      </w:r>
    </w:p>
    <w:p w:rsidR="000835F4" w:rsidRPr="000835F4" w:rsidRDefault="000835F4" w:rsidP="001521CB">
      <w:pPr>
        <w:pStyle w:val="Heading3"/>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Long term statistics and explanatory material</w:t>
      </w:r>
    </w:p>
    <w:p w:rsidR="000835F4" w:rsidRPr="00AF2164" w:rsidRDefault="000835F4" w:rsidP="000835F4">
      <w:pPr>
        <w:jc w:val="both"/>
      </w:pPr>
      <w:r>
        <w:t xml:space="preserve">The AER has published an </w:t>
      </w:r>
      <w:hyperlink r:id="rId11" w:history="1">
        <w:r>
          <w:rPr>
            <w:rStyle w:val="Hyperlink"/>
          </w:rPr>
          <w:t>explanatory note</w:t>
        </w:r>
      </w:hyperlink>
      <w:r>
        <w:t xml:space="preserve"> to assist with interpreting the data presented in its weekly gas market reports. The AER also publish a range of </w:t>
      </w:r>
      <w:hyperlink r:id="rId12" w:history="1">
        <w:r>
          <w:rPr>
            <w:rStyle w:val="Hyperlink"/>
          </w:rPr>
          <w:t>longer term statistics</w:t>
        </w:r>
      </w:hyperlink>
      <w:r>
        <w:t xml:space="preserve"> on the performance of the gas sector including gas prices, production, pipeline flows and consumer demand.</w:t>
      </w:r>
    </w:p>
    <w:p w:rsidR="000835F4" w:rsidRPr="000835F4" w:rsidRDefault="000835F4" w:rsidP="001521CB">
      <w:pPr>
        <w:pStyle w:val="Heading3"/>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Market overview</w:t>
      </w:r>
    </w:p>
    <w:p w:rsidR="000835F4" w:rsidRDefault="000835F4" w:rsidP="000835F4">
      <w:pPr>
        <w:jc w:val="both"/>
      </w:pPr>
      <w:r w:rsidRPr="00EC137F">
        <w:t>Figure 1 sets out the average daily prices ($/GJ) for the current week</w:t>
      </w:r>
      <w:r w:rsidR="003106BC" w:rsidRPr="00EC137F">
        <w:t>, and demand levels,</w:t>
      </w:r>
      <w:r w:rsidRPr="00EC137F">
        <w:t xml:space="preserve"> compared to historical averages. </w:t>
      </w:r>
      <w:r w:rsidR="003106BC" w:rsidRPr="00EC137F">
        <w:t>Regions shown include</w:t>
      </w:r>
      <w:r w:rsidRPr="00EC137F">
        <w:t xml:space="preserve"> the Victorian Declared Wholesale Market </w:t>
      </w:r>
      <w:r w:rsidRPr="00EC137F">
        <w:rPr>
          <w:b/>
        </w:rPr>
        <w:t>(VGM or Victorian gas market)</w:t>
      </w:r>
      <w:r w:rsidRPr="00EC137F">
        <w:t xml:space="preserve"> and for the Sydney </w:t>
      </w:r>
      <w:r w:rsidRPr="00EC137F">
        <w:rPr>
          <w:b/>
        </w:rPr>
        <w:t>(SYD)</w:t>
      </w:r>
      <w:r w:rsidRPr="00EC137F">
        <w:t xml:space="preserve">, Adelaide </w:t>
      </w:r>
      <w:r w:rsidRPr="00EC137F">
        <w:rPr>
          <w:b/>
        </w:rPr>
        <w:t xml:space="preserve">(ADL) </w:t>
      </w:r>
      <w:r w:rsidRPr="00EC137F">
        <w:t xml:space="preserve">and Brisbane </w:t>
      </w:r>
      <w:r w:rsidRPr="00EC137F">
        <w:rPr>
          <w:b/>
        </w:rPr>
        <w:t xml:space="preserve">(BRI) </w:t>
      </w:r>
      <w:r w:rsidRPr="00EC137F">
        <w:t xml:space="preserve">Short Term Trading Market hubs </w:t>
      </w:r>
      <w:r w:rsidRPr="00EC137F">
        <w:rPr>
          <w:b/>
        </w:rPr>
        <w:t>(STTM)</w:t>
      </w:r>
      <w:r w:rsidRPr="00EC137F">
        <w:t xml:space="preserve">. </w:t>
      </w:r>
    </w:p>
    <w:p w:rsidR="000835F4" w:rsidRDefault="000835F4" w:rsidP="000835F4">
      <w:pPr>
        <w:pStyle w:val="Caption"/>
        <w:rPr>
          <w:color w:val="2272A3"/>
          <w:szCs w:val="24"/>
        </w:rPr>
      </w:pPr>
      <w:r w:rsidRPr="00BE2075">
        <w:t xml:space="preserve">Figure </w:t>
      </w:r>
      <w:r w:rsidR="00AF3126">
        <w:fldChar w:fldCharType="begin"/>
      </w:r>
      <w:r w:rsidR="00AF3126">
        <w:instrText xml:space="preserve"> SEQ Figure \* ARABIC </w:instrText>
      </w:r>
      <w:r w:rsidR="00AF3126">
        <w:fldChar w:fldCharType="separate"/>
      </w:r>
      <w:r w:rsidR="001521CB">
        <w:rPr>
          <w:noProof/>
        </w:rPr>
        <w:t>1</w:t>
      </w:r>
      <w:r w:rsidR="00AF3126">
        <w:rPr>
          <w:noProof/>
        </w:rPr>
        <w:fldChar w:fldCharType="end"/>
      </w:r>
      <w:r w:rsidRPr="00BE2075">
        <w:t xml:space="preserve">: </w:t>
      </w:r>
      <w:r w:rsidRPr="006E7E57">
        <w:rPr>
          <w:color w:val="2272A3"/>
          <w:szCs w:val="24"/>
        </w:rPr>
        <w:t>Average daily prices</w:t>
      </w:r>
      <w:r w:rsidR="003106BC">
        <w:rPr>
          <w:color w:val="2272A3"/>
          <w:szCs w:val="24"/>
        </w:rPr>
        <w:t xml:space="preserve"> and demand</w:t>
      </w:r>
      <w:r w:rsidRPr="006E7E57">
        <w:rPr>
          <w:color w:val="2272A3"/>
          <w:szCs w:val="24"/>
        </w:rPr>
        <w:t xml:space="preserve"> – all markets ($/GJ</w:t>
      </w:r>
      <w:r w:rsidR="003106BC" w:rsidRPr="00EC137F">
        <w:rPr>
          <w:color w:val="2272A3"/>
          <w:szCs w:val="24"/>
        </w:rPr>
        <w:t>, TJ</w:t>
      </w:r>
      <w:r w:rsidRPr="00EC137F">
        <w:rPr>
          <w:color w:val="2272A3"/>
          <w:szCs w:val="24"/>
        </w:rPr>
        <w:t>)</w:t>
      </w:r>
      <w:r w:rsidRPr="00EC137F">
        <w:rPr>
          <w:color w:val="2272A3"/>
          <w:szCs w:val="24"/>
          <w:vertAlign w:val="superscript"/>
        </w:rPr>
        <w:footnoteReference w:id="1"/>
      </w:r>
    </w:p>
    <w:tbl>
      <w:tblPr>
        <w:tblStyle w:val="AERTable-Text"/>
        <w:tblW w:w="4909" w:type="pct"/>
        <w:tblLayout w:type="fixed"/>
        <w:tblLook w:val="04A0" w:firstRow="1" w:lastRow="0" w:firstColumn="1" w:lastColumn="0" w:noHBand="0" w:noVBand="1"/>
      </w:tblPr>
      <w:tblGrid>
        <w:gridCol w:w="1924"/>
        <w:gridCol w:w="1009"/>
        <w:gridCol w:w="849"/>
        <w:gridCol w:w="864"/>
        <w:gridCol w:w="851"/>
        <w:gridCol w:w="907"/>
        <w:gridCol w:w="849"/>
        <w:gridCol w:w="846"/>
        <w:gridCol w:w="975"/>
      </w:tblGrid>
      <w:tr w:rsidR="00DD5D65" w:rsidRPr="002861A9" w:rsidTr="00634E52">
        <w:trPr>
          <w:cnfStyle w:val="100000000000" w:firstRow="1" w:lastRow="0" w:firstColumn="0" w:lastColumn="0" w:oddVBand="0" w:evenVBand="0" w:oddHBand="0" w:evenHBand="0" w:firstRowFirstColumn="0" w:firstRowLastColumn="0" w:lastRowFirstColumn="0" w:lastRowLastColumn="0"/>
          <w:trHeight w:val="404"/>
          <w:tblHeader/>
        </w:trPr>
        <w:tc>
          <w:tcPr>
            <w:tcW w:w="1060" w:type="pct"/>
            <w:tcBorders>
              <w:bottom w:val="nil"/>
            </w:tcBorders>
            <w:vAlign w:val="center"/>
          </w:tcPr>
          <w:p w:rsidR="00674600" w:rsidRPr="00E16EDC" w:rsidRDefault="00674600" w:rsidP="00674600">
            <w:pPr>
              <w:pStyle w:val="TableHeading"/>
              <w:spacing w:before="120" w:after="0" w:line="240" w:lineRule="auto"/>
              <w:jc w:val="center"/>
              <w:rPr>
                <w:rFonts w:cs="Arial"/>
                <w:sz w:val="20"/>
                <w:szCs w:val="20"/>
              </w:rPr>
            </w:pPr>
          </w:p>
        </w:tc>
        <w:tc>
          <w:tcPr>
            <w:tcW w:w="1024" w:type="pct"/>
            <w:gridSpan w:val="2"/>
            <w:tcBorders>
              <w:bottom w:val="nil"/>
            </w:tcBorders>
            <w:vAlign w:val="center"/>
          </w:tcPr>
          <w:p w:rsidR="00674600" w:rsidRPr="00E95390" w:rsidRDefault="00674600" w:rsidP="00674600">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Victoria</w:t>
            </w:r>
          </w:p>
        </w:tc>
        <w:tc>
          <w:tcPr>
            <w:tcW w:w="945" w:type="pct"/>
            <w:gridSpan w:val="2"/>
            <w:tcBorders>
              <w:bottom w:val="nil"/>
            </w:tcBorders>
            <w:vAlign w:val="center"/>
          </w:tcPr>
          <w:p w:rsidR="00674600" w:rsidRPr="00E95390" w:rsidRDefault="00674600" w:rsidP="00674600">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Sydney</w:t>
            </w:r>
          </w:p>
        </w:tc>
        <w:tc>
          <w:tcPr>
            <w:tcW w:w="968" w:type="pct"/>
            <w:gridSpan w:val="2"/>
            <w:tcBorders>
              <w:bottom w:val="nil"/>
            </w:tcBorders>
            <w:vAlign w:val="center"/>
          </w:tcPr>
          <w:p w:rsidR="00674600" w:rsidRPr="00E95390" w:rsidRDefault="00674600" w:rsidP="00674600">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Adelaide</w:t>
            </w:r>
          </w:p>
        </w:tc>
        <w:tc>
          <w:tcPr>
            <w:tcW w:w="1004" w:type="pct"/>
            <w:gridSpan w:val="2"/>
            <w:tcBorders>
              <w:bottom w:val="nil"/>
            </w:tcBorders>
            <w:vAlign w:val="center"/>
          </w:tcPr>
          <w:p w:rsidR="00674600" w:rsidRPr="00E95390" w:rsidRDefault="00674600" w:rsidP="00674600">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Brisbane</w:t>
            </w:r>
          </w:p>
        </w:tc>
      </w:tr>
      <w:tr w:rsidR="00DD5D65" w:rsidRPr="002861A9" w:rsidTr="00634E52">
        <w:trPr>
          <w:cnfStyle w:val="100000000000" w:firstRow="1" w:lastRow="0" w:firstColumn="0" w:lastColumn="0" w:oddVBand="0" w:evenVBand="0" w:oddHBand="0" w:evenHBand="0" w:firstRowFirstColumn="0" w:firstRowLastColumn="0" w:lastRowFirstColumn="0" w:lastRowLastColumn="0"/>
          <w:tblHeader/>
        </w:trPr>
        <w:tc>
          <w:tcPr>
            <w:tcW w:w="1060" w:type="pct"/>
            <w:tcBorders>
              <w:bottom w:val="nil"/>
            </w:tcBorders>
            <w:vAlign w:val="center"/>
            <w:hideMark/>
          </w:tcPr>
          <w:p w:rsidR="00674600" w:rsidRPr="00A226E9" w:rsidRDefault="00674600" w:rsidP="00674600">
            <w:pPr>
              <w:spacing w:before="0" w:line="240" w:lineRule="auto"/>
              <w:rPr>
                <w:rFonts w:cs="Arial"/>
                <w:sz w:val="20"/>
                <w:szCs w:val="20"/>
                <w:highlight w:val="yellow"/>
              </w:rPr>
            </w:pPr>
          </w:p>
        </w:tc>
        <w:tc>
          <w:tcPr>
            <w:tcW w:w="556" w:type="pct"/>
            <w:tcBorders>
              <w:bottom w:val="nil"/>
            </w:tcBorders>
            <w:vAlign w:val="center"/>
            <w:hideMark/>
          </w:tcPr>
          <w:p w:rsidR="00674600" w:rsidRPr="00E16EDC" w:rsidRDefault="00674600" w:rsidP="00674600">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468" w:type="pct"/>
            <w:tcBorders>
              <w:bottom w:val="nil"/>
            </w:tcBorders>
            <w:vAlign w:val="center"/>
            <w:hideMark/>
          </w:tcPr>
          <w:p w:rsidR="00674600" w:rsidRPr="00E16EDC" w:rsidRDefault="00674600" w:rsidP="00674600">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476" w:type="pct"/>
            <w:tcBorders>
              <w:bottom w:val="nil"/>
            </w:tcBorders>
            <w:vAlign w:val="center"/>
            <w:hideMark/>
          </w:tcPr>
          <w:p w:rsidR="00674600" w:rsidRPr="00E16EDC" w:rsidRDefault="00674600" w:rsidP="00674600">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469" w:type="pct"/>
            <w:tcBorders>
              <w:bottom w:val="nil"/>
            </w:tcBorders>
            <w:vAlign w:val="center"/>
          </w:tcPr>
          <w:p w:rsidR="00674600" w:rsidRPr="00E16EDC" w:rsidRDefault="00674600" w:rsidP="00674600">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500" w:type="pct"/>
            <w:tcBorders>
              <w:bottom w:val="nil"/>
            </w:tcBorders>
            <w:vAlign w:val="center"/>
          </w:tcPr>
          <w:p w:rsidR="00674600" w:rsidRPr="00E16EDC" w:rsidRDefault="00674600" w:rsidP="00674600">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468" w:type="pct"/>
            <w:tcBorders>
              <w:bottom w:val="nil"/>
            </w:tcBorders>
            <w:vAlign w:val="center"/>
          </w:tcPr>
          <w:p w:rsidR="00674600" w:rsidRPr="00E16EDC" w:rsidRDefault="00674600" w:rsidP="00674600">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466" w:type="pct"/>
            <w:tcBorders>
              <w:bottom w:val="nil"/>
            </w:tcBorders>
            <w:vAlign w:val="center"/>
          </w:tcPr>
          <w:p w:rsidR="00674600" w:rsidRPr="00E16EDC" w:rsidRDefault="00674600" w:rsidP="00674600">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538" w:type="pct"/>
            <w:tcBorders>
              <w:bottom w:val="nil"/>
            </w:tcBorders>
            <w:vAlign w:val="center"/>
          </w:tcPr>
          <w:p w:rsidR="00674600" w:rsidRPr="00E16EDC" w:rsidRDefault="00674600" w:rsidP="00674600">
            <w:pPr>
              <w:spacing w:before="120" w:line="240" w:lineRule="auto"/>
              <w:ind w:left="-113" w:right="-113"/>
              <w:jc w:val="center"/>
              <w:rPr>
                <w:rFonts w:cs="Arial"/>
                <w:bCs/>
                <w:color w:val="FFFFFF"/>
                <w:sz w:val="14"/>
                <w:szCs w:val="20"/>
              </w:rPr>
            </w:pPr>
            <w:r>
              <w:rPr>
                <w:rFonts w:cs="Arial"/>
                <w:bCs/>
                <w:color w:val="FFFFFF"/>
                <w:sz w:val="14"/>
                <w:szCs w:val="20"/>
              </w:rPr>
              <w:t>Demand</w:t>
            </w:r>
          </w:p>
        </w:tc>
      </w:tr>
      <w:tr w:rsidR="00634E52" w:rsidRPr="006A7228" w:rsidTr="00634E52">
        <w:trPr>
          <w:trHeight w:val="510"/>
        </w:trPr>
        <w:tc>
          <w:tcPr>
            <w:tcW w:w="1060" w:type="pct"/>
            <w:tcBorders>
              <w:top w:val="nil"/>
              <w:bottom w:val="nil"/>
            </w:tcBorders>
            <w:vAlign w:val="center"/>
          </w:tcPr>
          <w:p w:rsidR="00634E52" w:rsidRDefault="00634E52">
            <w:pPr>
              <w:rPr>
                <w:rFonts w:cs="Arial"/>
                <w:sz w:val="16"/>
                <w:szCs w:val="16"/>
              </w:rPr>
            </w:pPr>
            <w:r>
              <w:rPr>
                <w:rFonts w:cs="Arial"/>
                <w:sz w:val="16"/>
                <w:szCs w:val="16"/>
              </w:rPr>
              <w:t>11 Jun - 17 Jun 2017</w:t>
            </w:r>
          </w:p>
        </w:tc>
        <w:tc>
          <w:tcPr>
            <w:tcW w:w="556" w:type="pct"/>
            <w:tcBorders>
              <w:top w:val="nil"/>
              <w:bottom w:val="nil"/>
            </w:tcBorders>
            <w:vAlign w:val="center"/>
          </w:tcPr>
          <w:p w:rsidR="00634E52" w:rsidRDefault="00634E52">
            <w:pPr>
              <w:jc w:val="center"/>
              <w:rPr>
                <w:rFonts w:cs="Arial"/>
                <w:sz w:val="20"/>
                <w:szCs w:val="20"/>
              </w:rPr>
            </w:pPr>
            <w:r>
              <w:rPr>
                <w:rFonts w:cs="Arial"/>
                <w:sz w:val="20"/>
                <w:szCs w:val="20"/>
              </w:rPr>
              <w:t>10.17</w:t>
            </w:r>
          </w:p>
        </w:tc>
        <w:tc>
          <w:tcPr>
            <w:tcW w:w="468" w:type="pct"/>
            <w:tcBorders>
              <w:top w:val="nil"/>
              <w:bottom w:val="nil"/>
            </w:tcBorders>
            <w:vAlign w:val="center"/>
          </w:tcPr>
          <w:p w:rsidR="00634E52" w:rsidRDefault="00634E52">
            <w:pPr>
              <w:jc w:val="center"/>
              <w:rPr>
                <w:rFonts w:cs="Arial"/>
                <w:sz w:val="20"/>
                <w:szCs w:val="20"/>
              </w:rPr>
            </w:pPr>
            <w:r>
              <w:rPr>
                <w:rFonts w:cs="Arial"/>
                <w:sz w:val="20"/>
                <w:szCs w:val="20"/>
              </w:rPr>
              <w:t>856</w:t>
            </w:r>
          </w:p>
        </w:tc>
        <w:tc>
          <w:tcPr>
            <w:tcW w:w="476" w:type="pct"/>
            <w:tcBorders>
              <w:top w:val="nil"/>
              <w:bottom w:val="nil"/>
            </w:tcBorders>
            <w:vAlign w:val="center"/>
          </w:tcPr>
          <w:p w:rsidR="00634E52" w:rsidRDefault="00634E52">
            <w:pPr>
              <w:jc w:val="center"/>
              <w:rPr>
                <w:rFonts w:cs="Arial"/>
                <w:sz w:val="20"/>
                <w:szCs w:val="20"/>
              </w:rPr>
            </w:pPr>
            <w:r>
              <w:rPr>
                <w:rFonts w:cs="Arial"/>
                <w:sz w:val="20"/>
                <w:szCs w:val="20"/>
              </w:rPr>
              <w:t>10.21</w:t>
            </w:r>
          </w:p>
        </w:tc>
        <w:tc>
          <w:tcPr>
            <w:tcW w:w="469" w:type="pct"/>
            <w:tcBorders>
              <w:top w:val="nil"/>
              <w:bottom w:val="nil"/>
            </w:tcBorders>
            <w:vAlign w:val="center"/>
          </w:tcPr>
          <w:p w:rsidR="00634E52" w:rsidRDefault="00634E52">
            <w:pPr>
              <w:jc w:val="center"/>
              <w:rPr>
                <w:rFonts w:cs="Arial"/>
                <w:sz w:val="20"/>
                <w:szCs w:val="20"/>
              </w:rPr>
            </w:pPr>
            <w:r>
              <w:rPr>
                <w:rFonts w:cs="Arial"/>
                <w:sz w:val="20"/>
                <w:szCs w:val="20"/>
              </w:rPr>
              <w:t>271</w:t>
            </w:r>
          </w:p>
        </w:tc>
        <w:tc>
          <w:tcPr>
            <w:tcW w:w="500" w:type="pct"/>
            <w:tcBorders>
              <w:top w:val="nil"/>
              <w:bottom w:val="nil"/>
            </w:tcBorders>
            <w:vAlign w:val="center"/>
          </w:tcPr>
          <w:p w:rsidR="00634E52" w:rsidRDefault="00634E52">
            <w:pPr>
              <w:jc w:val="center"/>
              <w:rPr>
                <w:rFonts w:cs="Arial"/>
                <w:sz w:val="20"/>
                <w:szCs w:val="20"/>
              </w:rPr>
            </w:pPr>
            <w:r>
              <w:rPr>
                <w:rFonts w:cs="Arial"/>
                <w:sz w:val="20"/>
                <w:szCs w:val="20"/>
              </w:rPr>
              <w:t>9.32</w:t>
            </w:r>
          </w:p>
        </w:tc>
        <w:tc>
          <w:tcPr>
            <w:tcW w:w="468" w:type="pct"/>
            <w:tcBorders>
              <w:top w:val="nil"/>
              <w:bottom w:val="nil"/>
            </w:tcBorders>
            <w:vAlign w:val="center"/>
          </w:tcPr>
          <w:p w:rsidR="00634E52" w:rsidRDefault="00634E52">
            <w:pPr>
              <w:jc w:val="center"/>
              <w:rPr>
                <w:rFonts w:cs="Arial"/>
                <w:sz w:val="20"/>
                <w:szCs w:val="20"/>
              </w:rPr>
            </w:pPr>
            <w:r>
              <w:rPr>
                <w:rFonts w:cs="Arial"/>
                <w:sz w:val="20"/>
                <w:szCs w:val="20"/>
              </w:rPr>
              <w:t>83</w:t>
            </w:r>
          </w:p>
        </w:tc>
        <w:tc>
          <w:tcPr>
            <w:tcW w:w="466" w:type="pct"/>
            <w:tcBorders>
              <w:top w:val="nil"/>
              <w:bottom w:val="nil"/>
            </w:tcBorders>
            <w:vAlign w:val="center"/>
          </w:tcPr>
          <w:p w:rsidR="00634E52" w:rsidRDefault="00634E52">
            <w:pPr>
              <w:jc w:val="center"/>
              <w:rPr>
                <w:rFonts w:cs="Arial"/>
                <w:sz w:val="20"/>
                <w:szCs w:val="20"/>
              </w:rPr>
            </w:pPr>
            <w:r>
              <w:rPr>
                <w:rFonts w:cs="Arial"/>
                <w:sz w:val="20"/>
                <w:szCs w:val="20"/>
              </w:rPr>
              <w:t>7.62</w:t>
            </w:r>
          </w:p>
        </w:tc>
        <w:tc>
          <w:tcPr>
            <w:tcW w:w="538" w:type="pct"/>
            <w:tcBorders>
              <w:top w:val="nil"/>
              <w:bottom w:val="nil"/>
            </w:tcBorders>
            <w:vAlign w:val="center"/>
          </w:tcPr>
          <w:p w:rsidR="00634E52" w:rsidRDefault="00634E52">
            <w:pPr>
              <w:jc w:val="center"/>
              <w:rPr>
                <w:rFonts w:cs="Arial"/>
                <w:sz w:val="20"/>
                <w:szCs w:val="20"/>
              </w:rPr>
            </w:pPr>
            <w:r>
              <w:rPr>
                <w:rFonts w:cs="Arial"/>
                <w:sz w:val="20"/>
                <w:szCs w:val="20"/>
              </w:rPr>
              <w:t>88</w:t>
            </w:r>
          </w:p>
        </w:tc>
      </w:tr>
      <w:tr w:rsidR="00634E52" w:rsidRPr="006A7228" w:rsidTr="00634E52">
        <w:trPr>
          <w:cnfStyle w:val="000000010000" w:firstRow="0" w:lastRow="0" w:firstColumn="0" w:lastColumn="0" w:oddVBand="0" w:evenVBand="0" w:oddHBand="0" w:evenHBand="1" w:firstRowFirstColumn="0" w:firstRowLastColumn="0" w:lastRowFirstColumn="0" w:lastRowLastColumn="0"/>
          <w:trHeight w:val="510"/>
        </w:trPr>
        <w:tc>
          <w:tcPr>
            <w:tcW w:w="1060" w:type="pct"/>
            <w:tcBorders>
              <w:top w:val="nil"/>
              <w:bottom w:val="nil"/>
            </w:tcBorders>
            <w:vAlign w:val="center"/>
          </w:tcPr>
          <w:p w:rsidR="00634E52" w:rsidRDefault="00634E52">
            <w:pPr>
              <w:rPr>
                <w:rFonts w:cs="Arial"/>
                <w:sz w:val="16"/>
                <w:szCs w:val="16"/>
              </w:rPr>
            </w:pPr>
            <w:r>
              <w:rPr>
                <w:rFonts w:cs="Arial"/>
                <w:sz w:val="16"/>
                <w:szCs w:val="16"/>
              </w:rPr>
              <w:t>% change from previous week</w:t>
            </w:r>
          </w:p>
        </w:tc>
        <w:tc>
          <w:tcPr>
            <w:tcW w:w="556" w:type="pct"/>
            <w:tcBorders>
              <w:top w:val="nil"/>
              <w:bottom w:val="nil"/>
            </w:tcBorders>
            <w:vAlign w:val="center"/>
          </w:tcPr>
          <w:p w:rsidR="00634E52" w:rsidRDefault="00634E52">
            <w:pPr>
              <w:jc w:val="center"/>
              <w:rPr>
                <w:rFonts w:cs="Arial"/>
                <w:szCs w:val="20"/>
              </w:rPr>
            </w:pPr>
            <w:r>
              <w:rPr>
                <w:rFonts w:cs="Arial"/>
                <w:szCs w:val="20"/>
              </w:rPr>
              <w:t>-8</w:t>
            </w:r>
          </w:p>
        </w:tc>
        <w:tc>
          <w:tcPr>
            <w:tcW w:w="468" w:type="pct"/>
            <w:tcBorders>
              <w:top w:val="nil"/>
              <w:bottom w:val="nil"/>
            </w:tcBorders>
            <w:vAlign w:val="center"/>
          </w:tcPr>
          <w:p w:rsidR="00634E52" w:rsidRDefault="00634E52">
            <w:pPr>
              <w:jc w:val="center"/>
              <w:rPr>
                <w:rFonts w:cs="Arial"/>
                <w:szCs w:val="20"/>
              </w:rPr>
            </w:pPr>
            <w:r>
              <w:rPr>
                <w:rFonts w:cs="Arial"/>
                <w:szCs w:val="20"/>
              </w:rPr>
              <w:t>-5</w:t>
            </w:r>
          </w:p>
        </w:tc>
        <w:tc>
          <w:tcPr>
            <w:tcW w:w="476" w:type="pct"/>
            <w:tcBorders>
              <w:top w:val="nil"/>
              <w:bottom w:val="nil"/>
            </w:tcBorders>
            <w:vAlign w:val="center"/>
          </w:tcPr>
          <w:p w:rsidR="00634E52" w:rsidRDefault="00634E52">
            <w:pPr>
              <w:jc w:val="center"/>
              <w:rPr>
                <w:rFonts w:cs="Arial"/>
                <w:szCs w:val="20"/>
              </w:rPr>
            </w:pPr>
            <w:r>
              <w:rPr>
                <w:rFonts w:cs="Arial"/>
                <w:szCs w:val="20"/>
              </w:rPr>
              <w:t>-18</w:t>
            </w:r>
          </w:p>
        </w:tc>
        <w:tc>
          <w:tcPr>
            <w:tcW w:w="469" w:type="pct"/>
            <w:tcBorders>
              <w:top w:val="nil"/>
              <w:bottom w:val="nil"/>
            </w:tcBorders>
            <w:vAlign w:val="center"/>
          </w:tcPr>
          <w:p w:rsidR="00634E52" w:rsidRDefault="00634E52">
            <w:pPr>
              <w:jc w:val="center"/>
              <w:rPr>
                <w:rFonts w:cs="Arial"/>
                <w:szCs w:val="20"/>
              </w:rPr>
            </w:pPr>
            <w:r>
              <w:rPr>
                <w:rFonts w:cs="Arial"/>
                <w:szCs w:val="20"/>
              </w:rPr>
              <w:t>-11</w:t>
            </w:r>
          </w:p>
        </w:tc>
        <w:tc>
          <w:tcPr>
            <w:tcW w:w="500" w:type="pct"/>
            <w:tcBorders>
              <w:top w:val="nil"/>
              <w:bottom w:val="nil"/>
            </w:tcBorders>
            <w:vAlign w:val="center"/>
          </w:tcPr>
          <w:p w:rsidR="00634E52" w:rsidRDefault="00634E52">
            <w:pPr>
              <w:jc w:val="center"/>
              <w:rPr>
                <w:rFonts w:cs="Arial"/>
                <w:szCs w:val="20"/>
              </w:rPr>
            </w:pPr>
            <w:r>
              <w:rPr>
                <w:rFonts w:cs="Arial"/>
                <w:szCs w:val="20"/>
              </w:rPr>
              <w:t>-3</w:t>
            </w:r>
          </w:p>
        </w:tc>
        <w:tc>
          <w:tcPr>
            <w:tcW w:w="468" w:type="pct"/>
            <w:tcBorders>
              <w:top w:val="nil"/>
              <w:bottom w:val="nil"/>
            </w:tcBorders>
            <w:vAlign w:val="center"/>
          </w:tcPr>
          <w:p w:rsidR="00634E52" w:rsidRDefault="00634E52">
            <w:pPr>
              <w:jc w:val="center"/>
              <w:rPr>
                <w:rFonts w:cs="Arial"/>
                <w:szCs w:val="20"/>
              </w:rPr>
            </w:pPr>
            <w:r>
              <w:rPr>
                <w:rFonts w:cs="Arial"/>
                <w:szCs w:val="20"/>
              </w:rPr>
              <w:t>-4</w:t>
            </w:r>
          </w:p>
        </w:tc>
        <w:tc>
          <w:tcPr>
            <w:tcW w:w="466" w:type="pct"/>
            <w:tcBorders>
              <w:top w:val="nil"/>
              <w:bottom w:val="nil"/>
            </w:tcBorders>
            <w:vAlign w:val="center"/>
          </w:tcPr>
          <w:p w:rsidR="00634E52" w:rsidRDefault="00634E52">
            <w:pPr>
              <w:jc w:val="center"/>
              <w:rPr>
                <w:rFonts w:cs="Arial"/>
                <w:szCs w:val="20"/>
              </w:rPr>
            </w:pPr>
            <w:r>
              <w:rPr>
                <w:rFonts w:cs="Arial"/>
                <w:szCs w:val="20"/>
              </w:rPr>
              <w:t>-2</w:t>
            </w:r>
          </w:p>
        </w:tc>
        <w:tc>
          <w:tcPr>
            <w:tcW w:w="538" w:type="pct"/>
            <w:tcBorders>
              <w:top w:val="nil"/>
              <w:bottom w:val="nil"/>
            </w:tcBorders>
            <w:vAlign w:val="center"/>
          </w:tcPr>
          <w:p w:rsidR="00634E52" w:rsidRDefault="00634E52">
            <w:pPr>
              <w:jc w:val="center"/>
              <w:rPr>
                <w:rFonts w:cs="Arial"/>
                <w:szCs w:val="20"/>
              </w:rPr>
            </w:pPr>
            <w:r>
              <w:rPr>
                <w:rFonts w:cs="Arial"/>
                <w:szCs w:val="20"/>
              </w:rPr>
              <w:t>-3</w:t>
            </w:r>
          </w:p>
        </w:tc>
      </w:tr>
      <w:tr w:rsidR="00634E52" w:rsidRPr="006A7228" w:rsidTr="00634E52">
        <w:trPr>
          <w:trHeight w:val="510"/>
        </w:trPr>
        <w:tc>
          <w:tcPr>
            <w:tcW w:w="1060" w:type="pct"/>
            <w:tcBorders>
              <w:top w:val="nil"/>
              <w:bottom w:val="nil"/>
            </w:tcBorders>
            <w:vAlign w:val="center"/>
          </w:tcPr>
          <w:p w:rsidR="00634E52" w:rsidRDefault="00634E52">
            <w:pPr>
              <w:rPr>
                <w:rFonts w:cs="Arial"/>
                <w:sz w:val="16"/>
                <w:szCs w:val="16"/>
              </w:rPr>
            </w:pPr>
            <w:r>
              <w:rPr>
                <w:rFonts w:cs="Arial"/>
                <w:sz w:val="16"/>
                <w:szCs w:val="16"/>
              </w:rPr>
              <w:t>16-17 financial YTD</w:t>
            </w:r>
          </w:p>
        </w:tc>
        <w:tc>
          <w:tcPr>
            <w:tcW w:w="556" w:type="pct"/>
            <w:tcBorders>
              <w:top w:val="nil"/>
              <w:bottom w:val="nil"/>
            </w:tcBorders>
            <w:vAlign w:val="center"/>
          </w:tcPr>
          <w:p w:rsidR="00634E52" w:rsidRDefault="00634E52">
            <w:pPr>
              <w:jc w:val="center"/>
              <w:rPr>
                <w:rFonts w:cs="Arial"/>
                <w:sz w:val="20"/>
                <w:szCs w:val="20"/>
              </w:rPr>
            </w:pPr>
            <w:r>
              <w:rPr>
                <w:rFonts w:cs="Arial"/>
                <w:sz w:val="20"/>
                <w:szCs w:val="20"/>
              </w:rPr>
              <w:t>8.57</w:t>
            </w:r>
          </w:p>
        </w:tc>
        <w:tc>
          <w:tcPr>
            <w:tcW w:w="468" w:type="pct"/>
            <w:tcBorders>
              <w:top w:val="nil"/>
              <w:bottom w:val="nil"/>
            </w:tcBorders>
            <w:vAlign w:val="center"/>
          </w:tcPr>
          <w:p w:rsidR="00634E52" w:rsidRDefault="00634E52">
            <w:pPr>
              <w:jc w:val="center"/>
              <w:rPr>
                <w:rFonts w:cs="Arial"/>
                <w:sz w:val="20"/>
                <w:szCs w:val="20"/>
              </w:rPr>
            </w:pPr>
            <w:r>
              <w:rPr>
                <w:rFonts w:cs="Arial"/>
                <w:sz w:val="20"/>
                <w:szCs w:val="20"/>
              </w:rPr>
              <w:t>550</w:t>
            </w:r>
          </w:p>
        </w:tc>
        <w:tc>
          <w:tcPr>
            <w:tcW w:w="476" w:type="pct"/>
            <w:tcBorders>
              <w:top w:val="nil"/>
              <w:bottom w:val="nil"/>
            </w:tcBorders>
            <w:vAlign w:val="center"/>
          </w:tcPr>
          <w:p w:rsidR="00634E52" w:rsidRDefault="00634E52">
            <w:pPr>
              <w:jc w:val="center"/>
              <w:rPr>
                <w:rFonts w:cs="Arial"/>
                <w:sz w:val="20"/>
                <w:szCs w:val="20"/>
              </w:rPr>
            </w:pPr>
            <w:r>
              <w:rPr>
                <w:rFonts w:cs="Arial"/>
                <w:sz w:val="20"/>
                <w:szCs w:val="20"/>
              </w:rPr>
              <w:t>8.79</w:t>
            </w:r>
          </w:p>
        </w:tc>
        <w:tc>
          <w:tcPr>
            <w:tcW w:w="469" w:type="pct"/>
            <w:tcBorders>
              <w:top w:val="nil"/>
              <w:bottom w:val="nil"/>
            </w:tcBorders>
            <w:vAlign w:val="center"/>
          </w:tcPr>
          <w:p w:rsidR="00634E52" w:rsidRDefault="00634E52">
            <w:pPr>
              <w:jc w:val="center"/>
              <w:rPr>
                <w:rFonts w:cs="Arial"/>
                <w:sz w:val="20"/>
                <w:szCs w:val="20"/>
              </w:rPr>
            </w:pPr>
            <w:r>
              <w:rPr>
                <w:rFonts w:cs="Arial"/>
                <w:sz w:val="20"/>
                <w:szCs w:val="20"/>
              </w:rPr>
              <w:t>242</w:t>
            </w:r>
          </w:p>
        </w:tc>
        <w:tc>
          <w:tcPr>
            <w:tcW w:w="500" w:type="pct"/>
            <w:tcBorders>
              <w:top w:val="nil"/>
              <w:bottom w:val="nil"/>
            </w:tcBorders>
            <w:vAlign w:val="center"/>
          </w:tcPr>
          <w:p w:rsidR="00634E52" w:rsidRDefault="00634E52">
            <w:pPr>
              <w:jc w:val="center"/>
              <w:rPr>
                <w:rFonts w:cs="Arial"/>
                <w:sz w:val="20"/>
                <w:szCs w:val="20"/>
              </w:rPr>
            </w:pPr>
            <w:r>
              <w:rPr>
                <w:rFonts w:cs="Arial"/>
                <w:sz w:val="20"/>
                <w:szCs w:val="20"/>
              </w:rPr>
              <w:t>8.82</w:t>
            </w:r>
          </w:p>
        </w:tc>
        <w:tc>
          <w:tcPr>
            <w:tcW w:w="468" w:type="pct"/>
            <w:tcBorders>
              <w:top w:val="nil"/>
              <w:bottom w:val="nil"/>
            </w:tcBorders>
            <w:vAlign w:val="center"/>
          </w:tcPr>
          <w:p w:rsidR="00634E52" w:rsidRDefault="00634E52">
            <w:pPr>
              <w:jc w:val="center"/>
              <w:rPr>
                <w:rFonts w:cs="Arial"/>
                <w:sz w:val="20"/>
                <w:szCs w:val="20"/>
              </w:rPr>
            </w:pPr>
            <w:r>
              <w:rPr>
                <w:rFonts w:cs="Arial"/>
                <w:sz w:val="20"/>
                <w:szCs w:val="20"/>
              </w:rPr>
              <w:t>62</w:t>
            </w:r>
          </w:p>
        </w:tc>
        <w:tc>
          <w:tcPr>
            <w:tcW w:w="466" w:type="pct"/>
            <w:tcBorders>
              <w:top w:val="nil"/>
              <w:bottom w:val="nil"/>
            </w:tcBorders>
            <w:vAlign w:val="center"/>
          </w:tcPr>
          <w:p w:rsidR="00634E52" w:rsidRDefault="00634E52">
            <w:pPr>
              <w:jc w:val="center"/>
              <w:rPr>
                <w:rFonts w:cs="Arial"/>
                <w:sz w:val="20"/>
                <w:szCs w:val="20"/>
              </w:rPr>
            </w:pPr>
            <w:r>
              <w:rPr>
                <w:rFonts w:cs="Arial"/>
                <w:sz w:val="20"/>
                <w:szCs w:val="20"/>
              </w:rPr>
              <w:t>8.25</w:t>
            </w:r>
          </w:p>
        </w:tc>
        <w:tc>
          <w:tcPr>
            <w:tcW w:w="538" w:type="pct"/>
            <w:tcBorders>
              <w:top w:val="nil"/>
              <w:bottom w:val="nil"/>
            </w:tcBorders>
            <w:vAlign w:val="center"/>
          </w:tcPr>
          <w:p w:rsidR="00634E52" w:rsidRDefault="00634E52">
            <w:pPr>
              <w:jc w:val="center"/>
              <w:rPr>
                <w:rFonts w:cs="Arial"/>
                <w:sz w:val="20"/>
                <w:szCs w:val="20"/>
              </w:rPr>
            </w:pPr>
            <w:r>
              <w:rPr>
                <w:rFonts w:cs="Arial"/>
                <w:sz w:val="20"/>
                <w:szCs w:val="20"/>
              </w:rPr>
              <w:t>84</w:t>
            </w:r>
          </w:p>
        </w:tc>
      </w:tr>
      <w:tr w:rsidR="00634E52" w:rsidRPr="006A7228" w:rsidTr="00634E52">
        <w:trPr>
          <w:cnfStyle w:val="000000010000" w:firstRow="0" w:lastRow="0" w:firstColumn="0" w:lastColumn="0" w:oddVBand="0" w:evenVBand="0" w:oddHBand="0" w:evenHBand="1" w:firstRowFirstColumn="0" w:firstRowLastColumn="0" w:lastRowFirstColumn="0" w:lastRowLastColumn="0"/>
          <w:trHeight w:val="510"/>
        </w:trPr>
        <w:tc>
          <w:tcPr>
            <w:tcW w:w="1060" w:type="pct"/>
            <w:tcBorders>
              <w:top w:val="nil"/>
              <w:bottom w:val="single" w:sz="4" w:space="0" w:color="auto"/>
            </w:tcBorders>
            <w:vAlign w:val="center"/>
          </w:tcPr>
          <w:p w:rsidR="00634E52" w:rsidRDefault="00634E52">
            <w:pPr>
              <w:rPr>
                <w:rFonts w:cs="Arial"/>
                <w:sz w:val="16"/>
                <w:szCs w:val="16"/>
              </w:rPr>
            </w:pPr>
            <w:r>
              <w:rPr>
                <w:rFonts w:cs="Arial"/>
                <w:sz w:val="16"/>
                <w:szCs w:val="16"/>
              </w:rPr>
              <w:t>% change from previous financial YTD</w:t>
            </w:r>
          </w:p>
        </w:tc>
        <w:tc>
          <w:tcPr>
            <w:tcW w:w="556" w:type="pct"/>
            <w:tcBorders>
              <w:top w:val="nil"/>
              <w:bottom w:val="single" w:sz="4" w:space="0" w:color="auto"/>
            </w:tcBorders>
            <w:vAlign w:val="center"/>
          </w:tcPr>
          <w:p w:rsidR="00634E52" w:rsidRDefault="00634E52">
            <w:pPr>
              <w:jc w:val="center"/>
              <w:rPr>
                <w:rFonts w:cs="Arial"/>
                <w:szCs w:val="20"/>
              </w:rPr>
            </w:pPr>
            <w:r>
              <w:rPr>
                <w:rFonts w:cs="Arial"/>
                <w:szCs w:val="20"/>
              </w:rPr>
              <w:t>83</w:t>
            </w:r>
          </w:p>
        </w:tc>
        <w:tc>
          <w:tcPr>
            <w:tcW w:w="468" w:type="pct"/>
            <w:tcBorders>
              <w:top w:val="nil"/>
              <w:bottom w:val="single" w:sz="4" w:space="0" w:color="auto"/>
            </w:tcBorders>
            <w:vAlign w:val="center"/>
          </w:tcPr>
          <w:p w:rsidR="00634E52" w:rsidRDefault="00634E52">
            <w:pPr>
              <w:jc w:val="center"/>
              <w:rPr>
                <w:rFonts w:cs="Arial"/>
                <w:szCs w:val="20"/>
              </w:rPr>
            </w:pPr>
            <w:r>
              <w:rPr>
                <w:rFonts w:cs="Arial"/>
                <w:szCs w:val="20"/>
              </w:rPr>
              <w:t>1</w:t>
            </w:r>
          </w:p>
        </w:tc>
        <w:tc>
          <w:tcPr>
            <w:tcW w:w="476" w:type="pct"/>
            <w:tcBorders>
              <w:top w:val="nil"/>
              <w:bottom w:val="single" w:sz="4" w:space="0" w:color="auto"/>
            </w:tcBorders>
            <w:vAlign w:val="center"/>
          </w:tcPr>
          <w:p w:rsidR="00634E52" w:rsidRDefault="00634E52">
            <w:pPr>
              <w:jc w:val="center"/>
              <w:rPr>
                <w:rFonts w:cs="Arial"/>
                <w:szCs w:val="20"/>
              </w:rPr>
            </w:pPr>
            <w:r>
              <w:rPr>
                <w:rFonts w:cs="Arial"/>
                <w:szCs w:val="20"/>
              </w:rPr>
              <w:t>82</w:t>
            </w:r>
          </w:p>
        </w:tc>
        <w:tc>
          <w:tcPr>
            <w:tcW w:w="469" w:type="pct"/>
            <w:tcBorders>
              <w:top w:val="nil"/>
              <w:bottom w:val="single" w:sz="4" w:space="0" w:color="auto"/>
            </w:tcBorders>
            <w:vAlign w:val="center"/>
          </w:tcPr>
          <w:p w:rsidR="00634E52" w:rsidRDefault="00634E52">
            <w:pPr>
              <w:jc w:val="center"/>
              <w:rPr>
                <w:rFonts w:cs="Arial"/>
                <w:szCs w:val="20"/>
              </w:rPr>
            </w:pPr>
            <w:r>
              <w:rPr>
                <w:rFonts w:cs="Arial"/>
                <w:szCs w:val="20"/>
              </w:rPr>
              <w:t>2</w:t>
            </w:r>
          </w:p>
        </w:tc>
        <w:tc>
          <w:tcPr>
            <w:tcW w:w="500" w:type="pct"/>
            <w:tcBorders>
              <w:top w:val="nil"/>
              <w:bottom w:val="single" w:sz="4" w:space="0" w:color="auto"/>
            </w:tcBorders>
            <w:vAlign w:val="center"/>
          </w:tcPr>
          <w:p w:rsidR="00634E52" w:rsidRDefault="00634E52">
            <w:pPr>
              <w:jc w:val="center"/>
              <w:rPr>
                <w:rFonts w:cs="Arial"/>
                <w:szCs w:val="20"/>
              </w:rPr>
            </w:pPr>
            <w:r>
              <w:rPr>
                <w:rFonts w:cs="Arial"/>
                <w:szCs w:val="20"/>
              </w:rPr>
              <w:t>59</w:t>
            </w:r>
          </w:p>
        </w:tc>
        <w:tc>
          <w:tcPr>
            <w:tcW w:w="468" w:type="pct"/>
            <w:tcBorders>
              <w:top w:val="nil"/>
              <w:bottom w:val="single" w:sz="4" w:space="0" w:color="auto"/>
            </w:tcBorders>
            <w:vAlign w:val="center"/>
          </w:tcPr>
          <w:p w:rsidR="00634E52" w:rsidRDefault="00634E52">
            <w:pPr>
              <w:jc w:val="center"/>
              <w:rPr>
                <w:rFonts w:cs="Arial"/>
                <w:szCs w:val="20"/>
              </w:rPr>
            </w:pPr>
            <w:r>
              <w:rPr>
                <w:rFonts w:cs="Arial"/>
                <w:szCs w:val="20"/>
              </w:rPr>
              <w:t>3</w:t>
            </w:r>
          </w:p>
        </w:tc>
        <w:tc>
          <w:tcPr>
            <w:tcW w:w="466" w:type="pct"/>
            <w:tcBorders>
              <w:top w:val="nil"/>
              <w:bottom w:val="single" w:sz="4" w:space="0" w:color="auto"/>
            </w:tcBorders>
            <w:vAlign w:val="center"/>
          </w:tcPr>
          <w:p w:rsidR="00634E52" w:rsidRDefault="00634E52">
            <w:pPr>
              <w:jc w:val="center"/>
              <w:rPr>
                <w:rFonts w:cs="Arial"/>
                <w:szCs w:val="20"/>
              </w:rPr>
            </w:pPr>
            <w:r>
              <w:rPr>
                <w:rFonts w:cs="Arial"/>
                <w:szCs w:val="20"/>
              </w:rPr>
              <w:t>84</w:t>
            </w:r>
          </w:p>
        </w:tc>
        <w:tc>
          <w:tcPr>
            <w:tcW w:w="538" w:type="pct"/>
            <w:tcBorders>
              <w:top w:val="nil"/>
              <w:bottom w:val="single" w:sz="4" w:space="0" w:color="auto"/>
            </w:tcBorders>
            <w:vAlign w:val="center"/>
          </w:tcPr>
          <w:p w:rsidR="00634E52" w:rsidRDefault="00634E52">
            <w:pPr>
              <w:jc w:val="center"/>
              <w:rPr>
                <w:rFonts w:cs="Arial"/>
                <w:szCs w:val="20"/>
              </w:rPr>
            </w:pPr>
            <w:r>
              <w:rPr>
                <w:rFonts w:cs="Arial"/>
                <w:szCs w:val="20"/>
              </w:rPr>
              <w:t>1</w:t>
            </w:r>
          </w:p>
        </w:tc>
      </w:tr>
    </w:tbl>
    <w:p w:rsidR="00674600" w:rsidRDefault="00674600" w:rsidP="00674600">
      <w:pPr>
        <w:jc w:val="both"/>
      </w:pPr>
      <w:r>
        <w:lastRenderedPageBreak/>
        <w:t>Figure 2 sets out p</w:t>
      </w:r>
      <w:r w:rsidRPr="00EC137F">
        <w:t xml:space="preserve">rice and demand information is also shown for the voluntary Wallumbilla and Moomba Gas Supply Hubs </w:t>
      </w:r>
      <w:r w:rsidRPr="00EC137F">
        <w:rPr>
          <w:b/>
        </w:rPr>
        <w:t>(GSH)</w:t>
      </w:r>
      <w:r w:rsidRPr="00EC137F">
        <w:t>.</w:t>
      </w:r>
    </w:p>
    <w:p w:rsidR="00674600" w:rsidRDefault="00674600" w:rsidP="00674600">
      <w:pPr>
        <w:pStyle w:val="Caption"/>
        <w:rPr>
          <w:color w:val="2272A3"/>
          <w:szCs w:val="24"/>
        </w:rPr>
      </w:pPr>
      <w:r w:rsidRPr="00BE2075">
        <w:t xml:space="preserve">Figure </w:t>
      </w:r>
      <w:r w:rsidR="00AF3126">
        <w:fldChar w:fldCharType="begin"/>
      </w:r>
      <w:r w:rsidR="00AF3126">
        <w:instrText xml:space="preserve"> SEQ Figure \* ARABIC </w:instrText>
      </w:r>
      <w:r w:rsidR="00AF3126">
        <w:fldChar w:fldCharType="separate"/>
      </w:r>
      <w:r>
        <w:rPr>
          <w:noProof/>
        </w:rPr>
        <w:t>2</w:t>
      </w:r>
      <w:r w:rsidR="00AF3126">
        <w:rPr>
          <w:noProof/>
        </w:rPr>
        <w:fldChar w:fldCharType="end"/>
      </w:r>
      <w:r w:rsidRPr="00BE2075">
        <w:t xml:space="preserve">: </w:t>
      </w:r>
      <w:r w:rsidRPr="006E7E57">
        <w:rPr>
          <w:color w:val="2272A3"/>
          <w:szCs w:val="24"/>
        </w:rPr>
        <w:t>Average prices</w:t>
      </w:r>
      <w:r>
        <w:rPr>
          <w:color w:val="2272A3"/>
          <w:szCs w:val="24"/>
        </w:rPr>
        <w:t xml:space="preserve"> and </w:t>
      </w:r>
      <w:r w:rsidR="0060313E">
        <w:rPr>
          <w:color w:val="2272A3"/>
          <w:szCs w:val="24"/>
        </w:rPr>
        <w:t xml:space="preserve">total </w:t>
      </w:r>
      <w:r w:rsidR="009904FF">
        <w:rPr>
          <w:color w:val="2272A3"/>
          <w:szCs w:val="24"/>
        </w:rPr>
        <w:t>quantity</w:t>
      </w:r>
      <w:r w:rsidRPr="006E7E57">
        <w:rPr>
          <w:color w:val="2272A3"/>
          <w:szCs w:val="24"/>
        </w:rPr>
        <w:t xml:space="preserve"> – </w:t>
      </w:r>
      <w:r w:rsidR="008D7D94">
        <w:rPr>
          <w:color w:val="2272A3"/>
          <w:szCs w:val="24"/>
        </w:rPr>
        <w:t>Gas supply hub</w:t>
      </w:r>
      <w:r w:rsidRPr="006E7E57">
        <w:rPr>
          <w:color w:val="2272A3"/>
          <w:szCs w:val="24"/>
        </w:rPr>
        <w:t xml:space="preserve"> ($/GJ</w:t>
      </w:r>
      <w:r w:rsidRPr="00EC137F">
        <w:rPr>
          <w:color w:val="2272A3"/>
          <w:szCs w:val="24"/>
        </w:rPr>
        <w:t>, TJ)</w:t>
      </w:r>
      <w:r w:rsidRPr="00EC137F">
        <w:rPr>
          <w:color w:val="2272A3"/>
          <w:szCs w:val="24"/>
          <w:vertAlign w:val="superscript"/>
        </w:rPr>
        <w:footnoteReference w:id="2"/>
      </w:r>
    </w:p>
    <w:tbl>
      <w:tblPr>
        <w:tblStyle w:val="AERTable-Text"/>
        <w:tblW w:w="5000" w:type="pct"/>
        <w:tblLayout w:type="fixed"/>
        <w:tblLook w:val="04A0" w:firstRow="1" w:lastRow="0" w:firstColumn="1" w:lastColumn="0" w:noHBand="0" w:noVBand="1"/>
      </w:tblPr>
      <w:tblGrid>
        <w:gridCol w:w="1891"/>
        <w:gridCol w:w="1336"/>
        <w:gridCol w:w="1174"/>
        <w:gridCol w:w="1237"/>
        <w:gridCol w:w="1253"/>
        <w:gridCol w:w="1155"/>
        <w:gridCol w:w="1196"/>
      </w:tblGrid>
      <w:tr w:rsidR="008D7D94" w:rsidRPr="002861A9" w:rsidTr="000758A3">
        <w:trPr>
          <w:cnfStyle w:val="100000000000" w:firstRow="1" w:lastRow="0" w:firstColumn="0" w:lastColumn="0" w:oddVBand="0" w:evenVBand="0" w:oddHBand="0" w:evenHBand="0" w:firstRowFirstColumn="0" w:firstRowLastColumn="0" w:lastRowFirstColumn="0" w:lastRowLastColumn="0"/>
          <w:trHeight w:val="404"/>
          <w:tblHeader/>
        </w:trPr>
        <w:tc>
          <w:tcPr>
            <w:tcW w:w="1023" w:type="pct"/>
            <w:tcBorders>
              <w:top w:val="nil"/>
              <w:left w:val="nil"/>
              <w:bottom w:val="nil"/>
              <w:right w:val="nil"/>
            </w:tcBorders>
            <w:vAlign w:val="center"/>
          </w:tcPr>
          <w:p w:rsidR="008D7D94" w:rsidRPr="00E16EDC" w:rsidRDefault="008D7D94" w:rsidP="000758A3">
            <w:pPr>
              <w:pStyle w:val="TableHeading"/>
              <w:spacing w:before="120" w:after="0" w:line="240" w:lineRule="auto"/>
              <w:jc w:val="center"/>
              <w:rPr>
                <w:rFonts w:cs="Arial"/>
                <w:sz w:val="20"/>
                <w:szCs w:val="20"/>
              </w:rPr>
            </w:pPr>
          </w:p>
        </w:tc>
        <w:tc>
          <w:tcPr>
            <w:tcW w:w="1358" w:type="pct"/>
            <w:gridSpan w:val="2"/>
            <w:tcBorders>
              <w:top w:val="nil"/>
              <w:left w:val="nil"/>
              <w:bottom w:val="nil"/>
              <w:right w:val="nil"/>
            </w:tcBorders>
            <w:vAlign w:val="center"/>
          </w:tcPr>
          <w:p w:rsidR="008D7D94" w:rsidRPr="00E95390" w:rsidRDefault="008D7D94" w:rsidP="000758A3">
            <w:pPr>
              <w:spacing w:before="120" w:line="240" w:lineRule="auto"/>
              <w:jc w:val="center"/>
              <w:rPr>
                <w:rFonts w:eastAsia="Times New Roman" w:cs="Arial"/>
                <w:b w:val="0"/>
                <w:bCs/>
                <w:color w:val="FFFFFF"/>
                <w:sz w:val="20"/>
                <w:szCs w:val="20"/>
                <w:lang w:eastAsia="en-AU"/>
              </w:rPr>
            </w:pPr>
            <w:r>
              <w:rPr>
                <w:rFonts w:eastAsia="Times New Roman" w:cs="Arial"/>
                <w:bCs/>
                <w:color w:val="FFFFFF"/>
                <w:sz w:val="20"/>
                <w:szCs w:val="20"/>
                <w:lang w:eastAsia="en-AU"/>
              </w:rPr>
              <w:t>Moomba</w:t>
            </w:r>
          </w:p>
        </w:tc>
        <w:tc>
          <w:tcPr>
            <w:tcW w:w="1347" w:type="pct"/>
            <w:gridSpan w:val="2"/>
            <w:tcBorders>
              <w:top w:val="nil"/>
              <w:left w:val="nil"/>
              <w:bottom w:val="nil"/>
              <w:right w:val="nil"/>
            </w:tcBorders>
            <w:vAlign w:val="center"/>
          </w:tcPr>
          <w:p w:rsidR="008D7D94" w:rsidRPr="00E95390" w:rsidRDefault="008D7D94" w:rsidP="000758A3">
            <w:pPr>
              <w:spacing w:before="120" w:line="240" w:lineRule="auto"/>
              <w:jc w:val="center"/>
              <w:rPr>
                <w:rFonts w:eastAsia="Times New Roman" w:cs="Arial"/>
                <w:b w:val="0"/>
                <w:bCs/>
                <w:color w:val="FFFFFF"/>
                <w:sz w:val="20"/>
                <w:szCs w:val="20"/>
                <w:lang w:eastAsia="en-AU"/>
              </w:rPr>
            </w:pPr>
            <w:r>
              <w:rPr>
                <w:rFonts w:eastAsia="Times New Roman" w:cs="Arial"/>
                <w:bCs/>
                <w:color w:val="FFFFFF"/>
                <w:sz w:val="20"/>
                <w:szCs w:val="20"/>
                <w:lang w:eastAsia="en-AU"/>
              </w:rPr>
              <w:t>South East Queensland</w:t>
            </w:r>
          </w:p>
        </w:tc>
        <w:tc>
          <w:tcPr>
            <w:tcW w:w="1272" w:type="pct"/>
            <w:gridSpan w:val="2"/>
            <w:tcBorders>
              <w:top w:val="nil"/>
              <w:left w:val="nil"/>
              <w:bottom w:val="nil"/>
              <w:right w:val="nil"/>
            </w:tcBorders>
            <w:vAlign w:val="center"/>
          </w:tcPr>
          <w:p w:rsidR="008D7D94" w:rsidRPr="00E95390" w:rsidRDefault="008D7D94" w:rsidP="000758A3">
            <w:pPr>
              <w:spacing w:before="120" w:line="240" w:lineRule="auto"/>
              <w:jc w:val="center"/>
              <w:rPr>
                <w:rFonts w:eastAsia="Times New Roman" w:cs="Arial"/>
                <w:b w:val="0"/>
                <w:bCs/>
                <w:color w:val="FFFFFF"/>
                <w:sz w:val="20"/>
                <w:szCs w:val="20"/>
                <w:lang w:eastAsia="en-AU"/>
              </w:rPr>
            </w:pPr>
            <w:r>
              <w:rPr>
                <w:rFonts w:eastAsia="Times New Roman" w:cs="Arial"/>
                <w:bCs/>
                <w:color w:val="FFFFFF"/>
                <w:sz w:val="20"/>
                <w:szCs w:val="20"/>
                <w:lang w:eastAsia="en-AU"/>
              </w:rPr>
              <w:t>Wallumbilla</w:t>
            </w:r>
          </w:p>
        </w:tc>
      </w:tr>
      <w:tr w:rsidR="008D7D94" w:rsidRPr="002861A9" w:rsidTr="000758A3">
        <w:trPr>
          <w:cnfStyle w:val="100000000000" w:firstRow="1" w:lastRow="0" w:firstColumn="0" w:lastColumn="0" w:oddVBand="0" w:evenVBand="0" w:oddHBand="0" w:evenHBand="0" w:firstRowFirstColumn="0" w:firstRowLastColumn="0" w:lastRowFirstColumn="0" w:lastRowLastColumn="0"/>
          <w:tblHeader/>
        </w:trPr>
        <w:tc>
          <w:tcPr>
            <w:tcW w:w="1023" w:type="pct"/>
            <w:tcBorders>
              <w:top w:val="nil"/>
              <w:left w:val="nil"/>
              <w:bottom w:val="nil"/>
              <w:right w:val="nil"/>
            </w:tcBorders>
            <w:vAlign w:val="center"/>
            <w:hideMark/>
          </w:tcPr>
          <w:p w:rsidR="008D7D94" w:rsidRPr="00A226E9" w:rsidRDefault="008D7D94" w:rsidP="000758A3">
            <w:pPr>
              <w:spacing w:before="0" w:line="240" w:lineRule="auto"/>
              <w:rPr>
                <w:rFonts w:cs="Arial"/>
                <w:sz w:val="20"/>
                <w:szCs w:val="20"/>
                <w:highlight w:val="yellow"/>
              </w:rPr>
            </w:pPr>
          </w:p>
        </w:tc>
        <w:tc>
          <w:tcPr>
            <w:tcW w:w="723" w:type="pct"/>
            <w:tcBorders>
              <w:top w:val="nil"/>
              <w:left w:val="nil"/>
              <w:bottom w:val="nil"/>
              <w:right w:val="nil"/>
            </w:tcBorders>
            <w:vAlign w:val="center"/>
            <w:hideMark/>
          </w:tcPr>
          <w:p w:rsidR="008D7D94" w:rsidRPr="00E16EDC" w:rsidRDefault="008D7D94" w:rsidP="000758A3">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635" w:type="pct"/>
            <w:tcBorders>
              <w:top w:val="nil"/>
              <w:left w:val="nil"/>
              <w:bottom w:val="nil"/>
              <w:right w:val="nil"/>
            </w:tcBorders>
            <w:vAlign w:val="center"/>
            <w:hideMark/>
          </w:tcPr>
          <w:p w:rsidR="008D7D94" w:rsidRPr="00E16EDC" w:rsidRDefault="009904FF" w:rsidP="000758A3">
            <w:pPr>
              <w:spacing w:before="120" w:line="240" w:lineRule="auto"/>
              <w:ind w:left="-113" w:right="-113"/>
              <w:jc w:val="center"/>
              <w:rPr>
                <w:rFonts w:cs="Arial"/>
                <w:bCs/>
                <w:color w:val="FFFFFF"/>
                <w:sz w:val="14"/>
                <w:szCs w:val="20"/>
              </w:rPr>
            </w:pPr>
            <w:r>
              <w:rPr>
                <w:rFonts w:cs="Arial"/>
                <w:bCs/>
                <w:color w:val="FFFFFF"/>
                <w:sz w:val="14"/>
                <w:szCs w:val="20"/>
              </w:rPr>
              <w:t>Quantity</w:t>
            </w:r>
          </w:p>
        </w:tc>
        <w:tc>
          <w:tcPr>
            <w:tcW w:w="669" w:type="pct"/>
            <w:tcBorders>
              <w:top w:val="nil"/>
              <w:left w:val="nil"/>
              <w:bottom w:val="nil"/>
              <w:right w:val="nil"/>
            </w:tcBorders>
            <w:vAlign w:val="center"/>
            <w:hideMark/>
          </w:tcPr>
          <w:p w:rsidR="008D7D94" w:rsidRPr="00E16EDC" w:rsidRDefault="008D7D94" w:rsidP="000758A3">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678" w:type="pct"/>
            <w:tcBorders>
              <w:top w:val="nil"/>
              <w:left w:val="nil"/>
              <w:bottom w:val="nil"/>
              <w:right w:val="nil"/>
            </w:tcBorders>
            <w:vAlign w:val="center"/>
          </w:tcPr>
          <w:p w:rsidR="008D7D94" w:rsidRPr="00E16EDC" w:rsidRDefault="009904FF" w:rsidP="000758A3">
            <w:pPr>
              <w:spacing w:before="120" w:line="240" w:lineRule="auto"/>
              <w:ind w:left="-113" w:right="-113"/>
              <w:jc w:val="center"/>
              <w:rPr>
                <w:rFonts w:cs="Arial"/>
                <w:bCs/>
                <w:color w:val="FFFFFF"/>
                <w:sz w:val="14"/>
                <w:szCs w:val="20"/>
              </w:rPr>
            </w:pPr>
            <w:r>
              <w:rPr>
                <w:rFonts w:cs="Arial"/>
                <w:bCs/>
                <w:color w:val="FFFFFF"/>
                <w:sz w:val="14"/>
                <w:szCs w:val="20"/>
              </w:rPr>
              <w:t>Quantity</w:t>
            </w:r>
          </w:p>
        </w:tc>
        <w:tc>
          <w:tcPr>
            <w:tcW w:w="625" w:type="pct"/>
            <w:tcBorders>
              <w:top w:val="nil"/>
              <w:left w:val="nil"/>
              <w:bottom w:val="nil"/>
              <w:right w:val="nil"/>
            </w:tcBorders>
            <w:vAlign w:val="center"/>
          </w:tcPr>
          <w:p w:rsidR="008D7D94" w:rsidRPr="00E16EDC" w:rsidRDefault="008D7D94" w:rsidP="000758A3">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647" w:type="pct"/>
            <w:tcBorders>
              <w:top w:val="nil"/>
              <w:left w:val="nil"/>
              <w:bottom w:val="nil"/>
              <w:right w:val="nil"/>
            </w:tcBorders>
            <w:vAlign w:val="center"/>
          </w:tcPr>
          <w:p w:rsidR="008D7D94" w:rsidRPr="00E16EDC" w:rsidRDefault="009904FF" w:rsidP="000758A3">
            <w:pPr>
              <w:spacing w:before="120" w:line="240" w:lineRule="auto"/>
              <w:ind w:left="-113" w:right="-113"/>
              <w:jc w:val="center"/>
              <w:rPr>
                <w:rFonts w:cs="Arial"/>
                <w:bCs/>
                <w:color w:val="FFFFFF"/>
                <w:sz w:val="14"/>
                <w:szCs w:val="20"/>
              </w:rPr>
            </w:pPr>
            <w:r>
              <w:rPr>
                <w:rFonts w:cs="Arial"/>
                <w:bCs/>
                <w:color w:val="FFFFFF"/>
                <w:sz w:val="14"/>
                <w:szCs w:val="20"/>
              </w:rPr>
              <w:t>Quantity</w:t>
            </w:r>
          </w:p>
        </w:tc>
      </w:tr>
      <w:tr w:rsidR="00634E52" w:rsidRPr="006A7228" w:rsidTr="000758A3">
        <w:trPr>
          <w:trHeight w:val="510"/>
        </w:trPr>
        <w:tc>
          <w:tcPr>
            <w:tcW w:w="1023" w:type="pct"/>
            <w:tcBorders>
              <w:top w:val="nil"/>
              <w:bottom w:val="nil"/>
            </w:tcBorders>
            <w:vAlign w:val="center"/>
          </w:tcPr>
          <w:p w:rsidR="00634E52" w:rsidRDefault="00634E52">
            <w:pPr>
              <w:rPr>
                <w:rFonts w:cs="Arial"/>
                <w:sz w:val="16"/>
                <w:szCs w:val="16"/>
              </w:rPr>
            </w:pPr>
            <w:r>
              <w:rPr>
                <w:rFonts w:cs="Arial"/>
                <w:sz w:val="16"/>
                <w:szCs w:val="16"/>
              </w:rPr>
              <w:t>11 Jun - 17 Jun 2017</w:t>
            </w:r>
          </w:p>
        </w:tc>
        <w:tc>
          <w:tcPr>
            <w:tcW w:w="723" w:type="pct"/>
            <w:tcBorders>
              <w:top w:val="nil"/>
              <w:bottom w:val="nil"/>
            </w:tcBorders>
            <w:vAlign w:val="center"/>
          </w:tcPr>
          <w:p w:rsidR="00634E52" w:rsidRDefault="00634E52">
            <w:pPr>
              <w:jc w:val="center"/>
              <w:rPr>
                <w:rFonts w:cs="Arial"/>
                <w:sz w:val="20"/>
                <w:szCs w:val="20"/>
              </w:rPr>
            </w:pPr>
            <w:r>
              <w:rPr>
                <w:rFonts w:cs="Arial"/>
                <w:sz w:val="20"/>
                <w:szCs w:val="20"/>
              </w:rPr>
              <w:t>-</w:t>
            </w:r>
          </w:p>
        </w:tc>
        <w:tc>
          <w:tcPr>
            <w:tcW w:w="635" w:type="pct"/>
            <w:tcBorders>
              <w:top w:val="nil"/>
              <w:bottom w:val="nil"/>
            </w:tcBorders>
            <w:vAlign w:val="center"/>
          </w:tcPr>
          <w:p w:rsidR="00634E52" w:rsidRDefault="00634E52">
            <w:pPr>
              <w:jc w:val="center"/>
              <w:rPr>
                <w:rFonts w:cs="Arial"/>
                <w:sz w:val="20"/>
                <w:szCs w:val="20"/>
              </w:rPr>
            </w:pPr>
            <w:r>
              <w:rPr>
                <w:rFonts w:cs="Arial"/>
                <w:sz w:val="20"/>
                <w:szCs w:val="20"/>
              </w:rPr>
              <w:t>-</w:t>
            </w:r>
          </w:p>
        </w:tc>
        <w:tc>
          <w:tcPr>
            <w:tcW w:w="669" w:type="pct"/>
            <w:tcBorders>
              <w:top w:val="nil"/>
              <w:bottom w:val="nil"/>
            </w:tcBorders>
            <w:vAlign w:val="center"/>
          </w:tcPr>
          <w:p w:rsidR="00634E52" w:rsidRDefault="00634E52">
            <w:pPr>
              <w:jc w:val="center"/>
              <w:rPr>
                <w:rFonts w:cs="Arial"/>
                <w:sz w:val="20"/>
                <w:szCs w:val="20"/>
              </w:rPr>
            </w:pPr>
            <w:r>
              <w:rPr>
                <w:rFonts w:cs="Arial"/>
                <w:sz w:val="20"/>
                <w:szCs w:val="20"/>
              </w:rPr>
              <w:t>7.40</w:t>
            </w:r>
          </w:p>
        </w:tc>
        <w:tc>
          <w:tcPr>
            <w:tcW w:w="678" w:type="pct"/>
            <w:tcBorders>
              <w:top w:val="nil"/>
              <w:bottom w:val="nil"/>
            </w:tcBorders>
            <w:vAlign w:val="center"/>
          </w:tcPr>
          <w:p w:rsidR="00634E52" w:rsidRDefault="00634E52">
            <w:pPr>
              <w:jc w:val="center"/>
              <w:rPr>
                <w:rFonts w:cs="Arial"/>
                <w:sz w:val="20"/>
                <w:szCs w:val="20"/>
              </w:rPr>
            </w:pPr>
            <w:r>
              <w:rPr>
                <w:rFonts w:cs="Arial"/>
                <w:sz w:val="20"/>
                <w:szCs w:val="20"/>
              </w:rPr>
              <w:t>154</w:t>
            </w:r>
          </w:p>
        </w:tc>
        <w:tc>
          <w:tcPr>
            <w:tcW w:w="625" w:type="pct"/>
            <w:tcBorders>
              <w:top w:val="nil"/>
              <w:bottom w:val="nil"/>
            </w:tcBorders>
            <w:vAlign w:val="center"/>
          </w:tcPr>
          <w:p w:rsidR="00634E52" w:rsidRDefault="00634E52">
            <w:pPr>
              <w:jc w:val="center"/>
              <w:rPr>
                <w:rFonts w:cs="Arial"/>
                <w:sz w:val="20"/>
                <w:szCs w:val="20"/>
              </w:rPr>
            </w:pPr>
            <w:r>
              <w:rPr>
                <w:rFonts w:cs="Arial"/>
                <w:sz w:val="20"/>
                <w:szCs w:val="20"/>
              </w:rPr>
              <w:t>7.92</w:t>
            </w:r>
          </w:p>
        </w:tc>
        <w:tc>
          <w:tcPr>
            <w:tcW w:w="647" w:type="pct"/>
            <w:tcBorders>
              <w:top w:val="nil"/>
              <w:bottom w:val="nil"/>
            </w:tcBorders>
            <w:vAlign w:val="center"/>
          </w:tcPr>
          <w:p w:rsidR="00634E52" w:rsidRDefault="00634E52">
            <w:pPr>
              <w:jc w:val="center"/>
              <w:rPr>
                <w:rFonts w:cs="Arial"/>
                <w:sz w:val="20"/>
                <w:szCs w:val="20"/>
              </w:rPr>
            </w:pPr>
            <w:r>
              <w:rPr>
                <w:rFonts w:cs="Arial"/>
                <w:sz w:val="20"/>
                <w:szCs w:val="20"/>
              </w:rPr>
              <w:t>184</w:t>
            </w:r>
          </w:p>
        </w:tc>
      </w:tr>
      <w:tr w:rsidR="00634E52" w:rsidRPr="006A7228" w:rsidTr="000758A3">
        <w:trPr>
          <w:cnfStyle w:val="000000010000" w:firstRow="0" w:lastRow="0" w:firstColumn="0" w:lastColumn="0" w:oddVBand="0" w:evenVBand="0" w:oddHBand="0" w:evenHBand="1" w:firstRowFirstColumn="0" w:firstRowLastColumn="0" w:lastRowFirstColumn="0" w:lastRowLastColumn="0"/>
          <w:trHeight w:val="510"/>
        </w:trPr>
        <w:tc>
          <w:tcPr>
            <w:tcW w:w="1023" w:type="pct"/>
            <w:tcBorders>
              <w:top w:val="nil"/>
              <w:bottom w:val="nil"/>
            </w:tcBorders>
            <w:vAlign w:val="center"/>
          </w:tcPr>
          <w:p w:rsidR="00634E52" w:rsidRDefault="00634E52">
            <w:pPr>
              <w:rPr>
                <w:rFonts w:cs="Arial"/>
                <w:sz w:val="16"/>
                <w:szCs w:val="16"/>
              </w:rPr>
            </w:pPr>
            <w:r>
              <w:rPr>
                <w:rFonts w:cs="Arial"/>
                <w:sz w:val="16"/>
                <w:szCs w:val="16"/>
              </w:rPr>
              <w:t>% change from previous week</w:t>
            </w:r>
          </w:p>
        </w:tc>
        <w:tc>
          <w:tcPr>
            <w:tcW w:w="723" w:type="pct"/>
            <w:tcBorders>
              <w:top w:val="nil"/>
              <w:bottom w:val="nil"/>
            </w:tcBorders>
            <w:vAlign w:val="center"/>
          </w:tcPr>
          <w:p w:rsidR="00634E52" w:rsidRDefault="00634E52">
            <w:pPr>
              <w:jc w:val="center"/>
              <w:rPr>
                <w:rFonts w:cs="Arial"/>
                <w:szCs w:val="20"/>
              </w:rPr>
            </w:pPr>
            <w:r>
              <w:rPr>
                <w:rFonts w:cs="Arial"/>
                <w:szCs w:val="20"/>
              </w:rPr>
              <w:t>-</w:t>
            </w:r>
          </w:p>
        </w:tc>
        <w:tc>
          <w:tcPr>
            <w:tcW w:w="635" w:type="pct"/>
            <w:tcBorders>
              <w:top w:val="nil"/>
              <w:bottom w:val="nil"/>
            </w:tcBorders>
            <w:vAlign w:val="center"/>
          </w:tcPr>
          <w:p w:rsidR="00634E52" w:rsidRDefault="00634E52">
            <w:pPr>
              <w:jc w:val="center"/>
              <w:rPr>
                <w:rFonts w:cs="Arial"/>
                <w:szCs w:val="20"/>
              </w:rPr>
            </w:pPr>
            <w:r>
              <w:rPr>
                <w:rFonts w:cs="Arial"/>
                <w:szCs w:val="20"/>
              </w:rPr>
              <w:t>-</w:t>
            </w:r>
          </w:p>
        </w:tc>
        <w:tc>
          <w:tcPr>
            <w:tcW w:w="669" w:type="pct"/>
            <w:tcBorders>
              <w:top w:val="nil"/>
              <w:bottom w:val="nil"/>
            </w:tcBorders>
            <w:vAlign w:val="center"/>
          </w:tcPr>
          <w:p w:rsidR="00634E52" w:rsidRDefault="00634E52">
            <w:pPr>
              <w:jc w:val="center"/>
              <w:rPr>
                <w:rFonts w:cs="Arial"/>
                <w:szCs w:val="20"/>
              </w:rPr>
            </w:pPr>
            <w:r>
              <w:rPr>
                <w:rFonts w:cs="Arial"/>
                <w:szCs w:val="20"/>
              </w:rPr>
              <w:t>0</w:t>
            </w:r>
          </w:p>
        </w:tc>
        <w:tc>
          <w:tcPr>
            <w:tcW w:w="678" w:type="pct"/>
            <w:tcBorders>
              <w:top w:val="nil"/>
              <w:bottom w:val="nil"/>
            </w:tcBorders>
            <w:vAlign w:val="center"/>
          </w:tcPr>
          <w:p w:rsidR="00634E52" w:rsidRDefault="00634E52">
            <w:pPr>
              <w:jc w:val="center"/>
              <w:rPr>
                <w:rFonts w:cs="Arial"/>
                <w:szCs w:val="20"/>
              </w:rPr>
            </w:pPr>
            <w:r>
              <w:rPr>
                <w:rFonts w:cs="Arial"/>
                <w:szCs w:val="20"/>
              </w:rPr>
              <w:t>88</w:t>
            </w:r>
          </w:p>
        </w:tc>
        <w:tc>
          <w:tcPr>
            <w:tcW w:w="625" w:type="pct"/>
            <w:tcBorders>
              <w:top w:val="nil"/>
              <w:bottom w:val="nil"/>
            </w:tcBorders>
            <w:vAlign w:val="center"/>
          </w:tcPr>
          <w:p w:rsidR="00634E52" w:rsidRDefault="00634E52">
            <w:pPr>
              <w:jc w:val="center"/>
              <w:rPr>
                <w:rFonts w:cs="Arial"/>
                <w:szCs w:val="20"/>
              </w:rPr>
            </w:pPr>
            <w:r>
              <w:rPr>
                <w:rFonts w:cs="Arial"/>
                <w:szCs w:val="20"/>
              </w:rPr>
              <w:t>-1</w:t>
            </w:r>
          </w:p>
        </w:tc>
        <w:tc>
          <w:tcPr>
            <w:tcW w:w="647" w:type="pct"/>
            <w:tcBorders>
              <w:top w:val="nil"/>
              <w:bottom w:val="nil"/>
            </w:tcBorders>
            <w:vAlign w:val="center"/>
          </w:tcPr>
          <w:p w:rsidR="00634E52" w:rsidRDefault="00634E52">
            <w:pPr>
              <w:jc w:val="center"/>
              <w:rPr>
                <w:rFonts w:cs="Arial"/>
                <w:szCs w:val="20"/>
              </w:rPr>
            </w:pPr>
            <w:r>
              <w:rPr>
                <w:rFonts w:cs="Arial"/>
                <w:szCs w:val="20"/>
              </w:rPr>
              <w:t>-41</w:t>
            </w:r>
          </w:p>
        </w:tc>
      </w:tr>
      <w:tr w:rsidR="00634E52" w:rsidRPr="006A7228" w:rsidTr="000758A3">
        <w:trPr>
          <w:trHeight w:val="510"/>
        </w:trPr>
        <w:tc>
          <w:tcPr>
            <w:tcW w:w="1023" w:type="pct"/>
            <w:tcBorders>
              <w:top w:val="nil"/>
              <w:bottom w:val="nil"/>
            </w:tcBorders>
            <w:vAlign w:val="center"/>
          </w:tcPr>
          <w:p w:rsidR="00634E52" w:rsidRDefault="00634E52">
            <w:pPr>
              <w:rPr>
                <w:rFonts w:cs="Arial"/>
                <w:sz w:val="16"/>
                <w:szCs w:val="16"/>
              </w:rPr>
            </w:pPr>
            <w:r>
              <w:rPr>
                <w:rFonts w:cs="Arial"/>
                <w:sz w:val="16"/>
                <w:szCs w:val="16"/>
              </w:rPr>
              <w:t>16-17 financial YTD</w:t>
            </w:r>
          </w:p>
        </w:tc>
        <w:tc>
          <w:tcPr>
            <w:tcW w:w="723" w:type="pct"/>
            <w:tcBorders>
              <w:top w:val="nil"/>
              <w:bottom w:val="nil"/>
            </w:tcBorders>
            <w:vAlign w:val="center"/>
          </w:tcPr>
          <w:p w:rsidR="00634E52" w:rsidRDefault="00634E52">
            <w:pPr>
              <w:jc w:val="center"/>
              <w:rPr>
                <w:rFonts w:cs="Arial"/>
                <w:sz w:val="20"/>
                <w:szCs w:val="20"/>
              </w:rPr>
            </w:pPr>
            <w:r>
              <w:rPr>
                <w:rFonts w:cs="Arial"/>
                <w:sz w:val="20"/>
                <w:szCs w:val="20"/>
              </w:rPr>
              <w:t>-</w:t>
            </w:r>
          </w:p>
        </w:tc>
        <w:tc>
          <w:tcPr>
            <w:tcW w:w="635" w:type="pct"/>
            <w:tcBorders>
              <w:top w:val="nil"/>
              <w:bottom w:val="nil"/>
            </w:tcBorders>
            <w:vAlign w:val="center"/>
          </w:tcPr>
          <w:p w:rsidR="00634E52" w:rsidRDefault="00634E52">
            <w:pPr>
              <w:jc w:val="center"/>
              <w:rPr>
                <w:rFonts w:cs="Arial"/>
                <w:sz w:val="20"/>
                <w:szCs w:val="20"/>
              </w:rPr>
            </w:pPr>
            <w:r>
              <w:rPr>
                <w:rFonts w:cs="Arial"/>
                <w:sz w:val="20"/>
                <w:szCs w:val="20"/>
              </w:rPr>
              <w:t>-</w:t>
            </w:r>
          </w:p>
        </w:tc>
        <w:tc>
          <w:tcPr>
            <w:tcW w:w="669" w:type="pct"/>
            <w:tcBorders>
              <w:top w:val="nil"/>
              <w:bottom w:val="nil"/>
            </w:tcBorders>
            <w:vAlign w:val="center"/>
          </w:tcPr>
          <w:p w:rsidR="00634E52" w:rsidRDefault="00634E52">
            <w:pPr>
              <w:jc w:val="center"/>
              <w:rPr>
                <w:rFonts w:cs="Arial"/>
                <w:sz w:val="20"/>
                <w:szCs w:val="20"/>
              </w:rPr>
            </w:pPr>
            <w:r>
              <w:rPr>
                <w:rFonts w:cs="Arial"/>
                <w:sz w:val="20"/>
                <w:szCs w:val="20"/>
              </w:rPr>
              <w:t>7.34</w:t>
            </w:r>
          </w:p>
        </w:tc>
        <w:tc>
          <w:tcPr>
            <w:tcW w:w="678" w:type="pct"/>
            <w:tcBorders>
              <w:top w:val="nil"/>
              <w:bottom w:val="nil"/>
            </w:tcBorders>
            <w:vAlign w:val="center"/>
          </w:tcPr>
          <w:p w:rsidR="00634E52" w:rsidRDefault="00634E52">
            <w:pPr>
              <w:jc w:val="center"/>
              <w:rPr>
                <w:rFonts w:cs="Arial"/>
                <w:sz w:val="20"/>
                <w:szCs w:val="20"/>
              </w:rPr>
            </w:pPr>
            <w:r>
              <w:rPr>
                <w:rFonts w:cs="Arial"/>
                <w:sz w:val="20"/>
                <w:szCs w:val="20"/>
              </w:rPr>
              <w:t>821</w:t>
            </w:r>
          </w:p>
        </w:tc>
        <w:tc>
          <w:tcPr>
            <w:tcW w:w="625" w:type="pct"/>
            <w:tcBorders>
              <w:top w:val="nil"/>
              <w:bottom w:val="nil"/>
            </w:tcBorders>
            <w:vAlign w:val="center"/>
          </w:tcPr>
          <w:p w:rsidR="00634E52" w:rsidRDefault="00634E52">
            <w:pPr>
              <w:jc w:val="center"/>
              <w:rPr>
                <w:rFonts w:cs="Arial"/>
                <w:sz w:val="20"/>
                <w:szCs w:val="20"/>
              </w:rPr>
            </w:pPr>
            <w:r>
              <w:rPr>
                <w:rFonts w:cs="Arial"/>
                <w:sz w:val="20"/>
                <w:szCs w:val="20"/>
              </w:rPr>
              <w:t>8.31</w:t>
            </w:r>
          </w:p>
        </w:tc>
        <w:tc>
          <w:tcPr>
            <w:tcW w:w="647" w:type="pct"/>
            <w:tcBorders>
              <w:top w:val="nil"/>
              <w:bottom w:val="nil"/>
            </w:tcBorders>
            <w:vAlign w:val="center"/>
          </w:tcPr>
          <w:p w:rsidR="00634E52" w:rsidRDefault="00634E52">
            <w:pPr>
              <w:jc w:val="center"/>
              <w:rPr>
                <w:rFonts w:cs="Arial"/>
                <w:sz w:val="20"/>
                <w:szCs w:val="20"/>
              </w:rPr>
            </w:pPr>
            <w:r>
              <w:rPr>
                <w:rFonts w:cs="Arial"/>
                <w:sz w:val="20"/>
                <w:szCs w:val="20"/>
              </w:rPr>
              <w:t>7623</w:t>
            </w:r>
          </w:p>
        </w:tc>
      </w:tr>
      <w:tr w:rsidR="00634E52" w:rsidRPr="006A7228" w:rsidTr="000758A3">
        <w:trPr>
          <w:cnfStyle w:val="000000010000" w:firstRow="0" w:lastRow="0" w:firstColumn="0" w:lastColumn="0" w:oddVBand="0" w:evenVBand="0" w:oddHBand="0" w:evenHBand="1" w:firstRowFirstColumn="0" w:firstRowLastColumn="0" w:lastRowFirstColumn="0" w:lastRowLastColumn="0"/>
          <w:trHeight w:val="510"/>
        </w:trPr>
        <w:tc>
          <w:tcPr>
            <w:tcW w:w="1023" w:type="pct"/>
            <w:tcBorders>
              <w:top w:val="nil"/>
              <w:bottom w:val="single" w:sz="4" w:space="0" w:color="auto"/>
            </w:tcBorders>
            <w:vAlign w:val="center"/>
          </w:tcPr>
          <w:p w:rsidR="00634E52" w:rsidRDefault="00634E52">
            <w:pPr>
              <w:rPr>
                <w:rFonts w:cs="Arial"/>
                <w:sz w:val="16"/>
                <w:szCs w:val="16"/>
              </w:rPr>
            </w:pPr>
            <w:r>
              <w:rPr>
                <w:rFonts w:cs="Arial"/>
                <w:sz w:val="16"/>
                <w:szCs w:val="16"/>
              </w:rPr>
              <w:t>% change from previous financial YTD</w:t>
            </w:r>
          </w:p>
        </w:tc>
        <w:tc>
          <w:tcPr>
            <w:tcW w:w="723" w:type="pct"/>
            <w:tcBorders>
              <w:top w:val="nil"/>
              <w:bottom w:val="single" w:sz="4" w:space="0" w:color="auto"/>
            </w:tcBorders>
            <w:vAlign w:val="center"/>
          </w:tcPr>
          <w:p w:rsidR="00634E52" w:rsidRDefault="00634E52">
            <w:pPr>
              <w:jc w:val="center"/>
              <w:rPr>
                <w:rFonts w:cs="Arial"/>
                <w:szCs w:val="20"/>
              </w:rPr>
            </w:pPr>
            <w:r>
              <w:rPr>
                <w:rFonts w:cs="Arial"/>
                <w:szCs w:val="20"/>
              </w:rPr>
              <w:t>-</w:t>
            </w:r>
          </w:p>
        </w:tc>
        <w:tc>
          <w:tcPr>
            <w:tcW w:w="635" w:type="pct"/>
            <w:tcBorders>
              <w:top w:val="nil"/>
              <w:bottom w:val="single" w:sz="4" w:space="0" w:color="auto"/>
            </w:tcBorders>
            <w:vAlign w:val="center"/>
          </w:tcPr>
          <w:p w:rsidR="00634E52" w:rsidRDefault="00634E52">
            <w:pPr>
              <w:jc w:val="center"/>
              <w:rPr>
                <w:rFonts w:cs="Arial"/>
                <w:szCs w:val="20"/>
              </w:rPr>
            </w:pPr>
            <w:r>
              <w:rPr>
                <w:rFonts w:cs="Arial"/>
                <w:szCs w:val="20"/>
              </w:rPr>
              <w:t>-</w:t>
            </w:r>
          </w:p>
        </w:tc>
        <w:tc>
          <w:tcPr>
            <w:tcW w:w="669" w:type="pct"/>
            <w:tcBorders>
              <w:top w:val="nil"/>
              <w:bottom w:val="single" w:sz="4" w:space="0" w:color="auto"/>
            </w:tcBorders>
            <w:vAlign w:val="center"/>
          </w:tcPr>
          <w:p w:rsidR="00634E52" w:rsidRDefault="00634E52">
            <w:pPr>
              <w:jc w:val="center"/>
              <w:rPr>
                <w:rFonts w:cs="Arial"/>
                <w:szCs w:val="20"/>
              </w:rPr>
            </w:pPr>
            <w:r>
              <w:rPr>
                <w:rFonts w:cs="Arial"/>
                <w:szCs w:val="20"/>
              </w:rPr>
              <w:t>-</w:t>
            </w:r>
          </w:p>
        </w:tc>
        <w:tc>
          <w:tcPr>
            <w:tcW w:w="678" w:type="pct"/>
            <w:tcBorders>
              <w:top w:val="nil"/>
              <w:bottom w:val="single" w:sz="4" w:space="0" w:color="auto"/>
            </w:tcBorders>
            <w:vAlign w:val="center"/>
          </w:tcPr>
          <w:p w:rsidR="00634E52" w:rsidRDefault="00634E52">
            <w:pPr>
              <w:jc w:val="center"/>
              <w:rPr>
                <w:rFonts w:cs="Arial"/>
                <w:szCs w:val="20"/>
              </w:rPr>
            </w:pPr>
            <w:r>
              <w:rPr>
                <w:rFonts w:cs="Arial"/>
                <w:szCs w:val="20"/>
              </w:rPr>
              <w:t>-</w:t>
            </w:r>
          </w:p>
        </w:tc>
        <w:tc>
          <w:tcPr>
            <w:tcW w:w="625" w:type="pct"/>
            <w:tcBorders>
              <w:top w:val="nil"/>
              <w:bottom w:val="single" w:sz="4" w:space="0" w:color="auto"/>
            </w:tcBorders>
            <w:vAlign w:val="center"/>
          </w:tcPr>
          <w:p w:rsidR="00634E52" w:rsidRDefault="00634E52">
            <w:pPr>
              <w:jc w:val="center"/>
              <w:rPr>
                <w:rFonts w:cs="Arial"/>
                <w:szCs w:val="20"/>
              </w:rPr>
            </w:pPr>
            <w:r>
              <w:rPr>
                <w:rFonts w:cs="Arial"/>
                <w:szCs w:val="20"/>
              </w:rPr>
              <w:t>102</w:t>
            </w:r>
          </w:p>
        </w:tc>
        <w:tc>
          <w:tcPr>
            <w:tcW w:w="647" w:type="pct"/>
            <w:tcBorders>
              <w:top w:val="nil"/>
              <w:bottom w:val="single" w:sz="4" w:space="0" w:color="auto"/>
            </w:tcBorders>
            <w:vAlign w:val="center"/>
          </w:tcPr>
          <w:p w:rsidR="00634E52" w:rsidRDefault="00634E52">
            <w:pPr>
              <w:jc w:val="center"/>
              <w:rPr>
                <w:rFonts w:cs="Arial"/>
                <w:szCs w:val="20"/>
              </w:rPr>
            </w:pPr>
            <w:r>
              <w:rPr>
                <w:rFonts w:cs="Arial"/>
                <w:szCs w:val="20"/>
              </w:rPr>
              <w:t>5</w:t>
            </w:r>
          </w:p>
        </w:tc>
      </w:tr>
    </w:tbl>
    <w:p w:rsidR="001521CB" w:rsidRPr="008D4DAB" w:rsidRDefault="00674600" w:rsidP="00D352AB">
      <w:pPr>
        <w:pStyle w:val="AERbodytext"/>
        <w:keepNext/>
        <w:spacing w:before="200"/>
      </w:pPr>
      <w:r w:rsidRPr="00EC137F">
        <w:t>Figure</w:t>
      </w:r>
      <w:r>
        <w:t> 3</w:t>
      </w:r>
      <w:r w:rsidRPr="00EC137F">
        <w:t xml:space="preserve"> </w:t>
      </w:r>
      <w:r w:rsidR="001521CB" w:rsidRPr="00EC137F">
        <w:t>illustrates the daily prices in each gas market</w:t>
      </w:r>
      <w:r w:rsidR="00580E72" w:rsidRPr="00EC137F">
        <w:t>, as defined in figure</w:t>
      </w:r>
      <w:r>
        <w:t>s</w:t>
      </w:r>
      <w:r w:rsidR="00580E72" w:rsidRPr="00EC137F">
        <w:t> 1</w:t>
      </w:r>
      <w:r>
        <w:t xml:space="preserve"> and 2</w:t>
      </w:r>
      <w:r w:rsidR="001521CB" w:rsidRPr="00EC137F">
        <w:t>.</w:t>
      </w:r>
    </w:p>
    <w:p w:rsidR="001521CB" w:rsidRPr="001521CB" w:rsidRDefault="001521CB" w:rsidP="001521CB">
      <w:pPr>
        <w:pStyle w:val="Caption"/>
      </w:pPr>
      <w:r w:rsidRPr="001521CB">
        <w:t xml:space="preserve">Figure </w:t>
      </w:r>
      <w:r w:rsidR="00AF3126">
        <w:fldChar w:fldCharType="begin"/>
      </w:r>
      <w:r w:rsidR="00AF3126">
        <w:instrText xml:space="preserve"> SEQ Figure \* ARABIC </w:instrText>
      </w:r>
      <w:r w:rsidR="00AF3126">
        <w:fldChar w:fldCharType="separate"/>
      </w:r>
      <w:r w:rsidR="00674600">
        <w:rPr>
          <w:noProof/>
        </w:rPr>
        <w:t>3</w:t>
      </w:r>
      <w:r w:rsidR="00AF3126">
        <w:rPr>
          <w:noProof/>
        </w:rPr>
        <w:fldChar w:fldCharType="end"/>
      </w:r>
      <w:r w:rsidRPr="001521CB">
        <w:t xml:space="preserve">: </w:t>
      </w:r>
      <w:r w:rsidRPr="001521CB">
        <w:rPr>
          <w:color w:val="2272A3"/>
          <w:szCs w:val="24"/>
        </w:rPr>
        <w:t>Daily gas market prices</w:t>
      </w:r>
      <w:r w:rsidR="00A84149">
        <w:rPr>
          <w:color w:val="2272A3"/>
          <w:szCs w:val="24"/>
        </w:rPr>
        <w:t xml:space="preserve"> ($/GJ)</w:t>
      </w:r>
    </w:p>
    <w:p w:rsidR="001521CB" w:rsidRDefault="00634E52" w:rsidP="001521CB">
      <w:bookmarkStart w:id="6" w:name="_GoBack"/>
      <w:r w:rsidRPr="00634E52">
        <w:rPr>
          <w:noProof/>
          <w:lang w:eastAsia="en-AU"/>
        </w:rPr>
        <w:drawing>
          <wp:inline distT="0" distB="0" distL="0" distR="0" wp14:anchorId="78E4FB07" wp14:editId="037F3BD3">
            <wp:extent cx="5731510" cy="2107462"/>
            <wp:effectExtent l="0" t="0" r="2540" b="7620"/>
            <wp:docPr id="2" name="Picture 2" descr="Figure 3 shows the daily price of gas in the mandatory gas markets and voluntary gas supply hubs (GSH). The weighted average daily imbalance price applies for Victoria. The prices shown for the GSH in Wallumbilla and Moomba are volume weighted average prices for all commodity products traded on each day for each hub. The price shown for South East Queensland is the volume weighted average price for all commodity products traded on each day for that specific product location." title="Daily gas market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2107462"/>
                    </a:xfrm>
                    <a:prstGeom prst="rect">
                      <a:avLst/>
                    </a:prstGeom>
                    <a:noFill/>
                    <a:ln>
                      <a:noFill/>
                    </a:ln>
                  </pic:spPr>
                </pic:pic>
              </a:graphicData>
            </a:graphic>
          </wp:inline>
        </w:drawing>
      </w:r>
      <w:bookmarkEnd w:id="6"/>
    </w:p>
    <w:p w:rsidR="001521CB" w:rsidRPr="008D4DAB" w:rsidRDefault="00674600" w:rsidP="00F26128">
      <w:pPr>
        <w:pStyle w:val="AERbodytext"/>
      </w:pPr>
      <w:r>
        <w:t>Figure 4</w:t>
      </w:r>
      <w:r w:rsidR="001521CB" w:rsidRPr="00EC137F">
        <w:t xml:space="preserve"> compares average ancillary market payments </w:t>
      </w:r>
      <w:r w:rsidR="006621AB" w:rsidRPr="00EC137F">
        <w:t xml:space="preserve">(VGM) </w:t>
      </w:r>
      <w:r w:rsidR="001521CB" w:rsidRPr="00EC137F">
        <w:t xml:space="preserve">and </w:t>
      </w:r>
      <w:r w:rsidR="006621AB" w:rsidRPr="00EC137F">
        <w:t xml:space="preserve">balancing gas service payments (STTM) </w:t>
      </w:r>
      <w:r w:rsidR="001521CB" w:rsidRPr="00EC137F">
        <w:t>against historical averages.</w:t>
      </w:r>
    </w:p>
    <w:p w:rsidR="001521CB" w:rsidRPr="001521CB" w:rsidRDefault="001521CB" w:rsidP="001521CB">
      <w:pPr>
        <w:pStyle w:val="Caption"/>
      </w:pPr>
      <w:r w:rsidRPr="001521CB">
        <w:t xml:space="preserve">Figure </w:t>
      </w:r>
      <w:r w:rsidR="00AF3126">
        <w:fldChar w:fldCharType="begin"/>
      </w:r>
      <w:r w:rsidR="00AF3126">
        <w:instrText xml:space="preserve"> SEQ Figure \* ARABIC </w:instrText>
      </w:r>
      <w:r w:rsidR="00AF3126">
        <w:fldChar w:fldCharType="separate"/>
      </w:r>
      <w:r w:rsidR="00674600">
        <w:rPr>
          <w:noProof/>
        </w:rPr>
        <w:t>4</w:t>
      </w:r>
      <w:r w:rsidR="00AF3126">
        <w:rPr>
          <w:noProof/>
        </w:rPr>
        <w:fldChar w:fldCharType="end"/>
      </w:r>
      <w:r w:rsidRPr="001521CB">
        <w:t xml:space="preserve">: </w:t>
      </w:r>
      <w:r w:rsidR="00E95390">
        <w:rPr>
          <w:color w:val="2272A3"/>
          <w:szCs w:val="24"/>
        </w:rPr>
        <w:t xml:space="preserve">Average ancillary </w:t>
      </w:r>
      <w:r w:rsidR="00E7180D">
        <w:rPr>
          <w:color w:val="2272A3"/>
          <w:szCs w:val="24"/>
        </w:rPr>
        <w:t>payments</w:t>
      </w:r>
      <w:r w:rsidR="0092084D">
        <w:rPr>
          <w:color w:val="2272A3"/>
          <w:szCs w:val="24"/>
        </w:rPr>
        <w:t xml:space="preserve"> ($000)</w:t>
      </w:r>
    </w:p>
    <w:tbl>
      <w:tblPr>
        <w:tblStyle w:val="AERTable-Text"/>
        <w:tblW w:w="5000" w:type="pct"/>
        <w:tblLook w:val="04A0" w:firstRow="1" w:lastRow="0" w:firstColumn="1" w:lastColumn="0" w:noHBand="0" w:noVBand="1"/>
      </w:tblPr>
      <w:tblGrid>
        <w:gridCol w:w="2930"/>
        <w:gridCol w:w="1835"/>
        <w:gridCol w:w="1401"/>
        <w:gridCol w:w="1536"/>
        <w:gridCol w:w="1540"/>
      </w:tblGrid>
      <w:tr w:rsidR="00534DD9" w:rsidRPr="00405CDE" w:rsidTr="00534DD9">
        <w:trPr>
          <w:cnfStyle w:val="100000000000" w:firstRow="1" w:lastRow="0" w:firstColumn="0" w:lastColumn="0" w:oddVBand="0" w:evenVBand="0" w:oddHBand="0" w:evenHBand="0" w:firstRowFirstColumn="0" w:firstRowLastColumn="0" w:lastRowFirstColumn="0" w:lastRowLastColumn="0"/>
          <w:tblHeader/>
        </w:trPr>
        <w:tc>
          <w:tcPr>
            <w:tcW w:w="1585" w:type="pct"/>
            <w:tcBorders>
              <w:bottom w:val="nil"/>
            </w:tcBorders>
            <w:vAlign w:val="center"/>
            <w:hideMark/>
          </w:tcPr>
          <w:p w:rsidR="00534DD9" w:rsidRPr="00DC24BF" w:rsidRDefault="001521CB" w:rsidP="00534DD9">
            <w:pPr>
              <w:pStyle w:val="TableHeading"/>
              <w:spacing w:before="120" w:after="120" w:line="240" w:lineRule="auto"/>
              <w:jc w:val="center"/>
              <w:rPr>
                <w:rFonts w:cs="Arial"/>
                <w:sz w:val="20"/>
                <w:szCs w:val="20"/>
              </w:rPr>
            </w:pPr>
            <w:r w:rsidRPr="00D329E0">
              <w:t xml:space="preserve"> </w:t>
            </w:r>
          </w:p>
        </w:tc>
        <w:tc>
          <w:tcPr>
            <w:tcW w:w="993" w:type="pct"/>
            <w:tcBorders>
              <w:bottom w:val="nil"/>
            </w:tcBorders>
            <w:vAlign w:val="center"/>
            <w:hideMark/>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Victoria                                   </w:t>
            </w:r>
            <w:r w:rsidRPr="00534DD9">
              <w:rPr>
                <w:rFonts w:eastAsia="Times New Roman" w:cs="Arial"/>
                <w:b w:val="0"/>
                <w:color w:val="FFFFFF"/>
                <w:sz w:val="16"/>
                <w:szCs w:val="16"/>
                <w:lang w:eastAsia="en-AU"/>
              </w:rPr>
              <w:t>Ancillary Payments</w:t>
            </w:r>
            <w:r>
              <w:rPr>
                <w:rFonts w:eastAsia="Times New Roman" w:cs="Arial"/>
                <w:b w:val="0"/>
                <w:color w:val="FFFFFF"/>
                <w:sz w:val="16"/>
                <w:szCs w:val="16"/>
                <w:lang w:eastAsia="en-AU"/>
              </w:rPr>
              <w:t>*</w:t>
            </w:r>
          </w:p>
        </w:tc>
        <w:tc>
          <w:tcPr>
            <w:tcW w:w="758"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Sydney                                    </w:t>
            </w:r>
            <w:r w:rsidRPr="00534DD9">
              <w:rPr>
                <w:rFonts w:eastAsia="Times New Roman" w:cs="Arial"/>
                <w:b w:val="0"/>
                <w:color w:val="FFFFFF"/>
                <w:sz w:val="16"/>
                <w:szCs w:val="16"/>
                <w:lang w:eastAsia="en-AU"/>
              </w:rPr>
              <w:t>MOS</w:t>
            </w:r>
          </w:p>
        </w:tc>
        <w:tc>
          <w:tcPr>
            <w:tcW w:w="831"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Adelaide                                    </w:t>
            </w:r>
            <w:r w:rsidRPr="00534DD9">
              <w:rPr>
                <w:rFonts w:eastAsia="Times New Roman" w:cs="Arial"/>
                <w:b w:val="0"/>
                <w:color w:val="FFFFFF"/>
                <w:sz w:val="16"/>
                <w:szCs w:val="16"/>
                <w:lang w:eastAsia="en-AU"/>
              </w:rPr>
              <w:t>MOS</w:t>
            </w:r>
          </w:p>
        </w:tc>
        <w:tc>
          <w:tcPr>
            <w:tcW w:w="833"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Brisbane                                    </w:t>
            </w:r>
            <w:r w:rsidRPr="00534DD9">
              <w:rPr>
                <w:rFonts w:eastAsia="Times New Roman" w:cs="Arial"/>
                <w:b w:val="0"/>
                <w:color w:val="FFFFFF"/>
                <w:sz w:val="16"/>
                <w:szCs w:val="16"/>
                <w:lang w:eastAsia="en-AU"/>
              </w:rPr>
              <w:t>MOS</w:t>
            </w:r>
          </w:p>
        </w:tc>
      </w:tr>
      <w:tr w:rsidR="00634E52" w:rsidRPr="00405CDE" w:rsidTr="00534DD9">
        <w:trPr>
          <w:trHeight w:val="510"/>
        </w:trPr>
        <w:tc>
          <w:tcPr>
            <w:tcW w:w="1585" w:type="pct"/>
            <w:tcBorders>
              <w:top w:val="nil"/>
              <w:bottom w:val="nil"/>
            </w:tcBorders>
            <w:vAlign w:val="center"/>
          </w:tcPr>
          <w:p w:rsidR="00634E52" w:rsidRDefault="00634E52">
            <w:pPr>
              <w:rPr>
                <w:rFonts w:cs="Arial"/>
                <w:sz w:val="16"/>
                <w:szCs w:val="16"/>
              </w:rPr>
            </w:pPr>
            <w:r>
              <w:rPr>
                <w:rFonts w:cs="Arial"/>
                <w:sz w:val="16"/>
                <w:szCs w:val="16"/>
              </w:rPr>
              <w:t>11 Jun - 17 Jun 2017</w:t>
            </w:r>
          </w:p>
        </w:tc>
        <w:tc>
          <w:tcPr>
            <w:tcW w:w="993" w:type="pct"/>
            <w:tcBorders>
              <w:top w:val="nil"/>
              <w:bottom w:val="nil"/>
            </w:tcBorders>
            <w:vAlign w:val="center"/>
          </w:tcPr>
          <w:p w:rsidR="00634E52" w:rsidRDefault="00634E52">
            <w:pPr>
              <w:jc w:val="center"/>
              <w:rPr>
                <w:rFonts w:cs="Arial"/>
                <w:sz w:val="20"/>
                <w:szCs w:val="20"/>
              </w:rPr>
            </w:pPr>
            <w:r>
              <w:rPr>
                <w:rFonts w:cs="Arial"/>
                <w:sz w:val="20"/>
                <w:szCs w:val="20"/>
              </w:rPr>
              <w:t>-</w:t>
            </w:r>
          </w:p>
        </w:tc>
        <w:tc>
          <w:tcPr>
            <w:tcW w:w="758" w:type="pct"/>
            <w:tcBorders>
              <w:top w:val="nil"/>
              <w:bottom w:val="nil"/>
            </w:tcBorders>
            <w:vAlign w:val="center"/>
          </w:tcPr>
          <w:p w:rsidR="00634E52" w:rsidRDefault="00634E52">
            <w:pPr>
              <w:jc w:val="center"/>
              <w:rPr>
                <w:rFonts w:cs="Arial"/>
                <w:sz w:val="20"/>
                <w:szCs w:val="20"/>
              </w:rPr>
            </w:pPr>
            <w:r>
              <w:rPr>
                <w:rFonts w:cs="Arial"/>
                <w:sz w:val="20"/>
                <w:szCs w:val="20"/>
              </w:rPr>
              <w:t>54.31</w:t>
            </w:r>
          </w:p>
        </w:tc>
        <w:tc>
          <w:tcPr>
            <w:tcW w:w="831" w:type="pct"/>
            <w:tcBorders>
              <w:top w:val="nil"/>
              <w:bottom w:val="nil"/>
            </w:tcBorders>
            <w:vAlign w:val="center"/>
          </w:tcPr>
          <w:p w:rsidR="00634E52" w:rsidRDefault="00634E52">
            <w:pPr>
              <w:jc w:val="center"/>
              <w:rPr>
                <w:rFonts w:cs="Arial"/>
                <w:sz w:val="20"/>
                <w:szCs w:val="20"/>
              </w:rPr>
            </w:pPr>
            <w:r>
              <w:rPr>
                <w:rFonts w:cs="Arial"/>
                <w:sz w:val="20"/>
                <w:szCs w:val="20"/>
              </w:rPr>
              <w:t>9.24</w:t>
            </w:r>
          </w:p>
        </w:tc>
        <w:tc>
          <w:tcPr>
            <w:tcW w:w="833" w:type="pct"/>
            <w:tcBorders>
              <w:top w:val="nil"/>
              <w:bottom w:val="nil"/>
            </w:tcBorders>
            <w:vAlign w:val="center"/>
          </w:tcPr>
          <w:p w:rsidR="00634E52" w:rsidRDefault="00634E52">
            <w:pPr>
              <w:jc w:val="center"/>
              <w:rPr>
                <w:rFonts w:cs="Arial"/>
                <w:sz w:val="20"/>
                <w:szCs w:val="20"/>
              </w:rPr>
            </w:pPr>
            <w:r>
              <w:rPr>
                <w:rFonts w:cs="Arial"/>
                <w:sz w:val="20"/>
                <w:szCs w:val="20"/>
              </w:rPr>
              <w:t>1.79</w:t>
            </w:r>
          </w:p>
        </w:tc>
      </w:tr>
      <w:tr w:rsidR="00634E52" w:rsidRPr="00405CDE" w:rsidTr="00534DD9">
        <w:trPr>
          <w:cnfStyle w:val="000000010000" w:firstRow="0" w:lastRow="0" w:firstColumn="0" w:lastColumn="0" w:oddVBand="0" w:evenVBand="0" w:oddHBand="0" w:evenHBand="1" w:firstRowFirstColumn="0" w:firstRowLastColumn="0" w:lastRowFirstColumn="0" w:lastRowLastColumn="0"/>
          <w:trHeight w:val="510"/>
        </w:trPr>
        <w:tc>
          <w:tcPr>
            <w:tcW w:w="1585" w:type="pct"/>
            <w:tcBorders>
              <w:top w:val="nil"/>
              <w:bottom w:val="nil"/>
            </w:tcBorders>
            <w:vAlign w:val="center"/>
          </w:tcPr>
          <w:p w:rsidR="00634E52" w:rsidRDefault="00634E52">
            <w:pPr>
              <w:rPr>
                <w:rFonts w:cs="Arial"/>
                <w:sz w:val="16"/>
                <w:szCs w:val="16"/>
              </w:rPr>
            </w:pPr>
            <w:r>
              <w:rPr>
                <w:rFonts w:cs="Arial"/>
                <w:sz w:val="16"/>
                <w:szCs w:val="16"/>
              </w:rPr>
              <w:t>% change from previous week</w:t>
            </w:r>
          </w:p>
        </w:tc>
        <w:tc>
          <w:tcPr>
            <w:tcW w:w="993" w:type="pct"/>
            <w:tcBorders>
              <w:top w:val="nil"/>
              <w:bottom w:val="nil"/>
            </w:tcBorders>
            <w:vAlign w:val="center"/>
          </w:tcPr>
          <w:p w:rsidR="00634E52" w:rsidRDefault="00634E52">
            <w:pPr>
              <w:jc w:val="center"/>
              <w:rPr>
                <w:rFonts w:cs="Arial"/>
                <w:szCs w:val="20"/>
              </w:rPr>
            </w:pPr>
            <w:r>
              <w:rPr>
                <w:rFonts w:cs="Arial"/>
                <w:szCs w:val="20"/>
              </w:rPr>
              <w:t>-</w:t>
            </w:r>
          </w:p>
        </w:tc>
        <w:tc>
          <w:tcPr>
            <w:tcW w:w="758" w:type="pct"/>
            <w:tcBorders>
              <w:top w:val="nil"/>
              <w:bottom w:val="nil"/>
            </w:tcBorders>
            <w:vAlign w:val="center"/>
          </w:tcPr>
          <w:p w:rsidR="00634E52" w:rsidRDefault="00634E52">
            <w:pPr>
              <w:jc w:val="center"/>
              <w:rPr>
                <w:rFonts w:cs="Arial"/>
                <w:szCs w:val="20"/>
              </w:rPr>
            </w:pPr>
            <w:r>
              <w:rPr>
                <w:rFonts w:cs="Arial"/>
                <w:szCs w:val="20"/>
              </w:rPr>
              <w:t>-7</w:t>
            </w:r>
          </w:p>
        </w:tc>
        <w:tc>
          <w:tcPr>
            <w:tcW w:w="831" w:type="pct"/>
            <w:tcBorders>
              <w:top w:val="nil"/>
              <w:bottom w:val="nil"/>
            </w:tcBorders>
            <w:vAlign w:val="center"/>
          </w:tcPr>
          <w:p w:rsidR="00634E52" w:rsidRDefault="00634E52">
            <w:pPr>
              <w:jc w:val="center"/>
              <w:rPr>
                <w:rFonts w:cs="Arial"/>
                <w:szCs w:val="20"/>
              </w:rPr>
            </w:pPr>
            <w:r>
              <w:rPr>
                <w:rFonts w:cs="Arial"/>
                <w:szCs w:val="20"/>
              </w:rPr>
              <w:t>29</w:t>
            </w:r>
          </w:p>
        </w:tc>
        <w:tc>
          <w:tcPr>
            <w:tcW w:w="833" w:type="pct"/>
            <w:tcBorders>
              <w:top w:val="nil"/>
              <w:bottom w:val="nil"/>
            </w:tcBorders>
            <w:vAlign w:val="center"/>
          </w:tcPr>
          <w:p w:rsidR="00634E52" w:rsidRDefault="00634E52">
            <w:pPr>
              <w:jc w:val="center"/>
              <w:rPr>
                <w:rFonts w:cs="Arial"/>
                <w:szCs w:val="20"/>
              </w:rPr>
            </w:pPr>
            <w:r>
              <w:rPr>
                <w:rFonts w:cs="Arial"/>
                <w:szCs w:val="20"/>
              </w:rPr>
              <w:t>-30</w:t>
            </w:r>
          </w:p>
        </w:tc>
      </w:tr>
      <w:tr w:rsidR="00634E52" w:rsidRPr="00405CDE" w:rsidTr="00534DD9">
        <w:trPr>
          <w:trHeight w:val="510"/>
        </w:trPr>
        <w:tc>
          <w:tcPr>
            <w:tcW w:w="1585" w:type="pct"/>
            <w:tcBorders>
              <w:top w:val="nil"/>
              <w:bottom w:val="nil"/>
            </w:tcBorders>
            <w:vAlign w:val="center"/>
          </w:tcPr>
          <w:p w:rsidR="00634E52" w:rsidRDefault="00634E52">
            <w:pPr>
              <w:rPr>
                <w:rFonts w:cs="Arial"/>
                <w:sz w:val="16"/>
                <w:szCs w:val="16"/>
              </w:rPr>
            </w:pPr>
            <w:r>
              <w:rPr>
                <w:rFonts w:cs="Arial"/>
                <w:sz w:val="16"/>
                <w:szCs w:val="16"/>
              </w:rPr>
              <w:t>16-17 financial YTD</w:t>
            </w:r>
          </w:p>
        </w:tc>
        <w:tc>
          <w:tcPr>
            <w:tcW w:w="993" w:type="pct"/>
            <w:tcBorders>
              <w:top w:val="nil"/>
              <w:bottom w:val="nil"/>
            </w:tcBorders>
            <w:vAlign w:val="center"/>
          </w:tcPr>
          <w:p w:rsidR="00634E52" w:rsidRDefault="00634E52">
            <w:pPr>
              <w:jc w:val="center"/>
              <w:rPr>
                <w:rFonts w:cs="Arial"/>
                <w:sz w:val="20"/>
                <w:szCs w:val="20"/>
              </w:rPr>
            </w:pPr>
            <w:r>
              <w:rPr>
                <w:rFonts w:cs="Arial"/>
                <w:sz w:val="20"/>
                <w:szCs w:val="20"/>
              </w:rPr>
              <w:t> </w:t>
            </w:r>
          </w:p>
        </w:tc>
        <w:tc>
          <w:tcPr>
            <w:tcW w:w="758" w:type="pct"/>
            <w:tcBorders>
              <w:top w:val="nil"/>
              <w:bottom w:val="nil"/>
            </w:tcBorders>
            <w:vAlign w:val="center"/>
          </w:tcPr>
          <w:p w:rsidR="00634E52" w:rsidRDefault="00634E52">
            <w:pPr>
              <w:jc w:val="center"/>
              <w:rPr>
                <w:rFonts w:cs="Arial"/>
                <w:sz w:val="20"/>
                <w:szCs w:val="20"/>
              </w:rPr>
            </w:pPr>
            <w:r>
              <w:rPr>
                <w:rFonts w:cs="Arial"/>
                <w:sz w:val="20"/>
                <w:szCs w:val="20"/>
              </w:rPr>
              <w:t>50.33</w:t>
            </w:r>
          </w:p>
        </w:tc>
        <w:tc>
          <w:tcPr>
            <w:tcW w:w="831" w:type="pct"/>
            <w:tcBorders>
              <w:top w:val="nil"/>
              <w:bottom w:val="nil"/>
            </w:tcBorders>
            <w:vAlign w:val="center"/>
          </w:tcPr>
          <w:p w:rsidR="00634E52" w:rsidRDefault="00634E52">
            <w:pPr>
              <w:jc w:val="center"/>
              <w:rPr>
                <w:rFonts w:cs="Arial"/>
                <w:sz w:val="20"/>
                <w:szCs w:val="20"/>
              </w:rPr>
            </w:pPr>
            <w:r>
              <w:rPr>
                <w:rFonts w:cs="Arial"/>
                <w:sz w:val="20"/>
                <w:szCs w:val="20"/>
              </w:rPr>
              <w:t>17.76</w:t>
            </w:r>
          </w:p>
        </w:tc>
        <w:tc>
          <w:tcPr>
            <w:tcW w:w="833" w:type="pct"/>
            <w:tcBorders>
              <w:top w:val="nil"/>
              <w:bottom w:val="nil"/>
            </w:tcBorders>
            <w:vAlign w:val="center"/>
          </w:tcPr>
          <w:p w:rsidR="00634E52" w:rsidRDefault="00634E52">
            <w:pPr>
              <w:jc w:val="center"/>
              <w:rPr>
                <w:rFonts w:cs="Arial"/>
                <w:sz w:val="20"/>
                <w:szCs w:val="20"/>
              </w:rPr>
            </w:pPr>
            <w:r>
              <w:rPr>
                <w:rFonts w:cs="Arial"/>
                <w:sz w:val="20"/>
                <w:szCs w:val="20"/>
              </w:rPr>
              <w:t>1.68</w:t>
            </w:r>
          </w:p>
        </w:tc>
      </w:tr>
      <w:tr w:rsidR="00634E52" w:rsidRPr="00405CDE" w:rsidTr="00534DD9">
        <w:trPr>
          <w:cnfStyle w:val="000000010000" w:firstRow="0" w:lastRow="0" w:firstColumn="0" w:lastColumn="0" w:oddVBand="0" w:evenVBand="0" w:oddHBand="0" w:evenHBand="1" w:firstRowFirstColumn="0" w:firstRowLastColumn="0" w:lastRowFirstColumn="0" w:lastRowLastColumn="0"/>
          <w:trHeight w:val="510"/>
        </w:trPr>
        <w:tc>
          <w:tcPr>
            <w:tcW w:w="1585" w:type="pct"/>
            <w:tcBorders>
              <w:top w:val="nil"/>
              <w:bottom w:val="single" w:sz="4" w:space="0" w:color="auto"/>
            </w:tcBorders>
            <w:vAlign w:val="center"/>
          </w:tcPr>
          <w:p w:rsidR="00634E52" w:rsidRDefault="00634E52">
            <w:pPr>
              <w:rPr>
                <w:rFonts w:cs="Arial"/>
                <w:sz w:val="16"/>
                <w:szCs w:val="16"/>
              </w:rPr>
            </w:pPr>
            <w:r>
              <w:rPr>
                <w:rFonts w:cs="Arial"/>
                <w:sz w:val="16"/>
                <w:szCs w:val="16"/>
              </w:rPr>
              <w:t xml:space="preserve">% change from previous financial YTD </w:t>
            </w:r>
          </w:p>
        </w:tc>
        <w:tc>
          <w:tcPr>
            <w:tcW w:w="993" w:type="pct"/>
            <w:tcBorders>
              <w:top w:val="nil"/>
              <w:bottom w:val="single" w:sz="4" w:space="0" w:color="auto"/>
            </w:tcBorders>
            <w:vAlign w:val="center"/>
          </w:tcPr>
          <w:p w:rsidR="00634E52" w:rsidRDefault="00634E52">
            <w:pPr>
              <w:jc w:val="center"/>
              <w:rPr>
                <w:rFonts w:cs="Arial"/>
                <w:szCs w:val="20"/>
              </w:rPr>
            </w:pPr>
            <w:r>
              <w:rPr>
                <w:rFonts w:cs="Arial"/>
                <w:szCs w:val="20"/>
              </w:rPr>
              <w:t> </w:t>
            </w:r>
          </w:p>
        </w:tc>
        <w:tc>
          <w:tcPr>
            <w:tcW w:w="758" w:type="pct"/>
            <w:tcBorders>
              <w:top w:val="nil"/>
              <w:bottom w:val="single" w:sz="4" w:space="0" w:color="auto"/>
            </w:tcBorders>
            <w:vAlign w:val="center"/>
          </w:tcPr>
          <w:p w:rsidR="00634E52" w:rsidRDefault="00634E52">
            <w:pPr>
              <w:jc w:val="center"/>
              <w:rPr>
                <w:rFonts w:cs="Arial"/>
                <w:szCs w:val="20"/>
              </w:rPr>
            </w:pPr>
            <w:r>
              <w:rPr>
                <w:rFonts w:cs="Arial"/>
                <w:szCs w:val="20"/>
              </w:rPr>
              <w:t>82</w:t>
            </w:r>
          </w:p>
        </w:tc>
        <w:tc>
          <w:tcPr>
            <w:tcW w:w="831" w:type="pct"/>
            <w:tcBorders>
              <w:top w:val="nil"/>
              <w:bottom w:val="single" w:sz="4" w:space="0" w:color="auto"/>
            </w:tcBorders>
            <w:vAlign w:val="center"/>
          </w:tcPr>
          <w:p w:rsidR="00634E52" w:rsidRDefault="00634E52">
            <w:pPr>
              <w:jc w:val="center"/>
              <w:rPr>
                <w:rFonts w:cs="Arial"/>
                <w:szCs w:val="20"/>
              </w:rPr>
            </w:pPr>
            <w:r>
              <w:rPr>
                <w:rFonts w:cs="Arial"/>
                <w:szCs w:val="20"/>
              </w:rPr>
              <w:t>60</w:t>
            </w:r>
          </w:p>
        </w:tc>
        <w:tc>
          <w:tcPr>
            <w:tcW w:w="833" w:type="pct"/>
            <w:tcBorders>
              <w:top w:val="nil"/>
              <w:bottom w:val="single" w:sz="4" w:space="0" w:color="auto"/>
            </w:tcBorders>
            <w:vAlign w:val="center"/>
          </w:tcPr>
          <w:p w:rsidR="00634E52" w:rsidRDefault="00634E52">
            <w:pPr>
              <w:jc w:val="center"/>
              <w:rPr>
                <w:rFonts w:cs="Arial"/>
                <w:szCs w:val="20"/>
              </w:rPr>
            </w:pPr>
            <w:r>
              <w:rPr>
                <w:rFonts w:cs="Arial"/>
                <w:szCs w:val="20"/>
              </w:rPr>
              <w:t>8</w:t>
            </w:r>
          </w:p>
        </w:tc>
      </w:tr>
    </w:tbl>
    <w:p w:rsidR="00534DD9" w:rsidRPr="001521CB" w:rsidRDefault="00534DD9" w:rsidP="00534DD9">
      <w:pPr>
        <w:pStyle w:val="AERbodytext"/>
        <w:rPr>
          <w:sz w:val="16"/>
        </w:rPr>
      </w:pPr>
      <w:r w:rsidRPr="00EC137F">
        <w:rPr>
          <w:sz w:val="16"/>
        </w:rPr>
        <w:t xml:space="preserve">* </w:t>
      </w:r>
      <w:r w:rsidR="00A16975" w:rsidRPr="00EC137F">
        <w:rPr>
          <w:sz w:val="16"/>
        </w:rPr>
        <w:t xml:space="preserve">Ancillary payments reflect </w:t>
      </w:r>
      <w:r w:rsidR="00963914" w:rsidRPr="00EC137F">
        <w:rPr>
          <w:sz w:val="16"/>
        </w:rPr>
        <w:t xml:space="preserve">the compensation costs for any </w:t>
      </w:r>
      <w:r w:rsidR="00A16975" w:rsidRPr="00EC137F">
        <w:rPr>
          <w:sz w:val="16"/>
        </w:rPr>
        <w:t>additional injections offered at a price higher than the market price.</w:t>
      </w:r>
      <w:r w:rsidR="00963914">
        <w:rPr>
          <w:sz w:val="16"/>
        </w:rPr>
        <w:t xml:space="preserve"> </w:t>
      </w:r>
      <w:r w:rsidRPr="001521CB">
        <w:rPr>
          <w:sz w:val="16"/>
        </w:rPr>
        <w:t>Note: only positive ancillary payments, reflecting system constraints will be shown here.</w:t>
      </w:r>
    </w:p>
    <w:p w:rsidR="00F26128" w:rsidRDefault="00534DD9" w:rsidP="00534DD9">
      <w:pPr>
        <w:pStyle w:val="AERbodytext"/>
      </w:pPr>
      <w:r>
        <w:lastRenderedPageBreak/>
        <w:t>More</w:t>
      </w:r>
      <w:r w:rsidRPr="00D329E0">
        <w:t xml:space="preserve"> </w:t>
      </w:r>
      <w:r>
        <w:t xml:space="preserve">detailed </w:t>
      </w:r>
      <w:r w:rsidRPr="00D329E0">
        <w:t xml:space="preserve">analysis on the </w:t>
      </w:r>
      <w:r>
        <w:t>VGM is provided in section 1</w:t>
      </w:r>
      <w:r w:rsidRPr="00D329E0">
        <w:t>.</w:t>
      </w:r>
    </w:p>
    <w:p w:rsidR="004C571B" w:rsidRPr="00552F68" w:rsidRDefault="00674600" w:rsidP="008D7D94">
      <w:pPr>
        <w:keepNext/>
        <w:jc w:val="both"/>
      </w:pPr>
      <w:r>
        <w:t>Figure 5</w:t>
      </w:r>
      <w:r w:rsidR="004C571B" w:rsidRPr="00552F68">
        <w:t xml:space="preserve"> shows</w:t>
      </w:r>
      <w:r w:rsidR="001934E9" w:rsidRPr="00552F68">
        <w:t xml:space="preserve"> the quantity and v</w:t>
      </w:r>
      <w:r w:rsidR="00A226E9" w:rsidRPr="00552F68">
        <w:t>o</w:t>
      </w:r>
      <w:r w:rsidR="001934E9" w:rsidRPr="00552F68">
        <w:t>lume weighted pr</w:t>
      </w:r>
      <w:r w:rsidR="00A226E9" w:rsidRPr="00552F68">
        <w:t>ices of products traded in the Gas Supply Hub locations at Moomba</w:t>
      </w:r>
      <w:r w:rsidR="00C370D1">
        <w:t>, South East Queensland and Wallumbilla</w:t>
      </w:r>
      <w:r w:rsidR="00A226E9" w:rsidRPr="00552F68">
        <w:t>.</w:t>
      </w:r>
    </w:p>
    <w:p w:rsidR="001521CB" w:rsidRDefault="001521CB" w:rsidP="001521CB">
      <w:pPr>
        <w:pStyle w:val="Caption"/>
        <w:rPr>
          <w:color w:val="2272A3"/>
          <w:szCs w:val="24"/>
        </w:rPr>
      </w:pPr>
      <w:r w:rsidRPr="00552F68">
        <w:t xml:space="preserve">Figure </w:t>
      </w:r>
      <w:r w:rsidR="00AF3126">
        <w:fldChar w:fldCharType="begin"/>
      </w:r>
      <w:r w:rsidR="00AF3126">
        <w:instrText xml:space="preserve"> SEQ Figure \* ARABIC </w:instrText>
      </w:r>
      <w:r w:rsidR="00AF3126">
        <w:fldChar w:fldCharType="separate"/>
      </w:r>
      <w:r w:rsidR="00C370D1">
        <w:rPr>
          <w:noProof/>
        </w:rPr>
        <w:t>5</w:t>
      </w:r>
      <w:r w:rsidR="00AF3126">
        <w:rPr>
          <w:noProof/>
        </w:rPr>
        <w:fldChar w:fldCharType="end"/>
      </w:r>
      <w:r w:rsidRPr="00552F68">
        <w:t xml:space="preserve">: </w:t>
      </w:r>
      <w:r w:rsidR="004C571B" w:rsidRPr="00552F68">
        <w:rPr>
          <w:color w:val="2272A3"/>
          <w:szCs w:val="24"/>
        </w:rPr>
        <w:t>Gas supply hub products traded</w:t>
      </w:r>
      <w:r w:rsidR="00C5766F" w:rsidRPr="00552F68">
        <w:rPr>
          <w:color w:val="2272A3"/>
          <w:szCs w:val="24"/>
        </w:rPr>
        <w:t xml:space="preserve"> for the current week</w:t>
      </w:r>
      <w:r w:rsidR="004C690D" w:rsidRPr="00552F68">
        <w:rPr>
          <w:color w:val="2272A3"/>
          <w:szCs w:val="24"/>
        </w:rPr>
        <w:t xml:space="preserve"> </w:t>
      </w:r>
      <w:r w:rsidR="00B302BF" w:rsidRPr="00552F68">
        <w:rPr>
          <w:color w:val="2272A3"/>
          <w:szCs w:val="24"/>
        </w:rPr>
        <w:t>(</w:t>
      </w:r>
      <w:r w:rsidR="004C690D" w:rsidRPr="00552F68">
        <w:rPr>
          <w:color w:val="2272A3"/>
          <w:szCs w:val="24"/>
        </w:rPr>
        <w:t>$/GJ</w:t>
      </w:r>
      <w:r w:rsidR="00B302BF" w:rsidRPr="00552F68">
        <w:rPr>
          <w:color w:val="2272A3"/>
          <w:szCs w:val="24"/>
        </w:rPr>
        <w:t>, TJ</w:t>
      </w:r>
      <w:r w:rsidR="004C690D" w:rsidRPr="00552F68">
        <w:rPr>
          <w:color w:val="2272A3"/>
          <w:szCs w:val="24"/>
        </w:rPr>
        <w:t>)</w:t>
      </w:r>
    </w:p>
    <w:tbl>
      <w:tblPr>
        <w:tblStyle w:val="AERTable-Text"/>
        <w:tblW w:w="4890" w:type="pct"/>
        <w:tblLayout w:type="fixed"/>
        <w:tblLook w:val="04A0" w:firstRow="1" w:lastRow="0" w:firstColumn="1" w:lastColumn="0" w:noHBand="0" w:noVBand="1"/>
      </w:tblPr>
      <w:tblGrid>
        <w:gridCol w:w="1655"/>
        <w:gridCol w:w="1265"/>
        <w:gridCol w:w="1159"/>
        <w:gridCol w:w="1314"/>
        <w:gridCol w:w="1264"/>
        <w:gridCol w:w="1124"/>
        <w:gridCol w:w="1258"/>
      </w:tblGrid>
      <w:tr w:rsidR="00FA5B9C" w:rsidRPr="002861A9" w:rsidTr="00EA6F25">
        <w:trPr>
          <w:cnfStyle w:val="100000000000" w:firstRow="1" w:lastRow="0" w:firstColumn="0" w:lastColumn="0" w:oddVBand="0" w:evenVBand="0" w:oddHBand="0" w:evenHBand="0" w:firstRowFirstColumn="0" w:firstRowLastColumn="0" w:lastRowFirstColumn="0" w:lastRowLastColumn="0"/>
          <w:trHeight w:val="404"/>
          <w:tblHeader/>
        </w:trPr>
        <w:tc>
          <w:tcPr>
            <w:tcW w:w="915" w:type="pct"/>
            <w:tcBorders>
              <w:bottom w:val="nil"/>
            </w:tcBorders>
            <w:vAlign w:val="center"/>
          </w:tcPr>
          <w:p w:rsidR="008D7D94" w:rsidRPr="00E16EDC" w:rsidRDefault="008D7D94" w:rsidP="000758A3">
            <w:pPr>
              <w:pStyle w:val="TableHeading"/>
              <w:spacing w:before="120" w:after="0" w:line="240" w:lineRule="auto"/>
              <w:jc w:val="center"/>
              <w:rPr>
                <w:rFonts w:cs="Arial"/>
                <w:sz w:val="20"/>
                <w:szCs w:val="20"/>
              </w:rPr>
            </w:pPr>
          </w:p>
        </w:tc>
        <w:tc>
          <w:tcPr>
            <w:tcW w:w="1341" w:type="pct"/>
            <w:gridSpan w:val="2"/>
            <w:tcBorders>
              <w:bottom w:val="nil"/>
            </w:tcBorders>
            <w:vAlign w:val="center"/>
          </w:tcPr>
          <w:p w:rsidR="008D7D94" w:rsidRPr="00E16EDC" w:rsidRDefault="008D7D94" w:rsidP="000758A3">
            <w:pPr>
              <w:spacing w:before="120" w:after="0" w:line="240" w:lineRule="auto"/>
              <w:jc w:val="center"/>
              <w:rPr>
                <w:rFonts w:cs="Arial"/>
                <w:bCs/>
                <w:color w:val="FFFFFF"/>
                <w:sz w:val="20"/>
                <w:szCs w:val="20"/>
              </w:rPr>
            </w:pPr>
            <w:r>
              <w:rPr>
                <w:rFonts w:cs="Arial"/>
                <w:bCs/>
                <w:color w:val="FFFFFF"/>
                <w:sz w:val="20"/>
                <w:szCs w:val="20"/>
              </w:rPr>
              <w:t>Moomba</w:t>
            </w:r>
          </w:p>
        </w:tc>
        <w:tc>
          <w:tcPr>
            <w:tcW w:w="1426" w:type="pct"/>
            <w:gridSpan w:val="2"/>
            <w:tcBorders>
              <w:bottom w:val="nil"/>
            </w:tcBorders>
            <w:vAlign w:val="center"/>
          </w:tcPr>
          <w:p w:rsidR="008D7D94" w:rsidRPr="00E16EDC" w:rsidRDefault="008D7D94" w:rsidP="000758A3">
            <w:pPr>
              <w:spacing w:before="120" w:after="0" w:line="240" w:lineRule="auto"/>
              <w:jc w:val="center"/>
              <w:rPr>
                <w:rFonts w:cs="Arial"/>
                <w:bCs/>
                <w:color w:val="FFFFFF"/>
                <w:sz w:val="20"/>
                <w:szCs w:val="20"/>
              </w:rPr>
            </w:pPr>
            <w:r>
              <w:rPr>
                <w:rFonts w:cs="Arial"/>
                <w:bCs/>
                <w:color w:val="FFFFFF"/>
                <w:sz w:val="20"/>
                <w:szCs w:val="20"/>
              </w:rPr>
              <w:t>South East Queensland</w:t>
            </w:r>
          </w:p>
        </w:tc>
        <w:tc>
          <w:tcPr>
            <w:tcW w:w="1318" w:type="pct"/>
            <w:gridSpan w:val="2"/>
            <w:tcBorders>
              <w:bottom w:val="nil"/>
            </w:tcBorders>
            <w:vAlign w:val="center"/>
          </w:tcPr>
          <w:p w:rsidR="008D7D94" w:rsidRPr="00E16EDC" w:rsidRDefault="008D7D94" w:rsidP="000758A3">
            <w:pPr>
              <w:spacing w:before="120" w:after="0" w:line="240" w:lineRule="auto"/>
              <w:jc w:val="center"/>
              <w:rPr>
                <w:rFonts w:cs="Arial"/>
                <w:bCs/>
                <w:color w:val="FFFFFF"/>
                <w:sz w:val="20"/>
                <w:szCs w:val="20"/>
              </w:rPr>
            </w:pPr>
            <w:r>
              <w:rPr>
                <w:rFonts w:cs="Arial"/>
                <w:bCs/>
                <w:color w:val="FFFFFF"/>
                <w:sz w:val="20"/>
                <w:szCs w:val="20"/>
              </w:rPr>
              <w:t>Wallumbilla</w:t>
            </w:r>
            <w:r w:rsidR="00C370D1">
              <w:rPr>
                <w:rFonts w:cs="Arial"/>
                <w:bCs/>
                <w:color w:val="FFFFFF"/>
                <w:sz w:val="20"/>
                <w:szCs w:val="20"/>
              </w:rPr>
              <w:t>*</w:t>
            </w:r>
          </w:p>
        </w:tc>
      </w:tr>
      <w:tr w:rsidR="008D7D94" w:rsidRPr="002861A9" w:rsidTr="00EA6F25">
        <w:trPr>
          <w:cnfStyle w:val="100000000000" w:firstRow="1" w:lastRow="0" w:firstColumn="0" w:lastColumn="0" w:oddVBand="0" w:evenVBand="0" w:oddHBand="0" w:evenHBand="0" w:firstRowFirstColumn="0" w:firstRowLastColumn="0" w:lastRowFirstColumn="0" w:lastRowLastColumn="0"/>
          <w:tblHeader/>
        </w:trPr>
        <w:tc>
          <w:tcPr>
            <w:tcW w:w="915" w:type="pct"/>
            <w:tcBorders>
              <w:bottom w:val="nil"/>
            </w:tcBorders>
            <w:vAlign w:val="center"/>
          </w:tcPr>
          <w:p w:rsidR="008D7D94" w:rsidRPr="00587CFB" w:rsidRDefault="008D7D94" w:rsidP="000758A3">
            <w:pPr>
              <w:pStyle w:val="TableHeading"/>
              <w:jc w:val="center"/>
              <w:rPr>
                <w:rFonts w:cs="Arial"/>
                <w:sz w:val="20"/>
                <w:szCs w:val="20"/>
              </w:rPr>
            </w:pPr>
          </w:p>
        </w:tc>
        <w:tc>
          <w:tcPr>
            <w:tcW w:w="700" w:type="pct"/>
            <w:tcBorders>
              <w:bottom w:val="nil"/>
            </w:tcBorders>
            <w:vAlign w:val="center"/>
            <w:hideMark/>
          </w:tcPr>
          <w:p w:rsidR="008D7D94" w:rsidRPr="00587CFB" w:rsidRDefault="008D7D94" w:rsidP="000758A3">
            <w:pPr>
              <w:jc w:val="center"/>
              <w:rPr>
                <w:rFonts w:cs="Arial"/>
                <w:bCs/>
                <w:color w:val="FFFFFF"/>
                <w:sz w:val="14"/>
                <w:szCs w:val="20"/>
                <w:highlight w:val="cyan"/>
              </w:rPr>
            </w:pPr>
            <w:r w:rsidRPr="00587CFB">
              <w:rPr>
                <w:rFonts w:cs="Arial"/>
                <w:bCs/>
                <w:color w:val="FFFFFF"/>
                <w:sz w:val="14"/>
                <w:szCs w:val="20"/>
              </w:rPr>
              <w:t>VWA price</w:t>
            </w:r>
          </w:p>
        </w:tc>
        <w:tc>
          <w:tcPr>
            <w:tcW w:w="641" w:type="pct"/>
            <w:tcBorders>
              <w:bottom w:val="nil"/>
            </w:tcBorders>
            <w:vAlign w:val="center"/>
            <w:hideMark/>
          </w:tcPr>
          <w:p w:rsidR="008D7D94" w:rsidRPr="00587CFB" w:rsidRDefault="008D7D94" w:rsidP="000758A3">
            <w:pPr>
              <w:jc w:val="center"/>
              <w:rPr>
                <w:rFonts w:cs="Arial"/>
                <w:bCs/>
                <w:color w:val="FFFFFF"/>
                <w:sz w:val="14"/>
                <w:szCs w:val="20"/>
                <w:highlight w:val="cyan"/>
              </w:rPr>
            </w:pPr>
            <w:r>
              <w:rPr>
                <w:rFonts w:cs="Arial"/>
                <w:bCs/>
                <w:color w:val="FFFFFF"/>
                <w:sz w:val="14"/>
                <w:szCs w:val="20"/>
              </w:rPr>
              <w:t>Quantity</w:t>
            </w:r>
          </w:p>
        </w:tc>
        <w:tc>
          <w:tcPr>
            <w:tcW w:w="727" w:type="pct"/>
            <w:tcBorders>
              <w:bottom w:val="nil"/>
            </w:tcBorders>
            <w:vAlign w:val="center"/>
            <w:hideMark/>
          </w:tcPr>
          <w:p w:rsidR="008D7D94" w:rsidRPr="00587CFB" w:rsidRDefault="008D7D94" w:rsidP="000758A3">
            <w:pPr>
              <w:jc w:val="center"/>
              <w:rPr>
                <w:rFonts w:cs="Arial"/>
                <w:bCs/>
                <w:color w:val="FFFFFF"/>
                <w:sz w:val="14"/>
                <w:szCs w:val="20"/>
                <w:highlight w:val="cyan"/>
              </w:rPr>
            </w:pPr>
            <w:r w:rsidRPr="00587CFB">
              <w:rPr>
                <w:rFonts w:cs="Arial"/>
                <w:bCs/>
                <w:color w:val="FFFFFF"/>
                <w:sz w:val="14"/>
                <w:szCs w:val="20"/>
              </w:rPr>
              <w:t>VWA price</w:t>
            </w:r>
          </w:p>
        </w:tc>
        <w:tc>
          <w:tcPr>
            <w:tcW w:w="699" w:type="pct"/>
            <w:tcBorders>
              <w:bottom w:val="nil"/>
            </w:tcBorders>
            <w:vAlign w:val="center"/>
          </w:tcPr>
          <w:p w:rsidR="008D7D94" w:rsidRPr="00587CFB" w:rsidRDefault="008D7D94" w:rsidP="000758A3">
            <w:pPr>
              <w:jc w:val="center"/>
              <w:rPr>
                <w:rFonts w:cs="Arial"/>
                <w:bCs/>
                <w:color w:val="FFFFFF"/>
                <w:sz w:val="14"/>
                <w:szCs w:val="20"/>
                <w:highlight w:val="cyan"/>
              </w:rPr>
            </w:pPr>
            <w:r>
              <w:rPr>
                <w:rFonts w:cs="Arial"/>
                <w:bCs/>
                <w:color w:val="FFFFFF"/>
                <w:sz w:val="14"/>
                <w:szCs w:val="20"/>
              </w:rPr>
              <w:t>Quantity</w:t>
            </w:r>
          </w:p>
        </w:tc>
        <w:tc>
          <w:tcPr>
            <w:tcW w:w="622" w:type="pct"/>
            <w:tcBorders>
              <w:bottom w:val="nil"/>
            </w:tcBorders>
            <w:vAlign w:val="center"/>
          </w:tcPr>
          <w:p w:rsidR="008D7D94" w:rsidRPr="00587CFB" w:rsidRDefault="008D7D94" w:rsidP="000758A3">
            <w:pPr>
              <w:jc w:val="center"/>
              <w:rPr>
                <w:rFonts w:cs="Arial"/>
                <w:bCs/>
                <w:color w:val="FFFFFF"/>
                <w:sz w:val="14"/>
                <w:szCs w:val="20"/>
                <w:highlight w:val="cyan"/>
              </w:rPr>
            </w:pPr>
            <w:r w:rsidRPr="00587CFB">
              <w:rPr>
                <w:rFonts w:cs="Arial"/>
                <w:bCs/>
                <w:color w:val="FFFFFF"/>
                <w:sz w:val="14"/>
                <w:szCs w:val="20"/>
              </w:rPr>
              <w:t>VWA price</w:t>
            </w:r>
          </w:p>
        </w:tc>
        <w:tc>
          <w:tcPr>
            <w:tcW w:w="696" w:type="pct"/>
            <w:tcBorders>
              <w:bottom w:val="nil"/>
            </w:tcBorders>
            <w:vAlign w:val="center"/>
          </w:tcPr>
          <w:p w:rsidR="008D7D94" w:rsidRPr="00587CFB" w:rsidRDefault="008D7D94" w:rsidP="000758A3">
            <w:pPr>
              <w:jc w:val="center"/>
              <w:rPr>
                <w:rFonts w:cs="Arial"/>
                <w:bCs/>
                <w:color w:val="FFFFFF"/>
                <w:sz w:val="14"/>
                <w:szCs w:val="20"/>
                <w:highlight w:val="cyan"/>
              </w:rPr>
            </w:pPr>
            <w:r>
              <w:rPr>
                <w:rFonts w:cs="Arial"/>
                <w:bCs/>
                <w:color w:val="FFFFFF"/>
                <w:sz w:val="14"/>
                <w:szCs w:val="20"/>
              </w:rPr>
              <w:t>Quantity</w:t>
            </w:r>
          </w:p>
        </w:tc>
      </w:tr>
      <w:tr w:rsidR="00634E52" w:rsidRPr="006A7228" w:rsidTr="00EA6F25">
        <w:trPr>
          <w:trHeight w:val="510"/>
        </w:trPr>
        <w:tc>
          <w:tcPr>
            <w:tcW w:w="915" w:type="pct"/>
            <w:tcBorders>
              <w:top w:val="nil"/>
              <w:bottom w:val="nil"/>
            </w:tcBorders>
            <w:vAlign w:val="center"/>
          </w:tcPr>
          <w:p w:rsidR="00634E52" w:rsidRDefault="00634E52">
            <w:pPr>
              <w:rPr>
                <w:rFonts w:cs="Arial"/>
                <w:b/>
                <w:bCs/>
                <w:sz w:val="20"/>
                <w:szCs w:val="20"/>
              </w:rPr>
            </w:pPr>
            <w:r>
              <w:rPr>
                <w:rFonts w:cs="Arial"/>
                <w:b/>
                <w:bCs/>
                <w:sz w:val="20"/>
                <w:szCs w:val="20"/>
              </w:rPr>
              <w:t>Balance of day</w:t>
            </w:r>
          </w:p>
        </w:tc>
        <w:tc>
          <w:tcPr>
            <w:tcW w:w="700" w:type="pct"/>
            <w:tcBorders>
              <w:top w:val="nil"/>
              <w:bottom w:val="nil"/>
            </w:tcBorders>
            <w:vAlign w:val="center"/>
          </w:tcPr>
          <w:p w:rsidR="00634E52" w:rsidRDefault="00634E52">
            <w:pPr>
              <w:jc w:val="center"/>
              <w:rPr>
                <w:rFonts w:cs="Arial"/>
                <w:sz w:val="20"/>
                <w:szCs w:val="20"/>
              </w:rPr>
            </w:pPr>
            <w:r>
              <w:rPr>
                <w:rFonts w:cs="Arial"/>
                <w:sz w:val="20"/>
                <w:szCs w:val="20"/>
              </w:rPr>
              <w:t>-</w:t>
            </w:r>
          </w:p>
        </w:tc>
        <w:tc>
          <w:tcPr>
            <w:tcW w:w="641" w:type="pct"/>
            <w:tcBorders>
              <w:top w:val="nil"/>
              <w:bottom w:val="nil"/>
            </w:tcBorders>
            <w:vAlign w:val="center"/>
          </w:tcPr>
          <w:p w:rsidR="00634E52" w:rsidRDefault="00634E52">
            <w:pPr>
              <w:jc w:val="center"/>
              <w:rPr>
                <w:rFonts w:cs="Arial"/>
                <w:sz w:val="20"/>
                <w:szCs w:val="20"/>
              </w:rPr>
            </w:pPr>
            <w:r>
              <w:rPr>
                <w:rFonts w:cs="Arial"/>
                <w:sz w:val="20"/>
                <w:szCs w:val="20"/>
              </w:rPr>
              <w:t>-</w:t>
            </w:r>
          </w:p>
        </w:tc>
        <w:tc>
          <w:tcPr>
            <w:tcW w:w="727" w:type="pct"/>
            <w:tcBorders>
              <w:top w:val="nil"/>
              <w:bottom w:val="nil"/>
            </w:tcBorders>
            <w:vAlign w:val="center"/>
          </w:tcPr>
          <w:p w:rsidR="00634E52" w:rsidRDefault="00634E52">
            <w:pPr>
              <w:jc w:val="center"/>
              <w:rPr>
                <w:rFonts w:cs="Arial"/>
                <w:sz w:val="20"/>
                <w:szCs w:val="20"/>
              </w:rPr>
            </w:pPr>
            <w:r>
              <w:rPr>
                <w:rFonts w:cs="Arial"/>
                <w:sz w:val="20"/>
                <w:szCs w:val="20"/>
              </w:rPr>
              <w:t>7.40</w:t>
            </w:r>
          </w:p>
        </w:tc>
        <w:tc>
          <w:tcPr>
            <w:tcW w:w="699" w:type="pct"/>
            <w:tcBorders>
              <w:top w:val="nil"/>
              <w:bottom w:val="nil"/>
            </w:tcBorders>
            <w:vAlign w:val="center"/>
          </w:tcPr>
          <w:p w:rsidR="00634E52" w:rsidRDefault="00634E52">
            <w:pPr>
              <w:jc w:val="center"/>
              <w:rPr>
                <w:rFonts w:cs="Arial"/>
                <w:sz w:val="20"/>
                <w:szCs w:val="20"/>
              </w:rPr>
            </w:pPr>
            <w:r>
              <w:rPr>
                <w:rFonts w:cs="Arial"/>
                <w:sz w:val="20"/>
                <w:szCs w:val="20"/>
              </w:rPr>
              <w:t>16.0</w:t>
            </w:r>
          </w:p>
        </w:tc>
        <w:tc>
          <w:tcPr>
            <w:tcW w:w="622" w:type="pct"/>
            <w:tcBorders>
              <w:top w:val="nil"/>
              <w:bottom w:val="nil"/>
            </w:tcBorders>
            <w:vAlign w:val="center"/>
          </w:tcPr>
          <w:p w:rsidR="00634E52" w:rsidRDefault="00634E52">
            <w:pPr>
              <w:jc w:val="center"/>
              <w:rPr>
                <w:rFonts w:cs="Arial"/>
                <w:sz w:val="20"/>
                <w:szCs w:val="20"/>
              </w:rPr>
            </w:pPr>
            <w:r>
              <w:rPr>
                <w:rFonts w:cs="Arial"/>
                <w:sz w:val="20"/>
                <w:szCs w:val="20"/>
              </w:rPr>
              <w:t>7.92</w:t>
            </w:r>
          </w:p>
        </w:tc>
        <w:tc>
          <w:tcPr>
            <w:tcW w:w="696" w:type="pct"/>
            <w:tcBorders>
              <w:top w:val="nil"/>
              <w:bottom w:val="nil"/>
            </w:tcBorders>
            <w:vAlign w:val="center"/>
          </w:tcPr>
          <w:p w:rsidR="00634E52" w:rsidRDefault="00634E52">
            <w:pPr>
              <w:jc w:val="center"/>
              <w:rPr>
                <w:rFonts w:cs="Arial"/>
                <w:sz w:val="20"/>
                <w:szCs w:val="20"/>
              </w:rPr>
            </w:pPr>
            <w:r>
              <w:rPr>
                <w:rFonts w:cs="Arial"/>
                <w:sz w:val="20"/>
                <w:szCs w:val="20"/>
              </w:rPr>
              <w:t>31.0</w:t>
            </w:r>
          </w:p>
        </w:tc>
      </w:tr>
      <w:tr w:rsidR="00634E52" w:rsidRPr="006A7228" w:rsidTr="00EA6F25">
        <w:trPr>
          <w:cnfStyle w:val="000000010000" w:firstRow="0" w:lastRow="0" w:firstColumn="0" w:lastColumn="0" w:oddVBand="0" w:evenVBand="0" w:oddHBand="0" w:evenHBand="1" w:firstRowFirstColumn="0" w:firstRowLastColumn="0" w:lastRowFirstColumn="0" w:lastRowLastColumn="0"/>
          <w:trHeight w:val="510"/>
        </w:trPr>
        <w:tc>
          <w:tcPr>
            <w:tcW w:w="915" w:type="pct"/>
            <w:tcBorders>
              <w:top w:val="nil"/>
              <w:bottom w:val="nil"/>
            </w:tcBorders>
            <w:vAlign w:val="center"/>
          </w:tcPr>
          <w:p w:rsidR="00634E52" w:rsidRDefault="00634E52">
            <w:pPr>
              <w:rPr>
                <w:rFonts w:cs="Arial"/>
                <w:b/>
                <w:bCs/>
                <w:szCs w:val="20"/>
              </w:rPr>
            </w:pPr>
            <w:r>
              <w:rPr>
                <w:rFonts w:cs="Arial"/>
                <w:b/>
                <w:bCs/>
                <w:szCs w:val="20"/>
              </w:rPr>
              <w:t>Daily</w:t>
            </w:r>
          </w:p>
        </w:tc>
        <w:tc>
          <w:tcPr>
            <w:tcW w:w="700" w:type="pct"/>
            <w:tcBorders>
              <w:top w:val="nil"/>
              <w:bottom w:val="nil"/>
            </w:tcBorders>
            <w:vAlign w:val="center"/>
          </w:tcPr>
          <w:p w:rsidR="00634E52" w:rsidRDefault="00634E52">
            <w:pPr>
              <w:jc w:val="center"/>
              <w:rPr>
                <w:rFonts w:cs="Arial"/>
                <w:szCs w:val="20"/>
              </w:rPr>
            </w:pPr>
            <w:r>
              <w:rPr>
                <w:rFonts w:cs="Arial"/>
                <w:szCs w:val="20"/>
              </w:rPr>
              <w:t>-</w:t>
            </w:r>
          </w:p>
        </w:tc>
        <w:tc>
          <w:tcPr>
            <w:tcW w:w="641" w:type="pct"/>
            <w:tcBorders>
              <w:top w:val="nil"/>
              <w:bottom w:val="nil"/>
            </w:tcBorders>
            <w:vAlign w:val="center"/>
          </w:tcPr>
          <w:p w:rsidR="00634E52" w:rsidRDefault="00634E52">
            <w:pPr>
              <w:jc w:val="center"/>
              <w:rPr>
                <w:rFonts w:cs="Arial"/>
                <w:szCs w:val="20"/>
              </w:rPr>
            </w:pPr>
            <w:r>
              <w:rPr>
                <w:rFonts w:cs="Arial"/>
                <w:szCs w:val="20"/>
              </w:rPr>
              <w:t>-</w:t>
            </w:r>
          </w:p>
        </w:tc>
        <w:tc>
          <w:tcPr>
            <w:tcW w:w="727" w:type="pct"/>
            <w:tcBorders>
              <w:top w:val="nil"/>
              <w:bottom w:val="nil"/>
            </w:tcBorders>
            <w:vAlign w:val="center"/>
          </w:tcPr>
          <w:p w:rsidR="00634E52" w:rsidRDefault="00634E52">
            <w:pPr>
              <w:jc w:val="center"/>
              <w:rPr>
                <w:rFonts w:cs="Arial"/>
                <w:szCs w:val="20"/>
              </w:rPr>
            </w:pPr>
            <w:r>
              <w:rPr>
                <w:rFonts w:cs="Arial"/>
                <w:szCs w:val="20"/>
              </w:rPr>
              <w:t>7.50</w:t>
            </w:r>
          </w:p>
        </w:tc>
        <w:tc>
          <w:tcPr>
            <w:tcW w:w="699" w:type="pct"/>
            <w:tcBorders>
              <w:top w:val="nil"/>
              <w:bottom w:val="nil"/>
            </w:tcBorders>
            <w:vAlign w:val="center"/>
          </w:tcPr>
          <w:p w:rsidR="00634E52" w:rsidRDefault="00634E52">
            <w:pPr>
              <w:jc w:val="center"/>
              <w:rPr>
                <w:rFonts w:cs="Arial"/>
                <w:szCs w:val="20"/>
              </w:rPr>
            </w:pPr>
            <w:r>
              <w:rPr>
                <w:rFonts w:cs="Arial"/>
                <w:szCs w:val="20"/>
              </w:rPr>
              <w:t>68.0</w:t>
            </w:r>
          </w:p>
        </w:tc>
        <w:tc>
          <w:tcPr>
            <w:tcW w:w="622" w:type="pct"/>
            <w:tcBorders>
              <w:top w:val="nil"/>
              <w:bottom w:val="nil"/>
            </w:tcBorders>
            <w:vAlign w:val="center"/>
          </w:tcPr>
          <w:p w:rsidR="00634E52" w:rsidRDefault="00634E52">
            <w:pPr>
              <w:jc w:val="center"/>
              <w:rPr>
                <w:rFonts w:cs="Arial"/>
                <w:szCs w:val="20"/>
              </w:rPr>
            </w:pPr>
            <w:r>
              <w:rPr>
                <w:rFonts w:cs="Arial"/>
                <w:szCs w:val="20"/>
              </w:rPr>
              <w:t>7.96</w:t>
            </w:r>
          </w:p>
        </w:tc>
        <w:tc>
          <w:tcPr>
            <w:tcW w:w="696" w:type="pct"/>
            <w:tcBorders>
              <w:top w:val="nil"/>
              <w:bottom w:val="nil"/>
            </w:tcBorders>
            <w:vAlign w:val="center"/>
          </w:tcPr>
          <w:p w:rsidR="00634E52" w:rsidRDefault="00634E52">
            <w:pPr>
              <w:jc w:val="center"/>
              <w:rPr>
                <w:rFonts w:cs="Arial"/>
                <w:szCs w:val="20"/>
              </w:rPr>
            </w:pPr>
            <w:r>
              <w:rPr>
                <w:rFonts w:cs="Arial"/>
                <w:szCs w:val="20"/>
              </w:rPr>
              <w:t>133.0</w:t>
            </w:r>
          </w:p>
        </w:tc>
      </w:tr>
      <w:tr w:rsidR="00634E52" w:rsidRPr="006A7228" w:rsidTr="00EA6F25">
        <w:trPr>
          <w:trHeight w:val="510"/>
        </w:trPr>
        <w:tc>
          <w:tcPr>
            <w:tcW w:w="915" w:type="pct"/>
            <w:tcBorders>
              <w:top w:val="nil"/>
              <w:bottom w:val="nil"/>
            </w:tcBorders>
            <w:vAlign w:val="center"/>
          </w:tcPr>
          <w:p w:rsidR="00634E52" w:rsidRDefault="00634E52">
            <w:pPr>
              <w:rPr>
                <w:rFonts w:cs="Arial"/>
                <w:b/>
                <w:bCs/>
                <w:sz w:val="20"/>
                <w:szCs w:val="20"/>
              </w:rPr>
            </w:pPr>
            <w:r>
              <w:rPr>
                <w:rFonts w:cs="Arial"/>
                <w:b/>
                <w:bCs/>
                <w:sz w:val="20"/>
                <w:szCs w:val="20"/>
              </w:rPr>
              <w:t>Day ahead</w:t>
            </w:r>
          </w:p>
        </w:tc>
        <w:tc>
          <w:tcPr>
            <w:tcW w:w="700" w:type="pct"/>
            <w:tcBorders>
              <w:top w:val="nil"/>
              <w:bottom w:val="nil"/>
            </w:tcBorders>
            <w:vAlign w:val="center"/>
          </w:tcPr>
          <w:p w:rsidR="00634E52" w:rsidRDefault="00634E52">
            <w:pPr>
              <w:jc w:val="center"/>
              <w:rPr>
                <w:rFonts w:cs="Arial"/>
                <w:sz w:val="20"/>
                <w:szCs w:val="20"/>
              </w:rPr>
            </w:pPr>
            <w:r>
              <w:rPr>
                <w:rFonts w:cs="Arial"/>
                <w:sz w:val="20"/>
                <w:szCs w:val="20"/>
              </w:rPr>
              <w:t>-</w:t>
            </w:r>
          </w:p>
        </w:tc>
        <w:tc>
          <w:tcPr>
            <w:tcW w:w="641" w:type="pct"/>
            <w:tcBorders>
              <w:top w:val="nil"/>
              <w:bottom w:val="nil"/>
            </w:tcBorders>
            <w:vAlign w:val="center"/>
          </w:tcPr>
          <w:p w:rsidR="00634E52" w:rsidRDefault="00634E52">
            <w:pPr>
              <w:jc w:val="center"/>
              <w:rPr>
                <w:rFonts w:cs="Arial"/>
                <w:sz w:val="20"/>
                <w:szCs w:val="20"/>
              </w:rPr>
            </w:pPr>
            <w:r>
              <w:rPr>
                <w:rFonts w:cs="Arial"/>
                <w:sz w:val="20"/>
                <w:szCs w:val="20"/>
              </w:rPr>
              <w:t>-</w:t>
            </w:r>
          </w:p>
        </w:tc>
        <w:tc>
          <w:tcPr>
            <w:tcW w:w="727" w:type="pct"/>
            <w:tcBorders>
              <w:top w:val="nil"/>
              <w:bottom w:val="nil"/>
            </w:tcBorders>
            <w:vAlign w:val="center"/>
          </w:tcPr>
          <w:p w:rsidR="00634E52" w:rsidRDefault="00634E52">
            <w:pPr>
              <w:jc w:val="center"/>
              <w:rPr>
                <w:rFonts w:cs="Arial"/>
                <w:sz w:val="20"/>
                <w:szCs w:val="20"/>
              </w:rPr>
            </w:pPr>
            <w:r>
              <w:rPr>
                <w:rFonts w:cs="Arial"/>
                <w:sz w:val="20"/>
                <w:szCs w:val="20"/>
              </w:rPr>
              <w:t>7.30</w:t>
            </w:r>
          </w:p>
        </w:tc>
        <w:tc>
          <w:tcPr>
            <w:tcW w:w="699" w:type="pct"/>
            <w:tcBorders>
              <w:top w:val="nil"/>
              <w:bottom w:val="nil"/>
            </w:tcBorders>
            <w:vAlign w:val="center"/>
          </w:tcPr>
          <w:p w:rsidR="00634E52" w:rsidRDefault="00634E52">
            <w:pPr>
              <w:jc w:val="center"/>
              <w:rPr>
                <w:rFonts w:cs="Arial"/>
                <w:sz w:val="20"/>
                <w:szCs w:val="20"/>
              </w:rPr>
            </w:pPr>
            <w:r>
              <w:rPr>
                <w:rFonts w:cs="Arial"/>
                <w:sz w:val="20"/>
                <w:szCs w:val="20"/>
              </w:rPr>
              <w:t>70.0</w:t>
            </w:r>
          </w:p>
        </w:tc>
        <w:tc>
          <w:tcPr>
            <w:tcW w:w="622" w:type="pct"/>
            <w:tcBorders>
              <w:top w:val="nil"/>
              <w:bottom w:val="nil"/>
            </w:tcBorders>
            <w:vAlign w:val="center"/>
          </w:tcPr>
          <w:p w:rsidR="00634E52" w:rsidRDefault="00634E52">
            <w:pPr>
              <w:jc w:val="center"/>
              <w:rPr>
                <w:rFonts w:cs="Arial"/>
                <w:sz w:val="20"/>
                <w:szCs w:val="20"/>
              </w:rPr>
            </w:pPr>
            <w:r>
              <w:rPr>
                <w:rFonts w:cs="Arial"/>
                <w:sz w:val="20"/>
                <w:szCs w:val="20"/>
              </w:rPr>
              <w:t>7.70</w:t>
            </w:r>
          </w:p>
        </w:tc>
        <w:tc>
          <w:tcPr>
            <w:tcW w:w="696" w:type="pct"/>
            <w:tcBorders>
              <w:top w:val="nil"/>
              <w:bottom w:val="nil"/>
            </w:tcBorders>
            <w:vAlign w:val="center"/>
          </w:tcPr>
          <w:p w:rsidR="00634E52" w:rsidRDefault="00634E52">
            <w:pPr>
              <w:jc w:val="center"/>
              <w:rPr>
                <w:rFonts w:cs="Arial"/>
                <w:sz w:val="20"/>
                <w:szCs w:val="20"/>
              </w:rPr>
            </w:pPr>
            <w:r>
              <w:rPr>
                <w:rFonts w:cs="Arial"/>
                <w:sz w:val="20"/>
                <w:szCs w:val="20"/>
              </w:rPr>
              <w:t>20.0</w:t>
            </w:r>
          </w:p>
        </w:tc>
      </w:tr>
      <w:tr w:rsidR="00634E52" w:rsidRPr="006A7228" w:rsidTr="00EA6F25">
        <w:trPr>
          <w:cnfStyle w:val="000000010000" w:firstRow="0" w:lastRow="0" w:firstColumn="0" w:lastColumn="0" w:oddVBand="0" w:evenVBand="0" w:oddHBand="0" w:evenHBand="1" w:firstRowFirstColumn="0" w:firstRowLastColumn="0" w:lastRowFirstColumn="0" w:lastRowLastColumn="0"/>
          <w:trHeight w:val="510"/>
        </w:trPr>
        <w:tc>
          <w:tcPr>
            <w:tcW w:w="915" w:type="pct"/>
            <w:tcBorders>
              <w:top w:val="nil"/>
              <w:bottom w:val="nil"/>
            </w:tcBorders>
            <w:vAlign w:val="center"/>
          </w:tcPr>
          <w:p w:rsidR="00634E52" w:rsidRDefault="00634E52">
            <w:pPr>
              <w:rPr>
                <w:rFonts w:cs="Arial"/>
                <w:b/>
                <w:bCs/>
                <w:szCs w:val="20"/>
              </w:rPr>
            </w:pPr>
            <w:r>
              <w:rPr>
                <w:rFonts w:cs="Arial"/>
                <w:b/>
                <w:bCs/>
                <w:szCs w:val="20"/>
              </w:rPr>
              <w:t>Weekly</w:t>
            </w:r>
          </w:p>
        </w:tc>
        <w:tc>
          <w:tcPr>
            <w:tcW w:w="700" w:type="pct"/>
            <w:tcBorders>
              <w:top w:val="nil"/>
              <w:bottom w:val="nil"/>
            </w:tcBorders>
            <w:vAlign w:val="center"/>
          </w:tcPr>
          <w:p w:rsidR="00634E52" w:rsidRDefault="00634E52">
            <w:pPr>
              <w:jc w:val="center"/>
              <w:rPr>
                <w:rFonts w:cs="Arial"/>
                <w:szCs w:val="20"/>
              </w:rPr>
            </w:pPr>
            <w:r>
              <w:rPr>
                <w:rFonts w:cs="Arial"/>
                <w:szCs w:val="20"/>
              </w:rPr>
              <w:t>-</w:t>
            </w:r>
          </w:p>
        </w:tc>
        <w:tc>
          <w:tcPr>
            <w:tcW w:w="641" w:type="pct"/>
            <w:tcBorders>
              <w:top w:val="nil"/>
              <w:bottom w:val="nil"/>
            </w:tcBorders>
            <w:vAlign w:val="center"/>
          </w:tcPr>
          <w:p w:rsidR="00634E52" w:rsidRDefault="00634E52">
            <w:pPr>
              <w:jc w:val="center"/>
              <w:rPr>
                <w:rFonts w:cs="Arial"/>
                <w:szCs w:val="20"/>
              </w:rPr>
            </w:pPr>
            <w:r>
              <w:rPr>
                <w:rFonts w:cs="Arial"/>
                <w:szCs w:val="20"/>
              </w:rPr>
              <w:t>-</w:t>
            </w:r>
          </w:p>
        </w:tc>
        <w:tc>
          <w:tcPr>
            <w:tcW w:w="727" w:type="pct"/>
            <w:tcBorders>
              <w:top w:val="nil"/>
              <w:bottom w:val="nil"/>
            </w:tcBorders>
            <w:vAlign w:val="center"/>
          </w:tcPr>
          <w:p w:rsidR="00634E52" w:rsidRDefault="00634E52">
            <w:pPr>
              <w:jc w:val="center"/>
              <w:rPr>
                <w:rFonts w:cs="Arial"/>
                <w:szCs w:val="20"/>
              </w:rPr>
            </w:pPr>
            <w:r>
              <w:rPr>
                <w:rFonts w:cs="Arial"/>
                <w:szCs w:val="20"/>
              </w:rPr>
              <w:t>-</w:t>
            </w:r>
          </w:p>
        </w:tc>
        <w:tc>
          <w:tcPr>
            <w:tcW w:w="699" w:type="pct"/>
            <w:tcBorders>
              <w:top w:val="nil"/>
              <w:bottom w:val="nil"/>
            </w:tcBorders>
            <w:vAlign w:val="center"/>
          </w:tcPr>
          <w:p w:rsidR="00634E52" w:rsidRDefault="00634E52">
            <w:pPr>
              <w:jc w:val="center"/>
              <w:rPr>
                <w:rFonts w:cs="Arial"/>
                <w:szCs w:val="20"/>
              </w:rPr>
            </w:pPr>
            <w:r>
              <w:rPr>
                <w:rFonts w:cs="Arial"/>
                <w:szCs w:val="20"/>
              </w:rPr>
              <w:t>-</w:t>
            </w:r>
          </w:p>
        </w:tc>
        <w:tc>
          <w:tcPr>
            <w:tcW w:w="622" w:type="pct"/>
            <w:tcBorders>
              <w:top w:val="nil"/>
              <w:bottom w:val="nil"/>
            </w:tcBorders>
            <w:vAlign w:val="center"/>
          </w:tcPr>
          <w:p w:rsidR="00634E52" w:rsidRDefault="00634E52">
            <w:pPr>
              <w:jc w:val="center"/>
              <w:rPr>
                <w:rFonts w:cs="Arial"/>
                <w:szCs w:val="20"/>
              </w:rPr>
            </w:pPr>
            <w:r>
              <w:rPr>
                <w:rFonts w:cs="Arial"/>
                <w:szCs w:val="20"/>
              </w:rPr>
              <w:t>-</w:t>
            </w:r>
          </w:p>
        </w:tc>
        <w:tc>
          <w:tcPr>
            <w:tcW w:w="696" w:type="pct"/>
            <w:tcBorders>
              <w:top w:val="nil"/>
              <w:bottom w:val="nil"/>
            </w:tcBorders>
            <w:vAlign w:val="center"/>
          </w:tcPr>
          <w:p w:rsidR="00634E52" w:rsidRDefault="00634E52">
            <w:pPr>
              <w:jc w:val="center"/>
              <w:rPr>
                <w:rFonts w:cs="Arial"/>
                <w:szCs w:val="20"/>
              </w:rPr>
            </w:pPr>
            <w:r>
              <w:rPr>
                <w:rFonts w:cs="Arial"/>
                <w:szCs w:val="20"/>
              </w:rPr>
              <w:t>-</w:t>
            </w:r>
          </w:p>
        </w:tc>
      </w:tr>
      <w:tr w:rsidR="00634E52" w:rsidRPr="006A7228" w:rsidTr="00EA6F25">
        <w:trPr>
          <w:trHeight w:val="510"/>
        </w:trPr>
        <w:tc>
          <w:tcPr>
            <w:tcW w:w="915" w:type="pct"/>
            <w:tcBorders>
              <w:top w:val="nil"/>
              <w:bottom w:val="nil"/>
            </w:tcBorders>
            <w:vAlign w:val="center"/>
          </w:tcPr>
          <w:p w:rsidR="00634E52" w:rsidRDefault="00634E52">
            <w:pPr>
              <w:rPr>
                <w:rFonts w:cs="Arial"/>
                <w:b/>
                <w:bCs/>
                <w:sz w:val="20"/>
                <w:szCs w:val="20"/>
              </w:rPr>
            </w:pPr>
            <w:r>
              <w:rPr>
                <w:rFonts w:cs="Arial"/>
                <w:b/>
                <w:bCs/>
                <w:sz w:val="20"/>
                <w:szCs w:val="20"/>
              </w:rPr>
              <w:t>Monthly</w:t>
            </w:r>
          </w:p>
        </w:tc>
        <w:tc>
          <w:tcPr>
            <w:tcW w:w="700" w:type="pct"/>
            <w:tcBorders>
              <w:top w:val="nil"/>
              <w:bottom w:val="nil"/>
            </w:tcBorders>
            <w:vAlign w:val="center"/>
          </w:tcPr>
          <w:p w:rsidR="00634E52" w:rsidRDefault="00634E52">
            <w:pPr>
              <w:jc w:val="center"/>
              <w:rPr>
                <w:rFonts w:cs="Arial"/>
                <w:sz w:val="20"/>
                <w:szCs w:val="20"/>
              </w:rPr>
            </w:pPr>
            <w:r>
              <w:rPr>
                <w:rFonts w:cs="Arial"/>
                <w:sz w:val="20"/>
                <w:szCs w:val="20"/>
              </w:rPr>
              <w:t>-</w:t>
            </w:r>
          </w:p>
        </w:tc>
        <w:tc>
          <w:tcPr>
            <w:tcW w:w="641" w:type="pct"/>
            <w:tcBorders>
              <w:top w:val="nil"/>
              <w:bottom w:val="nil"/>
            </w:tcBorders>
            <w:vAlign w:val="center"/>
          </w:tcPr>
          <w:p w:rsidR="00634E52" w:rsidRDefault="00634E52">
            <w:pPr>
              <w:jc w:val="center"/>
              <w:rPr>
                <w:rFonts w:cs="Arial"/>
                <w:sz w:val="20"/>
                <w:szCs w:val="20"/>
              </w:rPr>
            </w:pPr>
            <w:r>
              <w:rPr>
                <w:rFonts w:cs="Arial"/>
                <w:sz w:val="20"/>
                <w:szCs w:val="20"/>
              </w:rPr>
              <w:t>-</w:t>
            </w:r>
          </w:p>
        </w:tc>
        <w:tc>
          <w:tcPr>
            <w:tcW w:w="727" w:type="pct"/>
            <w:tcBorders>
              <w:top w:val="nil"/>
              <w:bottom w:val="nil"/>
            </w:tcBorders>
            <w:vAlign w:val="center"/>
          </w:tcPr>
          <w:p w:rsidR="00634E52" w:rsidRDefault="00634E52">
            <w:pPr>
              <w:jc w:val="center"/>
              <w:rPr>
                <w:rFonts w:cs="Arial"/>
                <w:sz w:val="20"/>
                <w:szCs w:val="20"/>
              </w:rPr>
            </w:pPr>
            <w:r>
              <w:rPr>
                <w:rFonts w:cs="Arial"/>
                <w:sz w:val="20"/>
                <w:szCs w:val="20"/>
              </w:rPr>
              <w:t>-</w:t>
            </w:r>
          </w:p>
        </w:tc>
        <w:tc>
          <w:tcPr>
            <w:tcW w:w="699" w:type="pct"/>
            <w:tcBorders>
              <w:top w:val="nil"/>
              <w:bottom w:val="nil"/>
            </w:tcBorders>
            <w:vAlign w:val="center"/>
          </w:tcPr>
          <w:p w:rsidR="00634E52" w:rsidRDefault="00634E52">
            <w:pPr>
              <w:jc w:val="center"/>
              <w:rPr>
                <w:rFonts w:cs="Arial"/>
                <w:sz w:val="20"/>
                <w:szCs w:val="20"/>
              </w:rPr>
            </w:pPr>
            <w:r>
              <w:rPr>
                <w:rFonts w:cs="Arial"/>
                <w:sz w:val="20"/>
                <w:szCs w:val="20"/>
              </w:rPr>
              <w:t>-</w:t>
            </w:r>
          </w:p>
        </w:tc>
        <w:tc>
          <w:tcPr>
            <w:tcW w:w="622" w:type="pct"/>
            <w:tcBorders>
              <w:top w:val="nil"/>
              <w:bottom w:val="nil"/>
            </w:tcBorders>
            <w:vAlign w:val="center"/>
          </w:tcPr>
          <w:p w:rsidR="00634E52" w:rsidRDefault="00634E52">
            <w:pPr>
              <w:jc w:val="center"/>
              <w:rPr>
                <w:rFonts w:cs="Arial"/>
                <w:sz w:val="20"/>
                <w:szCs w:val="20"/>
              </w:rPr>
            </w:pPr>
            <w:r>
              <w:rPr>
                <w:rFonts w:cs="Arial"/>
                <w:sz w:val="20"/>
                <w:szCs w:val="20"/>
              </w:rPr>
              <w:t>-</w:t>
            </w:r>
          </w:p>
        </w:tc>
        <w:tc>
          <w:tcPr>
            <w:tcW w:w="696" w:type="pct"/>
            <w:tcBorders>
              <w:top w:val="nil"/>
              <w:bottom w:val="nil"/>
            </w:tcBorders>
            <w:vAlign w:val="center"/>
          </w:tcPr>
          <w:p w:rsidR="00634E52" w:rsidRDefault="00634E52">
            <w:pPr>
              <w:jc w:val="center"/>
              <w:rPr>
                <w:rFonts w:cs="Arial"/>
                <w:sz w:val="20"/>
                <w:szCs w:val="20"/>
              </w:rPr>
            </w:pPr>
            <w:r>
              <w:rPr>
                <w:rFonts w:cs="Arial"/>
                <w:sz w:val="20"/>
                <w:szCs w:val="20"/>
              </w:rPr>
              <w:t>-</w:t>
            </w:r>
          </w:p>
        </w:tc>
      </w:tr>
      <w:tr w:rsidR="00634E52" w:rsidRPr="006A7228" w:rsidTr="00EA6F25">
        <w:trPr>
          <w:cnfStyle w:val="000000010000" w:firstRow="0" w:lastRow="0" w:firstColumn="0" w:lastColumn="0" w:oddVBand="0" w:evenVBand="0" w:oddHBand="0" w:evenHBand="1" w:firstRowFirstColumn="0" w:firstRowLastColumn="0" w:lastRowFirstColumn="0" w:lastRowLastColumn="0"/>
          <w:trHeight w:val="510"/>
        </w:trPr>
        <w:tc>
          <w:tcPr>
            <w:tcW w:w="915" w:type="pct"/>
            <w:tcBorders>
              <w:top w:val="nil"/>
              <w:bottom w:val="single" w:sz="4" w:space="0" w:color="auto"/>
            </w:tcBorders>
            <w:vAlign w:val="center"/>
          </w:tcPr>
          <w:p w:rsidR="00634E52" w:rsidRDefault="00634E52">
            <w:pPr>
              <w:rPr>
                <w:rFonts w:cs="Arial"/>
                <w:b/>
                <w:bCs/>
                <w:szCs w:val="20"/>
              </w:rPr>
            </w:pPr>
            <w:r>
              <w:rPr>
                <w:rFonts w:cs="Arial"/>
                <w:b/>
                <w:bCs/>
                <w:szCs w:val="20"/>
              </w:rPr>
              <w:t>Total</w:t>
            </w:r>
          </w:p>
        </w:tc>
        <w:tc>
          <w:tcPr>
            <w:tcW w:w="700" w:type="pct"/>
            <w:tcBorders>
              <w:top w:val="nil"/>
              <w:bottom w:val="single" w:sz="4" w:space="0" w:color="auto"/>
            </w:tcBorders>
            <w:vAlign w:val="center"/>
          </w:tcPr>
          <w:p w:rsidR="00634E52" w:rsidRDefault="00634E52">
            <w:pPr>
              <w:jc w:val="center"/>
              <w:rPr>
                <w:rFonts w:cs="Arial"/>
                <w:b/>
                <w:bCs/>
                <w:szCs w:val="20"/>
              </w:rPr>
            </w:pPr>
            <w:r>
              <w:rPr>
                <w:rFonts w:cs="Arial"/>
                <w:b/>
                <w:bCs/>
                <w:szCs w:val="20"/>
              </w:rPr>
              <w:t>-</w:t>
            </w:r>
          </w:p>
        </w:tc>
        <w:tc>
          <w:tcPr>
            <w:tcW w:w="641" w:type="pct"/>
            <w:tcBorders>
              <w:top w:val="nil"/>
              <w:bottom w:val="single" w:sz="4" w:space="0" w:color="auto"/>
            </w:tcBorders>
            <w:vAlign w:val="center"/>
          </w:tcPr>
          <w:p w:rsidR="00634E52" w:rsidRDefault="00634E52">
            <w:pPr>
              <w:jc w:val="center"/>
              <w:rPr>
                <w:rFonts w:cs="Arial"/>
                <w:b/>
                <w:bCs/>
                <w:szCs w:val="20"/>
              </w:rPr>
            </w:pPr>
            <w:r>
              <w:rPr>
                <w:rFonts w:cs="Arial"/>
                <w:b/>
                <w:bCs/>
                <w:szCs w:val="20"/>
              </w:rPr>
              <w:t>-</w:t>
            </w:r>
          </w:p>
        </w:tc>
        <w:tc>
          <w:tcPr>
            <w:tcW w:w="727" w:type="pct"/>
            <w:tcBorders>
              <w:top w:val="nil"/>
              <w:bottom w:val="single" w:sz="4" w:space="0" w:color="auto"/>
            </w:tcBorders>
            <w:vAlign w:val="center"/>
          </w:tcPr>
          <w:p w:rsidR="00634E52" w:rsidRDefault="00634E52">
            <w:pPr>
              <w:jc w:val="center"/>
              <w:rPr>
                <w:rFonts w:cs="Arial"/>
                <w:b/>
                <w:bCs/>
                <w:szCs w:val="20"/>
              </w:rPr>
            </w:pPr>
            <w:r>
              <w:rPr>
                <w:rFonts w:cs="Arial"/>
                <w:b/>
                <w:bCs/>
                <w:szCs w:val="20"/>
              </w:rPr>
              <w:t>7.40</w:t>
            </w:r>
          </w:p>
        </w:tc>
        <w:tc>
          <w:tcPr>
            <w:tcW w:w="699" w:type="pct"/>
            <w:tcBorders>
              <w:top w:val="nil"/>
              <w:bottom w:val="single" w:sz="4" w:space="0" w:color="auto"/>
            </w:tcBorders>
            <w:vAlign w:val="center"/>
          </w:tcPr>
          <w:p w:rsidR="00634E52" w:rsidRDefault="00634E52">
            <w:pPr>
              <w:jc w:val="center"/>
              <w:rPr>
                <w:rFonts w:cs="Arial"/>
                <w:b/>
                <w:bCs/>
                <w:szCs w:val="20"/>
              </w:rPr>
            </w:pPr>
            <w:r>
              <w:rPr>
                <w:rFonts w:cs="Arial"/>
                <w:b/>
                <w:bCs/>
                <w:szCs w:val="20"/>
              </w:rPr>
              <w:t>154.0</w:t>
            </w:r>
          </w:p>
        </w:tc>
        <w:tc>
          <w:tcPr>
            <w:tcW w:w="622" w:type="pct"/>
            <w:tcBorders>
              <w:top w:val="nil"/>
              <w:bottom w:val="single" w:sz="4" w:space="0" w:color="auto"/>
            </w:tcBorders>
            <w:vAlign w:val="center"/>
          </w:tcPr>
          <w:p w:rsidR="00634E52" w:rsidRDefault="00634E52">
            <w:pPr>
              <w:jc w:val="center"/>
              <w:rPr>
                <w:rFonts w:cs="Arial"/>
                <w:b/>
                <w:bCs/>
                <w:szCs w:val="20"/>
              </w:rPr>
            </w:pPr>
            <w:r>
              <w:rPr>
                <w:rFonts w:cs="Arial"/>
                <w:b/>
                <w:bCs/>
                <w:szCs w:val="20"/>
              </w:rPr>
              <w:t>7.92</w:t>
            </w:r>
          </w:p>
        </w:tc>
        <w:tc>
          <w:tcPr>
            <w:tcW w:w="696" w:type="pct"/>
            <w:tcBorders>
              <w:top w:val="nil"/>
              <w:bottom w:val="single" w:sz="4" w:space="0" w:color="auto"/>
            </w:tcBorders>
            <w:vAlign w:val="center"/>
          </w:tcPr>
          <w:p w:rsidR="00634E52" w:rsidRDefault="00634E52">
            <w:pPr>
              <w:jc w:val="center"/>
              <w:rPr>
                <w:rFonts w:cs="Arial"/>
                <w:b/>
                <w:bCs/>
                <w:szCs w:val="20"/>
              </w:rPr>
            </w:pPr>
            <w:r>
              <w:rPr>
                <w:rFonts w:cs="Arial"/>
                <w:b/>
                <w:bCs/>
                <w:szCs w:val="20"/>
              </w:rPr>
              <w:t>184.0</w:t>
            </w:r>
          </w:p>
        </w:tc>
      </w:tr>
    </w:tbl>
    <w:p w:rsidR="00410584" w:rsidRPr="00552F68" w:rsidRDefault="00410584" w:rsidP="00410584">
      <w:pPr>
        <w:pStyle w:val="AERbodytext"/>
        <w:rPr>
          <w:sz w:val="16"/>
        </w:rPr>
      </w:pPr>
      <w:r w:rsidRPr="00552F68">
        <w:rPr>
          <w:sz w:val="16"/>
        </w:rPr>
        <w:t xml:space="preserve">* </w:t>
      </w:r>
      <w:r w:rsidR="008D7D94">
        <w:rPr>
          <w:sz w:val="16"/>
        </w:rPr>
        <w:t>includes n</w:t>
      </w:r>
      <w:r w:rsidRPr="00552F68">
        <w:rPr>
          <w:sz w:val="16"/>
        </w:rPr>
        <w:t xml:space="preserve">on-netted </w:t>
      </w:r>
      <w:r w:rsidR="008D7D94">
        <w:rPr>
          <w:sz w:val="16"/>
        </w:rPr>
        <w:t>(off-market) trades</w:t>
      </w:r>
      <w:r w:rsidRPr="00552F68">
        <w:rPr>
          <w:sz w:val="16"/>
        </w:rPr>
        <w:t>.</w:t>
      </w:r>
    </w:p>
    <w:p w:rsidR="001934E9" w:rsidRDefault="00C370D1" w:rsidP="00A226E9">
      <w:pPr>
        <w:keepNext/>
      </w:pPr>
      <w:r>
        <w:t>Figure 6</w:t>
      </w:r>
      <w:r w:rsidR="001934E9" w:rsidRPr="00552F68">
        <w:t xml:space="preserve"> shows Bulletin Board pipeline flows for the three LNG export pipeline facilities and the production output at related production facilities in the Roma region.</w:t>
      </w:r>
    </w:p>
    <w:p w:rsidR="001934E9" w:rsidRDefault="001934E9" w:rsidP="001934E9">
      <w:pPr>
        <w:pStyle w:val="Caption"/>
        <w:rPr>
          <w:color w:val="2272A3"/>
          <w:szCs w:val="24"/>
        </w:rPr>
      </w:pPr>
      <w:r w:rsidRPr="001521CB">
        <w:t xml:space="preserve">Figure </w:t>
      </w:r>
      <w:r w:rsidR="00AF3126">
        <w:fldChar w:fldCharType="begin"/>
      </w:r>
      <w:r w:rsidR="00AF3126">
        <w:instrText xml:space="preserve"> SEQ Figure \* ARABIC </w:instrText>
      </w:r>
      <w:r w:rsidR="00AF3126">
        <w:fldChar w:fldCharType="separate"/>
      </w:r>
      <w:r w:rsidR="00C370D1">
        <w:rPr>
          <w:noProof/>
        </w:rPr>
        <w:t>6</w:t>
      </w:r>
      <w:r w:rsidR="00AF3126">
        <w:rPr>
          <w:noProof/>
        </w:rPr>
        <w:fldChar w:fldCharType="end"/>
      </w:r>
      <w:r w:rsidRPr="001521CB">
        <w:t xml:space="preserve">: </w:t>
      </w:r>
      <w:r w:rsidR="00A226E9">
        <w:rPr>
          <w:color w:val="2272A3"/>
          <w:szCs w:val="24"/>
        </w:rPr>
        <w:t>LNG export pipeline and production flows</w:t>
      </w:r>
      <w:r w:rsidR="00587CFB">
        <w:rPr>
          <w:color w:val="2272A3"/>
          <w:szCs w:val="24"/>
        </w:rPr>
        <w:t xml:space="preserve"> (TJ)</w:t>
      </w:r>
      <w:r w:rsidR="000C52E2">
        <w:rPr>
          <w:color w:val="2272A3"/>
          <w:szCs w:val="24"/>
        </w:rPr>
        <w:t>*</w:t>
      </w:r>
    </w:p>
    <w:p w:rsidR="001934E9" w:rsidRPr="00E16EDC" w:rsidRDefault="00634E52" w:rsidP="00E33530">
      <w:pPr>
        <w:keepNext/>
      </w:pPr>
      <w:r w:rsidRPr="00634E52">
        <w:rPr>
          <w:noProof/>
          <w:lang w:eastAsia="en-AU"/>
        </w:rPr>
        <w:drawing>
          <wp:inline distT="0" distB="0" distL="0" distR="0" wp14:anchorId="4326BFEE" wp14:editId="409DE2BB">
            <wp:extent cx="5731510" cy="3179062"/>
            <wp:effectExtent l="0" t="0" r="2540" b="2540"/>
            <wp:docPr id="7" name="Picture 7" descr="Figure 6 shows the daily quantity of gas flowed on each of the three Queensland LNG export pipelines. Quantities of gas supplied by production facilities in the Roma region owned by these pipelines are also shown, grouped for each participant (APLNG, GLNG/Santos and QCLNG/QCG)." title="LNG export and 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179062"/>
                    </a:xfrm>
                    <a:prstGeom prst="rect">
                      <a:avLst/>
                    </a:prstGeom>
                    <a:noFill/>
                    <a:ln>
                      <a:noFill/>
                    </a:ln>
                  </pic:spPr>
                </pic:pic>
              </a:graphicData>
            </a:graphic>
          </wp:inline>
        </w:drawing>
      </w:r>
    </w:p>
    <w:p w:rsidR="009C4C5E" w:rsidRPr="00AB478D" w:rsidRDefault="009C4C5E" w:rsidP="009C4C5E">
      <w:pPr>
        <w:jc w:val="both"/>
        <w:rPr>
          <w:sz w:val="16"/>
          <w:szCs w:val="16"/>
        </w:rPr>
      </w:pPr>
      <w:r w:rsidRPr="00973B9F">
        <w:rPr>
          <w:sz w:val="16"/>
          <w:szCs w:val="16"/>
        </w:rPr>
        <w:t xml:space="preserve">* Production quantities represent flows from facilities operated by APLNG, Santos </w:t>
      </w:r>
      <w:r>
        <w:rPr>
          <w:sz w:val="16"/>
          <w:szCs w:val="16"/>
        </w:rPr>
        <w:t xml:space="preserve">and </w:t>
      </w:r>
      <w:r w:rsidRPr="00973B9F">
        <w:rPr>
          <w:sz w:val="16"/>
          <w:szCs w:val="16"/>
        </w:rPr>
        <w:t>QGC in the Roma region. Gas from individual facilities may also supply the domestic market, other LNG projects or storage facilities.</w:t>
      </w:r>
    </w:p>
    <w:p w:rsidR="00983382" w:rsidRDefault="00983382">
      <w:pPr>
        <w:spacing w:line="240" w:lineRule="auto"/>
        <w:rPr>
          <w:rFonts w:eastAsia="Times New Roman" w:cs="Times New Roman"/>
          <w:b/>
          <w:bCs/>
          <w:color w:val="2272A3" w:themeColor="accent4" w:themeShade="80"/>
          <w:sz w:val="32"/>
          <w:szCs w:val="20"/>
        </w:rPr>
      </w:pPr>
      <w:r>
        <w:rPr>
          <w:rFonts w:eastAsia="Times New Roman" w:cs="Times New Roman"/>
          <w:color w:val="2272A3" w:themeColor="accent4" w:themeShade="80"/>
          <w:sz w:val="32"/>
          <w:szCs w:val="20"/>
        </w:rPr>
        <w:br w:type="page"/>
      </w:r>
    </w:p>
    <w:p w:rsidR="001521CB" w:rsidRDefault="001521CB" w:rsidP="001521CB">
      <w:pPr>
        <w:pStyle w:val="Heading3"/>
        <w:rPr>
          <w:rFonts w:eastAsia="Times New Roman" w:cs="Times New Roman"/>
          <w:color w:val="2272A3" w:themeColor="accent4" w:themeShade="80"/>
          <w:sz w:val="32"/>
          <w:szCs w:val="20"/>
        </w:rPr>
      </w:pPr>
      <w:r w:rsidRPr="001521CB">
        <w:rPr>
          <w:rFonts w:eastAsia="Times New Roman" w:cs="Times New Roman"/>
          <w:color w:val="2272A3" w:themeColor="accent4" w:themeShade="80"/>
          <w:sz w:val="32"/>
          <w:szCs w:val="20"/>
        </w:rPr>
        <w:lastRenderedPageBreak/>
        <w:t>Detailed market analysis</w:t>
      </w:r>
    </w:p>
    <w:p w:rsidR="00362E07" w:rsidRPr="005933A8" w:rsidRDefault="00362E07" w:rsidP="00362E07">
      <w:pPr>
        <w:jc w:val="both"/>
        <w:rPr>
          <w:b/>
        </w:rPr>
      </w:pPr>
      <w:r w:rsidRPr="00C43C7F">
        <w:t xml:space="preserve">The gas </w:t>
      </w:r>
      <w:r>
        <w:t>consumed</w:t>
      </w:r>
      <w:r w:rsidRPr="00C43C7F">
        <w:t xml:space="preserve"> </w:t>
      </w:r>
      <w:r>
        <w:t>by GPG</w:t>
      </w:r>
      <w:r w:rsidRPr="00C43C7F">
        <w:t xml:space="preserve"> in southern markets increased for a </w:t>
      </w:r>
      <w:r>
        <w:t>third</w:t>
      </w:r>
      <w:r w:rsidRPr="00C43C7F">
        <w:t xml:space="preserve"> consecutive week. </w:t>
      </w:r>
      <w:r>
        <w:t>The average daily gas usage for GPG in Victoria was 114 TJ. In South Australia, the daily average was 263 TJ.</w:t>
      </w:r>
      <w:r>
        <w:rPr>
          <w:rStyle w:val="FootnoteReference"/>
        </w:rPr>
        <w:footnoteReference w:id="3"/>
      </w:r>
      <w:r>
        <w:t xml:space="preserve">  </w:t>
      </w:r>
      <w:r w:rsidRPr="00C43C7F">
        <w:t xml:space="preserve"> </w:t>
      </w:r>
    </w:p>
    <w:p w:rsidR="000758A3" w:rsidRPr="00DF41EA" w:rsidRDefault="000758A3" w:rsidP="000758A3">
      <w:pPr>
        <w:jc w:val="both"/>
      </w:pPr>
      <w:r>
        <w:t xml:space="preserve">In Victoria, </w:t>
      </w:r>
      <w:r w:rsidR="00F3660F">
        <w:t>demand decreased slightly compared to the previous week but still remained around 800 TJ/day or higher (see figure 1.1).</w:t>
      </w:r>
      <w:r>
        <w:t xml:space="preserve"> </w:t>
      </w:r>
      <w:r w:rsidR="00983382">
        <w:t xml:space="preserve">Recent commissioning works in the region related to </w:t>
      </w:r>
      <w:r w:rsidR="00BF2CCF">
        <w:t>P</w:t>
      </w:r>
      <w:r w:rsidR="00983382">
        <w:t>hase B</w:t>
      </w:r>
      <w:r w:rsidR="00BF2CCF">
        <w:rPr>
          <w:rStyle w:val="FootnoteReference"/>
        </w:rPr>
        <w:footnoteReference w:id="4"/>
      </w:r>
      <w:r w:rsidR="00983382">
        <w:t xml:space="preserve"> of the VNIE</w:t>
      </w:r>
      <w:r w:rsidR="00983382">
        <w:rPr>
          <w:rStyle w:val="FootnoteReference"/>
        </w:rPr>
        <w:footnoteReference w:id="5"/>
      </w:r>
      <w:r w:rsidR="00983382">
        <w:t xml:space="preserve"> </w:t>
      </w:r>
      <w:r w:rsidR="00BF2CCF">
        <w:t xml:space="preserve">project </w:t>
      </w:r>
      <w:r w:rsidR="00983382">
        <w:t>are scheduled to commence from the end of June.</w:t>
      </w:r>
      <w:r w:rsidR="00983382">
        <w:rPr>
          <w:rStyle w:val="FootnoteReference"/>
        </w:rPr>
        <w:footnoteReference w:id="6"/>
      </w:r>
      <w:r>
        <w:t xml:space="preserve">   </w:t>
      </w:r>
    </w:p>
    <w:p w:rsidR="00995346" w:rsidRPr="00995346" w:rsidRDefault="00995346" w:rsidP="00995346">
      <w:pPr>
        <w:jc w:val="both"/>
      </w:pPr>
      <w:r>
        <w:t xml:space="preserve">In Sydney, MOS service payments exceeded $50,000 on three occasions (see figure 2.4). </w:t>
      </w:r>
      <w:r w:rsidR="00F3660F">
        <w:t xml:space="preserve">The highest payments, up to $103,378 on 12 June, were primarily the result of over forecasting in the hub, while counteracting MOS deliveries on subsequent days caused high payments later in the week. </w:t>
      </w:r>
    </w:p>
    <w:p w:rsidR="001521CB" w:rsidRDefault="001521CB" w:rsidP="00486111">
      <w:pPr>
        <w:jc w:val="both"/>
        <w:rPr>
          <w:rFonts w:eastAsiaTheme="majorEastAsia" w:cstheme="majorBidi"/>
          <w:b/>
          <w:bCs/>
          <w:color w:val="51626F"/>
          <w:sz w:val="28"/>
          <w:szCs w:val="26"/>
        </w:rPr>
      </w:pPr>
      <w:r>
        <w:br w:type="page"/>
      </w:r>
    </w:p>
    <w:p w:rsidR="001521CB" w:rsidRPr="003171C6" w:rsidRDefault="001521CB" w:rsidP="003171C6">
      <w:pPr>
        <w:pStyle w:val="Heading2"/>
        <w:ind w:left="142"/>
        <w:rPr>
          <w:sz w:val="36"/>
          <w:szCs w:val="36"/>
        </w:rPr>
      </w:pPr>
      <w:r w:rsidRPr="003171C6">
        <w:rPr>
          <w:noProof/>
          <w:color w:val="FFFFFF" w:themeColor="background1"/>
          <w:sz w:val="36"/>
          <w:szCs w:val="36"/>
          <w:lang w:eastAsia="en-AU"/>
        </w:rPr>
        <w:lastRenderedPageBreak/>
        <w:drawing>
          <wp:anchor distT="0" distB="0" distL="114300" distR="114300" simplePos="0" relativeHeight="251667456" behindDoc="1" locked="0" layoutInCell="1" allowOverlap="1" wp14:anchorId="4F638990" wp14:editId="38A14117">
            <wp:simplePos x="0" y="0"/>
            <wp:positionH relativeFrom="column">
              <wp:posOffset>0</wp:posOffset>
            </wp:positionH>
            <wp:positionV relativeFrom="paragraph">
              <wp:posOffset>-13970</wp:posOffset>
            </wp:positionV>
            <wp:extent cx="6048375" cy="981075"/>
            <wp:effectExtent l="0" t="0" r="9525" b="9525"/>
            <wp:wrapNone/>
            <wp:docPr id="4" name="Picture 4" descr="Australian Energy Regula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stralian Energy Regulator 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48375" cy="981075"/>
                    </a:xfrm>
                    <a:prstGeom prst="rect">
                      <a:avLst/>
                    </a:prstGeom>
                    <a:noFill/>
                  </pic:spPr>
                </pic:pic>
              </a:graphicData>
            </a:graphic>
            <wp14:sizeRelH relativeFrom="page">
              <wp14:pctWidth>0</wp14:pctWidth>
            </wp14:sizeRelH>
            <wp14:sizeRelV relativeFrom="page">
              <wp14:pctHeight>0</wp14:pctHeight>
            </wp14:sizeRelV>
          </wp:anchor>
        </w:drawing>
      </w:r>
      <w:r w:rsidRPr="003171C6">
        <w:rPr>
          <w:color w:val="FFFFFF" w:themeColor="background1"/>
          <w:sz w:val="36"/>
          <w:szCs w:val="36"/>
        </w:rPr>
        <w:t xml:space="preserve">Detailed </w:t>
      </w:r>
      <w:r w:rsidR="003171C6">
        <w:rPr>
          <w:color w:val="FFFFFF" w:themeColor="background1"/>
          <w:sz w:val="36"/>
          <w:szCs w:val="36"/>
        </w:rPr>
        <w:t>M</w:t>
      </w:r>
      <w:r w:rsidRPr="003171C6">
        <w:rPr>
          <w:color w:val="FFFFFF" w:themeColor="background1"/>
          <w:sz w:val="36"/>
          <w:szCs w:val="36"/>
        </w:rPr>
        <w:t xml:space="preserve">arket </w:t>
      </w:r>
      <w:r w:rsidR="003171C6">
        <w:rPr>
          <w:color w:val="FFFFFF" w:themeColor="background1"/>
          <w:sz w:val="36"/>
          <w:szCs w:val="36"/>
        </w:rPr>
        <w:t>F</w:t>
      </w:r>
      <w:r w:rsidRPr="003171C6">
        <w:rPr>
          <w:color w:val="FFFFFF" w:themeColor="background1"/>
          <w:sz w:val="36"/>
          <w:szCs w:val="36"/>
        </w:rPr>
        <w:t>igures</w:t>
      </w:r>
    </w:p>
    <w:p w:rsidR="001521CB" w:rsidRPr="00A16975" w:rsidRDefault="001521CB" w:rsidP="001521CB">
      <w:pPr>
        <w:rPr>
          <w:sz w:val="28"/>
        </w:rPr>
      </w:pPr>
    </w:p>
    <w:p w:rsidR="001521CB" w:rsidRPr="00A16975" w:rsidRDefault="001521CB" w:rsidP="001521CB">
      <w:pPr>
        <w:rPr>
          <w:sz w:val="28"/>
        </w:rPr>
      </w:pPr>
    </w:p>
    <w:p w:rsidR="003171C6" w:rsidRDefault="003171C6" w:rsidP="003171C6">
      <w:pPr>
        <w:pStyle w:val="Heading3"/>
        <w:rPr>
          <w:rFonts w:eastAsia="Times New Roman" w:cs="Times New Roman"/>
          <w:color w:val="2272A3" w:themeColor="accent4" w:themeShade="80"/>
          <w:sz w:val="32"/>
          <w:szCs w:val="20"/>
        </w:rPr>
      </w:pPr>
      <w:r w:rsidRPr="003171C6">
        <w:rPr>
          <w:rFonts w:eastAsia="Times New Roman" w:cs="Times New Roman"/>
          <w:color w:val="2272A3" w:themeColor="accent4" w:themeShade="80"/>
          <w:sz w:val="32"/>
          <w:szCs w:val="20"/>
        </w:rPr>
        <w:t>1. Victorian Declared Wholesale Market</w:t>
      </w:r>
    </w:p>
    <w:p w:rsidR="00EC2CB1" w:rsidRPr="00EF58A8" w:rsidRDefault="00EC2CB1" w:rsidP="00551D6B">
      <w:pPr>
        <w:jc w:val="both"/>
      </w:pPr>
      <w:r w:rsidRPr="00EF58A8">
        <w:t>In the Victorian gas market, gas is priced five times daily at 6 am, 10 am, 2 pm, 6 pm and 10 pm. The imbalance weighted price on a gas day tends towards the 6 am price</w:t>
      </w:r>
      <w:r w:rsidRPr="00EF58A8">
        <w:rPr>
          <w:rStyle w:val="FootnoteReference"/>
        </w:rPr>
        <w:footnoteReference w:id="7"/>
      </w:r>
      <w:r w:rsidRPr="00EF58A8">
        <w:t xml:space="preserve"> which is the schedule at which most gas is traded. </w:t>
      </w:r>
    </w:p>
    <w:p w:rsidR="003171C6" w:rsidRDefault="00EC2CB1" w:rsidP="00551D6B">
      <w:pPr>
        <w:jc w:val="both"/>
      </w:pPr>
      <w:r w:rsidRPr="00EF58A8">
        <w:t>The main drivers</w:t>
      </w:r>
      <w:r w:rsidRPr="00EF58A8">
        <w:rPr>
          <w:rStyle w:val="FootnoteReference"/>
        </w:rPr>
        <w:footnoteReference w:id="8"/>
      </w:r>
      <w:r w:rsidRPr="00EF58A8">
        <w:t xml:space="preserve"> of price are demand forecasts and bids to inject or withdraw gas from the market.</w:t>
      </w:r>
      <w:r w:rsidRPr="00EF58A8">
        <w:rPr>
          <w:rStyle w:val="FootnoteReference"/>
        </w:rPr>
        <w:t xml:space="preserve"> </w:t>
      </w:r>
      <w:r w:rsidRPr="00EF58A8">
        <w:t>Figures 1.1 to 1.4 below show the daily prices, demand forecasts</w:t>
      </w:r>
      <w:r w:rsidRPr="00EF58A8">
        <w:rPr>
          <w:rStyle w:val="FootnoteReference"/>
        </w:rPr>
        <w:footnoteReference w:id="9"/>
      </w:r>
      <w:r w:rsidRPr="00EF58A8">
        <w:t>, and injection/withdrawal bids for each of the five pricing schedules. Figure 1.5 provides information on which system injection points were used to deliver gas, in turn indicating the location and relative quantity of gas injection bids cleared through the market.</w:t>
      </w:r>
    </w:p>
    <w:p w:rsidR="00A16975" w:rsidRDefault="00A16975" w:rsidP="00551D6B">
      <w:pPr>
        <w:jc w:val="both"/>
      </w:pPr>
      <w:r w:rsidRPr="00552F68">
        <w:t>Ancillary payments for gas injected above the market price are shown above in figure 3.</w:t>
      </w:r>
    </w:p>
    <w:p w:rsidR="003171C6" w:rsidRDefault="00EC2CB1" w:rsidP="003171C6">
      <w:pPr>
        <w:pStyle w:val="Caption"/>
        <w:numPr>
          <w:ilvl w:val="0"/>
          <w:numId w:val="29"/>
        </w:numPr>
        <w:ind w:left="709" w:hanging="709"/>
        <w:rPr>
          <w:color w:val="2272A3"/>
          <w:szCs w:val="24"/>
        </w:rPr>
      </w:pPr>
      <w:r w:rsidRPr="00DD0358">
        <w:rPr>
          <w:color w:val="2272A3"/>
        </w:rPr>
        <w:t>Prices by schedule</w:t>
      </w:r>
      <w:r w:rsidR="00817724">
        <w:rPr>
          <w:color w:val="2272A3"/>
        </w:rPr>
        <w:t xml:space="preserve"> </w:t>
      </w:r>
      <w:r w:rsidR="00817724" w:rsidRPr="00552F68">
        <w:rPr>
          <w:color w:val="2272A3"/>
          <w:szCs w:val="24"/>
        </w:rPr>
        <w:t>($/GJ)</w:t>
      </w:r>
    </w:p>
    <w:p w:rsidR="003171C6" w:rsidRPr="004C571B" w:rsidRDefault="00634E52" w:rsidP="003171C6">
      <w:r w:rsidRPr="00634E52">
        <w:rPr>
          <w:noProof/>
          <w:lang w:eastAsia="en-AU"/>
        </w:rPr>
        <w:drawing>
          <wp:inline distT="0" distB="0" distL="0" distR="0" wp14:anchorId="1D4AD8CA" wp14:editId="5B6B7128">
            <wp:extent cx="5731510" cy="1650203"/>
            <wp:effectExtent l="0" t="0" r="2540" b="7620"/>
            <wp:docPr id="13" name="Picture 13" descr="Figure 1.1 shows the five Victorian schedule prices for each day this week. The marker indicates the daily imbalance weighted average price for each day. For a more detailed description of this figure, please refer to the user guide." title="Victorian prices by sche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1650203"/>
                    </a:xfrm>
                    <a:prstGeom prst="rect">
                      <a:avLst/>
                    </a:prstGeom>
                    <a:noFill/>
                    <a:ln>
                      <a:noFill/>
                    </a:ln>
                  </pic:spPr>
                </pic:pic>
              </a:graphicData>
            </a:graphic>
          </wp:inline>
        </w:drawing>
      </w:r>
    </w:p>
    <w:p w:rsidR="003171C6" w:rsidRPr="001521CB" w:rsidRDefault="00EC2CB1" w:rsidP="003171C6">
      <w:pPr>
        <w:pStyle w:val="Caption"/>
        <w:numPr>
          <w:ilvl w:val="0"/>
          <w:numId w:val="29"/>
        </w:numPr>
        <w:ind w:left="709" w:hanging="709"/>
      </w:pPr>
      <w:r w:rsidRPr="00DD0358">
        <w:rPr>
          <w:color w:val="2272A3"/>
        </w:rPr>
        <w:t>Demand forecasts</w:t>
      </w:r>
      <w:r w:rsidR="00817724">
        <w:rPr>
          <w:color w:val="2272A3"/>
        </w:rPr>
        <w:t xml:space="preserve"> </w:t>
      </w:r>
      <w:r w:rsidR="00817724" w:rsidRPr="00552F68">
        <w:rPr>
          <w:color w:val="2272A3"/>
          <w:szCs w:val="24"/>
        </w:rPr>
        <w:t>(TJ)</w:t>
      </w:r>
    </w:p>
    <w:p w:rsidR="003171C6" w:rsidRDefault="00BF0982" w:rsidP="003171C6">
      <w:r w:rsidRPr="00BF0982">
        <w:rPr>
          <w:noProof/>
          <w:lang w:eastAsia="en-AU"/>
        </w:rPr>
        <w:drawing>
          <wp:inline distT="0" distB="0" distL="0" distR="0" wp14:anchorId="43E0F914" wp14:editId="28C03D2C">
            <wp:extent cx="5731510" cy="2132322"/>
            <wp:effectExtent l="0" t="0" r="2540" b="1905"/>
            <wp:docPr id="3" name="Picture 3" descr="Figure 1.2 shows the demand forecast used to calculate the five daily schedule prices for this week. For a more detailed description of this figure, please refer to the user guide." title="Victorian demand foreca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2132322"/>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lastRenderedPageBreak/>
        <w:t>Injection bids by price bands</w:t>
      </w:r>
      <w:r w:rsidR="00817724">
        <w:rPr>
          <w:color w:val="2272A3"/>
        </w:rPr>
        <w:t xml:space="preserve"> </w:t>
      </w:r>
      <w:r w:rsidR="00817724">
        <w:rPr>
          <w:color w:val="2272A3"/>
          <w:szCs w:val="24"/>
        </w:rPr>
        <w:t>(</w:t>
      </w:r>
      <w:r w:rsidR="00817724" w:rsidRPr="00552F68">
        <w:rPr>
          <w:color w:val="2272A3"/>
          <w:szCs w:val="24"/>
        </w:rPr>
        <w:t>TJ)</w:t>
      </w:r>
    </w:p>
    <w:p w:rsidR="00EC2CB1" w:rsidRDefault="00634E52" w:rsidP="003171C6">
      <w:r w:rsidRPr="00634E52">
        <w:rPr>
          <w:noProof/>
          <w:lang w:eastAsia="en-AU"/>
        </w:rPr>
        <w:drawing>
          <wp:inline distT="0" distB="0" distL="0" distR="0" wp14:anchorId="71F790B5" wp14:editId="417753C9">
            <wp:extent cx="5731510" cy="2486687"/>
            <wp:effectExtent l="0" t="0" r="2540" b="8890"/>
            <wp:docPr id="15" name="Picture 15" descr="Figure 1.3 shows the injection bids within certain price bands for each trading interval in Victoria this week. For a more detailed description of this figure, please refer to the user guide." title="Injections bids by price b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2486687"/>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t>Withdrawal bids by price bands</w:t>
      </w:r>
      <w:r w:rsidR="00817724">
        <w:rPr>
          <w:color w:val="2272A3"/>
        </w:rPr>
        <w:t xml:space="preserve"> </w:t>
      </w:r>
      <w:r w:rsidR="00817724" w:rsidRPr="00552F68">
        <w:rPr>
          <w:color w:val="2272A3"/>
          <w:szCs w:val="24"/>
        </w:rPr>
        <w:t>(TJ)</w:t>
      </w:r>
    </w:p>
    <w:p w:rsidR="00EC2CB1" w:rsidRDefault="00634E52" w:rsidP="003171C6">
      <w:r w:rsidRPr="00634E52">
        <w:rPr>
          <w:noProof/>
          <w:lang w:eastAsia="en-AU"/>
        </w:rPr>
        <w:drawing>
          <wp:inline distT="0" distB="0" distL="0" distR="0" wp14:anchorId="19D60C61" wp14:editId="43A5AE38">
            <wp:extent cx="5731510" cy="1958582"/>
            <wp:effectExtent l="0" t="0" r="2540" b="3810"/>
            <wp:docPr id="16" name="Picture 16" descr="Figure 1.4 shows the withdrawal bids within certain price bands for each trading interval in Victoria this week. For a more detailed description of this figure, please refer to the user guide." title="Withdrawal bids by price b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1958582"/>
                    </a:xfrm>
                    <a:prstGeom prst="rect">
                      <a:avLst/>
                    </a:prstGeom>
                    <a:noFill/>
                    <a:ln>
                      <a:noFill/>
                    </a:ln>
                  </pic:spPr>
                </pic:pic>
              </a:graphicData>
            </a:graphic>
          </wp:inline>
        </w:drawing>
      </w:r>
    </w:p>
    <w:p w:rsidR="00EC2CB1" w:rsidRPr="001163E9" w:rsidRDefault="00EC2CB1" w:rsidP="00EC2CB1">
      <w:pPr>
        <w:pStyle w:val="Caption"/>
        <w:numPr>
          <w:ilvl w:val="0"/>
          <w:numId w:val="29"/>
        </w:numPr>
        <w:ind w:left="709" w:hanging="709"/>
      </w:pPr>
      <w:r w:rsidRPr="001163E9">
        <w:t>Metered Injections by System Injection Point</w:t>
      </w:r>
      <w:r w:rsidR="00817724" w:rsidRPr="001163E9">
        <w:t xml:space="preserve"> </w:t>
      </w:r>
      <w:r w:rsidR="00817724" w:rsidRPr="001163E9">
        <w:rPr>
          <w:szCs w:val="24"/>
        </w:rPr>
        <w:t>(TJ)</w:t>
      </w:r>
    </w:p>
    <w:p w:rsidR="00EC2CB1" w:rsidRDefault="00F6030B" w:rsidP="003171C6">
      <w:r w:rsidRPr="00F6030B">
        <w:rPr>
          <w:noProof/>
          <w:lang w:eastAsia="en-AU"/>
        </w:rPr>
        <w:drawing>
          <wp:inline distT="0" distB="0" distL="0" distR="0" wp14:anchorId="46197109" wp14:editId="5912462D">
            <wp:extent cx="5731510" cy="2142691"/>
            <wp:effectExtent l="0" t="0" r="2540" b="0"/>
            <wp:docPr id="5" name="Picture 5" descr="Figure 1.5 shows the metered injections sorted by facility for each 4 hour interval in Victoria this week. For a more detailed description of this figure, please refer to the user guide." title="Victorian metered inj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2142691"/>
                    </a:xfrm>
                    <a:prstGeom prst="rect">
                      <a:avLst/>
                    </a:prstGeom>
                    <a:noFill/>
                    <a:ln>
                      <a:noFill/>
                    </a:ln>
                  </pic:spPr>
                </pic:pic>
              </a:graphicData>
            </a:graphic>
          </wp:inline>
        </w:drawing>
      </w:r>
    </w:p>
    <w:p w:rsidR="00EC2CB1" w:rsidRPr="00EF58A8" w:rsidRDefault="00EC2CB1" w:rsidP="00EC2CB1">
      <w:pPr>
        <w:ind w:left="720"/>
        <w:rPr>
          <w:sz w:val="18"/>
          <w:szCs w:val="18"/>
        </w:rPr>
      </w:pPr>
      <w:r w:rsidRPr="00EF58A8">
        <w:rPr>
          <w:sz w:val="18"/>
          <w:szCs w:val="18"/>
        </w:rPr>
        <w:t>Note that in figure 1.5, the last 8</w:t>
      </w:r>
      <w:r w:rsidRPr="00EF58A8">
        <w:rPr>
          <w:sz w:val="18"/>
          <w:szCs w:val="18"/>
        </w:rPr>
        <w:noBreakHyphen/>
        <w:t>hour schedule from 10 pm has been separated into two 4</w:t>
      </w:r>
      <w:r w:rsidRPr="00EF58A8">
        <w:rPr>
          <w:sz w:val="18"/>
          <w:szCs w:val="18"/>
        </w:rPr>
        <w:noBreakHyphen/>
        <w:t>hour blocks to provide a consistent comparison with earlier scheduled injection volumes.</w:t>
      </w:r>
    </w:p>
    <w:p w:rsidR="00EC2CB1" w:rsidRPr="003171C6" w:rsidRDefault="00EC2CB1" w:rsidP="003171C6"/>
    <w:p w:rsidR="00EC2CB1" w:rsidRDefault="00EC2CB1">
      <w:pPr>
        <w:spacing w:line="240" w:lineRule="auto"/>
        <w:rPr>
          <w:rFonts w:eastAsia="Times New Roman" w:cs="Times New Roman"/>
          <w:b/>
          <w:bCs/>
          <w:color w:val="2272A3" w:themeColor="accent4" w:themeShade="80"/>
          <w:sz w:val="32"/>
          <w:szCs w:val="20"/>
        </w:rPr>
      </w:pPr>
      <w:r>
        <w:rPr>
          <w:rFonts w:eastAsia="Times New Roman" w:cs="Times New Roman"/>
          <w:color w:val="2272A3" w:themeColor="accent4" w:themeShade="80"/>
          <w:sz w:val="32"/>
          <w:szCs w:val="20"/>
        </w:rPr>
        <w:br w:type="page"/>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2</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Sydney STTM</w:t>
      </w:r>
    </w:p>
    <w:p w:rsidR="00EC2CB1" w:rsidRPr="00EF58A8" w:rsidRDefault="00EC2CB1" w:rsidP="00EC2CB1">
      <w:pPr>
        <w:jc w:val="both"/>
      </w:pPr>
      <w:r>
        <w:t xml:space="preserve">In each </w:t>
      </w:r>
      <w:r w:rsidRPr="00EF58A8">
        <w:t>STTM hub, a daily gas price is calculated before the gas day (the ex ante price) and after the gas day (the ex post price). The main drivers of these prices are participant demand forecasts, and offers to inject or bids to withdraw gas traded at the hub.</w:t>
      </w:r>
      <w:r w:rsidRPr="00EF58A8">
        <w:rPr>
          <w:rStyle w:val="FootnoteReference"/>
        </w:rPr>
        <w:footnoteReference w:id="10"/>
      </w:r>
      <w:r w:rsidRPr="00EF58A8">
        <w:t xml:space="preserve"> Divergences in ex ante and ex post prices for a gas day may occur due to differences in scheduled (forecast) and allocated (actual) quantities.</w:t>
      </w:r>
      <w:r>
        <w:t xml:space="preserve"> Pipeline acronyms are defined in the </w:t>
      </w:r>
      <w:hyperlink r:id="rId21" w:history="1">
        <w:r>
          <w:rPr>
            <w:rStyle w:val="Hyperlink"/>
          </w:rPr>
          <w:t>user guide</w:t>
        </w:r>
      </w:hyperlink>
      <w:r>
        <w:t>.</w:t>
      </w:r>
    </w:p>
    <w:p w:rsidR="00EC2CB1" w:rsidRPr="00EF58A8" w:rsidRDefault="00EC2CB1" w:rsidP="00EC2CB1">
      <w:pPr>
        <w:pStyle w:val="AERbodytext"/>
        <w:spacing w:line="240" w:lineRule="auto"/>
      </w:pPr>
      <w:r w:rsidRPr="00EF58A8">
        <w:t>Market Operator Service balancing gas (MOS) payments arise because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sidRPr="00EF58A8">
        <w:rPr>
          <w:rStyle w:val="FootnoteReference"/>
        </w:rPr>
        <w:footnoteReference w:id="11"/>
      </w:r>
      <w:r w:rsidRPr="00EF58A8">
        <w:t xml:space="preserve"> </w:t>
      </w:r>
    </w:p>
    <w:p w:rsidR="004C571B" w:rsidRDefault="00EC2CB1" w:rsidP="00551D6B">
      <w:pPr>
        <w:jc w:val="both"/>
      </w:pPr>
      <w:r w:rsidRPr="00EF58A8">
        <w:t>Figures 2.1 and 2.2 show daily prices, demand, offers and bids. Figures 2.3 and 2.4 show gas scheduled and allocated on pipelines to supply the hub, indicating</w:t>
      </w:r>
      <w:r w:rsidRPr="00442756">
        <w:t xml:space="preserve"> the location and relative quantity of gas offers across pipelines and also the amount of MOS allocated for each pipeline.</w:t>
      </w:r>
    </w:p>
    <w:p w:rsidR="004C571B" w:rsidRDefault="00EC2CB1" w:rsidP="004C571B">
      <w:pPr>
        <w:pStyle w:val="Caption"/>
        <w:numPr>
          <w:ilvl w:val="0"/>
          <w:numId w:val="30"/>
        </w:numPr>
        <w:ind w:left="709" w:hanging="709"/>
        <w:rPr>
          <w:color w:val="2272A3"/>
          <w:szCs w:val="24"/>
        </w:rPr>
      </w:pPr>
      <w:r w:rsidRPr="00362B9A">
        <w:rPr>
          <w:color w:val="2272A3"/>
          <w:szCs w:val="24"/>
        </w:rPr>
        <w:t>SYD STTM daily ex ante and ex post prices and quantities</w:t>
      </w:r>
    </w:p>
    <w:tbl>
      <w:tblPr>
        <w:tblStyle w:val="AERTable-Text"/>
        <w:tblW w:w="4994" w:type="pct"/>
        <w:tblLook w:val="04A0" w:firstRow="1" w:lastRow="0" w:firstColumn="1" w:lastColumn="0" w:noHBand="0" w:noVBand="1"/>
      </w:tblPr>
      <w:tblGrid>
        <w:gridCol w:w="2236"/>
        <w:gridCol w:w="1071"/>
        <w:gridCol w:w="938"/>
        <w:gridCol w:w="1087"/>
        <w:gridCol w:w="954"/>
        <w:gridCol w:w="942"/>
        <w:gridCol w:w="936"/>
        <w:gridCol w:w="1067"/>
      </w:tblGrid>
      <w:tr w:rsidR="00EC2CB1" w:rsidRPr="00405CDE" w:rsidTr="00A226E9">
        <w:trPr>
          <w:cnfStyle w:val="100000000000" w:firstRow="1" w:lastRow="0" w:firstColumn="0" w:lastColumn="0" w:oddVBand="0" w:evenVBand="0" w:oddHBand="0" w:evenHBand="0" w:firstRowFirstColumn="0" w:firstRowLastColumn="0" w:lastRowFirstColumn="0" w:lastRowLastColumn="0"/>
          <w:tblHeader/>
        </w:trPr>
        <w:tc>
          <w:tcPr>
            <w:tcW w:w="1211" w:type="pct"/>
            <w:tcBorders>
              <w:bottom w:val="nil"/>
            </w:tcBorders>
            <w:hideMark/>
          </w:tcPr>
          <w:p w:rsidR="00EC2CB1" w:rsidRPr="00DC24BF" w:rsidRDefault="00EC2CB1" w:rsidP="00EC2CB1">
            <w:pPr>
              <w:pStyle w:val="TableHeading"/>
              <w:spacing w:before="0" w:after="0"/>
              <w:jc w:val="center"/>
              <w:rPr>
                <w:rFonts w:cs="Arial"/>
                <w:sz w:val="20"/>
                <w:szCs w:val="20"/>
              </w:rPr>
            </w:pPr>
          </w:p>
        </w:tc>
        <w:tc>
          <w:tcPr>
            <w:tcW w:w="580"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Sun</w:t>
            </w:r>
          </w:p>
        </w:tc>
        <w:tc>
          <w:tcPr>
            <w:tcW w:w="50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Mon</w:t>
            </w:r>
          </w:p>
        </w:tc>
        <w:tc>
          <w:tcPr>
            <w:tcW w:w="589"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Tue</w:t>
            </w:r>
          </w:p>
        </w:tc>
        <w:tc>
          <w:tcPr>
            <w:tcW w:w="517"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Wed</w:t>
            </w:r>
          </w:p>
        </w:tc>
        <w:tc>
          <w:tcPr>
            <w:tcW w:w="510"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Thu</w:t>
            </w:r>
          </w:p>
        </w:tc>
        <w:tc>
          <w:tcPr>
            <w:tcW w:w="507"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Fri</w:t>
            </w:r>
          </w:p>
        </w:tc>
        <w:tc>
          <w:tcPr>
            <w:tcW w:w="578"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Sat</w:t>
            </w:r>
          </w:p>
        </w:tc>
      </w:tr>
      <w:tr w:rsidR="00634E52" w:rsidRPr="00405CDE" w:rsidTr="00A226E9">
        <w:trPr>
          <w:trHeight w:val="510"/>
        </w:trPr>
        <w:tc>
          <w:tcPr>
            <w:tcW w:w="1211" w:type="pct"/>
            <w:tcBorders>
              <w:top w:val="nil"/>
              <w:bottom w:val="nil"/>
            </w:tcBorders>
            <w:vAlign w:val="center"/>
          </w:tcPr>
          <w:p w:rsidR="00634E52" w:rsidRDefault="00634E52">
            <w:pPr>
              <w:rPr>
                <w:rFonts w:cs="Arial"/>
                <w:sz w:val="20"/>
                <w:szCs w:val="20"/>
              </w:rPr>
            </w:pPr>
            <w:r>
              <w:rPr>
                <w:rFonts w:cs="Arial"/>
                <w:sz w:val="20"/>
                <w:szCs w:val="20"/>
              </w:rPr>
              <w:t>Ex ante price ($/GJ)</w:t>
            </w:r>
          </w:p>
        </w:tc>
        <w:tc>
          <w:tcPr>
            <w:tcW w:w="580" w:type="pct"/>
            <w:tcBorders>
              <w:top w:val="nil"/>
              <w:bottom w:val="nil"/>
            </w:tcBorders>
            <w:vAlign w:val="center"/>
          </w:tcPr>
          <w:p w:rsidR="00634E52" w:rsidRDefault="00634E52">
            <w:pPr>
              <w:jc w:val="center"/>
              <w:rPr>
                <w:rFonts w:cs="Arial"/>
                <w:sz w:val="20"/>
                <w:szCs w:val="20"/>
              </w:rPr>
            </w:pPr>
            <w:r>
              <w:rPr>
                <w:rFonts w:cs="Arial"/>
                <w:sz w:val="20"/>
                <w:szCs w:val="20"/>
              </w:rPr>
              <w:t>10.35</w:t>
            </w:r>
          </w:p>
        </w:tc>
        <w:tc>
          <w:tcPr>
            <w:tcW w:w="508" w:type="pct"/>
            <w:tcBorders>
              <w:top w:val="nil"/>
              <w:bottom w:val="nil"/>
            </w:tcBorders>
            <w:vAlign w:val="center"/>
          </w:tcPr>
          <w:p w:rsidR="00634E52" w:rsidRDefault="00634E52">
            <w:pPr>
              <w:jc w:val="center"/>
              <w:rPr>
                <w:rFonts w:cs="Arial"/>
                <w:sz w:val="20"/>
                <w:szCs w:val="20"/>
              </w:rPr>
            </w:pPr>
            <w:r>
              <w:rPr>
                <w:rFonts w:cs="Arial"/>
                <w:sz w:val="20"/>
                <w:szCs w:val="20"/>
              </w:rPr>
              <w:t>10.85</w:t>
            </w:r>
          </w:p>
        </w:tc>
        <w:tc>
          <w:tcPr>
            <w:tcW w:w="589" w:type="pct"/>
            <w:tcBorders>
              <w:top w:val="nil"/>
              <w:bottom w:val="nil"/>
            </w:tcBorders>
            <w:vAlign w:val="center"/>
          </w:tcPr>
          <w:p w:rsidR="00634E52" w:rsidRDefault="00634E52">
            <w:pPr>
              <w:jc w:val="center"/>
              <w:rPr>
                <w:rFonts w:cs="Arial"/>
                <w:sz w:val="20"/>
                <w:szCs w:val="20"/>
              </w:rPr>
            </w:pPr>
            <w:r>
              <w:rPr>
                <w:rFonts w:cs="Arial"/>
                <w:sz w:val="20"/>
                <w:szCs w:val="20"/>
              </w:rPr>
              <w:t>10.34</w:t>
            </w:r>
          </w:p>
        </w:tc>
        <w:tc>
          <w:tcPr>
            <w:tcW w:w="517" w:type="pct"/>
            <w:tcBorders>
              <w:top w:val="nil"/>
              <w:bottom w:val="nil"/>
            </w:tcBorders>
            <w:vAlign w:val="center"/>
          </w:tcPr>
          <w:p w:rsidR="00634E52" w:rsidRDefault="00634E52">
            <w:pPr>
              <w:jc w:val="center"/>
              <w:rPr>
                <w:rFonts w:cs="Arial"/>
                <w:sz w:val="20"/>
                <w:szCs w:val="20"/>
              </w:rPr>
            </w:pPr>
            <w:r>
              <w:rPr>
                <w:rFonts w:cs="Arial"/>
                <w:sz w:val="20"/>
                <w:szCs w:val="20"/>
              </w:rPr>
              <w:t>10.35</w:t>
            </w:r>
          </w:p>
        </w:tc>
        <w:tc>
          <w:tcPr>
            <w:tcW w:w="510" w:type="pct"/>
            <w:tcBorders>
              <w:top w:val="nil"/>
              <w:bottom w:val="nil"/>
            </w:tcBorders>
            <w:vAlign w:val="center"/>
          </w:tcPr>
          <w:p w:rsidR="00634E52" w:rsidRDefault="00634E52">
            <w:pPr>
              <w:jc w:val="center"/>
              <w:rPr>
                <w:rFonts w:cs="Arial"/>
                <w:sz w:val="20"/>
                <w:szCs w:val="20"/>
              </w:rPr>
            </w:pPr>
            <w:r>
              <w:rPr>
                <w:rFonts w:cs="Arial"/>
                <w:sz w:val="20"/>
                <w:szCs w:val="20"/>
              </w:rPr>
              <w:t>10.00</w:t>
            </w:r>
          </w:p>
        </w:tc>
        <w:tc>
          <w:tcPr>
            <w:tcW w:w="507" w:type="pct"/>
            <w:tcBorders>
              <w:top w:val="nil"/>
              <w:bottom w:val="nil"/>
            </w:tcBorders>
            <w:vAlign w:val="center"/>
          </w:tcPr>
          <w:p w:rsidR="00634E52" w:rsidRDefault="00634E52">
            <w:pPr>
              <w:jc w:val="center"/>
              <w:rPr>
                <w:rFonts w:cs="Arial"/>
                <w:sz w:val="20"/>
                <w:szCs w:val="20"/>
              </w:rPr>
            </w:pPr>
            <w:r>
              <w:rPr>
                <w:rFonts w:cs="Arial"/>
                <w:sz w:val="20"/>
                <w:szCs w:val="20"/>
              </w:rPr>
              <w:t>10.00</w:t>
            </w:r>
          </w:p>
        </w:tc>
        <w:tc>
          <w:tcPr>
            <w:tcW w:w="578" w:type="pct"/>
            <w:tcBorders>
              <w:top w:val="nil"/>
              <w:bottom w:val="nil"/>
            </w:tcBorders>
            <w:vAlign w:val="center"/>
          </w:tcPr>
          <w:p w:rsidR="00634E52" w:rsidRDefault="00634E52">
            <w:pPr>
              <w:jc w:val="center"/>
              <w:rPr>
                <w:rFonts w:cs="Arial"/>
                <w:sz w:val="20"/>
                <w:szCs w:val="20"/>
              </w:rPr>
            </w:pPr>
            <w:r>
              <w:rPr>
                <w:rFonts w:cs="Arial"/>
                <w:sz w:val="20"/>
                <w:szCs w:val="20"/>
              </w:rPr>
              <w:t>9.55</w:t>
            </w:r>
          </w:p>
        </w:tc>
      </w:tr>
      <w:tr w:rsidR="00634E52"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211" w:type="pct"/>
            <w:tcBorders>
              <w:top w:val="nil"/>
              <w:bottom w:val="nil"/>
            </w:tcBorders>
            <w:vAlign w:val="center"/>
          </w:tcPr>
          <w:p w:rsidR="00634E52" w:rsidRDefault="00634E52">
            <w:pPr>
              <w:rPr>
                <w:rFonts w:cs="Arial"/>
                <w:szCs w:val="20"/>
              </w:rPr>
            </w:pPr>
            <w:r>
              <w:rPr>
                <w:rFonts w:cs="Arial"/>
                <w:szCs w:val="20"/>
              </w:rPr>
              <w:t>Ex ante quantity (TJ)</w:t>
            </w:r>
          </w:p>
        </w:tc>
        <w:tc>
          <w:tcPr>
            <w:tcW w:w="580" w:type="pct"/>
            <w:tcBorders>
              <w:top w:val="nil"/>
              <w:bottom w:val="nil"/>
            </w:tcBorders>
            <w:vAlign w:val="center"/>
          </w:tcPr>
          <w:p w:rsidR="00634E52" w:rsidRDefault="00634E52">
            <w:pPr>
              <w:jc w:val="center"/>
              <w:rPr>
                <w:rFonts w:cs="Arial"/>
                <w:szCs w:val="20"/>
              </w:rPr>
            </w:pPr>
            <w:r>
              <w:rPr>
                <w:rFonts w:cs="Arial"/>
                <w:szCs w:val="20"/>
              </w:rPr>
              <w:t>251</w:t>
            </w:r>
          </w:p>
        </w:tc>
        <w:tc>
          <w:tcPr>
            <w:tcW w:w="508" w:type="pct"/>
            <w:tcBorders>
              <w:top w:val="nil"/>
              <w:bottom w:val="nil"/>
            </w:tcBorders>
            <w:vAlign w:val="center"/>
          </w:tcPr>
          <w:p w:rsidR="00634E52" w:rsidRDefault="00634E52">
            <w:pPr>
              <w:jc w:val="center"/>
              <w:rPr>
                <w:rFonts w:cs="Arial"/>
                <w:szCs w:val="20"/>
              </w:rPr>
            </w:pPr>
            <w:r>
              <w:rPr>
                <w:rFonts w:cs="Arial"/>
                <w:szCs w:val="20"/>
              </w:rPr>
              <w:t>254</w:t>
            </w:r>
          </w:p>
        </w:tc>
        <w:tc>
          <w:tcPr>
            <w:tcW w:w="589" w:type="pct"/>
            <w:tcBorders>
              <w:top w:val="nil"/>
              <w:bottom w:val="nil"/>
            </w:tcBorders>
            <w:vAlign w:val="center"/>
          </w:tcPr>
          <w:p w:rsidR="00634E52" w:rsidRDefault="00634E52">
            <w:pPr>
              <w:jc w:val="center"/>
              <w:rPr>
                <w:rFonts w:cs="Arial"/>
                <w:szCs w:val="20"/>
              </w:rPr>
            </w:pPr>
            <w:r>
              <w:rPr>
                <w:rFonts w:cs="Arial"/>
                <w:szCs w:val="20"/>
              </w:rPr>
              <w:t>285</w:t>
            </w:r>
          </w:p>
        </w:tc>
        <w:tc>
          <w:tcPr>
            <w:tcW w:w="517" w:type="pct"/>
            <w:tcBorders>
              <w:top w:val="nil"/>
              <w:bottom w:val="nil"/>
            </w:tcBorders>
            <w:vAlign w:val="center"/>
          </w:tcPr>
          <w:p w:rsidR="00634E52" w:rsidRDefault="00634E52">
            <w:pPr>
              <w:jc w:val="center"/>
              <w:rPr>
                <w:rFonts w:cs="Arial"/>
                <w:szCs w:val="20"/>
              </w:rPr>
            </w:pPr>
            <w:r>
              <w:rPr>
                <w:rFonts w:cs="Arial"/>
                <w:szCs w:val="20"/>
              </w:rPr>
              <w:t>283</w:t>
            </w:r>
          </w:p>
        </w:tc>
        <w:tc>
          <w:tcPr>
            <w:tcW w:w="510" w:type="pct"/>
            <w:tcBorders>
              <w:top w:val="nil"/>
              <w:bottom w:val="nil"/>
            </w:tcBorders>
            <w:vAlign w:val="center"/>
          </w:tcPr>
          <w:p w:rsidR="00634E52" w:rsidRDefault="00634E52">
            <w:pPr>
              <w:jc w:val="center"/>
              <w:rPr>
                <w:rFonts w:cs="Arial"/>
                <w:szCs w:val="20"/>
              </w:rPr>
            </w:pPr>
            <w:r>
              <w:rPr>
                <w:rFonts w:cs="Arial"/>
                <w:szCs w:val="20"/>
              </w:rPr>
              <w:t>288</w:t>
            </w:r>
          </w:p>
        </w:tc>
        <w:tc>
          <w:tcPr>
            <w:tcW w:w="507" w:type="pct"/>
            <w:tcBorders>
              <w:top w:val="nil"/>
              <w:bottom w:val="nil"/>
            </w:tcBorders>
            <w:vAlign w:val="center"/>
          </w:tcPr>
          <w:p w:rsidR="00634E52" w:rsidRDefault="00634E52">
            <w:pPr>
              <w:jc w:val="center"/>
              <w:rPr>
                <w:rFonts w:cs="Arial"/>
                <w:szCs w:val="20"/>
              </w:rPr>
            </w:pPr>
            <w:r>
              <w:rPr>
                <w:rFonts w:cs="Arial"/>
                <w:szCs w:val="20"/>
              </w:rPr>
              <w:t>285</w:t>
            </w:r>
          </w:p>
        </w:tc>
        <w:tc>
          <w:tcPr>
            <w:tcW w:w="578" w:type="pct"/>
            <w:tcBorders>
              <w:top w:val="nil"/>
              <w:bottom w:val="nil"/>
            </w:tcBorders>
            <w:vAlign w:val="center"/>
          </w:tcPr>
          <w:p w:rsidR="00634E52" w:rsidRDefault="00634E52">
            <w:pPr>
              <w:jc w:val="center"/>
              <w:rPr>
                <w:rFonts w:cs="Arial"/>
                <w:szCs w:val="20"/>
              </w:rPr>
            </w:pPr>
            <w:r>
              <w:rPr>
                <w:rFonts w:cs="Arial"/>
                <w:szCs w:val="20"/>
              </w:rPr>
              <w:t>250</w:t>
            </w:r>
          </w:p>
        </w:tc>
      </w:tr>
      <w:tr w:rsidR="00634E52" w:rsidRPr="00405CDE" w:rsidTr="00A226E9">
        <w:trPr>
          <w:trHeight w:val="510"/>
        </w:trPr>
        <w:tc>
          <w:tcPr>
            <w:tcW w:w="1211" w:type="pct"/>
            <w:tcBorders>
              <w:top w:val="nil"/>
              <w:bottom w:val="nil"/>
            </w:tcBorders>
            <w:vAlign w:val="center"/>
          </w:tcPr>
          <w:p w:rsidR="00634E52" w:rsidRDefault="00634E52">
            <w:pPr>
              <w:rPr>
                <w:rFonts w:cs="Arial"/>
                <w:sz w:val="20"/>
                <w:szCs w:val="20"/>
              </w:rPr>
            </w:pPr>
            <w:r>
              <w:rPr>
                <w:rFonts w:cs="Arial"/>
                <w:sz w:val="20"/>
                <w:szCs w:val="20"/>
              </w:rPr>
              <w:t>Ex post price ($/GJ)</w:t>
            </w:r>
          </w:p>
        </w:tc>
        <w:tc>
          <w:tcPr>
            <w:tcW w:w="580" w:type="pct"/>
            <w:tcBorders>
              <w:top w:val="nil"/>
              <w:bottom w:val="nil"/>
            </w:tcBorders>
            <w:vAlign w:val="center"/>
          </w:tcPr>
          <w:p w:rsidR="00634E52" w:rsidRDefault="00634E52">
            <w:pPr>
              <w:jc w:val="center"/>
              <w:rPr>
                <w:rFonts w:cs="Arial"/>
                <w:sz w:val="20"/>
                <w:szCs w:val="20"/>
              </w:rPr>
            </w:pPr>
            <w:r>
              <w:rPr>
                <w:rFonts w:cs="Arial"/>
                <w:sz w:val="20"/>
                <w:szCs w:val="20"/>
              </w:rPr>
              <w:t>9.76</w:t>
            </w:r>
          </w:p>
        </w:tc>
        <w:tc>
          <w:tcPr>
            <w:tcW w:w="508" w:type="pct"/>
            <w:tcBorders>
              <w:top w:val="nil"/>
              <w:bottom w:val="nil"/>
            </w:tcBorders>
            <w:vAlign w:val="center"/>
          </w:tcPr>
          <w:p w:rsidR="00634E52" w:rsidRDefault="00634E52">
            <w:pPr>
              <w:jc w:val="center"/>
              <w:rPr>
                <w:rFonts w:cs="Arial"/>
                <w:sz w:val="20"/>
                <w:szCs w:val="20"/>
              </w:rPr>
            </w:pPr>
            <w:r>
              <w:rPr>
                <w:rFonts w:cs="Arial"/>
                <w:sz w:val="20"/>
                <w:szCs w:val="20"/>
              </w:rPr>
              <w:t>10.34</w:t>
            </w:r>
          </w:p>
        </w:tc>
        <w:tc>
          <w:tcPr>
            <w:tcW w:w="589" w:type="pct"/>
            <w:tcBorders>
              <w:top w:val="nil"/>
              <w:bottom w:val="nil"/>
            </w:tcBorders>
            <w:vAlign w:val="center"/>
          </w:tcPr>
          <w:p w:rsidR="00634E52" w:rsidRDefault="00634E52">
            <w:pPr>
              <w:jc w:val="center"/>
              <w:rPr>
                <w:rFonts w:cs="Arial"/>
                <w:sz w:val="20"/>
                <w:szCs w:val="20"/>
              </w:rPr>
            </w:pPr>
            <w:r>
              <w:rPr>
                <w:rFonts w:cs="Arial"/>
                <w:sz w:val="20"/>
                <w:szCs w:val="20"/>
              </w:rPr>
              <w:t>9.52</w:t>
            </w:r>
          </w:p>
        </w:tc>
        <w:tc>
          <w:tcPr>
            <w:tcW w:w="517" w:type="pct"/>
            <w:tcBorders>
              <w:top w:val="nil"/>
              <w:bottom w:val="nil"/>
            </w:tcBorders>
            <w:vAlign w:val="center"/>
          </w:tcPr>
          <w:p w:rsidR="00634E52" w:rsidRDefault="00634E52">
            <w:pPr>
              <w:jc w:val="center"/>
              <w:rPr>
                <w:rFonts w:cs="Arial"/>
                <w:sz w:val="20"/>
                <w:szCs w:val="20"/>
              </w:rPr>
            </w:pPr>
            <w:r>
              <w:rPr>
                <w:rFonts w:cs="Arial"/>
                <w:sz w:val="20"/>
                <w:szCs w:val="20"/>
              </w:rPr>
              <w:t>10.06</w:t>
            </w:r>
          </w:p>
        </w:tc>
        <w:tc>
          <w:tcPr>
            <w:tcW w:w="510" w:type="pct"/>
            <w:tcBorders>
              <w:top w:val="nil"/>
              <w:bottom w:val="nil"/>
            </w:tcBorders>
            <w:vAlign w:val="center"/>
          </w:tcPr>
          <w:p w:rsidR="00634E52" w:rsidRDefault="00634E52">
            <w:pPr>
              <w:jc w:val="center"/>
              <w:rPr>
                <w:rFonts w:cs="Arial"/>
                <w:sz w:val="20"/>
                <w:szCs w:val="20"/>
              </w:rPr>
            </w:pPr>
            <w:r>
              <w:rPr>
                <w:rFonts w:cs="Arial"/>
                <w:sz w:val="20"/>
                <w:szCs w:val="20"/>
              </w:rPr>
              <w:t>9.80</w:t>
            </w:r>
          </w:p>
        </w:tc>
        <w:tc>
          <w:tcPr>
            <w:tcW w:w="507" w:type="pct"/>
            <w:tcBorders>
              <w:top w:val="nil"/>
              <w:bottom w:val="nil"/>
            </w:tcBorders>
            <w:vAlign w:val="center"/>
          </w:tcPr>
          <w:p w:rsidR="00634E52" w:rsidRDefault="00634E52">
            <w:pPr>
              <w:jc w:val="center"/>
              <w:rPr>
                <w:rFonts w:cs="Arial"/>
                <w:sz w:val="20"/>
                <w:szCs w:val="20"/>
              </w:rPr>
            </w:pPr>
            <w:r>
              <w:rPr>
                <w:rFonts w:cs="Arial"/>
                <w:sz w:val="20"/>
                <w:szCs w:val="20"/>
              </w:rPr>
              <w:t>10.15</w:t>
            </w:r>
          </w:p>
        </w:tc>
        <w:tc>
          <w:tcPr>
            <w:tcW w:w="578" w:type="pct"/>
            <w:tcBorders>
              <w:top w:val="nil"/>
              <w:bottom w:val="nil"/>
            </w:tcBorders>
            <w:vAlign w:val="center"/>
          </w:tcPr>
          <w:p w:rsidR="00634E52" w:rsidRDefault="00634E52">
            <w:pPr>
              <w:jc w:val="center"/>
              <w:rPr>
                <w:rFonts w:cs="Arial"/>
                <w:sz w:val="20"/>
                <w:szCs w:val="20"/>
              </w:rPr>
            </w:pPr>
            <w:r>
              <w:rPr>
                <w:rFonts w:cs="Arial"/>
                <w:sz w:val="20"/>
                <w:szCs w:val="20"/>
              </w:rPr>
              <w:t>9.55</w:t>
            </w:r>
          </w:p>
        </w:tc>
      </w:tr>
      <w:tr w:rsidR="00634E52"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211" w:type="pct"/>
            <w:tcBorders>
              <w:top w:val="nil"/>
              <w:bottom w:val="single" w:sz="4" w:space="0" w:color="auto"/>
            </w:tcBorders>
            <w:vAlign w:val="center"/>
          </w:tcPr>
          <w:p w:rsidR="00634E52" w:rsidRDefault="00634E52">
            <w:pPr>
              <w:rPr>
                <w:rFonts w:cs="Arial"/>
                <w:szCs w:val="20"/>
              </w:rPr>
            </w:pPr>
            <w:r>
              <w:rPr>
                <w:rFonts w:cs="Arial"/>
                <w:szCs w:val="20"/>
              </w:rPr>
              <w:t>Ex post quantity (TJ)</w:t>
            </w:r>
          </w:p>
        </w:tc>
        <w:tc>
          <w:tcPr>
            <w:tcW w:w="580" w:type="pct"/>
            <w:tcBorders>
              <w:top w:val="nil"/>
              <w:bottom w:val="single" w:sz="4" w:space="0" w:color="auto"/>
            </w:tcBorders>
            <w:vAlign w:val="center"/>
          </w:tcPr>
          <w:p w:rsidR="00634E52" w:rsidRDefault="00634E52">
            <w:pPr>
              <w:jc w:val="center"/>
              <w:rPr>
                <w:rFonts w:cs="Arial"/>
                <w:szCs w:val="20"/>
              </w:rPr>
            </w:pPr>
            <w:r>
              <w:rPr>
                <w:rFonts w:cs="Arial"/>
                <w:szCs w:val="20"/>
              </w:rPr>
              <w:t>236</w:t>
            </w:r>
          </w:p>
        </w:tc>
        <w:tc>
          <w:tcPr>
            <w:tcW w:w="508" w:type="pct"/>
            <w:tcBorders>
              <w:top w:val="nil"/>
              <w:bottom w:val="single" w:sz="4" w:space="0" w:color="auto"/>
            </w:tcBorders>
            <w:vAlign w:val="center"/>
          </w:tcPr>
          <w:p w:rsidR="00634E52" w:rsidRDefault="00634E52">
            <w:pPr>
              <w:jc w:val="center"/>
              <w:rPr>
                <w:rFonts w:cs="Arial"/>
                <w:szCs w:val="20"/>
              </w:rPr>
            </w:pPr>
            <w:r>
              <w:rPr>
                <w:rFonts w:cs="Arial"/>
                <w:szCs w:val="20"/>
              </w:rPr>
              <w:t>248</w:t>
            </w:r>
          </w:p>
        </w:tc>
        <w:tc>
          <w:tcPr>
            <w:tcW w:w="589" w:type="pct"/>
            <w:tcBorders>
              <w:top w:val="nil"/>
              <w:bottom w:val="single" w:sz="4" w:space="0" w:color="auto"/>
            </w:tcBorders>
            <w:vAlign w:val="center"/>
          </w:tcPr>
          <w:p w:rsidR="00634E52" w:rsidRDefault="00634E52">
            <w:pPr>
              <w:jc w:val="center"/>
              <w:rPr>
                <w:rFonts w:cs="Arial"/>
                <w:szCs w:val="20"/>
              </w:rPr>
            </w:pPr>
            <w:r>
              <w:rPr>
                <w:rFonts w:cs="Arial"/>
                <w:szCs w:val="20"/>
              </w:rPr>
              <w:t>272</w:t>
            </w:r>
          </w:p>
        </w:tc>
        <w:tc>
          <w:tcPr>
            <w:tcW w:w="517" w:type="pct"/>
            <w:tcBorders>
              <w:top w:val="nil"/>
              <w:bottom w:val="single" w:sz="4" w:space="0" w:color="auto"/>
            </w:tcBorders>
            <w:vAlign w:val="center"/>
          </w:tcPr>
          <w:p w:rsidR="00634E52" w:rsidRDefault="00634E52">
            <w:pPr>
              <w:jc w:val="center"/>
              <w:rPr>
                <w:rFonts w:cs="Arial"/>
                <w:szCs w:val="20"/>
              </w:rPr>
            </w:pPr>
            <w:r>
              <w:rPr>
                <w:rFonts w:cs="Arial"/>
                <w:szCs w:val="20"/>
              </w:rPr>
              <w:t>277</w:t>
            </w:r>
          </w:p>
        </w:tc>
        <w:tc>
          <w:tcPr>
            <w:tcW w:w="510" w:type="pct"/>
            <w:tcBorders>
              <w:top w:val="nil"/>
              <w:bottom w:val="single" w:sz="4" w:space="0" w:color="auto"/>
            </w:tcBorders>
            <w:vAlign w:val="center"/>
          </w:tcPr>
          <w:p w:rsidR="00634E52" w:rsidRDefault="00634E52">
            <w:pPr>
              <w:jc w:val="center"/>
              <w:rPr>
                <w:rFonts w:cs="Arial"/>
                <w:szCs w:val="20"/>
              </w:rPr>
            </w:pPr>
            <w:r>
              <w:rPr>
                <w:rFonts w:cs="Arial"/>
                <w:szCs w:val="20"/>
              </w:rPr>
              <w:t>286</w:t>
            </w:r>
          </w:p>
        </w:tc>
        <w:tc>
          <w:tcPr>
            <w:tcW w:w="507" w:type="pct"/>
            <w:tcBorders>
              <w:top w:val="nil"/>
              <w:bottom w:val="single" w:sz="4" w:space="0" w:color="auto"/>
            </w:tcBorders>
            <w:vAlign w:val="center"/>
          </w:tcPr>
          <w:p w:rsidR="00634E52" w:rsidRDefault="00634E52">
            <w:pPr>
              <w:jc w:val="center"/>
              <w:rPr>
                <w:rFonts w:cs="Arial"/>
                <w:szCs w:val="20"/>
              </w:rPr>
            </w:pPr>
            <w:r>
              <w:rPr>
                <w:rFonts w:cs="Arial"/>
                <w:szCs w:val="20"/>
              </w:rPr>
              <w:t>291</w:t>
            </w:r>
          </w:p>
        </w:tc>
        <w:tc>
          <w:tcPr>
            <w:tcW w:w="578" w:type="pct"/>
            <w:tcBorders>
              <w:top w:val="nil"/>
              <w:bottom w:val="single" w:sz="4" w:space="0" w:color="auto"/>
            </w:tcBorders>
            <w:vAlign w:val="center"/>
          </w:tcPr>
          <w:p w:rsidR="00634E52" w:rsidRDefault="00634E52">
            <w:pPr>
              <w:jc w:val="center"/>
              <w:rPr>
                <w:rFonts w:cs="Arial"/>
                <w:szCs w:val="20"/>
              </w:rPr>
            </w:pPr>
            <w:r>
              <w:rPr>
                <w:rFonts w:cs="Arial"/>
                <w:szCs w:val="20"/>
              </w:rPr>
              <w:t>250</w:t>
            </w:r>
          </w:p>
        </w:tc>
      </w:tr>
    </w:tbl>
    <w:p w:rsidR="00EC2CB1" w:rsidRPr="001521CB" w:rsidRDefault="00EC2CB1" w:rsidP="00EC2CB1">
      <w:pPr>
        <w:pStyle w:val="Caption"/>
        <w:numPr>
          <w:ilvl w:val="0"/>
          <w:numId w:val="30"/>
        </w:numPr>
        <w:ind w:left="709" w:hanging="709"/>
      </w:pPr>
      <w:r w:rsidRPr="00DD0358">
        <w:rPr>
          <w:color w:val="2272A3"/>
          <w:szCs w:val="24"/>
        </w:rPr>
        <w:t>SYD daily hub offers and daily hub bids in price bands ($/GJ)</w:t>
      </w:r>
    </w:p>
    <w:p w:rsidR="00EC2CB1" w:rsidRDefault="00634E52" w:rsidP="00EC2CB1">
      <w:r w:rsidRPr="00634E52">
        <w:rPr>
          <w:noProof/>
          <w:lang w:eastAsia="en-AU"/>
        </w:rPr>
        <w:drawing>
          <wp:inline distT="0" distB="0" distL="0" distR="0" wp14:anchorId="2D1B195F" wp14:editId="03A91002">
            <wp:extent cx="5731510" cy="2046203"/>
            <wp:effectExtent l="0" t="0" r="0" b="0"/>
            <wp:docPr id="17" name="Picture 17" descr="Figure 2.2 shows the daily hub offers and bid in within certain price bands in Sydney this week. The line indicates the scheduled quantity for each day. For a more detailed description of this figure, please refer to the user guide." title="Sydney daily hub offers and b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2046203"/>
                    </a:xfrm>
                    <a:prstGeom prst="rect">
                      <a:avLst/>
                    </a:prstGeom>
                    <a:noFill/>
                    <a:ln>
                      <a:noFill/>
                    </a:ln>
                  </pic:spPr>
                </pic:pic>
              </a:graphicData>
            </a:graphic>
          </wp:inline>
        </w:drawing>
      </w:r>
    </w:p>
    <w:p w:rsidR="00EC2CB1" w:rsidRDefault="00EC2CB1" w:rsidP="00EC2CB1"/>
    <w:p w:rsidR="00EC2CB1" w:rsidRPr="001521CB" w:rsidRDefault="00EC2CB1" w:rsidP="00EC2CB1">
      <w:pPr>
        <w:pStyle w:val="Caption"/>
        <w:numPr>
          <w:ilvl w:val="0"/>
          <w:numId w:val="30"/>
        </w:numPr>
        <w:ind w:left="709" w:hanging="709"/>
      </w:pPr>
      <w:r w:rsidRPr="00DD0358">
        <w:rPr>
          <w:color w:val="2272A3"/>
          <w:szCs w:val="24"/>
        </w:rPr>
        <w:lastRenderedPageBreak/>
        <w:t>SYD net scheduled and allocated gas hub supply (excluding MOS)</w:t>
      </w:r>
    </w:p>
    <w:p w:rsidR="00EC2CB1" w:rsidRDefault="00634E52" w:rsidP="00EC2CB1">
      <w:r w:rsidRPr="00634E52">
        <w:rPr>
          <w:noProof/>
          <w:lang w:eastAsia="en-AU"/>
        </w:rPr>
        <w:drawing>
          <wp:inline distT="0" distB="0" distL="0" distR="0" wp14:anchorId="07D7BC93" wp14:editId="7A6A0E71">
            <wp:extent cx="5731510" cy="2555336"/>
            <wp:effectExtent l="0" t="0" r="2540" b="0"/>
            <wp:docPr id="18" name="Picture 18" descr="Figure 2.3 shows the daily scheduled and allocated quantities sorted by facility for Sydney this week. For a more detailed description of this figure, please refer to the user guide." title="Sydney scheduled and allocated gas 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2555336"/>
                    </a:xfrm>
                    <a:prstGeom prst="rect">
                      <a:avLst/>
                    </a:prstGeom>
                    <a:noFill/>
                    <a:ln>
                      <a:noFill/>
                    </a:ln>
                  </pic:spPr>
                </pic:pic>
              </a:graphicData>
            </a:graphic>
          </wp:inline>
        </w:drawing>
      </w:r>
    </w:p>
    <w:p w:rsidR="00EC2CB1" w:rsidRPr="00552F68" w:rsidRDefault="00EC2CB1" w:rsidP="00EC2CB1">
      <w:pPr>
        <w:pStyle w:val="Caption"/>
        <w:numPr>
          <w:ilvl w:val="0"/>
          <w:numId w:val="30"/>
        </w:numPr>
        <w:ind w:left="1418" w:hanging="1418"/>
      </w:pPr>
      <w:r w:rsidRPr="00DD0358">
        <w:rPr>
          <w:color w:val="2272A3"/>
          <w:szCs w:val="24"/>
        </w:rPr>
        <w:t>SYD MOS allocations (TJ), service payments and commodity payments/charges ($</w:t>
      </w:r>
      <w:r w:rsidRPr="00552F68">
        <w:rPr>
          <w:color w:val="2272A3"/>
          <w:szCs w:val="24"/>
        </w:rPr>
        <w:t>000)</w:t>
      </w:r>
      <w:r w:rsidR="00914872" w:rsidRPr="00552F68">
        <w:rPr>
          <w:rStyle w:val="FootnoteReference"/>
          <w:color w:val="2272A3"/>
          <w:szCs w:val="24"/>
        </w:rPr>
        <w:footnoteReference w:id="12"/>
      </w:r>
    </w:p>
    <w:p w:rsidR="00EC2CB1" w:rsidRDefault="00634E52" w:rsidP="00EC2CB1">
      <w:r w:rsidRPr="00634E52">
        <w:rPr>
          <w:noProof/>
          <w:lang w:eastAsia="en-AU"/>
        </w:rPr>
        <w:drawing>
          <wp:inline distT="0" distB="0" distL="0" distR="0" wp14:anchorId="51B90A59" wp14:editId="42CED791">
            <wp:extent cx="5731510" cy="2175613"/>
            <wp:effectExtent l="0" t="0" r="2540" b="0"/>
            <wp:docPr id="20" name="Picture 20" descr="Figure 2.4 shows the daily MOS allocations sorted by facility for each facility in Sydney this week. The figure also shows the daily breakdown of costs associated with the MOS provided. For a more detailed description of this figure, please refer to the user guide." title="Sydney MOS al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2175613"/>
                    </a:xfrm>
                    <a:prstGeom prst="rect">
                      <a:avLst/>
                    </a:prstGeom>
                    <a:noFill/>
                    <a:ln>
                      <a:noFill/>
                    </a:ln>
                  </pic:spPr>
                </pic:pic>
              </a:graphicData>
            </a:graphic>
          </wp:inline>
        </w:drawing>
      </w:r>
    </w:p>
    <w:p w:rsidR="00EC2CB1" w:rsidRDefault="00EC2CB1">
      <w:pPr>
        <w:spacing w:line="240" w:lineRule="auto"/>
        <w:rPr>
          <w:rFonts w:eastAsia="Times New Roman" w:cs="Times New Roman"/>
          <w:b/>
          <w:bCs/>
          <w:color w:val="2272A3" w:themeColor="accent4" w:themeShade="80"/>
          <w:sz w:val="32"/>
          <w:szCs w:val="20"/>
        </w:rPr>
      </w:pPr>
      <w:r>
        <w:rPr>
          <w:rFonts w:eastAsia="Times New Roman" w:cs="Times New Roman"/>
          <w:color w:val="2272A3" w:themeColor="accent4" w:themeShade="80"/>
          <w:sz w:val="32"/>
          <w:szCs w:val="20"/>
        </w:rPr>
        <w:br w:type="page"/>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3</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Adelaide STTM</w:t>
      </w:r>
    </w:p>
    <w:p w:rsidR="00EC2CB1" w:rsidRPr="003625A6" w:rsidRDefault="00EC2CB1" w:rsidP="00EC2CB1">
      <w:pPr>
        <w:jc w:val="both"/>
      </w:pPr>
      <w:r>
        <w:t>The Adelaide STTM hub functions in the same way as the Sydney STTM hub.  The same data that was presented for the Sydney hub is presented for the Adelaide hub in the figures below.</w:t>
      </w:r>
    </w:p>
    <w:p w:rsidR="004C571B" w:rsidRDefault="00EC2CB1" w:rsidP="004C571B">
      <w:pPr>
        <w:pStyle w:val="Caption"/>
        <w:numPr>
          <w:ilvl w:val="0"/>
          <w:numId w:val="31"/>
        </w:numPr>
        <w:ind w:left="709" w:hanging="709"/>
        <w:rPr>
          <w:color w:val="2272A3"/>
          <w:szCs w:val="24"/>
        </w:rPr>
      </w:pPr>
      <w:r>
        <w:rPr>
          <w:color w:val="2272A3"/>
          <w:szCs w:val="24"/>
        </w:rPr>
        <w:t>ADL</w:t>
      </w:r>
      <w:r w:rsidRPr="00362B9A">
        <w:rPr>
          <w:color w:val="2272A3"/>
          <w:szCs w:val="24"/>
        </w:rPr>
        <w:t xml:space="preserve"> STTM daily ex ante and ex post prices and quantities</w:t>
      </w:r>
    </w:p>
    <w:tbl>
      <w:tblPr>
        <w:tblStyle w:val="AERTable-Text"/>
        <w:tblW w:w="4917" w:type="pct"/>
        <w:tblLook w:val="04A0" w:firstRow="1" w:lastRow="0" w:firstColumn="1" w:lastColumn="0" w:noHBand="0" w:noVBand="1"/>
      </w:tblPr>
      <w:tblGrid>
        <w:gridCol w:w="2094"/>
        <w:gridCol w:w="1071"/>
        <w:gridCol w:w="938"/>
        <w:gridCol w:w="1087"/>
        <w:gridCol w:w="954"/>
        <w:gridCol w:w="942"/>
        <w:gridCol w:w="936"/>
        <w:gridCol w:w="1067"/>
      </w:tblGrid>
      <w:tr w:rsidR="00EC2CB1" w:rsidRPr="00405CDE" w:rsidTr="00A226E9">
        <w:trPr>
          <w:cnfStyle w:val="100000000000" w:firstRow="1" w:lastRow="0" w:firstColumn="0" w:lastColumn="0" w:oddVBand="0" w:evenVBand="0" w:oddHBand="0" w:evenHBand="0" w:firstRowFirstColumn="0" w:firstRowLastColumn="0" w:lastRowFirstColumn="0" w:lastRowLastColumn="0"/>
          <w:tblHeader/>
        </w:trPr>
        <w:tc>
          <w:tcPr>
            <w:tcW w:w="1152" w:type="pct"/>
            <w:tcBorders>
              <w:bottom w:val="nil"/>
            </w:tcBorders>
            <w:hideMark/>
          </w:tcPr>
          <w:p w:rsidR="00EC2CB1" w:rsidRPr="00DC24BF" w:rsidRDefault="00EC2CB1" w:rsidP="00EC2CB1">
            <w:pPr>
              <w:pStyle w:val="TableHeading"/>
              <w:spacing w:before="0" w:after="0"/>
              <w:jc w:val="center"/>
              <w:rPr>
                <w:rFonts w:cs="Arial"/>
                <w:sz w:val="20"/>
                <w:szCs w:val="20"/>
              </w:rPr>
            </w:pPr>
          </w:p>
        </w:tc>
        <w:tc>
          <w:tcPr>
            <w:tcW w:w="589"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Sun</w:t>
            </w:r>
          </w:p>
        </w:tc>
        <w:tc>
          <w:tcPr>
            <w:tcW w:w="516"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Mon</w:t>
            </w:r>
          </w:p>
        </w:tc>
        <w:tc>
          <w:tcPr>
            <w:tcW w:w="59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Tue</w:t>
            </w:r>
          </w:p>
        </w:tc>
        <w:tc>
          <w:tcPr>
            <w:tcW w:w="525"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Wed</w:t>
            </w:r>
          </w:p>
        </w:tc>
        <w:tc>
          <w:tcPr>
            <w:tcW w:w="51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Thu</w:t>
            </w:r>
          </w:p>
        </w:tc>
        <w:tc>
          <w:tcPr>
            <w:tcW w:w="515"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Fri</w:t>
            </w:r>
          </w:p>
        </w:tc>
        <w:tc>
          <w:tcPr>
            <w:tcW w:w="587"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Sat</w:t>
            </w:r>
          </w:p>
        </w:tc>
      </w:tr>
      <w:tr w:rsidR="00634E52" w:rsidRPr="00405CDE" w:rsidTr="00A226E9">
        <w:trPr>
          <w:trHeight w:val="389"/>
        </w:trPr>
        <w:tc>
          <w:tcPr>
            <w:tcW w:w="1152" w:type="pct"/>
            <w:tcBorders>
              <w:top w:val="nil"/>
              <w:bottom w:val="nil"/>
            </w:tcBorders>
            <w:vAlign w:val="center"/>
          </w:tcPr>
          <w:p w:rsidR="00634E52" w:rsidRDefault="00634E52">
            <w:pPr>
              <w:rPr>
                <w:rFonts w:cs="Arial"/>
                <w:sz w:val="20"/>
                <w:szCs w:val="20"/>
              </w:rPr>
            </w:pPr>
            <w:r>
              <w:rPr>
                <w:rFonts w:cs="Arial"/>
                <w:sz w:val="20"/>
                <w:szCs w:val="20"/>
              </w:rPr>
              <w:t>Ex ante price ($/GJ)</w:t>
            </w:r>
          </w:p>
        </w:tc>
        <w:tc>
          <w:tcPr>
            <w:tcW w:w="589" w:type="pct"/>
            <w:tcBorders>
              <w:top w:val="nil"/>
              <w:bottom w:val="nil"/>
            </w:tcBorders>
            <w:vAlign w:val="center"/>
          </w:tcPr>
          <w:p w:rsidR="00634E52" w:rsidRDefault="00634E52">
            <w:pPr>
              <w:jc w:val="center"/>
              <w:rPr>
                <w:rFonts w:cs="Arial"/>
                <w:sz w:val="20"/>
                <w:szCs w:val="20"/>
              </w:rPr>
            </w:pPr>
            <w:r>
              <w:rPr>
                <w:rFonts w:cs="Arial"/>
                <w:sz w:val="20"/>
                <w:szCs w:val="20"/>
              </w:rPr>
              <w:t>9.44</w:t>
            </w:r>
          </w:p>
        </w:tc>
        <w:tc>
          <w:tcPr>
            <w:tcW w:w="516" w:type="pct"/>
            <w:tcBorders>
              <w:top w:val="nil"/>
              <w:bottom w:val="nil"/>
            </w:tcBorders>
            <w:vAlign w:val="center"/>
          </w:tcPr>
          <w:p w:rsidR="00634E52" w:rsidRDefault="00634E52">
            <w:pPr>
              <w:jc w:val="center"/>
              <w:rPr>
                <w:rFonts w:cs="Arial"/>
                <w:sz w:val="20"/>
                <w:szCs w:val="20"/>
              </w:rPr>
            </w:pPr>
            <w:r>
              <w:rPr>
                <w:rFonts w:cs="Arial"/>
                <w:sz w:val="20"/>
                <w:szCs w:val="20"/>
              </w:rPr>
              <w:t>9.48</w:t>
            </w:r>
          </w:p>
        </w:tc>
        <w:tc>
          <w:tcPr>
            <w:tcW w:w="598" w:type="pct"/>
            <w:tcBorders>
              <w:top w:val="nil"/>
              <w:bottom w:val="nil"/>
            </w:tcBorders>
            <w:vAlign w:val="center"/>
          </w:tcPr>
          <w:p w:rsidR="00634E52" w:rsidRDefault="00634E52">
            <w:pPr>
              <w:jc w:val="center"/>
              <w:rPr>
                <w:rFonts w:cs="Arial"/>
                <w:sz w:val="20"/>
                <w:szCs w:val="20"/>
              </w:rPr>
            </w:pPr>
            <w:r>
              <w:rPr>
                <w:rFonts w:cs="Arial"/>
                <w:sz w:val="20"/>
                <w:szCs w:val="20"/>
              </w:rPr>
              <w:t>9.49</w:t>
            </w:r>
          </w:p>
        </w:tc>
        <w:tc>
          <w:tcPr>
            <w:tcW w:w="525" w:type="pct"/>
            <w:tcBorders>
              <w:top w:val="nil"/>
              <w:bottom w:val="nil"/>
            </w:tcBorders>
            <w:vAlign w:val="center"/>
          </w:tcPr>
          <w:p w:rsidR="00634E52" w:rsidRDefault="00634E52">
            <w:pPr>
              <w:jc w:val="center"/>
              <w:rPr>
                <w:rFonts w:cs="Arial"/>
                <w:sz w:val="20"/>
                <w:szCs w:val="20"/>
              </w:rPr>
            </w:pPr>
            <w:r>
              <w:rPr>
                <w:rFonts w:cs="Arial"/>
                <w:sz w:val="20"/>
                <w:szCs w:val="20"/>
              </w:rPr>
              <w:t>9.44</w:t>
            </w:r>
          </w:p>
        </w:tc>
        <w:tc>
          <w:tcPr>
            <w:tcW w:w="518" w:type="pct"/>
            <w:tcBorders>
              <w:top w:val="nil"/>
              <w:bottom w:val="nil"/>
            </w:tcBorders>
            <w:vAlign w:val="center"/>
          </w:tcPr>
          <w:p w:rsidR="00634E52" w:rsidRDefault="00634E52">
            <w:pPr>
              <w:jc w:val="center"/>
              <w:rPr>
                <w:rFonts w:cs="Arial"/>
                <w:sz w:val="20"/>
                <w:szCs w:val="20"/>
              </w:rPr>
            </w:pPr>
            <w:r>
              <w:rPr>
                <w:rFonts w:cs="Arial"/>
                <w:sz w:val="20"/>
                <w:szCs w:val="20"/>
              </w:rPr>
              <w:t>9.22</w:t>
            </w:r>
          </w:p>
        </w:tc>
        <w:tc>
          <w:tcPr>
            <w:tcW w:w="515" w:type="pct"/>
            <w:tcBorders>
              <w:top w:val="nil"/>
              <w:bottom w:val="nil"/>
            </w:tcBorders>
            <w:vAlign w:val="center"/>
          </w:tcPr>
          <w:p w:rsidR="00634E52" w:rsidRDefault="00634E52">
            <w:pPr>
              <w:jc w:val="center"/>
              <w:rPr>
                <w:rFonts w:cs="Arial"/>
                <w:sz w:val="20"/>
                <w:szCs w:val="20"/>
              </w:rPr>
            </w:pPr>
            <w:r>
              <w:rPr>
                <w:rFonts w:cs="Arial"/>
                <w:sz w:val="20"/>
                <w:szCs w:val="20"/>
              </w:rPr>
              <w:t>9.25</w:t>
            </w:r>
          </w:p>
        </w:tc>
        <w:tc>
          <w:tcPr>
            <w:tcW w:w="587" w:type="pct"/>
            <w:tcBorders>
              <w:top w:val="nil"/>
              <w:bottom w:val="nil"/>
            </w:tcBorders>
            <w:vAlign w:val="center"/>
          </w:tcPr>
          <w:p w:rsidR="00634E52" w:rsidRDefault="00634E52">
            <w:pPr>
              <w:jc w:val="center"/>
              <w:rPr>
                <w:rFonts w:cs="Arial"/>
                <w:sz w:val="20"/>
                <w:szCs w:val="20"/>
              </w:rPr>
            </w:pPr>
            <w:r>
              <w:rPr>
                <w:rFonts w:cs="Arial"/>
                <w:sz w:val="20"/>
                <w:szCs w:val="20"/>
              </w:rPr>
              <w:t>8.95</w:t>
            </w:r>
          </w:p>
        </w:tc>
      </w:tr>
      <w:tr w:rsidR="00634E52" w:rsidRPr="00405CDE" w:rsidTr="00A226E9">
        <w:trPr>
          <w:cnfStyle w:val="000000010000" w:firstRow="0" w:lastRow="0" w:firstColumn="0" w:lastColumn="0" w:oddVBand="0" w:evenVBand="0" w:oddHBand="0" w:evenHBand="1" w:firstRowFirstColumn="0" w:firstRowLastColumn="0" w:lastRowFirstColumn="0" w:lastRowLastColumn="0"/>
          <w:trHeight w:val="325"/>
        </w:trPr>
        <w:tc>
          <w:tcPr>
            <w:tcW w:w="1152" w:type="pct"/>
            <w:tcBorders>
              <w:top w:val="nil"/>
              <w:bottom w:val="nil"/>
            </w:tcBorders>
            <w:vAlign w:val="center"/>
          </w:tcPr>
          <w:p w:rsidR="00634E52" w:rsidRDefault="00634E52">
            <w:pPr>
              <w:rPr>
                <w:rFonts w:cs="Arial"/>
                <w:szCs w:val="20"/>
              </w:rPr>
            </w:pPr>
            <w:r>
              <w:rPr>
                <w:rFonts w:cs="Arial"/>
                <w:szCs w:val="20"/>
              </w:rPr>
              <w:t>Ex ante quantity (TJ)</w:t>
            </w:r>
          </w:p>
        </w:tc>
        <w:tc>
          <w:tcPr>
            <w:tcW w:w="589" w:type="pct"/>
            <w:tcBorders>
              <w:top w:val="nil"/>
              <w:bottom w:val="nil"/>
            </w:tcBorders>
            <w:vAlign w:val="center"/>
          </w:tcPr>
          <w:p w:rsidR="00634E52" w:rsidRDefault="00634E52">
            <w:pPr>
              <w:jc w:val="center"/>
              <w:rPr>
                <w:rFonts w:cs="Arial"/>
                <w:szCs w:val="20"/>
              </w:rPr>
            </w:pPr>
            <w:r>
              <w:rPr>
                <w:rFonts w:cs="Arial"/>
                <w:szCs w:val="20"/>
              </w:rPr>
              <w:t>79</w:t>
            </w:r>
          </w:p>
        </w:tc>
        <w:tc>
          <w:tcPr>
            <w:tcW w:w="516" w:type="pct"/>
            <w:tcBorders>
              <w:top w:val="nil"/>
              <w:bottom w:val="nil"/>
            </w:tcBorders>
            <w:vAlign w:val="center"/>
          </w:tcPr>
          <w:p w:rsidR="00634E52" w:rsidRDefault="00634E52">
            <w:pPr>
              <w:jc w:val="center"/>
              <w:rPr>
                <w:rFonts w:cs="Arial"/>
                <w:szCs w:val="20"/>
              </w:rPr>
            </w:pPr>
            <w:r>
              <w:rPr>
                <w:rFonts w:cs="Arial"/>
                <w:szCs w:val="20"/>
              </w:rPr>
              <w:t>82</w:t>
            </w:r>
          </w:p>
        </w:tc>
        <w:tc>
          <w:tcPr>
            <w:tcW w:w="598" w:type="pct"/>
            <w:tcBorders>
              <w:top w:val="nil"/>
              <w:bottom w:val="nil"/>
            </w:tcBorders>
            <w:vAlign w:val="center"/>
          </w:tcPr>
          <w:p w:rsidR="00634E52" w:rsidRDefault="00634E52">
            <w:pPr>
              <w:jc w:val="center"/>
              <w:rPr>
                <w:rFonts w:cs="Arial"/>
                <w:szCs w:val="20"/>
              </w:rPr>
            </w:pPr>
            <w:r>
              <w:rPr>
                <w:rFonts w:cs="Arial"/>
                <w:szCs w:val="20"/>
              </w:rPr>
              <w:t>90</w:t>
            </w:r>
          </w:p>
        </w:tc>
        <w:tc>
          <w:tcPr>
            <w:tcW w:w="525" w:type="pct"/>
            <w:tcBorders>
              <w:top w:val="nil"/>
              <w:bottom w:val="nil"/>
            </w:tcBorders>
            <w:vAlign w:val="center"/>
          </w:tcPr>
          <w:p w:rsidR="00634E52" w:rsidRDefault="00634E52">
            <w:pPr>
              <w:jc w:val="center"/>
              <w:rPr>
                <w:rFonts w:cs="Arial"/>
                <w:szCs w:val="20"/>
              </w:rPr>
            </w:pPr>
            <w:r>
              <w:rPr>
                <w:rFonts w:cs="Arial"/>
                <w:szCs w:val="20"/>
              </w:rPr>
              <w:t>89</w:t>
            </w:r>
          </w:p>
        </w:tc>
        <w:tc>
          <w:tcPr>
            <w:tcW w:w="518" w:type="pct"/>
            <w:tcBorders>
              <w:top w:val="nil"/>
              <w:bottom w:val="nil"/>
            </w:tcBorders>
            <w:vAlign w:val="center"/>
          </w:tcPr>
          <w:p w:rsidR="00634E52" w:rsidRDefault="00634E52">
            <w:pPr>
              <w:jc w:val="center"/>
              <w:rPr>
                <w:rFonts w:cs="Arial"/>
                <w:szCs w:val="20"/>
              </w:rPr>
            </w:pPr>
            <w:r>
              <w:rPr>
                <w:rFonts w:cs="Arial"/>
                <w:szCs w:val="20"/>
              </w:rPr>
              <w:t>83</w:t>
            </w:r>
          </w:p>
        </w:tc>
        <w:tc>
          <w:tcPr>
            <w:tcW w:w="515" w:type="pct"/>
            <w:tcBorders>
              <w:top w:val="nil"/>
              <w:bottom w:val="nil"/>
            </w:tcBorders>
            <w:vAlign w:val="center"/>
          </w:tcPr>
          <w:p w:rsidR="00634E52" w:rsidRDefault="00634E52">
            <w:pPr>
              <w:jc w:val="center"/>
              <w:rPr>
                <w:rFonts w:cs="Arial"/>
                <w:szCs w:val="20"/>
              </w:rPr>
            </w:pPr>
            <w:r>
              <w:rPr>
                <w:rFonts w:cs="Arial"/>
                <w:szCs w:val="20"/>
              </w:rPr>
              <w:t>85</w:t>
            </w:r>
          </w:p>
        </w:tc>
        <w:tc>
          <w:tcPr>
            <w:tcW w:w="587" w:type="pct"/>
            <w:tcBorders>
              <w:top w:val="nil"/>
              <w:bottom w:val="nil"/>
            </w:tcBorders>
            <w:vAlign w:val="center"/>
          </w:tcPr>
          <w:p w:rsidR="00634E52" w:rsidRDefault="00634E52">
            <w:pPr>
              <w:jc w:val="center"/>
              <w:rPr>
                <w:rFonts w:cs="Arial"/>
                <w:szCs w:val="20"/>
              </w:rPr>
            </w:pPr>
            <w:r>
              <w:rPr>
                <w:rFonts w:cs="Arial"/>
                <w:szCs w:val="20"/>
              </w:rPr>
              <w:t>73</w:t>
            </w:r>
          </w:p>
        </w:tc>
      </w:tr>
      <w:tr w:rsidR="00634E52" w:rsidRPr="00405CDE" w:rsidTr="00A226E9">
        <w:trPr>
          <w:trHeight w:val="87"/>
        </w:trPr>
        <w:tc>
          <w:tcPr>
            <w:tcW w:w="1152" w:type="pct"/>
            <w:tcBorders>
              <w:top w:val="nil"/>
              <w:bottom w:val="nil"/>
            </w:tcBorders>
            <w:vAlign w:val="center"/>
          </w:tcPr>
          <w:p w:rsidR="00634E52" w:rsidRDefault="00634E52">
            <w:pPr>
              <w:rPr>
                <w:rFonts w:cs="Arial"/>
                <w:sz w:val="20"/>
                <w:szCs w:val="20"/>
              </w:rPr>
            </w:pPr>
            <w:r>
              <w:rPr>
                <w:rFonts w:cs="Arial"/>
                <w:sz w:val="20"/>
                <w:szCs w:val="20"/>
              </w:rPr>
              <w:t>Ex post price ($/GJ)</w:t>
            </w:r>
          </w:p>
        </w:tc>
        <w:tc>
          <w:tcPr>
            <w:tcW w:w="589" w:type="pct"/>
            <w:tcBorders>
              <w:top w:val="nil"/>
              <w:bottom w:val="nil"/>
            </w:tcBorders>
            <w:vAlign w:val="center"/>
          </w:tcPr>
          <w:p w:rsidR="00634E52" w:rsidRDefault="00634E52">
            <w:pPr>
              <w:jc w:val="center"/>
              <w:rPr>
                <w:rFonts w:cs="Arial"/>
                <w:sz w:val="20"/>
                <w:szCs w:val="20"/>
              </w:rPr>
            </w:pPr>
            <w:r>
              <w:rPr>
                <w:rFonts w:cs="Arial"/>
                <w:sz w:val="20"/>
                <w:szCs w:val="20"/>
              </w:rPr>
              <w:t>9.08</w:t>
            </w:r>
          </w:p>
        </w:tc>
        <w:tc>
          <w:tcPr>
            <w:tcW w:w="516" w:type="pct"/>
            <w:tcBorders>
              <w:top w:val="nil"/>
              <w:bottom w:val="nil"/>
            </w:tcBorders>
            <w:vAlign w:val="center"/>
          </w:tcPr>
          <w:p w:rsidR="00634E52" w:rsidRDefault="00634E52">
            <w:pPr>
              <w:jc w:val="center"/>
              <w:rPr>
                <w:rFonts w:cs="Arial"/>
                <w:sz w:val="20"/>
                <w:szCs w:val="20"/>
              </w:rPr>
            </w:pPr>
            <w:r>
              <w:rPr>
                <w:rFonts w:cs="Arial"/>
                <w:sz w:val="20"/>
                <w:szCs w:val="20"/>
              </w:rPr>
              <w:t>9.08</w:t>
            </w:r>
          </w:p>
        </w:tc>
        <w:tc>
          <w:tcPr>
            <w:tcW w:w="598" w:type="pct"/>
            <w:tcBorders>
              <w:top w:val="nil"/>
              <w:bottom w:val="nil"/>
            </w:tcBorders>
            <w:vAlign w:val="center"/>
          </w:tcPr>
          <w:p w:rsidR="00634E52" w:rsidRDefault="00634E52">
            <w:pPr>
              <w:jc w:val="center"/>
              <w:rPr>
                <w:rFonts w:cs="Arial"/>
                <w:sz w:val="20"/>
                <w:szCs w:val="20"/>
              </w:rPr>
            </w:pPr>
            <w:r>
              <w:rPr>
                <w:rFonts w:cs="Arial"/>
                <w:sz w:val="20"/>
                <w:szCs w:val="20"/>
              </w:rPr>
              <w:t>9.44</w:t>
            </w:r>
          </w:p>
        </w:tc>
        <w:tc>
          <w:tcPr>
            <w:tcW w:w="525" w:type="pct"/>
            <w:tcBorders>
              <w:top w:val="nil"/>
              <w:bottom w:val="nil"/>
            </w:tcBorders>
            <w:vAlign w:val="center"/>
          </w:tcPr>
          <w:p w:rsidR="00634E52" w:rsidRDefault="00634E52">
            <w:pPr>
              <w:jc w:val="center"/>
              <w:rPr>
                <w:rFonts w:cs="Arial"/>
                <w:sz w:val="20"/>
                <w:szCs w:val="20"/>
              </w:rPr>
            </w:pPr>
            <w:r>
              <w:rPr>
                <w:rFonts w:cs="Arial"/>
                <w:sz w:val="20"/>
                <w:szCs w:val="20"/>
              </w:rPr>
              <w:t>9.25</w:t>
            </w:r>
          </w:p>
        </w:tc>
        <w:tc>
          <w:tcPr>
            <w:tcW w:w="518" w:type="pct"/>
            <w:tcBorders>
              <w:top w:val="nil"/>
              <w:bottom w:val="nil"/>
            </w:tcBorders>
            <w:vAlign w:val="center"/>
          </w:tcPr>
          <w:p w:rsidR="00634E52" w:rsidRDefault="00634E52">
            <w:pPr>
              <w:jc w:val="center"/>
              <w:rPr>
                <w:rFonts w:cs="Arial"/>
                <w:sz w:val="20"/>
                <w:szCs w:val="20"/>
              </w:rPr>
            </w:pPr>
            <w:r>
              <w:rPr>
                <w:rFonts w:cs="Arial"/>
                <w:sz w:val="20"/>
                <w:szCs w:val="20"/>
              </w:rPr>
              <w:t>9.25</w:t>
            </w:r>
          </w:p>
        </w:tc>
        <w:tc>
          <w:tcPr>
            <w:tcW w:w="515" w:type="pct"/>
            <w:tcBorders>
              <w:top w:val="nil"/>
              <w:bottom w:val="nil"/>
            </w:tcBorders>
            <w:vAlign w:val="center"/>
          </w:tcPr>
          <w:p w:rsidR="00634E52" w:rsidRDefault="00634E52">
            <w:pPr>
              <w:jc w:val="center"/>
              <w:rPr>
                <w:rFonts w:cs="Arial"/>
                <w:sz w:val="20"/>
                <w:szCs w:val="20"/>
              </w:rPr>
            </w:pPr>
            <w:r>
              <w:rPr>
                <w:rFonts w:cs="Arial"/>
                <w:sz w:val="20"/>
                <w:szCs w:val="20"/>
              </w:rPr>
              <w:t>9.38</w:t>
            </w:r>
          </w:p>
        </w:tc>
        <w:tc>
          <w:tcPr>
            <w:tcW w:w="587" w:type="pct"/>
            <w:tcBorders>
              <w:top w:val="nil"/>
              <w:bottom w:val="nil"/>
            </w:tcBorders>
            <w:vAlign w:val="center"/>
          </w:tcPr>
          <w:p w:rsidR="00634E52" w:rsidRDefault="00634E52">
            <w:pPr>
              <w:jc w:val="center"/>
              <w:rPr>
                <w:rFonts w:cs="Arial"/>
                <w:sz w:val="20"/>
                <w:szCs w:val="20"/>
              </w:rPr>
            </w:pPr>
            <w:r>
              <w:rPr>
                <w:rFonts w:cs="Arial"/>
                <w:sz w:val="20"/>
                <w:szCs w:val="20"/>
              </w:rPr>
              <w:t>9.00</w:t>
            </w:r>
          </w:p>
        </w:tc>
      </w:tr>
      <w:tr w:rsidR="00634E52" w:rsidRPr="00405CDE" w:rsidTr="00A226E9">
        <w:trPr>
          <w:cnfStyle w:val="000000010000" w:firstRow="0" w:lastRow="0" w:firstColumn="0" w:lastColumn="0" w:oddVBand="0" w:evenVBand="0" w:oddHBand="0" w:evenHBand="1" w:firstRowFirstColumn="0" w:firstRowLastColumn="0" w:lastRowFirstColumn="0" w:lastRowLastColumn="0"/>
          <w:trHeight w:val="87"/>
        </w:trPr>
        <w:tc>
          <w:tcPr>
            <w:tcW w:w="1152" w:type="pct"/>
            <w:tcBorders>
              <w:top w:val="nil"/>
              <w:bottom w:val="single" w:sz="4" w:space="0" w:color="auto"/>
            </w:tcBorders>
            <w:vAlign w:val="center"/>
          </w:tcPr>
          <w:p w:rsidR="00634E52" w:rsidRDefault="00634E52">
            <w:pPr>
              <w:rPr>
                <w:rFonts w:cs="Arial"/>
                <w:szCs w:val="20"/>
              </w:rPr>
            </w:pPr>
            <w:r>
              <w:rPr>
                <w:rFonts w:cs="Arial"/>
                <w:szCs w:val="20"/>
              </w:rPr>
              <w:t>Ex post quantity (TJ)</w:t>
            </w:r>
          </w:p>
        </w:tc>
        <w:tc>
          <w:tcPr>
            <w:tcW w:w="589" w:type="pct"/>
            <w:tcBorders>
              <w:top w:val="nil"/>
              <w:bottom w:val="single" w:sz="4" w:space="0" w:color="auto"/>
            </w:tcBorders>
            <w:vAlign w:val="center"/>
          </w:tcPr>
          <w:p w:rsidR="00634E52" w:rsidRDefault="00634E52">
            <w:pPr>
              <w:jc w:val="center"/>
              <w:rPr>
                <w:rFonts w:cs="Arial"/>
                <w:szCs w:val="20"/>
              </w:rPr>
            </w:pPr>
            <w:r>
              <w:rPr>
                <w:rFonts w:cs="Arial"/>
                <w:szCs w:val="20"/>
              </w:rPr>
              <w:t>75</w:t>
            </w:r>
          </w:p>
        </w:tc>
        <w:tc>
          <w:tcPr>
            <w:tcW w:w="516" w:type="pct"/>
            <w:tcBorders>
              <w:top w:val="nil"/>
              <w:bottom w:val="single" w:sz="4" w:space="0" w:color="auto"/>
            </w:tcBorders>
            <w:vAlign w:val="center"/>
          </w:tcPr>
          <w:p w:rsidR="00634E52" w:rsidRDefault="00634E52">
            <w:pPr>
              <w:jc w:val="center"/>
              <w:rPr>
                <w:rFonts w:cs="Arial"/>
                <w:szCs w:val="20"/>
              </w:rPr>
            </w:pPr>
            <w:r>
              <w:rPr>
                <w:rFonts w:cs="Arial"/>
                <w:szCs w:val="20"/>
              </w:rPr>
              <w:t>77</w:t>
            </w:r>
          </w:p>
        </w:tc>
        <w:tc>
          <w:tcPr>
            <w:tcW w:w="598" w:type="pct"/>
            <w:tcBorders>
              <w:top w:val="nil"/>
              <w:bottom w:val="single" w:sz="4" w:space="0" w:color="auto"/>
            </w:tcBorders>
            <w:vAlign w:val="center"/>
          </w:tcPr>
          <w:p w:rsidR="00634E52" w:rsidRDefault="00634E52">
            <w:pPr>
              <w:jc w:val="center"/>
              <w:rPr>
                <w:rFonts w:cs="Arial"/>
                <w:szCs w:val="20"/>
              </w:rPr>
            </w:pPr>
            <w:r>
              <w:rPr>
                <w:rFonts w:cs="Arial"/>
                <w:szCs w:val="20"/>
              </w:rPr>
              <w:t>89</w:t>
            </w:r>
          </w:p>
        </w:tc>
        <w:tc>
          <w:tcPr>
            <w:tcW w:w="525" w:type="pct"/>
            <w:tcBorders>
              <w:top w:val="nil"/>
              <w:bottom w:val="single" w:sz="4" w:space="0" w:color="auto"/>
            </w:tcBorders>
            <w:vAlign w:val="center"/>
          </w:tcPr>
          <w:p w:rsidR="00634E52" w:rsidRDefault="00634E52">
            <w:pPr>
              <w:jc w:val="center"/>
              <w:rPr>
                <w:rFonts w:cs="Arial"/>
                <w:szCs w:val="20"/>
              </w:rPr>
            </w:pPr>
            <w:r>
              <w:rPr>
                <w:rFonts w:cs="Arial"/>
                <w:szCs w:val="20"/>
              </w:rPr>
              <w:t>85</w:t>
            </w:r>
          </w:p>
        </w:tc>
        <w:tc>
          <w:tcPr>
            <w:tcW w:w="518" w:type="pct"/>
            <w:tcBorders>
              <w:top w:val="nil"/>
              <w:bottom w:val="single" w:sz="4" w:space="0" w:color="auto"/>
            </w:tcBorders>
            <w:vAlign w:val="center"/>
          </w:tcPr>
          <w:p w:rsidR="00634E52" w:rsidRDefault="00634E52">
            <w:pPr>
              <w:jc w:val="center"/>
              <w:rPr>
                <w:rFonts w:cs="Arial"/>
                <w:szCs w:val="20"/>
              </w:rPr>
            </w:pPr>
            <w:r>
              <w:rPr>
                <w:rFonts w:cs="Arial"/>
                <w:szCs w:val="20"/>
              </w:rPr>
              <w:t>86</w:t>
            </w:r>
          </w:p>
        </w:tc>
        <w:tc>
          <w:tcPr>
            <w:tcW w:w="515" w:type="pct"/>
            <w:tcBorders>
              <w:top w:val="nil"/>
              <w:bottom w:val="single" w:sz="4" w:space="0" w:color="auto"/>
            </w:tcBorders>
            <w:vAlign w:val="center"/>
          </w:tcPr>
          <w:p w:rsidR="00634E52" w:rsidRDefault="00634E52">
            <w:pPr>
              <w:jc w:val="center"/>
              <w:rPr>
                <w:rFonts w:cs="Arial"/>
                <w:szCs w:val="20"/>
              </w:rPr>
            </w:pPr>
            <w:r>
              <w:rPr>
                <w:rFonts w:cs="Arial"/>
                <w:szCs w:val="20"/>
              </w:rPr>
              <w:t>88</w:t>
            </w:r>
          </w:p>
        </w:tc>
        <w:tc>
          <w:tcPr>
            <w:tcW w:w="587" w:type="pct"/>
            <w:tcBorders>
              <w:top w:val="nil"/>
              <w:bottom w:val="single" w:sz="4" w:space="0" w:color="auto"/>
            </w:tcBorders>
            <w:vAlign w:val="center"/>
          </w:tcPr>
          <w:p w:rsidR="00634E52" w:rsidRDefault="00634E52">
            <w:pPr>
              <w:jc w:val="center"/>
              <w:rPr>
                <w:rFonts w:cs="Arial"/>
                <w:szCs w:val="20"/>
              </w:rPr>
            </w:pPr>
            <w:r>
              <w:rPr>
                <w:rFonts w:cs="Arial"/>
                <w:szCs w:val="20"/>
              </w:rPr>
              <w:t>75</w:t>
            </w:r>
          </w:p>
        </w:tc>
      </w:tr>
    </w:tbl>
    <w:p w:rsidR="00EC2CB1" w:rsidRPr="001521CB" w:rsidRDefault="00EC2CB1" w:rsidP="00EC2CB1">
      <w:pPr>
        <w:pStyle w:val="Caption"/>
        <w:numPr>
          <w:ilvl w:val="0"/>
          <w:numId w:val="31"/>
        </w:numPr>
        <w:ind w:left="709" w:hanging="709"/>
      </w:pPr>
      <w:r w:rsidRPr="00DD0358">
        <w:rPr>
          <w:color w:val="2272A3"/>
          <w:szCs w:val="24"/>
        </w:rPr>
        <w:t>ADL daily hub offers and daily hub bids in price bands ($/GJ)</w:t>
      </w:r>
    </w:p>
    <w:p w:rsidR="00EC2CB1" w:rsidRDefault="00634E52" w:rsidP="00EC2CB1">
      <w:r w:rsidRPr="00634E52">
        <w:rPr>
          <w:noProof/>
          <w:lang w:eastAsia="en-AU"/>
        </w:rPr>
        <w:drawing>
          <wp:inline distT="0" distB="0" distL="0" distR="0" wp14:anchorId="1430AA59" wp14:editId="2A03D58D">
            <wp:extent cx="5731510" cy="1739923"/>
            <wp:effectExtent l="0" t="0" r="2540" b="0"/>
            <wp:docPr id="25" name="Picture 25" descr="Figure 3.2 shows the daily hub offers and bid in within certain price bands in Adelaide this week. The line indicates the scheduled quantity for each day. For a more detailed description of this figure, please refer to the user guide.               &#10;" title="Adelaide daily hub offers and b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1739923"/>
                    </a:xfrm>
                    <a:prstGeom prst="rect">
                      <a:avLst/>
                    </a:prstGeom>
                    <a:noFill/>
                    <a:ln>
                      <a:noFill/>
                    </a:ln>
                  </pic:spPr>
                </pic:pic>
              </a:graphicData>
            </a:graphic>
          </wp:inline>
        </w:drawing>
      </w:r>
    </w:p>
    <w:p w:rsidR="00EC2CB1" w:rsidRPr="001521CB" w:rsidRDefault="00EC2CB1" w:rsidP="00EC2CB1">
      <w:pPr>
        <w:pStyle w:val="Caption"/>
        <w:numPr>
          <w:ilvl w:val="0"/>
          <w:numId w:val="31"/>
        </w:numPr>
        <w:ind w:left="709" w:hanging="709"/>
      </w:pPr>
      <w:r w:rsidRPr="00DD0358">
        <w:rPr>
          <w:color w:val="2272A3"/>
          <w:szCs w:val="24"/>
        </w:rPr>
        <w:t>ADL net scheduled and allocated gas hub supply (excluding MOS)</w:t>
      </w:r>
    </w:p>
    <w:p w:rsidR="00EC2CB1" w:rsidRDefault="00634E52" w:rsidP="00EC2CB1">
      <w:r w:rsidRPr="00634E52">
        <w:rPr>
          <w:noProof/>
          <w:lang w:eastAsia="en-AU"/>
        </w:rPr>
        <w:drawing>
          <wp:inline distT="0" distB="0" distL="0" distR="0" wp14:anchorId="7024450E" wp14:editId="3A7A2B30">
            <wp:extent cx="5731510" cy="1511607"/>
            <wp:effectExtent l="0" t="0" r="2540" b="0"/>
            <wp:docPr id="26" name="Picture 26" descr="Figure 3.3 shows the daily scheduled and allocated quantities sorted by facility for Adelaide this week. For a more detailed description of this figure, please refer to the user guide." title="Adelaide scheduled and allocated gas 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1511607"/>
                    </a:xfrm>
                    <a:prstGeom prst="rect">
                      <a:avLst/>
                    </a:prstGeom>
                    <a:noFill/>
                    <a:ln>
                      <a:noFill/>
                    </a:ln>
                  </pic:spPr>
                </pic:pic>
              </a:graphicData>
            </a:graphic>
          </wp:inline>
        </w:drawing>
      </w:r>
    </w:p>
    <w:p w:rsidR="00EC2CB1" w:rsidRPr="001521CB" w:rsidRDefault="00EC2CB1" w:rsidP="00EC2CB1">
      <w:pPr>
        <w:pStyle w:val="Caption"/>
        <w:numPr>
          <w:ilvl w:val="0"/>
          <w:numId w:val="31"/>
        </w:numPr>
        <w:ind w:left="1418" w:hanging="1418"/>
      </w:pPr>
      <w:r w:rsidRPr="00DD0358">
        <w:rPr>
          <w:color w:val="2272A3"/>
          <w:szCs w:val="24"/>
        </w:rPr>
        <w:t>ADL MOS allocations (TJ), service payments and commodity payments/charges ($000)</w:t>
      </w:r>
    </w:p>
    <w:p w:rsidR="00EC2CB1" w:rsidRPr="00A226E9" w:rsidRDefault="00634E52" w:rsidP="00A226E9">
      <w:r w:rsidRPr="00634E52">
        <w:rPr>
          <w:noProof/>
          <w:lang w:eastAsia="en-AU"/>
        </w:rPr>
        <w:drawing>
          <wp:inline distT="0" distB="0" distL="0" distR="0" wp14:anchorId="7BD7A913" wp14:editId="1B7E3989">
            <wp:extent cx="5731510" cy="1802652"/>
            <wp:effectExtent l="0" t="0" r="2540" b="7620"/>
            <wp:docPr id="27" name="Picture 27" descr="Figure 3.4 shows the daily MOS allocations sorted by facility for each facility in Adelaide this week. The figure also shows the daily breakdown of costs associated with the MOS provided. For a more detailed description of this figure, please refer to the user guide." title="Adelaide MOS al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1802652"/>
                    </a:xfrm>
                    <a:prstGeom prst="rect">
                      <a:avLst/>
                    </a:prstGeom>
                    <a:noFill/>
                    <a:ln>
                      <a:noFill/>
                    </a:ln>
                  </pic:spPr>
                </pic:pic>
              </a:graphicData>
            </a:graphic>
          </wp:inline>
        </w:drawing>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4</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Brisbane STTM</w:t>
      </w:r>
    </w:p>
    <w:p w:rsidR="00EC2CB1" w:rsidRPr="003625A6" w:rsidRDefault="00EC2CB1" w:rsidP="00551D6B">
      <w:pPr>
        <w:jc w:val="both"/>
      </w:pPr>
      <w:r>
        <w:t>The Brisbane STTM hub functions in the same way as the Sydney STTM hub.  The same data that was presented for the Sydney hub is presented for the Brisbane hub in the figures below.</w:t>
      </w:r>
    </w:p>
    <w:p w:rsidR="004C571B" w:rsidRDefault="00EC2CB1" w:rsidP="00E16EDC">
      <w:pPr>
        <w:pStyle w:val="Caption"/>
        <w:numPr>
          <w:ilvl w:val="0"/>
          <w:numId w:val="32"/>
        </w:numPr>
        <w:ind w:left="709" w:hanging="709"/>
        <w:rPr>
          <w:color w:val="2272A3"/>
          <w:szCs w:val="24"/>
        </w:rPr>
      </w:pPr>
      <w:r>
        <w:rPr>
          <w:color w:val="2272A3"/>
          <w:szCs w:val="24"/>
        </w:rPr>
        <w:t>BRI</w:t>
      </w:r>
      <w:r w:rsidRPr="00362B9A">
        <w:rPr>
          <w:color w:val="2272A3"/>
          <w:szCs w:val="24"/>
        </w:rPr>
        <w:t xml:space="preserve"> STTM daily ex ante and ex post prices and quantities</w:t>
      </w:r>
    </w:p>
    <w:tbl>
      <w:tblPr>
        <w:tblStyle w:val="AERTable-Text"/>
        <w:tblW w:w="4917" w:type="pct"/>
        <w:tblLook w:val="04A0" w:firstRow="1" w:lastRow="0" w:firstColumn="1" w:lastColumn="0" w:noHBand="0" w:noVBand="1"/>
      </w:tblPr>
      <w:tblGrid>
        <w:gridCol w:w="2094"/>
        <w:gridCol w:w="1071"/>
        <w:gridCol w:w="938"/>
        <w:gridCol w:w="1087"/>
        <w:gridCol w:w="954"/>
        <w:gridCol w:w="942"/>
        <w:gridCol w:w="936"/>
        <w:gridCol w:w="1067"/>
      </w:tblGrid>
      <w:tr w:rsidR="00EC2CB1" w:rsidRPr="00405CDE" w:rsidTr="00A226E9">
        <w:trPr>
          <w:cnfStyle w:val="100000000000" w:firstRow="1" w:lastRow="0" w:firstColumn="0" w:lastColumn="0" w:oddVBand="0" w:evenVBand="0" w:oddHBand="0" w:evenHBand="0" w:firstRowFirstColumn="0" w:firstRowLastColumn="0" w:lastRowFirstColumn="0" w:lastRowLastColumn="0"/>
          <w:tblHeader/>
        </w:trPr>
        <w:tc>
          <w:tcPr>
            <w:tcW w:w="1152" w:type="pct"/>
            <w:tcBorders>
              <w:bottom w:val="nil"/>
            </w:tcBorders>
            <w:hideMark/>
          </w:tcPr>
          <w:p w:rsidR="00EC2CB1" w:rsidRPr="00DC24BF" w:rsidRDefault="00EC2CB1" w:rsidP="00EC2CB1">
            <w:pPr>
              <w:pStyle w:val="TableHeading"/>
              <w:spacing w:before="0" w:after="0"/>
              <w:jc w:val="center"/>
              <w:rPr>
                <w:rFonts w:cs="Arial"/>
                <w:sz w:val="20"/>
                <w:szCs w:val="20"/>
              </w:rPr>
            </w:pPr>
          </w:p>
        </w:tc>
        <w:tc>
          <w:tcPr>
            <w:tcW w:w="589"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Sun</w:t>
            </w:r>
          </w:p>
        </w:tc>
        <w:tc>
          <w:tcPr>
            <w:tcW w:w="516"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Mon</w:t>
            </w:r>
          </w:p>
        </w:tc>
        <w:tc>
          <w:tcPr>
            <w:tcW w:w="59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Tue</w:t>
            </w:r>
          </w:p>
        </w:tc>
        <w:tc>
          <w:tcPr>
            <w:tcW w:w="525"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Wed</w:t>
            </w:r>
          </w:p>
        </w:tc>
        <w:tc>
          <w:tcPr>
            <w:tcW w:w="51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Thu</w:t>
            </w:r>
          </w:p>
        </w:tc>
        <w:tc>
          <w:tcPr>
            <w:tcW w:w="515"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Fri</w:t>
            </w:r>
          </w:p>
        </w:tc>
        <w:tc>
          <w:tcPr>
            <w:tcW w:w="587"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Sat</w:t>
            </w:r>
          </w:p>
        </w:tc>
      </w:tr>
      <w:tr w:rsidR="004A41D5" w:rsidRPr="00405CDE" w:rsidTr="00A226E9">
        <w:trPr>
          <w:trHeight w:val="510"/>
        </w:trPr>
        <w:tc>
          <w:tcPr>
            <w:tcW w:w="1152" w:type="pct"/>
            <w:tcBorders>
              <w:top w:val="nil"/>
              <w:bottom w:val="nil"/>
            </w:tcBorders>
            <w:vAlign w:val="center"/>
          </w:tcPr>
          <w:p w:rsidR="004A41D5" w:rsidRDefault="004A41D5">
            <w:pPr>
              <w:rPr>
                <w:rFonts w:cs="Arial"/>
                <w:sz w:val="20"/>
                <w:szCs w:val="20"/>
              </w:rPr>
            </w:pPr>
            <w:r>
              <w:rPr>
                <w:rFonts w:cs="Arial"/>
                <w:sz w:val="20"/>
                <w:szCs w:val="20"/>
              </w:rPr>
              <w:t>Ex ante price ($/GJ)</w:t>
            </w:r>
          </w:p>
        </w:tc>
        <w:tc>
          <w:tcPr>
            <w:tcW w:w="589" w:type="pct"/>
            <w:tcBorders>
              <w:top w:val="nil"/>
              <w:bottom w:val="nil"/>
            </w:tcBorders>
            <w:vAlign w:val="center"/>
          </w:tcPr>
          <w:p w:rsidR="004A41D5" w:rsidRDefault="004A41D5">
            <w:pPr>
              <w:jc w:val="center"/>
              <w:rPr>
                <w:rFonts w:cs="Arial"/>
                <w:sz w:val="20"/>
                <w:szCs w:val="20"/>
              </w:rPr>
            </w:pPr>
            <w:r>
              <w:rPr>
                <w:rFonts w:cs="Arial"/>
                <w:sz w:val="20"/>
                <w:szCs w:val="20"/>
              </w:rPr>
              <w:t>7.77</w:t>
            </w:r>
          </w:p>
        </w:tc>
        <w:tc>
          <w:tcPr>
            <w:tcW w:w="516" w:type="pct"/>
            <w:tcBorders>
              <w:top w:val="nil"/>
              <w:bottom w:val="nil"/>
            </w:tcBorders>
            <w:vAlign w:val="center"/>
          </w:tcPr>
          <w:p w:rsidR="004A41D5" w:rsidRDefault="004A41D5">
            <w:pPr>
              <w:jc w:val="center"/>
              <w:rPr>
                <w:rFonts w:cs="Arial"/>
                <w:sz w:val="20"/>
                <w:szCs w:val="20"/>
              </w:rPr>
            </w:pPr>
            <w:r>
              <w:rPr>
                <w:rFonts w:cs="Arial"/>
                <w:sz w:val="20"/>
                <w:szCs w:val="20"/>
              </w:rPr>
              <w:t>7.82</w:t>
            </w:r>
          </w:p>
        </w:tc>
        <w:tc>
          <w:tcPr>
            <w:tcW w:w="598" w:type="pct"/>
            <w:tcBorders>
              <w:top w:val="nil"/>
              <w:bottom w:val="nil"/>
            </w:tcBorders>
            <w:vAlign w:val="center"/>
          </w:tcPr>
          <w:p w:rsidR="004A41D5" w:rsidRDefault="004A41D5">
            <w:pPr>
              <w:jc w:val="center"/>
              <w:rPr>
                <w:rFonts w:cs="Arial"/>
                <w:sz w:val="20"/>
                <w:szCs w:val="20"/>
              </w:rPr>
            </w:pPr>
            <w:r>
              <w:rPr>
                <w:rFonts w:cs="Arial"/>
                <w:sz w:val="20"/>
                <w:szCs w:val="20"/>
              </w:rPr>
              <w:t>7.80</w:t>
            </w:r>
          </w:p>
        </w:tc>
        <w:tc>
          <w:tcPr>
            <w:tcW w:w="525" w:type="pct"/>
            <w:tcBorders>
              <w:top w:val="nil"/>
              <w:bottom w:val="nil"/>
            </w:tcBorders>
            <w:vAlign w:val="center"/>
          </w:tcPr>
          <w:p w:rsidR="004A41D5" w:rsidRDefault="004A41D5">
            <w:pPr>
              <w:jc w:val="center"/>
              <w:rPr>
                <w:rFonts w:cs="Arial"/>
                <w:sz w:val="20"/>
                <w:szCs w:val="20"/>
              </w:rPr>
            </w:pPr>
            <w:r>
              <w:rPr>
                <w:rFonts w:cs="Arial"/>
                <w:sz w:val="20"/>
                <w:szCs w:val="20"/>
              </w:rPr>
              <w:t>7.82</w:t>
            </w:r>
          </w:p>
        </w:tc>
        <w:tc>
          <w:tcPr>
            <w:tcW w:w="518" w:type="pct"/>
            <w:tcBorders>
              <w:top w:val="nil"/>
              <w:bottom w:val="nil"/>
            </w:tcBorders>
            <w:vAlign w:val="center"/>
          </w:tcPr>
          <w:p w:rsidR="004A41D5" w:rsidRDefault="004A41D5">
            <w:pPr>
              <w:jc w:val="center"/>
              <w:rPr>
                <w:rFonts w:cs="Arial"/>
                <w:sz w:val="20"/>
                <w:szCs w:val="20"/>
              </w:rPr>
            </w:pPr>
            <w:r>
              <w:rPr>
                <w:rFonts w:cs="Arial"/>
                <w:sz w:val="20"/>
                <w:szCs w:val="20"/>
              </w:rPr>
              <w:t>7.65</w:t>
            </w:r>
          </w:p>
        </w:tc>
        <w:tc>
          <w:tcPr>
            <w:tcW w:w="515" w:type="pct"/>
            <w:tcBorders>
              <w:top w:val="nil"/>
              <w:bottom w:val="nil"/>
            </w:tcBorders>
            <w:vAlign w:val="center"/>
          </w:tcPr>
          <w:p w:rsidR="004A41D5" w:rsidRDefault="004A41D5">
            <w:pPr>
              <w:jc w:val="center"/>
              <w:rPr>
                <w:rFonts w:cs="Arial"/>
                <w:sz w:val="20"/>
                <w:szCs w:val="20"/>
              </w:rPr>
            </w:pPr>
            <w:r>
              <w:rPr>
                <w:rFonts w:cs="Arial"/>
                <w:sz w:val="20"/>
                <w:szCs w:val="20"/>
              </w:rPr>
              <w:t>7.55</w:t>
            </w:r>
          </w:p>
        </w:tc>
        <w:tc>
          <w:tcPr>
            <w:tcW w:w="587" w:type="pct"/>
            <w:tcBorders>
              <w:top w:val="nil"/>
              <w:bottom w:val="nil"/>
            </w:tcBorders>
            <w:vAlign w:val="center"/>
          </w:tcPr>
          <w:p w:rsidR="004A41D5" w:rsidRDefault="004A41D5">
            <w:pPr>
              <w:jc w:val="center"/>
              <w:rPr>
                <w:rFonts w:cs="Arial"/>
                <w:sz w:val="20"/>
                <w:szCs w:val="20"/>
              </w:rPr>
            </w:pPr>
            <w:r>
              <w:rPr>
                <w:rFonts w:cs="Arial"/>
                <w:sz w:val="20"/>
                <w:szCs w:val="20"/>
              </w:rPr>
              <w:t>6.96</w:t>
            </w:r>
          </w:p>
        </w:tc>
      </w:tr>
      <w:tr w:rsidR="004A41D5"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152" w:type="pct"/>
            <w:tcBorders>
              <w:top w:val="nil"/>
              <w:bottom w:val="nil"/>
            </w:tcBorders>
            <w:vAlign w:val="center"/>
          </w:tcPr>
          <w:p w:rsidR="004A41D5" w:rsidRDefault="004A41D5">
            <w:pPr>
              <w:rPr>
                <w:rFonts w:cs="Arial"/>
                <w:szCs w:val="20"/>
              </w:rPr>
            </w:pPr>
            <w:r>
              <w:rPr>
                <w:rFonts w:cs="Arial"/>
                <w:szCs w:val="20"/>
              </w:rPr>
              <w:t>Ex ante quantity (TJ)</w:t>
            </w:r>
          </w:p>
        </w:tc>
        <w:tc>
          <w:tcPr>
            <w:tcW w:w="589" w:type="pct"/>
            <w:tcBorders>
              <w:top w:val="nil"/>
              <w:bottom w:val="nil"/>
            </w:tcBorders>
            <w:vAlign w:val="center"/>
          </w:tcPr>
          <w:p w:rsidR="004A41D5" w:rsidRDefault="004A41D5">
            <w:pPr>
              <w:jc w:val="center"/>
              <w:rPr>
                <w:rFonts w:cs="Arial"/>
                <w:szCs w:val="20"/>
              </w:rPr>
            </w:pPr>
            <w:r>
              <w:rPr>
                <w:rFonts w:cs="Arial"/>
                <w:szCs w:val="20"/>
              </w:rPr>
              <w:t>79</w:t>
            </w:r>
          </w:p>
        </w:tc>
        <w:tc>
          <w:tcPr>
            <w:tcW w:w="516" w:type="pct"/>
            <w:tcBorders>
              <w:top w:val="nil"/>
              <w:bottom w:val="nil"/>
            </w:tcBorders>
            <w:vAlign w:val="center"/>
          </w:tcPr>
          <w:p w:rsidR="004A41D5" w:rsidRDefault="004A41D5">
            <w:pPr>
              <w:jc w:val="center"/>
              <w:rPr>
                <w:rFonts w:cs="Arial"/>
                <w:szCs w:val="20"/>
              </w:rPr>
            </w:pPr>
            <w:r>
              <w:rPr>
                <w:rFonts w:cs="Arial"/>
                <w:szCs w:val="20"/>
              </w:rPr>
              <w:t>95</w:t>
            </w:r>
          </w:p>
        </w:tc>
        <w:tc>
          <w:tcPr>
            <w:tcW w:w="598" w:type="pct"/>
            <w:tcBorders>
              <w:top w:val="nil"/>
              <w:bottom w:val="nil"/>
            </w:tcBorders>
            <w:vAlign w:val="center"/>
          </w:tcPr>
          <w:p w:rsidR="004A41D5" w:rsidRDefault="004A41D5">
            <w:pPr>
              <w:jc w:val="center"/>
              <w:rPr>
                <w:rFonts w:cs="Arial"/>
                <w:szCs w:val="20"/>
              </w:rPr>
            </w:pPr>
            <w:r>
              <w:rPr>
                <w:rFonts w:cs="Arial"/>
                <w:szCs w:val="20"/>
              </w:rPr>
              <w:t>96</w:t>
            </w:r>
          </w:p>
        </w:tc>
        <w:tc>
          <w:tcPr>
            <w:tcW w:w="525" w:type="pct"/>
            <w:tcBorders>
              <w:top w:val="nil"/>
              <w:bottom w:val="nil"/>
            </w:tcBorders>
            <w:vAlign w:val="center"/>
          </w:tcPr>
          <w:p w:rsidR="004A41D5" w:rsidRDefault="004A41D5">
            <w:pPr>
              <w:jc w:val="center"/>
              <w:rPr>
                <w:rFonts w:cs="Arial"/>
                <w:szCs w:val="20"/>
              </w:rPr>
            </w:pPr>
            <w:r>
              <w:rPr>
                <w:rFonts w:cs="Arial"/>
                <w:szCs w:val="20"/>
              </w:rPr>
              <w:t>94</w:t>
            </w:r>
          </w:p>
        </w:tc>
        <w:tc>
          <w:tcPr>
            <w:tcW w:w="518" w:type="pct"/>
            <w:tcBorders>
              <w:top w:val="nil"/>
              <w:bottom w:val="nil"/>
            </w:tcBorders>
            <w:vAlign w:val="center"/>
          </w:tcPr>
          <w:p w:rsidR="004A41D5" w:rsidRDefault="004A41D5">
            <w:pPr>
              <w:jc w:val="center"/>
              <w:rPr>
                <w:rFonts w:cs="Arial"/>
                <w:szCs w:val="20"/>
              </w:rPr>
            </w:pPr>
            <w:r>
              <w:rPr>
                <w:rFonts w:cs="Arial"/>
                <w:szCs w:val="20"/>
              </w:rPr>
              <w:t>93</w:t>
            </w:r>
          </w:p>
        </w:tc>
        <w:tc>
          <w:tcPr>
            <w:tcW w:w="515" w:type="pct"/>
            <w:tcBorders>
              <w:top w:val="nil"/>
              <w:bottom w:val="nil"/>
            </w:tcBorders>
            <w:vAlign w:val="center"/>
          </w:tcPr>
          <w:p w:rsidR="004A41D5" w:rsidRDefault="004A41D5">
            <w:pPr>
              <w:jc w:val="center"/>
              <w:rPr>
                <w:rFonts w:cs="Arial"/>
                <w:szCs w:val="20"/>
              </w:rPr>
            </w:pPr>
            <w:r>
              <w:rPr>
                <w:rFonts w:cs="Arial"/>
                <w:szCs w:val="20"/>
              </w:rPr>
              <w:t>86</w:t>
            </w:r>
          </w:p>
        </w:tc>
        <w:tc>
          <w:tcPr>
            <w:tcW w:w="587" w:type="pct"/>
            <w:tcBorders>
              <w:top w:val="nil"/>
              <w:bottom w:val="nil"/>
            </w:tcBorders>
            <w:vAlign w:val="center"/>
          </w:tcPr>
          <w:p w:rsidR="004A41D5" w:rsidRDefault="004A41D5">
            <w:pPr>
              <w:jc w:val="center"/>
              <w:rPr>
                <w:rFonts w:cs="Arial"/>
                <w:szCs w:val="20"/>
              </w:rPr>
            </w:pPr>
            <w:r>
              <w:rPr>
                <w:rFonts w:cs="Arial"/>
                <w:szCs w:val="20"/>
              </w:rPr>
              <w:t>72</w:t>
            </w:r>
          </w:p>
        </w:tc>
      </w:tr>
      <w:tr w:rsidR="004A41D5" w:rsidRPr="00405CDE" w:rsidTr="00A226E9">
        <w:trPr>
          <w:trHeight w:val="510"/>
        </w:trPr>
        <w:tc>
          <w:tcPr>
            <w:tcW w:w="1152" w:type="pct"/>
            <w:tcBorders>
              <w:top w:val="nil"/>
              <w:bottom w:val="nil"/>
            </w:tcBorders>
            <w:vAlign w:val="center"/>
          </w:tcPr>
          <w:p w:rsidR="004A41D5" w:rsidRDefault="004A41D5">
            <w:pPr>
              <w:rPr>
                <w:rFonts w:cs="Arial"/>
                <w:sz w:val="20"/>
                <w:szCs w:val="20"/>
              </w:rPr>
            </w:pPr>
            <w:r>
              <w:rPr>
                <w:rFonts w:cs="Arial"/>
                <w:sz w:val="20"/>
                <w:szCs w:val="20"/>
              </w:rPr>
              <w:t>Ex post price ($/GJ)</w:t>
            </w:r>
          </w:p>
        </w:tc>
        <w:tc>
          <w:tcPr>
            <w:tcW w:w="589" w:type="pct"/>
            <w:tcBorders>
              <w:top w:val="nil"/>
              <w:bottom w:val="nil"/>
            </w:tcBorders>
            <w:vAlign w:val="center"/>
          </w:tcPr>
          <w:p w:rsidR="004A41D5" w:rsidRDefault="004A41D5">
            <w:pPr>
              <w:jc w:val="center"/>
              <w:rPr>
                <w:rFonts w:cs="Arial"/>
                <w:sz w:val="20"/>
                <w:szCs w:val="20"/>
              </w:rPr>
            </w:pPr>
            <w:r>
              <w:rPr>
                <w:rFonts w:cs="Arial"/>
                <w:sz w:val="20"/>
                <w:szCs w:val="20"/>
              </w:rPr>
              <w:t>7.77</w:t>
            </w:r>
          </w:p>
        </w:tc>
        <w:tc>
          <w:tcPr>
            <w:tcW w:w="516" w:type="pct"/>
            <w:tcBorders>
              <w:top w:val="nil"/>
              <w:bottom w:val="nil"/>
            </w:tcBorders>
            <w:vAlign w:val="center"/>
          </w:tcPr>
          <w:p w:rsidR="004A41D5" w:rsidRDefault="004A41D5">
            <w:pPr>
              <w:jc w:val="center"/>
              <w:rPr>
                <w:rFonts w:cs="Arial"/>
                <w:sz w:val="20"/>
                <w:szCs w:val="20"/>
              </w:rPr>
            </w:pPr>
            <w:r>
              <w:rPr>
                <w:rFonts w:cs="Arial"/>
                <w:sz w:val="20"/>
                <w:szCs w:val="20"/>
              </w:rPr>
              <w:t>7.82</w:t>
            </w:r>
          </w:p>
        </w:tc>
        <w:tc>
          <w:tcPr>
            <w:tcW w:w="598" w:type="pct"/>
            <w:tcBorders>
              <w:top w:val="nil"/>
              <w:bottom w:val="nil"/>
            </w:tcBorders>
            <w:vAlign w:val="center"/>
          </w:tcPr>
          <w:p w:rsidR="004A41D5" w:rsidRDefault="004A41D5">
            <w:pPr>
              <w:jc w:val="center"/>
              <w:rPr>
                <w:rFonts w:cs="Arial"/>
                <w:sz w:val="20"/>
                <w:szCs w:val="20"/>
              </w:rPr>
            </w:pPr>
            <w:r>
              <w:rPr>
                <w:rFonts w:cs="Arial"/>
                <w:sz w:val="20"/>
                <w:szCs w:val="20"/>
              </w:rPr>
              <w:t>7.76</w:t>
            </w:r>
          </w:p>
        </w:tc>
        <w:tc>
          <w:tcPr>
            <w:tcW w:w="525" w:type="pct"/>
            <w:tcBorders>
              <w:top w:val="nil"/>
              <w:bottom w:val="nil"/>
            </w:tcBorders>
            <w:vAlign w:val="center"/>
          </w:tcPr>
          <w:p w:rsidR="004A41D5" w:rsidRDefault="004A41D5">
            <w:pPr>
              <w:jc w:val="center"/>
              <w:rPr>
                <w:rFonts w:cs="Arial"/>
                <w:sz w:val="20"/>
                <w:szCs w:val="20"/>
              </w:rPr>
            </w:pPr>
            <w:r>
              <w:rPr>
                <w:rFonts w:cs="Arial"/>
                <w:sz w:val="20"/>
                <w:szCs w:val="20"/>
              </w:rPr>
              <w:t>7.82</w:t>
            </w:r>
          </w:p>
        </w:tc>
        <w:tc>
          <w:tcPr>
            <w:tcW w:w="518" w:type="pct"/>
            <w:tcBorders>
              <w:top w:val="nil"/>
              <w:bottom w:val="nil"/>
            </w:tcBorders>
            <w:vAlign w:val="center"/>
          </w:tcPr>
          <w:p w:rsidR="004A41D5" w:rsidRDefault="004A41D5">
            <w:pPr>
              <w:jc w:val="center"/>
              <w:rPr>
                <w:rFonts w:cs="Arial"/>
                <w:sz w:val="20"/>
                <w:szCs w:val="20"/>
              </w:rPr>
            </w:pPr>
            <w:r>
              <w:rPr>
                <w:rFonts w:cs="Arial"/>
                <w:sz w:val="20"/>
                <w:szCs w:val="20"/>
              </w:rPr>
              <w:t>7.65</w:t>
            </w:r>
          </w:p>
        </w:tc>
        <w:tc>
          <w:tcPr>
            <w:tcW w:w="515" w:type="pct"/>
            <w:tcBorders>
              <w:top w:val="nil"/>
              <w:bottom w:val="nil"/>
            </w:tcBorders>
            <w:vAlign w:val="center"/>
          </w:tcPr>
          <w:p w:rsidR="004A41D5" w:rsidRDefault="004A41D5">
            <w:pPr>
              <w:jc w:val="center"/>
              <w:rPr>
                <w:rFonts w:cs="Arial"/>
                <w:sz w:val="20"/>
                <w:szCs w:val="20"/>
              </w:rPr>
            </w:pPr>
            <w:r>
              <w:rPr>
                <w:rFonts w:cs="Arial"/>
                <w:sz w:val="20"/>
                <w:szCs w:val="20"/>
              </w:rPr>
              <w:t>7.54</w:t>
            </w:r>
          </w:p>
        </w:tc>
        <w:tc>
          <w:tcPr>
            <w:tcW w:w="587" w:type="pct"/>
            <w:tcBorders>
              <w:top w:val="nil"/>
              <w:bottom w:val="nil"/>
            </w:tcBorders>
            <w:vAlign w:val="center"/>
          </w:tcPr>
          <w:p w:rsidR="004A41D5" w:rsidRDefault="004A41D5">
            <w:pPr>
              <w:jc w:val="center"/>
              <w:rPr>
                <w:rFonts w:cs="Arial"/>
                <w:sz w:val="20"/>
                <w:szCs w:val="20"/>
              </w:rPr>
            </w:pPr>
            <w:r>
              <w:rPr>
                <w:rFonts w:cs="Arial"/>
                <w:sz w:val="20"/>
                <w:szCs w:val="20"/>
              </w:rPr>
              <w:t>7.00</w:t>
            </w:r>
          </w:p>
        </w:tc>
      </w:tr>
      <w:tr w:rsidR="004A41D5"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152" w:type="pct"/>
            <w:tcBorders>
              <w:top w:val="nil"/>
              <w:bottom w:val="single" w:sz="4" w:space="0" w:color="auto"/>
            </w:tcBorders>
            <w:vAlign w:val="center"/>
          </w:tcPr>
          <w:p w:rsidR="004A41D5" w:rsidRDefault="004A41D5">
            <w:pPr>
              <w:rPr>
                <w:rFonts w:cs="Arial"/>
                <w:szCs w:val="20"/>
              </w:rPr>
            </w:pPr>
            <w:r>
              <w:rPr>
                <w:rFonts w:cs="Arial"/>
                <w:szCs w:val="20"/>
              </w:rPr>
              <w:t>Ex post quantity (TJ)</w:t>
            </w:r>
          </w:p>
        </w:tc>
        <w:tc>
          <w:tcPr>
            <w:tcW w:w="589" w:type="pct"/>
            <w:tcBorders>
              <w:top w:val="nil"/>
              <w:bottom w:val="single" w:sz="4" w:space="0" w:color="auto"/>
            </w:tcBorders>
            <w:vAlign w:val="center"/>
          </w:tcPr>
          <w:p w:rsidR="004A41D5" w:rsidRDefault="004A41D5">
            <w:pPr>
              <w:jc w:val="center"/>
              <w:rPr>
                <w:rFonts w:cs="Arial"/>
                <w:szCs w:val="20"/>
              </w:rPr>
            </w:pPr>
            <w:r>
              <w:rPr>
                <w:rFonts w:cs="Arial"/>
                <w:szCs w:val="20"/>
              </w:rPr>
              <w:t>80</w:t>
            </w:r>
          </w:p>
        </w:tc>
        <w:tc>
          <w:tcPr>
            <w:tcW w:w="516" w:type="pct"/>
            <w:tcBorders>
              <w:top w:val="nil"/>
              <w:bottom w:val="single" w:sz="4" w:space="0" w:color="auto"/>
            </w:tcBorders>
            <w:vAlign w:val="center"/>
          </w:tcPr>
          <w:p w:rsidR="004A41D5" w:rsidRDefault="004A41D5">
            <w:pPr>
              <w:jc w:val="center"/>
              <w:rPr>
                <w:rFonts w:cs="Arial"/>
                <w:szCs w:val="20"/>
              </w:rPr>
            </w:pPr>
            <w:r>
              <w:rPr>
                <w:rFonts w:cs="Arial"/>
                <w:szCs w:val="20"/>
              </w:rPr>
              <w:t>93</w:t>
            </w:r>
          </w:p>
        </w:tc>
        <w:tc>
          <w:tcPr>
            <w:tcW w:w="598" w:type="pct"/>
            <w:tcBorders>
              <w:top w:val="nil"/>
              <w:bottom w:val="single" w:sz="4" w:space="0" w:color="auto"/>
            </w:tcBorders>
            <w:vAlign w:val="center"/>
          </w:tcPr>
          <w:p w:rsidR="004A41D5" w:rsidRDefault="004A41D5">
            <w:pPr>
              <w:jc w:val="center"/>
              <w:rPr>
                <w:rFonts w:cs="Arial"/>
                <w:szCs w:val="20"/>
              </w:rPr>
            </w:pPr>
            <w:r>
              <w:rPr>
                <w:rFonts w:cs="Arial"/>
                <w:szCs w:val="20"/>
              </w:rPr>
              <w:t>96</w:t>
            </w:r>
          </w:p>
        </w:tc>
        <w:tc>
          <w:tcPr>
            <w:tcW w:w="525" w:type="pct"/>
            <w:tcBorders>
              <w:top w:val="nil"/>
              <w:bottom w:val="single" w:sz="4" w:space="0" w:color="auto"/>
            </w:tcBorders>
            <w:vAlign w:val="center"/>
          </w:tcPr>
          <w:p w:rsidR="004A41D5" w:rsidRDefault="004A41D5">
            <w:pPr>
              <w:jc w:val="center"/>
              <w:rPr>
                <w:rFonts w:cs="Arial"/>
                <w:szCs w:val="20"/>
              </w:rPr>
            </w:pPr>
            <w:r>
              <w:rPr>
                <w:rFonts w:cs="Arial"/>
                <w:szCs w:val="20"/>
              </w:rPr>
              <w:t>93</w:t>
            </w:r>
          </w:p>
        </w:tc>
        <w:tc>
          <w:tcPr>
            <w:tcW w:w="518" w:type="pct"/>
            <w:tcBorders>
              <w:top w:val="nil"/>
              <w:bottom w:val="single" w:sz="4" w:space="0" w:color="auto"/>
            </w:tcBorders>
            <w:vAlign w:val="center"/>
          </w:tcPr>
          <w:p w:rsidR="004A41D5" w:rsidRDefault="004A41D5">
            <w:pPr>
              <w:jc w:val="center"/>
              <w:rPr>
                <w:rFonts w:cs="Arial"/>
                <w:szCs w:val="20"/>
              </w:rPr>
            </w:pPr>
            <w:r>
              <w:rPr>
                <w:rFonts w:cs="Arial"/>
                <w:szCs w:val="20"/>
              </w:rPr>
              <w:t>92</w:t>
            </w:r>
          </w:p>
        </w:tc>
        <w:tc>
          <w:tcPr>
            <w:tcW w:w="515" w:type="pct"/>
            <w:tcBorders>
              <w:top w:val="nil"/>
              <w:bottom w:val="single" w:sz="4" w:space="0" w:color="auto"/>
            </w:tcBorders>
            <w:vAlign w:val="center"/>
          </w:tcPr>
          <w:p w:rsidR="004A41D5" w:rsidRDefault="004A41D5">
            <w:pPr>
              <w:jc w:val="center"/>
              <w:rPr>
                <w:rFonts w:cs="Arial"/>
                <w:szCs w:val="20"/>
              </w:rPr>
            </w:pPr>
            <w:r>
              <w:rPr>
                <w:rFonts w:cs="Arial"/>
                <w:szCs w:val="20"/>
              </w:rPr>
              <w:t>85</w:t>
            </w:r>
          </w:p>
        </w:tc>
        <w:tc>
          <w:tcPr>
            <w:tcW w:w="587" w:type="pct"/>
            <w:tcBorders>
              <w:top w:val="nil"/>
              <w:bottom w:val="single" w:sz="4" w:space="0" w:color="auto"/>
            </w:tcBorders>
            <w:vAlign w:val="center"/>
          </w:tcPr>
          <w:p w:rsidR="004A41D5" w:rsidRDefault="004A41D5">
            <w:pPr>
              <w:jc w:val="center"/>
              <w:rPr>
                <w:rFonts w:cs="Arial"/>
                <w:szCs w:val="20"/>
              </w:rPr>
            </w:pPr>
            <w:r>
              <w:rPr>
                <w:rFonts w:cs="Arial"/>
                <w:szCs w:val="20"/>
              </w:rPr>
              <w:t>74</w:t>
            </w:r>
          </w:p>
        </w:tc>
      </w:tr>
    </w:tbl>
    <w:p w:rsidR="004C571B" w:rsidRDefault="00EC2CB1" w:rsidP="00E16EDC">
      <w:pPr>
        <w:pStyle w:val="Caption"/>
        <w:numPr>
          <w:ilvl w:val="0"/>
          <w:numId w:val="32"/>
        </w:numPr>
        <w:ind w:left="709" w:hanging="709"/>
        <w:rPr>
          <w:color w:val="2272A3"/>
          <w:szCs w:val="24"/>
        </w:rPr>
      </w:pPr>
      <w:r w:rsidRPr="00DD0358">
        <w:rPr>
          <w:color w:val="2272A3"/>
          <w:szCs w:val="24"/>
        </w:rPr>
        <w:t>BRI daily hub offers and daily hub bids in price bands ($/GJ)</w:t>
      </w:r>
    </w:p>
    <w:p w:rsidR="00EC2CB1" w:rsidRPr="00EC2CB1" w:rsidRDefault="004A41D5" w:rsidP="00EC2CB1">
      <w:r w:rsidRPr="004A41D5">
        <w:rPr>
          <w:noProof/>
          <w:lang w:eastAsia="en-AU"/>
        </w:rPr>
        <w:drawing>
          <wp:inline distT="0" distB="0" distL="0" distR="0" wp14:anchorId="54720B5E" wp14:editId="362B03BE">
            <wp:extent cx="5731510" cy="1725905"/>
            <wp:effectExtent l="0" t="0" r="2540" b="0"/>
            <wp:docPr id="32" name="Picture 32" descr="Figure 4.2 shows the daily hub offers and bid in within certain price bands in Brisbane this week. The line indicates the scheduled quantity for each day. For a more detailed description of this figure, please refer to the user guide." title="Brisbane daily hub offers and b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1725905"/>
                    </a:xfrm>
                    <a:prstGeom prst="rect">
                      <a:avLst/>
                    </a:prstGeom>
                    <a:noFill/>
                    <a:ln>
                      <a:noFill/>
                    </a:ln>
                  </pic:spPr>
                </pic:pic>
              </a:graphicData>
            </a:graphic>
          </wp:inline>
        </w:drawing>
      </w:r>
    </w:p>
    <w:p w:rsidR="00EC2CB1" w:rsidRDefault="00EC2CB1" w:rsidP="00EC2CB1">
      <w:pPr>
        <w:pStyle w:val="Caption"/>
        <w:numPr>
          <w:ilvl w:val="0"/>
          <w:numId w:val="32"/>
        </w:numPr>
        <w:ind w:left="709" w:hanging="709"/>
        <w:rPr>
          <w:color w:val="2272A3"/>
          <w:szCs w:val="24"/>
        </w:rPr>
      </w:pPr>
      <w:r w:rsidRPr="00DD0358">
        <w:rPr>
          <w:color w:val="2272A3"/>
          <w:szCs w:val="24"/>
        </w:rPr>
        <w:t>BRI net scheduled and allocated gas hub supply (excluding MOS)</w:t>
      </w:r>
    </w:p>
    <w:p w:rsidR="00EC2CB1" w:rsidRPr="00EC2CB1" w:rsidRDefault="006C493A" w:rsidP="00EC2CB1">
      <w:r w:rsidRPr="006C493A">
        <w:rPr>
          <w:noProof/>
          <w:lang w:eastAsia="en-AU"/>
        </w:rPr>
        <w:drawing>
          <wp:inline distT="0" distB="0" distL="0" distR="0" wp14:anchorId="28E2442A" wp14:editId="0B5DCEE9">
            <wp:extent cx="5731510" cy="1475616"/>
            <wp:effectExtent l="0" t="0" r="2540" b="0"/>
            <wp:docPr id="6" name="Picture 6" descr="Figure 4.3 shows the daily scheduled and allocated quantities sorted by facility for Brisbane this week. For a more detailed description of this figure, please refer to the user guide." title="Brisbane scheduled and allocated gas 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1475616"/>
                    </a:xfrm>
                    <a:prstGeom prst="rect">
                      <a:avLst/>
                    </a:prstGeom>
                    <a:noFill/>
                    <a:ln>
                      <a:noFill/>
                    </a:ln>
                  </pic:spPr>
                </pic:pic>
              </a:graphicData>
            </a:graphic>
          </wp:inline>
        </w:drawing>
      </w:r>
    </w:p>
    <w:p w:rsidR="00EC2CB1" w:rsidRPr="001521CB" w:rsidRDefault="00EC2CB1" w:rsidP="00551D6B">
      <w:pPr>
        <w:pStyle w:val="Caption"/>
        <w:numPr>
          <w:ilvl w:val="0"/>
          <w:numId w:val="32"/>
        </w:numPr>
        <w:ind w:left="1418" w:hanging="1418"/>
      </w:pPr>
      <w:r w:rsidRPr="00DD0358">
        <w:rPr>
          <w:color w:val="2272A3"/>
          <w:szCs w:val="24"/>
        </w:rPr>
        <w:t>BRI MOS allocations (TJ), service payments and commodity payments/charges ($000)</w:t>
      </w:r>
    </w:p>
    <w:p w:rsidR="00551D6B" w:rsidRPr="00A226E9" w:rsidRDefault="004A41D5" w:rsidP="00A226E9">
      <w:r w:rsidRPr="004A41D5">
        <w:rPr>
          <w:noProof/>
          <w:lang w:eastAsia="en-AU"/>
        </w:rPr>
        <w:drawing>
          <wp:inline distT="0" distB="0" distL="0" distR="0" wp14:anchorId="57D356B5" wp14:editId="61B23F75">
            <wp:extent cx="5731510" cy="1883137"/>
            <wp:effectExtent l="0" t="0" r="2540" b="3175"/>
            <wp:docPr id="35" name="Picture 35" descr="Figure 4.4 shows the daily MOS allocations sorted by facility for each facility in Brisbane this week. The figure also shows the daily breakdown of costs associated with the MOS provided. For a more detailed description of this figure, please refer to the user guide." title="Brisbane MOS al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1883137"/>
                    </a:xfrm>
                    <a:prstGeom prst="rect">
                      <a:avLst/>
                    </a:prstGeom>
                    <a:noFill/>
                    <a:ln>
                      <a:noFill/>
                    </a:ln>
                  </pic:spPr>
                </pic:pic>
              </a:graphicData>
            </a:graphic>
          </wp:inline>
        </w:drawing>
      </w:r>
    </w:p>
    <w:p w:rsidR="00EC2CB1" w:rsidRDefault="00EC2CB1" w:rsidP="00EC2CB1">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5</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National Gas Bulletin Board</w:t>
      </w:r>
    </w:p>
    <w:p w:rsidR="00596DE3" w:rsidRDefault="00596DE3" w:rsidP="00596DE3">
      <w:pPr>
        <w:jc w:val="both"/>
      </w:pPr>
      <w:r w:rsidRPr="00A475A2">
        <w:t xml:space="preserve">Figure </w:t>
      </w:r>
      <w:r>
        <w:t>5</w:t>
      </w:r>
      <w:r w:rsidRPr="00A475A2">
        <w:t xml:space="preserve">.1 shows average daily </w:t>
      </w:r>
      <w:r>
        <w:t xml:space="preserve">actual </w:t>
      </w:r>
      <w:r w:rsidRPr="00A475A2">
        <w:t>flows for the current week</w:t>
      </w:r>
      <w:r>
        <w:rPr>
          <w:rStyle w:val="FootnoteReference"/>
        </w:rPr>
        <w:footnoteReference w:id="13"/>
      </w:r>
      <w:r>
        <w:t xml:space="preserve"> from </w:t>
      </w:r>
      <w:r w:rsidRPr="00A475A2">
        <w:t xml:space="preserve">the Bulletin Board (changes from the </w:t>
      </w:r>
      <w:r>
        <w:t>previous week’s</w:t>
      </w:r>
      <w:r w:rsidRPr="00A475A2">
        <w:t xml:space="preserve"> average are shown in brackets).</w:t>
      </w:r>
      <w:r w:rsidRPr="00DF25FF">
        <w:t xml:space="preserve"> </w:t>
      </w:r>
      <w:r>
        <w:t>Average daily prices</w:t>
      </w:r>
      <w:r>
        <w:rPr>
          <w:rStyle w:val="FootnoteReference"/>
        </w:rPr>
        <w:footnoteReference w:id="14"/>
      </w:r>
      <w:r>
        <w:t xml:space="preserve"> are provided for gas markets and gas supply hubs. Average daily quantities are provided for gas powered generation for each region.</w:t>
      </w:r>
    </w:p>
    <w:p w:rsidR="00596DE3" w:rsidRDefault="00596DE3" w:rsidP="00596DE3">
      <w:pPr>
        <w:pStyle w:val="Caption"/>
        <w:numPr>
          <w:ilvl w:val="0"/>
          <w:numId w:val="33"/>
        </w:numPr>
        <w:ind w:left="1418" w:hanging="1418"/>
        <w:rPr>
          <w:color w:val="2272A3"/>
          <w:szCs w:val="24"/>
        </w:rPr>
      </w:pPr>
      <w:r w:rsidRPr="00DD0358">
        <w:rPr>
          <w:color w:val="2272A3"/>
          <w:szCs w:val="24"/>
        </w:rPr>
        <w:t xml:space="preserve">Gas market data ($/GJ, TJ); </w:t>
      </w:r>
      <w:r>
        <w:rPr>
          <w:color w:val="2272A3"/>
          <w:szCs w:val="24"/>
        </w:rPr>
        <w:t>Bulletin Board</w:t>
      </w:r>
      <w:r w:rsidRPr="00DD0358">
        <w:rPr>
          <w:color w:val="2272A3"/>
          <w:szCs w:val="24"/>
        </w:rPr>
        <w:t xml:space="preserve"> flows (TJ)</w:t>
      </w:r>
      <w:r>
        <w:rPr>
          <w:rStyle w:val="FootnoteReference"/>
          <w:color w:val="2272A3"/>
          <w:szCs w:val="24"/>
        </w:rPr>
        <w:footnoteReference w:id="15"/>
      </w:r>
    </w:p>
    <w:p w:rsidR="00665C0C" w:rsidRDefault="004A41D5" w:rsidP="00596DE3">
      <w:pPr>
        <w:spacing w:line="240" w:lineRule="auto"/>
      </w:pPr>
      <w:r w:rsidRPr="004A41D5">
        <w:rPr>
          <w:noProof/>
          <w:lang w:eastAsia="en-AU"/>
        </w:rPr>
        <w:drawing>
          <wp:inline distT="0" distB="0" distL="0" distR="0" wp14:anchorId="0E396651" wp14:editId="4B16D9BD">
            <wp:extent cx="5731510" cy="6276637"/>
            <wp:effectExtent l="0" t="0" r="2540" b="0"/>
            <wp:docPr id="36" name="Picture 36" descr="Figure 5.1 shows the average daily Bulletin Board flows for this week compared to the previous week. It includes price data for gas markets across the east coast of Australia and gas powered generation usage estimates for each state. For a more detailed description of this figure, please refer to the user guide." title="Gas bulletin boar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6276637"/>
                    </a:xfrm>
                    <a:prstGeom prst="rect">
                      <a:avLst/>
                    </a:prstGeom>
                    <a:noFill/>
                    <a:ln>
                      <a:noFill/>
                    </a:ln>
                  </pic:spPr>
                </pic:pic>
              </a:graphicData>
            </a:graphic>
          </wp:inline>
        </w:drawing>
      </w:r>
      <w:r w:rsidR="00665C0C">
        <w:rPr>
          <w:b/>
          <w:bCs/>
        </w:rPr>
        <w:br w:type="page"/>
      </w:r>
    </w:p>
    <w:p w:rsidR="00EC2CB1" w:rsidRDefault="00EC2CB1" w:rsidP="00EC2CB1">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6</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Gas Supply Hub</w:t>
      </w:r>
    </w:p>
    <w:p w:rsidR="00596DE3" w:rsidRDefault="00596DE3" w:rsidP="00596DE3">
      <w:pPr>
        <w:jc w:val="both"/>
        <w:rPr>
          <w:color w:val="FF0000"/>
        </w:rPr>
      </w:pPr>
      <w:r w:rsidRPr="00DD0DBA">
        <w:t xml:space="preserve">The gas supply hub was established at Wallumbilla in March 2014 to facilitate the voluntary trading of gas between participants, with products listed for sale and purchase at delivery points on three major connecting pipelines at. </w:t>
      </w:r>
      <w:r w:rsidRPr="00552F68">
        <w:t xml:space="preserve">There are separate products for each </w:t>
      </w:r>
      <w:r>
        <w:t>trading location</w:t>
      </w:r>
      <w:r w:rsidRPr="00552F68">
        <w:t xml:space="preserve"> and delivery period (daily, day-ahead, balance-of-day, weekly and monthly products).</w:t>
      </w:r>
      <w:r>
        <w:rPr>
          <w:rStyle w:val="FootnoteReference"/>
        </w:rPr>
        <w:footnoteReference w:id="16"/>
      </w:r>
      <w:r w:rsidRPr="00552F68">
        <w:rPr>
          <w:color w:val="FF0000"/>
        </w:rPr>
        <w:t xml:space="preserve"> </w:t>
      </w:r>
    </w:p>
    <w:p w:rsidR="00596DE3" w:rsidRDefault="00596DE3" w:rsidP="00596DE3">
      <w:pPr>
        <w:jc w:val="both"/>
      </w:pPr>
      <w:r w:rsidRPr="00DD0DBA">
        <w:t xml:space="preserve">The Moomba hub commenced operation from June 2016 to further facilitate trading on the </w:t>
      </w:r>
      <w:r w:rsidRPr="00DD0DBA">
        <w:rPr>
          <w:b/>
        </w:rPr>
        <w:t>MAP</w:t>
      </w:r>
      <w:r w:rsidRPr="00DD0DBA">
        <w:t xml:space="preserve"> and </w:t>
      </w:r>
      <w:r w:rsidRPr="00DD0DBA">
        <w:rPr>
          <w:b/>
        </w:rPr>
        <w:t>MSP</w:t>
      </w:r>
      <w:r w:rsidRPr="00DD0DBA">
        <w:t xml:space="preserve">, with trading between the two hubs </w:t>
      </w:r>
      <w:r>
        <w:t xml:space="preserve">on </w:t>
      </w:r>
      <w:r w:rsidRPr="00DD0DBA">
        <w:t>the SWQP</w:t>
      </w:r>
      <w:r>
        <w:t xml:space="preserve"> via a spread product (representing the price differential between the hubs). From October 2016, the addition of a Wallumbilla Compression Product was introduced to facilitate</w:t>
      </w:r>
      <w:r w:rsidRPr="003804B2">
        <w:t xml:space="preserve"> </w:t>
      </w:r>
      <w:r>
        <w:t xml:space="preserve">the supply </w:t>
      </w:r>
      <w:r w:rsidRPr="004A7BD7">
        <w:t>hub’s transition from three different trading locations into one</w:t>
      </w:r>
      <w:r>
        <w:t xml:space="preserve">. </w:t>
      </w:r>
      <w:r w:rsidR="00760B4D">
        <w:t>From March 2017, Wallumbilla transitioned into an optional hub services model, replacing the three trading locations (QGP, SWQP and RB</w:t>
      </w:r>
      <w:r w:rsidR="00B050A6">
        <w:t>P</w:t>
      </w:r>
      <w:r w:rsidR="00760B4D">
        <w:t xml:space="preserve">) with a single product at Wallumbilla </w:t>
      </w:r>
      <w:r w:rsidR="00760B4D">
        <w:rPr>
          <w:b/>
        </w:rPr>
        <w:t>(WAL)</w:t>
      </w:r>
      <w:r w:rsidR="00760B4D">
        <w:t xml:space="preserve"> and an in-pipe RBP trading location at South East Queensland </w:t>
      </w:r>
      <w:r w:rsidR="00760B4D">
        <w:rPr>
          <w:b/>
        </w:rPr>
        <w:t>(SEQ)</w:t>
      </w:r>
      <w:r w:rsidR="00760B4D">
        <w:t>.</w:t>
      </w:r>
    </w:p>
    <w:p w:rsidR="00AC4BF5" w:rsidRPr="00311ED8" w:rsidRDefault="00366910" w:rsidP="00551D6B">
      <w:pPr>
        <w:jc w:val="both"/>
      </w:pPr>
      <w:r w:rsidRPr="00311ED8">
        <w:t xml:space="preserve">This week there were </w:t>
      </w:r>
      <w:r w:rsidR="00311ED8" w:rsidRPr="00311ED8">
        <w:t>51</w:t>
      </w:r>
      <w:r w:rsidRPr="00311ED8">
        <w:t xml:space="preserve"> trades for </w:t>
      </w:r>
      <w:r w:rsidR="00311ED8" w:rsidRPr="00311ED8">
        <w:t>338 </w:t>
      </w:r>
      <w:r w:rsidRPr="00311ED8">
        <w:t>TJ of gas at a volume weighted price of $</w:t>
      </w:r>
      <w:r w:rsidR="00311ED8" w:rsidRPr="00311ED8">
        <w:t>7.68</w:t>
      </w:r>
      <w:r w:rsidRPr="00311ED8">
        <w:t xml:space="preserve">/GJ. These consisted of </w:t>
      </w:r>
      <w:r w:rsidR="00311ED8" w:rsidRPr="00311ED8">
        <w:t>26</w:t>
      </w:r>
      <w:r w:rsidRPr="00311ED8">
        <w:t xml:space="preserve"> trades at WAL (</w:t>
      </w:r>
      <w:r w:rsidR="00311ED8" w:rsidRPr="00311ED8">
        <w:t>184</w:t>
      </w:r>
      <w:r w:rsidRPr="00311ED8">
        <w:t> TJ at $</w:t>
      </w:r>
      <w:r w:rsidR="00311ED8" w:rsidRPr="00311ED8">
        <w:t>7.92</w:t>
      </w:r>
      <w:r w:rsidRPr="00311ED8">
        <w:t xml:space="preserve">/GJ) and </w:t>
      </w:r>
      <w:r w:rsidR="00311ED8" w:rsidRPr="00311ED8">
        <w:t>25</w:t>
      </w:r>
      <w:r w:rsidRPr="00311ED8">
        <w:t xml:space="preserve"> trades at SEQ (</w:t>
      </w:r>
      <w:r w:rsidR="00311ED8" w:rsidRPr="00311ED8">
        <w:t>154</w:t>
      </w:r>
      <w:r w:rsidRPr="00311ED8">
        <w:t> TJ at $</w:t>
      </w:r>
      <w:r w:rsidR="00311ED8" w:rsidRPr="00311ED8">
        <w:t>7.40</w:t>
      </w:r>
      <w:r w:rsidRPr="00311ED8">
        <w:t>/GJ).</w:t>
      </w:r>
    </w:p>
    <w:p w:rsidR="00311ED8" w:rsidRPr="00311ED8" w:rsidRDefault="00311ED8" w:rsidP="00551D6B">
      <w:pPr>
        <w:jc w:val="both"/>
      </w:pPr>
      <w:r w:rsidRPr="00311ED8">
        <w:t xml:space="preserve">On 12 June, the first spread product trade occurred at Wallumbilla. The balance-of-day trade matched gas </w:t>
      </w:r>
      <w:r w:rsidR="00D636F6">
        <w:t>supply</w:t>
      </w:r>
      <w:r w:rsidR="00D636F6" w:rsidRPr="00311ED8">
        <w:t xml:space="preserve"> </w:t>
      </w:r>
      <w:r w:rsidRPr="00311ED8">
        <w:t xml:space="preserve">at SEQ </w:t>
      </w:r>
      <w:r w:rsidR="00D636F6">
        <w:t>and demand</w:t>
      </w:r>
      <w:r w:rsidRPr="00311ED8">
        <w:t xml:space="preserve"> at WAL with a $0.50/GJ spread. This compares to the current RBP transportation tariff of $0.6944/GJ on the RBP.</w:t>
      </w:r>
    </w:p>
    <w:p w:rsidR="000C1A94" w:rsidRPr="00E06937" w:rsidRDefault="00596DE3" w:rsidP="00551D6B">
      <w:pPr>
        <w:jc w:val="both"/>
      </w:pPr>
      <w:r w:rsidRPr="00552F68">
        <w:t>Figure 6.1 shows the quantity of gas traded by product type for each trading day on pipeline trading locations in the Wallumbilla and Moomba Gas Supply Hubs.</w:t>
      </w:r>
      <w:r>
        <w:rPr>
          <w:rStyle w:val="FootnoteReference"/>
        </w:rPr>
        <w:footnoteReference w:id="17"/>
      </w:r>
    </w:p>
    <w:p w:rsidR="00E16EDC" w:rsidRDefault="00F65699" w:rsidP="00E16EDC">
      <w:pPr>
        <w:pStyle w:val="Caption"/>
        <w:numPr>
          <w:ilvl w:val="0"/>
          <w:numId w:val="34"/>
        </w:numPr>
        <w:ind w:left="709" w:hanging="709"/>
        <w:rPr>
          <w:color w:val="2272A3"/>
          <w:szCs w:val="24"/>
        </w:rPr>
      </w:pPr>
      <w:r>
        <w:rPr>
          <w:color w:val="2272A3"/>
          <w:szCs w:val="24"/>
        </w:rPr>
        <w:t>GSH traded quantities</w:t>
      </w:r>
    </w:p>
    <w:p w:rsidR="00E16EDC" w:rsidRDefault="004A41D5" w:rsidP="00E16EDC">
      <w:r w:rsidRPr="004A41D5">
        <w:rPr>
          <w:noProof/>
          <w:lang w:eastAsia="en-AU"/>
        </w:rPr>
        <w:drawing>
          <wp:inline distT="0" distB="0" distL="0" distR="0" wp14:anchorId="28B76617" wp14:editId="1ED4557A">
            <wp:extent cx="5731510" cy="3126794"/>
            <wp:effectExtent l="0" t="0" r="2540" b="0"/>
            <wp:docPr id="37" name="Picture 37" descr="Figure 6.1 shows the daily quantity of gas traded during the week at each trading location. In the Moomba hub, trading locations include registered facilities at MSP and MAP. Trades at the Wallumbilla trading location (WAL*) include netted and non-netted trades." title="Gas supply hub tr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3126794"/>
                    </a:xfrm>
                    <a:prstGeom prst="rect">
                      <a:avLst/>
                    </a:prstGeom>
                    <a:noFill/>
                    <a:ln>
                      <a:noFill/>
                    </a:ln>
                  </pic:spPr>
                </pic:pic>
              </a:graphicData>
            </a:graphic>
          </wp:inline>
        </w:drawing>
      </w:r>
    </w:p>
    <w:bookmarkEnd w:id="0"/>
    <w:bookmarkEnd w:id="1"/>
    <w:bookmarkEnd w:id="2"/>
    <w:bookmarkEnd w:id="3"/>
    <w:bookmarkEnd w:id="4"/>
    <w:bookmarkEnd w:id="5"/>
    <w:p w:rsidR="00275002" w:rsidRPr="009F2CAC" w:rsidRDefault="00275002" w:rsidP="00783D4E">
      <w:pPr>
        <w:pStyle w:val="Heading4notnumbered"/>
      </w:pPr>
      <w:r w:rsidRPr="00D92E07">
        <w:t>Australian Energy Regulator</w:t>
      </w:r>
      <w:r w:rsidR="005B0EF5" w:rsidRPr="00D92E07">
        <w:br/>
      </w:r>
      <w:r w:rsidR="00634E52" w:rsidRPr="00634E52">
        <w:t>June</w:t>
      </w:r>
      <w:r w:rsidR="004D5447" w:rsidRPr="00634E52">
        <w:t xml:space="preserve"> </w:t>
      </w:r>
      <w:r w:rsidR="00C4712A" w:rsidRPr="00634E52">
        <w:t>20</w:t>
      </w:r>
      <w:r w:rsidR="00280CAF" w:rsidRPr="00634E52">
        <w:t>17</w:t>
      </w:r>
    </w:p>
    <w:sectPr w:rsidR="00275002" w:rsidRPr="009F2CAC" w:rsidSect="00A226E9">
      <w:footerReference w:type="even" r:id="rId33"/>
      <w:footerReference w:type="default" r:id="rId34"/>
      <w:footerReference w:type="first" r:id="rId35"/>
      <w:pgSz w:w="11906" w:h="16838"/>
      <w:pgMar w:top="709" w:right="1440" w:bottom="851" w:left="1440" w:header="708" w:footer="8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58A3" w:rsidRDefault="000758A3" w:rsidP="004B4412">
      <w:pPr>
        <w:spacing w:before="0"/>
      </w:pPr>
      <w:r>
        <w:separator/>
      </w:r>
    </w:p>
  </w:endnote>
  <w:endnote w:type="continuationSeparator" w:id="0">
    <w:p w:rsidR="000758A3" w:rsidRDefault="000758A3" w:rsidP="004B441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Fax">
    <w:panose1 w:val="02060602050505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utami">
    <w:panose1 w:val="020B0502040204020203"/>
    <w:charset w:val="01"/>
    <w:family w:val="roman"/>
    <w:notTrueType/>
    <w:pitch w:val="variable"/>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8A3" w:rsidRPr="00A91A9E" w:rsidRDefault="000758A3" w:rsidP="00275002">
    <w:pPr>
      <w:pBdr>
        <w:top w:val="single" w:sz="2" w:space="1" w:color="auto"/>
      </w:pBdr>
      <w:tabs>
        <w:tab w:val="right" w:pos="8448"/>
      </w:tabs>
      <w:rPr>
        <w:rStyle w:val="PageNumber"/>
      </w:rPr>
    </w:pPr>
    <w:r w:rsidRPr="00A91A9E">
      <w:rPr>
        <w:rStyle w:val="PageNumber"/>
      </w:rPr>
      <w:fldChar w:fldCharType="begin"/>
    </w:r>
    <w:r w:rsidRPr="00A91A9E">
      <w:rPr>
        <w:rStyle w:val="PageNumber"/>
      </w:rPr>
      <w:instrText xml:space="preserve"> PAGE   \* MERGEFORMAT </w:instrText>
    </w:r>
    <w:r w:rsidRPr="00A91A9E">
      <w:rPr>
        <w:rStyle w:val="PageNumber"/>
      </w:rPr>
      <w:fldChar w:fldCharType="separate"/>
    </w:r>
    <w:r>
      <w:rPr>
        <w:rStyle w:val="PageNumber"/>
        <w:noProof/>
      </w:rPr>
      <w:t>2</w:t>
    </w:r>
    <w:r w:rsidRPr="00A91A9E">
      <w:rPr>
        <w:rStyle w:val="PageNumber"/>
      </w:rPr>
      <w:fldChar w:fldCharType="end"/>
    </w:r>
    <w:r w:rsidRPr="00A91A9E">
      <w:rPr>
        <w:rStyle w:val="PageNumber"/>
      </w:rPr>
      <w:tab/>
      <w:t>Xxx report—month/year</w:t>
    </w:r>
  </w:p>
  <w:p w:rsidR="000758A3" w:rsidRDefault="000758A3"/>
  <w:p w:rsidR="000758A3" w:rsidRDefault="000758A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8A3" w:rsidRPr="00A94D89" w:rsidRDefault="000758A3" w:rsidP="00A94D89">
    <w:pPr>
      <w:pStyle w:val="Footer"/>
      <w:pBdr>
        <w:top w:val="single" w:sz="4" w:space="1" w:color="auto"/>
      </w:pBdr>
      <w:rPr>
        <w:rFonts w:cs="Arial"/>
        <w:i/>
      </w:rPr>
    </w:pPr>
    <w:r w:rsidRPr="00F52F00">
      <w:rPr>
        <w:rFonts w:cs="Arial"/>
        <w:i/>
      </w:rPr>
      <w:tab/>
    </w:r>
    <w:r w:rsidRPr="001F1B78">
      <w:rPr>
        <w:rFonts w:cs="Arial"/>
        <w:i/>
      </w:rPr>
      <w:fldChar w:fldCharType="begin"/>
    </w:r>
    <w:r w:rsidRPr="001F1B78">
      <w:rPr>
        <w:rFonts w:cs="Arial"/>
        <w:i/>
      </w:rPr>
      <w:instrText xml:space="preserve"> PAGE   \* MERGEFORMAT </w:instrText>
    </w:r>
    <w:r w:rsidRPr="001F1B78">
      <w:rPr>
        <w:rFonts w:cs="Arial"/>
        <w:i/>
      </w:rPr>
      <w:fldChar w:fldCharType="separate"/>
    </w:r>
    <w:r w:rsidR="00AF3126">
      <w:rPr>
        <w:rFonts w:cs="Arial"/>
        <w:i/>
        <w:noProof/>
      </w:rPr>
      <w:t>2</w:t>
    </w:r>
    <w:r w:rsidRPr="001F1B78">
      <w:rPr>
        <w:rFonts w:cs="Arial"/>
        <w:i/>
        <w:noProof/>
      </w:rPr>
      <w:fldChar w:fldCharType="end"/>
    </w:r>
    <w:r w:rsidRPr="00F52F00">
      <w:rPr>
        <w:rFonts w:cs="Arial"/>
        <w:i/>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8A3" w:rsidRPr="00A94D89" w:rsidRDefault="000758A3" w:rsidP="00A94D89">
    <w:pPr>
      <w:pStyle w:val="Footer"/>
      <w:pBdr>
        <w:top w:val="single" w:sz="4" w:space="1" w:color="auto"/>
      </w:pBdr>
      <w:rPr>
        <w:rFonts w:cs="Arial"/>
        <w:i/>
      </w:rPr>
    </w:pPr>
    <w:r w:rsidRPr="00F52F00">
      <w:rPr>
        <w:rFonts w:cs="Arial"/>
        <w:i/>
      </w:rPr>
      <w:t>© Commonwealth of Australia</w:t>
    </w:r>
    <w:r w:rsidRPr="00F52F00">
      <w:rPr>
        <w:rFonts w:cs="Arial"/>
        <w:i/>
      </w:rPr>
      <w:tab/>
    </w:r>
    <w:r w:rsidRPr="001F1B78">
      <w:rPr>
        <w:rFonts w:cs="Arial"/>
        <w:i/>
      </w:rPr>
      <w:fldChar w:fldCharType="begin"/>
    </w:r>
    <w:r w:rsidRPr="001F1B78">
      <w:rPr>
        <w:rFonts w:cs="Arial"/>
        <w:i/>
      </w:rPr>
      <w:instrText xml:space="preserve"> PAGE   \* MERGEFORMAT </w:instrText>
    </w:r>
    <w:r w:rsidRPr="001F1B78">
      <w:rPr>
        <w:rFonts w:cs="Arial"/>
        <w:i/>
      </w:rPr>
      <w:fldChar w:fldCharType="separate"/>
    </w:r>
    <w:r w:rsidR="00AF3126">
      <w:rPr>
        <w:rFonts w:cs="Arial"/>
        <w:i/>
        <w:noProof/>
      </w:rPr>
      <w:t>1</w:t>
    </w:r>
    <w:r w:rsidRPr="001F1B78">
      <w:rPr>
        <w:rFonts w:cs="Arial"/>
        <w:i/>
        <w:noProof/>
      </w:rPr>
      <w:fldChar w:fldCharType="end"/>
    </w:r>
    <w:r w:rsidRPr="00F52F00">
      <w:rPr>
        <w:rFonts w:cs="Arial"/>
        <w:i/>
      </w:rPr>
      <w:tab/>
      <w:t>AER reference: 392</w:t>
    </w:r>
    <w:r>
      <w:rPr>
        <w:rFonts w:cs="Arial"/>
        <w:i/>
      </w:rPr>
      <w:t>7</w:t>
    </w:r>
    <w:r w:rsidRPr="00F52F00">
      <w:rPr>
        <w:rFonts w:cs="Arial"/>
        <w:i/>
      </w:rPr>
      <w:t xml:space="preserve">0 – </w:t>
    </w:r>
    <w:r w:rsidRPr="007F43CB">
      <w:rPr>
        <w:rFonts w:cs="Arial"/>
        <w:i/>
        <w:szCs w:val="18"/>
      </w:rPr>
      <w:t>D1</w:t>
    </w:r>
    <w:r>
      <w:rPr>
        <w:rFonts w:cs="Arial"/>
        <w:i/>
        <w:szCs w:val="18"/>
      </w:rPr>
      <w:t>7</w:t>
    </w:r>
    <w:r w:rsidRPr="007F43CB">
      <w:rPr>
        <w:rFonts w:cs="Arial"/>
        <w:i/>
        <w:szCs w:val="18"/>
      </w:rPr>
      <w:t>/</w:t>
    </w:r>
    <w:r>
      <w:rPr>
        <w:rFonts w:cs="Arial"/>
        <w:i/>
        <w:szCs w:val="18"/>
      </w:rPr>
      <w:t>85114</w:t>
    </w:r>
  </w:p>
  <w:p w:rsidR="000758A3" w:rsidRDefault="000758A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58A3" w:rsidRDefault="000758A3" w:rsidP="004B4412">
      <w:pPr>
        <w:spacing w:before="0"/>
      </w:pPr>
      <w:r>
        <w:separator/>
      </w:r>
    </w:p>
  </w:footnote>
  <w:footnote w:type="continuationSeparator" w:id="0">
    <w:p w:rsidR="000758A3" w:rsidRDefault="000758A3" w:rsidP="004B4412">
      <w:pPr>
        <w:spacing w:before="0"/>
      </w:pPr>
      <w:r>
        <w:continuationSeparator/>
      </w:r>
    </w:p>
  </w:footnote>
  <w:footnote w:id="1">
    <w:p w:rsidR="000758A3" w:rsidRPr="000835F4" w:rsidRDefault="000758A3" w:rsidP="000835F4">
      <w:pPr>
        <w:pStyle w:val="FootnoteText"/>
        <w:spacing w:before="0"/>
        <w:ind w:left="709" w:hanging="709"/>
        <w:jc w:val="both"/>
        <w:rPr>
          <w:szCs w:val="16"/>
        </w:rPr>
      </w:pPr>
      <w:r w:rsidRPr="00EC137F">
        <w:rPr>
          <w:rStyle w:val="FootnoteReference"/>
        </w:rPr>
        <w:footnoteRef/>
      </w:r>
      <w:r w:rsidRPr="00EC137F">
        <w:t xml:space="preserve"> </w:t>
      </w:r>
      <w:r w:rsidRPr="00EC137F">
        <w:tab/>
        <w:t xml:space="preserve">Average daily quantities are displayed for each region. </w:t>
      </w:r>
      <w:r w:rsidRPr="00EC137F">
        <w:rPr>
          <w:szCs w:val="16"/>
        </w:rPr>
        <w:t xml:space="preserve">The weighted average daily imbalance price applies for Victoria. </w:t>
      </w:r>
    </w:p>
  </w:footnote>
  <w:footnote w:id="2">
    <w:p w:rsidR="000758A3" w:rsidRPr="000835F4" w:rsidRDefault="000758A3" w:rsidP="00674600">
      <w:pPr>
        <w:pStyle w:val="FootnoteText"/>
        <w:spacing w:before="0"/>
        <w:ind w:left="709" w:hanging="709"/>
        <w:jc w:val="both"/>
        <w:rPr>
          <w:szCs w:val="16"/>
        </w:rPr>
      </w:pPr>
      <w:r w:rsidRPr="00EC137F">
        <w:rPr>
          <w:rStyle w:val="FootnoteReference"/>
        </w:rPr>
        <w:footnoteRef/>
      </w:r>
      <w:r w:rsidRPr="00EC137F">
        <w:t xml:space="preserve"> </w:t>
      </w:r>
      <w:r w:rsidRPr="00EC137F">
        <w:tab/>
      </w:r>
      <w:r w:rsidRPr="00EC137F">
        <w:rPr>
          <w:szCs w:val="16"/>
        </w:rPr>
        <w:t>The prices shown for the GSH in Moomba</w:t>
      </w:r>
      <w:r>
        <w:rPr>
          <w:szCs w:val="16"/>
        </w:rPr>
        <w:t>, South East Queensland and Wallumbilla</w:t>
      </w:r>
      <w:r w:rsidRPr="00EC137F">
        <w:rPr>
          <w:szCs w:val="16"/>
        </w:rPr>
        <w:t xml:space="preserve"> are volume weighted average </w:t>
      </w:r>
      <w:r>
        <w:rPr>
          <w:szCs w:val="16"/>
        </w:rPr>
        <w:t xml:space="preserve">(VWA) </w:t>
      </w:r>
      <w:r w:rsidRPr="00EC137F">
        <w:rPr>
          <w:szCs w:val="16"/>
        </w:rPr>
        <w:t>prices for all products traded across the period. The total quantity contributing to the weighted price is displayed for these GSH.</w:t>
      </w:r>
      <w:r>
        <w:rPr>
          <w:szCs w:val="16"/>
        </w:rPr>
        <w:t xml:space="preserve"> Reported values for Moomba are the aggregate of trades on the Moomba to Adelaide Pipeline (MAP) and the Moomba to Sydney Pipeline (MSP). Historic trades for RBP and SWQP are grouped under WAL, (including in-pipe trades on the RBP).</w:t>
      </w:r>
    </w:p>
  </w:footnote>
  <w:footnote w:id="3">
    <w:p w:rsidR="00362E07" w:rsidRDefault="00362E07" w:rsidP="00362E07">
      <w:pPr>
        <w:pStyle w:val="FootnoteText"/>
        <w:ind w:left="709" w:hanging="709"/>
        <w:jc w:val="both"/>
      </w:pPr>
      <w:r>
        <w:rPr>
          <w:rStyle w:val="FootnoteReference"/>
        </w:rPr>
        <w:footnoteRef/>
      </w:r>
      <w:r>
        <w:t xml:space="preserve"> </w:t>
      </w:r>
      <w:r>
        <w:tab/>
        <w:t>This compares to daily averages of 50 TJ (Victoria) and 151 TJ (South Australia) for 2016/17 financial year to 17</w:t>
      </w:r>
      <w:r w:rsidR="00BF2CCF">
        <w:t> </w:t>
      </w:r>
      <w:r>
        <w:t>June.</w:t>
      </w:r>
    </w:p>
  </w:footnote>
  <w:footnote w:id="4">
    <w:p w:rsidR="00BF2CCF" w:rsidRDefault="00BF2CCF" w:rsidP="00BF2CCF">
      <w:pPr>
        <w:pStyle w:val="FootnoteText"/>
        <w:ind w:left="709" w:hanging="709"/>
        <w:jc w:val="both"/>
      </w:pPr>
      <w:r>
        <w:rPr>
          <w:rStyle w:val="FootnoteReference"/>
        </w:rPr>
        <w:footnoteRef/>
      </w:r>
      <w:r>
        <w:t xml:space="preserve"> </w:t>
      </w:r>
      <w:r>
        <w:tab/>
        <w:t>Phase B pipeline loops from Monsbent to Wangaratta North (27.9km) and Broadford to Tallarook (16.2 km).</w:t>
      </w:r>
    </w:p>
  </w:footnote>
  <w:footnote w:id="5">
    <w:p w:rsidR="00983382" w:rsidRDefault="00983382" w:rsidP="00486111">
      <w:pPr>
        <w:pStyle w:val="FootnoteText"/>
        <w:ind w:left="709" w:hanging="709"/>
        <w:jc w:val="both"/>
      </w:pPr>
      <w:r>
        <w:rPr>
          <w:rStyle w:val="FootnoteReference"/>
        </w:rPr>
        <w:footnoteRef/>
      </w:r>
      <w:r w:rsidR="00BF2CCF">
        <w:t xml:space="preserve"> </w:t>
      </w:r>
      <w:r w:rsidR="00BF2CCF">
        <w:tab/>
        <w:t>Victorian Northern</w:t>
      </w:r>
      <w:r>
        <w:t xml:space="preserve"> Interconnect Expansion.</w:t>
      </w:r>
    </w:p>
  </w:footnote>
  <w:footnote w:id="6">
    <w:p w:rsidR="00983382" w:rsidRDefault="00983382" w:rsidP="00486111">
      <w:pPr>
        <w:pStyle w:val="FootnoteText"/>
        <w:ind w:left="709" w:hanging="709"/>
        <w:jc w:val="both"/>
      </w:pPr>
      <w:r>
        <w:rPr>
          <w:rStyle w:val="FootnoteReference"/>
        </w:rPr>
        <w:footnoteRef/>
      </w:r>
      <w:r>
        <w:t xml:space="preserve"> </w:t>
      </w:r>
      <w:r>
        <w:tab/>
        <w:t xml:space="preserve">Changes to take effect from Friday 30 June include end-of-day (EOD) linepack increase of 10 TJ for the new pipeline assets (requiring increased injections), with additional capacity scheduled to be released on 10 July 2017. For a further description of the </w:t>
      </w:r>
      <w:r w:rsidR="00253D05">
        <w:t xml:space="preserve">changes refer to AEMO’s </w:t>
      </w:r>
      <w:hyperlink r:id="rId1" w:history="1">
        <w:r w:rsidR="00253D05">
          <w:rPr>
            <w:rStyle w:val="Hyperlink"/>
            <w:sz w:val="16"/>
          </w:rPr>
          <w:t>Victorian Gas Planning Report 2017</w:t>
        </w:r>
      </w:hyperlink>
      <w:r w:rsidR="00253D05">
        <w:t>.</w:t>
      </w:r>
    </w:p>
  </w:footnote>
  <w:footnote w:id="7">
    <w:p w:rsidR="000758A3" w:rsidRPr="00EC2CB1" w:rsidRDefault="000758A3"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Prices for subsequent schedules are applied only to the differences in scheduled quantities (imbalances) to calculate the weighted price. The 6 am price applies to the entire scheduled quantity in the initial schedule.</w:t>
      </w:r>
    </w:p>
  </w:footnote>
  <w:footnote w:id="8">
    <w:p w:rsidR="000758A3" w:rsidRPr="00EC2CB1" w:rsidRDefault="000758A3"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The price might also be affected by transmission or production (contractual) constraints limiting how much gas can be delivered from a locale or System Injection Point (SIP) from time to time.</w:t>
      </w:r>
    </w:p>
  </w:footnote>
  <w:footnote w:id="9">
    <w:p w:rsidR="000758A3" w:rsidRPr="00EC2CB1" w:rsidRDefault="000758A3"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These are Market Participants’ aggregate demand forecasts adjusted for any override as applied by AEMO from time to time. These forecasts must be scheduled and cannot respond to price like withdrawal bids.</w:t>
      </w:r>
    </w:p>
  </w:footnote>
  <w:footnote w:id="10">
    <w:p w:rsidR="000758A3" w:rsidRPr="00551D6B" w:rsidRDefault="000758A3" w:rsidP="00551D6B">
      <w:pPr>
        <w:pStyle w:val="FootnoteText"/>
        <w:spacing w:before="0"/>
        <w:ind w:left="709" w:hanging="709"/>
        <w:jc w:val="both"/>
        <w:rPr>
          <w:szCs w:val="16"/>
        </w:rPr>
      </w:pPr>
      <w:r w:rsidRPr="00551D6B">
        <w:rPr>
          <w:rStyle w:val="FootnoteReference"/>
          <w:szCs w:val="16"/>
        </w:rPr>
        <w:footnoteRef/>
      </w:r>
      <w:r w:rsidRPr="00551D6B">
        <w:rPr>
          <w:szCs w:val="16"/>
        </w:rPr>
        <w:t xml:space="preserve"> </w:t>
      </w:r>
      <w:r w:rsidRPr="00551D6B">
        <w:rPr>
          <w:szCs w:val="16"/>
        </w:rPr>
        <w:tab/>
        <w:t>The main driver of the amount of gas scheduled on a gas day is the ‘price-taker’ bid, which is forecast hub demand that cannot respond to price and which must be delivered, regardless of the price.</w:t>
      </w:r>
    </w:p>
  </w:footnote>
  <w:footnote w:id="11">
    <w:p w:rsidR="000758A3" w:rsidRPr="00551D6B" w:rsidRDefault="000758A3" w:rsidP="00551D6B">
      <w:pPr>
        <w:pStyle w:val="AERbodytext"/>
        <w:spacing w:before="0" w:line="240" w:lineRule="auto"/>
        <w:ind w:left="709" w:hanging="709"/>
        <w:rPr>
          <w:sz w:val="16"/>
          <w:szCs w:val="16"/>
        </w:rPr>
      </w:pPr>
      <w:r w:rsidRPr="00551D6B">
        <w:rPr>
          <w:rStyle w:val="FootnoteReference"/>
          <w:sz w:val="16"/>
          <w:szCs w:val="16"/>
        </w:rPr>
        <w:footnoteRef/>
      </w:r>
      <w:r w:rsidRPr="00551D6B">
        <w:rPr>
          <w:sz w:val="16"/>
          <w:szCs w:val="16"/>
        </w:rPr>
        <w:t xml:space="preserve"> </w:t>
      </w:r>
      <w:r w:rsidRPr="00551D6B">
        <w:rPr>
          <w:sz w:val="16"/>
          <w:szCs w:val="16"/>
        </w:rPr>
        <w:tab/>
        <w:t>MOS service payments involve a payment for a MOS increase service when the actual quantity delivered exceeds final gas nominations for delivery to a hub, and a payment for a MOS decrease service when the actual quantity delivered is less than final nominations. As well as a MOS ‘service’ payment, as shown in figure 2.4, MOS providers are paid for or pay for the quantity of MOS sold into the market or bought from the market (MOS ‘commodity’ payments/charges).</w:t>
      </w:r>
    </w:p>
  </w:footnote>
  <w:footnote w:id="12">
    <w:p w:rsidR="000758A3" w:rsidRPr="00552F68" w:rsidRDefault="000758A3" w:rsidP="00914872">
      <w:pPr>
        <w:pStyle w:val="FootnoteText"/>
        <w:ind w:left="709" w:hanging="709"/>
        <w:jc w:val="both"/>
      </w:pPr>
      <w:r w:rsidRPr="00552F68">
        <w:rPr>
          <w:rStyle w:val="FootnoteReference"/>
        </w:rPr>
        <w:footnoteRef/>
      </w:r>
      <w:r w:rsidRPr="00552F68">
        <w:t xml:space="preserve"> </w:t>
      </w:r>
      <w:r w:rsidRPr="00552F68">
        <w:tab/>
        <w:t>The commodity cost of MOS illustrated on the right of the figure represents the commodity quantity at the D+2 ex ante price. Commodity payments and charges for a given gas day relate to quantities traded two days earlier. That is, the commodity cost for services provided on Sunday will appear in the chart for Tuesday, when the D+2 price is set. In contrast, service payments are shown alongside the day they occurred.</w:t>
      </w:r>
    </w:p>
  </w:footnote>
  <w:footnote w:id="13">
    <w:p w:rsidR="000758A3" w:rsidRPr="0087350F" w:rsidRDefault="000758A3" w:rsidP="00596DE3">
      <w:pPr>
        <w:pStyle w:val="FootnoteText"/>
        <w:spacing w:before="0"/>
        <w:ind w:left="709" w:hanging="709"/>
        <w:jc w:val="both"/>
        <w:rPr>
          <w:szCs w:val="16"/>
        </w:rPr>
      </w:pPr>
      <w:r w:rsidRPr="00552F68">
        <w:rPr>
          <w:rStyle w:val="FootnoteReference"/>
          <w:sz w:val="20"/>
          <w:szCs w:val="16"/>
        </w:rPr>
        <w:footnoteRef/>
      </w:r>
      <w:r w:rsidRPr="00552F68">
        <w:rPr>
          <w:sz w:val="20"/>
          <w:szCs w:val="16"/>
        </w:rPr>
        <w:t xml:space="preserve"> </w:t>
      </w:r>
      <w:r w:rsidRPr="00552F68">
        <w:rPr>
          <w:sz w:val="20"/>
          <w:szCs w:val="16"/>
        </w:rPr>
        <w:tab/>
      </w:r>
      <w:r w:rsidRPr="0087350F">
        <w:rPr>
          <w:b/>
          <w:szCs w:val="16"/>
        </w:rPr>
        <w:t>Domestic gas flows</w:t>
      </w:r>
      <w:r w:rsidRPr="0087350F">
        <w:rPr>
          <w:szCs w:val="16"/>
        </w:rPr>
        <w:t xml:space="preserve"> are calculated as the total of:  </w:t>
      </w:r>
      <w:r w:rsidRPr="0087350F">
        <w:rPr>
          <w:b/>
          <w:szCs w:val="16"/>
        </w:rPr>
        <w:t>SA</w:t>
      </w:r>
      <w:r w:rsidRPr="0087350F">
        <w:rPr>
          <w:szCs w:val="16"/>
        </w:rPr>
        <w:t xml:space="preserve"> = MAP + SEAGAS; </w:t>
      </w:r>
      <w:r w:rsidRPr="0087350F">
        <w:rPr>
          <w:b/>
          <w:szCs w:val="16"/>
        </w:rPr>
        <w:t>VIC</w:t>
      </w:r>
      <w:r w:rsidRPr="0087350F">
        <w:rPr>
          <w:szCs w:val="16"/>
        </w:rPr>
        <w:t xml:space="preserve"> = SWP + LMP + (absolute quantity of negative flows only on the ‘NSW-VIC interconnect’); </w:t>
      </w:r>
      <w:r w:rsidRPr="0087350F">
        <w:rPr>
          <w:b/>
          <w:szCs w:val="16"/>
        </w:rPr>
        <w:t>NSW/ACT</w:t>
      </w:r>
      <w:r w:rsidRPr="0087350F">
        <w:rPr>
          <w:szCs w:val="16"/>
        </w:rPr>
        <w:t xml:space="preserve"> = EGP + MSP; </w:t>
      </w:r>
      <w:r w:rsidRPr="0087350F">
        <w:rPr>
          <w:b/>
          <w:szCs w:val="16"/>
        </w:rPr>
        <w:t>TAS</w:t>
      </w:r>
      <w:r w:rsidRPr="0087350F">
        <w:rPr>
          <w:szCs w:val="16"/>
        </w:rPr>
        <w:t xml:space="preserve"> = TGP; </w:t>
      </w:r>
      <w:r w:rsidRPr="0087350F">
        <w:rPr>
          <w:b/>
          <w:szCs w:val="16"/>
        </w:rPr>
        <w:t>QLD (Brisbane)</w:t>
      </w:r>
      <w:r w:rsidRPr="0087350F">
        <w:rPr>
          <w:szCs w:val="16"/>
        </w:rPr>
        <w:t xml:space="preserve"> = RBP; </w:t>
      </w:r>
      <w:r w:rsidRPr="0087350F">
        <w:rPr>
          <w:b/>
          <w:szCs w:val="16"/>
        </w:rPr>
        <w:t>QLD (Mt Isa)</w:t>
      </w:r>
      <w:r w:rsidRPr="0087350F">
        <w:rPr>
          <w:szCs w:val="16"/>
        </w:rPr>
        <w:t xml:space="preserve"> = CGP; and </w:t>
      </w:r>
      <w:r w:rsidRPr="0087350F">
        <w:rPr>
          <w:b/>
          <w:szCs w:val="16"/>
        </w:rPr>
        <w:t>QLD (Gladstone)</w:t>
      </w:r>
      <w:r w:rsidRPr="0087350F">
        <w:rPr>
          <w:szCs w:val="16"/>
        </w:rPr>
        <w:t xml:space="preserve"> = QGP. </w:t>
      </w:r>
    </w:p>
    <w:p w:rsidR="000758A3" w:rsidRPr="0087350F" w:rsidRDefault="000758A3" w:rsidP="00596DE3">
      <w:pPr>
        <w:pStyle w:val="FootnoteText"/>
        <w:spacing w:before="0"/>
        <w:ind w:left="709"/>
        <w:jc w:val="both"/>
        <w:rPr>
          <w:szCs w:val="16"/>
        </w:rPr>
      </w:pPr>
      <w:r w:rsidRPr="0087350F">
        <w:rPr>
          <w:b/>
          <w:szCs w:val="16"/>
        </w:rPr>
        <w:t xml:space="preserve">Export gas flows </w:t>
      </w:r>
      <w:r w:rsidRPr="0087350F">
        <w:rPr>
          <w:szCs w:val="16"/>
        </w:rPr>
        <w:t>are calculated as the total of: the APLNG pipeline; the GLNG pipeline; and the Wallumbilla to Gladstone pipeline.</w:t>
      </w:r>
    </w:p>
    <w:p w:rsidR="000758A3" w:rsidRPr="0087350F" w:rsidRDefault="000758A3" w:rsidP="00596DE3">
      <w:pPr>
        <w:pStyle w:val="FootnoteText"/>
        <w:spacing w:before="0"/>
        <w:ind w:left="709"/>
        <w:jc w:val="both"/>
        <w:rPr>
          <w:szCs w:val="16"/>
        </w:rPr>
      </w:pPr>
      <w:r w:rsidRPr="0087350F">
        <w:rPr>
          <w:b/>
          <w:szCs w:val="16"/>
        </w:rPr>
        <w:t>GPG volumes</w:t>
      </w:r>
      <w:r w:rsidRPr="0087350F">
        <w:rPr>
          <w:szCs w:val="16"/>
        </w:rPr>
        <w:t xml:space="preserve"> may include gas usage that does not show up on Bulletin Board pipeline flows.</w:t>
      </w:r>
    </w:p>
  </w:footnote>
  <w:footnote w:id="14">
    <w:p w:rsidR="000758A3" w:rsidRPr="0087350F" w:rsidRDefault="000758A3" w:rsidP="00596DE3">
      <w:pPr>
        <w:pStyle w:val="FootnoteText"/>
        <w:spacing w:before="0"/>
        <w:ind w:left="709" w:hanging="709"/>
        <w:jc w:val="both"/>
        <w:rPr>
          <w:szCs w:val="16"/>
        </w:rPr>
      </w:pPr>
      <w:r w:rsidRPr="00552F68">
        <w:rPr>
          <w:rStyle w:val="FootnoteReference"/>
          <w:sz w:val="20"/>
          <w:szCs w:val="16"/>
        </w:rPr>
        <w:footnoteRef/>
      </w:r>
      <w:r w:rsidRPr="00552F68">
        <w:rPr>
          <w:sz w:val="20"/>
          <w:szCs w:val="16"/>
        </w:rPr>
        <w:t xml:space="preserve"> </w:t>
      </w:r>
      <w:r w:rsidRPr="00552F68">
        <w:rPr>
          <w:sz w:val="20"/>
          <w:szCs w:val="16"/>
        </w:rPr>
        <w:tab/>
      </w:r>
      <w:r w:rsidRPr="0087350F">
        <w:rPr>
          <w:szCs w:val="16"/>
        </w:rPr>
        <w:t>GSH supply is the average daily volume of gas ‘traded’, while price is a volume weighted average.</w:t>
      </w:r>
      <w:r>
        <w:rPr>
          <w:szCs w:val="16"/>
        </w:rPr>
        <w:t xml:space="preserve"> Optional hub services (for compression and redirection) are shown separately from commodity trades.</w:t>
      </w:r>
    </w:p>
  </w:footnote>
  <w:footnote w:id="15">
    <w:p w:rsidR="000758A3" w:rsidRDefault="000758A3" w:rsidP="00596DE3">
      <w:pPr>
        <w:pStyle w:val="FootnoteText"/>
      </w:pPr>
      <w:r w:rsidRPr="00596DE3">
        <w:rPr>
          <w:rStyle w:val="FootnoteReference"/>
          <w:sz w:val="20"/>
        </w:rPr>
        <w:footnoteRef/>
      </w:r>
      <w:r w:rsidRPr="00596DE3">
        <w:rPr>
          <w:sz w:val="20"/>
        </w:rPr>
        <w:t xml:space="preserve"> </w:t>
      </w:r>
      <w:r w:rsidRPr="00596DE3">
        <w:rPr>
          <w:sz w:val="20"/>
        </w:rPr>
        <w:tab/>
      </w:r>
      <w:r>
        <w:t xml:space="preserve">Net flows are shown for Bulletin Board facilities, as outlined in the </w:t>
      </w:r>
      <w:hyperlink r:id="rId2" w:history="1">
        <w:r w:rsidRPr="00A952AA">
          <w:rPr>
            <w:rStyle w:val="Hyperlink"/>
            <w:sz w:val="16"/>
          </w:rPr>
          <w:t>user guide</w:t>
        </w:r>
      </w:hyperlink>
      <w:r>
        <w:t>.</w:t>
      </w:r>
    </w:p>
  </w:footnote>
  <w:footnote w:id="16">
    <w:p w:rsidR="000758A3" w:rsidRDefault="000758A3" w:rsidP="00596DE3">
      <w:pPr>
        <w:pStyle w:val="FootnoteText"/>
        <w:ind w:left="709" w:hanging="709"/>
        <w:jc w:val="both"/>
      </w:pPr>
      <w:r w:rsidRPr="00F978C8">
        <w:rPr>
          <w:rStyle w:val="FootnoteReference"/>
          <w:sz w:val="20"/>
        </w:rPr>
        <w:footnoteRef/>
      </w:r>
      <w:r w:rsidRPr="00F978C8">
        <w:rPr>
          <w:sz w:val="20"/>
        </w:rPr>
        <w:t xml:space="preserve"> </w:t>
      </w:r>
      <w:r w:rsidRPr="00F978C8">
        <w:rPr>
          <w:sz w:val="20"/>
        </w:rPr>
        <w:tab/>
      </w:r>
      <w:r>
        <w:t xml:space="preserve">Additional information on trading locations and available products is detailed in the </w:t>
      </w:r>
      <w:hyperlink r:id="rId3" w:history="1">
        <w:r w:rsidRPr="00A952AA">
          <w:rPr>
            <w:rStyle w:val="Hyperlink"/>
            <w:sz w:val="16"/>
          </w:rPr>
          <w:t>user guide</w:t>
        </w:r>
      </w:hyperlink>
      <w:r>
        <w:t>.</w:t>
      </w:r>
    </w:p>
  </w:footnote>
  <w:footnote w:id="17">
    <w:p w:rsidR="000758A3" w:rsidRDefault="000758A3" w:rsidP="00596DE3">
      <w:pPr>
        <w:pStyle w:val="FootnoteText"/>
        <w:ind w:left="709" w:hanging="709"/>
        <w:jc w:val="both"/>
      </w:pPr>
      <w:r w:rsidRPr="00F978C8">
        <w:rPr>
          <w:rStyle w:val="FootnoteReference"/>
          <w:sz w:val="20"/>
        </w:rPr>
        <w:footnoteRef/>
      </w:r>
      <w:r w:rsidRPr="00F978C8">
        <w:rPr>
          <w:sz w:val="20"/>
        </w:rPr>
        <w:t xml:space="preserve"> </w:t>
      </w:r>
      <w:r w:rsidRPr="00F978C8">
        <w:rPr>
          <w:sz w:val="20"/>
        </w:rPr>
        <w:tab/>
      </w:r>
      <w:r>
        <w:t>Non-netted (off-market) trades, allowing the selection of specific delivery point at a trading location, are included with other Wallumbilla trades (WAL*).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C0CCD3AE"/>
    <w:lvl w:ilvl="0">
      <w:start w:val="1"/>
      <w:numFmt w:val="decimal"/>
      <w:pStyle w:val="ListNumber3"/>
      <w:lvlText w:val="%1."/>
      <w:lvlJc w:val="left"/>
      <w:pPr>
        <w:tabs>
          <w:tab w:val="num" w:pos="926"/>
        </w:tabs>
        <w:ind w:left="926" w:hanging="360"/>
      </w:pPr>
    </w:lvl>
  </w:abstractNum>
  <w:abstractNum w:abstractNumId="3">
    <w:nsid w:val="FFFFFF7F"/>
    <w:multiLevelType w:val="singleLevel"/>
    <w:tmpl w:val="7F741816"/>
    <w:lvl w:ilvl="0">
      <w:start w:val="1"/>
      <w:numFmt w:val="lowerLetter"/>
      <w:pStyle w:val="ListNumber2"/>
      <w:lvlText w:val="%1)"/>
      <w:lvlJc w:val="left"/>
      <w:pPr>
        <w:ind w:left="36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E46A7DC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E262730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3C004CC0"/>
    <w:lvl w:ilvl="0">
      <w:start w:val="1"/>
      <w:numFmt w:val="decimal"/>
      <w:pStyle w:val="ListNumber"/>
      <w:lvlText w:val="%1."/>
      <w:lvlJc w:val="left"/>
      <w:pPr>
        <w:tabs>
          <w:tab w:val="num" w:pos="360"/>
        </w:tabs>
        <w:ind w:left="360" w:hanging="360"/>
      </w:pPr>
    </w:lvl>
  </w:abstractNum>
  <w:abstractNum w:abstractNumId="9">
    <w:nsid w:val="025F1CAC"/>
    <w:multiLevelType w:val="hybridMultilevel"/>
    <w:tmpl w:val="62FA8B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4E03282"/>
    <w:multiLevelType w:val="hybridMultilevel"/>
    <w:tmpl w:val="B7C2FE76"/>
    <w:lvl w:ilvl="0" w:tplc="F41A51E2">
      <w:start w:val="1"/>
      <w:numFmt w:val="decimal"/>
      <w:lvlText w:val="Figure 6.%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3281AC6"/>
    <w:multiLevelType w:val="hybridMultilevel"/>
    <w:tmpl w:val="83BAD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33E73B6"/>
    <w:multiLevelType w:val="hybridMultilevel"/>
    <w:tmpl w:val="80220B84"/>
    <w:lvl w:ilvl="0" w:tplc="F5987420">
      <w:start w:val="1"/>
      <w:numFmt w:val="decimal"/>
      <w:pStyle w:val="Numberedlist"/>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4">
    <w:nsid w:val="16991208"/>
    <w:multiLevelType w:val="hybridMultilevel"/>
    <w:tmpl w:val="55284E2C"/>
    <w:lvl w:ilvl="0" w:tplc="F07A3D8A">
      <w:start w:val="1"/>
      <w:numFmt w:val="decimal"/>
      <w:lvlText w:val="Figure 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18E65396"/>
    <w:multiLevelType w:val="hybridMultilevel"/>
    <w:tmpl w:val="07384C54"/>
    <w:lvl w:ilvl="0" w:tplc="8530271E">
      <w:start w:val="1"/>
      <w:numFmt w:val="decimal"/>
      <w:pStyle w:val="NumberedChapterTitle"/>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1CF519CE"/>
    <w:multiLevelType w:val="multilevel"/>
    <w:tmpl w:val="3AD8CB48"/>
    <w:lvl w:ilvl="0">
      <w:start w:val="1"/>
      <w:numFmt w:val="decimal"/>
      <w:pStyle w:val="Numbered1"/>
      <w:lvlText w:val="%1."/>
      <w:lvlJc w:val="left"/>
      <w:pPr>
        <w:ind w:left="360" w:hanging="360"/>
      </w:pPr>
    </w:lvl>
    <w:lvl w:ilvl="1">
      <w:start w:val="1"/>
      <w:numFmt w:val="decimal"/>
      <w:pStyle w:val="Numbered11"/>
      <w:lvlText w:val="%1.%2."/>
      <w:lvlJc w:val="left"/>
      <w:pPr>
        <w:ind w:left="792" w:hanging="432"/>
      </w:pPr>
    </w:lvl>
    <w:lvl w:ilvl="2">
      <w:start w:val="1"/>
      <w:numFmt w:val="decimal"/>
      <w:pStyle w:val="Numbered111"/>
      <w:lvlText w:val="%1.%2.%3."/>
      <w:lvlJc w:val="left"/>
      <w:pPr>
        <w:ind w:left="1224" w:hanging="504"/>
      </w:pPr>
    </w:lvl>
    <w:lvl w:ilvl="3">
      <w:start w:val="1"/>
      <w:numFmt w:val="decimal"/>
      <w:pStyle w:val="Numbered1111"/>
      <w:lvlText w:val="%1.%2.%3.%4."/>
      <w:lvlJc w:val="left"/>
      <w:pPr>
        <w:ind w:left="1728" w:hanging="648"/>
      </w:pPr>
    </w:lvl>
    <w:lvl w:ilvl="4">
      <w:start w:val="1"/>
      <w:numFmt w:val="decimal"/>
      <w:pStyle w:val="Numbered11111"/>
      <w:lvlText w:val="%1.%2.%3.%4.%5."/>
      <w:lvlJc w:val="left"/>
      <w:pPr>
        <w:ind w:left="2232" w:hanging="792"/>
      </w:pPr>
    </w:lvl>
    <w:lvl w:ilvl="5">
      <w:start w:val="1"/>
      <w:numFmt w:val="decimal"/>
      <w:pStyle w:val="Numbered111111"/>
      <w:lvlText w:val="%1.%2.%3.%4.%5.%6."/>
      <w:lvlJc w:val="left"/>
      <w:pPr>
        <w:ind w:left="2736" w:hanging="936"/>
      </w:pPr>
    </w:lvl>
    <w:lvl w:ilvl="6">
      <w:start w:val="1"/>
      <w:numFmt w:val="decimal"/>
      <w:pStyle w:val="Numbered1111111"/>
      <w:lvlText w:val="%1.%2.%3.%4.%5.%6.%7."/>
      <w:lvlJc w:val="left"/>
      <w:pPr>
        <w:ind w:left="3240" w:hanging="1080"/>
      </w:pPr>
    </w:lvl>
    <w:lvl w:ilvl="7">
      <w:start w:val="1"/>
      <w:numFmt w:val="decimal"/>
      <w:pStyle w:val="Numbered11111111"/>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7">
    <w:nsid w:val="1F844A98"/>
    <w:multiLevelType w:val="hybridMultilevel"/>
    <w:tmpl w:val="9A46145E"/>
    <w:lvl w:ilvl="0" w:tplc="AB546016">
      <w:start w:val="10"/>
      <w:numFmt w:val="bullet"/>
      <w:lvlText w:val="-"/>
      <w:lvlJc w:val="left"/>
      <w:pPr>
        <w:ind w:left="1080" w:hanging="360"/>
      </w:pPr>
      <w:rPr>
        <w:rFonts w:ascii="Arial" w:eastAsia="Times New Roma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nsid w:val="25C95382"/>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8865DF8"/>
    <w:multiLevelType w:val="hybridMultilevel"/>
    <w:tmpl w:val="EC0E5568"/>
    <w:lvl w:ilvl="0" w:tplc="D90E7D7A">
      <w:start w:val="1"/>
      <w:numFmt w:val="lowerLetter"/>
      <w:pStyle w:val="Listalphabet2"/>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20">
    <w:nsid w:val="28F75099"/>
    <w:multiLevelType w:val="hybridMultilevel"/>
    <w:tmpl w:val="2E1E97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923347D"/>
    <w:multiLevelType w:val="hybridMultilevel"/>
    <w:tmpl w:val="D45C48E2"/>
    <w:lvl w:ilvl="0" w:tplc="D66A534E">
      <w:start w:val="1"/>
      <w:numFmt w:val="bullet"/>
      <w:pStyle w:val="List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8CB5BD0"/>
    <w:multiLevelType w:val="hybridMultilevel"/>
    <w:tmpl w:val="0E2C1E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720"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53396CE6"/>
    <w:multiLevelType w:val="hybridMultilevel"/>
    <w:tmpl w:val="6AF2555A"/>
    <w:lvl w:ilvl="0" w:tplc="D03C4C38">
      <w:start w:val="1"/>
      <w:numFmt w:val="decimal"/>
      <w:lvlText w:val="Figure 4.%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27">
    <w:nsid w:val="6726588A"/>
    <w:multiLevelType w:val="hybridMultilevel"/>
    <w:tmpl w:val="CC927964"/>
    <w:lvl w:ilvl="0" w:tplc="0C09000F">
      <w:start w:val="1"/>
      <w:numFmt w:val="bullet"/>
      <w:pStyle w:val="Bulletpoint2"/>
      <w:lvlText w:val="o"/>
      <w:lvlJc w:val="left"/>
      <w:pPr>
        <w:ind w:left="1003" w:hanging="360"/>
      </w:pPr>
      <w:rPr>
        <w:rFonts w:ascii="Courier New" w:hAnsi="Courier New" w:cs="Courier New" w:hint="default"/>
      </w:rPr>
    </w:lvl>
    <w:lvl w:ilvl="1" w:tplc="0C090019" w:tentative="1">
      <w:start w:val="1"/>
      <w:numFmt w:val="bullet"/>
      <w:lvlText w:val="o"/>
      <w:lvlJc w:val="left"/>
      <w:pPr>
        <w:ind w:left="1723" w:hanging="360"/>
      </w:pPr>
      <w:rPr>
        <w:rFonts w:ascii="Courier New" w:hAnsi="Courier New" w:cs="Courier New" w:hint="default"/>
      </w:rPr>
    </w:lvl>
    <w:lvl w:ilvl="2" w:tplc="0C09001B" w:tentative="1">
      <w:start w:val="1"/>
      <w:numFmt w:val="bullet"/>
      <w:lvlText w:val=""/>
      <w:lvlJc w:val="left"/>
      <w:pPr>
        <w:ind w:left="2443" w:hanging="360"/>
      </w:pPr>
      <w:rPr>
        <w:rFonts w:ascii="Wingdings" w:hAnsi="Wingdings" w:hint="default"/>
      </w:rPr>
    </w:lvl>
    <w:lvl w:ilvl="3" w:tplc="0C09000F" w:tentative="1">
      <w:start w:val="1"/>
      <w:numFmt w:val="bullet"/>
      <w:lvlText w:val=""/>
      <w:lvlJc w:val="left"/>
      <w:pPr>
        <w:ind w:left="3163" w:hanging="360"/>
      </w:pPr>
      <w:rPr>
        <w:rFonts w:ascii="Symbol" w:hAnsi="Symbol" w:hint="default"/>
      </w:rPr>
    </w:lvl>
    <w:lvl w:ilvl="4" w:tplc="0C090019" w:tentative="1">
      <w:start w:val="1"/>
      <w:numFmt w:val="bullet"/>
      <w:lvlText w:val="o"/>
      <w:lvlJc w:val="left"/>
      <w:pPr>
        <w:ind w:left="3883" w:hanging="360"/>
      </w:pPr>
      <w:rPr>
        <w:rFonts w:ascii="Courier New" w:hAnsi="Courier New" w:cs="Courier New" w:hint="default"/>
      </w:rPr>
    </w:lvl>
    <w:lvl w:ilvl="5" w:tplc="0C09001B" w:tentative="1">
      <w:start w:val="1"/>
      <w:numFmt w:val="bullet"/>
      <w:lvlText w:val=""/>
      <w:lvlJc w:val="left"/>
      <w:pPr>
        <w:ind w:left="4603" w:hanging="360"/>
      </w:pPr>
      <w:rPr>
        <w:rFonts w:ascii="Wingdings" w:hAnsi="Wingdings" w:hint="default"/>
      </w:rPr>
    </w:lvl>
    <w:lvl w:ilvl="6" w:tplc="0C09000F" w:tentative="1">
      <w:start w:val="1"/>
      <w:numFmt w:val="bullet"/>
      <w:lvlText w:val=""/>
      <w:lvlJc w:val="left"/>
      <w:pPr>
        <w:ind w:left="5323" w:hanging="360"/>
      </w:pPr>
      <w:rPr>
        <w:rFonts w:ascii="Symbol" w:hAnsi="Symbol" w:hint="default"/>
      </w:rPr>
    </w:lvl>
    <w:lvl w:ilvl="7" w:tplc="0C090019" w:tentative="1">
      <w:start w:val="1"/>
      <w:numFmt w:val="bullet"/>
      <w:lvlText w:val="o"/>
      <w:lvlJc w:val="left"/>
      <w:pPr>
        <w:ind w:left="6043" w:hanging="360"/>
      </w:pPr>
      <w:rPr>
        <w:rFonts w:ascii="Courier New" w:hAnsi="Courier New" w:cs="Courier New" w:hint="default"/>
      </w:rPr>
    </w:lvl>
    <w:lvl w:ilvl="8" w:tplc="0C09001B" w:tentative="1">
      <w:start w:val="1"/>
      <w:numFmt w:val="bullet"/>
      <w:lvlText w:val=""/>
      <w:lvlJc w:val="left"/>
      <w:pPr>
        <w:ind w:left="6763" w:hanging="360"/>
      </w:pPr>
      <w:rPr>
        <w:rFonts w:ascii="Wingdings" w:hAnsi="Wingdings" w:hint="default"/>
      </w:rPr>
    </w:lvl>
  </w:abstractNum>
  <w:abstractNum w:abstractNumId="28">
    <w:nsid w:val="6C1C3940"/>
    <w:multiLevelType w:val="hybridMultilevel"/>
    <w:tmpl w:val="787CCB50"/>
    <w:lvl w:ilvl="0" w:tplc="4C920FA4">
      <w:start w:val="1"/>
      <w:numFmt w:val="decimal"/>
      <w:lvlText w:val="Figure 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6ED40010"/>
    <w:multiLevelType w:val="hybridMultilevel"/>
    <w:tmpl w:val="C89CC66C"/>
    <w:lvl w:ilvl="0" w:tplc="7792B686">
      <w:start w:val="1"/>
      <w:numFmt w:val="decimal"/>
      <w:lvlText w:val="Figure 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705C4980"/>
    <w:multiLevelType w:val="hybridMultilevel"/>
    <w:tmpl w:val="027A3B86"/>
    <w:lvl w:ilvl="0" w:tplc="982A071C">
      <w:start w:val="1"/>
      <w:numFmt w:val="decimal"/>
      <w:lvlText w:val="Figure 5.%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71052EFE"/>
    <w:multiLevelType w:val="hybridMultilevel"/>
    <w:tmpl w:val="52FCFAA8"/>
    <w:lvl w:ilvl="0" w:tplc="C846CA5C">
      <w:start w:val="1"/>
      <w:numFmt w:val="lowerRoman"/>
      <w:pStyle w:val="ListLegal3"/>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7ACB7F6B"/>
    <w:multiLevelType w:val="hybridMultilevel"/>
    <w:tmpl w:val="0F2A3F9A"/>
    <w:lvl w:ilvl="0" w:tplc="1038B32C">
      <w:start w:val="1"/>
      <w:numFmt w:val="lowerRoman"/>
      <w:lvlText w:val="%1."/>
      <w:lvlJc w:val="right"/>
      <w:pPr>
        <w:ind w:left="1021" w:hanging="341"/>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33">
    <w:nsid w:val="7E2819EC"/>
    <w:multiLevelType w:val="multilevel"/>
    <w:tmpl w:val="1250F310"/>
    <w:lvl w:ilvl="0">
      <w:start w:val="1"/>
      <w:numFmt w:val="bullet"/>
      <w:pStyle w:val="Bulletpoin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3"/>
  </w:num>
  <w:num w:numId="2">
    <w:abstractNumId w:val="33"/>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7"/>
  </w:num>
  <w:num w:numId="13">
    <w:abstractNumId w:val="21"/>
  </w:num>
  <w:num w:numId="14">
    <w:abstractNumId w:val="11"/>
  </w:num>
  <w:num w:numId="15">
    <w:abstractNumId w:val="16"/>
  </w:num>
  <w:num w:numId="16">
    <w:abstractNumId w:val="23"/>
  </w:num>
  <w:num w:numId="17">
    <w:abstractNumId w:val="19"/>
  </w:num>
  <w:num w:numId="18">
    <w:abstractNumId w:val="24"/>
  </w:num>
  <w:num w:numId="19">
    <w:abstractNumId w:val="31"/>
  </w:num>
  <w:num w:numId="20">
    <w:abstractNumId w:val="26"/>
  </w:num>
  <w:num w:numId="21">
    <w:abstractNumId w:val="15"/>
  </w:num>
  <w:num w:numId="22">
    <w:abstractNumId w:val="18"/>
  </w:num>
  <w:num w:numId="23">
    <w:abstractNumId w:val="22"/>
  </w:num>
  <w:num w:numId="24">
    <w:abstractNumId w:val="17"/>
  </w:num>
  <w:num w:numId="25">
    <w:abstractNumId w:val="32"/>
  </w:num>
  <w:num w:numId="26">
    <w:abstractNumId w:val="20"/>
  </w:num>
  <w:num w:numId="27">
    <w:abstractNumId w:val="9"/>
  </w:num>
  <w:num w:numId="28">
    <w:abstractNumId w:val="12"/>
  </w:num>
  <w:num w:numId="29">
    <w:abstractNumId w:val="14"/>
  </w:num>
  <w:num w:numId="30">
    <w:abstractNumId w:val="28"/>
  </w:num>
  <w:num w:numId="31">
    <w:abstractNumId w:val="29"/>
  </w:num>
  <w:num w:numId="32">
    <w:abstractNumId w:val="25"/>
  </w:num>
  <w:num w:numId="33">
    <w:abstractNumId w:val="30"/>
  </w:num>
  <w:num w:numId="34">
    <w:abstractNumId w:val="1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9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efaultTabStop w:val="720"/>
  <w:characterSpacingControl w:val="doNotCompress"/>
  <w:hdrShapeDefaults>
    <o:shapedefaults v:ext="edit" spidmax="154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H:\trimdata\TRIM\TEMP\HPTRIM.7320\D17 85114  20170611 - 20170617 gas weekly report.DOCX"/>
  </w:docVars>
  <w:rsids>
    <w:rsidRoot w:val="00275002"/>
    <w:rsid w:val="00000817"/>
    <w:rsid w:val="00000BFE"/>
    <w:rsid w:val="00000CC3"/>
    <w:rsid w:val="00003169"/>
    <w:rsid w:val="00005D12"/>
    <w:rsid w:val="0000728F"/>
    <w:rsid w:val="00007624"/>
    <w:rsid w:val="000128E1"/>
    <w:rsid w:val="0001415C"/>
    <w:rsid w:val="000147C1"/>
    <w:rsid w:val="00014D5F"/>
    <w:rsid w:val="00017DD0"/>
    <w:rsid w:val="00021202"/>
    <w:rsid w:val="0002123D"/>
    <w:rsid w:val="00022F09"/>
    <w:rsid w:val="00024215"/>
    <w:rsid w:val="000242E7"/>
    <w:rsid w:val="00024369"/>
    <w:rsid w:val="00024C84"/>
    <w:rsid w:val="00026E0A"/>
    <w:rsid w:val="00030794"/>
    <w:rsid w:val="000308B1"/>
    <w:rsid w:val="000312E6"/>
    <w:rsid w:val="000316E7"/>
    <w:rsid w:val="00033902"/>
    <w:rsid w:val="00033BE8"/>
    <w:rsid w:val="00034A40"/>
    <w:rsid w:val="0003564D"/>
    <w:rsid w:val="0003578C"/>
    <w:rsid w:val="00035A9A"/>
    <w:rsid w:val="00037A6F"/>
    <w:rsid w:val="00037EB9"/>
    <w:rsid w:val="00040E4C"/>
    <w:rsid w:val="000415F7"/>
    <w:rsid w:val="00041A89"/>
    <w:rsid w:val="000422AB"/>
    <w:rsid w:val="00043385"/>
    <w:rsid w:val="00043FA7"/>
    <w:rsid w:val="000442BA"/>
    <w:rsid w:val="00044D80"/>
    <w:rsid w:val="000452BA"/>
    <w:rsid w:val="000461E2"/>
    <w:rsid w:val="0005123C"/>
    <w:rsid w:val="00051880"/>
    <w:rsid w:val="000528FD"/>
    <w:rsid w:val="00056949"/>
    <w:rsid w:val="000572DC"/>
    <w:rsid w:val="000576CD"/>
    <w:rsid w:val="00057973"/>
    <w:rsid w:val="00061ABD"/>
    <w:rsid w:val="00061CE2"/>
    <w:rsid w:val="00061E3B"/>
    <w:rsid w:val="00063247"/>
    <w:rsid w:val="00063473"/>
    <w:rsid w:val="00066157"/>
    <w:rsid w:val="000661AF"/>
    <w:rsid w:val="00070EAB"/>
    <w:rsid w:val="00070F9F"/>
    <w:rsid w:val="0007137B"/>
    <w:rsid w:val="000738F4"/>
    <w:rsid w:val="00074A4E"/>
    <w:rsid w:val="000758A3"/>
    <w:rsid w:val="000758D3"/>
    <w:rsid w:val="000766E2"/>
    <w:rsid w:val="00077616"/>
    <w:rsid w:val="00077819"/>
    <w:rsid w:val="000835F4"/>
    <w:rsid w:val="00085663"/>
    <w:rsid w:val="00085EBF"/>
    <w:rsid w:val="00086CF3"/>
    <w:rsid w:val="00087C4A"/>
    <w:rsid w:val="00087CDC"/>
    <w:rsid w:val="00091FB4"/>
    <w:rsid w:val="0009584C"/>
    <w:rsid w:val="000961FA"/>
    <w:rsid w:val="0009653D"/>
    <w:rsid w:val="000A241B"/>
    <w:rsid w:val="000A29ED"/>
    <w:rsid w:val="000A4529"/>
    <w:rsid w:val="000A62B4"/>
    <w:rsid w:val="000A62D6"/>
    <w:rsid w:val="000A6F14"/>
    <w:rsid w:val="000B0311"/>
    <w:rsid w:val="000B364C"/>
    <w:rsid w:val="000B3C8A"/>
    <w:rsid w:val="000C0472"/>
    <w:rsid w:val="000C17F6"/>
    <w:rsid w:val="000C1A94"/>
    <w:rsid w:val="000C52E2"/>
    <w:rsid w:val="000D122C"/>
    <w:rsid w:val="000D355E"/>
    <w:rsid w:val="000D3C77"/>
    <w:rsid w:val="000D4350"/>
    <w:rsid w:val="000D5ADE"/>
    <w:rsid w:val="000D68C5"/>
    <w:rsid w:val="000E1819"/>
    <w:rsid w:val="000E1A1B"/>
    <w:rsid w:val="000E2946"/>
    <w:rsid w:val="000E4F81"/>
    <w:rsid w:val="000E54D6"/>
    <w:rsid w:val="000E55C7"/>
    <w:rsid w:val="000E5B55"/>
    <w:rsid w:val="000E6C72"/>
    <w:rsid w:val="000E77BB"/>
    <w:rsid w:val="000E7D8C"/>
    <w:rsid w:val="000E7E24"/>
    <w:rsid w:val="000F189E"/>
    <w:rsid w:val="000F1956"/>
    <w:rsid w:val="000F1D61"/>
    <w:rsid w:val="000F56F6"/>
    <w:rsid w:val="000F5855"/>
    <w:rsid w:val="000F6FA7"/>
    <w:rsid w:val="000F77D6"/>
    <w:rsid w:val="00100142"/>
    <w:rsid w:val="00102B64"/>
    <w:rsid w:val="00105281"/>
    <w:rsid w:val="00105AF3"/>
    <w:rsid w:val="001107FF"/>
    <w:rsid w:val="00113430"/>
    <w:rsid w:val="00113AE0"/>
    <w:rsid w:val="001158FE"/>
    <w:rsid w:val="00115CCB"/>
    <w:rsid w:val="001163E9"/>
    <w:rsid w:val="00116EB2"/>
    <w:rsid w:val="00117195"/>
    <w:rsid w:val="0012092C"/>
    <w:rsid w:val="00122831"/>
    <w:rsid w:val="001235DD"/>
    <w:rsid w:val="00124609"/>
    <w:rsid w:val="00125F4F"/>
    <w:rsid w:val="001270EB"/>
    <w:rsid w:val="00127CAB"/>
    <w:rsid w:val="00130196"/>
    <w:rsid w:val="0013057E"/>
    <w:rsid w:val="001337EF"/>
    <w:rsid w:val="00133FC8"/>
    <w:rsid w:val="00134BD7"/>
    <w:rsid w:val="00136716"/>
    <w:rsid w:val="00136A08"/>
    <w:rsid w:val="001373F1"/>
    <w:rsid w:val="001435CC"/>
    <w:rsid w:val="001436FC"/>
    <w:rsid w:val="001450FB"/>
    <w:rsid w:val="0014511E"/>
    <w:rsid w:val="00145982"/>
    <w:rsid w:val="00145ACE"/>
    <w:rsid w:val="00146F42"/>
    <w:rsid w:val="00151F61"/>
    <w:rsid w:val="001521CB"/>
    <w:rsid w:val="001539E0"/>
    <w:rsid w:val="0015451B"/>
    <w:rsid w:val="0015496E"/>
    <w:rsid w:val="00155113"/>
    <w:rsid w:val="0015602B"/>
    <w:rsid w:val="001566F6"/>
    <w:rsid w:val="001573E4"/>
    <w:rsid w:val="00160756"/>
    <w:rsid w:val="00162584"/>
    <w:rsid w:val="00164658"/>
    <w:rsid w:val="00164FB1"/>
    <w:rsid w:val="00165247"/>
    <w:rsid w:val="001653F3"/>
    <w:rsid w:val="00165C87"/>
    <w:rsid w:val="001666AA"/>
    <w:rsid w:val="00166BD2"/>
    <w:rsid w:val="001711CC"/>
    <w:rsid w:val="0017232E"/>
    <w:rsid w:val="00173AE6"/>
    <w:rsid w:val="00173DC1"/>
    <w:rsid w:val="00174102"/>
    <w:rsid w:val="001756AF"/>
    <w:rsid w:val="001778E3"/>
    <w:rsid w:val="00180157"/>
    <w:rsid w:val="00181C46"/>
    <w:rsid w:val="001832C7"/>
    <w:rsid w:val="00186831"/>
    <w:rsid w:val="00186F77"/>
    <w:rsid w:val="001901A4"/>
    <w:rsid w:val="00190F24"/>
    <w:rsid w:val="00191C6F"/>
    <w:rsid w:val="00192441"/>
    <w:rsid w:val="001926A4"/>
    <w:rsid w:val="001934E9"/>
    <w:rsid w:val="00193ED7"/>
    <w:rsid w:val="001968BD"/>
    <w:rsid w:val="001A2C0A"/>
    <w:rsid w:val="001A3CDA"/>
    <w:rsid w:val="001A6790"/>
    <w:rsid w:val="001B0C3B"/>
    <w:rsid w:val="001B2363"/>
    <w:rsid w:val="001B3ABC"/>
    <w:rsid w:val="001B45A0"/>
    <w:rsid w:val="001B4A7D"/>
    <w:rsid w:val="001B684F"/>
    <w:rsid w:val="001B6C15"/>
    <w:rsid w:val="001C027D"/>
    <w:rsid w:val="001C13CD"/>
    <w:rsid w:val="001C17B3"/>
    <w:rsid w:val="001C1BC0"/>
    <w:rsid w:val="001C2EE8"/>
    <w:rsid w:val="001C3452"/>
    <w:rsid w:val="001C5079"/>
    <w:rsid w:val="001C5EF2"/>
    <w:rsid w:val="001C5F6B"/>
    <w:rsid w:val="001C6748"/>
    <w:rsid w:val="001D055E"/>
    <w:rsid w:val="001D0C65"/>
    <w:rsid w:val="001D0CE3"/>
    <w:rsid w:val="001D3A5B"/>
    <w:rsid w:val="001D5BEB"/>
    <w:rsid w:val="001D60FF"/>
    <w:rsid w:val="001D7698"/>
    <w:rsid w:val="001D7FB7"/>
    <w:rsid w:val="001E01B4"/>
    <w:rsid w:val="001E14C2"/>
    <w:rsid w:val="001E2F01"/>
    <w:rsid w:val="001E4665"/>
    <w:rsid w:val="001E48B3"/>
    <w:rsid w:val="001E5AEE"/>
    <w:rsid w:val="001E6FDD"/>
    <w:rsid w:val="001F03EF"/>
    <w:rsid w:val="001F0EC9"/>
    <w:rsid w:val="001F1548"/>
    <w:rsid w:val="001F1B78"/>
    <w:rsid w:val="001F22EE"/>
    <w:rsid w:val="001F2577"/>
    <w:rsid w:val="001F2E42"/>
    <w:rsid w:val="001F3530"/>
    <w:rsid w:val="001F492E"/>
    <w:rsid w:val="001F6DA3"/>
    <w:rsid w:val="001F7575"/>
    <w:rsid w:val="00201136"/>
    <w:rsid w:val="0020132A"/>
    <w:rsid w:val="00201C06"/>
    <w:rsid w:val="00203300"/>
    <w:rsid w:val="0020376D"/>
    <w:rsid w:val="0020489F"/>
    <w:rsid w:val="002050F5"/>
    <w:rsid w:val="002062A9"/>
    <w:rsid w:val="002065C6"/>
    <w:rsid w:val="002072A2"/>
    <w:rsid w:val="00207D5B"/>
    <w:rsid w:val="0021027A"/>
    <w:rsid w:val="0021147E"/>
    <w:rsid w:val="00212D2F"/>
    <w:rsid w:val="00213CF6"/>
    <w:rsid w:val="00214FBA"/>
    <w:rsid w:val="0021500B"/>
    <w:rsid w:val="00215E19"/>
    <w:rsid w:val="002164FB"/>
    <w:rsid w:val="00216865"/>
    <w:rsid w:val="00217C29"/>
    <w:rsid w:val="002214D9"/>
    <w:rsid w:val="002216F5"/>
    <w:rsid w:val="00222F04"/>
    <w:rsid w:val="00224DB9"/>
    <w:rsid w:val="00224EE7"/>
    <w:rsid w:val="002276F0"/>
    <w:rsid w:val="00227C97"/>
    <w:rsid w:val="00230D26"/>
    <w:rsid w:val="00231C73"/>
    <w:rsid w:val="00232A71"/>
    <w:rsid w:val="00232FBD"/>
    <w:rsid w:val="002338A0"/>
    <w:rsid w:val="00237048"/>
    <w:rsid w:val="00240AA4"/>
    <w:rsid w:val="002427B3"/>
    <w:rsid w:val="00242C25"/>
    <w:rsid w:val="00243222"/>
    <w:rsid w:val="00243347"/>
    <w:rsid w:val="002438D9"/>
    <w:rsid w:val="00245913"/>
    <w:rsid w:val="00247473"/>
    <w:rsid w:val="00250859"/>
    <w:rsid w:val="002515C3"/>
    <w:rsid w:val="002516A1"/>
    <w:rsid w:val="00251745"/>
    <w:rsid w:val="00251C37"/>
    <w:rsid w:val="00251D74"/>
    <w:rsid w:val="00253D05"/>
    <w:rsid w:val="00261C02"/>
    <w:rsid w:val="00262F65"/>
    <w:rsid w:val="00263AC0"/>
    <w:rsid w:val="002649D2"/>
    <w:rsid w:val="002649D8"/>
    <w:rsid w:val="00265486"/>
    <w:rsid w:val="0026772D"/>
    <w:rsid w:val="00270A51"/>
    <w:rsid w:val="00270AF4"/>
    <w:rsid w:val="0027318A"/>
    <w:rsid w:val="00275002"/>
    <w:rsid w:val="00275927"/>
    <w:rsid w:val="002762EA"/>
    <w:rsid w:val="00276A9F"/>
    <w:rsid w:val="00277570"/>
    <w:rsid w:val="00280CAF"/>
    <w:rsid w:val="002817AB"/>
    <w:rsid w:val="002828A0"/>
    <w:rsid w:val="00283BF8"/>
    <w:rsid w:val="0028440E"/>
    <w:rsid w:val="0028521F"/>
    <w:rsid w:val="00285B8A"/>
    <w:rsid w:val="00286866"/>
    <w:rsid w:val="00286874"/>
    <w:rsid w:val="00291658"/>
    <w:rsid w:val="0029246F"/>
    <w:rsid w:val="00294653"/>
    <w:rsid w:val="00294D01"/>
    <w:rsid w:val="00296B65"/>
    <w:rsid w:val="00296D07"/>
    <w:rsid w:val="002A0450"/>
    <w:rsid w:val="002A0AF0"/>
    <w:rsid w:val="002A1B5C"/>
    <w:rsid w:val="002A2900"/>
    <w:rsid w:val="002A3CF2"/>
    <w:rsid w:val="002A4EF8"/>
    <w:rsid w:val="002A6B50"/>
    <w:rsid w:val="002A7439"/>
    <w:rsid w:val="002A7729"/>
    <w:rsid w:val="002A7C78"/>
    <w:rsid w:val="002A7DEF"/>
    <w:rsid w:val="002B0749"/>
    <w:rsid w:val="002B0DAE"/>
    <w:rsid w:val="002B1949"/>
    <w:rsid w:val="002B1B50"/>
    <w:rsid w:val="002B3B2D"/>
    <w:rsid w:val="002B6FD1"/>
    <w:rsid w:val="002B720D"/>
    <w:rsid w:val="002C2278"/>
    <w:rsid w:val="002C2A63"/>
    <w:rsid w:val="002C341F"/>
    <w:rsid w:val="002C3E5B"/>
    <w:rsid w:val="002C42B0"/>
    <w:rsid w:val="002C4965"/>
    <w:rsid w:val="002C581B"/>
    <w:rsid w:val="002C621D"/>
    <w:rsid w:val="002C6B96"/>
    <w:rsid w:val="002C6DD3"/>
    <w:rsid w:val="002D1734"/>
    <w:rsid w:val="002D37FB"/>
    <w:rsid w:val="002D484E"/>
    <w:rsid w:val="002D4A1F"/>
    <w:rsid w:val="002E29A0"/>
    <w:rsid w:val="002E5E33"/>
    <w:rsid w:val="002E6254"/>
    <w:rsid w:val="002E64AB"/>
    <w:rsid w:val="002E6AEA"/>
    <w:rsid w:val="002F02A4"/>
    <w:rsid w:val="002F22FD"/>
    <w:rsid w:val="002F2481"/>
    <w:rsid w:val="002F3D02"/>
    <w:rsid w:val="002F4F34"/>
    <w:rsid w:val="002F7986"/>
    <w:rsid w:val="00300C0B"/>
    <w:rsid w:val="00302D83"/>
    <w:rsid w:val="00303DCF"/>
    <w:rsid w:val="003061FA"/>
    <w:rsid w:val="003062C2"/>
    <w:rsid w:val="00306DD8"/>
    <w:rsid w:val="00307F6D"/>
    <w:rsid w:val="003105F5"/>
    <w:rsid w:val="003106BC"/>
    <w:rsid w:val="00311ED8"/>
    <w:rsid w:val="0031318F"/>
    <w:rsid w:val="003152BD"/>
    <w:rsid w:val="003153EB"/>
    <w:rsid w:val="003171C6"/>
    <w:rsid w:val="003177A2"/>
    <w:rsid w:val="00317A81"/>
    <w:rsid w:val="003208C0"/>
    <w:rsid w:val="00321853"/>
    <w:rsid w:val="00322300"/>
    <w:rsid w:val="00323CE7"/>
    <w:rsid w:val="003243B4"/>
    <w:rsid w:val="003271B5"/>
    <w:rsid w:val="003274A9"/>
    <w:rsid w:val="0032770E"/>
    <w:rsid w:val="00331264"/>
    <w:rsid w:val="00332F5D"/>
    <w:rsid w:val="00334C8D"/>
    <w:rsid w:val="00336D50"/>
    <w:rsid w:val="003375A4"/>
    <w:rsid w:val="00337F4F"/>
    <w:rsid w:val="003401B9"/>
    <w:rsid w:val="00341169"/>
    <w:rsid w:val="00342870"/>
    <w:rsid w:val="00343BF7"/>
    <w:rsid w:val="00346F05"/>
    <w:rsid w:val="0035089F"/>
    <w:rsid w:val="003518B3"/>
    <w:rsid w:val="00351FDC"/>
    <w:rsid w:val="00352DA8"/>
    <w:rsid w:val="00354887"/>
    <w:rsid w:val="00354A9E"/>
    <w:rsid w:val="0035522A"/>
    <w:rsid w:val="00355CDD"/>
    <w:rsid w:val="00355D1A"/>
    <w:rsid w:val="00355D2F"/>
    <w:rsid w:val="00356706"/>
    <w:rsid w:val="00356E72"/>
    <w:rsid w:val="00361D84"/>
    <w:rsid w:val="00362ABA"/>
    <w:rsid w:val="00362E07"/>
    <w:rsid w:val="003642AD"/>
    <w:rsid w:val="00366515"/>
    <w:rsid w:val="00366910"/>
    <w:rsid w:val="003715C8"/>
    <w:rsid w:val="00371F3A"/>
    <w:rsid w:val="003729A6"/>
    <w:rsid w:val="003749F7"/>
    <w:rsid w:val="00375E24"/>
    <w:rsid w:val="00376373"/>
    <w:rsid w:val="00383C6B"/>
    <w:rsid w:val="003846F1"/>
    <w:rsid w:val="00384A55"/>
    <w:rsid w:val="00384B54"/>
    <w:rsid w:val="00386C86"/>
    <w:rsid w:val="003874F8"/>
    <w:rsid w:val="003904D2"/>
    <w:rsid w:val="00395B4C"/>
    <w:rsid w:val="00397EB2"/>
    <w:rsid w:val="003A0810"/>
    <w:rsid w:val="003A0CB8"/>
    <w:rsid w:val="003A1F17"/>
    <w:rsid w:val="003A3E2D"/>
    <w:rsid w:val="003A41E0"/>
    <w:rsid w:val="003A431D"/>
    <w:rsid w:val="003A4B6B"/>
    <w:rsid w:val="003A7DC0"/>
    <w:rsid w:val="003B0D56"/>
    <w:rsid w:val="003B282E"/>
    <w:rsid w:val="003B40ED"/>
    <w:rsid w:val="003B4804"/>
    <w:rsid w:val="003B4D9B"/>
    <w:rsid w:val="003B6F90"/>
    <w:rsid w:val="003C0710"/>
    <w:rsid w:val="003C24A9"/>
    <w:rsid w:val="003C2B22"/>
    <w:rsid w:val="003C2BC1"/>
    <w:rsid w:val="003C30E5"/>
    <w:rsid w:val="003C3C98"/>
    <w:rsid w:val="003C3D77"/>
    <w:rsid w:val="003C62E9"/>
    <w:rsid w:val="003C7164"/>
    <w:rsid w:val="003C7B5B"/>
    <w:rsid w:val="003C7EFA"/>
    <w:rsid w:val="003D30EE"/>
    <w:rsid w:val="003D5258"/>
    <w:rsid w:val="003E1341"/>
    <w:rsid w:val="003E3C33"/>
    <w:rsid w:val="003E47DC"/>
    <w:rsid w:val="003E521D"/>
    <w:rsid w:val="003E74FF"/>
    <w:rsid w:val="003E78A9"/>
    <w:rsid w:val="003F004E"/>
    <w:rsid w:val="003F0289"/>
    <w:rsid w:val="003F3672"/>
    <w:rsid w:val="003F54CB"/>
    <w:rsid w:val="003F57F1"/>
    <w:rsid w:val="003F5F74"/>
    <w:rsid w:val="003F66C5"/>
    <w:rsid w:val="003F75C8"/>
    <w:rsid w:val="00401B53"/>
    <w:rsid w:val="00402142"/>
    <w:rsid w:val="00403473"/>
    <w:rsid w:val="004034C5"/>
    <w:rsid w:val="00404492"/>
    <w:rsid w:val="00404504"/>
    <w:rsid w:val="00405B42"/>
    <w:rsid w:val="00407337"/>
    <w:rsid w:val="00410584"/>
    <w:rsid w:val="00411897"/>
    <w:rsid w:val="00412176"/>
    <w:rsid w:val="00414488"/>
    <w:rsid w:val="00414EA6"/>
    <w:rsid w:val="00415788"/>
    <w:rsid w:val="004157C0"/>
    <w:rsid w:val="00416641"/>
    <w:rsid w:val="004176E8"/>
    <w:rsid w:val="00421154"/>
    <w:rsid w:val="0042429B"/>
    <w:rsid w:val="00424809"/>
    <w:rsid w:val="004253D6"/>
    <w:rsid w:val="004303EE"/>
    <w:rsid w:val="00436F76"/>
    <w:rsid w:val="00440D85"/>
    <w:rsid w:val="00441A99"/>
    <w:rsid w:val="00442767"/>
    <w:rsid w:val="00444A48"/>
    <w:rsid w:val="00450611"/>
    <w:rsid w:val="004507A1"/>
    <w:rsid w:val="0045129B"/>
    <w:rsid w:val="004518EA"/>
    <w:rsid w:val="00453327"/>
    <w:rsid w:val="00456C20"/>
    <w:rsid w:val="00462CFF"/>
    <w:rsid w:val="00465210"/>
    <w:rsid w:val="00470AF4"/>
    <w:rsid w:val="00470EE9"/>
    <w:rsid w:val="0047130B"/>
    <w:rsid w:val="00471992"/>
    <w:rsid w:val="00471E68"/>
    <w:rsid w:val="0047346C"/>
    <w:rsid w:val="00475F8E"/>
    <w:rsid w:val="00477821"/>
    <w:rsid w:val="0048018F"/>
    <w:rsid w:val="00480B4B"/>
    <w:rsid w:val="00480DA9"/>
    <w:rsid w:val="004831F8"/>
    <w:rsid w:val="00485752"/>
    <w:rsid w:val="00485DC4"/>
    <w:rsid w:val="00486111"/>
    <w:rsid w:val="00487C10"/>
    <w:rsid w:val="004923CD"/>
    <w:rsid w:val="00492A06"/>
    <w:rsid w:val="00493B02"/>
    <w:rsid w:val="00494036"/>
    <w:rsid w:val="00495574"/>
    <w:rsid w:val="0049751C"/>
    <w:rsid w:val="00497DDE"/>
    <w:rsid w:val="004A0AB5"/>
    <w:rsid w:val="004A1061"/>
    <w:rsid w:val="004A1184"/>
    <w:rsid w:val="004A13A6"/>
    <w:rsid w:val="004A2770"/>
    <w:rsid w:val="004A364A"/>
    <w:rsid w:val="004A41D5"/>
    <w:rsid w:val="004B104F"/>
    <w:rsid w:val="004B1708"/>
    <w:rsid w:val="004B231C"/>
    <w:rsid w:val="004B42A7"/>
    <w:rsid w:val="004B4412"/>
    <w:rsid w:val="004B5B3F"/>
    <w:rsid w:val="004C28B2"/>
    <w:rsid w:val="004C348C"/>
    <w:rsid w:val="004C4E90"/>
    <w:rsid w:val="004C571B"/>
    <w:rsid w:val="004C63B9"/>
    <w:rsid w:val="004C6486"/>
    <w:rsid w:val="004C690D"/>
    <w:rsid w:val="004C6C5B"/>
    <w:rsid w:val="004D1774"/>
    <w:rsid w:val="004D4A76"/>
    <w:rsid w:val="004D5447"/>
    <w:rsid w:val="004D55BA"/>
    <w:rsid w:val="004E1B1C"/>
    <w:rsid w:val="004E1E95"/>
    <w:rsid w:val="004E34E7"/>
    <w:rsid w:val="004E4142"/>
    <w:rsid w:val="004E6AFC"/>
    <w:rsid w:val="004E755C"/>
    <w:rsid w:val="004E7D10"/>
    <w:rsid w:val="004F171D"/>
    <w:rsid w:val="004F18F3"/>
    <w:rsid w:val="004F6D0A"/>
    <w:rsid w:val="004F6ED0"/>
    <w:rsid w:val="00501B85"/>
    <w:rsid w:val="0050244E"/>
    <w:rsid w:val="00502843"/>
    <w:rsid w:val="00502D42"/>
    <w:rsid w:val="005033F6"/>
    <w:rsid w:val="005047F1"/>
    <w:rsid w:val="00505B5E"/>
    <w:rsid w:val="00506624"/>
    <w:rsid w:val="00510A43"/>
    <w:rsid w:val="005177C0"/>
    <w:rsid w:val="00522360"/>
    <w:rsid w:val="00522486"/>
    <w:rsid w:val="00522668"/>
    <w:rsid w:val="00523AD2"/>
    <w:rsid w:val="00524513"/>
    <w:rsid w:val="00527551"/>
    <w:rsid w:val="005279B6"/>
    <w:rsid w:val="00530128"/>
    <w:rsid w:val="00530657"/>
    <w:rsid w:val="005323B2"/>
    <w:rsid w:val="00532467"/>
    <w:rsid w:val="0053491C"/>
    <w:rsid w:val="00534DD9"/>
    <w:rsid w:val="0053611E"/>
    <w:rsid w:val="0054102B"/>
    <w:rsid w:val="0054173F"/>
    <w:rsid w:val="0054254C"/>
    <w:rsid w:val="00543945"/>
    <w:rsid w:val="00543BEC"/>
    <w:rsid w:val="00544C6F"/>
    <w:rsid w:val="00546B16"/>
    <w:rsid w:val="00547DC4"/>
    <w:rsid w:val="005502E7"/>
    <w:rsid w:val="00551739"/>
    <w:rsid w:val="00551D6B"/>
    <w:rsid w:val="00552DA2"/>
    <w:rsid w:val="00552F68"/>
    <w:rsid w:val="00555667"/>
    <w:rsid w:val="005556B9"/>
    <w:rsid w:val="00556B64"/>
    <w:rsid w:val="005575B9"/>
    <w:rsid w:val="00560CE5"/>
    <w:rsid w:val="00562103"/>
    <w:rsid w:val="00562CEE"/>
    <w:rsid w:val="00562EF1"/>
    <w:rsid w:val="00564A4D"/>
    <w:rsid w:val="00565239"/>
    <w:rsid w:val="005656E2"/>
    <w:rsid w:val="00565F50"/>
    <w:rsid w:val="00567759"/>
    <w:rsid w:val="0056783F"/>
    <w:rsid w:val="005703C9"/>
    <w:rsid w:val="005707D4"/>
    <w:rsid w:val="00571680"/>
    <w:rsid w:val="00571B35"/>
    <w:rsid w:val="005722FF"/>
    <w:rsid w:val="00572D20"/>
    <w:rsid w:val="00573042"/>
    <w:rsid w:val="00574241"/>
    <w:rsid w:val="00575C43"/>
    <w:rsid w:val="00577A09"/>
    <w:rsid w:val="00577F68"/>
    <w:rsid w:val="00580E72"/>
    <w:rsid w:val="005810AE"/>
    <w:rsid w:val="005819F3"/>
    <w:rsid w:val="00582446"/>
    <w:rsid w:val="005839B3"/>
    <w:rsid w:val="00584D8F"/>
    <w:rsid w:val="00585D42"/>
    <w:rsid w:val="00587CFB"/>
    <w:rsid w:val="0059539A"/>
    <w:rsid w:val="00595613"/>
    <w:rsid w:val="00595ED0"/>
    <w:rsid w:val="00596275"/>
    <w:rsid w:val="00596DE3"/>
    <w:rsid w:val="005A1287"/>
    <w:rsid w:val="005A1339"/>
    <w:rsid w:val="005A3B2C"/>
    <w:rsid w:val="005A3F7E"/>
    <w:rsid w:val="005A404D"/>
    <w:rsid w:val="005A42D5"/>
    <w:rsid w:val="005A5657"/>
    <w:rsid w:val="005A6CB0"/>
    <w:rsid w:val="005A6F22"/>
    <w:rsid w:val="005A731B"/>
    <w:rsid w:val="005B0461"/>
    <w:rsid w:val="005B0EF5"/>
    <w:rsid w:val="005B1402"/>
    <w:rsid w:val="005B1E3C"/>
    <w:rsid w:val="005B62AF"/>
    <w:rsid w:val="005B7F8F"/>
    <w:rsid w:val="005C26CC"/>
    <w:rsid w:val="005C3411"/>
    <w:rsid w:val="005C3D54"/>
    <w:rsid w:val="005C3DEC"/>
    <w:rsid w:val="005C4E3D"/>
    <w:rsid w:val="005C4F80"/>
    <w:rsid w:val="005C53C0"/>
    <w:rsid w:val="005C546A"/>
    <w:rsid w:val="005C553B"/>
    <w:rsid w:val="005C592F"/>
    <w:rsid w:val="005C5D2E"/>
    <w:rsid w:val="005C5E72"/>
    <w:rsid w:val="005D24A9"/>
    <w:rsid w:val="005D2FBD"/>
    <w:rsid w:val="005D5ECD"/>
    <w:rsid w:val="005D69AF"/>
    <w:rsid w:val="005E0B7E"/>
    <w:rsid w:val="005E2086"/>
    <w:rsid w:val="005E6FFA"/>
    <w:rsid w:val="005E7718"/>
    <w:rsid w:val="005F0661"/>
    <w:rsid w:val="005F0CD5"/>
    <w:rsid w:val="005F69C4"/>
    <w:rsid w:val="005F6ADE"/>
    <w:rsid w:val="005F702C"/>
    <w:rsid w:val="005F7247"/>
    <w:rsid w:val="00600B2D"/>
    <w:rsid w:val="00602A58"/>
    <w:rsid w:val="0060313E"/>
    <w:rsid w:val="00603914"/>
    <w:rsid w:val="00604DB6"/>
    <w:rsid w:val="006057DD"/>
    <w:rsid w:val="00607A78"/>
    <w:rsid w:val="00607BA0"/>
    <w:rsid w:val="00610304"/>
    <w:rsid w:val="00612006"/>
    <w:rsid w:val="00613324"/>
    <w:rsid w:val="00613DEC"/>
    <w:rsid w:val="00615619"/>
    <w:rsid w:val="00615C6B"/>
    <w:rsid w:val="00616CEC"/>
    <w:rsid w:val="00620B1B"/>
    <w:rsid w:val="00621545"/>
    <w:rsid w:val="0062525D"/>
    <w:rsid w:val="00626A3A"/>
    <w:rsid w:val="00626E1A"/>
    <w:rsid w:val="00627B2D"/>
    <w:rsid w:val="0063066D"/>
    <w:rsid w:val="006309A2"/>
    <w:rsid w:val="00630A15"/>
    <w:rsid w:val="00631560"/>
    <w:rsid w:val="006319C1"/>
    <w:rsid w:val="00632D6D"/>
    <w:rsid w:val="00634D01"/>
    <w:rsid w:val="00634E52"/>
    <w:rsid w:val="0063567F"/>
    <w:rsid w:val="00636936"/>
    <w:rsid w:val="006411E6"/>
    <w:rsid w:val="00642C3E"/>
    <w:rsid w:val="00644F6E"/>
    <w:rsid w:val="006471D4"/>
    <w:rsid w:val="00647804"/>
    <w:rsid w:val="0065049E"/>
    <w:rsid w:val="00651005"/>
    <w:rsid w:val="0065226B"/>
    <w:rsid w:val="0065567D"/>
    <w:rsid w:val="006556AA"/>
    <w:rsid w:val="00656588"/>
    <w:rsid w:val="0065661E"/>
    <w:rsid w:val="006566B8"/>
    <w:rsid w:val="006569A5"/>
    <w:rsid w:val="006573B5"/>
    <w:rsid w:val="00660F82"/>
    <w:rsid w:val="00661F88"/>
    <w:rsid w:val="006621AB"/>
    <w:rsid w:val="00663DAD"/>
    <w:rsid w:val="00665ACC"/>
    <w:rsid w:val="00665C0C"/>
    <w:rsid w:val="00666226"/>
    <w:rsid w:val="0067180B"/>
    <w:rsid w:val="00673D15"/>
    <w:rsid w:val="006741D4"/>
    <w:rsid w:val="00674600"/>
    <w:rsid w:val="00675E21"/>
    <w:rsid w:val="00676679"/>
    <w:rsid w:val="00677233"/>
    <w:rsid w:val="006777D7"/>
    <w:rsid w:val="00682C3F"/>
    <w:rsid w:val="00686411"/>
    <w:rsid w:val="00687AA8"/>
    <w:rsid w:val="00694FD6"/>
    <w:rsid w:val="0069547C"/>
    <w:rsid w:val="006956EC"/>
    <w:rsid w:val="006A0411"/>
    <w:rsid w:val="006A1226"/>
    <w:rsid w:val="006A20CE"/>
    <w:rsid w:val="006A21CD"/>
    <w:rsid w:val="006A35B0"/>
    <w:rsid w:val="006A6EDD"/>
    <w:rsid w:val="006A7C64"/>
    <w:rsid w:val="006B0C7B"/>
    <w:rsid w:val="006B245C"/>
    <w:rsid w:val="006B32F3"/>
    <w:rsid w:val="006B4CF9"/>
    <w:rsid w:val="006B6CC3"/>
    <w:rsid w:val="006B77F5"/>
    <w:rsid w:val="006B7AC8"/>
    <w:rsid w:val="006C196C"/>
    <w:rsid w:val="006C1E8B"/>
    <w:rsid w:val="006C2373"/>
    <w:rsid w:val="006C318F"/>
    <w:rsid w:val="006C3620"/>
    <w:rsid w:val="006C41C4"/>
    <w:rsid w:val="006C447D"/>
    <w:rsid w:val="006C493A"/>
    <w:rsid w:val="006C5B09"/>
    <w:rsid w:val="006C62B7"/>
    <w:rsid w:val="006C63F2"/>
    <w:rsid w:val="006D0C1E"/>
    <w:rsid w:val="006D1D94"/>
    <w:rsid w:val="006D3561"/>
    <w:rsid w:val="006D38CE"/>
    <w:rsid w:val="006D550F"/>
    <w:rsid w:val="006D5B9F"/>
    <w:rsid w:val="006D6001"/>
    <w:rsid w:val="006D6AE2"/>
    <w:rsid w:val="006D7923"/>
    <w:rsid w:val="006E0523"/>
    <w:rsid w:val="006E1E7D"/>
    <w:rsid w:val="006E218F"/>
    <w:rsid w:val="006E244A"/>
    <w:rsid w:val="006E5F3E"/>
    <w:rsid w:val="006E78CF"/>
    <w:rsid w:val="006F0601"/>
    <w:rsid w:val="006F0B74"/>
    <w:rsid w:val="006F0D76"/>
    <w:rsid w:val="006F1044"/>
    <w:rsid w:val="006F3750"/>
    <w:rsid w:val="006F393C"/>
    <w:rsid w:val="006F3FCB"/>
    <w:rsid w:val="006F48AA"/>
    <w:rsid w:val="006F4C38"/>
    <w:rsid w:val="006F6C2D"/>
    <w:rsid w:val="00700DAB"/>
    <w:rsid w:val="00701CAB"/>
    <w:rsid w:val="007037F6"/>
    <w:rsid w:val="00704518"/>
    <w:rsid w:val="00704CA4"/>
    <w:rsid w:val="00707011"/>
    <w:rsid w:val="00707563"/>
    <w:rsid w:val="00711BF6"/>
    <w:rsid w:val="00712D03"/>
    <w:rsid w:val="00716355"/>
    <w:rsid w:val="0071735A"/>
    <w:rsid w:val="0072073C"/>
    <w:rsid w:val="00720AB2"/>
    <w:rsid w:val="0072348C"/>
    <w:rsid w:val="007241D7"/>
    <w:rsid w:val="007247EC"/>
    <w:rsid w:val="00724827"/>
    <w:rsid w:val="00724A37"/>
    <w:rsid w:val="00724BF3"/>
    <w:rsid w:val="00727D4D"/>
    <w:rsid w:val="007303C3"/>
    <w:rsid w:val="00731F13"/>
    <w:rsid w:val="0073214E"/>
    <w:rsid w:val="0073561F"/>
    <w:rsid w:val="007356A7"/>
    <w:rsid w:val="00741247"/>
    <w:rsid w:val="00741D03"/>
    <w:rsid w:val="007426D5"/>
    <w:rsid w:val="00743223"/>
    <w:rsid w:val="00743977"/>
    <w:rsid w:val="00746063"/>
    <w:rsid w:val="00746E01"/>
    <w:rsid w:val="00747D2F"/>
    <w:rsid w:val="00751821"/>
    <w:rsid w:val="007532DD"/>
    <w:rsid w:val="00753ADA"/>
    <w:rsid w:val="00760B4D"/>
    <w:rsid w:val="00760FD8"/>
    <w:rsid w:val="007618A3"/>
    <w:rsid w:val="00762D41"/>
    <w:rsid w:val="00763E5D"/>
    <w:rsid w:val="00764C7F"/>
    <w:rsid w:val="00767740"/>
    <w:rsid w:val="00771822"/>
    <w:rsid w:val="00772A95"/>
    <w:rsid w:val="00777EE6"/>
    <w:rsid w:val="00780452"/>
    <w:rsid w:val="00781A01"/>
    <w:rsid w:val="00782EEA"/>
    <w:rsid w:val="0078319A"/>
    <w:rsid w:val="00783D4E"/>
    <w:rsid w:val="00783E1A"/>
    <w:rsid w:val="00784059"/>
    <w:rsid w:val="0078423F"/>
    <w:rsid w:val="00784A7E"/>
    <w:rsid w:val="007861E0"/>
    <w:rsid w:val="0079277A"/>
    <w:rsid w:val="0079310A"/>
    <w:rsid w:val="007959E7"/>
    <w:rsid w:val="00796C78"/>
    <w:rsid w:val="00796D6A"/>
    <w:rsid w:val="007A1135"/>
    <w:rsid w:val="007A1428"/>
    <w:rsid w:val="007A1AB0"/>
    <w:rsid w:val="007A33E8"/>
    <w:rsid w:val="007A6656"/>
    <w:rsid w:val="007A7264"/>
    <w:rsid w:val="007B1732"/>
    <w:rsid w:val="007B2C72"/>
    <w:rsid w:val="007B3F68"/>
    <w:rsid w:val="007B497F"/>
    <w:rsid w:val="007B57F8"/>
    <w:rsid w:val="007B742A"/>
    <w:rsid w:val="007B78AB"/>
    <w:rsid w:val="007C1C53"/>
    <w:rsid w:val="007C2EE8"/>
    <w:rsid w:val="007C62FE"/>
    <w:rsid w:val="007C6FE2"/>
    <w:rsid w:val="007D1133"/>
    <w:rsid w:val="007D2028"/>
    <w:rsid w:val="007D47B2"/>
    <w:rsid w:val="007D53A8"/>
    <w:rsid w:val="007D6FC9"/>
    <w:rsid w:val="007E05DF"/>
    <w:rsid w:val="007E1516"/>
    <w:rsid w:val="007E4904"/>
    <w:rsid w:val="007E4CB5"/>
    <w:rsid w:val="007E5597"/>
    <w:rsid w:val="007E74E0"/>
    <w:rsid w:val="007F066B"/>
    <w:rsid w:val="007F0F77"/>
    <w:rsid w:val="007F2BBD"/>
    <w:rsid w:val="007F2D03"/>
    <w:rsid w:val="007F3B2C"/>
    <w:rsid w:val="007F43CB"/>
    <w:rsid w:val="007F475F"/>
    <w:rsid w:val="007F4AB4"/>
    <w:rsid w:val="007F5457"/>
    <w:rsid w:val="008011F4"/>
    <w:rsid w:val="008033C4"/>
    <w:rsid w:val="00806C88"/>
    <w:rsid w:val="00807112"/>
    <w:rsid w:val="00807A5C"/>
    <w:rsid w:val="0081034E"/>
    <w:rsid w:val="0081253D"/>
    <w:rsid w:val="00812E7B"/>
    <w:rsid w:val="0081351D"/>
    <w:rsid w:val="00813CE4"/>
    <w:rsid w:val="0081592A"/>
    <w:rsid w:val="00817724"/>
    <w:rsid w:val="008238B2"/>
    <w:rsid w:val="008245E2"/>
    <w:rsid w:val="008257CA"/>
    <w:rsid w:val="008301E7"/>
    <w:rsid w:val="00831483"/>
    <w:rsid w:val="008344B4"/>
    <w:rsid w:val="008344F6"/>
    <w:rsid w:val="0083510F"/>
    <w:rsid w:val="008366CD"/>
    <w:rsid w:val="00836890"/>
    <w:rsid w:val="00840C6C"/>
    <w:rsid w:val="00840FCC"/>
    <w:rsid w:val="008445D3"/>
    <w:rsid w:val="00845396"/>
    <w:rsid w:val="00847ED9"/>
    <w:rsid w:val="00851209"/>
    <w:rsid w:val="0085188E"/>
    <w:rsid w:val="00851B46"/>
    <w:rsid w:val="00852B3D"/>
    <w:rsid w:val="008556A5"/>
    <w:rsid w:val="00856965"/>
    <w:rsid w:val="00857917"/>
    <w:rsid w:val="00861AED"/>
    <w:rsid w:val="00862886"/>
    <w:rsid w:val="00864A9F"/>
    <w:rsid w:val="00867506"/>
    <w:rsid w:val="008707C1"/>
    <w:rsid w:val="00870903"/>
    <w:rsid w:val="0087280A"/>
    <w:rsid w:val="0087308C"/>
    <w:rsid w:val="0087350F"/>
    <w:rsid w:val="00873B1F"/>
    <w:rsid w:val="0087479D"/>
    <w:rsid w:val="008837AC"/>
    <w:rsid w:val="00884D30"/>
    <w:rsid w:val="00885819"/>
    <w:rsid w:val="0088604D"/>
    <w:rsid w:val="00886662"/>
    <w:rsid w:val="00886BAB"/>
    <w:rsid w:val="00886CEC"/>
    <w:rsid w:val="00886FA8"/>
    <w:rsid w:val="00887EBF"/>
    <w:rsid w:val="00887FB8"/>
    <w:rsid w:val="008909FD"/>
    <w:rsid w:val="008934F4"/>
    <w:rsid w:val="00895878"/>
    <w:rsid w:val="00896C79"/>
    <w:rsid w:val="008A147B"/>
    <w:rsid w:val="008A157D"/>
    <w:rsid w:val="008A4DB6"/>
    <w:rsid w:val="008A587D"/>
    <w:rsid w:val="008A59AB"/>
    <w:rsid w:val="008A6198"/>
    <w:rsid w:val="008A7580"/>
    <w:rsid w:val="008A7E37"/>
    <w:rsid w:val="008B0D4C"/>
    <w:rsid w:val="008B22BE"/>
    <w:rsid w:val="008B416B"/>
    <w:rsid w:val="008B6DA5"/>
    <w:rsid w:val="008C094A"/>
    <w:rsid w:val="008C1D7C"/>
    <w:rsid w:val="008C1FE0"/>
    <w:rsid w:val="008C4E0D"/>
    <w:rsid w:val="008C50F7"/>
    <w:rsid w:val="008C50FB"/>
    <w:rsid w:val="008C5486"/>
    <w:rsid w:val="008C6384"/>
    <w:rsid w:val="008C6B16"/>
    <w:rsid w:val="008D21CB"/>
    <w:rsid w:val="008D2CEE"/>
    <w:rsid w:val="008D4820"/>
    <w:rsid w:val="008D4E23"/>
    <w:rsid w:val="008D6AC3"/>
    <w:rsid w:val="008D7D94"/>
    <w:rsid w:val="008E1E8E"/>
    <w:rsid w:val="008E2C54"/>
    <w:rsid w:val="008E535A"/>
    <w:rsid w:val="008E6CAE"/>
    <w:rsid w:val="008E7031"/>
    <w:rsid w:val="008F05DF"/>
    <w:rsid w:val="008F14C9"/>
    <w:rsid w:val="008F2DE1"/>
    <w:rsid w:val="008F2F48"/>
    <w:rsid w:val="008F4AD5"/>
    <w:rsid w:val="008F4C72"/>
    <w:rsid w:val="008F4DFD"/>
    <w:rsid w:val="008F6E27"/>
    <w:rsid w:val="008F6FC7"/>
    <w:rsid w:val="008F71C7"/>
    <w:rsid w:val="008F7954"/>
    <w:rsid w:val="009004F5"/>
    <w:rsid w:val="0090239D"/>
    <w:rsid w:val="00902445"/>
    <w:rsid w:val="00903A78"/>
    <w:rsid w:val="009057E0"/>
    <w:rsid w:val="009064FC"/>
    <w:rsid w:val="0091130F"/>
    <w:rsid w:val="00913C7D"/>
    <w:rsid w:val="00914872"/>
    <w:rsid w:val="00914975"/>
    <w:rsid w:val="00914A87"/>
    <w:rsid w:val="00915BFF"/>
    <w:rsid w:val="0091710E"/>
    <w:rsid w:val="0092084D"/>
    <w:rsid w:val="00921066"/>
    <w:rsid w:val="00921957"/>
    <w:rsid w:val="00922ACF"/>
    <w:rsid w:val="009233EE"/>
    <w:rsid w:val="00924207"/>
    <w:rsid w:val="0092422F"/>
    <w:rsid w:val="00925EDB"/>
    <w:rsid w:val="00932606"/>
    <w:rsid w:val="009335AE"/>
    <w:rsid w:val="00933B55"/>
    <w:rsid w:val="00936740"/>
    <w:rsid w:val="009377D8"/>
    <w:rsid w:val="00940393"/>
    <w:rsid w:val="0094150C"/>
    <w:rsid w:val="00941935"/>
    <w:rsid w:val="00942863"/>
    <w:rsid w:val="00944863"/>
    <w:rsid w:val="009456DC"/>
    <w:rsid w:val="00947919"/>
    <w:rsid w:val="00950B15"/>
    <w:rsid w:val="0095158D"/>
    <w:rsid w:val="00952CF7"/>
    <w:rsid w:val="00953534"/>
    <w:rsid w:val="009540FA"/>
    <w:rsid w:val="00956C19"/>
    <w:rsid w:val="00957591"/>
    <w:rsid w:val="0095772E"/>
    <w:rsid w:val="00960AC5"/>
    <w:rsid w:val="00960C83"/>
    <w:rsid w:val="00963914"/>
    <w:rsid w:val="00963EC7"/>
    <w:rsid w:val="009661DE"/>
    <w:rsid w:val="009721AF"/>
    <w:rsid w:val="00972A40"/>
    <w:rsid w:val="00973619"/>
    <w:rsid w:val="00974CDB"/>
    <w:rsid w:val="009777E3"/>
    <w:rsid w:val="00981578"/>
    <w:rsid w:val="00981E7F"/>
    <w:rsid w:val="00982FEB"/>
    <w:rsid w:val="00983382"/>
    <w:rsid w:val="009837D1"/>
    <w:rsid w:val="00983EEC"/>
    <w:rsid w:val="009856B7"/>
    <w:rsid w:val="00985A66"/>
    <w:rsid w:val="0098646A"/>
    <w:rsid w:val="009904FF"/>
    <w:rsid w:val="009920D2"/>
    <w:rsid w:val="009928BC"/>
    <w:rsid w:val="009937B4"/>
    <w:rsid w:val="00995346"/>
    <w:rsid w:val="0099572C"/>
    <w:rsid w:val="009A090B"/>
    <w:rsid w:val="009A0A73"/>
    <w:rsid w:val="009A0EDF"/>
    <w:rsid w:val="009A14D0"/>
    <w:rsid w:val="009A3D22"/>
    <w:rsid w:val="009A4B08"/>
    <w:rsid w:val="009A574C"/>
    <w:rsid w:val="009A6D69"/>
    <w:rsid w:val="009B0884"/>
    <w:rsid w:val="009B1174"/>
    <w:rsid w:val="009B21F2"/>
    <w:rsid w:val="009B4E65"/>
    <w:rsid w:val="009B533B"/>
    <w:rsid w:val="009B5478"/>
    <w:rsid w:val="009B5D28"/>
    <w:rsid w:val="009B615C"/>
    <w:rsid w:val="009B69AA"/>
    <w:rsid w:val="009B74B0"/>
    <w:rsid w:val="009C01D7"/>
    <w:rsid w:val="009C05B5"/>
    <w:rsid w:val="009C1BE3"/>
    <w:rsid w:val="009C381D"/>
    <w:rsid w:val="009C4C5E"/>
    <w:rsid w:val="009C4FB9"/>
    <w:rsid w:val="009C6A83"/>
    <w:rsid w:val="009C77CC"/>
    <w:rsid w:val="009C7E88"/>
    <w:rsid w:val="009C7FDF"/>
    <w:rsid w:val="009D0B16"/>
    <w:rsid w:val="009D3016"/>
    <w:rsid w:val="009D30B3"/>
    <w:rsid w:val="009D3902"/>
    <w:rsid w:val="009D47E3"/>
    <w:rsid w:val="009D633E"/>
    <w:rsid w:val="009D6B46"/>
    <w:rsid w:val="009E1209"/>
    <w:rsid w:val="009E1242"/>
    <w:rsid w:val="009E2520"/>
    <w:rsid w:val="009E2B88"/>
    <w:rsid w:val="009E464D"/>
    <w:rsid w:val="009E6668"/>
    <w:rsid w:val="009E7749"/>
    <w:rsid w:val="009E7AC6"/>
    <w:rsid w:val="009E7D2D"/>
    <w:rsid w:val="009F0A79"/>
    <w:rsid w:val="009F1D03"/>
    <w:rsid w:val="009F1E42"/>
    <w:rsid w:val="009F2CAC"/>
    <w:rsid w:val="009F4806"/>
    <w:rsid w:val="009F4940"/>
    <w:rsid w:val="00A041F4"/>
    <w:rsid w:val="00A04451"/>
    <w:rsid w:val="00A04F9F"/>
    <w:rsid w:val="00A057D1"/>
    <w:rsid w:val="00A05BED"/>
    <w:rsid w:val="00A06AD1"/>
    <w:rsid w:val="00A06E0E"/>
    <w:rsid w:val="00A1210E"/>
    <w:rsid w:val="00A159BF"/>
    <w:rsid w:val="00A15E40"/>
    <w:rsid w:val="00A16975"/>
    <w:rsid w:val="00A16DAF"/>
    <w:rsid w:val="00A16ED7"/>
    <w:rsid w:val="00A16F26"/>
    <w:rsid w:val="00A21F54"/>
    <w:rsid w:val="00A226E9"/>
    <w:rsid w:val="00A2302C"/>
    <w:rsid w:val="00A25353"/>
    <w:rsid w:val="00A26739"/>
    <w:rsid w:val="00A26C2F"/>
    <w:rsid w:val="00A30B76"/>
    <w:rsid w:val="00A3632A"/>
    <w:rsid w:val="00A42006"/>
    <w:rsid w:val="00A432BC"/>
    <w:rsid w:val="00A433FB"/>
    <w:rsid w:val="00A4478A"/>
    <w:rsid w:val="00A44852"/>
    <w:rsid w:val="00A45EAC"/>
    <w:rsid w:val="00A47A03"/>
    <w:rsid w:val="00A52A18"/>
    <w:rsid w:val="00A5631E"/>
    <w:rsid w:val="00A575E8"/>
    <w:rsid w:val="00A57D04"/>
    <w:rsid w:val="00A57D69"/>
    <w:rsid w:val="00A60A26"/>
    <w:rsid w:val="00A61598"/>
    <w:rsid w:val="00A61DCF"/>
    <w:rsid w:val="00A645F9"/>
    <w:rsid w:val="00A64EBB"/>
    <w:rsid w:val="00A672B8"/>
    <w:rsid w:val="00A6730F"/>
    <w:rsid w:val="00A679F2"/>
    <w:rsid w:val="00A70908"/>
    <w:rsid w:val="00A71AA6"/>
    <w:rsid w:val="00A72667"/>
    <w:rsid w:val="00A75AAA"/>
    <w:rsid w:val="00A81710"/>
    <w:rsid w:val="00A81EF8"/>
    <w:rsid w:val="00A8219E"/>
    <w:rsid w:val="00A84149"/>
    <w:rsid w:val="00A84E2D"/>
    <w:rsid w:val="00A84F46"/>
    <w:rsid w:val="00A871F4"/>
    <w:rsid w:val="00A87F90"/>
    <w:rsid w:val="00A912B1"/>
    <w:rsid w:val="00A91A4B"/>
    <w:rsid w:val="00A923DD"/>
    <w:rsid w:val="00A9455D"/>
    <w:rsid w:val="00A94D89"/>
    <w:rsid w:val="00A956AD"/>
    <w:rsid w:val="00A96CE0"/>
    <w:rsid w:val="00A971A0"/>
    <w:rsid w:val="00AA0301"/>
    <w:rsid w:val="00AA0CEB"/>
    <w:rsid w:val="00AA12D3"/>
    <w:rsid w:val="00AA39C0"/>
    <w:rsid w:val="00AA3A2C"/>
    <w:rsid w:val="00AA476F"/>
    <w:rsid w:val="00AA649A"/>
    <w:rsid w:val="00AA73F0"/>
    <w:rsid w:val="00AB26AE"/>
    <w:rsid w:val="00AB6478"/>
    <w:rsid w:val="00AB6927"/>
    <w:rsid w:val="00AC0A47"/>
    <w:rsid w:val="00AC0FE9"/>
    <w:rsid w:val="00AC1B2C"/>
    <w:rsid w:val="00AC1CF3"/>
    <w:rsid w:val="00AC242C"/>
    <w:rsid w:val="00AC3264"/>
    <w:rsid w:val="00AC48DA"/>
    <w:rsid w:val="00AC4BF5"/>
    <w:rsid w:val="00AD0424"/>
    <w:rsid w:val="00AD36D0"/>
    <w:rsid w:val="00AD3987"/>
    <w:rsid w:val="00AD3D69"/>
    <w:rsid w:val="00AD592F"/>
    <w:rsid w:val="00AD6D98"/>
    <w:rsid w:val="00AD76AE"/>
    <w:rsid w:val="00AE0399"/>
    <w:rsid w:val="00AE18EA"/>
    <w:rsid w:val="00AE1BF1"/>
    <w:rsid w:val="00AE20B1"/>
    <w:rsid w:val="00AE2792"/>
    <w:rsid w:val="00AE317D"/>
    <w:rsid w:val="00AE33E0"/>
    <w:rsid w:val="00AF0CA1"/>
    <w:rsid w:val="00AF0DD2"/>
    <w:rsid w:val="00AF0ED5"/>
    <w:rsid w:val="00AF164D"/>
    <w:rsid w:val="00AF3126"/>
    <w:rsid w:val="00AF3A41"/>
    <w:rsid w:val="00AF46F3"/>
    <w:rsid w:val="00AF66A7"/>
    <w:rsid w:val="00AF7058"/>
    <w:rsid w:val="00AF7C0E"/>
    <w:rsid w:val="00B01BD3"/>
    <w:rsid w:val="00B02ED5"/>
    <w:rsid w:val="00B03817"/>
    <w:rsid w:val="00B050A6"/>
    <w:rsid w:val="00B057C8"/>
    <w:rsid w:val="00B06353"/>
    <w:rsid w:val="00B065C9"/>
    <w:rsid w:val="00B0779B"/>
    <w:rsid w:val="00B109DD"/>
    <w:rsid w:val="00B11C09"/>
    <w:rsid w:val="00B1285B"/>
    <w:rsid w:val="00B13048"/>
    <w:rsid w:val="00B135AC"/>
    <w:rsid w:val="00B14CE4"/>
    <w:rsid w:val="00B162BD"/>
    <w:rsid w:val="00B16A28"/>
    <w:rsid w:val="00B1716D"/>
    <w:rsid w:val="00B17A1D"/>
    <w:rsid w:val="00B207A0"/>
    <w:rsid w:val="00B20F61"/>
    <w:rsid w:val="00B211EE"/>
    <w:rsid w:val="00B23484"/>
    <w:rsid w:val="00B251A4"/>
    <w:rsid w:val="00B25887"/>
    <w:rsid w:val="00B26AAA"/>
    <w:rsid w:val="00B276D9"/>
    <w:rsid w:val="00B302BF"/>
    <w:rsid w:val="00B30D82"/>
    <w:rsid w:val="00B31071"/>
    <w:rsid w:val="00B33C7F"/>
    <w:rsid w:val="00B35810"/>
    <w:rsid w:val="00B35937"/>
    <w:rsid w:val="00B3773B"/>
    <w:rsid w:val="00B4128D"/>
    <w:rsid w:val="00B41686"/>
    <w:rsid w:val="00B44E99"/>
    <w:rsid w:val="00B474EE"/>
    <w:rsid w:val="00B52EC8"/>
    <w:rsid w:val="00B55C24"/>
    <w:rsid w:val="00B56CF6"/>
    <w:rsid w:val="00B56E03"/>
    <w:rsid w:val="00B6278D"/>
    <w:rsid w:val="00B62BB5"/>
    <w:rsid w:val="00B63E2C"/>
    <w:rsid w:val="00B64331"/>
    <w:rsid w:val="00B64DF7"/>
    <w:rsid w:val="00B652AF"/>
    <w:rsid w:val="00B65CAC"/>
    <w:rsid w:val="00B66E74"/>
    <w:rsid w:val="00B673A4"/>
    <w:rsid w:val="00B70A7F"/>
    <w:rsid w:val="00B70CA5"/>
    <w:rsid w:val="00B7397E"/>
    <w:rsid w:val="00B73C3A"/>
    <w:rsid w:val="00B752C5"/>
    <w:rsid w:val="00B8080B"/>
    <w:rsid w:val="00B82845"/>
    <w:rsid w:val="00B85D8A"/>
    <w:rsid w:val="00B87C39"/>
    <w:rsid w:val="00B87DD6"/>
    <w:rsid w:val="00B904FF"/>
    <w:rsid w:val="00B91BE8"/>
    <w:rsid w:val="00B92CD5"/>
    <w:rsid w:val="00B956D7"/>
    <w:rsid w:val="00BA05DD"/>
    <w:rsid w:val="00BA1F27"/>
    <w:rsid w:val="00BA2E61"/>
    <w:rsid w:val="00BA390A"/>
    <w:rsid w:val="00BA3992"/>
    <w:rsid w:val="00BA4665"/>
    <w:rsid w:val="00BB20BA"/>
    <w:rsid w:val="00BB2FB2"/>
    <w:rsid w:val="00BB3304"/>
    <w:rsid w:val="00BB4732"/>
    <w:rsid w:val="00BB51C2"/>
    <w:rsid w:val="00BB6815"/>
    <w:rsid w:val="00BB7780"/>
    <w:rsid w:val="00BB7BFA"/>
    <w:rsid w:val="00BC03BC"/>
    <w:rsid w:val="00BC1B6B"/>
    <w:rsid w:val="00BC2DFD"/>
    <w:rsid w:val="00BC4CD2"/>
    <w:rsid w:val="00BC614B"/>
    <w:rsid w:val="00BC6398"/>
    <w:rsid w:val="00BC675F"/>
    <w:rsid w:val="00BD0BD0"/>
    <w:rsid w:val="00BD10B4"/>
    <w:rsid w:val="00BD1AD7"/>
    <w:rsid w:val="00BD1BCA"/>
    <w:rsid w:val="00BD26AE"/>
    <w:rsid w:val="00BD3446"/>
    <w:rsid w:val="00BD412C"/>
    <w:rsid w:val="00BD4E33"/>
    <w:rsid w:val="00BD545F"/>
    <w:rsid w:val="00BD5467"/>
    <w:rsid w:val="00BD6CD4"/>
    <w:rsid w:val="00BD7176"/>
    <w:rsid w:val="00BD71BD"/>
    <w:rsid w:val="00BE1F1B"/>
    <w:rsid w:val="00BE2075"/>
    <w:rsid w:val="00BE2F8A"/>
    <w:rsid w:val="00BE377D"/>
    <w:rsid w:val="00BE3F55"/>
    <w:rsid w:val="00BE40E3"/>
    <w:rsid w:val="00BE47B5"/>
    <w:rsid w:val="00BE5AC5"/>
    <w:rsid w:val="00BE6087"/>
    <w:rsid w:val="00BE7DBC"/>
    <w:rsid w:val="00BF0982"/>
    <w:rsid w:val="00BF19CB"/>
    <w:rsid w:val="00BF1BF5"/>
    <w:rsid w:val="00BF1E45"/>
    <w:rsid w:val="00BF295F"/>
    <w:rsid w:val="00BF2CCF"/>
    <w:rsid w:val="00BF4639"/>
    <w:rsid w:val="00BF65C1"/>
    <w:rsid w:val="00BF771C"/>
    <w:rsid w:val="00C008E0"/>
    <w:rsid w:val="00C008FE"/>
    <w:rsid w:val="00C01734"/>
    <w:rsid w:val="00C024A5"/>
    <w:rsid w:val="00C030BB"/>
    <w:rsid w:val="00C03C71"/>
    <w:rsid w:val="00C04914"/>
    <w:rsid w:val="00C05C48"/>
    <w:rsid w:val="00C064A7"/>
    <w:rsid w:val="00C075A3"/>
    <w:rsid w:val="00C07A89"/>
    <w:rsid w:val="00C101F2"/>
    <w:rsid w:val="00C11AE0"/>
    <w:rsid w:val="00C12A83"/>
    <w:rsid w:val="00C154C0"/>
    <w:rsid w:val="00C15CB2"/>
    <w:rsid w:val="00C15DA4"/>
    <w:rsid w:val="00C16B2C"/>
    <w:rsid w:val="00C1786D"/>
    <w:rsid w:val="00C17CB8"/>
    <w:rsid w:val="00C17F0D"/>
    <w:rsid w:val="00C17FC7"/>
    <w:rsid w:val="00C21CBD"/>
    <w:rsid w:val="00C238EB"/>
    <w:rsid w:val="00C24398"/>
    <w:rsid w:val="00C248B1"/>
    <w:rsid w:val="00C25A9A"/>
    <w:rsid w:val="00C273A6"/>
    <w:rsid w:val="00C30BBE"/>
    <w:rsid w:val="00C34065"/>
    <w:rsid w:val="00C35876"/>
    <w:rsid w:val="00C361EB"/>
    <w:rsid w:val="00C370D1"/>
    <w:rsid w:val="00C41237"/>
    <w:rsid w:val="00C420D7"/>
    <w:rsid w:val="00C420EB"/>
    <w:rsid w:val="00C43C4F"/>
    <w:rsid w:val="00C452B9"/>
    <w:rsid w:val="00C466B4"/>
    <w:rsid w:val="00C46AB5"/>
    <w:rsid w:val="00C4709E"/>
    <w:rsid w:val="00C4712A"/>
    <w:rsid w:val="00C47DEE"/>
    <w:rsid w:val="00C47EC0"/>
    <w:rsid w:val="00C50EC2"/>
    <w:rsid w:val="00C51484"/>
    <w:rsid w:val="00C51BE7"/>
    <w:rsid w:val="00C532EF"/>
    <w:rsid w:val="00C538A9"/>
    <w:rsid w:val="00C53B5A"/>
    <w:rsid w:val="00C54CF3"/>
    <w:rsid w:val="00C54F5A"/>
    <w:rsid w:val="00C55452"/>
    <w:rsid w:val="00C56506"/>
    <w:rsid w:val="00C565C5"/>
    <w:rsid w:val="00C5766F"/>
    <w:rsid w:val="00C601EF"/>
    <w:rsid w:val="00C60452"/>
    <w:rsid w:val="00C6191E"/>
    <w:rsid w:val="00C62797"/>
    <w:rsid w:val="00C6290C"/>
    <w:rsid w:val="00C63A42"/>
    <w:rsid w:val="00C65B88"/>
    <w:rsid w:val="00C672E0"/>
    <w:rsid w:val="00C70205"/>
    <w:rsid w:val="00C729B4"/>
    <w:rsid w:val="00C73A47"/>
    <w:rsid w:val="00C73C83"/>
    <w:rsid w:val="00C74A11"/>
    <w:rsid w:val="00C80612"/>
    <w:rsid w:val="00C81324"/>
    <w:rsid w:val="00C81890"/>
    <w:rsid w:val="00C81A67"/>
    <w:rsid w:val="00C8473D"/>
    <w:rsid w:val="00C86679"/>
    <w:rsid w:val="00C86919"/>
    <w:rsid w:val="00C872DB"/>
    <w:rsid w:val="00C87867"/>
    <w:rsid w:val="00C91830"/>
    <w:rsid w:val="00C9478B"/>
    <w:rsid w:val="00C950AF"/>
    <w:rsid w:val="00C9660A"/>
    <w:rsid w:val="00C96A92"/>
    <w:rsid w:val="00CA04F2"/>
    <w:rsid w:val="00CA0ECB"/>
    <w:rsid w:val="00CA4EE0"/>
    <w:rsid w:val="00CA51FE"/>
    <w:rsid w:val="00CA6B3A"/>
    <w:rsid w:val="00CA771A"/>
    <w:rsid w:val="00CA7D3F"/>
    <w:rsid w:val="00CB0FA5"/>
    <w:rsid w:val="00CB45EC"/>
    <w:rsid w:val="00CB666B"/>
    <w:rsid w:val="00CB695E"/>
    <w:rsid w:val="00CC1AC0"/>
    <w:rsid w:val="00CC1D64"/>
    <w:rsid w:val="00CC2C03"/>
    <w:rsid w:val="00CC2CA1"/>
    <w:rsid w:val="00CC3B19"/>
    <w:rsid w:val="00CC6516"/>
    <w:rsid w:val="00CC656F"/>
    <w:rsid w:val="00CC6738"/>
    <w:rsid w:val="00CD2754"/>
    <w:rsid w:val="00CD40AD"/>
    <w:rsid w:val="00CD4E7F"/>
    <w:rsid w:val="00CE0A5F"/>
    <w:rsid w:val="00CE15A5"/>
    <w:rsid w:val="00CE1831"/>
    <w:rsid w:val="00CE1B68"/>
    <w:rsid w:val="00CE6345"/>
    <w:rsid w:val="00CE661E"/>
    <w:rsid w:val="00CE695E"/>
    <w:rsid w:val="00CE6F6D"/>
    <w:rsid w:val="00CF0B65"/>
    <w:rsid w:val="00CF0E01"/>
    <w:rsid w:val="00CF0E07"/>
    <w:rsid w:val="00CF36F5"/>
    <w:rsid w:val="00CF455C"/>
    <w:rsid w:val="00CF4D2E"/>
    <w:rsid w:val="00CF5382"/>
    <w:rsid w:val="00CF62CA"/>
    <w:rsid w:val="00CF6F3C"/>
    <w:rsid w:val="00CF7D47"/>
    <w:rsid w:val="00D01CF0"/>
    <w:rsid w:val="00D0442A"/>
    <w:rsid w:val="00D05840"/>
    <w:rsid w:val="00D07128"/>
    <w:rsid w:val="00D10120"/>
    <w:rsid w:val="00D10E76"/>
    <w:rsid w:val="00D11721"/>
    <w:rsid w:val="00D11CB3"/>
    <w:rsid w:val="00D1516F"/>
    <w:rsid w:val="00D1614C"/>
    <w:rsid w:val="00D16710"/>
    <w:rsid w:val="00D22BD4"/>
    <w:rsid w:val="00D22E23"/>
    <w:rsid w:val="00D2306D"/>
    <w:rsid w:val="00D250AC"/>
    <w:rsid w:val="00D270E1"/>
    <w:rsid w:val="00D323D0"/>
    <w:rsid w:val="00D32684"/>
    <w:rsid w:val="00D32767"/>
    <w:rsid w:val="00D33489"/>
    <w:rsid w:val="00D352AB"/>
    <w:rsid w:val="00D372FA"/>
    <w:rsid w:val="00D40B44"/>
    <w:rsid w:val="00D43663"/>
    <w:rsid w:val="00D44037"/>
    <w:rsid w:val="00D4594F"/>
    <w:rsid w:val="00D4681D"/>
    <w:rsid w:val="00D5111E"/>
    <w:rsid w:val="00D5124C"/>
    <w:rsid w:val="00D53F55"/>
    <w:rsid w:val="00D61388"/>
    <w:rsid w:val="00D613F3"/>
    <w:rsid w:val="00D615F9"/>
    <w:rsid w:val="00D61A54"/>
    <w:rsid w:val="00D62BAD"/>
    <w:rsid w:val="00D636F6"/>
    <w:rsid w:val="00D64DEA"/>
    <w:rsid w:val="00D65E49"/>
    <w:rsid w:val="00D67D07"/>
    <w:rsid w:val="00D70F71"/>
    <w:rsid w:val="00D71771"/>
    <w:rsid w:val="00D71E8E"/>
    <w:rsid w:val="00D725C2"/>
    <w:rsid w:val="00D73D17"/>
    <w:rsid w:val="00D74261"/>
    <w:rsid w:val="00D74971"/>
    <w:rsid w:val="00D80893"/>
    <w:rsid w:val="00D839A7"/>
    <w:rsid w:val="00D86899"/>
    <w:rsid w:val="00D87097"/>
    <w:rsid w:val="00D90FB7"/>
    <w:rsid w:val="00D92A31"/>
    <w:rsid w:val="00D92CF1"/>
    <w:rsid w:val="00D92D38"/>
    <w:rsid w:val="00D92E07"/>
    <w:rsid w:val="00D936B6"/>
    <w:rsid w:val="00D950F5"/>
    <w:rsid w:val="00D95177"/>
    <w:rsid w:val="00D96914"/>
    <w:rsid w:val="00DA0C4C"/>
    <w:rsid w:val="00DA1CA3"/>
    <w:rsid w:val="00DA289D"/>
    <w:rsid w:val="00DA331C"/>
    <w:rsid w:val="00DA4BC4"/>
    <w:rsid w:val="00DA4E07"/>
    <w:rsid w:val="00DB0F93"/>
    <w:rsid w:val="00DB134D"/>
    <w:rsid w:val="00DB16A7"/>
    <w:rsid w:val="00DB196A"/>
    <w:rsid w:val="00DB20BF"/>
    <w:rsid w:val="00DB2353"/>
    <w:rsid w:val="00DB402D"/>
    <w:rsid w:val="00DB4CC4"/>
    <w:rsid w:val="00DB6861"/>
    <w:rsid w:val="00DB7193"/>
    <w:rsid w:val="00DB7AB9"/>
    <w:rsid w:val="00DB7B59"/>
    <w:rsid w:val="00DB7FD1"/>
    <w:rsid w:val="00DC153A"/>
    <w:rsid w:val="00DC22E3"/>
    <w:rsid w:val="00DC24BF"/>
    <w:rsid w:val="00DC2907"/>
    <w:rsid w:val="00DC395C"/>
    <w:rsid w:val="00DC5E54"/>
    <w:rsid w:val="00DC693A"/>
    <w:rsid w:val="00DC7981"/>
    <w:rsid w:val="00DC7B5A"/>
    <w:rsid w:val="00DD15C2"/>
    <w:rsid w:val="00DD27EA"/>
    <w:rsid w:val="00DD33DE"/>
    <w:rsid w:val="00DD5D65"/>
    <w:rsid w:val="00DD79F4"/>
    <w:rsid w:val="00DE45B5"/>
    <w:rsid w:val="00DE4EFA"/>
    <w:rsid w:val="00DE5104"/>
    <w:rsid w:val="00DE5520"/>
    <w:rsid w:val="00DE5AB1"/>
    <w:rsid w:val="00DE6AA6"/>
    <w:rsid w:val="00DE7345"/>
    <w:rsid w:val="00DF02A4"/>
    <w:rsid w:val="00DF0714"/>
    <w:rsid w:val="00DF192B"/>
    <w:rsid w:val="00DF1C55"/>
    <w:rsid w:val="00DF2298"/>
    <w:rsid w:val="00DF2D42"/>
    <w:rsid w:val="00DF3C7E"/>
    <w:rsid w:val="00DF6E09"/>
    <w:rsid w:val="00DF7793"/>
    <w:rsid w:val="00E00EC9"/>
    <w:rsid w:val="00E03069"/>
    <w:rsid w:val="00E034A6"/>
    <w:rsid w:val="00E03725"/>
    <w:rsid w:val="00E04818"/>
    <w:rsid w:val="00E06442"/>
    <w:rsid w:val="00E06937"/>
    <w:rsid w:val="00E113E2"/>
    <w:rsid w:val="00E115DE"/>
    <w:rsid w:val="00E13056"/>
    <w:rsid w:val="00E135DB"/>
    <w:rsid w:val="00E13C85"/>
    <w:rsid w:val="00E15B15"/>
    <w:rsid w:val="00E15F74"/>
    <w:rsid w:val="00E16EDC"/>
    <w:rsid w:val="00E2257E"/>
    <w:rsid w:val="00E227A4"/>
    <w:rsid w:val="00E2374E"/>
    <w:rsid w:val="00E23993"/>
    <w:rsid w:val="00E24D12"/>
    <w:rsid w:val="00E2504E"/>
    <w:rsid w:val="00E25B8C"/>
    <w:rsid w:val="00E25F40"/>
    <w:rsid w:val="00E3279F"/>
    <w:rsid w:val="00E32A8C"/>
    <w:rsid w:val="00E333EF"/>
    <w:rsid w:val="00E334A4"/>
    <w:rsid w:val="00E33530"/>
    <w:rsid w:val="00E35AE8"/>
    <w:rsid w:val="00E3678B"/>
    <w:rsid w:val="00E3724C"/>
    <w:rsid w:val="00E37F0B"/>
    <w:rsid w:val="00E40426"/>
    <w:rsid w:val="00E40B9C"/>
    <w:rsid w:val="00E42976"/>
    <w:rsid w:val="00E42DF3"/>
    <w:rsid w:val="00E43848"/>
    <w:rsid w:val="00E438D4"/>
    <w:rsid w:val="00E43BBA"/>
    <w:rsid w:val="00E4482C"/>
    <w:rsid w:val="00E4680F"/>
    <w:rsid w:val="00E46D48"/>
    <w:rsid w:val="00E47EAD"/>
    <w:rsid w:val="00E5181B"/>
    <w:rsid w:val="00E52107"/>
    <w:rsid w:val="00E52A27"/>
    <w:rsid w:val="00E54461"/>
    <w:rsid w:val="00E55C3C"/>
    <w:rsid w:val="00E56018"/>
    <w:rsid w:val="00E6018A"/>
    <w:rsid w:val="00E605DA"/>
    <w:rsid w:val="00E65839"/>
    <w:rsid w:val="00E65C85"/>
    <w:rsid w:val="00E65CF4"/>
    <w:rsid w:val="00E66199"/>
    <w:rsid w:val="00E66D68"/>
    <w:rsid w:val="00E675DF"/>
    <w:rsid w:val="00E715D5"/>
    <w:rsid w:val="00E7180D"/>
    <w:rsid w:val="00E737E3"/>
    <w:rsid w:val="00E74532"/>
    <w:rsid w:val="00E7472E"/>
    <w:rsid w:val="00E755EC"/>
    <w:rsid w:val="00E761D6"/>
    <w:rsid w:val="00E7624D"/>
    <w:rsid w:val="00E8137D"/>
    <w:rsid w:val="00E823D9"/>
    <w:rsid w:val="00E8569F"/>
    <w:rsid w:val="00E86851"/>
    <w:rsid w:val="00E91678"/>
    <w:rsid w:val="00E91BED"/>
    <w:rsid w:val="00E926FC"/>
    <w:rsid w:val="00E95390"/>
    <w:rsid w:val="00E95CA7"/>
    <w:rsid w:val="00E96EFF"/>
    <w:rsid w:val="00EA1DEE"/>
    <w:rsid w:val="00EA3D42"/>
    <w:rsid w:val="00EA4DD9"/>
    <w:rsid w:val="00EA6B1B"/>
    <w:rsid w:val="00EA6F25"/>
    <w:rsid w:val="00EB049F"/>
    <w:rsid w:val="00EB100D"/>
    <w:rsid w:val="00EB456D"/>
    <w:rsid w:val="00EB540F"/>
    <w:rsid w:val="00EB7D7F"/>
    <w:rsid w:val="00EC05BF"/>
    <w:rsid w:val="00EC0D58"/>
    <w:rsid w:val="00EC10A1"/>
    <w:rsid w:val="00EC137F"/>
    <w:rsid w:val="00EC24B0"/>
    <w:rsid w:val="00EC2CB1"/>
    <w:rsid w:val="00EC317E"/>
    <w:rsid w:val="00EC67D4"/>
    <w:rsid w:val="00EC7EB1"/>
    <w:rsid w:val="00ED3C5B"/>
    <w:rsid w:val="00ED4A25"/>
    <w:rsid w:val="00ED6E24"/>
    <w:rsid w:val="00EE164B"/>
    <w:rsid w:val="00EE28F3"/>
    <w:rsid w:val="00EE347F"/>
    <w:rsid w:val="00EE42C2"/>
    <w:rsid w:val="00EE46CE"/>
    <w:rsid w:val="00EE575A"/>
    <w:rsid w:val="00EF013A"/>
    <w:rsid w:val="00EF0E42"/>
    <w:rsid w:val="00EF0FE6"/>
    <w:rsid w:val="00EF1961"/>
    <w:rsid w:val="00EF3FB8"/>
    <w:rsid w:val="00EF5110"/>
    <w:rsid w:val="00EF62CA"/>
    <w:rsid w:val="00EF69CB"/>
    <w:rsid w:val="00F00587"/>
    <w:rsid w:val="00F019C5"/>
    <w:rsid w:val="00F02D9B"/>
    <w:rsid w:val="00F031FE"/>
    <w:rsid w:val="00F05EAD"/>
    <w:rsid w:val="00F06B5B"/>
    <w:rsid w:val="00F072C7"/>
    <w:rsid w:val="00F10CDA"/>
    <w:rsid w:val="00F113FD"/>
    <w:rsid w:val="00F13B99"/>
    <w:rsid w:val="00F13EAA"/>
    <w:rsid w:val="00F1535C"/>
    <w:rsid w:val="00F15882"/>
    <w:rsid w:val="00F15AB9"/>
    <w:rsid w:val="00F167CF"/>
    <w:rsid w:val="00F16858"/>
    <w:rsid w:val="00F1785E"/>
    <w:rsid w:val="00F20BD3"/>
    <w:rsid w:val="00F248D0"/>
    <w:rsid w:val="00F26128"/>
    <w:rsid w:val="00F27967"/>
    <w:rsid w:val="00F32D35"/>
    <w:rsid w:val="00F336DF"/>
    <w:rsid w:val="00F3590E"/>
    <w:rsid w:val="00F36430"/>
    <w:rsid w:val="00F3660F"/>
    <w:rsid w:val="00F373A5"/>
    <w:rsid w:val="00F376D3"/>
    <w:rsid w:val="00F42DB4"/>
    <w:rsid w:val="00F45B2F"/>
    <w:rsid w:val="00F47559"/>
    <w:rsid w:val="00F5112C"/>
    <w:rsid w:val="00F55548"/>
    <w:rsid w:val="00F55859"/>
    <w:rsid w:val="00F6030B"/>
    <w:rsid w:val="00F6043C"/>
    <w:rsid w:val="00F60561"/>
    <w:rsid w:val="00F61055"/>
    <w:rsid w:val="00F61AA8"/>
    <w:rsid w:val="00F61EEA"/>
    <w:rsid w:val="00F64A21"/>
    <w:rsid w:val="00F64C7B"/>
    <w:rsid w:val="00F64F82"/>
    <w:rsid w:val="00F65699"/>
    <w:rsid w:val="00F662F1"/>
    <w:rsid w:val="00F66967"/>
    <w:rsid w:val="00F676DD"/>
    <w:rsid w:val="00F70811"/>
    <w:rsid w:val="00F70D8D"/>
    <w:rsid w:val="00F71486"/>
    <w:rsid w:val="00F724B3"/>
    <w:rsid w:val="00F72F41"/>
    <w:rsid w:val="00F74CBC"/>
    <w:rsid w:val="00F75A26"/>
    <w:rsid w:val="00F766B3"/>
    <w:rsid w:val="00F77D49"/>
    <w:rsid w:val="00F8021A"/>
    <w:rsid w:val="00F805F3"/>
    <w:rsid w:val="00F83FAD"/>
    <w:rsid w:val="00F87EBA"/>
    <w:rsid w:val="00F90A80"/>
    <w:rsid w:val="00F91BC0"/>
    <w:rsid w:val="00F93027"/>
    <w:rsid w:val="00F946BA"/>
    <w:rsid w:val="00F94788"/>
    <w:rsid w:val="00F952A0"/>
    <w:rsid w:val="00F965FC"/>
    <w:rsid w:val="00F96C7F"/>
    <w:rsid w:val="00F978C8"/>
    <w:rsid w:val="00FA25D4"/>
    <w:rsid w:val="00FA3830"/>
    <w:rsid w:val="00FA3C7F"/>
    <w:rsid w:val="00FA5B9C"/>
    <w:rsid w:val="00FA7736"/>
    <w:rsid w:val="00FA7920"/>
    <w:rsid w:val="00FB153F"/>
    <w:rsid w:val="00FB265D"/>
    <w:rsid w:val="00FB2690"/>
    <w:rsid w:val="00FB4068"/>
    <w:rsid w:val="00FB411D"/>
    <w:rsid w:val="00FB41E6"/>
    <w:rsid w:val="00FB45CF"/>
    <w:rsid w:val="00FB6C59"/>
    <w:rsid w:val="00FB74E2"/>
    <w:rsid w:val="00FC0060"/>
    <w:rsid w:val="00FC447B"/>
    <w:rsid w:val="00FC4CF7"/>
    <w:rsid w:val="00FC52AC"/>
    <w:rsid w:val="00FC54E6"/>
    <w:rsid w:val="00FC5EB3"/>
    <w:rsid w:val="00FC5FE0"/>
    <w:rsid w:val="00FC626F"/>
    <w:rsid w:val="00FC656F"/>
    <w:rsid w:val="00FC7B0B"/>
    <w:rsid w:val="00FD0763"/>
    <w:rsid w:val="00FD166D"/>
    <w:rsid w:val="00FD22A2"/>
    <w:rsid w:val="00FD29EE"/>
    <w:rsid w:val="00FD2F97"/>
    <w:rsid w:val="00FD5316"/>
    <w:rsid w:val="00FD5614"/>
    <w:rsid w:val="00FD72DC"/>
    <w:rsid w:val="00FE07CB"/>
    <w:rsid w:val="00FE0BE1"/>
    <w:rsid w:val="00FE12E5"/>
    <w:rsid w:val="00FE1DE9"/>
    <w:rsid w:val="00FE292D"/>
    <w:rsid w:val="00FE39C2"/>
    <w:rsid w:val="00FE3E67"/>
    <w:rsid w:val="00FE4B6D"/>
    <w:rsid w:val="00FE602C"/>
    <w:rsid w:val="00FE64AE"/>
    <w:rsid w:val="00FE6FD3"/>
    <w:rsid w:val="00FE7E62"/>
    <w:rsid w:val="00FF2C56"/>
    <w:rsid w:val="00FF3373"/>
    <w:rsid w:val="00FF3980"/>
    <w:rsid w:val="00FF657C"/>
    <w:rsid w:val="00FF6EE1"/>
    <w:rsid w:val="00FF7A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54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1" w:unhideWhenUsed="0"/>
    <w:lsdException w:name="footnote text" w:uiPriority="0" w:qFormat="1"/>
    <w:lsdException w:name="header" w:uiPriority="0" w:qFormat="1"/>
    <w:lsdException w:name="footer" w:qFormat="1"/>
    <w:lsdException w:name="caption" w:uiPriority="0" w:qFormat="1"/>
    <w:lsdException w:name="footnote reference" w:uiPriority="0"/>
    <w:lsdException w:name="page number" w:uiPriority="0"/>
    <w:lsdException w:name="endnote reference" w:uiPriority="0"/>
    <w:lsdException w:name="endnote text" w:uiPriority="0"/>
    <w:lsdException w:name="List" w:qFormat="1"/>
    <w:lsdException w:name="List Number" w:qFormat="1"/>
    <w:lsdException w:name="List Number 2" w:qFormat="1"/>
    <w:lsdException w:name="Title" w:semiHidden="0" w:uiPriority="0" w:unhideWhenUsed="0" w:qFormat="1"/>
    <w:lsdException w:name="Default Paragraph Font" w:uiPriority="1"/>
    <w:lsdException w:name="List Continue" w:qFormat="1"/>
    <w:lsdException w:name="Subtitle" w:semiHidden="0" w:uiPriority="11" w:unhideWhenUsed="0" w:qFormat="1"/>
    <w:lsdException w:name="Hyperlink" w:uiPriority="0" w:qFormat="1"/>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Outline List 1" w:uiPriority="0"/>
    <w:lsdException w:name="Table Classic 1" w:uiPriority="0"/>
    <w:lsdException w:name="Table Classic 2" w:uiPriority="0"/>
    <w:lsdException w:name="Table List 3" w:uiPriority="0"/>
    <w:lsdException w:name="Table Contemporary"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275002"/>
    <w:pPr>
      <w:spacing w:line="276" w:lineRule="auto"/>
    </w:pPr>
    <w:rPr>
      <w:rFonts w:ascii="Arial" w:hAnsi="Arial"/>
    </w:rPr>
  </w:style>
  <w:style w:type="paragraph" w:styleId="Heading1">
    <w:name w:val="heading 1"/>
    <w:basedOn w:val="Normal"/>
    <w:next w:val="Normal"/>
    <w:link w:val="Heading1Char"/>
    <w:qFormat/>
    <w:rsid w:val="009D6B46"/>
    <w:pPr>
      <w:spacing w:before="240"/>
      <w:outlineLvl w:val="0"/>
    </w:pPr>
    <w:rPr>
      <w:rFonts w:ascii="Lucida Fax" w:eastAsiaTheme="majorEastAsia" w:hAnsi="Lucida Fax" w:cstheme="majorBidi"/>
      <w:bCs/>
      <w:color w:val="51626F"/>
      <w:sz w:val="32"/>
      <w:szCs w:val="28"/>
    </w:rPr>
  </w:style>
  <w:style w:type="paragraph" w:styleId="Heading2">
    <w:name w:val="heading 2"/>
    <w:aliases w:val="AER Heading 2 (new)"/>
    <w:next w:val="Normal"/>
    <w:link w:val="Heading2Char"/>
    <w:qFormat/>
    <w:rsid w:val="004F6D0A"/>
    <w:pPr>
      <w:keepNext/>
      <w:spacing w:line="240" w:lineRule="atLeast"/>
      <w:outlineLvl w:val="1"/>
    </w:pPr>
    <w:rPr>
      <w:rFonts w:ascii="Arial" w:eastAsiaTheme="majorEastAsia" w:hAnsi="Arial" w:cstheme="majorBidi"/>
      <w:b/>
      <w:bCs/>
      <w:color w:val="51626F"/>
      <w:sz w:val="28"/>
      <w:szCs w:val="26"/>
    </w:rPr>
  </w:style>
  <w:style w:type="paragraph" w:styleId="Heading3">
    <w:name w:val="heading 3"/>
    <w:basedOn w:val="Normal"/>
    <w:next w:val="Normal"/>
    <w:link w:val="Heading3Char"/>
    <w:qFormat/>
    <w:rsid w:val="009D6B46"/>
    <w:pPr>
      <w:spacing w:before="240"/>
      <w:outlineLvl w:val="2"/>
    </w:pPr>
    <w:rPr>
      <w:rFonts w:eastAsiaTheme="majorEastAsia" w:cstheme="majorBidi"/>
      <w:b/>
      <w:bCs/>
      <w:color w:val="000000" w:themeColor="text1" w:themeShade="BF"/>
      <w:sz w:val="24"/>
    </w:rPr>
  </w:style>
  <w:style w:type="paragraph" w:styleId="Heading4">
    <w:name w:val="heading 4"/>
    <w:basedOn w:val="Normal"/>
    <w:next w:val="Normal"/>
    <w:link w:val="Heading4Char"/>
    <w:qFormat/>
    <w:rsid w:val="009D6B46"/>
    <w:pPr>
      <w:spacing w:before="240"/>
      <w:outlineLvl w:val="3"/>
    </w:pPr>
    <w:rPr>
      <w:rFonts w:eastAsiaTheme="majorEastAsia" w:cstheme="majorBidi"/>
      <w:b/>
      <w:bCs/>
      <w:i/>
      <w:iCs/>
      <w:color w:val="51626F"/>
      <w:sz w:val="24"/>
    </w:rPr>
  </w:style>
  <w:style w:type="paragraph" w:styleId="Heading5">
    <w:name w:val="heading 5"/>
    <w:next w:val="Normal"/>
    <w:link w:val="Heading5Char"/>
    <w:qFormat/>
    <w:rsid w:val="009D6B46"/>
    <w:pPr>
      <w:spacing w:line="240" w:lineRule="atLeast"/>
      <w:outlineLvl w:val="4"/>
    </w:pPr>
    <w:rPr>
      <w:rFonts w:ascii="Arial" w:eastAsiaTheme="majorEastAsia" w:hAnsi="Arial" w:cstheme="majorBidi"/>
      <w:b/>
      <w:color w:val="283037" w:themeColor="accent1" w:themeShade="7F"/>
    </w:rPr>
  </w:style>
  <w:style w:type="paragraph" w:styleId="Heading6">
    <w:name w:val="heading 6"/>
    <w:basedOn w:val="Normal"/>
    <w:next w:val="Normal"/>
    <w:link w:val="Heading6Char"/>
    <w:uiPriority w:val="9"/>
    <w:qFormat/>
    <w:rsid w:val="009D6B46"/>
    <w:pPr>
      <w:spacing w:before="240"/>
      <w:outlineLvl w:val="5"/>
    </w:pPr>
    <w:rPr>
      <w:rFonts w:eastAsiaTheme="majorEastAsia" w:cstheme="majorBidi"/>
      <w:b/>
      <w:i/>
      <w:iCs/>
    </w:rPr>
  </w:style>
  <w:style w:type="paragraph" w:styleId="Heading7">
    <w:name w:val="heading 7"/>
    <w:basedOn w:val="Normal"/>
    <w:next w:val="Normal"/>
    <w:link w:val="Heading7Char"/>
    <w:uiPriority w:val="9"/>
    <w:qFormat/>
    <w:rsid w:val="009D6B46"/>
    <w:pPr>
      <w:spacing w:before="240"/>
      <w:outlineLvl w:val="6"/>
    </w:pPr>
    <w:rPr>
      <w:rFonts w:eastAsiaTheme="majorEastAsia" w:cstheme="majorBidi"/>
      <w:i/>
      <w:iCs/>
      <w:color w:val="404040" w:themeColor="text1" w:themeTint="BF"/>
    </w:rPr>
  </w:style>
  <w:style w:type="paragraph" w:styleId="Heading8">
    <w:name w:val="heading 8"/>
    <w:basedOn w:val="Normal"/>
    <w:next w:val="Normal"/>
    <w:link w:val="Heading8Char"/>
    <w:qFormat/>
    <w:rsid w:val="009D6B46"/>
    <w:pPr>
      <w:spacing w:before="240"/>
      <w:outlineLvl w:val="7"/>
    </w:pPr>
    <w:rPr>
      <w:rFonts w:eastAsiaTheme="majorEastAsia" w:cstheme="majorBidi"/>
      <w:color w:val="51626F" w:themeColor="accent1"/>
      <w:szCs w:val="20"/>
    </w:rPr>
  </w:style>
  <w:style w:type="paragraph" w:styleId="Heading9">
    <w:name w:val="heading 9"/>
    <w:basedOn w:val="Normal"/>
    <w:next w:val="Normal"/>
    <w:link w:val="Heading9Char"/>
    <w:uiPriority w:val="9"/>
    <w:qFormat/>
    <w:rsid w:val="009D6B46"/>
    <w:pPr>
      <w:spacing w:before="240"/>
      <w:outlineLvl w:val="8"/>
    </w:pPr>
    <w:rPr>
      <w:rFonts w:eastAsiaTheme="majorEastAsia" w:cstheme="majorBidi"/>
      <w:i/>
      <w:iCs/>
      <w:color w:val="51626F"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6B46"/>
    <w:rPr>
      <w:rFonts w:ascii="Lucida Fax" w:eastAsiaTheme="majorEastAsia" w:hAnsi="Lucida Fax" w:cstheme="majorBidi"/>
      <w:bCs/>
      <w:color w:val="51626F"/>
      <w:sz w:val="32"/>
      <w:szCs w:val="28"/>
    </w:rPr>
  </w:style>
  <w:style w:type="character" w:customStyle="1" w:styleId="Heading2Char">
    <w:name w:val="Heading 2 Char"/>
    <w:aliases w:val="AER Heading 2 (new) Char"/>
    <w:basedOn w:val="DefaultParagraphFont"/>
    <w:link w:val="Heading2"/>
    <w:rsid w:val="004F6D0A"/>
    <w:rPr>
      <w:rFonts w:ascii="Arial" w:eastAsiaTheme="majorEastAsia" w:hAnsi="Arial" w:cstheme="majorBidi"/>
      <w:b/>
      <w:bCs/>
      <w:color w:val="51626F"/>
      <w:sz w:val="28"/>
      <w:szCs w:val="26"/>
    </w:rPr>
  </w:style>
  <w:style w:type="character" w:customStyle="1" w:styleId="Heading3Char">
    <w:name w:val="Heading 3 Char"/>
    <w:basedOn w:val="DefaultParagraphFont"/>
    <w:link w:val="Heading3"/>
    <w:rsid w:val="009D6B46"/>
    <w:rPr>
      <w:rFonts w:ascii="Arial" w:eastAsiaTheme="majorEastAsia" w:hAnsi="Arial" w:cstheme="majorBidi"/>
      <w:b/>
      <w:bCs/>
      <w:color w:val="000000" w:themeColor="text1" w:themeShade="BF"/>
      <w:sz w:val="24"/>
    </w:rPr>
  </w:style>
  <w:style w:type="character" w:customStyle="1" w:styleId="Heading4Char">
    <w:name w:val="Heading 4 Char"/>
    <w:basedOn w:val="DefaultParagraphFont"/>
    <w:link w:val="Heading4"/>
    <w:rsid w:val="009D6B46"/>
    <w:rPr>
      <w:rFonts w:ascii="Arial" w:eastAsiaTheme="majorEastAsia" w:hAnsi="Arial" w:cstheme="majorBidi"/>
      <w:b/>
      <w:bCs/>
      <w:i/>
      <w:iCs/>
      <w:color w:val="51626F"/>
      <w:sz w:val="24"/>
    </w:rPr>
  </w:style>
  <w:style w:type="character" w:customStyle="1" w:styleId="Heading5Char">
    <w:name w:val="Heading 5 Char"/>
    <w:basedOn w:val="DefaultParagraphFont"/>
    <w:link w:val="Heading5"/>
    <w:rsid w:val="009D6B46"/>
    <w:rPr>
      <w:rFonts w:ascii="Arial" w:eastAsiaTheme="majorEastAsia" w:hAnsi="Arial" w:cstheme="majorBidi"/>
      <w:b/>
      <w:color w:val="283037" w:themeColor="accent1" w:themeShade="7F"/>
    </w:rPr>
  </w:style>
  <w:style w:type="character" w:customStyle="1" w:styleId="Heading6Char">
    <w:name w:val="Heading 6 Char"/>
    <w:basedOn w:val="DefaultParagraphFont"/>
    <w:link w:val="Heading6"/>
    <w:uiPriority w:val="9"/>
    <w:rsid w:val="009D6B46"/>
    <w:rPr>
      <w:rFonts w:ascii="Arial" w:eastAsiaTheme="majorEastAsia" w:hAnsi="Arial" w:cstheme="majorBidi"/>
      <w:b/>
      <w:i/>
      <w:iCs/>
    </w:rPr>
  </w:style>
  <w:style w:type="paragraph" w:customStyle="1" w:styleId="Reporttitle">
    <w:name w:val="Report title"/>
    <w:basedOn w:val="Normal"/>
    <w:link w:val="ReporttitleChar"/>
    <w:qFormat/>
    <w:rsid w:val="005C26CC"/>
    <w:pPr>
      <w:spacing w:before="520" w:after="120"/>
    </w:pPr>
    <w:rPr>
      <w:rFonts w:ascii="Lucida Fax" w:hAnsi="Lucida Fax"/>
      <w:color w:val="4F2D7F"/>
      <w:sz w:val="72"/>
      <w:szCs w:val="56"/>
    </w:rPr>
  </w:style>
  <w:style w:type="character" w:customStyle="1" w:styleId="ReporttitleChar">
    <w:name w:val="Report title Char"/>
    <w:basedOn w:val="DefaultParagraphFont"/>
    <w:link w:val="Reporttitle"/>
    <w:rsid w:val="005C26CC"/>
    <w:rPr>
      <w:rFonts w:ascii="Lucida Fax" w:hAnsi="Lucida Fax"/>
      <w:color w:val="4F2D7F"/>
      <w:sz w:val="72"/>
      <w:szCs w:val="56"/>
    </w:rPr>
  </w:style>
  <w:style w:type="paragraph" w:customStyle="1" w:styleId="Chaptertitle">
    <w:name w:val="Chapter title"/>
    <w:basedOn w:val="Reporttitle"/>
    <w:link w:val="ChaptertitleChar"/>
    <w:qFormat/>
    <w:rsid w:val="00B87C39"/>
    <w:rPr>
      <w:sz w:val="52"/>
      <w:szCs w:val="52"/>
    </w:rPr>
  </w:style>
  <w:style w:type="character" w:customStyle="1" w:styleId="ChaptertitleChar">
    <w:name w:val="Chapter title Char"/>
    <w:basedOn w:val="ReporttitleChar"/>
    <w:link w:val="Chaptertitle"/>
    <w:rsid w:val="00B87C39"/>
    <w:rPr>
      <w:rFonts w:ascii="Lucida Fax" w:hAnsi="Lucida Fax"/>
      <w:color w:val="4F2D7F"/>
      <w:sz w:val="52"/>
      <w:szCs w:val="52"/>
    </w:rPr>
  </w:style>
  <w:style w:type="paragraph" w:customStyle="1" w:styleId="Tabletext">
    <w:name w:val="Table text"/>
    <w:basedOn w:val="Normal"/>
    <w:link w:val="TabletextChar"/>
    <w:uiPriority w:val="1"/>
    <w:qFormat/>
    <w:rsid w:val="00214FBA"/>
    <w:pPr>
      <w:spacing w:before="120" w:after="60"/>
    </w:pPr>
    <w:rPr>
      <w:sz w:val="18"/>
    </w:rPr>
  </w:style>
  <w:style w:type="paragraph" w:customStyle="1" w:styleId="Copyrighttext">
    <w:name w:val="Copyright text"/>
    <w:basedOn w:val="Normal"/>
    <w:link w:val="CopyrighttextChar"/>
    <w:uiPriority w:val="2"/>
    <w:qFormat/>
    <w:rsid w:val="00F952A0"/>
    <w:pPr>
      <w:spacing w:line="360" w:lineRule="auto"/>
      <w:contextualSpacing/>
    </w:pPr>
    <w:rPr>
      <w:color w:val="51626F" w:themeColor="accent1"/>
      <w:sz w:val="16"/>
      <w:szCs w:val="16"/>
    </w:rPr>
  </w:style>
  <w:style w:type="character" w:customStyle="1" w:styleId="CopyrighttextChar">
    <w:name w:val="Copyright text Char"/>
    <w:basedOn w:val="DefaultParagraphFont"/>
    <w:link w:val="Copyrighttext"/>
    <w:uiPriority w:val="2"/>
    <w:rsid w:val="00724A37"/>
    <w:rPr>
      <w:rFonts w:ascii="Arial" w:hAnsi="Arial"/>
      <w:color w:val="51626F" w:themeColor="accent1"/>
      <w:sz w:val="16"/>
      <w:szCs w:val="16"/>
    </w:rPr>
  </w:style>
  <w:style w:type="paragraph" w:styleId="TOC8">
    <w:name w:val="toc 8"/>
    <w:basedOn w:val="Normal"/>
    <w:next w:val="Normal"/>
    <w:rsid w:val="009F4940"/>
    <w:pPr>
      <w:tabs>
        <w:tab w:val="right" w:leader="dot" w:pos="9016"/>
      </w:tabs>
      <w:spacing w:after="100"/>
      <w:ind w:left="2977"/>
    </w:pPr>
    <w:rPr>
      <w:noProof/>
    </w:rPr>
  </w:style>
  <w:style w:type="paragraph" w:styleId="TOC9">
    <w:name w:val="toc 9"/>
    <w:basedOn w:val="Normal"/>
    <w:next w:val="Normal"/>
    <w:rsid w:val="009F4940"/>
    <w:pPr>
      <w:tabs>
        <w:tab w:val="right" w:leader="dot" w:pos="9016"/>
      </w:tabs>
      <w:spacing w:after="100"/>
      <w:ind w:left="3402"/>
    </w:pPr>
    <w:rPr>
      <w:noProof/>
    </w:rPr>
  </w:style>
  <w:style w:type="paragraph" w:customStyle="1" w:styleId="Numbered1">
    <w:name w:val="Numbered 1"/>
    <w:basedOn w:val="Heading1"/>
    <w:next w:val="Normal"/>
    <w:link w:val="Numbered1Char"/>
    <w:qFormat/>
    <w:rsid w:val="00085663"/>
    <w:pPr>
      <w:numPr>
        <w:numId w:val="15"/>
      </w:numPr>
      <w:ind w:left="680" w:hanging="680"/>
    </w:pPr>
  </w:style>
  <w:style w:type="paragraph" w:customStyle="1" w:styleId="Numbered11">
    <w:name w:val="Numbered 1.1"/>
    <w:basedOn w:val="Heading2"/>
    <w:next w:val="Normal"/>
    <w:qFormat/>
    <w:rsid w:val="00B17A1D"/>
    <w:pPr>
      <w:numPr>
        <w:ilvl w:val="1"/>
        <w:numId w:val="15"/>
      </w:numPr>
      <w:ind w:left="1021" w:hanging="1021"/>
    </w:pPr>
    <w:rPr>
      <w:rFonts w:cs="Arial"/>
      <w:b w:val="0"/>
    </w:rPr>
  </w:style>
  <w:style w:type="paragraph" w:customStyle="1" w:styleId="Numbered111">
    <w:name w:val="Numbered 1.1.1"/>
    <w:basedOn w:val="Heading3"/>
    <w:next w:val="Normal"/>
    <w:qFormat/>
    <w:rsid w:val="00B17A1D"/>
    <w:pPr>
      <w:numPr>
        <w:ilvl w:val="2"/>
        <w:numId w:val="15"/>
      </w:numPr>
      <w:ind w:left="1247" w:hanging="1247"/>
      <w:contextualSpacing/>
    </w:pPr>
  </w:style>
  <w:style w:type="paragraph" w:customStyle="1" w:styleId="Numbered1111">
    <w:name w:val="Numbered 1.1.1.1"/>
    <w:basedOn w:val="Heading4"/>
    <w:next w:val="Normal"/>
    <w:rsid w:val="00B17A1D"/>
    <w:pPr>
      <w:numPr>
        <w:ilvl w:val="3"/>
        <w:numId w:val="15"/>
      </w:numPr>
      <w:ind w:left="1474" w:hanging="1474"/>
    </w:pPr>
  </w:style>
  <w:style w:type="paragraph" w:customStyle="1" w:styleId="Numbered11111">
    <w:name w:val="Numbered 1.1.1.1.1"/>
    <w:basedOn w:val="Heading5"/>
    <w:next w:val="Normal"/>
    <w:uiPriority w:val="2"/>
    <w:rsid w:val="00B17A1D"/>
    <w:pPr>
      <w:numPr>
        <w:ilvl w:val="4"/>
        <w:numId w:val="15"/>
      </w:numPr>
      <w:ind w:left="1701" w:hanging="1701"/>
    </w:pPr>
  </w:style>
  <w:style w:type="paragraph" w:customStyle="1" w:styleId="Numbered111111">
    <w:name w:val="Numbered 1.1.1.1.1.1"/>
    <w:basedOn w:val="Heading6"/>
    <w:next w:val="Normal"/>
    <w:uiPriority w:val="2"/>
    <w:rsid w:val="00B17A1D"/>
    <w:pPr>
      <w:numPr>
        <w:ilvl w:val="5"/>
        <w:numId w:val="15"/>
      </w:numPr>
      <w:ind w:left="2155" w:hanging="2155"/>
    </w:pPr>
  </w:style>
  <w:style w:type="paragraph" w:styleId="Header">
    <w:name w:val="header"/>
    <w:basedOn w:val="Normal"/>
    <w:link w:val="HeaderChar"/>
    <w:unhideWhenUsed/>
    <w:qFormat/>
    <w:rsid w:val="008344F6"/>
    <w:pPr>
      <w:tabs>
        <w:tab w:val="center" w:pos="4513"/>
        <w:tab w:val="right" w:pos="9026"/>
      </w:tabs>
      <w:spacing w:after="120"/>
    </w:pPr>
    <w:rPr>
      <w:color w:val="51626F" w:themeColor="accent1"/>
      <w:sz w:val="18"/>
    </w:rPr>
  </w:style>
  <w:style w:type="character" w:customStyle="1" w:styleId="HeaderChar">
    <w:name w:val="Header Char"/>
    <w:basedOn w:val="DefaultParagraphFont"/>
    <w:link w:val="Header"/>
    <w:uiPriority w:val="99"/>
    <w:rsid w:val="008344F6"/>
    <w:rPr>
      <w:rFonts w:ascii="Arial" w:hAnsi="Arial"/>
      <w:color w:val="51626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584D8F"/>
    <w:pPr>
      <w:spacing w:before="240" w:after="120"/>
    </w:pPr>
    <w:rPr>
      <w:b/>
      <w:szCs w:val="20"/>
    </w:rPr>
  </w:style>
  <w:style w:type="character" w:customStyle="1" w:styleId="TabletitleChar">
    <w:name w:val="Table title Char"/>
    <w:basedOn w:val="DefaultParagraphFont"/>
    <w:link w:val="Tabletitle"/>
    <w:rsid w:val="00584D8F"/>
    <w:rPr>
      <w:rFonts w:ascii="Arial" w:hAnsi="Arial"/>
      <w:b/>
      <w:szCs w:val="20"/>
    </w:rPr>
  </w:style>
  <w:style w:type="paragraph" w:customStyle="1" w:styleId="Charttitle">
    <w:name w:val="Chart title"/>
    <w:basedOn w:val="Tabletitle"/>
    <w:qFormat/>
    <w:rsid w:val="005C26CC"/>
    <w:rPr>
      <w:sz w:val="24"/>
    </w:rPr>
  </w:style>
  <w:style w:type="paragraph" w:styleId="EndnoteText">
    <w:name w:val="endnote text"/>
    <w:basedOn w:val="Normal"/>
    <w:link w:val="EndnoteTextChar"/>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EA3D42"/>
    <w:pPr>
      <w:spacing w:after="120"/>
      <w:contextualSpacing/>
    </w:pPr>
    <w:rPr>
      <w:rFonts w:ascii="Lucida Fax" w:hAnsi="Lucida Fax"/>
      <w:b/>
      <w:color w:val="DC5034"/>
      <w:sz w:val="24"/>
      <w:szCs w:val="24"/>
    </w:rPr>
  </w:style>
  <w:style w:type="character" w:customStyle="1" w:styleId="PullquoteheadingChar">
    <w:name w:val="Pull quote heading Char"/>
    <w:basedOn w:val="DefaultParagraphFont"/>
    <w:link w:val="Pullquoteheading"/>
    <w:uiPriority w:val="1"/>
    <w:rsid w:val="00AE1BF1"/>
    <w:rPr>
      <w:rFonts w:ascii="Lucida Fax" w:hAnsi="Lucida Fax"/>
      <w:b/>
      <w:color w:val="DC5034"/>
      <w:sz w:val="24"/>
      <w:szCs w:val="24"/>
    </w:rPr>
  </w:style>
  <w:style w:type="paragraph" w:customStyle="1" w:styleId="Pullquotetext">
    <w:name w:val="Pull quote text"/>
    <w:link w:val="PullquotetextChar"/>
    <w:uiPriority w:val="1"/>
    <w:rsid w:val="00AF0DD2"/>
    <w:pPr>
      <w:spacing w:before="120"/>
    </w:pPr>
    <w:rPr>
      <w:rFonts w:ascii="Lucida Fax" w:hAnsi="Lucida Fax"/>
      <w:color w:val="DC5034"/>
      <w:szCs w:val="24"/>
    </w:rPr>
  </w:style>
  <w:style w:type="character" w:customStyle="1" w:styleId="PullquotetextChar">
    <w:name w:val="Pull quote text Char"/>
    <w:basedOn w:val="PullquoteheadingChar"/>
    <w:link w:val="Pullquotetext"/>
    <w:uiPriority w:val="1"/>
    <w:rsid w:val="00AE1BF1"/>
    <w:rPr>
      <w:rFonts w:ascii="Lucida Fax" w:hAnsi="Lucida Fax"/>
      <w:b w:val="0"/>
      <w:color w:val="DC5034"/>
      <w:sz w:val="24"/>
      <w:szCs w:val="24"/>
    </w:rPr>
  </w:style>
  <w:style w:type="paragraph" w:customStyle="1" w:styleId="Note">
    <w:name w:val="Note"/>
    <w:basedOn w:val="Normal"/>
    <w:link w:val="NoteChar"/>
    <w:qFormat/>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customStyle="1" w:styleId="Footnotes">
    <w:name w:val="Footnotes"/>
    <w:basedOn w:val="FootnoteText"/>
    <w:link w:val="FootnotesChar"/>
    <w:uiPriority w:val="4"/>
    <w:semiHidden/>
    <w:qFormat/>
    <w:rsid w:val="00B8080B"/>
  </w:style>
  <w:style w:type="character" w:customStyle="1" w:styleId="FootnotesChar">
    <w:name w:val="Footnotes Char"/>
    <w:basedOn w:val="DefaultParagraphFont"/>
    <w:link w:val="Footnotes"/>
    <w:uiPriority w:val="4"/>
    <w:semiHidden/>
    <w:rsid w:val="00FE39C2"/>
    <w:rPr>
      <w:rFonts w:ascii="Arial" w:hAnsi="Arial"/>
      <w:sz w:val="20"/>
      <w:szCs w:val="20"/>
    </w:rPr>
  </w:style>
  <w:style w:type="paragraph" w:styleId="Quote">
    <w:name w:val="Quote"/>
    <w:basedOn w:val="Normal"/>
    <w:next w:val="Normal"/>
    <w:link w:val="QuoteChar"/>
    <w:uiPriority w:val="29"/>
    <w:rsid w:val="001D055E"/>
    <w:pPr>
      <w:ind w:left="737"/>
    </w:pPr>
    <w:rPr>
      <w:i/>
      <w:iCs/>
      <w:color w:val="000000" w:themeColor="text1"/>
    </w:rPr>
  </w:style>
  <w:style w:type="character" w:customStyle="1" w:styleId="QuoteChar">
    <w:name w:val="Quote Char"/>
    <w:basedOn w:val="DefaultParagraphFont"/>
    <w:link w:val="Quote"/>
    <w:uiPriority w:val="29"/>
    <w:rsid w:val="001D055E"/>
    <w:rPr>
      <w:rFonts w:ascii="Arial" w:hAnsi="Arial"/>
      <w:i/>
      <w:iCs/>
      <w:color w:val="000000" w:themeColor="text1"/>
    </w:rPr>
  </w:style>
  <w:style w:type="paragraph" w:customStyle="1" w:styleId="Bulletpoint">
    <w:name w:val="Bullet point"/>
    <w:basedOn w:val="ListBullet"/>
    <w:qFormat/>
    <w:rsid w:val="00FE64AE"/>
    <w:pPr>
      <w:numPr>
        <w:numId w:val="2"/>
      </w:numPr>
      <w:ind w:left="357" w:hanging="357"/>
    </w:pPr>
    <w:rPr>
      <w:rFonts w:cs="Times New Roman"/>
    </w:rPr>
  </w:style>
  <w:style w:type="paragraph" w:styleId="ListBullet">
    <w:name w:val="List Bullet"/>
    <w:basedOn w:val="Normal"/>
    <w:uiPriority w:val="99"/>
    <w:unhideWhenUsed/>
    <w:rsid w:val="008033C4"/>
    <w:pPr>
      <w:numPr>
        <w:numId w:val="13"/>
      </w:numPr>
      <w:spacing w:before="120"/>
      <w:ind w:left="357" w:hanging="357"/>
    </w:pPr>
  </w:style>
  <w:style w:type="paragraph" w:customStyle="1" w:styleId="Bulletpoint2">
    <w:name w:val="Bullet point 2"/>
    <w:basedOn w:val="ListBullet2"/>
    <w:uiPriority w:val="1"/>
    <w:qFormat/>
    <w:rsid w:val="008033C4"/>
    <w:pPr>
      <w:numPr>
        <w:numId w:val="12"/>
      </w:numPr>
      <w:ind w:left="998" w:hanging="357"/>
    </w:pPr>
  </w:style>
  <w:style w:type="paragraph" w:styleId="ListNumber">
    <w:name w:val="List Number"/>
    <w:basedOn w:val="Normal"/>
    <w:uiPriority w:val="99"/>
    <w:qFormat/>
    <w:rsid w:val="008033C4"/>
    <w:pPr>
      <w:numPr>
        <w:numId w:val="7"/>
      </w:numPr>
      <w:spacing w:before="120"/>
      <w:ind w:left="357" w:hanging="357"/>
    </w:pPr>
    <w:rPr>
      <w:color w:val="000000" w:themeColor="text1" w:themeShade="BF"/>
    </w:rPr>
  </w:style>
  <w:style w:type="paragraph" w:styleId="ListBullet2">
    <w:name w:val="List Bullet 2"/>
    <w:basedOn w:val="Normal"/>
    <w:uiPriority w:val="99"/>
    <w:unhideWhenUsed/>
    <w:rsid w:val="008033C4"/>
    <w:pPr>
      <w:numPr>
        <w:numId w:val="3"/>
      </w:numPr>
      <w:spacing w:before="120"/>
      <w:ind w:left="641" w:hanging="357"/>
    </w:pPr>
  </w:style>
  <w:style w:type="paragraph" w:styleId="TOCHeading">
    <w:name w:val="TOC Heading"/>
    <w:basedOn w:val="Normal"/>
    <w:next w:val="Normal"/>
    <w:uiPriority w:val="39"/>
    <w:qFormat/>
    <w:rsid w:val="00E04818"/>
    <w:pPr>
      <w:spacing w:before="480" w:after="120"/>
    </w:pPr>
    <w:rPr>
      <w:rFonts w:ascii="Lucida Fax" w:eastAsiaTheme="majorEastAsia" w:hAnsi="Lucida Fax" w:cstheme="majorBidi"/>
      <w:bCs/>
      <w:color w:val="51626F"/>
      <w:sz w:val="32"/>
      <w:szCs w:val="28"/>
      <w:lang w:val="en-US" w:eastAsia="ja-JP"/>
    </w:rPr>
  </w:style>
  <w:style w:type="paragraph" w:styleId="ListNumber2">
    <w:name w:val="List Number 2"/>
    <w:aliases w:val="List alphabet"/>
    <w:next w:val="Normal"/>
    <w:uiPriority w:val="99"/>
    <w:qFormat/>
    <w:rsid w:val="008033C4"/>
    <w:pPr>
      <w:numPr>
        <w:numId w:val="8"/>
      </w:numPr>
      <w:spacing w:before="120"/>
      <w:ind w:left="357" w:hanging="357"/>
    </w:pPr>
    <w:rPr>
      <w:rFonts w:ascii="Arial" w:hAnsi="Arial"/>
    </w:rPr>
  </w:style>
  <w:style w:type="character" w:styleId="Hyperlink">
    <w:name w:val="Hyperlink"/>
    <w:basedOn w:val="DefaultParagraphFont"/>
    <w:qFormat/>
    <w:rsid w:val="00BE1F1B"/>
    <w:rPr>
      <w:rFonts w:ascii="Arial" w:hAnsi="Arial"/>
      <w:color w:val="0000FF"/>
      <w:sz w:val="22"/>
      <w:u w:val="single"/>
    </w:rPr>
  </w:style>
  <w:style w:type="paragraph" w:styleId="BalloonText">
    <w:name w:val="Balloon Text"/>
    <w:basedOn w:val="Normal"/>
    <w:link w:val="BalloonTextChar"/>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A57D04"/>
    <w:pPr>
      <w:tabs>
        <w:tab w:val="center" w:pos="4513"/>
        <w:tab w:val="right" w:pos="9026"/>
      </w:tabs>
      <w:spacing w:after="120"/>
    </w:pPr>
    <w:rPr>
      <w:color w:val="51626F" w:themeColor="accent1"/>
      <w:sz w:val="18"/>
    </w:rPr>
  </w:style>
  <w:style w:type="character" w:customStyle="1" w:styleId="FooterChar">
    <w:name w:val="Footer Char"/>
    <w:basedOn w:val="DefaultParagraphFont"/>
    <w:link w:val="Footer"/>
    <w:uiPriority w:val="99"/>
    <w:rsid w:val="00A57D04"/>
    <w:rPr>
      <w:rFonts w:ascii="Arial" w:hAnsi="Arial"/>
      <w:color w:val="51626F" w:themeColor="accent1"/>
      <w:sz w:val="18"/>
    </w:rPr>
  </w:style>
  <w:style w:type="paragraph" w:styleId="ListParagraph">
    <w:name w:val="List Paragraph"/>
    <w:basedOn w:val="Normal"/>
    <w:uiPriority w:val="34"/>
    <w:qFormat/>
    <w:rsid w:val="008033C4"/>
    <w:pPr>
      <w:numPr>
        <w:numId w:val="14"/>
      </w:numPr>
      <w:spacing w:before="120"/>
      <w:ind w:left="714" w:hanging="357"/>
    </w:pPr>
  </w:style>
  <w:style w:type="character" w:customStyle="1" w:styleId="Heading7Char">
    <w:name w:val="Heading 7 Char"/>
    <w:basedOn w:val="DefaultParagraphFont"/>
    <w:link w:val="Heading7"/>
    <w:uiPriority w:val="9"/>
    <w:rsid w:val="009D6B46"/>
    <w:rPr>
      <w:rFonts w:ascii="Arial" w:eastAsiaTheme="majorEastAsia" w:hAnsi="Arial" w:cstheme="majorBidi"/>
      <w:i/>
      <w:iCs/>
      <w:color w:val="404040" w:themeColor="text1" w:themeTint="BF"/>
    </w:rPr>
  </w:style>
  <w:style w:type="character" w:customStyle="1" w:styleId="Heading8Char">
    <w:name w:val="Heading 8 Char"/>
    <w:basedOn w:val="DefaultParagraphFont"/>
    <w:link w:val="Heading8"/>
    <w:rsid w:val="009D6B46"/>
    <w:rPr>
      <w:rFonts w:ascii="Arial" w:eastAsiaTheme="majorEastAsia" w:hAnsi="Arial" w:cstheme="majorBidi"/>
      <w:color w:val="51626F" w:themeColor="accent1"/>
      <w:szCs w:val="20"/>
    </w:rPr>
  </w:style>
  <w:style w:type="character" w:customStyle="1" w:styleId="Heading9Char">
    <w:name w:val="Heading 9 Char"/>
    <w:basedOn w:val="DefaultParagraphFont"/>
    <w:link w:val="Heading9"/>
    <w:uiPriority w:val="9"/>
    <w:rsid w:val="009D6B46"/>
    <w:rPr>
      <w:rFonts w:ascii="Arial" w:eastAsiaTheme="majorEastAsia" w:hAnsi="Arial" w:cstheme="majorBidi"/>
      <w:i/>
      <w:iCs/>
      <w:color w:val="51626F" w:themeColor="accent1"/>
      <w:szCs w:val="20"/>
    </w:rPr>
  </w:style>
  <w:style w:type="paragraph" w:customStyle="1" w:styleId="Numbered1111111">
    <w:name w:val="Numbered 1.1.1.1.1.1.1"/>
    <w:basedOn w:val="Heading7"/>
    <w:next w:val="Normal"/>
    <w:uiPriority w:val="2"/>
    <w:rsid w:val="00B17A1D"/>
    <w:pPr>
      <w:numPr>
        <w:ilvl w:val="6"/>
        <w:numId w:val="15"/>
      </w:numPr>
      <w:ind w:left="2381" w:hanging="2381"/>
    </w:pPr>
  </w:style>
  <w:style w:type="paragraph" w:customStyle="1" w:styleId="Numbered11111111">
    <w:name w:val="Numbered 1.1.1.1.1.1.1.1"/>
    <w:basedOn w:val="Heading8"/>
    <w:next w:val="Normal"/>
    <w:uiPriority w:val="2"/>
    <w:rsid w:val="00B17A1D"/>
    <w:pPr>
      <w:numPr>
        <w:ilvl w:val="7"/>
        <w:numId w:val="15"/>
      </w:numPr>
      <w:ind w:left="2608" w:hanging="2608"/>
    </w:pPr>
  </w:style>
  <w:style w:type="table" w:styleId="TableGrid">
    <w:name w:val="Table Grid"/>
    <w:aliases w:val="ACCC Table"/>
    <w:basedOn w:val="TableNormal"/>
    <w:rsid w:val="00C53B5A"/>
    <w:pPr>
      <w:spacing w:before="60" w:after="60"/>
    </w:pPr>
    <w:rPr>
      <w:rFonts w:ascii="Arial" w:hAnsi="Arial"/>
      <w:sz w:val="20"/>
    </w:rPr>
    <w:tblPr>
      <w:tblInd w:w="0" w:type="dxa"/>
      <w:tblBorders>
        <w:top w:val="single" w:sz="4" w:space="0" w:color="BFBFBF" w:themeColor="background1" w:themeShade="BF"/>
        <w:bottom w:val="single" w:sz="4" w:space="0" w:color="BFBFBF" w:themeColor="background1" w:themeShade="BF"/>
      </w:tblBorders>
      <w:tblCellMar>
        <w:top w:w="0" w:type="dxa"/>
        <w:left w:w="108" w:type="dxa"/>
        <w:bottom w:w="0" w:type="dxa"/>
        <w:right w:w="108" w:type="dxa"/>
      </w:tblCellMar>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Ind w:w="0" w:type="dxa"/>
      <w:tbl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blBorders>
      <w:tblCellMar>
        <w:top w:w="0" w:type="dxa"/>
        <w:left w:w="108" w:type="dxa"/>
        <w:bottom w:w="0" w:type="dxa"/>
        <w:right w:w="108" w:type="dxa"/>
      </w:tblCellMar>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A871F4"/>
    <w:pPr>
      <w:spacing w:before="0"/>
    </w:pPr>
    <w:rPr>
      <w:color w:val="3C4953" w:themeColor="accent1" w:themeShade="BF"/>
    </w:rPr>
    <w:tblPr>
      <w:tblStyleRowBandSize w:val="1"/>
      <w:tblStyleColBandSize w:val="1"/>
      <w:tblInd w:w="0" w:type="dxa"/>
      <w:tblBorders>
        <w:top w:val="single" w:sz="8" w:space="0" w:color="51626F" w:themeColor="accent1"/>
        <w:bottom w:val="single" w:sz="8" w:space="0" w:color="51626F"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la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DD" w:themeFill="accent1" w:themeFillTint="3F"/>
      </w:tcPr>
    </w:tblStylePr>
    <w:tblStylePr w:type="band1Horz">
      <w:tblPr/>
      <w:tcPr>
        <w:tcBorders>
          <w:left w:val="nil"/>
          <w:right w:val="nil"/>
          <w:insideH w:val="nil"/>
          <w:insideV w:val="nil"/>
        </w:tcBorders>
        <w:shd w:val="clear" w:color="auto" w:fill="D1D8DD"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Ind w:w="0" w:type="dxa"/>
      <w:tbl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blBorders>
      <w:tblCellMar>
        <w:top w:w="0" w:type="dxa"/>
        <w:left w:w="108" w:type="dxa"/>
        <w:bottom w:w="0" w:type="dxa"/>
        <w:right w:w="108" w:type="dxa"/>
      </w:tblCellMar>
    </w:tblPr>
    <w:tcPr>
      <w:vAlign w:val="center"/>
    </w:tcPr>
    <w:tblStylePr w:type="fir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l2br w:val="nil"/>
          <w:tr2bl w:val="nil"/>
        </w:tcBorders>
      </w:tcPr>
    </w:tblStylePr>
    <w:tblStylePr w:type="la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7192" w:themeColor="accent3" w:themeShade="BF"/>
    </w:rPr>
    <w:tblPr>
      <w:tblStyleRowBandSize w:val="1"/>
      <w:tblStyleColBandSize w:val="1"/>
      <w:tblInd w:w="0" w:type="dxa"/>
      <w:tblBorders>
        <w:top w:val="single" w:sz="8" w:space="0" w:color="0098C3" w:themeColor="accent3"/>
        <w:bottom w:val="single" w:sz="8" w:space="0" w:color="0098C3"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la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EDFF" w:themeFill="accent3" w:themeFillTint="3F"/>
      </w:tcPr>
    </w:tblStylePr>
    <w:tblStylePr w:type="band1Horz">
      <w:tblPr/>
      <w:tcPr>
        <w:tcBorders>
          <w:left w:val="nil"/>
          <w:right w:val="nil"/>
          <w:insideH w:val="nil"/>
          <w:insideV w:val="nil"/>
        </w:tcBorders>
        <w:shd w:val="clear" w:color="auto" w:fill="B1ED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Ind w:w="0" w:type="dxa"/>
      <w:tblBorders>
        <w:top w:val="single" w:sz="8" w:space="0" w:color="DC5034" w:themeColor="accent6"/>
        <w:left w:val="single" w:sz="8" w:space="0" w:color="DC5034" w:themeColor="accent6"/>
        <w:bottom w:val="single" w:sz="8" w:space="0" w:color="DC5034" w:themeColor="accent6"/>
        <w:right w:val="single" w:sz="8" w:space="0" w:color="DC5034" w:themeColor="accent6"/>
        <w:insideH w:val="single" w:sz="8" w:space="0" w:color="DC5034" w:themeColor="accent6"/>
        <w:insideV w:val="single" w:sz="8" w:space="0" w:color="DC5034"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18" w:space="0" w:color="DC5034" w:themeColor="accent6"/>
          <w:right w:val="single" w:sz="8" w:space="0" w:color="DC5034" w:themeColor="accent6"/>
          <w:insideH w:val="nil"/>
          <w:insideV w:val="single" w:sz="8" w:space="0" w:color="DC503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insideH w:val="nil"/>
          <w:insideV w:val="single" w:sz="8" w:space="0" w:color="DC503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shd w:val="clear" w:color="auto" w:fill="F6D3CC" w:themeFill="accent6" w:themeFillTint="3F"/>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shd w:val="clear" w:color="auto" w:fill="F6D3CC" w:themeFill="accent6" w:themeFillTint="3F"/>
      </w:tcPr>
    </w:tblStylePr>
    <w:tblStylePr w:type="band2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Ind w:w="0" w:type="dxa"/>
      <w:tbl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single" w:sz="8" w:space="0" w:color="758A9A"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shd w:val="clear" w:color="auto" w:fill="51626F" w:themeFill="accent1"/>
      </w:tcPr>
    </w:tblStylePr>
    <w:tblStylePr w:type="lastRow">
      <w:pPr>
        <w:spacing w:before="0" w:after="0" w:line="240" w:lineRule="auto"/>
      </w:pPr>
      <w:rPr>
        <w:b/>
        <w:bCs/>
      </w:rPr>
      <w:tblPr/>
      <w:tcPr>
        <w:tcBorders>
          <w:top w:val="double" w:sz="6"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8DD" w:themeFill="accent1" w:themeFillTint="3F"/>
      </w:tcPr>
    </w:tblStylePr>
    <w:tblStylePr w:type="band1Horz">
      <w:tblPr/>
      <w:tcPr>
        <w:tcBorders>
          <w:insideH w:val="nil"/>
          <w:insideV w:val="nil"/>
        </w:tcBorders>
        <w:shd w:val="clear" w:color="auto" w:fill="D1D8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Ind w:w="0" w:type="dxa"/>
      <w:tbl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single" w:sz="8" w:space="0" w:color="7643BB"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shd w:val="clear" w:color="auto" w:fill="4F2D7D" w:themeFill="accent2"/>
      </w:tcPr>
    </w:tblStylePr>
    <w:tblStylePr w:type="lastRow">
      <w:pPr>
        <w:spacing w:before="0" w:after="0" w:line="240" w:lineRule="auto"/>
      </w:pPr>
      <w:rPr>
        <w:b/>
        <w:bCs/>
      </w:rPr>
      <w:tblPr/>
      <w:tcPr>
        <w:tcBorders>
          <w:top w:val="double" w:sz="6"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C1E8" w:themeFill="accent2" w:themeFillTint="3F"/>
      </w:tcPr>
    </w:tblStylePr>
    <w:tblStylePr w:type="band1Horz">
      <w:tblPr/>
      <w:tcPr>
        <w:tcBorders>
          <w:insideH w:val="nil"/>
          <w:insideV w:val="nil"/>
        </w:tcBorders>
        <w:shd w:val="clear" w:color="auto" w:fill="D1C1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Ind w:w="0" w:type="dxa"/>
      <w:tbl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single" w:sz="8" w:space="0" w:color="13CAFF"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shd w:val="clear" w:color="auto" w:fill="0098C3" w:themeFill="accent3"/>
      </w:tcPr>
    </w:tblStylePr>
    <w:tblStylePr w:type="lastRow">
      <w:pPr>
        <w:spacing w:before="0" w:after="0" w:line="240" w:lineRule="auto"/>
      </w:pPr>
      <w:rPr>
        <w:b/>
        <w:bCs/>
      </w:rPr>
      <w:tblPr/>
      <w:tcPr>
        <w:tcBorders>
          <w:top w:val="double" w:sz="6"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1EDFF" w:themeFill="accent3" w:themeFillTint="3F"/>
      </w:tcPr>
    </w:tblStylePr>
    <w:tblStylePr w:type="band1Horz">
      <w:tblPr/>
      <w:tcPr>
        <w:tcBorders>
          <w:insideH w:val="nil"/>
          <w:insideV w:val="nil"/>
        </w:tcBorders>
        <w:shd w:val="clear" w:color="auto" w:fill="B1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Ind w:w="0" w:type="dxa"/>
      <w:tbl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single" w:sz="8" w:space="0" w:color="B7DAF0"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shd w:val="clear" w:color="auto" w:fill="A0CFEB" w:themeFill="accent4"/>
      </w:tcPr>
    </w:tblStylePr>
    <w:tblStylePr w:type="lastRow">
      <w:pPr>
        <w:spacing w:before="0" w:after="0" w:line="240" w:lineRule="auto"/>
      </w:pPr>
      <w:rPr>
        <w:b/>
        <w:bCs/>
      </w:rPr>
      <w:tblPr/>
      <w:tcPr>
        <w:tcBorders>
          <w:top w:val="double" w:sz="6"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3FA" w:themeFill="accent4" w:themeFillTint="3F"/>
      </w:tcPr>
    </w:tblStylePr>
    <w:tblStylePr w:type="band1Horz">
      <w:tblPr/>
      <w:tcPr>
        <w:tcBorders>
          <w:insideH w:val="nil"/>
          <w:insideV w:val="nil"/>
        </w:tcBorders>
        <w:shd w:val="clear" w:color="auto" w:fill="E7F3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Ind w:w="0" w:type="dxa"/>
      <w:tbl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single" w:sz="8" w:space="0" w:color="FC220E"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shd w:val="clear" w:color="auto" w:fill="B71202" w:themeFill="accent5"/>
      </w:tcPr>
    </w:tblStylePr>
    <w:tblStylePr w:type="lastRow">
      <w:pPr>
        <w:spacing w:before="0" w:after="0" w:line="240" w:lineRule="auto"/>
      </w:pPr>
      <w:rPr>
        <w:b/>
        <w:bCs/>
      </w:rPr>
      <w:tblPr/>
      <w:tcPr>
        <w:tcBorders>
          <w:top w:val="double" w:sz="6"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B6AF" w:themeFill="accent5" w:themeFillTint="3F"/>
      </w:tcPr>
    </w:tblStylePr>
    <w:tblStylePr w:type="band1Horz">
      <w:tblPr/>
      <w:tcPr>
        <w:tcBorders>
          <w:insideH w:val="nil"/>
          <w:insideV w:val="nil"/>
        </w:tcBorders>
        <w:shd w:val="clear" w:color="auto" w:fill="FEB6AF"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A871F4"/>
    <w:pPr>
      <w:spacing w:before="0"/>
    </w:pPr>
    <w:rPr>
      <w:color w:val="880D01" w:themeColor="accent5" w:themeShade="BF"/>
    </w:rPr>
    <w:tblPr>
      <w:tblStyleRowBandSize w:val="1"/>
      <w:tblStyleColBandSize w:val="1"/>
      <w:tblInd w:w="0" w:type="dxa"/>
      <w:tblBorders>
        <w:top w:val="single" w:sz="8" w:space="0" w:color="B71202" w:themeColor="accent5"/>
        <w:bottom w:val="single" w:sz="8" w:space="0" w:color="B71202"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la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B6AF" w:themeFill="accent5" w:themeFillTint="3F"/>
      </w:tcPr>
    </w:tblStylePr>
    <w:tblStylePr w:type="band1Horz">
      <w:tblPr/>
      <w:tcPr>
        <w:tcBorders>
          <w:left w:val="nil"/>
          <w:right w:val="nil"/>
          <w:insideH w:val="nil"/>
          <w:insideV w:val="nil"/>
        </w:tcBorders>
        <w:shd w:val="clear" w:color="auto" w:fill="FEB6AF"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Ind w:w="0" w:type="dxa"/>
      <w:tblBorders>
        <w:top w:val="single" w:sz="8" w:space="0" w:color="0098C3" w:themeColor="accent3"/>
        <w:left w:val="single" w:sz="8" w:space="0" w:color="0098C3" w:themeColor="accent3"/>
        <w:bottom w:val="single" w:sz="8" w:space="0" w:color="0098C3" w:themeColor="accent3"/>
        <w:right w:val="single" w:sz="8" w:space="0" w:color="0098C3" w:themeColor="accent3"/>
        <w:insideH w:val="single" w:sz="8" w:space="0" w:color="0098C3" w:themeColor="accent3"/>
        <w:insideV w:val="single" w:sz="8" w:space="0" w:color="0098C3"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18" w:space="0" w:color="0098C3" w:themeColor="accent3"/>
          <w:right w:val="single" w:sz="8" w:space="0" w:color="0098C3" w:themeColor="accent3"/>
          <w:insideH w:val="nil"/>
          <w:insideV w:val="single" w:sz="8" w:space="0" w:color="0098C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insideH w:val="nil"/>
          <w:insideV w:val="single" w:sz="8" w:space="0" w:color="0098C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shd w:val="clear" w:color="auto" w:fill="B1EDFF" w:themeFill="accent3" w:themeFillTint="3F"/>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shd w:val="clear" w:color="auto" w:fill="B1EDFF" w:themeFill="accent3" w:themeFillTint="3F"/>
      </w:tcPr>
    </w:tblStylePr>
    <w:tblStylePr w:type="band2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9F4940"/>
    <w:pPr>
      <w:tabs>
        <w:tab w:val="left" w:pos="426"/>
        <w:tab w:val="right" w:leader="dot" w:pos="9016"/>
      </w:tabs>
      <w:spacing w:after="100"/>
    </w:pPr>
    <w:rPr>
      <w:noProof/>
      <w:lang w:val="en-US" w:eastAsia="ja-JP"/>
    </w:rPr>
  </w:style>
  <w:style w:type="paragraph" w:styleId="TOC2">
    <w:name w:val="toc 2"/>
    <w:basedOn w:val="Normal"/>
    <w:next w:val="Normal"/>
    <w:uiPriority w:val="39"/>
    <w:qFormat/>
    <w:rsid w:val="009F4940"/>
    <w:pPr>
      <w:tabs>
        <w:tab w:val="left" w:pos="880"/>
        <w:tab w:val="right" w:leader="dot" w:pos="9016"/>
      </w:tabs>
      <w:spacing w:after="100"/>
      <w:ind w:left="425"/>
    </w:pPr>
    <w:rPr>
      <w:noProof/>
    </w:rPr>
  </w:style>
  <w:style w:type="paragraph" w:styleId="TOC3">
    <w:name w:val="toc 3"/>
    <w:basedOn w:val="Normal"/>
    <w:next w:val="Normal"/>
    <w:uiPriority w:val="39"/>
    <w:qFormat/>
    <w:rsid w:val="009F4940"/>
    <w:pPr>
      <w:tabs>
        <w:tab w:val="left" w:pos="1760"/>
        <w:tab w:val="right" w:leader="dot" w:pos="9016"/>
      </w:tabs>
      <w:spacing w:after="100"/>
      <w:ind w:left="851"/>
    </w:pPr>
    <w:rPr>
      <w:noProof/>
    </w:rPr>
  </w:style>
  <w:style w:type="paragraph" w:styleId="Title">
    <w:name w:val="Title"/>
    <w:basedOn w:val="Normal"/>
    <w:next w:val="Normal"/>
    <w:link w:val="TitleChar"/>
    <w:qFormat/>
    <w:rsid w:val="000E2946"/>
    <w:pPr>
      <w:spacing w:before="100" w:beforeAutospacing="1" w:after="120"/>
      <w:contextualSpacing/>
      <w:outlineLvl w:val="0"/>
    </w:pPr>
    <w:rPr>
      <w:rFonts w:eastAsiaTheme="majorEastAsia" w:cstheme="majorBidi"/>
      <w:b/>
      <w:spacing w:val="5"/>
      <w:kern w:val="28"/>
      <w:sz w:val="44"/>
      <w:szCs w:val="52"/>
    </w:rPr>
  </w:style>
  <w:style w:type="character" w:customStyle="1" w:styleId="TitleChar">
    <w:name w:val="Title Char"/>
    <w:basedOn w:val="DefaultParagraphFont"/>
    <w:link w:val="Title"/>
    <w:rsid w:val="000E2946"/>
    <w:rPr>
      <w:rFonts w:ascii="Arial" w:eastAsiaTheme="majorEastAsia" w:hAnsi="Arial" w:cstheme="majorBidi"/>
      <w:b/>
      <w:spacing w:val="5"/>
      <w:kern w:val="28"/>
      <w:sz w:val="44"/>
      <w:szCs w:val="52"/>
    </w:rPr>
  </w:style>
  <w:style w:type="paragraph" w:customStyle="1" w:styleId="CoverDate">
    <w:name w:val="Cover Date"/>
    <w:qFormat/>
    <w:rsid w:val="00746E01"/>
    <w:rPr>
      <w:rFonts w:ascii="Lucida Fax" w:hAnsi="Lucida Fax"/>
      <w:color w:val="DC5034"/>
      <w:szCs w:val="24"/>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Ind w:w="0" w:type="dxa"/>
      <w:tblBorders>
        <w:top w:val="single" w:sz="8" w:space="0" w:color="51626F" w:themeColor="accent1"/>
        <w:left w:val="single" w:sz="8" w:space="0" w:color="51626F" w:themeColor="accent1"/>
        <w:bottom w:val="single" w:sz="8" w:space="0" w:color="51626F" w:themeColor="accent1"/>
        <w:right w:val="single" w:sz="8" w:space="0" w:color="51626F"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1626F" w:themeFill="accent1"/>
      </w:tcPr>
    </w:tblStylePr>
    <w:tblStylePr w:type="lastRow">
      <w:pPr>
        <w:spacing w:before="0" w:after="0" w:line="240" w:lineRule="auto"/>
      </w:pPr>
      <w:rPr>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tcBorders>
      </w:tcPr>
    </w:tblStylePr>
    <w:tblStylePr w:type="firstCol">
      <w:rPr>
        <w:b/>
        <w:bCs/>
      </w:rPr>
    </w:tblStylePr>
    <w:tblStylePr w:type="lastCol">
      <w:rPr>
        <w:b/>
        <w:bCs/>
      </w:r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Ind w:w="0" w:type="dxa"/>
      <w:tblBorders>
        <w:top w:val="single" w:sz="8" w:space="0" w:color="0098C3" w:themeColor="accent3"/>
        <w:left w:val="single" w:sz="8" w:space="0" w:color="0098C3" w:themeColor="accent3"/>
        <w:bottom w:val="single" w:sz="8" w:space="0" w:color="0098C3" w:themeColor="accent3"/>
        <w:right w:val="single" w:sz="8" w:space="0" w:color="0098C3"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98C3" w:themeFill="accent3"/>
      </w:tcPr>
    </w:tblStylePr>
    <w:tblStylePr w:type="lastRow">
      <w:pPr>
        <w:spacing w:before="0" w:after="0" w:line="240" w:lineRule="auto"/>
      </w:pPr>
      <w:rPr>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tcBorders>
      </w:tcPr>
    </w:tblStylePr>
    <w:tblStylePr w:type="firstCol">
      <w:rPr>
        <w:b/>
        <w:bCs/>
      </w:rPr>
    </w:tblStylePr>
    <w:tblStylePr w:type="lastCol">
      <w:rPr>
        <w:b/>
        <w:bCs/>
      </w:r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Ind w:w="0" w:type="dxa"/>
      <w:tblBorders>
        <w:top w:val="single" w:sz="8" w:space="0" w:color="B71202" w:themeColor="accent5"/>
        <w:left w:val="single" w:sz="8" w:space="0" w:color="B71202" w:themeColor="accent5"/>
        <w:bottom w:val="single" w:sz="8" w:space="0" w:color="B71202" w:themeColor="accent5"/>
        <w:right w:val="single" w:sz="8" w:space="0" w:color="B71202" w:themeColor="accent5"/>
      </w:tblBorders>
      <w:tblCellMar>
        <w:top w:w="0" w:type="dxa"/>
        <w:left w:w="108" w:type="dxa"/>
        <w:bottom w:w="0" w:type="dxa"/>
        <w:right w:w="108" w:type="dxa"/>
      </w:tblCellMar>
    </w:tblPr>
    <w:tblStylePr w:type="firstRow">
      <w:pPr>
        <w:spacing w:before="0" w:after="0" w:line="240" w:lineRule="auto"/>
      </w:pPr>
      <w:rPr>
        <w:b/>
        <w:bCs/>
        <w:color w:val="auto"/>
      </w:rPr>
      <w:tblPr/>
      <w:tcPr>
        <w:shd w:val="clear" w:color="auto" w:fill="B71202" w:themeFill="accent5"/>
      </w:tcPr>
    </w:tblStylePr>
    <w:tblStylePr w:type="lastRow">
      <w:pPr>
        <w:spacing w:before="0" w:after="0" w:line="240" w:lineRule="auto"/>
      </w:pPr>
      <w:rPr>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tcBorders>
      </w:tcPr>
    </w:tblStylePr>
    <w:tblStylePr w:type="firstCol">
      <w:rPr>
        <w:b/>
        <w:bCs/>
      </w:rPr>
    </w:tblStylePr>
    <w:tblStylePr w:type="lastCol">
      <w:rPr>
        <w:b/>
        <w:bCs/>
      </w:r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style>
  <w:style w:type="character" w:styleId="Emphasis">
    <w:name w:val="Emphasis"/>
    <w:basedOn w:val="DefaultParagraphFont"/>
    <w:qFormat/>
    <w:rsid w:val="00701CAB"/>
    <w:rPr>
      <w:i/>
      <w:iCs/>
    </w:rPr>
  </w:style>
  <w:style w:type="paragraph" w:styleId="NormalIndent">
    <w:name w:val="Normal Indent"/>
    <w:basedOn w:val="Normal"/>
    <w:uiPriority w:val="1"/>
    <w:rsid w:val="00085663"/>
    <w:pPr>
      <w:ind w:left="720"/>
    </w:pPr>
  </w:style>
  <w:style w:type="paragraph" w:styleId="FootnoteText">
    <w:name w:val="footnote text"/>
    <w:aliases w:val="ALTS FOOTNOTE,(NECG) Footnote Text,Footnote text,AR Footnote Text,AR Footnote Text Char Char Char Char Char,ALTS FOOTNOTE Char1,Footnote Text Char1 Char,Footnote Text Char Char Char,Footnote Text Char1 Char Char Char,fn,Footnote Text1,f"/>
    <w:basedOn w:val="Normal"/>
    <w:link w:val="FootnoteTextChar"/>
    <w:qFormat/>
    <w:rsid w:val="00615C6B"/>
    <w:pPr>
      <w:spacing w:before="60"/>
    </w:pPr>
    <w:rPr>
      <w:sz w:val="16"/>
      <w:szCs w:val="20"/>
    </w:rPr>
  </w:style>
  <w:style w:type="character" w:customStyle="1" w:styleId="FootnoteTextChar">
    <w:name w:val="Footnote Text Char"/>
    <w:aliases w:val="ALTS FOOTNOTE Char,(NECG) Footnote Text Char,Footnote text Char,AR Footnote Text Char,AR Footnote Text Char Char Char Char Char Char,ALTS FOOTNOTE Char1 Char,Footnote Text Char1 Char Char,Footnote Text Char Char Char Char,fn Char"/>
    <w:basedOn w:val="DefaultParagraphFont"/>
    <w:link w:val="FootnoteText"/>
    <w:rsid w:val="00615C6B"/>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nhideWhenUsed/>
    <w:rsid w:val="00701CAB"/>
    <w:rPr>
      <w:vertAlign w:val="superscript"/>
    </w:rPr>
  </w:style>
  <w:style w:type="character" w:styleId="Strong">
    <w:name w:val="Strong"/>
    <w:basedOn w:val="DefaultParagraphFont"/>
    <w:uiPriority w:val="22"/>
    <w:qFormat/>
    <w:rsid w:val="00EF5110"/>
    <w:rPr>
      <w:b/>
      <w:bCs/>
    </w:rPr>
  </w:style>
  <w:style w:type="paragraph" w:styleId="Subtitle">
    <w:name w:val="Subtitle"/>
    <w:next w:val="Normal"/>
    <w:link w:val="SubtitleChar"/>
    <w:uiPriority w:val="11"/>
    <w:qFormat/>
    <w:rsid w:val="008344F6"/>
    <w:pPr>
      <w:spacing w:before="360" w:after="120"/>
    </w:pPr>
    <w:rPr>
      <w:rFonts w:ascii="Lucida Fax" w:hAnsi="Lucida Fax"/>
      <w:color w:val="4F2D7F"/>
      <w:sz w:val="52"/>
      <w:szCs w:val="52"/>
    </w:rPr>
  </w:style>
  <w:style w:type="character" w:customStyle="1" w:styleId="SubtitleChar">
    <w:name w:val="Subtitle Char"/>
    <w:basedOn w:val="DefaultParagraphFont"/>
    <w:link w:val="Subtitle"/>
    <w:uiPriority w:val="11"/>
    <w:rsid w:val="008344F6"/>
    <w:rPr>
      <w:rFonts w:ascii="Lucida Fax" w:hAnsi="Lucida Fax"/>
      <w:color w:val="4F2D7F"/>
      <w:sz w:val="52"/>
      <w:szCs w:val="52"/>
    </w:rPr>
  </w:style>
  <w:style w:type="table" w:styleId="LightShading-Accent4">
    <w:name w:val="Light Shading Accent 4"/>
    <w:basedOn w:val="TableNormal"/>
    <w:uiPriority w:val="60"/>
    <w:rsid w:val="00746E01"/>
    <w:pPr>
      <w:spacing w:before="0"/>
    </w:pPr>
    <w:rPr>
      <w:color w:val="4DA5D9" w:themeColor="accent4" w:themeShade="BF"/>
    </w:rPr>
    <w:tblPr>
      <w:tblStyleRowBandSize w:val="1"/>
      <w:tblStyleColBandSize w:val="1"/>
      <w:tblInd w:w="0" w:type="dxa"/>
      <w:tblBorders>
        <w:top w:val="single" w:sz="8" w:space="0" w:color="A0CFEB" w:themeColor="accent4"/>
        <w:bottom w:val="single" w:sz="8" w:space="0" w:color="A0CFEB"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la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3FA" w:themeFill="accent4" w:themeFillTint="3F"/>
      </w:tcPr>
    </w:tblStylePr>
    <w:tblStylePr w:type="band1Horz">
      <w:tblPr/>
      <w:tcPr>
        <w:tcBorders>
          <w:left w:val="nil"/>
          <w:right w:val="nil"/>
          <w:insideH w:val="nil"/>
          <w:insideV w:val="nil"/>
        </w:tcBorders>
        <w:shd w:val="clear" w:color="auto" w:fill="E7F3FA" w:themeFill="accent4" w:themeFillTint="3F"/>
      </w:tcPr>
    </w:tblStylePr>
  </w:style>
  <w:style w:type="table" w:styleId="LightShading-Accent6">
    <w:name w:val="Light Shading Accent 6"/>
    <w:basedOn w:val="TableNormal"/>
    <w:uiPriority w:val="60"/>
    <w:rsid w:val="00746E01"/>
    <w:pPr>
      <w:spacing w:before="0"/>
    </w:pPr>
    <w:rPr>
      <w:color w:val="AD351E" w:themeColor="accent6" w:themeShade="BF"/>
    </w:rPr>
    <w:tblPr>
      <w:tblStyleRowBandSize w:val="1"/>
      <w:tblStyleColBandSize w:val="1"/>
      <w:tblInd w:w="0" w:type="dxa"/>
      <w:tblBorders>
        <w:top w:val="single" w:sz="8" w:space="0" w:color="DC5034" w:themeColor="accent6"/>
        <w:bottom w:val="single" w:sz="8" w:space="0" w:color="DC5034"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la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3CC" w:themeFill="accent6" w:themeFillTint="3F"/>
      </w:tcPr>
    </w:tblStylePr>
    <w:tblStylePr w:type="band1Horz">
      <w:tblPr/>
      <w:tcPr>
        <w:tcBorders>
          <w:left w:val="nil"/>
          <w:right w:val="nil"/>
          <w:insideH w:val="nil"/>
          <w:insideV w:val="nil"/>
        </w:tcBorders>
        <w:shd w:val="clear" w:color="auto" w:fill="F6D3CC" w:themeFill="accent6" w:themeFillTint="3F"/>
      </w:tcPr>
    </w:tblStylePr>
  </w:style>
  <w:style w:type="paragraph" w:styleId="TOC4">
    <w:name w:val="toc 4"/>
    <w:basedOn w:val="Normal"/>
    <w:next w:val="Normal"/>
    <w:rsid w:val="009F4940"/>
    <w:pPr>
      <w:tabs>
        <w:tab w:val="right" w:leader="dot" w:pos="9016"/>
      </w:tabs>
      <w:spacing w:after="100"/>
      <w:ind w:left="1276"/>
    </w:pPr>
    <w:rPr>
      <w:noProof/>
    </w:rPr>
  </w:style>
  <w:style w:type="paragraph" w:styleId="TOC5">
    <w:name w:val="toc 5"/>
    <w:basedOn w:val="Normal"/>
    <w:next w:val="Normal"/>
    <w:rsid w:val="009F4940"/>
    <w:pPr>
      <w:tabs>
        <w:tab w:val="right" w:leader="dot" w:pos="9016"/>
      </w:tabs>
      <w:spacing w:after="100"/>
      <w:ind w:left="1701"/>
    </w:pPr>
    <w:rPr>
      <w:noProof/>
    </w:rPr>
  </w:style>
  <w:style w:type="paragraph" w:styleId="TOC6">
    <w:name w:val="toc 6"/>
    <w:basedOn w:val="Normal"/>
    <w:next w:val="Normal"/>
    <w:rsid w:val="009F4940"/>
    <w:pPr>
      <w:tabs>
        <w:tab w:val="right" w:leader="dot" w:pos="9016"/>
      </w:tabs>
      <w:spacing w:after="100"/>
      <w:ind w:left="2127"/>
    </w:pPr>
    <w:rPr>
      <w:noProof/>
    </w:rPr>
  </w:style>
  <w:style w:type="paragraph" w:styleId="TOC7">
    <w:name w:val="toc 7"/>
    <w:basedOn w:val="Normal"/>
    <w:next w:val="Normal"/>
    <w:rsid w:val="009F4940"/>
    <w:pPr>
      <w:tabs>
        <w:tab w:val="right" w:leader="dot" w:pos="9016"/>
      </w:tabs>
      <w:spacing w:after="100"/>
      <w:ind w:left="2552"/>
    </w:pPr>
    <w:rPr>
      <w:noProof/>
    </w:rPr>
  </w:style>
  <w:style w:type="paragraph" w:customStyle="1" w:styleId="Numberedlist">
    <w:name w:val="Numbered list"/>
    <w:basedOn w:val="ListNumber"/>
    <w:rsid w:val="008033C4"/>
    <w:pPr>
      <w:numPr>
        <w:numId w:val="1"/>
      </w:numPr>
      <w:ind w:left="357" w:hanging="357"/>
    </w:pPr>
  </w:style>
  <w:style w:type="table" w:customStyle="1" w:styleId="LightShading1">
    <w:name w:val="Light Shading1"/>
    <w:basedOn w:val="TableNormal"/>
    <w:next w:val="LightShading"/>
    <w:uiPriority w:val="60"/>
    <w:rsid w:val="00C53B5A"/>
    <w:pPr>
      <w:spacing w:before="120" w:after="120"/>
    </w:pPr>
    <w:rPr>
      <w:color w:val="000000" w:themeColor="text1" w:themeShade="BF"/>
      <w:sz w:val="20"/>
    </w:rPr>
    <w:tblPr>
      <w:tblInd w:w="0" w:type="dxa"/>
      <w:tblBorders>
        <w:top w:val="single" w:sz="4" w:space="0" w:color="D5D6D2" w:themeColor="background2"/>
        <w:bottom w:val="single" w:sz="4" w:space="0" w:color="D5D6D2" w:themeColor="background2"/>
        <w:insideH w:val="single" w:sz="4" w:space="0" w:color="D5D6D2" w:themeColor="background2"/>
      </w:tblBorders>
      <w:tblCellMar>
        <w:top w:w="0" w:type="dxa"/>
        <w:left w:w="108" w:type="dxa"/>
        <w:bottom w:w="0" w:type="dxa"/>
        <w:right w:w="108" w:type="dxa"/>
      </w:tblCellMar>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Ind w:w="0" w:type="dxa"/>
      <w:tblBorders>
        <w:top w:val="single" w:sz="8" w:space="0" w:color="4F2D7D" w:themeColor="accent2"/>
        <w:left w:val="single" w:sz="8" w:space="0" w:color="4F2D7D" w:themeColor="accent2"/>
        <w:bottom w:val="single" w:sz="8" w:space="0" w:color="4F2D7D" w:themeColor="accent2"/>
        <w:right w:val="single" w:sz="8" w:space="0" w:color="4F2D7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2D7D" w:themeFill="accent2"/>
      </w:tcPr>
    </w:tblStylePr>
    <w:tblStylePr w:type="lastRow">
      <w:pPr>
        <w:spacing w:before="0" w:after="0" w:line="240" w:lineRule="auto"/>
      </w:pPr>
      <w:rPr>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tcBorders>
      </w:tcPr>
    </w:tblStylePr>
    <w:tblStylePr w:type="firstCol">
      <w:rPr>
        <w:b/>
        <w:bCs/>
      </w:rPr>
    </w:tblStylePr>
    <w:tblStylePr w:type="lastCol">
      <w:rPr>
        <w:b/>
        <w:bCs/>
      </w:r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Ind w:w="0" w:type="dxa"/>
      <w:tblBorders>
        <w:top w:val="single" w:sz="8" w:space="0" w:color="A0CFEB" w:themeColor="accent4"/>
        <w:left w:val="single" w:sz="8" w:space="0" w:color="A0CFEB" w:themeColor="accent4"/>
        <w:bottom w:val="single" w:sz="8" w:space="0" w:color="A0CFEB" w:themeColor="accent4"/>
        <w:right w:val="single" w:sz="8" w:space="0" w:color="A0CFEB"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0CFEB" w:themeFill="accent4"/>
      </w:tcPr>
    </w:tblStylePr>
    <w:tblStylePr w:type="lastRow">
      <w:pPr>
        <w:spacing w:before="0" w:after="0" w:line="240" w:lineRule="auto"/>
      </w:pPr>
      <w:rPr>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tcBorders>
      </w:tcPr>
    </w:tblStylePr>
    <w:tblStylePr w:type="firstCol">
      <w:rPr>
        <w:b/>
        <w:bCs/>
      </w:rPr>
    </w:tblStylePr>
    <w:tblStylePr w:type="lastCol">
      <w:rPr>
        <w:b/>
        <w:bCs/>
      </w:r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Ind w:w="0" w:type="dxa"/>
      <w:tblBorders>
        <w:top w:val="single" w:sz="8" w:space="0" w:color="DC5034" w:themeColor="accent6"/>
        <w:left w:val="single" w:sz="8" w:space="0" w:color="DC5034" w:themeColor="accent6"/>
        <w:bottom w:val="single" w:sz="8" w:space="0" w:color="DC5034" w:themeColor="accent6"/>
        <w:right w:val="single" w:sz="8" w:space="0" w:color="DC5034"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C5034" w:themeFill="accent6"/>
      </w:tcPr>
    </w:tblStylePr>
    <w:tblStylePr w:type="lastRow">
      <w:pPr>
        <w:spacing w:before="0" w:after="0" w:line="240" w:lineRule="auto"/>
      </w:pPr>
      <w:rPr>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tcBorders>
      </w:tcPr>
    </w:tblStylePr>
    <w:tblStylePr w:type="firstCol">
      <w:rPr>
        <w:b/>
        <w:bCs/>
      </w:rPr>
    </w:tblStylePr>
    <w:tblStylePr w:type="lastCol">
      <w:rPr>
        <w:b/>
        <w:bCs/>
      </w:r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style>
  <w:style w:type="table" w:styleId="LightGrid">
    <w:name w:val="Light Grid"/>
    <w:basedOn w:val="TableNormal"/>
    <w:uiPriority w:val="62"/>
    <w:rsid w:val="009661DE"/>
    <w:pPr>
      <w:spacing w:before="0"/>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Ind w:w="0" w:type="dxa"/>
      <w:tblBorders>
        <w:top w:val="single" w:sz="8" w:space="0" w:color="51626F" w:themeColor="accent1"/>
        <w:left w:val="single" w:sz="8" w:space="0" w:color="51626F" w:themeColor="accent1"/>
        <w:bottom w:val="single" w:sz="8" w:space="0" w:color="51626F" w:themeColor="accent1"/>
        <w:right w:val="single" w:sz="8" w:space="0" w:color="51626F" w:themeColor="accent1"/>
        <w:insideH w:val="single" w:sz="8" w:space="0" w:color="51626F" w:themeColor="accent1"/>
        <w:insideV w:val="single" w:sz="8" w:space="0" w:color="51626F"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18" w:space="0" w:color="51626F" w:themeColor="accent1"/>
          <w:right w:val="single" w:sz="8" w:space="0" w:color="51626F" w:themeColor="accent1"/>
          <w:insideH w:val="nil"/>
          <w:insideV w:val="single" w:sz="8" w:space="0" w:color="51626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insideH w:val="nil"/>
          <w:insideV w:val="single" w:sz="8" w:space="0" w:color="51626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shd w:val="clear" w:color="auto" w:fill="D1D8DD" w:themeFill="accent1" w:themeFillTint="3F"/>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shd w:val="clear" w:color="auto" w:fill="D1D8DD" w:themeFill="accent1" w:themeFillTint="3F"/>
      </w:tcPr>
    </w:tblStylePr>
    <w:tblStylePr w:type="band2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Ind w:w="0" w:type="dxa"/>
      <w:tblBorders>
        <w:top w:val="single" w:sz="8" w:space="0" w:color="4F2D7D" w:themeColor="accent2"/>
        <w:left w:val="single" w:sz="8" w:space="0" w:color="4F2D7D" w:themeColor="accent2"/>
        <w:bottom w:val="single" w:sz="8" w:space="0" w:color="4F2D7D" w:themeColor="accent2"/>
        <w:right w:val="single" w:sz="8" w:space="0" w:color="4F2D7D" w:themeColor="accent2"/>
        <w:insideH w:val="single" w:sz="8" w:space="0" w:color="4F2D7D" w:themeColor="accent2"/>
        <w:insideV w:val="single" w:sz="8" w:space="0" w:color="4F2D7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18" w:space="0" w:color="4F2D7D" w:themeColor="accent2"/>
          <w:right w:val="single" w:sz="8" w:space="0" w:color="4F2D7D" w:themeColor="accent2"/>
          <w:insideH w:val="nil"/>
          <w:insideV w:val="single" w:sz="8" w:space="0" w:color="4F2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insideH w:val="nil"/>
          <w:insideV w:val="single" w:sz="8" w:space="0" w:color="4F2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shd w:val="clear" w:color="auto" w:fill="D1C1E8" w:themeFill="accent2" w:themeFillTint="3F"/>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shd w:val="clear" w:color="auto" w:fill="D1C1E8" w:themeFill="accent2" w:themeFillTint="3F"/>
      </w:tcPr>
    </w:tblStylePr>
    <w:tblStylePr w:type="band2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Ind w:w="0" w:type="dxa"/>
      <w:tblBorders>
        <w:top w:val="single" w:sz="8" w:space="0" w:color="A0CFEB" w:themeColor="accent4"/>
        <w:left w:val="single" w:sz="8" w:space="0" w:color="A0CFEB" w:themeColor="accent4"/>
        <w:bottom w:val="single" w:sz="8" w:space="0" w:color="A0CFEB" w:themeColor="accent4"/>
        <w:right w:val="single" w:sz="8" w:space="0" w:color="A0CFEB" w:themeColor="accent4"/>
        <w:insideH w:val="single" w:sz="8" w:space="0" w:color="A0CFEB" w:themeColor="accent4"/>
        <w:insideV w:val="single" w:sz="8" w:space="0" w:color="A0CFEB"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18" w:space="0" w:color="A0CFEB" w:themeColor="accent4"/>
          <w:right w:val="single" w:sz="8" w:space="0" w:color="A0CFEB" w:themeColor="accent4"/>
          <w:insideH w:val="nil"/>
          <w:insideV w:val="single" w:sz="8" w:space="0" w:color="A0CFE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insideH w:val="nil"/>
          <w:insideV w:val="single" w:sz="8" w:space="0" w:color="A0CFE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shd w:val="clear" w:color="auto" w:fill="E7F3FA" w:themeFill="accent4" w:themeFillTint="3F"/>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shd w:val="clear" w:color="auto" w:fill="E7F3FA" w:themeFill="accent4" w:themeFillTint="3F"/>
      </w:tcPr>
    </w:tblStylePr>
    <w:tblStylePr w:type="band2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Ind w:w="0" w:type="dxa"/>
      <w:tblBorders>
        <w:top w:val="single" w:sz="8" w:space="0" w:color="B71202" w:themeColor="accent5"/>
        <w:left w:val="single" w:sz="8" w:space="0" w:color="B71202" w:themeColor="accent5"/>
        <w:bottom w:val="single" w:sz="8" w:space="0" w:color="B71202" w:themeColor="accent5"/>
        <w:right w:val="single" w:sz="8" w:space="0" w:color="B71202" w:themeColor="accent5"/>
        <w:insideH w:val="single" w:sz="8" w:space="0" w:color="B71202" w:themeColor="accent5"/>
        <w:insideV w:val="single" w:sz="8" w:space="0" w:color="B71202"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18" w:space="0" w:color="B71202" w:themeColor="accent5"/>
          <w:right w:val="single" w:sz="8" w:space="0" w:color="B71202" w:themeColor="accent5"/>
          <w:insideH w:val="nil"/>
          <w:insideV w:val="single" w:sz="8" w:space="0" w:color="B7120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insideH w:val="nil"/>
          <w:insideV w:val="single" w:sz="8" w:space="0" w:color="B7120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shd w:val="clear" w:color="auto" w:fill="FEB6AF" w:themeFill="accent5" w:themeFillTint="3F"/>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shd w:val="clear" w:color="auto" w:fill="FEB6AF" w:themeFill="accent5" w:themeFillTint="3F"/>
      </w:tcPr>
    </w:tblStylePr>
    <w:tblStylePr w:type="band2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B17A1D"/>
    <w:pPr>
      <w:numPr>
        <w:ilvl w:val="8"/>
        <w:numId w:val="15"/>
      </w:numPr>
      <w:ind w:left="2948" w:hanging="2948"/>
    </w:pPr>
  </w:style>
  <w:style w:type="paragraph" w:styleId="Caption">
    <w:name w:val="caption"/>
    <w:basedOn w:val="Normal"/>
    <w:next w:val="Normal"/>
    <w:unhideWhenUsed/>
    <w:qFormat/>
    <w:rsid w:val="000E2946"/>
    <w:pPr>
      <w:keepNext/>
      <w:spacing w:before="240" w:after="120"/>
    </w:pPr>
    <w:rPr>
      <w:b/>
      <w:bCs/>
      <w:color w:val="2272A3" w:themeColor="accent4" w:themeShade="80"/>
      <w:sz w:val="24"/>
      <w:szCs w:val="18"/>
    </w:rPr>
  </w:style>
  <w:style w:type="paragraph" w:styleId="List">
    <w:name w:val="List"/>
    <w:basedOn w:val="Normal"/>
    <w:uiPriority w:val="99"/>
    <w:unhideWhenUsed/>
    <w:qFormat/>
    <w:rsid w:val="008033C4"/>
    <w:pPr>
      <w:spacing w:before="120"/>
      <w:ind w:left="284" w:hanging="284"/>
    </w:pPr>
  </w:style>
  <w:style w:type="paragraph" w:styleId="List2">
    <w:name w:val="List 2"/>
    <w:basedOn w:val="Normal"/>
    <w:uiPriority w:val="99"/>
    <w:unhideWhenUsed/>
    <w:rsid w:val="008033C4"/>
    <w:pPr>
      <w:spacing w:before="120"/>
      <w:ind w:left="568" w:hanging="284"/>
    </w:pPr>
  </w:style>
  <w:style w:type="paragraph" w:styleId="List3">
    <w:name w:val="List 3"/>
    <w:basedOn w:val="Normal"/>
    <w:uiPriority w:val="99"/>
    <w:unhideWhenUsed/>
    <w:rsid w:val="008033C4"/>
    <w:pPr>
      <w:spacing w:before="120"/>
      <w:ind w:left="851" w:hanging="284"/>
    </w:pPr>
  </w:style>
  <w:style w:type="paragraph" w:styleId="List4">
    <w:name w:val="List 4"/>
    <w:basedOn w:val="Normal"/>
    <w:uiPriority w:val="99"/>
    <w:unhideWhenUsed/>
    <w:rsid w:val="008033C4"/>
    <w:pPr>
      <w:spacing w:before="120"/>
      <w:ind w:left="1135" w:hanging="284"/>
    </w:pPr>
  </w:style>
  <w:style w:type="paragraph" w:styleId="List5">
    <w:name w:val="List 5"/>
    <w:basedOn w:val="Normal"/>
    <w:uiPriority w:val="99"/>
    <w:unhideWhenUsed/>
    <w:rsid w:val="008033C4"/>
    <w:pPr>
      <w:spacing w:before="120"/>
      <w:ind w:left="1418" w:hanging="284"/>
    </w:pPr>
  </w:style>
  <w:style w:type="paragraph" w:styleId="ListBullet3">
    <w:name w:val="List Bullet 3"/>
    <w:basedOn w:val="Normal"/>
    <w:uiPriority w:val="99"/>
    <w:unhideWhenUsed/>
    <w:rsid w:val="008033C4"/>
    <w:pPr>
      <w:numPr>
        <w:numId w:val="4"/>
      </w:numPr>
      <w:spacing w:before="120"/>
      <w:ind w:left="924" w:hanging="357"/>
    </w:pPr>
  </w:style>
  <w:style w:type="paragraph" w:styleId="ListBullet4">
    <w:name w:val="List Bullet 4"/>
    <w:basedOn w:val="Normal"/>
    <w:uiPriority w:val="99"/>
    <w:unhideWhenUsed/>
    <w:rsid w:val="008033C4"/>
    <w:pPr>
      <w:numPr>
        <w:numId w:val="5"/>
      </w:numPr>
      <w:spacing w:before="120"/>
      <w:ind w:left="1208" w:hanging="357"/>
    </w:pPr>
  </w:style>
  <w:style w:type="paragraph" w:styleId="ListBullet5">
    <w:name w:val="List Bullet 5"/>
    <w:basedOn w:val="Normal"/>
    <w:uiPriority w:val="99"/>
    <w:unhideWhenUsed/>
    <w:rsid w:val="008033C4"/>
    <w:pPr>
      <w:numPr>
        <w:numId w:val="6"/>
      </w:numPr>
      <w:spacing w:before="120"/>
      <w:ind w:left="1491" w:hanging="357"/>
    </w:pPr>
  </w:style>
  <w:style w:type="paragraph" w:styleId="ListContinue">
    <w:name w:val="List Continue"/>
    <w:basedOn w:val="Normal"/>
    <w:uiPriority w:val="99"/>
    <w:unhideWhenUsed/>
    <w:qFormat/>
    <w:rsid w:val="0007137B"/>
    <w:pPr>
      <w:spacing w:before="120"/>
      <w:ind w:left="284"/>
    </w:pPr>
  </w:style>
  <w:style w:type="paragraph" w:styleId="ListContinue2">
    <w:name w:val="List Continue 2"/>
    <w:basedOn w:val="Normal"/>
    <w:uiPriority w:val="99"/>
    <w:unhideWhenUsed/>
    <w:rsid w:val="008033C4"/>
    <w:pPr>
      <w:spacing w:before="120"/>
      <w:ind w:left="567"/>
    </w:pPr>
  </w:style>
  <w:style w:type="paragraph" w:styleId="ListContinue3">
    <w:name w:val="List Continue 3"/>
    <w:basedOn w:val="Normal"/>
    <w:uiPriority w:val="99"/>
    <w:unhideWhenUsed/>
    <w:rsid w:val="0007137B"/>
    <w:pPr>
      <w:spacing w:before="120"/>
      <w:ind w:left="851"/>
    </w:pPr>
  </w:style>
  <w:style w:type="paragraph" w:styleId="ListContinue4">
    <w:name w:val="List Continue 4"/>
    <w:basedOn w:val="Normal"/>
    <w:uiPriority w:val="99"/>
    <w:unhideWhenUsed/>
    <w:rsid w:val="008033C4"/>
    <w:pPr>
      <w:spacing w:before="120"/>
      <w:ind w:left="1134"/>
    </w:pPr>
  </w:style>
  <w:style w:type="paragraph" w:styleId="ListNumber3">
    <w:name w:val="List Number 3"/>
    <w:basedOn w:val="Normal"/>
    <w:uiPriority w:val="99"/>
    <w:unhideWhenUsed/>
    <w:rsid w:val="008033C4"/>
    <w:pPr>
      <w:numPr>
        <w:numId w:val="9"/>
      </w:numPr>
      <w:spacing w:before="120"/>
      <w:ind w:left="924" w:hanging="357"/>
    </w:pPr>
  </w:style>
  <w:style w:type="paragraph" w:styleId="ListNumber4">
    <w:name w:val="List Number 4"/>
    <w:basedOn w:val="Normal"/>
    <w:uiPriority w:val="99"/>
    <w:unhideWhenUsed/>
    <w:rsid w:val="008033C4"/>
    <w:pPr>
      <w:numPr>
        <w:numId w:val="10"/>
      </w:numPr>
      <w:spacing w:before="120"/>
      <w:ind w:left="1208" w:hanging="357"/>
    </w:pPr>
  </w:style>
  <w:style w:type="paragraph" w:styleId="ListNumber5">
    <w:name w:val="List Number 5"/>
    <w:basedOn w:val="Normal"/>
    <w:uiPriority w:val="99"/>
    <w:unhideWhenUsed/>
    <w:rsid w:val="008033C4"/>
    <w:pPr>
      <w:numPr>
        <w:numId w:val="11"/>
      </w:numPr>
      <w:spacing w:before="120"/>
      <w:ind w:left="1491" w:hanging="357"/>
    </w:pPr>
  </w:style>
  <w:style w:type="paragraph" w:customStyle="1" w:styleId="TableHeading">
    <w:name w:val="Table Heading"/>
    <w:basedOn w:val="Tabletext"/>
    <w:link w:val="TableHeadingChar"/>
    <w:qFormat/>
    <w:rsid w:val="00957591"/>
    <w:pPr>
      <w:spacing w:before="60"/>
    </w:pPr>
    <w:rPr>
      <w:color w:val="FFFFFF" w:themeColor="background1"/>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214FBA"/>
    <w:pPr>
      <w:jc w:val="center"/>
    </w:pPr>
  </w:style>
  <w:style w:type="paragraph" w:customStyle="1" w:styleId="TableHeading-right">
    <w:name w:val="Table Heading - right"/>
    <w:basedOn w:val="TableHeading"/>
    <w:link w:val="TableHeading-rightChar"/>
    <w:rsid w:val="00584D8F"/>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214FBA"/>
    <w:rPr>
      <w:rFonts w:ascii="Arial" w:hAnsi="Arial"/>
      <w:sz w:val="18"/>
    </w:rPr>
  </w:style>
  <w:style w:type="character" w:customStyle="1" w:styleId="TableHeadingChar">
    <w:name w:val="Table Heading Char"/>
    <w:basedOn w:val="TabletextChar"/>
    <w:link w:val="TableHeading"/>
    <w:rsid w:val="00957591"/>
    <w:rPr>
      <w:rFonts w:ascii="Arial" w:hAnsi="Arial"/>
      <w:color w:val="FFFFFF" w:themeColor="background1"/>
      <w:sz w:val="18"/>
    </w:rPr>
  </w:style>
  <w:style w:type="character" w:customStyle="1" w:styleId="TableHeading-rightChar">
    <w:name w:val="Table Heading - right Char"/>
    <w:basedOn w:val="TableHeadingChar"/>
    <w:link w:val="TableHeading-right"/>
    <w:rsid w:val="00584D8F"/>
    <w:rPr>
      <w:rFonts w:ascii="Arial" w:eastAsia="Times New Roman" w:hAnsi="Arial" w:cs="Times New Roman"/>
      <w:b w:val="0"/>
      <w:bCs/>
      <w:color w:val="FFFFFF" w:themeColor="background1"/>
      <w:sz w:val="20"/>
      <w:szCs w:val="20"/>
    </w:rPr>
  </w:style>
  <w:style w:type="character" w:customStyle="1" w:styleId="Tabletext-centredChar">
    <w:name w:val="Table text - centred Char"/>
    <w:basedOn w:val="Tabletext-rightChar"/>
    <w:link w:val="Tabletext-centred"/>
    <w:rsid w:val="00214FBA"/>
    <w:rPr>
      <w:rFonts w:ascii="Arial" w:eastAsia="Times New Roman" w:hAnsi="Arial" w:cs="Times New Roman"/>
      <w:sz w:val="18"/>
      <w:szCs w:val="20"/>
    </w:rPr>
  </w:style>
  <w:style w:type="paragraph" w:customStyle="1" w:styleId="TableHeading-centred">
    <w:name w:val="Table Heading - centred"/>
    <w:basedOn w:val="TableHeading"/>
    <w:rsid w:val="00584D8F"/>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Ind w:w="0" w:type="dxa"/>
      <w:tblBorders>
        <w:insideV w:val="single" w:sz="4" w:space="0" w:color="D5D6D2" w:themeColor="background2"/>
      </w:tblBorders>
      <w:tblCellMar>
        <w:top w:w="0" w:type="dxa"/>
        <w:left w:w="108" w:type="dxa"/>
        <w:bottom w:w="0" w:type="dxa"/>
        <w:right w:w="108" w:type="dxa"/>
      </w:tblCellMar>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rsid w:val="00263AC0"/>
    <w:rPr>
      <w:vertAlign w:val="superscript"/>
    </w:rPr>
  </w:style>
  <w:style w:type="paragraph" w:customStyle="1" w:styleId="Numberedparagraph11">
    <w:name w:val="Numbered paragraph 1.1"/>
    <w:basedOn w:val="Numbered11"/>
    <w:qFormat/>
    <w:rsid w:val="00063247"/>
    <w:pPr>
      <w:ind w:left="680" w:hanging="680"/>
      <w:outlineLvl w:val="9"/>
    </w:pPr>
    <w:rPr>
      <w:bCs w:val="0"/>
      <w:color w:val="auto"/>
      <w:sz w:val="22"/>
    </w:rPr>
  </w:style>
  <w:style w:type="character" w:customStyle="1" w:styleId="Numbered1Char">
    <w:name w:val="Numbered 1 Char"/>
    <w:basedOn w:val="Heading1Char"/>
    <w:link w:val="Numbered1"/>
    <w:rsid w:val="00085663"/>
    <w:rPr>
      <w:rFonts w:ascii="Lucida Fax" w:eastAsiaTheme="majorEastAsia" w:hAnsi="Lucida Fax" w:cstheme="majorBidi"/>
      <w:bCs/>
      <w:color w:val="51626F"/>
      <w:sz w:val="32"/>
      <w:szCs w:val="28"/>
    </w:rPr>
  </w:style>
  <w:style w:type="paragraph" w:customStyle="1" w:styleId="Numberedparagraph">
    <w:name w:val="Numbered paragraph"/>
    <w:basedOn w:val="Numberedlist"/>
    <w:rsid w:val="00FE64AE"/>
    <w:pPr>
      <w:spacing w:before="200"/>
      <w:ind w:left="680" w:hanging="680"/>
    </w:pPr>
    <w:rPr>
      <w:rFonts w:eastAsia="Times New Roman" w:cs="Times New Roman"/>
      <w:szCs w:val="20"/>
    </w:rPr>
  </w:style>
  <w:style w:type="paragraph" w:customStyle="1" w:styleId="Heading1notnumber">
    <w:name w:val="Heading 1 not number"/>
    <w:basedOn w:val="Heading1"/>
    <w:qFormat/>
    <w:rsid w:val="00275002"/>
    <w:pPr>
      <w:pageBreakBefore/>
      <w:tabs>
        <w:tab w:val="left" w:pos="680"/>
      </w:tabs>
    </w:pPr>
    <w:rPr>
      <w:rFonts w:ascii="Arial" w:hAnsi="Arial"/>
      <w:b/>
      <w:color w:val="70635A"/>
      <w:sz w:val="36"/>
    </w:rPr>
  </w:style>
  <w:style w:type="paragraph" w:customStyle="1" w:styleId="Heading2notnumbered">
    <w:name w:val="Heading 2 not numbered"/>
    <w:basedOn w:val="Heading2"/>
    <w:link w:val="Heading2notnumberedChar"/>
    <w:rsid w:val="00275002"/>
    <w:pPr>
      <w:tabs>
        <w:tab w:val="left" w:pos="680"/>
      </w:tabs>
    </w:pPr>
    <w:rPr>
      <w:rFonts w:eastAsia="Times New Roman" w:cs="Times New Roman"/>
      <w:color w:val="003591" w:themeColor="text2"/>
      <w:sz w:val="32"/>
      <w:szCs w:val="20"/>
    </w:rPr>
  </w:style>
  <w:style w:type="paragraph" w:customStyle="1" w:styleId="Heading3notnumbered">
    <w:name w:val="Heading 3 not numbered"/>
    <w:basedOn w:val="Heading3"/>
    <w:rsid w:val="00275002"/>
    <w:pPr>
      <w:tabs>
        <w:tab w:val="left" w:pos="1021"/>
      </w:tabs>
    </w:pPr>
    <w:rPr>
      <w:rFonts w:eastAsia="Times New Roman" w:cs="Times New Roman"/>
      <w:color w:val="003591" w:themeColor="text2"/>
      <w:sz w:val="28"/>
      <w:szCs w:val="20"/>
    </w:rPr>
  </w:style>
  <w:style w:type="paragraph" w:customStyle="1" w:styleId="Heading4notnumbered">
    <w:name w:val="Heading 4 not numbered"/>
    <w:basedOn w:val="Heading4"/>
    <w:link w:val="Heading4notnumberedChar"/>
    <w:rsid w:val="00275002"/>
    <w:pPr>
      <w:tabs>
        <w:tab w:val="left" w:pos="1021"/>
      </w:tabs>
    </w:pPr>
    <w:rPr>
      <w:rFonts w:eastAsia="Times New Roman" w:cs="Times New Roman"/>
      <w:i w:val="0"/>
      <w:iCs w:val="0"/>
      <w:szCs w:val="20"/>
    </w:rPr>
  </w:style>
  <w:style w:type="paragraph" w:customStyle="1" w:styleId="Heading5notnumbered">
    <w:name w:val="Heading 5 not numbered"/>
    <w:basedOn w:val="Heading5"/>
    <w:rsid w:val="00275002"/>
    <w:pPr>
      <w:tabs>
        <w:tab w:val="left" w:pos="1361"/>
      </w:tabs>
    </w:pPr>
    <w:rPr>
      <w:rFonts w:eastAsia="Times New Roman" w:cs="Times New Roman"/>
      <w:bCs/>
      <w:szCs w:val="20"/>
    </w:rPr>
  </w:style>
  <w:style w:type="paragraph" w:customStyle="1" w:styleId="Heading6notnumbered">
    <w:name w:val="Heading 6 not numbered"/>
    <w:basedOn w:val="Heading6"/>
    <w:rsid w:val="00275002"/>
    <w:pPr>
      <w:tabs>
        <w:tab w:val="left" w:pos="1361"/>
      </w:tabs>
    </w:pPr>
    <w:rPr>
      <w:rFonts w:eastAsia="Times New Roman" w:cs="Times New Roman"/>
      <w:bCs/>
      <w:color w:val="000000" w:themeColor="text1"/>
      <w:szCs w:val="20"/>
    </w:rPr>
  </w:style>
  <w:style w:type="paragraph" w:styleId="Index1">
    <w:name w:val="index 1"/>
    <w:basedOn w:val="Normal"/>
    <w:next w:val="Normal"/>
    <w:autoRedefine/>
    <w:uiPriority w:val="99"/>
    <w:unhideWhenUsed/>
    <w:rsid w:val="00275002"/>
    <w:pPr>
      <w:spacing w:before="0" w:line="240" w:lineRule="auto"/>
      <w:ind w:left="220" w:hanging="220"/>
    </w:pPr>
  </w:style>
  <w:style w:type="paragraph" w:styleId="Index2">
    <w:name w:val="index 2"/>
    <w:basedOn w:val="Normal"/>
    <w:next w:val="Normal"/>
    <w:autoRedefine/>
    <w:uiPriority w:val="99"/>
    <w:unhideWhenUsed/>
    <w:rsid w:val="00275002"/>
    <w:pPr>
      <w:spacing w:before="0" w:line="240" w:lineRule="auto"/>
      <w:ind w:left="440" w:hanging="220"/>
    </w:pPr>
  </w:style>
  <w:style w:type="paragraph" w:customStyle="1" w:styleId="Heading7notnumbered">
    <w:name w:val="Heading 7 not numbered"/>
    <w:basedOn w:val="Heading7"/>
    <w:rsid w:val="00275002"/>
    <w:pPr>
      <w:tabs>
        <w:tab w:val="left" w:pos="1701"/>
      </w:tabs>
    </w:pPr>
    <w:rPr>
      <w:rFonts w:eastAsia="Times New Roman" w:cs="Times New Roman"/>
      <w:color w:val="auto"/>
      <w:szCs w:val="20"/>
    </w:rPr>
  </w:style>
  <w:style w:type="paragraph" w:customStyle="1" w:styleId="Heading8notnumbered">
    <w:name w:val="Heading 8 not numbered"/>
    <w:basedOn w:val="Heading8"/>
    <w:rsid w:val="00275002"/>
    <w:pPr>
      <w:tabs>
        <w:tab w:val="left" w:pos="1701"/>
      </w:tabs>
    </w:pPr>
    <w:rPr>
      <w:rFonts w:eastAsia="Times New Roman" w:cs="Times New Roman"/>
    </w:rPr>
  </w:style>
  <w:style w:type="paragraph" w:styleId="Salutation">
    <w:name w:val="Salutation"/>
    <w:basedOn w:val="Normal"/>
    <w:next w:val="Normal"/>
    <w:link w:val="SalutationChar"/>
    <w:uiPriority w:val="99"/>
    <w:unhideWhenUsed/>
    <w:rsid w:val="00275002"/>
  </w:style>
  <w:style w:type="character" w:customStyle="1" w:styleId="SalutationChar">
    <w:name w:val="Salutation Char"/>
    <w:basedOn w:val="DefaultParagraphFont"/>
    <w:link w:val="Salutation"/>
    <w:uiPriority w:val="99"/>
    <w:rsid w:val="00275002"/>
    <w:rPr>
      <w:rFonts w:ascii="Arial" w:hAnsi="Arial"/>
    </w:rPr>
  </w:style>
  <w:style w:type="paragraph" w:customStyle="1" w:styleId="Heading9notnumbered">
    <w:name w:val="Heading 9 not numbered"/>
    <w:basedOn w:val="Heading9"/>
    <w:rsid w:val="00275002"/>
    <w:pPr>
      <w:tabs>
        <w:tab w:val="left" w:pos="1701"/>
      </w:tabs>
    </w:pPr>
    <w:rPr>
      <w:rFonts w:eastAsia="Times New Roman" w:cs="Times New Roman"/>
      <w:color w:val="auto"/>
    </w:rPr>
  </w:style>
  <w:style w:type="paragraph" w:customStyle="1" w:styleId="Copyright">
    <w:name w:val="Copyright"/>
    <w:basedOn w:val="Normal"/>
    <w:next w:val="Normal"/>
    <w:link w:val="CopyrightChar"/>
    <w:rsid w:val="00275002"/>
    <w:pPr>
      <w:spacing w:line="288" w:lineRule="auto"/>
    </w:pPr>
    <w:rPr>
      <w:sz w:val="20"/>
      <w:szCs w:val="20"/>
    </w:rPr>
  </w:style>
  <w:style w:type="paragraph" w:customStyle="1" w:styleId="ReportTitle0">
    <w:name w:val="Report Title"/>
    <w:basedOn w:val="Normal"/>
    <w:next w:val="Normal"/>
    <w:link w:val="ReportTitleChar0"/>
    <w:rsid w:val="00275002"/>
    <w:pPr>
      <w:tabs>
        <w:tab w:val="center" w:pos="4598"/>
        <w:tab w:val="right" w:pos="9026"/>
      </w:tabs>
      <w:spacing w:before="240"/>
      <w:contextualSpacing/>
      <w:jc w:val="center"/>
    </w:pPr>
    <w:rPr>
      <w:rFonts w:eastAsiaTheme="majorEastAsia" w:cstheme="majorBidi"/>
      <w:b/>
      <w:noProof/>
      <w:color w:val="51626F"/>
      <w:sz w:val="72"/>
      <w:szCs w:val="72"/>
      <w:lang w:eastAsia="en-AU"/>
    </w:rPr>
  </w:style>
  <w:style w:type="numbering" w:customStyle="1" w:styleId="AlphanumericList">
    <w:name w:val="Alphanumeric List"/>
    <w:uiPriority w:val="99"/>
    <w:rsid w:val="00275002"/>
    <w:pPr>
      <w:numPr>
        <w:numId w:val="16"/>
      </w:numPr>
    </w:pPr>
  </w:style>
  <w:style w:type="table" w:customStyle="1" w:styleId="AERTable-Text">
    <w:name w:val="AER Table - Text"/>
    <w:basedOn w:val="TableNormal"/>
    <w:uiPriority w:val="99"/>
    <w:rsid w:val="00A81EF8"/>
    <w:pPr>
      <w:spacing w:before="120" w:after="120"/>
    </w:pPr>
    <w:rPr>
      <w:rFonts w:ascii="Arial" w:hAnsi="Arial"/>
      <w:sz w:val="18"/>
    </w:rPr>
    <w:tblPr>
      <w:tblStyleRowBandSize w:val="1"/>
      <w:tblInd w:w="0" w:type="dxa"/>
      <w:tblBorders>
        <w:bottom w:val="single" w:sz="4" w:space="0" w:color="auto"/>
      </w:tblBorders>
      <w:tblCellMar>
        <w:top w:w="0" w:type="dxa"/>
        <w:left w:w="108" w:type="dxa"/>
        <w:bottom w:w="0" w:type="dxa"/>
        <w:right w:w="108" w:type="dxa"/>
      </w:tblCellMar>
    </w:tblPr>
    <w:trPr>
      <w:cantSplit/>
    </w:trPr>
    <w:tblStylePr w:type="firstRow">
      <w:pPr>
        <w:wordWrap/>
        <w:spacing w:beforeLines="0" w:before="240" w:beforeAutospacing="0" w:afterLines="0" w:after="120" w:afterAutospacing="0"/>
      </w:pPr>
      <w:rPr>
        <w:rFonts w:ascii="Arial" w:hAnsi="Arial"/>
        <w:b/>
        <w:color w:val="FFFFFF" w:themeColor="background1"/>
        <w:sz w:val="24"/>
        <w14:numSpacing w14:val="tabular"/>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0"/>
    <w:link w:val="ReportDateChar"/>
    <w:rsid w:val="00275002"/>
    <w:rPr>
      <w:b w:val="0"/>
      <w:sz w:val="36"/>
      <w:szCs w:val="36"/>
    </w:rPr>
  </w:style>
  <w:style w:type="paragraph" w:customStyle="1" w:styleId="ReportSubtitle">
    <w:name w:val="Report Subtitle"/>
    <w:basedOn w:val="ReportTitle0"/>
    <w:link w:val="ReportSubtitleChar"/>
    <w:rsid w:val="00275002"/>
    <w:rPr>
      <w:sz w:val="56"/>
      <w:szCs w:val="56"/>
    </w:rPr>
  </w:style>
  <w:style w:type="character" w:customStyle="1" w:styleId="ReportTitleChar0">
    <w:name w:val="Report Title Char"/>
    <w:basedOn w:val="Heading1Char"/>
    <w:link w:val="ReportTitle0"/>
    <w:rsid w:val="00275002"/>
    <w:rPr>
      <w:rFonts w:ascii="Arial" w:eastAsiaTheme="majorEastAsia" w:hAnsi="Arial" w:cstheme="majorBidi"/>
      <w:b/>
      <w:bCs w:val="0"/>
      <w:noProof/>
      <w:color w:val="51626F"/>
      <w:sz w:val="72"/>
      <w:szCs w:val="72"/>
      <w:lang w:eastAsia="en-AU"/>
    </w:rPr>
  </w:style>
  <w:style w:type="character" w:customStyle="1" w:styleId="ReportDateChar">
    <w:name w:val="Report Date Char"/>
    <w:basedOn w:val="ReportTitleChar0"/>
    <w:link w:val="ReportDate"/>
    <w:rsid w:val="00275002"/>
    <w:rPr>
      <w:rFonts w:ascii="Arial" w:eastAsiaTheme="majorEastAsia" w:hAnsi="Arial" w:cstheme="majorBidi"/>
      <w:b w:val="0"/>
      <w:bCs w:val="0"/>
      <w:noProof/>
      <w:color w:val="51626F"/>
      <w:sz w:val="36"/>
      <w:szCs w:val="36"/>
      <w:lang w:eastAsia="en-AU"/>
    </w:rPr>
  </w:style>
  <w:style w:type="character" w:customStyle="1" w:styleId="ReportSubtitleChar">
    <w:name w:val="Report Subtitle Char"/>
    <w:basedOn w:val="ReportTitleChar0"/>
    <w:link w:val="ReportSubtitle"/>
    <w:rsid w:val="00275002"/>
    <w:rPr>
      <w:rFonts w:ascii="Arial" w:eastAsiaTheme="majorEastAsia" w:hAnsi="Arial" w:cstheme="majorBidi"/>
      <w:b/>
      <w:bCs w:val="0"/>
      <w:noProof/>
      <w:color w:val="51626F"/>
      <w:sz w:val="56"/>
      <w:szCs w:val="56"/>
      <w:lang w:eastAsia="en-AU"/>
    </w:rPr>
  </w:style>
  <w:style w:type="character" w:customStyle="1" w:styleId="CopyrightChar">
    <w:name w:val="Copyright Char"/>
    <w:basedOn w:val="DefaultParagraphFont"/>
    <w:link w:val="Copyright"/>
    <w:rsid w:val="00275002"/>
    <w:rPr>
      <w:rFonts w:ascii="Arial" w:hAnsi="Arial"/>
      <w:sz w:val="20"/>
      <w:szCs w:val="20"/>
    </w:rPr>
  </w:style>
  <w:style w:type="paragraph" w:styleId="BodyTextIndent">
    <w:name w:val="Body Text Indent"/>
    <w:basedOn w:val="Normal"/>
    <w:link w:val="BodyTextIndentChar"/>
    <w:uiPriority w:val="99"/>
    <w:semiHidden/>
    <w:unhideWhenUsed/>
    <w:rsid w:val="00275002"/>
    <w:pPr>
      <w:spacing w:after="120"/>
      <w:ind w:left="283"/>
    </w:pPr>
  </w:style>
  <w:style w:type="character" w:customStyle="1" w:styleId="BodyTextIndentChar">
    <w:name w:val="Body Text Indent Char"/>
    <w:basedOn w:val="DefaultParagraphFont"/>
    <w:link w:val="BodyTextIndent"/>
    <w:uiPriority w:val="99"/>
    <w:semiHidden/>
    <w:rsid w:val="00275002"/>
    <w:rPr>
      <w:rFonts w:ascii="Arial" w:hAnsi="Arial"/>
    </w:rPr>
  </w:style>
  <w:style w:type="paragraph" w:styleId="BodyTextFirstIndent2">
    <w:name w:val="Body Text First Indent 2"/>
    <w:basedOn w:val="BodyTextIndent"/>
    <w:link w:val="BodyTextFirstIndent2Char"/>
    <w:uiPriority w:val="99"/>
    <w:unhideWhenUsed/>
    <w:rsid w:val="00275002"/>
    <w:pPr>
      <w:spacing w:after="0"/>
      <w:ind w:left="360" w:firstLine="360"/>
    </w:pPr>
  </w:style>
  <w:style w:type="character" w:customStyle="1" w:styleId="BodyTextFirstIndent2Char">
    <w:name w:val="Body Text First Indent 2 Char"/>
    <w:basedOn w:val="BodyTextIndentChar"/>
    <w:link w:val="BodyTextFirstIndent2"/>
    <w:uiPriority w:val="99"/>
    <w:rsid w:val="00275002"/>
    <w:rPr>
      <w:rFonts w:ascii="Arial" w:hAnsi="Arial"/>
    </w:rPr>
  </w:style>
  <w:style w:type="paragraph" w:styleId="Closing">
    <w:name w:val="Closing"/>
    <w:basedOn w:val="Normal"/>
    <w:link w:val="ClosingChar"/>
    <w:uiPriority w:val="99"/>
    <w:unhideWhenUsed/>
    <w:rsid w:val="00275002"/>
    <w:pPr>
      <w:spacing w:before="0" w:line="240" w:lineRule="auto"/>
      <w:ind w:left="4252"/>
    </w:pPr>
  </w:style>
  <w:style w:type="character" w:customStyle="1" w:styleId="ClosingChar">
    <w:name w:val="Closing Char"/>
    <w:basedOn w:val="DefaultParagraphFont"/>
    <w:link w:val="Closing"/>
    <w:uiPriority w:val="99"/>
    <w:rsid w:val="00275002"/>
    <w:rPr>
      <w:rFonts w:ascii="Arial" w:hAnsi="Arial"/>
    </w:rPr>
  </w:style>
  <w:style w:type="paragraph" w:styleId="BodyText">
    <w:name w:val="Body Text"/>
    <w:basedOn w:val="Normal"/>
    <w:link w:val="BodyTextChar"/>
    <w:uiPriority w:val="99"/>
    <w:semiHidden/>
    <w:unhideWhenUsed/>
    <w:rsid w:val="00275002"/>
    <w:pPr>
      <w:spacing w:after="120"/>
    </w:pPr>
  </w:style>
  <w:style w:type="character" w:customStyle="1" w:styleId="BodyTextChar">
    <w:name w:val="Body Text Char"/>
    <w:basedOn w:val="DefaultParagraphFont"/>
    <w:link w:val="BodyText"/>
    <w:uiPriority w:val="99"/>
    <w:semiHidden/>
    <w:rsid w:val="00275002"/>
    <w:rPr>
      <w:rFonts w:ascii="Arial" w:hAnsi="Arial"/>
    </w:rPr>
  </w:style>
  <w:style w:type="paragraph" w:styleId="BodyTextFirstIndent">
    <w:name w:val="Body Text First Indent"/>
    <w:basedOn w:val="Normal"/>
    <w:link w:val="BodyTextFirstIndentChar"/>
    <w:uiPriority w:val="99"/>
    <w:unhideWhenUsed/>
    <w:rsid w:val="00275002"/>
    <w:pPr>
      <w:ind w:firstLine="360"/>
    </w:pPr>
  </w:style>
  <w:style w:type="character" w:customStyle="1" w:styleId="BodyTextFirstIndentChar">
    <w:name w:val="Body Text First Indent Char"/>
    <w:basedOn w:val="BodyTextChar"/>
    <w:link w:val="BodyTextFirstIndent"/>
    <w:uiPriority w:val="99"/>
    <w:rsid w:val="00275002"/>
    <w:rPr>
      <w:rFonts w:ascii="Arial" w:hAnsi="Arial"/>
    </w:rPr>
  </w:style>
  <w:style w:type="paragraph" w:styleId="BodyText2">
    <w:name w:val="Body Text 2"/>
    <w:basedOn w:val="Normal"/>
    <w:link w:val="BodyText2Char"/>
    <w:uiPriority w:val="99"/>
    <w:unhideWhenUsed/>
    <w:rsid w:val="00275002"/>
    <w:pPr>
      <w:spacing w:after="120" w:line="480" w:lineRule="auto"/>
    </w:pPr>
  </w:style>
  <w:style w:type="character" w:customStyle="1" w:styleId="BodyText2Char">
    <w:name w:val="Body Text 2 Char"/>
    <w:basedOn w:val="DefaultParagraphFont"/>
    <w:link w:val="BodyText2"/>
    <w:uiPriority w:val="99"/>
    <w:rsid w:val="00275002"/>
    <w:rPr>
      <w:rFonts w:ascii="Arial" w:hAnsi="Arial"/>
    </w:rPr>
  </w:style>
  <w:style w:type="paragraph" w:customStyle="1" w:styleId="ListLegal">
    <w:name w:val="List Legal"/>
    <w:basedOn w:val="ListParagraph"/>
    <w:rsid w:val="00275002"/>
    <w:pPr>
      <w:numPr>
        <w:numId w:val="18"/>
      </w:numPr>
      <w:tabs>
        <w:tab w:val="left" w:pos="680"/>
      </w:tabs>
      <w:ind w:left="680" w:hanging="340"/>
    </w:pPr>
  </w:style>
  <w:style w:type="character" w:styleId="CommentReference">
    <w:name w:val="annotation reference"/>
    <w:basedOn w:val="DefaultParagraphFont"/>
    <w:uiPriority w:val="99"/>
    <w:unhideWhenUsed/>
    <w:rsid w:val="00275002"/>
    <w:rPr>
      <w:sz w:val="16"/>
      <w:szCs w:val="16"/>
    </w:rPr>
  </w:style>
  <w:style w:type="paragraph" w:customStyle="1" w:styleId="ListLegal2">
    <w:name w:val="List Legal 2"/>
    <w:basedOn w:val="ListLegal"/>
    <w:rsid w:val="00275002"/>
    <w:pPr>
      <w:tabs>
        <w:tab w:val="clear" w:pos="680"/>
        <w:tab w:val="left" w:pos="1021"/>
      </w:tabs>
      <w:ind w:left="1020"/>
    </w:pPr>
  </w:style>
  <w:style w:type="paragraph" w:customStyle="1" w:styleId="ListLegal3">
    <w:name w:val="List Legal 3"/>
    <w:basedOn w:val="ListNumber3"/>
    <w:rsid w:val="00275002"/>
    <w:pPr>
      <w:numPr>
        <w:numId w:val="19"/>
      </w:numPr>
      <w:tabs>
        <w:tab w:val="left" w:pos="1361"/>
      </w:tabs>
      <w:ind w:left="1361" w:hanging="340"/>
    </w:pPr>
  </w:style>
  <w:style w:type="paragraph" w:customStyle="1" w:styleId="ListLegal4">
    <w:name w:val="List Legal 4"/>
    <w:basedOn w:val="ListLegal3"/>
    <w:rsid w:val="00275002"/>
    <w:pPr>
      <w:tabs>
        <w:tab w:val="clear" w:pos="1361"/>
        <w:tab w:val="left" w:pos="1701"/>
      </w:tabs>
      <w:ind w:left="1701"/>
    </w:pPr>
  </w:style>
  <w:style w:type="paragraph" w:customStyle="1" w:styleId="ListLegal5">
    <w:name w:val="List Legal 5"/>
    <w:basedOn w:val="ListLegal4"/>
    <w:rsid w:val="00275002"/>
    <w:pPr>
      <w:tabs>
        <w:tab w:val="clear" w:pos="1701"/>
        <w:tab w:val="left" w:pos="2041"/>
      </w:tabs>
      <w:ind w:left="2041"/>
    </w:pPr>
  </w:style>
  <w:style w:type="paragraph" w:styleId="Date">
    <w:name w:val="Date"/>
    <w:basedOn w:val="Normal"/>
    <w:next w:val="Normal"/>
    <w:link w:val="DateChar"/>
    <w:uiPriority w:val="99"/>
    <w:unhideWhenUsed/>
    <w:rsid w:val="00275002"/>
  </w:style>
  <w:style w:type="character" w:customStyle="1" w:styleId="DateChar">
    <w:name w:val="Date Char"/>
    <w:basedOn w:val="DefaultParagraphFont"/>
    <w:link w:val="Date"/>
    <w:uiPriority w:val="99"/>
    <w:rsid w:val="00275002"/>
    <w:rPr>
      <w:rFonts w:ascii="Arial" w:hAnsi="Arial"/>
    </w:rPr>
  </w:style>
  <w:style w:type="paragraph" w:styleId="DocumentMap">
    <w:name w:val="Document Map"/>
    <w:basedOn w:val="Normal"/>
    <w:link w:val="DocumentMapChar"/>
    <w:unhideWhenUsed/>
    <w:rsid w:val="00275002"/>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rsid w:val="00275002"/>
    <w:rPr>
      <w:rFonts w:ascii="Tahoma" w:hAnsi="Tahoma" w:cs="Tahoma"/>
      <w:sz w:val="16"/>
      <w:szCs w:val="16"/>
    </w:rPr>
  </w:style>
  <w:style w:type="paragraph" w:styleId="E-mailSignature">
    <w:name w:val="E-mail Signature"/>
    <w:basedOn w:val="Normal"/>
    <w:link w:val="E-mailSignatureChar"/>
    <w:uiPriority w:val="99"/>
    <w:unhideWhenUsed/>
    <w:rsid w:val="00275002"/>
    <w:pPr>
      <w:spacing w:before="0" w:line="240" w:lineRule="auto"/>
    </w:pPr>
  </w:style>
  <w:style w:type="character" w:customStyle="1" w:styleId="E-mailSignatureChar">
    <w:name w:val="E-mail Signature Char"/>
    <w:basedOn w:val="DefaultParagraphFont"/>
    <w:link w:val="E-mailSignature"/>
    <w:uiPriority w:val="99"/>
    <w:rsid w:val="00275002"/>
    <w:rPr>
      <w:rFonts w:ascii="Arial" w:hAnsi="Arial"/>
    </w:rPr>
  </w:style>
  <w:style w:type="paragraph" w:styleId="EnvelopeAddress">
    <w:name w:val="envelope address"/>
    <w:basedOn w:val="Normal"/>
    <w:uiPriority w:val="99"/>
    <w:unhideWhenUsed/>
    <w:rsid w:val="00275002"/>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275002"/>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275002"/>
    <w:rPr>
      <w:color w:val="800080" w:themeColor="followedHyperlink"/>
      <w:u w:val="single"/>
    </w:rPr>
  </w:style>
  <w:style w:type="paragraph" w:styleId="Index3">
    <w:name w:val="index 3"/>
    <w:basedOn w:val="Normal"/>
    <w:next w:val="Normal"/>
    <w:autoRedefine/>
    <w:uiPriority w:val="99"/>
    <w:unhideWhenUsed/>
    <w:rsid w:val="00275002"/>
    <w:pPr>
      <w:spacing w:before="0" w:line="240" w:lineRule="auto"/>
      <w:ind w:left="660" w:hanging="220"/>
    </w:pPr>
  </w:style>
  <w:style w:type="paragraph" w:styleId="Index4">
    <w:name w:val="index 4"/>
    <w:basedOn w:val="Normal"/>
    <w:next w:val="Normal"/>
    <w:autoRedefine/>
    <w:uiPriority w:val="99"/>
    <w:unhideWhenUsed/>
    <w:rsid w:val="00275002"/>
    <w:pPr>
      <w:spacing w:before="0" w:line="240" w:lineRule="auto"/>
      <w:ind w:left="880" w:hanging="220"/>
    </w:pPr>
  </w:style>
  <w:style w:type="paragraph" w:styleId="Index5">
    <w:name w:val="index 5"/>
    <w:basedOn w:val="Normal"/>
    <w:next w:val="Normal"/>
    <w:autoRedefine/>
    <w:uiPriority w:val="99"/>
    <w:unhideWhenUsed/>
    <w:rsid w:val="00275002"/>
    <w:pPr>
      <w:spacing w:before="0" w:line="240" w:lineRule="auto"/>
      <w:ind w:left="1100" w:hanging="220"/>
    </w:pPr>
  </w:style>
  <w:style w:type="paragraph" w:styleId="IndexHeading">
    <w:name w:val="index heading"/>
    <w:basedOn w:val="Normal"/>
    <w:next w:val="Index1"/>
    <w:uiPriority w:val="99"/>
    <w:unhideWhenUsed/>
    <w:rsid w:val="00275002"/>
    <w:rPr>
      <w:rFonts w:asciiTheme="majorHAnsi" w:eastAsiaTheme="majorEastAsia" w:hAnsiTheme="majorHAnsi" w:cstheme="majorBidi"/>
      <w:b/>
      <w:bCs/>
    </w:rPr>
  </w:style>
  <w:style w:type="character" w:styleId="IntenseEmphasis">
    <w:name w:val="Intense Emphasis"/>
    <w:basedOn w:val="DefaultParagraphFont"/>
    <w:uiPriority w:val="21"/>
    <w:unhideWhenUsed/>
    <w:rsid w:val="00275002"/>
    <w:rPr>
      <w:b/>
      <w:bCs/>
      <w:i/>
      <w:iCs/>
      <w:color w:val="51626F" w:themeColor="accent1"/>
    </w:rPr>
  </w:style>
  <w:style w:type="paragraph" w:styleId="IntenseQuote">
    <w:name w:val="Intense Quote"/>
    <w:basedOn w:val="Normal"/>
    <w:next w:val="Normal"/>
    <w:link w:val="IntenseQuoteChar"/>
    <w:uiPriority w:val="30"/>
    <w:unhideWhenUsed/>
    <w:rsid w:val="00275002"/>
    <w:pPr>
      <w:pBdr>
        <w:bottom w:val="single" w:sz="4" w:space="4" w:color="51626F" w:themeColor="accent1"/>
      </w:pBdr>
      <w:spacing w:after="280"/>
      <w:ind w:left="936" w:right="936"/>
    </w:pPr>
    <w:rPr>
      <w:b/>
      <w:bCs/>
      <w:i/>
      <w:iCs/>
      <w:color w:val="51626F" w:themeColor="accent1"/>
    </w:rPr>
  </w:style>
  <w:style w:type="character" w:customStyle="1" w:styleId="IntenseQuoteChar">
    <w:name w:val="Intense Quote Char"/>
    <w:basedOn w:val="DefaultParagraphFont"/>
    <w:link w:val="IntenseQuote"/>
    <w:uiPriority w:val="30"/>
    <w:rsid w:val="00275002"/>
    <w:rPr>
      <w:rFonts w:ascii="Arial" w:hAnsi="Arial"/>
      <w:b/>
      <w:bCs/>
      <w:i/>
      <w:iCs/>
      <w:color w:val="51626F" w:themeColor="accent1"/>
    </w:rPr>
  </w:style>
  <w:style w:type="character" w:styleId="IntenseReference">
    <w:name w:val="Intense Reference"/>
    <w:basedOn w:val="DefaultParagraphFont"/>
    <w:uiPriority w:val="32"/>
    <w:unhideWhenUsed/>
    <w:rsid w:val="00275002"/>
    <w:rPr>
      <w:b/>
      <w:bCs/>
      <w:smallCaps/>
      <w:color w:val="4F2D7D" w:themeColor="accent2"/>
      <w:spacing w:val="5"/>
      <w:u w:val="single"/>
    </w:rPr>
  </w:style>
  <w:style w:type="character" w:styleId="LineNumber">
    <w:name w:val="line number"/>
    <w:basedOn w:val="DefaultParagraphFont"/>
    <w:uiPriority w:val="99"/>
    <w:unhideWhenUsed/>
    <w:rsid w:val="00275002"/>
  </w:style>
  <w:style w:type="paragraph" w:customStyle="1" w:styleId="Listalphabet2">
    <w:name w:val="List alphabet 2"/>
    <w:basedOn w:val="ListNumber2"/>
    <w:rsid w:val="00275002"/>
    <w:pPr>
      <w:numPr>
        <w:numId w:val="17"/>
      </w:numPr>
      <w:tabs>
        <w:tab w:val="left" w:pos="680"/>
      </w:tabs>
      <w:spacing w:line="276" w:lineRule="auto"/>
      <w:ind w:left="680" w:hanging="340"/>
    </w:pPr>
  </w:style>
  <w:style w:type="paragraph" w:customStyle="1" w:styleId="Listalphabet3">
    <w:name w:val="List alphabet 3"/>
    <w:basedOn w:val="Listalphabet2"/>
    <w:rsid w:val="00275002"/>
    <w:pPr>
      <w:tabs>
        <w:tab w:val="clear" w:pos="680"/>
        <w:tab w:val="left" w:pos="1021"/>
      </w:tabs>
      <w:ind w:left="1020"/>
    </w:pPr>
  </w:style>
  <w:style w:type="paragraph" w:customStyle="1" w:styleId="Listalphabet4">
    <w:name w:val="List alphabet 4"/>
    <w:basedOn w:val="Listalphabet3"/>
    <w:rsid w:val="00275002"/>
    <w:pPr>
      <w:tabs>
        <w:tab w:val="clear" w:pos="1021"/>
        <w:tab w:val="left" w:pos="1361"/>
      </w:tabs>
      <w:ind w:left="1361"/>
    </w:pPr>
  </w:style>
  <w:style w:type="paragraph" w:customStyle="1" w:styleId="Listalphabet5">
    <w:name w:val="List alphabet 5"/>
    <w:basedOn w:val="Listalphabet4"/>
    <w:rsid w:val="00275002"/>
    <w:pPr>
      <w:tabs>
        <w:tab w:val="clear" w:pos="1361"/>
        <w:tab w:val="left" w:pos="1701"/>
      </w:tabs>
      <w:ind w:left="1701"/>
    </w:pPr>
  </w:style>
  <w:style w:type="paragraph" w:styleId="ListContinue5">
    <w:name w:val="List Continue 5"/>
    <w:basedOn w:val="Normal"/>
    <w:uiPriority w:val="99"/>
    <w:unhideWhenUsed/>
    <w:rsid w:val="00275002"/>
    <w:pPr>
      <w:tabs>
        <w:tab w:val="left" w:pos="1701"/>
      </w:tabs>
      <w:spacing w:after="120"/>
      <w:ind w:left="1701"/>
      <w:contextualSpacing/>
    </w:pPr>
  </w:style>
  <w:style w:type="paragraph" w:styleId="Signature">
    <w:name w:val="Signature"/>
    <w:basedOn w:val="Normal"/>
    <w:link w:val="SignatureChar"/>
    <w:uiPriority w:val="99"/>
    <w:unhideWhenUsed/>
    <w:rsid w:val="00275002"/>
    <w:pPr>
      <w:spacing w:before="0" w:line="240" w:lineRule="auto"/>
      <w:ind w:left="4252"/>
    </w:pPr>
  </w:style>
  <w:style w:type="character" w:customStyle="1" w:styleId="SignatureChar">
    <w:name w:val="Signature Char"/>
    <w:basedOn w:val="DefaultParagraphFont"/>
    <w:link w:val="Signature"/>
    <w:uiPriority w:val="99"/>
    <w:rsid w:val="00275002"/>
    <w:rPr>
      <w:rFonts w:ascii="Arial" w:hAnsi="Arial"/>
    </w:rPr>
  </w:style>
  <w:style w:type="character" w:styleId="SubtleEmphasis">
    <w:name w:val="Subtle Emphasis"/>
    <w:basedOn w:val="DefaultParagraphFont"/>
    <w:uiPriority w:val="19"/>
    <w:unhideWhenUsed/>
    <w:rsid w:val="00275002"/>
    <w:rPr>
      <w:b/>
      <w:i/>
      <w:iCs/>
      <w:color w:val="51626F" w:themeColor="accent1"/>
    </w:rPr>
  </w:style>
  <w:style w:type="character" w:styleId="SubtleReference">
    <w:name w:val="Subtle Reference"/>
    <w:basedOn w:val="DefaultParagraphFont"/>
    <w:uiPriority w:val="31"/>
    <w:unhideWhenUsed/>
    <w:rsid w:val="00275002"/>
    <w:rPr>
      <w:smallCaps/>
      <w:color w:val="4F2D7D" w:themeColor="accent2"/>
      <w:u w:val="single"/>
    </w:rPr>
  </w:style>
  <w:style w:type="paragraph" w:customStyle="1" w:styleId="Quotes">
    <w:name w:val="Quotes"/>
    <w:basedOn w:val="Normal"/>
    <w:rsid w:val="00275002"/>
    <w:pPr>
      <w:spacing w:before="120" w:after="120" w:line="240" w:lineRule="auto"/>
      <w:ind w:left="567" w:right="793"/>
    </w:pPr>
    <w:rPr>
      <w:rFonts w:eastAsia="Times New Roman" w:cs="Times New Roman"/>
      <w:sz w:val="20"/>
      <w:szCs w:val="20"/>
      <w:lang w:eastAsia="en-AU"/>
    </w:rPr>
  </w:style>
  <w:style w:type="character" w:styleId="PageNumber">
    <w:name w:val="page number"/>
    <w:basedOn w:val="DefaultParagraphFont"/>
    <w:rsid w:val="00275002"/>
  </w:style>
  <w:style w:type="character" w:styleId="PlaceholderText">
    <w:name w:val="Placeholder Text"/>
    <w:basedOn w:val="DefaultParagraphFont"/>
    <w:uiPriority w:val="99"/>
    <w:semiHidden/>
    <w:rsid w:val="00275002"/>
    <w:rPr>
      <w:color w:val="808080"/>
    </w:rPr>
  </w:style>
  <w:style w:type="paragraph" w:customStyle="1" w:styleId="StyleCopyrightBefore0pt">
    <w:name w:val="Style Copyright + Before:  0 pt"/>
    <w:basedOn w:val="Copyright"/>
    <w:rsid w:val="00275002"/>
    <w:pPr>
      <w:spacing w:before="120"/>
    </w:pPr>
    <w:rPr>
      <w:rFonts w:eastAsia="Times New Roman" w:cs="Times New Roman"/>
    </w:rPr>
  </w:style>
  <w:style w:type="character" w:customStyle="1" w:styleId="Bold">
    <w:name w:val="Bold"/>
    <w:basedOn w:val="DefaultParagraphFont"/>
    <w:rsid w:val="00275002"/>
    <w:rPr>
      <w:b/>
      <w:bCs/>
    </w:rPr>
  </w:style>
  <w:style w:type="paragraph" w:customStyle="1" w:styleId="LegalNumbering">
    <w:name w:val="Legal Numbering"/>
    <w:basedOn w:val="Normal"/>
    <w:rsid w:val="00275002"/>
    <w:pPr>
      <w:numPr>
        <w:numId w:val="20"/>
      </w:numPr>
      <w:tabs>
        <w:tab w:val="left" w:pos="680"/>
        <w:tab w:val="left" w:pos="1021"/>
        <w:tab w:val="left" w:pos="1361"/>
      </w:tabs>
      <w:spacing w:line="240" w:lineRule="auto"/>
    </w:pPr>
  </w:style>
  <w:style w:type="character" w:customStyle="1" w:styleId="AERtextsize8">
    <w:name w:val="AER text size 8"/>
    <w:basedOn w:val="DefaultParagraphFont"/>
    <w:uiPriority w:val="1"/>
    <w:qFormat/>
    <w:rsid w:val="00275002"/>
    <w:rPr>
      <w:rFonts w:ascii="Arial" w:hAnsi="Arial"/>
      <w:color w:val="auto"/>
      <w:sz w:val="16"/>
    </w:rPr>
  </w:style>
  <w:style w:type="paragraph" w:customStyle="1" w:styleId="NumberedChapterTitle">
    <w:name w:val="Numbered Chapter Title"/>
    <w:basedOn w:val="Chaptertitle"/>
    <w:qFormat/>
    <w:rsid w:val="00275002"/>
    <w:pPr>
      <w:pageBreakBefore/>
      <w:numPr>
        <w:numId w:val="21"/>
      </w:numPr>
      <w:tabs>
        <w:tab w:val="left" w:pos="680"/>
      </w:tabs>
      <w:ind w:left="680" w:hanging="680"/>
      <w:outlineLvl w:val="0"/>
    </w:pPr>
    <w:rPr>
      <w:rFonts w:ascii="Arial" w:hAnsi="Arial"/>
      <w:color w:val="000000" w:themeColor="text1"/>
    </w:rPr>
  </w:style>
  <w:style w:type="paragraph" w:styleId="Revision">
    <w:name w:val="Revision"/>
    <w:hidden/>
    <w:uiPriority w:val="99"/>
    <w:semiHidden/>
    <w:rsid w:val="00275002"/>
    <w:pPr>
      <w:spacing w:before="0"/>
    </w:pPr>
    <w:rPr>
      <w:rFonts w:ascii="Arial" w:hAnsi="Arial"/>
    </w:rPr>
  </w:style>
  <w:style w:type="paragraph" w:styleId="CommentText">
    <w:name w:val="annotation text"/>
    <w:basedOn w:val="Normal"/>
    <w:link w:val="CommentTextChar"/>
    <w:uiPriority w:val="99"/>
    <w:unhideWhenUsed/>
    <w:rsid w:val="00275002"/>
    <w:pPr>
      <w:spacing w:line="240" w:lineRule="auto"/>
    </w:pPr>
    <w:rPr>
      <w:sz w:val="20"/>
      <w:szCs w:val="20"/>
    </w:rPr>
  </w:style>
  <w:style w:type="character" w:customStyle="1" w:styleId="CommentTextChar">
    <w:name w:val="Comment Text Char"/>
    <w:basedOn w:val="DefaultParagraphFont"/>
    <w:link w:val="CommentText"/>
    <w:uiPriority w:val="99"/>
    <w:rsid w:val="00275002"/>
    <w:rPr>
      <w:rFonts w:ascii="Arial" w:hAnsi="Arial"/>
      <w:sz w:val="20"/>
      <w:szCs w:val="20"/>
    </w:rPr>
  </w:style>
  <w:style w:type="paragraph" w:styleId="CommentSubject">
    <w:name w:val="annotation subject"/>
    <w:basedOn w:val="Normal"/>
    <w:link w:val="CommentSubjectChar"/>
    <w:semiHidden/>
    <w:rsid w:val="00275002"/>
    <w:pPr>
      <w:spacing w:before="0" w:line="288" w:lineRule="auto"/>
      <w:jc w:val="both"/>
    </w:pPr>
    <w:rPr>
      <w:rFonts w:ascii="Gautami" w:eastAsia="Times New Roman" w:hAnsi="Gautami" w:cs="Times New Roman"/>
      <w:b/>
      <w:bCs/>
      <w:sz w:val="20"/>
      <w:szCs w:val="24"/>
      <w:lang w:eastAsia="en-AU"/>
    </w:rPr>
  </w:style>
  <w:style w:type="character" w:customStyle="1" w:styleId="CommentSubjectChar">
    <w:name w:val="Comment Subject Char"/>
    <w:basedOn w:val="CommentTextChar"/>
    <w:link w:val="CommentSubject"/>
    <w:semiHidden/>
    <w:rsid w:val="00275002"/>
    <w:rPr>
      <w:rFonts w:ascii="Gautami" w:eastAsia="Times New Roman" w:hAnsi="Gautami" w:cs="Times New Roman"/>
      <w:b/>
      <w:bCs/>
      <w:sz w:val="20"/>
      <w:szCs w:val="24"/>
      <w:lang w:eastAsia="en-AU"/>
    </w:rPr>
  </w:style>
  <w:style w:type="numbering" w:styleId="1ai">
    <w:name w:val="Outline List 1"/>
    <w:aliases w:val="AER Numbered List"/>
    <w:basedOn w:val="NoList"/>
    <w:rsid w:val="00275002"/>
    <w:pPr>
      <w:numPr>
        <w:numId w:val="22"/>
      </w:numPr>
    </w:pPr>
  </w:style>
  <w:style w:type="table" w:styleId="TableClassic2">
    <w:name w:val="Table Classic 2"/>
    <w:basedOn w:val="TableNormal"/>
    <w:rsid w:val="00275002"/>
    <w:pPr>
      <w:spacing w:before="0"/>
    </w:pPr>
    <w:rPr>
      <w:rFonts w:ascii="Times" w:eastAsia="Times New Roman" w:hAnsi="Times" w:cs="Times New Roman"/>
      <w:sz w:val="20"/>
      <w:szCs w:val="20"/>
      <w:lang w:eastAsia="en-A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ntemporary">
    <w:name w:val="Table Contemporary"/>
    <w:basedOn w:val="TableNormal"/>
    <w:rsid w:val="00275002"/>
    <w:pPr>
      <w:spacing w:before="0"/>
    </w:pPr>
    <w:rPr>
      <w:rFonts w:ascii="Times" w:eastAsia="Times New Roman" w:hAnsi="Times" w:cs="Times New Roman"/>
      <w:sz w:val="20"/>
      <w:szCs w:val="20"/>
      <w:lang w:eastAsia="en-A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lassic1">
    <w:name w:val="Table Classic 1"/>
    <w:basedOn w:val="TableNormal"/>
    <w:rsid w:val="00275002"/>
    <w:pPr>
      <w:spacing w:before="0"/>
    </w:pPr>
    <w:rPr>
      <w:rFonts w:ascii="Times" w:eastAsia="Times New Roman" w:hAnsi="Times" w:cs="Times New Roman"/>
      <w:sz w:val="20"/>
      <w:szCs w:val="20"/>
      <w:lang w:eastAsia="en-A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75002"/>
    <w:pPr>
      <w:spacing w:before="0"/>
    </w:pPr>
    <w:rPr>
      <w:rFonts w:ascii="Calibri" w:eastAsia="Times New Roman" w:hAnsi="Calibri" w:cs="Times New Roman"/>
      <w:sz w:val="20"/>
      <w:szCs w:val="20"/>
      <w:lang w:eastAsia="en-A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rFonts w:ascii="Calibri" w:hAnsi="Calibri"/>
        <w:b/>
        <w:bCs/>
        <w:color w:val="000000"/>
        <w:sz w:val="20"/>
      </w:r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MediumShading2-Accent5">
    <w:name w:val="Medium Shading 2 Accent 5"/>
    <w:basedOn w:val="TableNormal"/>
    <w:uiPriority w:val="64"/>
    <w:rsid w:val="00275002"/>
    <w:pPr>
      <w:spacing w:before="0"/>
    </w:pPr>
    <w:rPr>
      <w:rFonts w:ascii="Calibri" w:eastAsia="Calibri" w:hAnsi="Calibri" w:cs="Times New Roman"/>
      <w:sz w:val="20"/>
      <w:szCs w:val="20"/>
      <w:lang w:eastAsia="en-A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unhideWhenUsed/>
    <w:rsid w:val="0027500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ERHeading1">
    <w:name w:val="AER Heading 1"/>
    <w:basedOn w:val="Heading2notnumbered"/>
    <w:link w:val="AERHeading1Char"/>
    <w:qFormat/>
    <w:rsid w:val="000E2946"/>
    <w:rPr>
      <w:color w:val="2272A3" w:themeColor="accent4" w:themeShade="80"/>
    </w:rPr>
  </w:style>
  <w:style w:type="paragraph" w:customStyle="1" w:styleId="AERHeading3">
    <w:name w:val="AER Heading 3"/>
    <w:basedOn w:val="Heading4notnumbered"/>
    <w:link w:val="AERHeading3Char"/>
    <w:qFormat/>
    <w:rsid w:val="00914A87"/>
  </w:style>
  <w:style w:type="character" w:customStyle="1" w:styleId="Heading2notnumberedChar">
    <w:name w:val="Heading 2 not numbered Char"/>
    <w:basedOn w:val="Heading2Char"/>
    <w:link w:val="Heading2notnumbered"/>
    <w:rsid w:val="000E2946"/>
    <w:rPr>
      <w:rFonts w:ascii="Arial" w:eastAsia="Times New Roman" w:hAnsi="Arial" w:cs="Times New Roman"/>
      <w:b/>
      <w:bCs/>
      <w:color w:val="003591" w:themeColor="text2"/>
      <w:sz w:val="32"/>
      <w:szCs w:val="20"/>
    </w:rPr>
  </w:style>
  <w:style w:type="character" w:customStyle="1" w:styleId="AERHeading1Char">
    <w:name w:val="AER Heading 1 Char"/>
    <w:basedOn w:val="Heading2notnumberedChar"/>
    <w:link w:val="AERHeading1"/>
    <w:rsid w:val="000E2946"/>
    <w:rPr>
      <w:rFonts w:ascii="Arial" w:eastAsia="Times New Roman" w:hAnsi="Arial" w:cs="Times New Roman"/>
      <w:b/>
      <w:bCs/>
      <w:color w:val="2272A3" w:themeColor="accent4" w:themeShade="80"/>
      <w:sz w:val="32"/>
      <w:szCs w:val="20"/>
    </w:rPr>
  </w:style>
  <w:style w:type="paragraph" w:customStyle="1" w:styleId="Tablesumline">
    <w:name w:val="Table sum line"/>
    <w:basedOn w:val="Normal"/>
    <w:link w:val="TablesumlineChar"/>
    <w:qFormat/>
    <w:rsid w:val="00FD72DC"/>
    <w:pPr>
      <w:spacing w:before="120" w:after="120"/>
    </w:pPr>
    <w:rPr>
      <w:b/>
      <w:sz w:val="20"/>
    </w:rPr>
  </w:style>
  <w:style w:type="character" w:customStyle="1" w:styleId="Heading4notnumberedChar">
    <w:name w:val="Heading 4 not numbered Char"/>
    <w:basedOn w:val="Heading4Char"/>
    <w:link w:val="Heading4notnumbered"/>
    <w:rsid w:val="00914A87"/>
    <w:rPr>
      <w:rFonts w:ascii="Arial" w:eastAsia="Times New Roman" w:hAnsi="Arial" w:cs="Times New Roman"/>
      <w:b/>
      <w:bCs/>
      <w:i w:val="0"/>
      <w:iCs w:val="0"/>
      <w:color w:val="51626F"/>
      <w:sz w:val="24"/>
      <w:szCs w:val="20"/>
    </w:rPr>
  </w:style>
  <w:style w:type="character" w:customStyle="1" w:styleId="AERHeading3Char">
    <w:name w:val="AER Heading 3 Char"/>
    <w:basedOn w:val="Heading4notnumberedChar"/>
    <w:link w:val="AERHeading3"/>
    <w:rsid w:val="00914A87"/>
    <w:rPr>
      <w:rFonts w:ascii="Arial" w:eastAsia="Times New Roman" w:hAnsi="Arial" w:cs="Times New Roman"/>
      <w:b/>
      <w:bCs/>
      <w:i w:val="0"/>
      <w:iCs w:val="0"/>
      <w:color w:val="51626F"/>
      <w:sz w:val="24"/>
      <w:szCs w:val="20"/>
    </w:rPr>
  </w:style>
  <w:style w:type="table" w:customStyle="1" w:styleId="AERsummarytable">
    <w:name w:val="AER summary table"/>
    <w:basedOn w:val="AERTable-Text"/>
    <w:uiPriority w:val="99"/>
    <w:rsid w:val="00FD72DC"/>
    <w:pPr>
      <w:spacing w:before="0"/>
    </w:pPr>
    <w:tblPr>
      <w:tblStyleRowBandSize w:val="1"/>
      <w:tblInd w:w="0" w:type="dxa"/>
      <w:tblBorders>
        <w:bottom w:val="single" w:sz="4" w:space="0" w:color="auto"/>
      </w:tblBorders>
      <w:tblCellMar>
        <w:top w:w="0" w:type="dxa"/>
        <w:left w:w="108" w:type="dxa"/>
        <w:bottom w:w="0" w:type="dxa"/>
        <w:right w:w="108" w:type="dxa"/>
      </w:tblCellMar>
    </w:tblPr>
    <w:trPr>
      <w:cantSplit/>
    </w:tr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TablesumlineChar">
    <w:name w:val="Table sum line Char"/>
    <w:basedOn w:val="DefaultParagraphFont"/>
    <w:link w:val="Tablesumline"/>
    <w:rsid w:val="00FD72DC"/>
    <w:rPr>
      <w:rFonts w:ascii="Arial" w:hAnsi="Arial"/>
      <w:b/>
      <w:sz w:val="20"/>
    </w:rPr>
  </w:style>
  <w:style w:type="table" w:customStyle="1" w:styleId="Style1">
    <w:name w:val="Style1"/>
    <w:basedOn w:val="TableNormal"/>
    <w:uiPriority w:val="99"/>
    <w:rsid w:val="00A81EF8"/>
    <w:pPr>
      <w:spacing w:before="0"/>
    </w:pPr>
    <w:tblPr>
      <w:tblInd w:w="0" w:type="dxa"/>
      <w:tblCellMar>
        <w:top w:w="0" w:type="dxa"/>
        <w:left w:w="108" w:type="dxa"/>
        <w:bottom w:w="0" w:type="dxa"/>
        <w:right w:w="108" w:type="dxa"/>
      </w:tblCellMar>
    </w:tblPr>
    <w:tblStylePr w:type="firstRow">
      <w:rPr>
        <w:rFonts w:ascii="Arial" w:hAnsi="Arial"/>
        <w:color w:val="FFFFFF" w:themeColor="background1"/>
        <w:sz w:val="18"/>
      </w:rPr>
      <w:tblPr/>
      <w:tcPr>
        <w:shd w:val="clear" w:color="auto" w:fill="2272A3" w:themeFill="accent4" w:themeFillShade="80"/>
      </w:tcPr>
    </w:tblStylePr>
  </w:style>
  <w:style w:type="paragraph" w:customStyle="1" w:styleId="tableheadingline2">
    <w:name w:val="table heading line 2"/>
    <w:basedOn w:val="Normal"/>
    <w:link w:val="tableheadingline2Char"/>
    <w:qFormat/>
    <w:rsid w:val="00FA3830"/>
    <w:pPr>
      <w:spacing w:before="0" w:after="120"/>
      <w:jc w:val="center"/>
    </w:pPr>
    <w:rPr>
      <w:b/>
      <w:sz w:val="18"/>
      <w14:numSpacing w14:val="tabular"/>
    </w:rPr>
  </w:style>
  <w:style w:type="character" w:customStyle="1" w:styleId="tableheadingline2Char">
    <w:name w:val="table heading line 2 Char"/>
    <w:basedOn w:val="DefaultParagraphFont"/>
    <w:link w:val="tableheadingline2"/>
    <w:rsid w:val="00FA3830"/>
    <w:rPr>
      <w:rFonts w:ascii="Arial" w:hAnsi="Arial"/>
      <w:b/>
      <w:sz w:val="18"/>
      <w14:numSpacing w14:val="tabular"/>
    </w:rPr>
  </w:style>
  <w:style w:type="paragraph" w:customStyle="1" w:styleId="AERbodytext">
    <w:name w:val="AER body text"/>
    <w:link w:val="AERbodytextChar"/>
    <w:qFormat/>
    <w:rsid w:val="001778E3"/>
    <w:pPr>
      <w:spacing w:before="120" w:after="120" w:line="288" w:lineRule="auto"/>
      <w:jc w:val="both"/>
    </w:pPr>
    <w:rPr>
      <w:rFonts w:ascii="Arial" w:eastAsia="Times New Roman" w:hAnsi="Arial" w:cs="Arial"/>
      <w:bCs/>
      <w:lang w:eastAsia="en-AU"/>
    </w:rPr>
  </w:style>
  <w:style w:type="character" w:customStyle="1" w:styleId="AERbodytextChar">
    <w:name w:val="AER body text Char"/>
    <w:basedOn w:val="DefaultParagraphFont"/>
    <w:link w:val="AERbodytext"/>
    <w:rsid w:val="001778E3"/>
    <w:rPr>
      <w:rFonts w:ascii="Arial" w:eastAsia="Times New Roman" w:hAnsi="Arial" w:cs="Arial"/>
      <w:bCs/>
      <w:lang w:eastAsia="en-AU"/>
    </w:rPr>
  </w:style>
  <w:style w:type="paragraph" w:customStyle="1" w:styleId="tablenormal0">
    <w:name w:val="table normal"/>
    <w:basedOn w:val="Normal"/>
    <w:link w:val="tablenormalChar"/>
    <w:qFormat/>
    <w:rsid w:val="005D2FBD"/>
    <w:pPr>
      <w:spacing w:before="120" w:after="120"/>
    </w:pPr>
    <w:rPr>
      <w:rFonts w:cs="Arial"/>
      <w:sz w:val="18"/>
    </w:rPr>
  </w:style>
  <w:style w:type="character" w:customStyle="1" w:styleId="tablenormalChar">
    <w:name w:val="table normal Char"/>
    <w:basedOn w:val="DefaultParagraphFont"/>
    <w:link w:val="tablenormal0"/>
    <w:rsid w:val="005D2FBD"/>
    <w:rPr>
      <w:rFonts w:ascii="Arial" w:hAnsi="Arial" w:cs="Arial"/>
      <w:sz w:val="18"/>
    </w:rPr>
  </w:style>
  <w:style w:type="table" w:customStyle="1" w:styleId="AERsummarytable1">
    <w:name w:val="AER summary table1"/>
    <w:basedOn w:val="AERTable-Text"/>
    <w:uiPriority w:val="99"/>
    <w:rsid w:val="00784A7E"/>
    <w:pPr>
      <w:spacing w:before="0"/>
    </w:pPr>
    <w:tblPr>
      <w:tblStyleRowBandSize w:val="1"/>
      <w:tblInd w:w="0" w:type="dxa"/>
      <w:tblBorders>
        <w:bottom w:val="single" w:sz="4" w:space="0" w:color="auto"/>
      </w:tblBorders>
      <w:tblCellMar>
        <w:top w:w="0" w:type="dxa"/>
        <w:left w:w="108" w:type="dxa"/>
        <w:bottom w:w="0" w:type="dxa"/>
        <w:right w:w="108" w:type="dxa"/>
      </w:tblCellMar>
    </w:tblPr>
    <w:trPr>
      <w:cantSplit/>
    </w:tr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table" w:customStyle="1" w:styleId="AERsummarytable2">
    <w:name w:val="AER summary table2"/>
    <w:basedOn w:val="TableNormal"/>
    <w:uiPriority w:val="99"/>
    <w:rsid w:val="002D1734"/>
    <w:pPr>
      <w:spacing w:before="0" w:after="120"/>
    </w:pPr>
    <w:rPr>
      <w:rFonts w:ascii="Arial" w:hAnsi="Arial"/>
      <w:sz w:val="18"/>
    </w:rPr>
    <w:tblPr>
      <w:tblStyleRowBandSize w:val="1"/>
      <w:tblInd w:w="0" w:type="dxa"/>
      <w:tblBorders>
        <w:bottom w:val="single" w:sz="4" w:space="0" w:color="auto"/>
      </w:tblBorders>
      <w:tblCellMar>
        <w:top w:w="0" w:type="dxa"/>
        <w:left w:w="108" w:type="dxa"/>
        <w:bottom w:w="0" w:type="dxa"/>
        <w:right w:w="108" w:type="dxa"/>
      </w:tblCellMar>
    </w:tblPr>
    <w:trPr>
      <w:cantSplit/>
    </w:tr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a531">
    <w:name w:val="a5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571">
    <w:name w:val="a5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691">
    <w:name w:val="a69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31">
    <w:name w:val="a7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71">
    <w:name w:val="a7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displayonly">
    <w:name w:val="display_only"/>
    <w:basedOn w:val="DefaultParagraphFont"/>
    <w:rsid w:val="00091FB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1" w:unhideWhenUsed="0"/>
    <w:lsdException w:name="footnote text" w:uiPriority="0" w:qFormat="1"/>
    <w:lsdException w:name="header" w:uiPriority="0" w:qFormat="1"/>
    <w:lsdException w:name="footer" w:qFormat="1"/>
    <w:lsdException w:name="caption" w:uiPriority="0" w:qFormat="1"/>
    <w:lsdException w:name="footnote reference" w:uiPriority="0"/>
    <w:lsdException w:name="page number" w:uiPriority="0"/>
    <w:lsdException w:name="endnote reference" w:uiPriority="0"/>
    <w:lsdException w:name="endnote text" w:uiPriority="0"/>
    <w:lsdException w:name="List" w:qFormat="1"/>
    <w:lsdException w:name="List Number" w:qFormat="1"/>
    <w:lsdException w:name="List Number 2" w:qFormat="1"/>
    <w:lsdException w:name="Title" w:semiHidden="0" w:uiPriority="0" w:unhideWhenUsed="0" w:qFormat="1"/>
    <w:lsdException w:name="Default Paragraph Font" w:uiPriority="1"/>
    <w:lsdException w:name="List Continue" w:qFormat="1"/>
    <w:lsdException w:name="Subtitle" w:semiHidden="0" w:uiPriority="11" w:unhideWhenUsed="0" w:qFormat="1"/>
    <w:lsdException w:name="Hyperlink" w:uiPriority="0" w:qFormat="1"/>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Outline List 1" w:uiPriority="0"/>
    <w:lsdException w:name="Table Classic 1" w:uiPriority="0"/>
    <w:lsdException w:name="Table Classic 2" w:uiPriority="0"/>
    <w:lsdException w:name="Table List 3" w:uiPriority="0"/>
    <w:lsdException w:name="Table Contemporary"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275002"/>
    <w:pPr>
      <w:spacing w:line="276" w:lineRule="auto"/>
    </w:pPr>
    <w:rPr>
      <w:rFonts w:ascii="Arial" w:hAnsi="Arial"/>
    </w:rPr>
  </w:style>
  <w:style w:type="paragraph" w:styleId="Heading1">
    <w:name w:val="heading 1"/>
    <w:basedOn w:val="Normal"/>
    <w:next w:val="Normal"/>
    <w:link w:val="Heading1Char"/>
    <w:qFormat/>
    <w:rsid w:val="009D6B46"/>
    <w:pPr>
      <w:spacing w:before="240"/>
      <w:outlineLvl w:val="0"/>
    </w:pPr>
    <w:rPr>
      <w:rFonts w:ascii="Lucida Fax" w:eastAsiaTheme="majorEastAsia" w:hAnsi="Lucida Fax" w:cstheme="majorBidi"/>
      <w:bCs/>
      <w:color w:val="51626F"/>
      <w:sz w:val="32"/>
      <w:szCs w:val="28"/>
    </w:rPr>
  </w:style>
  <w:style w:type="paragraph" w:styleId="Heading2">
    <w:name w:val="heading 2"/>
    <w:aliases w:val="AER Heading 2 (new)"/>
    <w:next w:val="Normal"/>
    <w:link w:val="Heading2Char"/>
    <w:qFormat/>
    <w:rsid w:val="004F6D0A"/>
    <w:pPr>
      <w:keepNext/>
      <w:spacing w:line="240" w:lineRule="atLeast"/>
      <w:outlineLvl w:val="1"/>
    </w:pPr>
    <w:rPr>
      <w:rFonts w:ascii="Arial" w:eastAsiaTheme="majorEastAsia" w:hAnsi="Arial" w:cstheme="majorBidi"/>
      <w:b/>
      <w:bCs/>
      <w:color w:val="51626F"/>
      <w:sz w:val="28"/>
      <w:szCs w:val="26"/>
    </w:rPr>
  </w:style>
  <w:style w:type="paragraph" w:styleId="Heading3">
    <w:name w:val="heading 3"/>
    <w:basedOn w:val="Normal"/>
    <w:next w:val="Normal"/>
    <w:link w:val="Heading3Char"/>
    <w:qFormat/>
    <w:rsid w:val="009D6B46"/>
    <w:pPr>
      <w:spacing w:before="240"/>
      <w:outlineLvl w:val="2"/>
    </w:pPr>
    <w:rPr>
      <w:rFonts w:eastAsiaTheme="majorEastAsia" w:cstheme="majorBidi"/>
      <w:b/>
      <w:bCs/>
      <w:color w:val="000000" w:themeColor="text1" w:themeShade="BF"/>
      <w:sz w:val="24"/>
    </w:rPr>
  </w:style>
  <w:style w:type="paragraph" w:styleId="Heading4">
    <w:name w:val="heading 4"/>
    <w:basedOn w:val="Normal"/>
    <w:next w:val="Normal"/>
    <w:link w:val="Heading4Char"/>
    <w:qFormat/>
    <w:rsid w:val="009D6B46"/>
    <w:pPr>
      <w:spacing w:before="240"/>
      <w:outlineLvl w:val="3"/>
    </w:pPr>
    <w:rPr>
      <w:rFonts w:eastAsiaTheme="majorEastAsia" w:cstheme="majorBidi"/>
      <w:b/>
      <w:bCs/>
      <w:i/>
      <w:iCs/>
      <w:color w:val="51626F"/>
      <w:sz w:val="24"/>
    </w:rPr>
  </w:style>
  <w:style w:type="paragraph" w:styleId="Heading5">
    <w:name w:val="heading 5"/>
    <w:next w:val="Normal"/>
    <w:link w:val="Heading5Char"/>
    <w:qFormat/>
    <w:rsid w:val="009D6B46"/>
    <w:pPr>
      <w:spacing w:line="240" w:lineRule="atLeast"/>
      <w:outlineLvl w:val="4"/>
    </w:pPr>
    <w:rPr>
      <w:rFonts w:ascii="Arial" w:eastAsiaTheme="majorEastAsia" w:hAnsi="Arial" w:cstheme="majorBidi"/>
      <w:b/>
      <w:color w:val="283037" w:themeColor="accent1" w:themeShade="7F"/>
    </w:rPr>
  </w:style>
  <w:style w:type="paragraph" w:styleId="Heading6">
    <w:name w:val="heading 6"/>
    <w:basedOn w:val="Normal"/>
    <w:next w:val="Normal"/>
    <w:link w:val="Heading6Char"/>
    <w:uiPriority w:val="9"/>
    <w:qFormat/>
    <w:rsid w:val="009D6B46"/>
    <w:pPr>
      <w:spacing w:before="240"/>
      <w:outlineLvl w:val="5"/>
    </w:pPr>
    <w:rPr>
      <w:rFonts w:eastAsiaTheme="majorEastAsia" w:cstheme="majorBidi"/>
      <w:b/>
      <w:i/>
      <w:iCs/>
    </w:rPr>
  </w:style>
  <w:style w:type="paragraph" w:styleId="Heading7">
    <w:name w:val="heading 7"/>
    <w:basedOn w:val="Normal"/>
    <w:next w:val="Normal"/>
    <w:link w:val="Heading7Char"/>
    <w:uiPriority w:val="9"/>
    <w:qFormat/>
    <w:rsid w:val="009D6B46"/>
    <w:pPr>
      <w:spacing w:before="240"/>
      <w:outlineLvl w:val="6"/>
    </w:pPr>
    <w:rPr>
      <w:rFonts w:eastAsiaTheme="majorEastAsia" w:cstheme="majorBidi"/>
      <w:i/>
      <w:iCs/>
      <w:color w:val="404040" w:themeColor="text1" w:themeTint="BF"/>
    </w:rPr>
  </w:style>
  <w:style w:type="paragraph" w:styleId="Heading8">
    <w:name w:val="heading 8"/>
    <w:basedOn w:val="Normal"/>
    <w:next w:val="Normal"/>
    <w:link w:val="Heading8Char"/>
    <w:qFormat/>
    <w:rsid w:val="009D6B46"/>
    <w:pPr>
      <w:spacing w:before="240"/>
      <w:outlineLvl w:val="7"/>
    </w:pPr>
    <w:rPr>
      <w:rFonts w:eastAsiaTheme="majorEastAsia" w:cstheme="majorBidi"/>
      <w:color w:val="51626F" w:themeColor="accent1"/>
      <w:szCs w:val="20"/>
    </w:rPr>
  </w:style>
  <w:style w:type="paragraph" w:styleId="Heading9">
    <w:name w:val="heading 9"/>
    <w:basedOn w:val="Normal"/>
    <w:next w:val="Normal"/>
    <w:link w:val="Heading9Char"/>
    <w:uiPriority w:val="9"/>
    <w:qFormat/>
    <w:rsid w:val="009D6B46"/>
    <w:pPr>
      <w:spacing w:before="240"/>
      <w:outlineLvl w:val="8"/>
    </w:pPr>
    <w:rPr>
      <w:rFonts w:eastAsiaTheme="majorEastAsia" w:cstheme="majorBidi"/>
      <w:i/>
      <w:iCs/>
      <w:color w:val="51626F"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6B46"/>
    <w:rPr>
      <w:rFonts w:ascii="Lucida Fax" w:eastAsiaTheme="majorEastAsia" w:hAnsi="Lucida Fax" w:cstheme="majorBidi"/>
      <w:bCs/>
      <w:color w:val="51626F"/>
      <w:sz w:val="32"/>
      <w:szCs w:val="28"/>
    </w:rPr>
  </w:style>
  <w:style w:type="character" w:customStyle="1" w:styleId="Heading2Char">
    <w:name w:val="Heading 2 Char"/>
    <w:aliases w:val="AER Heading 2 (new) Char"/>
    <w:basedOn w:val="DefaultParagraphFont"/>
    <w:link w:val="Heading2"/>
    <w:rsid w:val="004F6D0A"/>
    <w:rPr>
      <w:rFonts w:ascii="Arial" w:eastAsiaTheme="majorEastAsia" w:hAnsi="Arial" w:cstheme="majorBidi"/>
      <w:b/>
      <w:bCs/>
      <w:color w:val="51626F"/>
      <w:sz w:val="28"/>
      <w:szCs w:val="26"/>
    </w:rPr>
  </w:style>
  <w:style w:type="character" w:customStyle="1" w:styleId="Heading3Char">
    <w:name w:val="Heading 3 Char"/>
    <w:basedOn w:val="DefaultParagraphFont"/>
    <w:link w:val="Heading3"/>
    <w:rsid w:val="009D6B46"/>
    <w:rPr>
      <w:rFonts w:ascii="Arial" w:eastAsiaTheme="majorEastAsia" w:hAnsi="Arial" w:cstheme="majorBidi"/>
      <w:b/>
      <w:bCs/>
      <w:color w:val="000000" w:themeColor="text1" w:themeShade="BF"/>
      <w:sz w:val="24"/>
    </w:rPr>
  </w:style>
  <w:style w:type="character" w:customStyle="1" w:styleId="Heading4Char">
    <w:name w:val="Heading 4 Char"/>
    <w:basedOn w:val="DefaultParagraphFont"/>
    <w:link w:val="Heading4"/>
    <w:rsid w:val="009D6B46"/>
    <w:rPr>
      <w:rFonts w:ascii="Arial" w:eastAsiaTheme="majorEastAsia" w:hAnsi="Arial" w:cstheme="majorBidi"/>
      <w:b/>
      <w:bCs/>
      <w:i/>
      <w:iCs/>
      <w:color w:val="51626F"/>
      <w:sz w:val="24"/>
    </w:rPr>
  </w:style>
  <w:style w:type="character" w:customStyle="1" w:styleId="Heading5Char">
    <w:name w:val="Heading 5 Char"/>
    <w:basedOn w:val="DefaultParagraphFont"/>
    <w:link w:val="Heading5"/>
    <w:rsid w:val="009D6B46"/>
    <w:rPr>
      <w:rFonts w:ascii="Arial" w:eastAsiaTheme="majorEastAsia" w:hAnsi="Arial" w:cstheme="majorBidi"/>
      <w:b/>
      <w:color w:val="283037" w:themeColor="accent1" w:themeShade="7F"/>
    </w:rPr>
  </w:style>
  <w:style w:type="character" w:customStyle="1" w:styleId="Heading6Char">
    <w:name w:val="Heading 6 Char"/>
    <w:basedOn w:val="DefaultParagraphFont"/>
    <w:link w:val="Heading6"/>
    <w:uiPriority w:val="9"/>
    <w:rsid w:val="009D6B46"/>
    <w:rPr>
      <w:rFonts w:ascii="Arial" w:eastAsiaTheme="majorEastAsia" w:hAnsi="Arial" w:cstheme="majorBidi"/>
      <w:b/>
      <w:i/>
      <w:iCs/>
    </w:rPr>
  </w:style>
  <w:style w:type="paragraph" w:customStyle="1" w:styleId="Reporttitle">
    <w:name w:val="Report title"/>
    <w:basedOn w:val="Normal"/>
    <w:link w:val="ReporttitleChar"/>
    <w:qFormat/>
    <w:rsid w:val="005C26CC"/>
    <w:pPr>
      <w:spacing w:before="520" w:after="120"/>
    </w:pPr>
    <w:rPr>
      <w:rFonts w:ascii="Lucida Fax" w:hAnsi="Lucida Fax"/>
      <w:color w:val="4F2D7F"/>
      <w:sz w:val="72"/>
      <w:szCs w:val="56"/>
    </w:rPr>
  </w:style>
  <w:style w:type="character" w:customStyle="1" w:styleId="ReporttitleChar">
    <w:name w:val="Report title Char"/>
    <w:basedOn w:val="DefaultParagraphFont"/>
    <w:link w:val="Reporttitle"/>
    <w:rsid w:val="005C26CC"/>
    <w:rPr>
      <w:rFonts w:ascii="Lucida Fax" w:hAnsi="Lucida Fax"/>
      <w:color w:val="4F2D7F"/>
      <w:sz w:val="72"/>
      <w:szCs w:val="56"/>
    </w:rPr>
  </w:style>
  <w:style w:type="paragraph" w:customStyle="1" w:styleId="Chaptertitle">
    <w:name w:val="Chapter title"/>
    <w:basedOn w:val="Reporttitle"/>
    <w:link w:val="ChaptertitleChar"/>
    <w:qFormat/>
    <w:rsid w:val="00B87C39"/>
    <w:rPr>
      <w:sz w:val="52"/>
      <w:szCs w:val="52"/>
    </w:rPr>
  </w:style>
  <w:style w:type="character" w:customStyle="1" w:styleId="ChaptertitleChar">
    <w:name w:val="Chapter title Char"/>
    <w:basedOn w:val="ReporttitleChar"/>
    <w:link w:val="Chaptertitle"/>
    <w:rsid w:val="00B87C39"/>
    <w:rPr>
      <w:rFonts w:ascii="Lucida Fax" w:hAnsi="Lucida Fax"/>
      <w:color w:val="4F2D7F"/>
      <w:sz w:val="52"/>
      <w:szCs w:val="52"/>
    </w:rPr>
  </w:style>
  <w:style w:type="paragraph" w:customStyle="1" w:styleId="Tabletext">
    <w:name w:val="Table text"/>
    <w:basedOn w:val="Normal"/>
    <w:link w:val="TabletextChar"/>
    <w:uiPriority w:val="1"/>
    <w:qFormat/>
    <w:rsid w:val="00214FBA"/>
    <w:pPr>
      <w:spacing w:before="120" w:after="60"/>
    </w:pPr>
    <w:rPr>
      <w:sz w:val="18"/>
    </w:rPr>
  </w:style>
  <w:style w:type="paragraph" w:customStyle="1" w:styleId="Copyrighttext">
    <w:name w:val="Copyright text"/>
    <w:basedOn w:val="Normal"/>
    <w:link w:val="CopyrighttextChar"/>
    <w:uiPriority w:val="2"/>
    <w:qFormat/>
    <w:rsid w:val="00F952A0"/>
    <w:pPr>
      <w:spacing w:line="360" w:lineRule="auto"/>
      <w:contextualSpacing/>
    </w:pPr>
    <w:rPr>
      <w:color w:val="51626F" w:themeColor="accent1"/>
      <w:sz w:val="16"/>
      <w:szCs w:val="16"/>
    </w:rPr>
  </w:style>
  <w:style w:type="character" w:customStyle="1" w:styleId="CopyrighttextChar">
    <w:name w:val="Copyright text Char"/>
    <w:basedOn w:val="DefaultParagraphFont"/>
    <w:link w:val="Copyrighttext"/>
    <w:uiPriority w:val="2"/>
    <w:rsid w:val="00724A37"/>
    <w:rPr>
      <w:rFonts w:ascii="Arial" w:hAnsi="Arial"/>
      <w:color w:val="51626F" w:themeColor="accent1"/>
      <w:sz w:val="16"/>
      <w:szCs w:val="16"/>
    </w:rPr>
  </w:style>
  <w:style w:type="paragraph" w:styleId="TOC8">
    <w:name w:val="toc 8"/>
    <w:basedOn w:val="Normal"/>
    <w:next w:val="Normal"/>
    <w:rsid w:val="009F4940"/>
    <w:pPr>
      <w:tabs>
        <w:tab w:val="right" w:leader="dot" w:pos="9016"/>
      </w:tabs>
      <w:spacing w:after="100"/>
      <w:ind w:left="2977"/>
    </w:pPr>
    <w:rPr>
      <w:noProof/>
    </w:rPr>
  </w:style>
  <w:style w:type="paragraph" w:styleId="TOC9">
    <w:name w:val="toc 9"/>
    <w:basedOn w:val="Normal"/>
    <w:next w:val="Normal"/>
    <w:rsid w:val="009F4940"/>
    <w:pPr>
      <w:tabs>
        <w:tab w:val="right" w:leader="dot" w:pos="9016"/>
      </w:tabs>
      <w:spacing w:after="100"/>
      <w:ind w:left="3402"/>
    </w:pPr>
    <w:rPr>
      <w:noProof/>
    </w:rPr>
  </w:style>
  <w:style w:type="paragraph" w:customStyle="1" w:styleId="Numbered1">
    <w:name w:val="Numbered 1"/>
    <w:basedOn w:val="Heading1"/>
    <w:next w:val="Normal"/>
    <w:link w:val="Numbered1Char"/>
    <w:qFormat/>
    <w:rsid w:val="00085663"/>
    <w:pPr>
      <w:numPr>
        <w:numId w:val="15"/>
      </w:numPr>
      <w:ind w:left="680" w:hanging="680"/>
    </w:pPr>
  </w:style>
  <w:style w:type="paragraph" w:customStyle="1" w:styleId="Numbered11">
    <w:name w:val="Numbered 1.1"/>
    <w:basedOn w:val="Heading2"/>
    <w:next w:val="Normal"/>
    <w:qFormat/>
    <w:rsid w:val="00B17A1D"/>
    <w:pPr>
      <w:numPr>
        <w:ilvl w:val="1"/>
        <w:numId w:val="15"/>
      </w:numPr>
      <w:ind w:left="1021" w:hanging="1021"/>
    </w:pPr>
    <w:rPr>
      <w:rFonts w:cs="Arial"/>
      <w:b w:val="0"/>
    </w:rPr>
  </w:style>
  <w:style w:type="paragraph" w:customStyle="1" w:styleId="Numbered111">
    <w:name w:val="Numbered 1.1.1"/>
    <w:basedOn w:val="Heading3"/>
    <w:next w:val="Normal"/>
    <w:qFormat/>
    <w:rsid w:val="00B17A1D"/>
    <w:pPr>
      <w:numPr>
        <w:ilvl w:val="2"/>
        <w:numId w:val="15"/>
      </w:numPr>
      <w:ind w:left="1247" w:hanging="1247"/>
      <w:contextualSpacing/>
    </w:pPr>
  </w:style>
  <w:style w:type="paragraph" w:customStyle="1" w:styleId="Numbered1111">
    <w:name w:val="Numbered 1.1.1.1"/>
    <w:basedOn w:val="Heading4"/>
    <w:next w:val="Normal"/>
    <w:rsid w:val="00B17A1D"/>
    <w:pPr>
      <w:numPr>
        <w:ilvl w:val="3"/>
        <w:numId w:val="15"/>
      </w:numPr>
      <w:ind w:left="1474" w:hanging="1474"/>
    </w:pPr>
  </w:style>
  <w:style w:type="paragraph" w:customStyle="1" w:styleId="Numbered11111">
    <w:name w:val="Numbered 1.1.1.1.1"/>
    <w:basedOn w:val="Heading5"/>
    <w:next w:val="Normal"/>
    <w:uiPriority w:val="2"/>
    <w:rsid w:val="00B17A1D"/>
    <w:pPr>
      <w:numPr>
        <w:ilvl w:val="4"/>
        <w:numId w:val="15"/>
      </w:numPr>
      <w:ind w:left="1701" w:hanging="1701"/>
    </w:pPr>
  </w:style>
  <w:style w:type="paragraph" w:customStyle="1" w:styleId="Numbered111111">
    <w:name w:val="Numbered 1.1.1.1.1.1"/>
    <w:basedOn w:val="Heading6"/>
    <w:next w:val="Normal"/>
    <w:uiPriority w:val="2"/>
    <w:rsid w:val="00B17A1D"/>
    <w:pPr>
      <w:numPr>
        <w:ilvl w:val="5"/>
        <w:numId w:val="15"/>
      </w:numPr>
      <w:ind w:left="2155" w:hanging="2155"/>
    </w:pPr>
  </w:style>
  <w:style w:type="paragraph" w:styleId="Header">
    <w:name w:val="header"/>
    <w:basedOn w:val="Normal"/>
    <w:link w:val="HeaderChar"/>
    <w:unhideWhenUsed/>
    <w:qFormat/>
    <w:rsid w:val="008344F6"/>
    <w:pPr>
      <w:tabs>
        <w:tab w:val="center" w:pos="4513"/>
        <w:tab w:val="right" w:pos="9026"/>
      </w:tabs>
      <w:spacing w:after="120"/>
    </w:pPr>
    <w:rPr>
      <w:color w:val="51626F" w:themeColor="accent1"/>
      <w:sz w:val="18"/>
    </w:rPr>
  </w:style>
  <w:style w:type="character" w:customStyle="1" w:styleId="HeaderChar">
    <w:name w:val="Header Char"/>
    <w:basedOn w:val="DefaultParagraphFont"/>
    <w:link w:val="Header"/>
    <w:uiPriority w:val="99"/>
    <w:rsid w:val="008344F6"/>
    <w:rPr>
      <w:rFonts w:ascii="Arial" w:hAnsi="Arial"/>
      <w:color w:val="51626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584D8F"/>
    <w:pPr>
      <w:spacing w:before="240" w:after="120"/>
    </w:pPr>
    <w:rPr>
      <w:b/>
      <w:szCs w:val="20"/>
    </w:rPr>
  </w:style>
  <w:style w:type="character" w:customStyle="1" w:styleId="TabletitleChar">
    <w:name w:val="Table title Char"/>
    <w:basedOn w:val="DefaultParagraphFont"/>
    <w:link w:val="Tabletitle"/>
    <w:rsid w:val="00584D8F"/>
    <w:rPr>
      <w:rFonts w:ascii="Arial" w:hAnsi="Arial"/>
      <w:b/>
      <w:szCs w:val="20"/>
    </w:rPr>
  </w:style>
  <w:style w:type="paragraph" w:customStyle="1" w:styleId="Charttitle">
    <w:name w:val="Chart title"/>
    <w:basedOn w:val="Tabletitle"/>
    <w:qFormat/>
    <w:rsid w:val="005C26CC"/>
    <w:rPr>
      <w:sz w:val="24"/>
    </w:rPr>
  </w:style>
  <w:style w:type="paragraph" w:styleId="EndnoteText">
    <w:name w:val="endnote text"/>
    <w:basedOn w:val="Normal"/>
    <w:link w:val="EndnoteTextChar"/>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EA3D42"/>
    <w:pPr>
      <w:spacing w:after="120"/>
      <w:contextualSpacing/>
    </w:pPr>
    <w:rPr>
      <w:rFonts w:ascii="Lucida Fax" w:hAnsi="Lucida Fax"/>
      <w:b/>
      <w:color w:val="DC5034"/>
      <w:sz w:val="24"/>
      <w:szCs w:val="24"/>
    </w:rPr>
  </w:style>
  <w:style w:type="character" w:customStyle="1" w:styleId="PullquoteheadingChar">
    <w:name w:val="Pull quote heading Char"/>
    <w:basedOn w:val="DefaultParagraphFont"/>
    <w:link w:val="Pullquoteheading"/>
    <w:uiPriority w:val="1"/>
    <w:rsid w:val="00AE1BF1"/>
    <w:rPr>
      <w:rFonts w:ascii="Lucida Fax" w:hAnsi="Lucida Fax"/>
      <w:b/>
      <w:color w:val="DC5034"/>
      <w:sz w:val="24"/>
      <w:szCs w:val="24"/>
    </w:rPr>
  </w:style>
  <w:style w:type="paragraph" w:customStyle="1" w:styleId="Pullquotetext">
    <w:name w:val="Pull quote text"/>
    <w:link w:val="PullquotetextChar"/>
    <w:uiPriority w:val="1"/>
    <w:rsid w:val="00AF0DD2"/>
    <w:pPr>
      <w:spacing w:before="120"/>
    </w:pPr>
    <w:rPr>
      <w:rFonts w:ascii="Lucida Fax" w:hAnsi="Lucida Fax"/>
      <w:color w:val="DC5034"/>
      <w:szCs w:val="24"/>
    </w:rPr>
  </w:style>
  <w:style w:type="character" w:customStyle="1" w:styleId="PullquotetextChar">
    <w:name w:val="Pull quote text Char"/>
    <w:basedOn w:val="PullquoteheadingChar"/>
    <w:link w:val="Pullquotetext"/>
    <w:uiPriority w:val="1"/>
    <w:rsid w:val="00AE1BF1"/>
    <w:rPr>
      <w:rFonts w:ascii="Lucida Fax" w:hAnsi="Lucida Fax"/>
      <w:b w:val="0"/>
      <w:color w:val="DC5034"/>
      <w:sz w:val="24"/>
      <w:szCs w:val="24"/>
    </w:rPr>
  </w:style>
  <w:style w:type="paragraph" w:customStyle="1" w:styleId="Note">
    <w:name w:val="Note"/>
    <w:basedOn w:val="Normal"/>
    <w:link w:val="NoteChar"/>
    <w:qFormat/>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customStyle="1" w:styleId="Footnotes">
    <w:name w:val="Footnotes"/>
    <w:basedOn w:val="FootnoteText"/>
    <w:link w:val="FootnotesChar"/>
    <w:uiPriority w:val="4"/>
    <w:semiHidden/>
    <w:qFormat/>
    <w:rsid w:val="00B8080B"/>
  </w:style>
  <w:style w:type="character" w:customStyle="1" w:styleId="FootnotesChar">
    <w:name w:val="Footnotes Char"/>
    <w:basedOn w:val="DefaultParagraphFont"/>
    <w:link w:val="Footnotes"/>
    <w:uiPriority w:val="4"/>
    <w:semiHidden/>
    <w:rsid w:val="00FE39C2"/>
    <w:rPr>
      <w:rFonts w:ascii="Arial" w:hAnsi="Arial"/>
      <w:sz w:val="20"/>
      <w:szCs w:val="20"/>
    </w:rPr>
  </w:style>
  <w:style w:type="paragraph" w:styleId="Quote">
    <w:name w:val="Quote"/>
    <w:basedOn w:val="Normal"/>
    <w:next w:val="Normal"/>
    <w:link w:val="QuoteChar"/>
    <w:uiPriority w:val="29"/>
    <w:rsid w:val="001D055E"/>
    <w:pPr>
      <w:ind w:left="737"/>
    </w:pPr>
    <w:rPr>
      <w:i/>
      <w:iCs/>
      <w:color w:val="000000" w:themeColor="text1"/>
    </w:rPr>
  </w:style>
  <w:style w:type="character" w:customStyle="1" w:styleId="QuoteChar">
    <w:name w:val="Quote Char"/>
    <w:basedOn w:val="DefaultParagraphFont"/>
    <w:link w:val="Quote"/>
    <w:uiPriority w:val="29"/>
    <w:rsid w:val="001D055E"/>
    <w:rPr>
      <w:rFonts w:ascii="Arial" w:hAnsi="Arial"/>
      <w:i/>
      <w:iCs/>
      <w:color w:val="000000" w:themeColor="text1"/>
    </w:rPr>
  </w:style>
  <w:style w:type="paragraph" w:customStyle="1" w:styleId="Bulletpoint">
    <w:name w:val="Bullet point"/>
    <w:basedOn w:val="ListBullet"/>
    <w:qFormat/>
    <w:rsid w:val="00FE64AE"/>
    <w:pPr>
      <w:numPr>
        <w:numId w:val="2"/>
      </w:numPr>
      <w:ind w:left="357" w:hanging="357"/>
    </w:pPr>
    <w:rPr>
      <w:rFonts w:cs="Times New Roman"/>
    </w:rPr>
  </w:style>
  <w:style w:type="paragraph" w:styleId="ListBullet">
    <w:name w:val="List Bullet"/>
    <w:basedOn w:val="Normal"/>
    <w:uiPriority w:val="99"/>
    <w:unhideWhenUsed/>
    <w:rsid w:val="008033C4"/>
    <w:pPr>
      <w:numPr>
        <w:numId w:val="13"/>
      </w:numPr>
      <w:spacing w:before="120"/>
      <w:ind w:left="357" w:hanging="357"/>
    </w:pPr>
  </w:style>
  <w:style w:type="paragraph" w:customStyle="1" w:styleId="Bulletpoint2">
    <w:name w:val="Bullet point 2"/>
    <w:basedOn w:val="ListBullet2"/>
    <w:uiPriority w:val="1"/>
    <w:qFormat/>
    <w:rsid w:val="008033C4"/>
    <w:pPr>
      <w:numPr>
        <w:numId w:val="12"/>
      </w:numPr>
      <w:ind w:left="998" w:hanging="357"/>
    </w:pPr>
  </w:style>
  <w:style w:type="paragraph" w:styleId="ListNumber">
    <w:name w:val="List Number"/>
    <w:basedOn w:val="Normal"/>
    <w:uiPriority w:val="99"/>
    <w:qFormat/>
    <w:rsid w:val="008033C4"/>
    <w:pPr>
      <w:numPr>
        <w:numId w:val="7"/>
      </w:numPr>
      <w:spacing w:before="120"/>
      <w:ind w:left="357" w:hanging="357"/>
    </w:pPr>
    <w:rPr>
      <w:color w:val="000000" w:themeColor="text1" w:themeShade="BF"/>
    </w:rPr>
  </w:style>
  <w:style w:type="paragraph" w:styleId="ListBullet2">
    <w:name w:val="List Bullet 2"/>
    <w:basedOn w:val="Normal"/>
    <w:uiPriority w:val="99"/>
    <w:unhideWhenUsed/>
    <w:rsid w:val="008033C4"/>
    <w:pPr>
      <w:numPr>
        <w:numId w:val="3"/>
      </w:numPr>
      <w:spacing w:before="120"/>
      <w:ind w:left="641" w:hanging="357"/>
    </w:pPr>
  </w:style>
  <w:style w:type="paragraph" w:styleId="TOCHeading">
    <w:name w:val="TOC Heading"/>
    <w:basedOn w:val="Normal"/>
    <w:next w:val="Normal"/>
    <w:uiPriority w:val="39"/>
    <w:qFormat/>
    <w:rsid w:val="00E04818"/>
    <w:pPr>
      <w:spacing w:before="480" w:after="120"/>
    </w:pPr>
    <w:rPr>
      <w:rFonts w:ascii="Lucida Fax" w:eastAsiaTheme="majorEastAsia" w:hAnsi="Lucida Fax" w:cstheme="majorBidi"/>
      <w:bCs/>
      <w:color w:val="51626F"/>
      <w:sz w:val="32"/>
      <w:szCs w:val="28"/>
      <w:lang w:val="en-US" w:eastAsia="ja-JP"/>
    </w:rPr>
  </w:style>
  <w:style w:type="paragraph" w:styleId="ListNumber2">
    <w:name w:val="List Number 2"/>
    <w:aliases w:val="List alphabet"/>
    <w:next w:val="Normal"/>
    <w:uiPriority w:val="99"/>
    <w:qFormat/>
    <w:rsid w:val="008033C4"/>
    <w:pPr>
      <w:numPr>
        <w:numId w:val="8"/>
      </w:numPr>
      <w:spacing w:before="120"/>
      <w:ind w:left="357" w:hanging="357"/>
    </w:pPr>
    <w:rPr>
      <w:rFonts w:ascii="Arial" w:hAnsi="Arial"/>
    </w:rPr>
  </w:style>
  <w:style w:type="character" w:styleId="Hyperlink">
    <w:name w:val="Hyperlink"/>
    <w:basedOn w:val="DefaultParagraphFont"/>
    <w:qFormat/>
    <w:rsid w:val="00BE1F1B"/>
    <w:rPr>
      <w:rFonts w:ascii="Arial" w:hAnsi="Arial"/>
      <w:color w:val="0000FF"/>
      <w:sz w:val="22"/>
      <w:u w:val="single"/>
    </w:rPr>
  </w:style>
  <w:style w:type="paragraph" w:styleId="BalloonText">
    <w:name w:val="Balloon Text"/>
    <w:basedOn w:val="Normal"/>
    <w:link w:val="BalloonTextChar"/>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A57D04"/>
    <w:pPr>
      <w:tabs>
        <w:tab w:val="center" w:pos="4513"/>
        <w:tab w:val="right" w:pos="9026"/>
      </w:tabs>
      <w:spacing w:after="120"/>
    </w:pPr>
    <w:rPr>
      <w:color w:val="51626F" w:themeColor="accent1"/>
      <w:sz w:val="18"/>
    </w:rPr>
  </w:style>
  <w:style w:type="character" w:customStyle="1" w:styleId="FooterChar">
    <w:name w:val="Footer Char"/>
    <w:basedOn w:val="DefaultParagraphFont"/>
    <w:link w:val="Footer"/>
    <w:uiPriority w:val="99"/>
    <w:rsid w:val="00A57D04"/>
    <w:rPr>
      <w:rFonts w:ascii="Arial" w:hAnsi="Arial"/>
      <w:color w:val="51626F" w:themeColor="accent1"/>
      <w:sz w:val="18"/>
    </w:rPr>
  </w:style>
  <w:style w:type="paragraph" w:styleId="ListParagraph">
    <w:name w:val="List Paragraph"/>
    <w:basedOn w:val="Normal"/>
    <w:uiPriority w:val="34"/>
    <w:qFormat/>
    <w:rsid w:val="008033C4"/>
    <w:pPr>
      <w:numPr>
        <w:numId w:val="14"/>
      </w:numPr>
      <w:spacing w:before="120"/>
      <w:ind w:left="714" w:hanging="357"/>
    </w:pPr>
  </w:style>
  <w:style w:type="character" w:customStyle="1" w:styleId="Heading7Char">
    <w:name w:val="Heading 7 Char"/>
    <w:basedOn w:val="DefaultParagraphFont"/>
    <w:link w:val="Heading7"/>
    <w:uiPriority w:val="9"/>
    <w:rsid w:val="009D6B46"/>
    <w:rPr>
      <w:rFonts w:ascii="Arial" w:eastAsiaTheme="majorEastAsia" w:hAnsi="Arial" w:cstheme="majorBidi"/>
      <w:i/>
      <w:iCs/>
      <w:color w:val="404040" w:themeColor="text1" w:themeTint="BF"/>
    </w:rPr>
  </w:style>
  <w:style w:type="character" w:customStyle="1" w:styleId="Heading8Char">
    <w:name w:val="Heading 8 Char"/>
    <w:basedOn w:val="DefaultParagraphFont"/>
    <w:link w:val="Heading8"/>
    <w:rsid w:val="009D6B46"/>
    <w:rPr>
      <w:rFonts w:ascii="Arial" w:eastAsiaTheme="majorEastAsia" w:hAnsi="Arial" w:cstheme="majorBidi"/>
      <w:color w:val="51626F" w:themeColor="accent1"/>
      <w:szCs w:val="20"/>
    </w:rPr>
  </w:style>
  <w:style w:type="character" w:customStyle="1" w:styleId="Heading9Char">
    <w:name w:val="Heading 9 Char"/>
    <w:basedOn w:val="DefaultParagraphFont"/>
    <w:link w:val="Heading9"/>
    <w:uiPriority w:val="9"/>
    <w:rsid w:val="009D6B46"/>
    <w:rPr>
      <w:rFonts w:ascii="Arial" w:eastAsiaTheme="majorEastAsia" w:hAnsi="Arial" w:cstheme="majorBidi"/>
      <w:i/>
      <w:iCs/>
      <w:color w:val="51626F" w:themeColor="accent1"/>
      <w:szCs w:val="20"/>
    </w:rPr>
  </w:style>
  <w:style w:type="paragraph" w:customStyle="1" w:styleId="Numbered1111111">
    <w:name w:val="Numbered 1.1.1.1.1.1.1"/>
    <w:basedOn w:val="Heading7"/>
    <w:next w:val="Normal"/>
    <w:uiPriority w:val="2"/>
    <w:rsid w:val="00B17A1D"/>
    <w:pPr>
      <w:numPr>
        <w:ilvl w:val="6"/>
        <w:numId w:val="15"/>
      </w:numPr>
      <w:ind w:left="2381" w:hanging="2381"/>
    </w:pPr>
  </w:style>
  <w:style w:type="paragraph" w:customStyle="1" w:styleId="Numbered11111111">
    <w:name w:val="Numbered 1.1.1.1.1.1.1.1"/>
    <w:basedOn w:val="Heading8"/>
    <w:next w:val="Normal"/>
    <w:uiPriority w:val="2"/>
    <w:rsid w:val="00B17A1D"/>
    <w:pPr>
      <w:numPr>
        <w:ilvl w:val="7"/>
        <w:numId w:val="15"/>
      </w:numPr>
      <w:ind w:left="2608" w:hanging="2608"/>
    </w:pPr>
  </w:style>
  <w:style w:type="table" w:styleId="TableGrid">
    <w:name w:val="Table Grid"/>
    <w:aliases w:val="ACCC Table"/>
    <w:basedOn w:val="TableNormal"/>
    <w:rsid w:val="00C53B5A"/>
    <w:pPr>
      <w:spacing w:before="60" w:after="60"/>
    </w:pPr>
    <w:rPr>
      <w:rFonts w:ascii="Arial" w:hAnsi="Arial"/>
      <w:sz w:val="20"/>
    </w:rPr>
    <w:tblPr>
      <w:tblInd w:w="0" w:type="dxa"/>
      <w:tblBorders>
        <w:top w:val="single" w:sz="4" w:space="0" w:color="BFBFBF" w:themeColor="background1" w:themeShade="BF"/>
        <w:bottom w:val="single" w:sz="4" w:space="0" w:color="BFBFBF" w:themeColor="background1" w:themeShade="BF"/>
      </w:tblBorders>
      <w:tblCellMar>
        <w:top w:w="0" w:type="dxa"/>
        <w:left w:w="108" w:type="dxa"/>
        <w:bottom w:w="0" w:type="dxa"/>
        <w:right w:w="108" w:type="dxa"/>
      </w:tblCellMar>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Ind w:w="0" w:type="dxa"/>
      <w:tbl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blBorders>
      <w:tblCellMar>
        <w:top w:w="0" w:type="dxa"/>
        <w:left w:w="108" w:type="dxa"/>
        <w:bottom w:w="0" w:type="dxa"/>
        <w:right w:w="108" w:type="dxa"/>
      </w:tblCellMar>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A871F4"/>
    <w:pPr>
      <w:spacing w:before="0"/>
    </w:pPr>
    <w:rPr>
      <w:color w:val="3C4953" w:themeColor="accent1" w:themeShade="BF"/>
    </w:rPr>
    <w:tblPr>
      <w:tblStyleRowBandSize w:val="1"/>
      <w:tblStyleColBandSize w:val="1"/>
      <w:tblInd w:w="0" w:type="dxa"/>
      <w:tblBorders>
        <w:top w:val="single" w:sz="8" w:space="0" w:color="51626F" w:themeColor="accent1"/>
        <w:bottom w:val="single" w:sz="8" w:space="0" w:color="51626F"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la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DD" w:themeFill="accent1" w:themeFillTint="3F"/>
      </w:tcPr>
    </w:tblStylePr>
    <w:tblStylePr w:type="band1Horz">
      <w:tblPr/>
      <w:tcPr>
        <w:tcBorders>
          <w:left w:val="nil"/>
          <w:right w:val="nil"/>
          <w:insideH w:val="nil"/>
          <w:insideV w:val="nil"/>
        </w:tcBorders>
        <w:shd w:val="clear" w:color="auto" w:fill="D1D8DD"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Ind w:w="0" w:type="dxa"/>
      <w:tbl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blBorders>
      <w:tblCellMar>
        <w:top w:w="0" w:type="dxa"/>
        <w:left w:w="108" w:type="dxa"/>
        <w:bottom w:w="0" w:type="dxa"/>
        <w:right w:w="108" w:type="dxa"/>
      </w:tblCellMar>
    </w:tblPr>
    <w:tcPr>
      <w:vAlign w:val="center"/>
    </w:tcPr>
    <w:tblStylePr w:type="fir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l2br w:val="nil"/>
          <w:tr2bl w:val="nil"/>
        </w:tcBorders>
      </w:tcPr>
    </w:tblStylePr>
    <w:tblStylePr w:type="la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7192" w:themeColor="accent3" w:themeShade="BF"/>
    </w:rPr>
    <w:tblPr>
      <w:tblStyleRowBandSize w:val="1"/>
      <w:tblStyleColBandSize w:val="1"/>
      <w:tblInd w:w="0" w:type="dxa"/>
      <w:tblBorders>
        <w:top w:val="single" w:sz="8" w:space="0" w:color="0098C3" w:themeColor="accent3"/>
        <w:bottom w:val="single" w:sz="8" w:space="0" w:color="0098C3"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la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EDFF" w:themeFill="accent3" w:themeFillTint="3F"/>
      </w:tcPr>
    </w:tblStylePr>
    <w:tblStylePr w:type="band1Horz">
      <w:tblPr/>
      <w:tcPr>
        <w:tcBorders>
          <w:left w:val="nil"/>
          <w:right w:val="nil"/>
          <w:insideH w:val="nil"/>
          <w:insideV w:val="nil"/>
        </w:tcBorders>
        <w:shd w:val="clear" w:color="auto" w:fill="B1ED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Ind w:w="0" w:type="dxa"/>
      <w:tblBorders>
        <w:top w:val="single" w:sz="8" w:space="0" w:color="DC5034" w:themeColor="accent6"/>
        <w:left w:val="single" w:sz="8" w:space="0" w:color="DC5034" w:themeColor="accent6"/>
        <w:bottom w:val="single" w:sz="8" w:space="0" w:color="DC5034" w:themeColor="accent6"/>
        <w:right w:val="single" w:sz="8" w:space="0" w:color="DC5034" w:themeColor="accent6"/>
        <w:insideH w:val="single" w:sz="8" w:space="0" w:color="DC5034" w:themeColor="accent6"/>
        <w:insideV w:val="single" w:sz="8" w:space="0" w:color="DC5034"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18" w:space="0" w:color="DC5034" w:themeColor="accent6"/>
          <w:right w:val="single" w:sz="8" w:space="0" w:color="DC5034" w:themeColor="accent6"/>
          <w:insideH w:val="nil"/>
          <w:insideV w:val="single" w:sz="8" w:space="0" w:color="DC503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insideH w:val="nil"/>
          <w:insideV w:val="single" w:sz="8" w:space="0" w:color="DC503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shd w:val="clear" w:color="auto" w:fill="F6D3CC" w:themeFill="accent6" w:themeFillTint="3F"/>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shd w:val="clear" w:color="auto" w:fill="F6D3CC" w:themeFill="accent6" w:themeFillTint="3F"/>
      </w:tcPr>
    </w:tblStylePr>
    <w:tblStylePr w:type="band2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Ind w:w="0" w:type="dxa"/>
      <w:tbl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single" w:sz="8" w:space="0" w:color="758A9A"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shd w:val="clear" w:color="auto" w:fill="51626F" w:themeFill="accent1"/>
      </w:tcPr>
    </w:tblStylePr>
    <w:tblStylePr w:type="lastRow">
      <w:pPr>
        <w:spacing w:before="0" w:after="0" w:line="240" w:lineRule="auto"/>
      </w:pPr>
      <w:rPr>
        <w:b/>
        <w:bCs/>
      </w:rPr>
      <w:tblPr/>
      <w:tcPr>
        <w:tcBorders>
          <w:top w:val="double" w:sz="6"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8DD" w:themeFill="accent1" w:themeFillTint="3F"/>
      </w:tcPr>
    </w:tblStylePr>
    <w:tblStylePr w:type="band1Horz">
      <w:tblPr/>
      <w:tcPr>
        <w:tcBorders>
          <w:insideH w:val="nil"/>
          <w:insideV w:val="nil"/>
        </w:tcBorders>
        <w:shd w:val="clear" w:color="auto" w:fill="D1D8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Ind w:w="0" w:type="dxa"/>
      <w:tbl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single" w:sz="8" w:space="0" w:color="7643BB"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shd w:val="clear" w:color="auto" w:fill="4F2D7D" w:themeFill="accent2"/>
      </w:tcPr>
    </w:tblStylePr>
    <w:tblStylePr w:type="lastRow">
      <w:pPr>
        <w:spacing w:before="0" w:after="0" w:line="240" w:lineRule="auto"/>
      </w:pPr>
      <w:rPr>
        <w:b/>
        <w:bCs/>
      </w:rPr>
      <w:tblPr/>
      <w:tcPr>
        <w:tcBorders>
          <w:top w:val="double" w:sz="6"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C1E8" w:themeFill="accent2" w:themeFillTint="3F"/>
      </w:tcPr>
    </w:tblStylePr>
    <w:tblStylePr w:type="band1Horz">
      <w:tblPr/>
      <w:tcPr>
        <w:tcBorders>
          <w:insideH w:val="nil"/>
          <w:insideV w:val="nil"/>
        </w:tcBorders>
        <w:shd w:val="clear" w:color="auto" w:fill="D1C1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Ind w:w="0" w:type="dxa"/>
      <w:tbl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single" w:sz="8" w:space="0" w:color="13CAFF"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shd w:val="clear" w:color="auto" w:fill="0098C3" w:themeFill="accent3"/>
      </w:tcPr>
    </w:tblStylePr>
    <w:tblStylePr w:type="lastRow">
      <w:pPr>
        <w:spacing w:before="0" w:after="0" w:line="240" w:lineRule="auto"/>
      </w:pPr>
      <w:rPr>
        <w:b/>
        <w:bCs/>
      </w:rPr>
      <w:tblPr/>
      <w:tcPr>
        <w:tcBorders>
          <w:top w:val="double" w:sz="6"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1EDFF" w:themeFill="accent3" w:themeFillTint="3F"/>
      </w:tcPr>
    </w:tblStylePr>
    <w:tblStylePr w:type="band1Horz">
      <w:tblPr/>
      <w:tcPr>
        <w:tcBorders>
          <w:insideH w:val="nil"/>
          <w:insideV w:val="nil"/>
        </w:tcBorders>
        <w:shd w:val="clear" w:color="auto" w:fill="B1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Ind w:w="0" w:type="dxa"/>
      <w:tbl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single" w:sz="8" w:space="0" w:color="B7DAF0"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shd w:val="clear" w:color="auto" w:fill="A0CFEB" w:themeFill="accent4"/>
      </w:tcPr>
    </w:tblStylePr>
    <w:tblStylePr w:type="lastRow">
      <w:pPr>
        <w:spacing w:before="0" w:after="0" w:line="240" w:lineRule="auto"/>
      </w:pPr>
      <w:rPr>
        <w:b/>
        <w:bCs/>
      </w:rPr>
      <w:tblPr/>
      <w:tcPr>
        <w:tcBorders>
          <w:top w:val="double" w:sz="6"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3FA" w:themeFill="accent4" w:themeFillTint="3F"/>
      </w:tcPr>
    </w:tblStylePr>
    <w:tblStylePr w:type="band1Horz">
      <w:tblPr/>
      <w:tcPr>
        <w:tcBorders>
          <w:insideH w:val="nil"/>
          <w:insideV w:val="nil"/>
        </w:tcBorders>
        <w:shd w:val="clear" w:color="auto" w:fill="E7F3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Ind w:w="0" w:type="dxa"/>
      <w:tbl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single" w:sz="8" w:space="0" w:color="FC220E"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shd w:val="clear" w:color="auto" w:fill="B71202" w:themeFill="accent5"/>
      </w:tcPr>
    </w:tblStylePr>
    <w:tblStylePr w:type="lastRow">
      <w:pPr>
        <w:spacing w:before="0" w:after="0" w:line="240" w:lineRule="auto"/>
      </w:pPr>
      <w:rPr>
        <w:b/>
        <w:bCs/>
      </w:rPr>
      <w:tblPr/>
      <w:tcPr>
        <w:tcBorders>
          <w:top w:val="double" w:sz="6"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B6AF" w:themeFill="accent5" w:themeFillTint="3F"/>
      </w:tcPr>
    </w:tblStylePr>
    <w:tblStylePr w:type="band1Horz">
      <w:tblPr/>
      <w:tcPr>
        <w:tcBorders>
          <w:insideH w:val="nil"/>
          <w:insideV w:val="nil"/>
        </w:tcBorders>
        <w:shd w:val="clear" w:color="auto" w:fill="FEB6AF"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A871F4"/>
    <w:pPr>
      <w:spacing w:before="0"/>
    </w:pPr>
    <w:rPr>
      <w:color w:val="880D01" w:themeColor="accent5" w:themeShade="BF"/>
    </w:rPr>
    <w:tblPr>
      <w:tblStyleRowBandSize w:val="1"/>
      <w:tblStyleColBandSize w:val="1"/>
      <w:tblInd w:w="0" w:type="dxa"/>
      <w:tblBorders>
        <w:top w:val="single" w:sz="8" w:space="0" w:color="B71202" w:themeColor="accent5"/>
        <w:bottom w:val="single" w:sz="8" w:space="0" w:color="B71202"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la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B6AF" w:themeFill="accent5" w:themeFillTint="3F"/>
      </w:tcPr>
    </w:tblStylePr>
    <w:tblStylePr w:type="band1Horz">
      <w:tblPr/>
      <w:tcPr>
        <w:tcBorders>
          <w:left w:val="nil"/>
          <w:right w:val="nil"/>
          <w:insideH w:val="nil"/>
          <w:insideV w:val="nil"/>
        </w:tcBorders>
        <w:shd w:val="clear" w:color="auto" w:fill="FEB6AF"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Ind w:w="0" w:type="dxa"/>
      <w:tblBorders>
        <w:top w:val="single" w:sz="8" w:space="0" w:color="0098C3" w:themeColor="accent3"/>
        <w:left w:val="single" w:sz="8" w:space="0" w:color="0098C3" w:themeColor="accent3"/>
        <w:bottom w:val="single" w:sz="8" w:space="0" w:color="0098C3" w:themeColor="accent3"/>
        <w:right w:val="single" w:sz="8" w:space="0" w:color="0098C3" w:themeColor="accent3"/>
        <w:insideH w:val="single" w:sz="8" w:space="0" w:color="0098C3" w:themeColor="accent3"/>
        <w:insideV w:val="single" w:sz="8" w:space="0" w:color="0098C3"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18" w:space="0" w:color="0098C3" w:themeColor="accent3"/>
          <w:right w:val="single" w:sz="8" w:space="0" w:color="0098C3" w:themeColor="accent3"/>
          <w:insideH w:val="nil"/>
          <w:insideV w:val="single" w:sz="8" w:space="0" w:color="0098C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insideH w:val="nil"/>
          <w:insideV w:val="single" w:sz="8" w:space="0" w:color="0098C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shd w:val="clear" w:color="auto" w:fill="B1EDFF" w:themeFill="accent3" w:themeFillTint="3F"/>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shd w:val="clear" w:color="auto" w:fill="B1EDFF" w:themeFill="accent3" w:themeFillTint="3F"/>
      </w:tcPr>
    </w:tblStylePr>
    <w:tblStylePr w:type="band2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9F4940"/>
    <w:pPr>
      <w:tabs>
        <w:tab w:val="left" w:pos="426"/>
        <w:tab w:val="right" w:leader="dot" w:pos="9016"/>
      </w:tabs>
      <w:spacing w:after="100"/>
    </w:pPr>
    <w:rPr>
      <w:noProof/>
      <w:lang w:val="en-US" w:eastAsia="ja-JP"/>
    </w:rPr>
  </w:style>
  <w:style w:type="paragraph" w:styleId="TOC2">
    <w:name w:val="toc 2"/>
    <w:basedOn w:val="Normal"/>
    <w:next w:val="Normal"/>
    <w:uiPriority w:val="39"/>
    <w:qFormat/>
    <w:rsid w:val="009F4940"/>
    <w:pPr>
      <w:tabs>
        <w:tab w:val="left" w:pos="880"/>
        <w:tab w:val="right" w:leader="dot" w:pos="9016"/>
      </w:tabs>
      <w:spacing w:after="100"/>
      <w:ind w:left="425"/>
    </w:pPr>
    <w:rPr>
      <w:noProof/>
    </w:rPr>
  </w:style>
  <w:style w:type="paragraph" w:styleId="TOC3">
    <w:name w:val="toc 3"/>
    <w:basedOn w:val="Normal"/>
    <w:next w:val="Normal"/>
    <w:uiPriority w:val="39"/>
    <w:qFormat/>
    <w:rsid w:val="009F4940"/>
    <w:pPr>
      <w:tabs>
        <w:tab w:val="left" w:pos="1760"/>
        <w:tab w:val="right" w:leader="dot" w:pos="9016"/>
      </w:tabs>
      <w:spacing w:after="100"/>
      <w:ind w:left="851"/>
    </w:pPr>
    <w:rPr>
      <w:noProof/>
    </w:rPr>
  </w:style>
  <w:style w:type="paragraph" w:styleId="Title">
    <w:name w:val="Title"/>
    <w:basedOn w:val="Normal"/>
    <w:next w:val="Normal"/>
    <w:link w:val="TitleChar"/>
    <w:qFormat/>
    <w:rsid w:val="000E2946"/>
    <w:pPr>
      <w:spacing w:before="100" w:beforeAutospacing="1" w:after="120"/>
      <w:contextualSpacing/>
      <w:outlineLvl w:val="0"/>
    </w:pPr>
    <w:rPr>
      <w:rFonts w:eastAsiaTheme="majorEastAsia" w:cstheme="majorBidi"/>
      <w:b/>
      <w:spacing w:val="5"/>
      <w:kern w:val="28"/>
      <w:sz w:val="44"/>
      <w:szCs w:val="52"/>
    </w:rPr>
  </w:style>
  <w:style w:type="character" w:customStyle="1" w:styleId="TitleChar">
    <w:name w:val="Title Char"/>
    <w:basedOn w:val="DefaultParagraphFont"/>
    <w:link w:val="Title"/>
    <w:rsid w:val="000E2946"/>
    <w:rPr>
      <w:rFonts w:ascii="Arial" w:eastAsiaTheme="majorEastAsia" w:hAnsi="Arial" w:cstheme="majorBidi"/>
      <w:b/>
      <w:spacing w:val="5"/>
      <w:kern w:val="28"/>
      <w:sz w:val="44"/>
      <w:szCs w:val="52"/>
    </w:rPr>
  </w:style>
  <w:style w:type="paragraph" w:customStyle="1" w:styleId="CoverDate">
    <w:name w:val="Cover Date"/>
    <w:qFormat/>
    <w:rsid w:val="00746E01"/>
    <w:rPr>
      <w:rFonts w:ascii="Lucida Fax" w:hAnsi="Lucida Fax"/>
      <w:color w:val="DC5034"/>
      <w:szCs w:val="24"/>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Ind w:w="0" w:type="dxa"/>
      <w:tblBorders>
        <w:top w:val="single" w:sz="8" w:space="0" w:color="51626F" w:themeColor="accent1"/>
        <w:left w:val="single" w:sz="8" w:space="0" w:color="51626F" w:themeColor="accent1"/>
        <w:bottom w:val="single" w:sz="8" w:space="0" w:color="51626F" w:themeColor="accent1"/>
        <w:right w:val="single" w:sz="8" w:space="0" w:color="51626F"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1626F" w:themeFill="accent1"/>
      </w:tcPr>
    </w:tblStylePr>
    <w:tblStylePr w:type="lastRow">
      <w:pPr>
        <w:spacing w:before="0" w:after="0" w:line="240" w:lineRule="auto"/>
      </w:pPr>
      <w:rPr>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tcBorders>
      </w:tcPr>
    </w:tblStylePr>
    <w:tblStylePr w:type="firstCol">
      <w:rPr>
        <w:b/>
        <w:bCs/>
      </w:rPr>
    </w:tblStylePr>
    <w:tblStylePr w:type="lastCol">
      <w:rPr>
        <w:b/>
        <w:bCs/>
      </w:r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Ind w:w="0" w:type="dxa"/>
      <w:tblBorders>
        <w:top w:val="single" w:sz="8" w:space="0" w:color="0098C3" w:themeColor="accent3"/>
        <w:left w:val="single" w:sz="8" w:space="0" w:color="0098C3" w:themeColor="accent3"/>
        <w:bottom w:val="single" w:sz="8" w:space="0" w:color="0098C3" w:themeColor="accent3"/>
        <w:right w:val="single" w:sz="8" w:space="0" w:color="0098C3"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98C3" w:themeFill="accent3"/>
      </w:tcPr>
    </w:tblStylePr>
    <w:tblStylePr w:type="lastRow">
      <w:pPr>
        <w:spacing w:before="0" w:after="0" w:line="240" w:lineRule="auto"/>
      </w:pPr>
      <w:rPr>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tcBorders>
      </w:tcPr>
    </w:tblStylePr>
    <w:tblStylePr w:type="firstCol">
      <w:rPr>
        <w:b/>
        <w:bCs/>
      </w:rPr>
    </w:tblStylePr>
    <w:tblStylePr w:type="lastCol">
      <w:rPr>
        <w:b/>
        <w:bCs/>
      </w:r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Ind w:w="0" w:type="dxa"/>
      <w:tblBorders>
        <w:top w:val="single" w:sz="8" w:space="0" w:color="B71202" w:themeColor="accent5"/>
        <w:left w:val="single" w:sz="8" w:space="0" w:color="B71202" w:themeColor="accent5"/>
        <w:bottom w:val="single" w:sz="8" w:space="0" w:color="B71202" w:themeColor="accent5"/>
        <w:right w:val="single" w:sz="8" w:space="0" w:color="B71202" w:themeColor="accent5"/>
      </w:tblBorders>
      <w:tblCellMar>
        <w:top w:w="0" w:type="dxa"/>
        <w:left w:w="108" w:type="dxa"/>
        <w:bottom w:w="0" w:type="dxa"/>
        <w:right w:w="108" w:type="dxa"/>
      </w:tblCellMar>
    </w:tblPr>
    <w:tblStylePr w:type="firstRow">
      <w:pPr>
        <w:spacing w:before="0" w:after="0" w:line="240" w:lineRule="auto"/>
      </w:pPr>
      <w:rPr>
        <w:b/>
        <w:bCs/>
        <w:color w:val="auto"/>
      </w:rPr>
      <w:tblPr/>
      <w:tcPr>
        <w:shd w:val="clear" w:color="auto" w:fill="B71202" w:themeFill="accent5"/>
      </w:tcPr>
    </w:tblStylePr>
    <w:tblStylePr w:type="lastRow">
      <w:pPr>
        <w:spacing w:before="0" w:after="0" w:line="240" w:lineRule="auto"/>
      </w:pPr>
      <w:rPr>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tcBorders>
      </w:tcPr>
    </w:tblStylePr>
    <w:tblStylePr w:type="firstCol">
      <w:rPr>
        <w:b/>
        <w:bCs/>
      </w:rPr>
    </w:tblStylePr>
    <w:tblStylePr w:type="lastCol">
      <w:rPr>
        <w:b/>
        <w:bCs/>
      </w:r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style>
  <w:style w:type="character" w:styleId="Emphasis">
    <w:name w:val="Emphasis"/>
    <w:basedOn w:val="DefaultParagraphFont"/>
    <w:qFormat/>
    <w:rsid w:val="00701CAB"/>
    <w:rPr>
      <w:i/>
      <w:iCs/>
    </w:rPr>
  </w:style>
  <w:style w:type="paragraph" w:styleId="NormalIndent">
    <w:name w:val="Normal Indent"/>
    <w:basedOn w:val="Normal"/>
    <w:uiPriority w:val="1"/>
    <w:rsid w:val="00085663"/>
    <w:pPr>
      <w:ind w:left="720"/>
    </w:pPr>
  </w:style>
  <w:style w:type="paragraph" w:styleId="FootnoteText">
    <w:name w:val="footnote text"/>
    <w:aliases w:val="ALTS FOOTNOTE,(NECG) Footnote Text,Footnote text,AR Footnote Text,AR Footnote Text Char Char Char Char Char,ALTS FOOTNOTE Char1,Footnote Text Char1 Char,Footnote Text Char Char Char,Footnote Text Char1 Char Char Char,fn,Footnote Text1,f"/>
    <w:basedOn w:val="Normal"/>
    <w:link w:val="FootnoteTextChar"/>
    <w:qFormat/>
    <w:rsid w:val="00615C6B"/>
    <w:pPr>
      <w:spacing w:before="60"/>
    </w:pPr>
    <w:rPr>
      <w:sz w:val="16"/>
      <w:szCs w:val="20"/>
    </w:rPr>
  </w:style>
  <w:style w:type="character" w:customStyle="1" w:styleId="FootnoteTextChar">
    <w:name w:val="Footnote Text Char"/>
    <w:aliases w:val="ALTS FOOTNOTE Char,(NECG) Footnote Text Char,Footnote text Char,AR Footnote Text Char,AR Footnote Text Char Char Char Char Char Char,ALTS FOOTNOTE Char1 Char,Footnote Text Char1 Char Char,Footnote Text Char Char Char Char,fn Char"/>
    <w:basedOn w:val="DefaultParagraphFont"/>
    <w:link w:val="FootnoteText"/>
    <w:rsid w:val="00615C6B"/>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nhideWhenUsed/>
    <w:rsid w:val="00701CAB"/>
    <w:rPr>
      <w:vertAlign w:val="superscript"/>
    </w:rPr>
  </w:style>
  <w:style w:type="character" w:styleId="Strong">
    <w:name w:val="Strong"/>
    <w:basedOn w:val="DefaultParagraphFont"/>
    <w:uiPriority w:val="22"/>
    <w:qFormat/>
    <w:rsid w:val="00EF5110"/>
    <w:rPr>
      <w:b/>
      <w:bCs/>
    </w:rPr>
  </w:style>
  <w:style w:type="paragraph" w:styleId="Subtitle">
    <w:name w:val="Subtitle"/>
    <w:next w:val="Normal"/>
    <w:link w:val="SubtitleChar"/>
    <w:uiPriority w:val="11"/>
    <w:qFormat/>
    <w:rsid w:val="008344F6"/>
    <w:pPr>
      <w:spacing w:before="360" w:after="120"/>
    </w:pPr>
    <w:rPr>
      <w:rFonts w:ascii="Lucida Fax" w:hAnsi="Lucida Fax"/>
      <w:color w:val="4F2D7F"/>
      <w:sz w:val="52"/>
      <w:szCs w:val="52"/>
    </w:rPr>
  </w:style>
  <w:style w:type="character" w:customStyle="1" w:styleId="SubtitleChar">
    <w:name w:val="Subtitle Char"/>
    <w:basedOn w:val="DefaultParagraphFont"/>
    <w:link w:val="Subtitle"/>
    <w:uiPriority w:val="11"/>
    <w:rsid w:val="008344F6"/>
    <w:rPr>
      <w:rFonts w:ascii="Lucida Fax" w:hAnsi="Lucida Fax"/>
      <w:color w:val="4F2D7F"/>
      <w:sz w:val="52"/>
      <w:szCs w:val="52"/>
    </w:rPr>
  </w:style>
  <w:style w:type="table" w:styleId="LightShading-Accent4">
    <w:name w:val="Light Shading Accent 4"/>
    <w:basedOn w:val="TableNormal"/>
    <w:uiPriority w:val="60"/>
    <w:rsid w:val="00746E01"/>
    <w:pPr>
      <w:spacing w:before="0"/>
    </w:pPr>
    <w:rPr>
      <w:color w:val="4DA5D9" w:themeColor="accent4" w:themeShade="BF"/>
    </w:rPr>
    <w:tblPr>
      <w:tblStyleRowBandSize w:val="1"/>
      <w:tblStyleColBandSize w:val="1"/>
      <w:tblInd w:w="0" w:type="dxa"/>
      <w:tblBorders>
        <w:top w:val="single" w:sz="8" w:space="0" w:color="A0CFEB" w:themeColor="accent4"/>
        <w:bottom w:val="single" w:sz="8" w:space="0" w:color="A0CFEB"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la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3FA" w:themeFill="accent4" w:themeFillTint="3F"/>
      </w:tcPr>
    </w:tblStylePr>
    <w:tblStylePr w:type="band1Horz">
      <w:tblPr/>
      <w:tcPr>
        <w:tcBorders>
          <w:left w:val="nil"/>
          <w:right w:val="nil"/>
          <w:insideH w:val="nil"/>
          <w:insideV w:val="nil"/>
        </w:tcBorders>
        <w:shd w:val="clear" w:color="auto" w:fill="E7F3FA" w:themeFill="accent4" w:themeFillTint="3F"/>
      </w:tcPr>
    </w:tblStylePr>
  </w:style>
  <w:style w:type="table" w:styleId="LightShading-Accent6">
    <w:name w:val="Light Shading Accent 6"/>
    <w:basedOn w:val="TableNormal"/>
    <w:uiPriority w:val="60"/>
    <w:rsid w:val="00746E01"/>
    <w:pPr>
      <w:spacing w:before="0"/>
    </w:pPr>
    <w:rPr>
      <w:color w:val="AD351E" w:themeColor="accent6" w:themeShade="BF"/>
    </w:rPr>
    <w:tblPr>
      <w:tblStyleRowBandSize w:val="1"/>
      <w:tblStyleColBandSize w:val="1"/>
      <w:tblInd w:w="0" w:type="dxa"/>
      <w:tblBorders>
        <w:top w:val="single" w:sz="8" w:space="0" w:color="DC5034" w:themeColor="accent6"/>
        <w:bottom w:val="single" w:sz="8" w:space="0" w:color="DC5034"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la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3CC" w:themeFill="accent6" w:themeFillTint="3F"/>
      </w:tcPr>
    </w:tblStylePr>
    <w:tblStylePr w:type="band1Horz">
      <w:tblPr/>
      <w:tcPr>
        <w:tcBorders>
          <w:left w:val="nil"/>
          <w:right w:val="nil"/>
          <w:insideH w:val="nil"/>
          <w:insideV w:val="nil"/>
        </w:tcBorders>
        <w:shd w:val="clear" w:color="auto" w:fill="F6D3CC" w:themeFill="accent6" w:themeFillTint="3F"/>
      </w:tcPr>
    </w:tblStylePr>
  </w:style>
  <w:style w:type="paragraph" w:styleId="TOC4">
    <w:name w:val="toc 4"/>
    <w:basedOn w:val="Normal"/>
    <w:next w:val="Normal"/>
    <w:rsid w:val="009F4940"/>
    <w:pPr>
      <w:tabs>
        <w:tab w:val="right" w:leader="dot" w:pos="9016"/>
      </w:tabs>
      <w:spacing w:after="100"/>
      <w:ind w:left="1276"/>
    </w:pPr>
    <w:rPr>
      <w:noProof/>
    </w:rPr>
  </w:style>
  <w:style w:type="paragraph" w:styleId="TOC5">
    <w:name w:val="toc 5"/>
    <w:basedOn w:val="Normal"/>
    <w:next w:val="Normal"/>
    <w:rsid w:val="009F4940"/>
    <w:pPr>
      <w:tabs>
        <w:tab w:val="right" w:leader="dot" w:pos="9016"/>
      </w:tabs>
      <w:spacing w:after="100"/>
      <w:ind w:left="1701"/>
    </w:pPr>
    <w:rPr>
      <w:noProof/>
    </w:rPr>
  </w:style>
  <w:style w:type="paragraph" w:styleId="TOC6">
    <w:name w:val="toc 6"/>
    <w:basedOn w:val="Normal"/>
    <w:next w:val="Normal"/>
    <w:rsid w:val="009F4940"/>
    <w:pPr>
      <w:tabs>
        <w:tab w:val="right" w:leader="dot" w:pos="9016"/>
      </w:tabs>
      <w:spacing w:after="100"/>
      <w:ind w:left="2127"/>
    </w:pPr>
    <w:rPr>
      <w:noProof/>
    </w:rPr>
  </w:style>
  <w:style w:type="paragraph" w:styleId="TOC7">
    <w:name w:val="toc 7"/>
    <w:basedOn w:val="Normal"/>
    <w:next w:val="Normal"/>
    <w:rsid w:val="009F4940"/>
    <w:pPr>
      <w:tabs>
        <w:tab w:val="right" w:leader="dot" w:pos="9016"/>
      </w:tabs>
      <w:spacing w:after="100"/>
      <w:ind w:left="2552"/>
    </w:pPr>
    <w:rPr>
      <w:noProof/>
    </w:rPr>
  </w:style>
  <w:style w:type="paragraph" w:customStyle="1" w:styleId="Numberedlist">
    <w:name w:val="Numbered list"/>
    <w:basedOn w:val="ListNumber"/>
    <w:rsid w:val="008033C4"/>
    <w:pPr>
      <w:numPr>
        <w:numId w:val="1"/>
      </w:numPr>
      <w:ind w:left="357" w:hanging="357"/>
    </w:pPr>
  </w:style>
  <w:style w:type="table" w:customStyle="1" w:styleId="LightShading1">
    <w:name w:val="Light Shading1"/>
    <w:basedOn w:val="TableNormal"/>
    <w:next w:val="LightShading"/>
    <w:uiPriority w:val="60"/>
    <w:rsid w:val="00C53B5A"/>
    <w:pPr>
      <w:spacing w:before="120" w:after="120"/>
    </w:pPr>
    <w:rPr>
      <w:color w:val="000000" w:themeColor="text1" w:themeShade="BF"/>
      <w:sz w:val="20"/>
    </w:rPr>
    <w:tblPr>
      <w:tblInd w:w="0" w:type="dxa"/>
      <w:tblBorders>
        <w:top w:val="single" w:sz="4" w:space="0" w:color="D5D6D2" w:themeColor="background2"/>
        <w:bottom w:val="single" w:sz="4" w:space="0" w:color="D5D6D2" w:themeColor="background2"/>
        <w:insideH w:val="single" w:sz="4" w:space="0" w:color="D5D6D2" w:themeColor="background2"/>
      </w:tblBorders>
      <w:tblCellMar>
        <w:top w:w="0" w:type="dxa"/>
        <w:left w:w="108" w:type="dxa"/>
        <w:bottom w:w="0" w:type="dxa"/>
        <w:right w:w="108" w:type="dxa"/>
      </w:tblCellMar>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Ind w:w="0" w:type="dxa"/>
      <w:tblBorders>
        <w:top w:val="single" w:sz="8" w:space="0" w:color="4F2D7D" w:themeColor="accent2"/>
        <w:left w:val="single" w:sz="8" w:space="0" w:color="4F2D7D" w:themeColor="accent2"/>
        <w:bottom w:val="single" w:sz="8" w:space="0" w:color="4F2D7D" w:themeColor="accent2"/>
        <w:right w:val="single" w:sz="8" w:space="0" w:color="4F2D7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2D7D" w:themeFill="accent2"/>
      </w:tcPr>
    </w:tblStylePr>
    <w:tblStylePr w:type="lastRow">
      <w:pPr>
        <w:spacing w:before="0" w:after="0" w:line="240" w:lineRule="auto"/>
      </w:pPr>
      <w:rPr>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tcBorders>
      </w:tcPr>
    </w:tblStylePr>
    <w:tblStylePr w:type="firstCol">
      <w:rPr>
        <w:b/>
        <w:bCs/>
      </w:rPr>
    </w:tblStylePr>
    <w:tblStylePr w:type="lastCol">
      <w:rPr>
        <w:b/>
        <w:bCs/>
      </w:r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Ind w:w="0" w:type="dxa"/>
      <w:tblBorders>
        <w:top w:val="single" w:sz="8" w:space="0" w:color="A0CFEB" w:themeColor="accent4"/>
        <w:left w:val="single" w:sz="8" w:space="0" w:color="A0CFEB" w:themeColor="accent4"/>
        <w:bottom w:val="single" w:sz="8" w:space="0" w:color="A0CFEB" w:themeColor="accent4"/>
        <w:right w:val="single" w:sz="8" w:space="0" w:color="A0CFEB"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0CFEB" w:themeFill="accent4"/>
      </w:tcPr>
    </w:tblStylePr>
    <w:tblStylePr w:type="lastRow">
      <w:pPr>
        <w:spacing w:before="0" w:after="0" w:line="240" w:lineRule="auto"/>
      </w:pPr>
      <w:rPr>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tcBorders>
      </w:tcPr>
    </w:tblStylePr>
    <w:tblStylePr w:type="firstCol">
      <w:rPr>
        <w:b/>
        <w:bCs/>
      </w:rPr>
    </w:tblStylePr>
    <w:tblStylePr w:type="lastCol">
      <w:rPr>
        <w:b/>
        <w:bCs/>
      </w:r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Ind w:w="0" w:type="dxa"/>
      <w:tblBorders>
        <w:top w:val="single" w:sz="8" w:space="0" w:color="DC5034" w:themeColor="accent6"/>
        <w:left w:val="single" w:sz="8" w:space="0" w:color="DC5034" w:themeColor="accent6"/>
        <w:bottom w:val="single" w:sz="8" w:space="0" w:color="DC5034" w:themeColor="accent6"/>
        <w:right w:val="single" w:sz="8" w:space="0" w:color="DC5034"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C5034" w:themeFill="accent6"/>
      </w:tcPr>
    </w:tblStylePr>
    <w:tblStylePr w:type="lastRow">
      <w:pPr>
        <w:spacing w:before="0" w:after="0" w:line="240" w:lineRule="auto"/>
      </w:pPr>
      <w:rPr>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tcBorders>
      </w:tcPr>
    </w:tblStylePr>
    <w:tblStylePr w:type="firstCol">
      <w:rPr>
        <w:b/>
        <w:bCs/>
      </w:rPr>
    </w:tblStylePr>
    <w:tblStylePr w:type="lastCol">
      <w:rPr>
        <w:b/>
        <w:bCs/>
      </w:r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style>
  <w:style w:type="table" w:styleId="LightGrid">
    <w:name w:val="Light Grid"/>
    <w:basedOn w:val="TableNormal"/>
    <w:uiPriority w:val="62"/>
    <w:rsid w:val="009661DE"/>
    <w:pPr>
      <w:spacing w:before="0"/>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Ind w:w="0" w:type="dxa"/>
      <w:tblBorders>
        <w:top w:val="single" w:sz="8" w:space="0" w:color="51626F" w:themeColor="accent1"/>
        <w:left w:val="single" w:sz="8" w:space="0" w:color="51626F" w:themeColor="accent1"/>
        <w:bottom w:val="single" w:sz="8" w:space="0" w:color="51626F" w:themeColor="accent1"/>
        <w:right w:val="single" w:sz="8" w:space="0" w:color="51626F" w:themeColor="accent1"/>
        <w:insideH w:val="single" w:sz="8" w:space="0" w:color="51626F" w:themeColor="accent1"/>
        <w:insideV w:val="single" w:sz="8" w:space="0" w:color="51626F"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18" w:space="0" w:color="51626F" w:themeColor="accent1"/>
          <w:right w:val="single" w:sz="8" w:space="0" w:color="51626F" w:themeColor="accent1"/>
          <w:insideH w:val="nil"/>
          <w:insideV w:val="single" w:sz="8" w:space="0" w:color="51626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insideH w:val="nil"/>
          <w:insideV w:val="single" w:sz="8" w:space="0" w:color="51626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shd w:val="clear" w:color="auto" w:fill="D1D8DD" w:themeFill="accent1" w:themeFillTint="3F"/>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shd w:val="clear" w:color="auto" w:fill="D1D8DD" w:themeFill="accent1" w:themeFillTint="3F"/>
      </w:tcPr>
    </w:tblStylePr>
    <w:tblStylePr w:type="band2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Ind w:w="0" w:type="dxa"/>
      <w:tblBorders>
        <w:top w:val="single" w:sz="8" w:space="0" w:color="4F2D7D" w:themeColor="accent2"/>
        <w:left w:val="single" w:sz="8" w:space="0" w:color="4F2D7D" w:themeColor="accent2"/>
        <w:bottom w:val="single" w:sz="8" w:space="0" w:color="4F2D7D" w:themeColor="accent2"/>
        <w:right w:val="single" w:sz="8" w:space="0" w:color="4F2D7D" w:themeColor="accent2"/>
        <w:insideH w:val="single" w:sz="8" w:space="0" w:color="4F2D7D" w:themeColor="accent2"/>
        <w:insideV w:val="single" w:sz="8" w:space="0" w:color="4F2D7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18" w:space="0" w:color="4F2D7D" w:themeColor="accent2"/>
          <w:right w:val="single" w:sz="8" w:space="0" w:color="4F2D7D" w:themeColor="accent2"/>
          <w:insideH w:val="nil"/>
          <w:insideV w:val="single" w:sz="8" w:space="0" w:color="4F2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insideH w:val="nil"/>
          <w:insideV w:val="single" w:sz="8" w:space="0" w:color="4F2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shd w:val="clear" w:color="auto" w:fill="D1C1E8" w:themeFill="accent2" w:themeFillTint="3F"/>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shd w:val="clear" w:color="auto" w:fill="D1C1E8" w:themeFill="accent2" w:themeFillTint="3F"/>
      </w:tcPr>
    </w:tblStylePr>
    <w:tblStylePr w:type="band2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Ind w:w="0" w:type="dxa"/>
      <w:tblBorders>
        <w:top w:val="single" w:sz="8" w:space="0" w:color="A0CFEB" w:themeColor="accent4"/>
        <w:left w:val="single" w:sz="8" w:space="0" w:color="A0CFEB" w:themeColor="accent4"/>
        <w:bottom w:val="single" w:sz="8" w:space="0" w:color="A0CFEB" w:themeColor="accent4"/>
        <w:right w:val="single" w:sz="8" w:space="0" w:color="A0CFEB" w:themeColor="accent4"/>
        <w:insideH w:val="single" w:sz="8" w:space="0" w:color="A0CFEB" w:themeColor="accent4"/>
        <w:insideV w:val="single" w:sz="8" w:space="0" w:color="A0CFEB"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18" w:space="0" w:color="A0CFEB" w:themeColor="accent4"/>
          <w:right w:val="single" w:sz="8" w:space="0" w:color="A0CFEB" w:themeColor="accent4"/>
          <w:insideH w:val="nil"/>
          <w:insideV w:val="single" w:sz="8" w:space="0" w:color="A0CFE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insideH w:val="nil"/>
          <w:insideV w:val="single" w:sz="8" w:space="0" w:color="A0CFE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shd w:val="clear" w:color="auto" w:fill="E7F3FA" w:themeFill="accent4" w:themeFillTint="3F"/>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shd w:val="clear" w:color="auto" w:fill="E7F3FA" w:themeFill="accent4" w:themeFillTint="3F"/>
      </w:tcPr>
    </w:tblStylePr>
    <w:tblStylePr w:type="band2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Ind w:w="0" w:type="dxa"/>
      <w:tblBorders>
        <w:top w:val="single" w:sz="8" w:space="0" w:color="B71202" w:themeColor="accent5"/>
        <w:left w:val="single" w:sz="8" w:space="0" w:color="B71202" w:themeColor="accent5"/>
        <w:bottom w:val="single" w:sz="8" w:space="0" w:color="B71202" w:themeColor="accent5"/>
        <w:right w:val="single" w:sz="8" w:space="0" w:color="B71202" w:themeColor="accent5"/>
        <w:insideH w:val="single" w:sz="8" w:space="0" w:color="B71202" w:themeColor="accent5"/>
        <w:insideV w:val="single" w:sz="8" w:space="0" w:color="B71202"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18" w:space="0" w:color="B71202" w:themeColor="accent5"/>
          <w:right w:val="single" w:sz="8" w:space="0" w:color="B71202" w:themeColor="accent5"/>
          <w:insideH w:val="nil"/>
          <w:insideV w:val="single" w:sz="8" w:space="0" w:color="B7120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insideH w:val="nil"/>
          <w:insideV w:val="single" w:sz="8" w:space="0" w:color="B7120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shd w:val="clear" w:color="auto" w:fill="FEB6AF" w:themeFill="accent5" w:themeFillTint="3F"/>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shd w:val="clear" w:color="auto" w:fill="FEB6AF" w:themeFill="accent5" w:themeFillTint="3F"/>
      </w:tcPr>
    </w:tblStylePr>
    <w:tblStylePr w:type="band2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B17A1D"/>
    <w:pPr>
      <w:numPr>
        <w:ilvl w:val="8"/>
        <w:numId w:val="15"/>
      </w:numPr>
      <w:ind w:left="2948" w:hanging="2948"/>
    </w:pPr>
  </w:style>
  <w:style w:type="paragraph" w:styleId="Caption">
    <w:name w:val="caption"/>
    <w:basedOn w:val="Normal"/>
    <w:next w:val="Normal"/>
    <w:unhideWhenUsed/>
    <w:qFormat/>
    <w:rsid w:val="000E2946"/>
    <w:pPr>
      <w:keepNext/>
      <w:spacing w:before="240" w:after="120"/>
    </w:pPr>
    <w:rPr>
      <w:b/>
      <w:bCs/>
      <w:color w:val="2272A3" w:themeColor="accent4" w:themeShade="80"/>
      <w:sz w:val="24"/>
      <w:szCs w:val="18"/>
    </w:rPr>
  </w:style>
  <w:style w:type="paragraph" w:styleId="List">
    <w:name w:val="List"/>
    <w:basedOn w:val="Normal"/>
    <w:uiPriority w:val="99"/>
    <w:unhideWhenUsed/>
    <w:qFormat/>
    <w:rsid w:val="008033C4"/>
    <w:pPr>
      <w:spacing w:before="120"/>
      <w:ind w:left="284" w:hanging="284"/>
    </w:pPr>
  </w:style>
  <w:style w:type="paragraph" w:styleId="List2">
    <w:name w:val="List 2"/>
    <w:basedOn w:val="Normal"/>
    <w:uiPriority w:val="99"/>
    <w:unhideWhenUsed/>
    <w:rsid w:val="008033C4"/>
    <w:pPr>
      <w:spacing w:before="120"/>
      <w:ind w:left="568" w:hanging="284"/>
    </w:pPr>
  </w:style>
  <w:style w:type="paragraph" w:styleId="List3">
    <w:name w:val="List 3"/>
    <w:basedOn w:val="Normal"/>
    <w:uiPriority w:val="99"/>
    <w:unhideWhenUsed/>
    <w:rsid w:val="008033C4"/>
    <w:pPr>
      <w:spacing w:before="120"/>
      <w:ind w:left="851" w:hanging="284"/>
    </w:pPr>
  </w:style>
  <w:style w:type="paragraph" w:styleId="List4">
    <w:name w:val="List 4"/>
    <w:basedOn w:val="Normal"/>
    <w:uiPriority w:val="99"/>
    <w:unhideWhenUsed/>
    <w:rsid w:val="008033C4"/>
    <w:pPr>
      <w:spacing w:before="120"/>
      <w:ind w:left="1135" w:hanging="284"/>
    </w:pPr>
  </w:style>
  <w:style w:type="paragraph" w:styleId="List5">
    <w:name w:val="List 5"/>
    <w:basedOn w:val="Normal"/>
    <w:uiPriority w:val="99"/>
    <w:unhideWhenUsed/>
    <w:rsid w:val="008033C4"/>
    <w:pPr>
      <w:spacing w:before="120"/>
      <w:ind w:left="1418" w:hanging="284"/>
    </w:pPr>
  </w:style>
  <w:style w:type="paragraph" w:styleId="ListBullet3">
    <w:name w:val="List Bullet 3"/>
    <w:basedOn w:val="Normal"/>
    <w:uiPriority w:val="99"/>
    <w:unhideWhenUsed/>
    <w:rsid w:val="008033C4"/>
    <w:pPr>
      <w:numPr>
        <w:numId w:val="4"/>
      </w:numPr>
      <w:spacing w:before="120"/>
      <w:ind w:left="924" w:hanging="357"/>
    </w:pPr>
  </w:style>
  <w:style w:type="paragraph" w:styleId="ListBullet4">
    <w:name w:val="List Bullet 4"/>
    <w:basedOn w:val="Normal"/>
    <w:uiPriority w:val="99"/>
    <w:unhideWhenUsed/>
    <w:rsid w:val="008033C4"/>
    <w:pPr>
      <w:numPr>
        <w:numId w:val="5"/>
      </w:numPr>
      <w:spacing w:before="120"/>
      <w:ind w:left="1208" w:hanging="357"/>
    </w:pPr>
  </w:style>
  <w:style w:type="paragraph" w:styleId="ListBullet5">
    <w:name w:val="List Bullet 5"/>
    <w:basedOn w:val="Normal"/>
    <w:uiPriority w:val="99"/>
    <w:unhideWhenUsed/>
    <w:rsid w:val="008033C4"/>
    <w:pPr>
      <w:numPr>
        <w:numId w:val="6"/>
      </w:numPr>
      <w:spacing w:before="120"/>
      <w:ind w:left="1491" w:hanging="357"/>
    </w:pPr>
  </w:style>
  <w:style w:type="paragraph" w:styleId="ListContinue">
    <w:name w:val="List Continue"/>
    <w:basedOn w:val="Normal"/>
    <w:uiPriority w:val="99"/>
    <w:unhideWhenUsed/>
    <w:qFormat/>
    <w:rsid w:val="0007137B"/>
    <w:pPr>
      <w:spacing w:before="120"/>
      <w:ind w:left="284"/>
    </w:pPr>
  </w:style>
  <w:style w:type="paragraph" w:styleId="ListContinue2">
    <w:name w:val="List Continue 2"/>
    <w:basedOn w:val="Normal"/>
    <w:uiPriority w:val="99"/>
    <w:unhideWhenUsed/>
    <w:rsid w:val="008033C4"/>
    <w:pPr>
      <w:spacing w:before="120"/>
      <w:ind w:left="567"/>
    </w:pPr>
  </w:style>
  <w:style w:type="paragraph" w:styleId="ListContinue3">
    <w:name w:val="List Continue 3"/>
    <w:basedOn w:val="Normal"/>
    <w:uiPriority w:val="99"/>
    <w:unhideWhenUsed/>
    <w:rsid w:val="0007137B"/>
    <w:pPr>
      <w:spacing w:before="120"/>
      <w:ind w:left="851"/>
    </w:pPr>
  </w:style>
  <w:style w:type="paragraph" w:styleId="ListContinue4">
    <w:name w:val="List Continue 4"/>
    <w:basedOn w:val="Normal"/>
    <w:uiPriority w:val="99"/>
    <w:unhideWhenUsed/>
    <w:rsid w:val="008033C4"/>
    <w:pPr>
      <w:spacing w:before="120"/>
      <w:ind w:left="1134"/>
    </w:pPr>
  </w:style>
  <w:style w:type="paragraph" w:styleId="ListNumber3">
    <w:name w:val="List Number 3"/>
    <w:basedOn w:val="Normal"/>
    <w:uiPriority w:val="99"/>
    <w:unhideWhenUsed/>
    <w:rsid w:val="008033C4"/>
    <w:pPr>
      <w:numPr>
        <w:numId w:val="9"/>
      </w:numPr>
      <w:spacing w:before="120"/>
      <w:ind w:left="924" w:hanging="357"/>
    </w:pPr>
  </w:style>
  <w:style w:type="paragraph" w:styleId="ListNumber4">
    <w:name w:val="List Number 4"/>
    <w:basedOn w:val="Normal"/>
    <w:uiPriority w:val="99"/>
    <w:unhideWhenUsed/>
    <w:rsid w:val="008033C4"/>
    <w:pPr>
      <w:numPr>
        <w:numId w:val="10"/>
      </w:numPr>
      <w:spacing w:before="120"/>
      <w:ind w:left="1208" w:hanging="357"/>
    </w:pPr>
  </w:style>
  <w:style w:type="paragraph" w:styleId="ListNumber5">
    <w:name w:val="List Number 5"/>
    <w:basedOn w:val="Normal"/>
    <w:uiPriority w:val="99"/>
    <w:unhideWhenUsed/>
    <w:rsid w:val="008033C4"/>
    <w:pPr>
      <w:numPr>
        <w:numId w:val="11"/>
      </w:numPr>
      <w:spacing w:before="120"/>
      <w:ind w:left="1491" w:hanging="357"/>
    </w:pPr>
  </w:style>
  <w:style w:type="paragraph" w:customStyle="1" w:styleId="TableHeading">
    <w:name w:val="Table Heading"/>
    <w:basedOn w:val="Tabletext"/>
    <w:link w:val="TableHeadingChar"/>
    <w:qFormat/>
    <w:rsid w:val="00957591"/>
    <w:pPr>
      <w:spacing w:before="60"/>
    </w:pPr>
    <w:rPr>
      <w:color w:val="FFFFFF" w:themeColor="background1"/>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214FBA"/>
    <w:pPr>
      <w:jc w:val="center"/>
    </w:pPr>
  </w:style>
  <w:style w:type="paragraph" w:customStyle="1" w:styleId="TableHeading-right">
    <w:name w:val="Table Heading - right"/>
    <w:basedOn w:val="TableHeading"/>
    <w:link w:val="TableHeading-rightChar"/>
    <w:rsid w:val="00584D8F"/>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214FBA"/>
    <w:rPr>
      <w:rFonts w:ascii="Arial" w:hAnsi="Arial"/>
      <w:sz w:val="18"/>
    </w:rPr>
  </w:style>
  <w:style w:type="character" w:customStyle="1" w:styleId="TableHeadingChar">
    <w:name w:val="Table Heading Char"/>
    <w:basedOn w:val="TabletextChar"/>
    <w:link w:val="TableHeading"/>
    <w:rsid w:val="00957591"/>
    <w:rPr>
      <w:rFonts w:ascii="Arial" w:hAnsi="Arial"/>
      <w:color w:val="FFFFFF" w:themeColor="background1"/>
      <w:sz w:val="18"/>
    </w:rPr>
  </w:style>
  <w:style w:type="character" w:customStyle="1" w:styleId="TableHeading-rightChar">
    <w:name w:val="Table Heading - right Char"/>
    <w:basedOn w:val="TableHeadingChar"/>
    <w:link w:val="TableHeading-right"/>
    <w:rsid w:val="00584D8F"/>
    <w:rPr>
      <w:rFonts w:ascii="Arial" w:eastAsia="Times New Roman" w:hAnsi="Arial" w:cs="Times New Roman"/>
      <w:b w:val="0"/>
      <w:bCs/>
      <w:color w:val="FFFFFF" w:themeColor="background1"/>
      <w:sz w:val="20"/>
      <w:szCs w:val="20"/>
    </w:rPr>
  </w:style>
  <w:style w:type="character" w:customStyle="1" w:styleId="Tabletext-centredChar">
    <w:name w:val="Table text - centred Char"/>
    <w:basedOn w:val="Tabletext-rightChar"/>
    <w:link w:val="Tabletext-centred"/>
    <w:rsid w:val="00214FBA"/>
    <w:rPr>
      <w:rFonts w:ascii="Arial" w:eastAsia="Times New Roman" w:hAnsi="Arial" w:cs="Times New Roman"/>
      <w:sz w:val="18"/>
      <w:szCs w:val="20"/>
    </w:rPr>
  </w:style>
  <w:style w:type="paragraph" w:customStyle="1" w:styleId="TableHeading-centred">
    <w:name w:val="Table Heading - centred"/>
    <w:basedOn w:val="TableHeading"/>
    <w:rsid w:val="00584D8F"/>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Ind w:w="0" w:type="dxa"/>
      <w:tblBorders>
        <w:insideV w:val="single" w:sz="4" w:space="0" w:color="D5D6D2" w:themeColor="background2"/>
      </w:tblBorders>
      <w:tblCellMar>
        <w:top w:w="0" w:type="dxa"/>
        <w:left w:w="108" w:type="dxa"/>
        <w:bottom w:w="0" w:type="dxa"/>
        <w:right w:w="108" w:type="dxa"/>
      </w:tblCellMar>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rsid w:val="00263AC0"/>
    <w:rPr>
      <w:vertAlign w:val="superscript"/>
    </w:rPr>
  </w:style>
  <w:style w:type="paragraph" w:customStyle="1" w:styleId="Numberedparagraph11">
    <w:name w:val="Numbered paragraph 1.1"/>
    <w:basedOn w:val="Numbered11"/>
    <w:qFormat/>
    <w:rsid w:val="00063247"/>
    <w:pPr>
      <w:ind w:left="680" w:hanging="680"/>
      <w:outlineLvl w:val="9"/>
    </w:pPr>
    <w:rPr>
      <w:bCs w:val="0"/>
      <w:color w:val="auto"/>
      <w:sz w:val="22"/>
    </w:rPr>
  </w:style>
  <w:style w:type="character" w:customStyle="1" w:styleId="Numbered1Char">
    <w:name w:val="Numbered 1 Char"/>
    <w:basedOn w:val="Heading1Char"/>
    <w:link w:val="Numbered1"/>
    <w:rsid w:val="00085663"/>
    <w:rPr>
      <w:rFonts w:ascii="Lucida Fax" w:eastAsiaTheme="majorEastAsia" w:hAnsi="Lucida Fax" w:cstheme="majorBidi"/>
      <w:bCs/>
      <w:color w:val="51626F"/>
      <w:sz w:val="32"/>
      <w:szCs w:val="28"/>
    </w:rPr>
  </w:style>
  <w:style w:type="paragraph" w:customStyle="1" w:styleId="Numberedparagraph">
    <w:name w:val="Numbered paragraph"/>
    <w:basedOn w:val="Numberedlist"/>
    <w:rsid w:val="00FE64AE"/>
    <w:pPr>
      <w:spacing w:before="200"/>
      <w:ind w:left="680" w:hanging="680"/>
    </w:pPr>
    <w:rPr>
      <w:rFonts w:eastAsia="Times New Roman" w:cs="Times New Roman"/>
      <w:szCs w:val="20"/>
    </w:rPr>
  </w:style>
  <w:style w:type="paragraph" w:customStyle="1" w:styleId="Heading1notnumber">
    <w:name w:val="Heading 1 not number"/>
    <w:basedOn w:val="Heading1"/>
    <w:qFormat/>
    <w:rsid w:val="00275002"/>
    <w:pPr>
      <w:pageBreakBefore/>
      <w:tabs>
        <w:tab w:val="left" w:pos="680"/>
      </w:tabs>
    </w:pPr>
    <w:rPr>
      <w:rFonts w:ascii="Arial" w:hAnsi="Arial"/>
      <w:b/>
      <w:color w:val="70635A"/>
      <w:sz w:val="36"/>
    </w:rPr>
  </w:style>
  <w:style w:type="paragraph" w:customStyle="1" w:styleId="Heading2notnumbered">
    <w:name w:val="Heading 2 not numbered"/>
    <w:basedOn w:val="Heading2"/>
    <w:link w:val="Heading2notnumberedChar"/>
    <w:rsid w:val="00275002"/>
    <w:pPr>
      <w:tabs>
        <w:tab w:val="left" w:pos="680"/>
      </w:tabs>
    </w:pPr>
    <w:rPr>
      <w:rFonts w:eastAsia="Times New Roman" w:cs="Times New Roman"/>
      <w:color w:val="003591" w:themeColor="text2"/>
      <w:sz w:val="32"/>
      <w:szCs w:val="20"/>
    </w:rPr>
  </w:style>
  <w:style w:type="paragraph" w:customStyle="1" w:styleId="Heading3notnumbered">
    <w:name w:val="Heading 3 not numbered"/>
    <w:basedOn w:val="Heading3"/>
    <w:rsid w:val="00275002"/>
    <w:pPr>
      <w:tabs>
        <w:tab w:val="left" w:pos="1021"/>
      </w:tabs>
    </w:pPr>
    <w:rPr>
      <w:rFonts w:eastAsia="Times New Roman" w:cs="Times New Roman"/>
      <w:color w:val="003591" w:themeColor="text2"/>
      <w:sz w:val="28"/>
      <w:szCs w:val="20"/>
    </w:rPr>
  </w:style>
  <w:style w:type="paragraph" w:customStyle="1" w:styleId="Heading4notnumbered">
    <w:name w:val="Heading 4 not numbered"/>
    <w:basedOn w:val="Heading4"/>
    <w:link w:val="Heading4notnumberedChar"/>
    <w:rsid w:val="00275002"/>
    <w:pPr>
      <w:tabs>
        <w:tab w:val="left" w:pos="1021"/>
      </w:tabs>
    </w:pPr>
    <w:rPr>
      <w:rFonts w:eastAsia="Times New Roman" w:cs="Times New Roman"/>
      <w:i w:val="0"/>
      <w:iCs w:val="0"/>
      <w:szCs w:val="20"/>
    </w:rPr>
  </w:style>
  <w:style w:type="paragraph" w:customStyle="1" w:styleId="Heading5notnumbered">
    <w:name w:val="Heading 5 not numbered"/>
    <w:basedOn w:val="Heading5"/>
    <w:rsid w:val="00275002"/>
    <w:pPr>
      <w:tabs>
        <w:tab w:val="left" w:pos="1361"/>
      </w:tabs>
    </w:pPr>
    <w:rPr>
      <w:rFonts w:eastAsia="Times New Roman" w:cs="Times New Roman"/>
      <w:bCs/>
      <w:szCs w:val="20"/>
    </w:rPr>
  </w:style>
  <w:style w:type="paragraph" w:customStyle="1" w:styleId="Heading6notnumbered">
    <w:name w:val="Heading 6 not numbered"/>
    <w:basedOn w:val="Heading6"/>
    <w:rsid w:val="00275002"/>
    <w:pPr>
      <w:tabs>
        <w:tab w:val="left" w:pos="1361"/>
      </w:tabs>
    </w:pPr>
    <w:rPr>
      <w:rFonts w:eastAsia="Times New Roman" w:cs="Times New Roman"/>
      <w:bCs/>
      <w:color w:val="000000" w:themeColor="text1"/>
      <w:szCs w:val="20"/>
    </w:rPr>
  </w:style>
  <w:style w:type="paragraph" w:styleId="Index1">
    <w:name w:val="index 1"/>
    <w:basedOn w:val="Normal"/>
    <w:next w:val="Normal"/>
    <w:autoRedefine/>
    <w:uiPriority w:val="99"/>
    <w:unhideWhenUsed/>
    <w:rsid w:val="00275002"/>
    <w:pPr>
      <w:spacing w:before="0" w:line="240" w:lineRule="auto"/>
      <w:ind w:left="220" w:hanging="220"/>
    </w:pPr>
  </w:style>
  <w:style w:type="paragraph" w:styleId="Index2">
    <w:name w:val="index 2"/>
    <w:basedOn w:val="Normal"/>
    <w:next w:val="Normal"/>
    <w:autoRedefine/>
    <w:uiPriority w:val="99"/>
    <w:unhideWhenUsed/>
    <w:rsid w:val="00275002"/>
    <w:pPr>
      <w:spacing w:before="0" w:line="240" w:lineRule="auto"/>
      <w:ind w:left="440" w:hanging="220"/>
    </w:pPr>
  </w:style>
  <w:style w:type="paragraph" w:customStyle="1" w:styleId="Heading7notnumbered">
    <w:name w:val="Heading 7 not numbered"/>
    <w:basedOn w:val="Heading7"/>
    <w:rsid w:val="00275002"/>
    <w:pPr>
      <w:tabs>
        <w:tab w:val="left" w:pos="1701"/>
      </w:tabs>
    </w:pPr>
    <w:rPr>
      <w:rFonts w:eastAsia="Times New Roman" w:cs="Times New Roman"/>
      <w:color w:val="auto"/>
      <w:szCs w:val="20"/>
    </w:rPr>
  </w:style>
  <w:style w:type="paragraph" w:customStyle="1" w:styleId="Heading8notnumbered">
    <w:name w:val="Heading 8 not numbered"/>
    <w:basedOn w:val="Heading8"/>
    <w:rsid w:val="00275002"/>
    <w:pPr>
      <w:tabs>
        <w:tab w:val="left" w:pos="1701"/>
      </w:tabs>
    </w:pPr>
    <w:rPr>
      <w:rFonts w:eastAsia="Times New Roman" w:cs="Times New Roman"/>
    </w:rPr>
  </w:style>
  <w:style w:type="paragraph" w:styleId="Salutation">
    <w:name w:val="Salutation"/>
    <w:basedOn w:val="Normal"/>
    <w:next w:val="Normal"/>
    <w:link w:val="SalutationChar"/>
    <w:uiPriority w:val="99"/>
    <w:unhideWhenUsed/>
    <w:rsid w:val="00275002"/>
  </w:style>
  <w:style w:type="character" w:customStyle="1" w:styleId="SalutationChar">
    <w:name w:val="Salutation Char"/>
    <w:basedOn w:val="DefaultParagraphFont"/>
    <w:link w:val="Salutation"/>
    <w:uiPriority w:val="99"/>
    <w:rsid w:val="00275002"/>
    <w:rPr>
      <w:rFonts w:ascii="Arial" w:hAnsi="Arial"/>
    </w:rPr>
  </w:style>
  <w:style w:type="paragraph" w:customStyle="1" w:styleId="Heading9notnumbered">
    <w:name w:val="Heading 9 not numbered"/>
    <w:basedOn w:val="Heading9"/>
    <w:rsid w:val="00275002"/>
    <w:pPr>
      <w:tabs>
        <w:tab w:val="left" w:pos="1701"/>
      </w:tabs>
    </w:pPr>
    <w:rPr>
      <w:rFonts w:eastAsia="Times New Roman" w:cs="Times New Roman"/>
      <w:color w:val="auto"/>
    </w:rPr>
  </w:style>
  <w:style w:type="paragraph" w:customStyle="1" w:styleId="Copyright">
    <w:name w:val="Copyright"/>
    <w:basedOn w:val="Normal"/>
    <w:next w:val="Normal"/>
    <w:link w:val="CopyrightChar"/>
    <w:rsid w:val="00275002"/>
    <w:pPr>
      <w:spacing w:line="288" w:lineRule="auto"/>
    </w:pPr>
    <w:rPr>
      <w:sz w:val="20"/>
      <w:szCs w:val="20"/>
    </w:rPr>
  </w:style>
  <w:style w:type="paragraph" w:customStyle="1" w:styleId="ReportTitle0">
    <w:name w:val="Report Title"/>
    <w:basedOn w:val="Normal"/>
    <w:next w:val="Normal"/>
    <w:link w:val="ReportTitleChar0"/>
    <w:rsid w:val="00275002"/>
    <w:pPr>
      <w:tabs>
        <w:tab w:val="center" w:pos="4598"/>
        <w:tab w:val="right" w:pos="9026"/>
      </w:tabs>
      <w:spacing w:before="240"/>
      <w:contextualSpacing/>
      <w:jc w:val="center"/>
    </w:pPr>
    <w:rPr>
      <w:rFonts w:eastAsiaTheme="majorEastAsia" w:cstheme="majorBidi"/>
      <w:b/>
      <w:noProof/>
      <w:color w:val="51626F"/>
      <w:sz w:val="72"/>
      <w:szCs w:val="72"/>
      <w:lang w:eastAsia="en-AU"/>
    </w:rPr>
  </w:style>
  <w:style w:type="numbering" w:customStyle="1" w:styleId="AlphanumericList">
    <w:name w:val="Alphanumeric List"/>
    <w:uiPriority w:val="99"/>
    <w:rsid w:val="00275002"/>
    <w:pPr>
      <w:numPr>
        <w:numId w:val="16"/>
      </w:numPr>
    </w:pPr>
  </w:style>
  <w:style w:type="table" w:customStyle="1" w:styleId="AERTable-Text">
    <w:name w:val="AER Table - Text"/>
    <w:basedOn w:val="TableNormal"/>
    <w:uiPriority w:val="99"/>
    <w:rsid w:val="00A81EF8"/>
    <w:pPr>
      <w:spacing w:before="120" w:after="120"/>
    </w:pPr>
    <w:rPr>
      <w:rFonts w:ascii="Arial" w:hAnsi="Arial"/>
      <w:sz w:val="18"/>
    </w:rPr>
    <w:tblPr>
      <w:tblStyleRowBandSize w:val="1"/>
      <w:tblInd w:w="0" w:type="dxa"/>
      <w:tblBorders>
        <w:bottom w:val="single" w:sz="4" w:space="0" w:color="auto"/>
      </w:tblBorders>
      <w:tblCellMar>
        <w:top w:w="0" w:type="dxa"/>
        <w:left w:w="108" w:type="dxa"/>
        <w:bottom w:w="0" w:type="dxa"/>
        <w:right w:w="108" w:type="dxa"/>
      </w:tblCellMar>
    </w:tblPr>
    <w:trPr>
      <w:cantSplit/>
    </w:trPr>
    <w:tblStylePr w:type="firstRow">
      <w:pPr>
        <w:wordWrap/>
        <w:spacing w:beforeLines="0" w:before="240" w:beforeAutospacing="0" w:afterLines="0" w:after="120" w:afterAutospacing="0"/>
      </w:pPr>
      <w:rPr>
        <w:rFonts w:ascii="Arial" w:hAnsi="Arial"/>
        <w:b/>
        <w:color w:val="FFFFFF" w:themeColor="background1"/>
        <w:sz w:val="24"/>
        <w14:numSpacing w14:val="tabular"/>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0"/>
    <w:link w:val="ReportDateChar"/>
    <w:rsid w:val="00275002"/>
    <w:rPr>
      <w:b w:val="0"/>
      <w:sz w:val="36"/>
      <w:szCs w:val="36"/>
    </w:rPr>
  </w:style>
  <w:style w:type="paragraph" w:customStyle="1" w:styleId="ReportSubtitle">
    <w:name w:val="Report Subtitle"/>
    <w:basedOn w:val="ReportTitle0"/>
    <w:link w:val="ReportSubtitleChar"/>
    <w:rsid w:val="00275002"/>
    <w:rPr>
      <w:sz w:val="56"/>
      <w:szCs w:val="56"/>
    </w:rPr>
  </w:style>
  <w:style w:type="character" w:customStyle="1" w:styleId="ReportTitleChar0">
    <w:name w:val="Report Title Char"/>
    <w:basedOn w:val="Heading1Char"/>
    <w:link w:val="ReportTitle0"/>
    <w:rsid w:val="00275002"/>
    <w:rPr>
      <w:rFonts w:ascii="Arial" w:eastAsiaTheme="majorEastAsia" w:hAnsi="Arial" w:cstheme="majorBidi"/>
      <w:b/>
      <w:bCs w:val="0"/>
      <w:noProof/>
      <w:color w:val="51626F"/>
      <w:sz w:val="72"/>
      <w:szCs w:val="72"/>
      <w:lang w:eastAsia="en-AU"/>
    </w:rPr>
  </w:style>
  <w:style w:type="character" w:customStyle="1" w:styleId="ReportDateChar">
    <w:name w:val="Report Date Char"/>
    <w:basedOn w:val="ReportTitleChar0"/>
    <w:link w:val="ReportDate"/>
    <w:rsid w:val="00275002"/>
    <w:rPr>
      <w:rFonts w:ascii="Arial" w:eastAsiaTheme="majorEastAsia" w:hAnsi="Arial" w:cstheme="majorBidi"/>
      <w:b w:val="0"/>
      <w:bCs w:val="0"/>
      <w:noProof/>
      <w:color w:val="51626F"/>
      <w:sz w:val="36"/>
      <w:szCs w:val="36"/>
      <w:lang w:eastAsia="en-AU"/>
    </w:rPr>
  </w:style>
  <w:style w:type="character" w:customStyle="1" w:styleId="ReportSubtitleChar">
    <w:name w:val="Report Subtitle Char"/>
    <w:basedOn w:val="ReportTitleChar0"/>
    <w:link w:val="ReportSubtitle"/>
    <w:rsid w:val="00275002"/>
    <w:rPr>
      <w:rFonts w:ascii="Arial" w:eastAsiaTheme="majorEastAsia" w:hAnsi="Arial" w:cstheme="majorBidi"/>
      <w:b/>
      <w:bCs w:val="0"/>
      <w:noProof/>
      <w:color w:val="51626F"/>
      <w:sz w:val="56"/>
      <w:szCs w:val="56"/>
      <w:lang w:eastAsia="en-AU"/>
    </w:rPr>
  </w:style>
  <w:style w:type="character" w:customStyle="1" w:styleId="CopyrightChar">
    <w:name w:val="Copyright Char"/>
    <w:basedOn w:val="DefaultParagraphFont"/>
    <w:link w:val="Copyright"/>
    <w:rsid w:val="00275002"/>
    <w:rPr>
      <w:rFonts w:ascii="Arial" w:hAnsi="Arial"/>
      <w:sz w:val="20"/>
      <w:szCs w:val="20"/>
    </w:rPr>
  </w:style>
  <w:style w:type="paragraph" w:styleId="BodyTextIndent">
    <w:name w:val="Body Text Indent"/>
    <w:basedOn w:val="Normal"/>
    <w:link w:val="BodyTextIndentChar"/>
    <w:uiPriority w:val="99"/>
    <w:semiHidden/>
    <w:unhideWhenUsed/>
    <w:rsid w:val="00275002"/>
    <w:pPr>
      <w:spacing w:after="120"/>
      <w:ind w:left="283"/>
    </w:pPr>
  </w:style>
  <w:style w:type="character" w:customStyle="1" w:styleId="BodyTextIndentChar">
    <w:name w:val="Body Text Indent Char"/>
    <w:basedOn w:val="DefaultParagraphFont"/>
    <w:link w:val="BodyTextIndent"/>
    <w:uiPriority w:val="99"/>
    <w:semiHidden/>
    <w:rsid w:val="00275002"/>
    <w:rPr>
      <w:rFonts w:ascii="Arial" w:hAnsi="Arial"/>
    </w:rPr>
  </w:style>
  <w:style w:type="paragraph" w:styleId="BodyTextFirstIndent2">
    <w:name w:val="Body Text First Indent 2"/>
    <w:basedOn w:val="BodyTextIndent"/>
    <w:link w:val="BodyTextFirstIndent2Char"/>
    <w:uiPriority w:val="99"/>
    <w:unhideWhenUsed/>
    <w:rsid w:val="00275002"/>
    <w:pPr>
      <w:spacing w:after="0"/>
      <w:ind w:left="360" w:firstLine="360"/>
    </w:pPr>
  </w:style>
  <w:style w:type="character" w:customStyle="1" w:styleId="BodyTextFirstIndent2Char">
    <w:name w:val="Body Text First Indent 2 Char"/>
    <w:basedOn w:val="BodyTextIndentChar"/>
    <w:link w:val="BodyTextFirstIndent2"/>
    <w:uiPriority w:val="99"/>
    <w:rsid w:val="00275002"/>
    <w:rPr>
      <w:rFonts w:ascii="Arial" w:hAnsi="Arial"/>
    </w:rPr>
  </w:style>
  <w:style w:type="paragraph" w:styleId="Closing">
    <w:name w:val="Closing"/>
    <w:basedOn w:val="Normal"/>
    <w:link w:val="ClosingChar"/>
    <w:uiPriority w:val="99"/>
    <w:unhideWhenUsed/>
    <w:rsid w:val="00275002"/>
    <w:pPr>
      <w:spacing w:before="0" w:line="240" w:lineRule="auto"/>
      <w:ind w:left="4252"/>
    </w:pPr>
  </w:style>
  <w:style w:type="character" w:customStyle="1" w:styleId="ClosingChar">
    <w:name w:val="Closing Char"/>
    <w:basedOn w:val="DefaultParagraphFont"/>
    <w:link w:val="Closing"/>
    <w:uiPriority w:val="99"/>
    <w:rsid w:val="00275002"/>
    <w:rPr>
      <w:rFonts w:ascii="Arial" w:hAnsi="Arial"/>
    </w:rPr>
  </w:style>
  <w:style w:type="paragraph" w:styleId="BodyText">
    <w:name w:val="Body Text"/>
    <w:basedOn w:val="Normal"/>
    <w:link w:val="BodyTextChar"/>
    <w:uiPriority w:val="99"/>
    <w:semiHidden/>
    <w:unhideWhenUsed/>
    <w:rsid w:val="00275002"/>
    <w:pPr>
      <w:spacing w:after="120"/>
    </w:pPr>
  </w:style>
  <w:style w:type="character" w:customStyle="1" w:styleId="BodyTextChar">
    <w:name w:val="Body Text Char"/>
    <w:basedOn w:val="DefaultParagraphFont"/>
    <w:link w:val="BodyText"/>
    <w:uiPriority w:val="99"/>
    <w:semiHidden/>
    <w:rsid w:val="00275002"/>
    <w:rPr>
      <w:rFonts w:ascii="Arial" w:hAnsi="Arial"/>
    </w:rPr>
  </w:style>
  <w:style w:type="paragraph" w:styleId="BodyTextFirstIndent">
    <w:name w:val="Body Text First Indent"/>
    <w:basedOn w:val="Normal"/>
    <w:link w:val="BodyTextFirstIndentChar"/>
    <w:uiPriority w:val="99"/>
    <w:unhideWhenUsed/>
    <w:rsid w:val="00275002"/>
    <w:pPr>
      <w:ind w:firstLine="360"/>
    </w:pPr>
  </w:style>
  <w:style w:type="character" w:customStyle="1" w:styleId="BodyTextFirstIndentChar">
    <w:name w:val="Body Text First Indent Char"/>
    <w:basedOn w:val="BodyTextChar"/>
    <w:link w:val="BodyTextFirstIndent"/>
    <w:uiPriority w:val="99"/>
    <w:rsid w:val="00275002"/>
    <w:rPr>
      <w:rFonts w:ascii="Arial" w:hAnsi="Arial"/>
    </w:rPr>
  </w:style>
  <w:style w:type="paragraph" w:styleId="BodyText2">
    <w:name w:val="Body Text 2"/>
    <w:basedOn w:val="Normal"/>
    <w:link w:val="BodyText2Char"/>
    <w:uiPriority w:val="99"/>
    <w:unhideWhenUsed/>
    <w:rsid w:val="00275002"/>
    <w:pPr>
      <w:spacing w:after="120" w:line="480" w:lineRule="auto"/>
    </w:pPr>
  </w:style>
  <w:style w:type="character" w:customStyle="1" w:styleId="BodyText2Char">
    <w:name w:val="Body Text 2 Char"/>
    <w:basedOn w:val="DefaultParagraphFont"/>
    <w:link w:val="BodyText2"/>
    <w:uiPriority w:val="99"/>
    <w:rsid w:val="00275002"/>
    <w:rPr>
      <w:rFonts w:ascii="Arial" w:hAnsi="Arial"/>
    </w:rPr>
  </w:style>
  <w:style w:type="paragraph" w:customStyle="1" w:styleId="ListLegal">
    <w:name w:val="List Legal"/>
    <w:basedOn w:val="ListParagraph"/>
    <w:rsid w:val="00275002"/>
    <w:pPr>
      <w:numPr>
        <w:numId w:val="18"/>
      </w:numPr>
      <w:tabs>
        <w:tab w:val="left" w:pos="680"/>
      </w:tabs>
      <w:ind w:left="680" w:hanging="340"/>
    </w:pPr>
  </w:style>
  <w:style w:type="character" w:styleId="CommentReference">
    <w:name w:val="annotation reference"/>
    <w:basedOn w:val="DefaultParagraphFont"/>
    <w:uiPriority w:val="99"/>
    <w:unhideWhenUsed/>
    <w:rsid w:val="00275002"/>
    <w:rPr>
      <w:sz w:val="16"/>
      <w:szCs w:val="16"/>
    </w:rPr>
  </w:style>
  <w:style w:type="paragraph" w:customStyle="1" w:styleId="ListLegal2">
    <w:name w:val="List Legal 2"/>
    <w:basedOn w:val="ListLegal"/>
    <w:rsid w:val="00275002"/>
    <w:pPr>
      <w:tabs>
        <w:tab w:val="clear" w:pos="680"/>
        <w:tab w:val="left" w:pos="1021"/>
      </w:tabs>
      <w:ind w:left="1020"/>
    </w:pPr>
  </w:style>
  <w:style w:type="paragraph" w:customStyle="1" w:styleId="ListLegal3">
    <w:name w:val="List Legal 3"/>
    <w:basedOn w:val="ListNumber3"/>
    <w:rsid w:val="00275002"/>
    <w:pPr>
      <w:numPr>
        <w:numId w:val="19"/>
      </w:numPr>
      <w:tabs>
        <w:tab w:val="left" w:pos="1361"/>
      </w:tabs>
      <w:ind w:left="1361" w:hanging="340"/>
    </w:pPr>
  </w:style>
  <w:style w:type="paragraph" w:customStyle="1" w:styleId="ListLegal4">
    <w:name w:val="List Legal 4"/>
    <w:basedOn w:val="ListLegal3"/>
    <w:rsid w:val="00275002"/>
    <w:pPr>
      <w:tabs>
        <w:tab w:val="clear" w:pos="1361"/>
        <w:tab w:val="left" w:pos="1701"/>
      </w:tabs>
      <w:ind w:left="1701"/>
    </w:pPr>
  </w:style>
  <w:style w:type="paragraph" w:customStyle="1" w:styleId="ListLegal5">
    <w:name w:val="List Legal 5"/>
    <w:basedOn w:val="ListLegal4"/>
    <w:rsid w:val="00275002"/>
    <w:pPr>
      <w:tabs>
        <w:tab w:val="clear" w:pos="1701"/>
        <w:tab w:val="left" w:pos="2041"/>
      </w:tabs>
      <w:ind w:left="2041"/>
    </w:pPr>
  </w:style>
  <w:style w:type="paragraph" w:styleId="Date">
    <w:name w:val="Date"/>
    <w:basedOn w:val="Normal"/>
    <w:next w:val="Normal"/>
    <w:link w:val="DateChar"/>
    <w:uiPriority w:val="99"/>
    <w:unhideWhenUsed/>
    <w:rsid w:val="00275002"/>
  </w:style>
  <w:style w:type="character" w:customStyle="1" w:styleId="DateChar">
    <w:name w:val="Date Char"/>
    <w:basedOn w:val="DefaultParagraphFont"/>
    <w:link w:val="Date"/>
    <w:uiPriority w:val="99"/>
    <w:rsid w:val="00275002"/>
    <w:rPr>
      <w:rFonts w:ascii="Arial" w:hAnsi="Arial"/>
    </w:rPr>
  </w:style>
  <w:style w:type="paragraph" w:styleId="DocumentMap">
    <w:name w:val="Document Map"/>
    <w:basedOn w:val="Normal"/>
    <w:link w:val="DocumentMapChar"/>
    <w:unhideWhenUsed/>
    <w:rsid w:val="00275002"/>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rsid w:val="00275002"/>
    <w:rPr>
      <w:rFonts w:ascii="Tahoma" w:hAnsi="Tahoma" w:cs="Tahoma"/>
      <w:sz w:val="16"/>
      <w:szCs w:val="16"/>
    </w:rPr>
  </w:style>
  <w:style w:type="paragraph" w:styleId="E-mailSignature">
    <w:name w:val="E-mail Signature"/>
    <w:basedOn w:val="Normal"/>
    <w:link w:val="E-mailSignatureChar"/>
    <w:uiPriority w:val="99"/>
    <w:unhideWhenUsed/>
    <w:rsid w:val="00275002"/>
    <w:pPr>
      <w:spacing w:before="0" w:line="240" w:lineRule="auto"/>
    </w:pPr>
  </w:style>
  <w:style w:type="character" w:customStyle="1" w:styleId="E-mailSignatureChar">
    <w:name w:val="E-mail Signature Char"/>
    <w:basedOn w:val="DefaultParagraphFont"/>
    <w:link w:val="E-mailSignature"/>
    <w:uiPriority w:val="99"/>
    <w:rsid w:val="00275002"/>
    <w:rPr>
      <w:rFonts w:ascii="Arial" w:hAnsi="Arial"/>
    </w:rPr>
  </w:style>
  <w:style w:type="paragraph" w:styleId="EnvelopeAddress">
    <w:name w:val="envelope address"/>
    <w:basedOn w:val="Normal"/>
    <w:uiPriority w:val="99"/>
    <w:unhideWhenUsed/>
    <w:rsid w:val="00275002"/>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275002"/>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275002"/>
    <w:rPr>
      <w:color w:val="800080" w:themeColor="followedHyperlink"/>
      <w:u w:val="single"/>
    </w:rPr>
  </w:style>
  <w:style w:type="paragraph" w:styleId="Index3">
    <w:name w:val="index 3"/>
    <w:basedOn w:val="Normal"/>
    <w:next w:val="Normal"/>
    <w:autoRedefine/>
    <w:uiPriority w:val="99"/>
    <w:unhideWhenUsed/>
    <w:rsid w:val="00275002"/>
    <w:pPr>
      <w:spacing w:before="0" w:line="240" w:lineRule="auto"/>
      <w:ind w:left="660" w:hanging="220"/>
    </w:pPr>
  </w:style>
  <w:style w:type="paragraph" w:styleId="Index4">
    <w:name w:val="index 4"/>
    <w:basedOn w:val="Normal"/>
    <w:next w:val="Normal"/>
    <w:autoRedefine/>
    <w:uiPriority w:val="99"/>
    <w:unhideWhenUsed/>
    <w:rsid w:val="00275002"/>
    <w:pPr>
      <w:spacing w:before="0" w:line="240" w:lineRule="auto"/>
      <w:ind w:left="880" w:hanging="220"/>
    </w:pPr>
  </w:style>
  <w:style w:type="paragraph" w:styleId="Index5">
    <w:name w:val="index 5"/>
    <w:basedOn w:val="Normal"/>
    <w:next w:val="Normal"/>
    <w:autoRedefine/>
    <w:uiPriority w:val="99"/>
    <w:unhideWhenUsed/>
    <w:rsid w:val="00275002"/>
    <w:pPr>
      <w:spacing w:before="0" w:line="240" w:lineRule="auto"/>
      <w:ind w:left="1100" w:hanging="220"/>
    </w:pPr>
  </w:style>
  <w:style w:type="paragraph" w:styleId="IndexHeading">
    <w:name w:val="index heading"/>
    <w:basedOn w:val="Normal"/>
    <w:next w:val="Index1"/>
    <w:uiPriority w:val="99"/>
    <w:unhideWhenUsed/>
    <w:rsid w:val="00275002"/>
    <w:rPr>
      <w:rFonts w:asciiTheme="majorHAnsi" w:eastAsiaTheme="majorEastAsia" w:hAnsiTheme="majorHAnsi" w:cstheme="majorBidi"/>
      <w:b/>
      <w:bCs/>
    </w:rPr>
  </w:style>
  <w:style w:type="character" w:styleId="IntenseEmphasis">
    <w:name w:val="Intense Emphasis"/>
    <w:basedOn w:val="DefaultParagraphFont"/>
    <w:uiPriority w:val="21"/>
    <w:unhideWhenUsed/>
    <w:rsid w:val="00275002"/>
    <w:rPr>
      <w:b/>
      <w:bCs/>
      <w:i/>
      <w:iCs/>
      <w:color w:val="51626F" w:themeColor="accent1"/>
    </w:rPr>
  </w:style>
  <w:style w:type="paragraph" w:styleId="IntenseQuote">
    <w:name w:val="Intense Quote"/>
    <w:basedOn w:val="Normal"/>
    <w:next w:val="Normal"/>
    <w:link w:val="IntenseQuoteChar"/>
    <w:uiPriority w:val="30"/>
    <w:unhideWhenUsed/>
    <w:rsid w:val="00275002"/>
    <w:pPr>
      <w:pBdr>
        <w:bottom w:val="single" w:sz="4" w:space="4" w:color="51626F" w:themeColor="accent1"/>
      </w:pBdr>
      <w:spacing w:after="280"/>
      <w:ind w:left="936" w:right="936"/>
    </w:pPr>
    <w:rPr>
      <w:b/>
      <w:bCs/>
      <w:i/>
      <w:iCs/>
      <w:color w:val="51626F" w:themeColor="accent1"/>
    </w:rPr>
  </w:style>
  <w:style w:type="character" w:customStyle="1" w:styleId="IntenseQuoteChar">
    <w:name w:val="Intense Quote Char"/>
    <w:basedOn w:val="DefaultParagraphFont"/>
    <w:link w:val="IntenseQuote"/>
    <w:uiPriority w:val="30"/>
    <w:rsid w:val="00275002"/>
    <w:rPr>
      <w:rFonts w:ascii="Arial" w:hAnsi="Arial"/>
      <w:b/>
      <w:bCs/>
      <w:i/>
      <w:iCs/>
      <w:color w:val="51626F" w:themeColor="accent1"/>
    </w:rPr>
  </w:style>
  <w:style w:type="character" w:styleId="IntenseReference">
    <w:name w:val="Intense Reference"/>
    <w:basedOn w:val="DefaultParagraphFont"/>
    <w:uiPriority w:val="32"/>
    <w:unhideWhenUsed/>
    <w:rsid w:val="00275002"/>
    <w:rPr>
      <w:b/>
      <w:bCs/>
      <w:smallCaps/>
      <w:color w:val="4F2D7D" w:themeColor="accent2"/>
      <w:spacing w:val="5"/>
      <w:u w:val="single"/>
    </w:rPr>
  </w:style>
  <w:style w:type="character" w:styleId="LineNumber">
    <w:name w:val="line number"/>
    <w:basedOn w:val="DefaultParagraphFont"/>
    <w:uiPriority w:val="99"/>
    <w:unhideWhenUsed/>
    <w:rsid w:val="00275002"/>
  </w:style>
  <w:style w:type="paragraph" w:customStyle="1" w:styleId="Listalphabet2">
    <w:name w:val="List alphabet 2"/>
    <w:basedOn w:val="ListNumber2"/>
    <w:rsid w:val="00275002"/>
    <w:pPr>
      <w:numPr>
        <w:numId w:val="17"/>
      </w:numPr>
      <w:tabs>
        <w:tab w:val="left" w:pos="680"/>
      </w:tabs>
      <w:spacing w:line="276" w:lineRule="auto"/>
      <w:ind w:left="680" w:hanging="340"/>
    </w:pPr>
  </w:style>
  <w:style w:type="paragraph" w:customStyle="1" w:styleId="Listalphabet3">
    <w:name w:val="List alphabet 3"/>
    <w:basedOn w:val="Listalphabet2"/>
    <w:rsid w:val="00275002"/>
    <w:pPr>
      <w:tabs>
        <w:tab w:val="clear" w:pos="680"/>
        <w:tab w:val="left" w:pos="1021"/>
      </w:tabs>
      <w:ind w:left="1020"/>
    </w:pPr>
  </w:style>
  <w:style w:type="paragraph" w:customStyle="1" w:styleId="Listalphabet4">
    <w:name w:val="List alphabet 4"/>
    <w:basedOn w:val="Listalphabet3"/>
    <w:rsid w:val="00275002"/>
    <w:pPr>
      <w:tabs>
        <w:tab w:val="clear" w:pos="1021"/>
        <w:tab w:val="left" w:pos="1361"/>
      </w:tabs>
      <w:ind w:left="1361"/>
    </w:pPr>
  </w:style>
  <w:style w:type="paragraph" w:customStyle="1" w:styleId="Listalphabet5">
    <w:name w:val="List alphabet 5"/>
    <w:basedOn w:val="Listalphabet4"/>
    <w:rsid w:val="00275002"/>
    <w:pPr>
      <w:tabs>
        <w:tab w:val="clear" w:pos="1361"/>
        <w:tab w:val="left" w:pos="1701"/>
      </w:tabs>
      <w:ind w:left="1701"/>
    </w:pPr>
  </w:style>
  <w:style w:type="paragraph" w:styleId="ListContinue5">
    <w:name w:val="List Continue 5"/>
    <w:basedOn w:val="Normal"/>
    <w:uiPriority w:val="99"/>
    <w:unhideWhenUsed/>
    <w:rsid w:val="00275002"/>
    <w:pPr>
      <w:tabs>
        <w:tab w:val="left" w:pos="1701"/>
      </w:tabs>
      <w:spacing w:after="120"/>
      <w:ind w:left="1701"/>
      <w:contextualSpacing/>
    </w:pPr>
  </w:style>
  <w:style w:type="paragraph" w:styleId="Signature">
    <w:name w:val="Signature"/>
    <w:basedOn w:val="Normal"/>
    <w:link w:val="SignatureChar"/>
    <w:uiPriority w:val="99"/>
    <w:unhideWhenUsed/>
    <w:rsid w:val="00275002"/>
    <w:pPr>
      <w:spacing w:before="0" w:line="240" w:lineRule="auto"/>
      <w:ind w:left="4252"/>
    </w:pPr>
  </w:style>
  <w:style w:type="character" w:customStyle="1" w:styleId="SignatureChar">
    <w:name w:val="Signature Char"/>
    <w:basedOn w:val="DefaultParagraphFont"/>
    <w:link w:val="Signature"/>
    <w:uiPriority w:val="99"/>
    <w:rsid w:val="00275002"/>
    <w:rPr>
      <w:rFonts w:ascii="Arial" w:hAnsi="Arial"/>
    </w:rPr>
  </w:style>
  <w:style w:type="character" w:styleId="SubtleEmphasis">
    <w:name w:val="Subtle Emphasis"/>
    <w:basedOn w:val="DefaultParagraphFont"/>
    <w:uiPriority w:val="19"/>
    <w:unhideWhenUsed/>
    <w:rsid w:val="00275002"/>
    <w:rPr>
      <w:b/>
      <w:i/>
      <w:iCs/>
      <w:color w:val="51626F" w:themeColor="accent1"/>
    </w:rPr>
  </w:style>
  <w:style w:type="character" w:styleId="SubtleReference">
    <w:name w:val="Subtle Reference"/>
    <w:basedOn w:val="DefaultParagraphFont"/>
    <w:uiPriority w:val="31"/>
    <w:unhideWhenUsed/>
    <w:rsid w:val="00275002"/>
    <w:rPr>
      <w:smallCaps/>
      <w:color w:val="4F2D7D" w:themeColor="accent2"/>
      <w:u w:val="single"/>
    </w:rPr>
  </w:style>
  <w:style w:type="paragraph" w:customStyle="1" w:styleId="Quotes">
    <w:name w:val="Quotes"/>
    <w:basedOn w:val="Normal"/>
    <w:rsid w:val="00275002"/>
    <w:pPr>
      <w:spacing w:before="120" w:after="120" w:line="240" w:lineRule="auto"/>
      <w:ind w:left="567" w:right="793"/>
    </w:pPr>
    <w:rPr>
      <w:rFonts w:eastAsia="Times New Roman" w:cs="Times New Roman"/>
      <w:sz w:val="20"/>
      <w:szCs w:val="20"/>
      <w:lang w:eastAsia="en-AU"/>
    </w:rPr>
  </w:style>
  <w:style w:type="character" w:styleId="PageNumber">
    <w:name w:val="page number"/>
    <w:basedOn w:val="DefaultParagraphFont"/>
    <w:rsid w:val="00275002"/>
  </w:style>
  <w:style w:type="character" w:styleId="PlaceholderText">
    <w:name w:val="Placeholder Text"/>
    <w:basedOn w:val="DefaultParagraphFont"/>
    <w:uiPriority w:val="99"/>
    <w:semiHidden/>
    <w:rsid w:val="00275002"/>
    <w:rPr>
      <w:color w:val="808080"/>
    </w:rPr>
  </w:style>
  <w:style w:type="paragraph" w:customStyle="1" w:styleId="StyleCopyrightBefore0pt">
    <w:name w:val="Style Copyright + Before:  0 pt"/>
    <w:basedOn w:val="Copyright"/>
    <w:rsid w:val="00275002"/>
    <w:pPr>
      <w:spacing w:before="120"/>
    </w:pPr>
    <w:rPr>
      <w:rFonts w:eastAsia="Times New Roman" w:cs="Times New Roman"/>
    </w:rPr>
  </w:style>
  <w:style w:type="character" w:customStyle="1" w:styleId="Bold">
    <w:name w:val="Bold"/>
    <w:basedOn w:val="DefaultParagraphFont"/>
    <w:rsid w:val="00275002"/>
    <w:rPr>
      <w:b/>
      <w:bCs/>
    </w:rPr>
  </w:style>
  <w:style w:type="paragraph" w:customStyle="1" w:styleId="LegalNumbering">
    <w:name w:val="Legal Numbering"/>
    <w:basedOn w:val="Normal"/>
    <w:rsid w:val="00275002"/>
    <w:pPr>
      <w:numPr>
        <w:numId w:val="20"/>
      </w:numPr>
      <w:tabs>
        <w:tab w:val="left" w:pos="680"/>
        <w:tab w:val="left" w:pos="1021"/>
        <w:tab w:val="left" w:pos="1361"/>
      </w:tabs>
      <w:spacing w:line="240" w:lineRule="auto"/>
    </w:pPr>
  </w:style>
  <w:style w:type="character" w:customStyle="1" w:styleId="AERtextsize8">
    <w:name w:val="AER text size 8"/>
    <w:basedOn w:val="DefaultParagraphFont"/>
    <w:uiPriority w:val="1"/>
    <w:qFormat/>
    <w:rsid w:val="00275002"/>
    <w:rPr>
      <w:rFonts w:ascii="Arial" w:hAnsi="Arial"/>
      <w:color w:val="auto"/>
      <w:sz w:val="16"/>
    </w:rPr>
  </w:style>
  <w:style w:type="paragraph" w:customStyle="1" w:styleId="NumberedChapterTitle">
    <w:name w:val="Numbered Chapter Title"/>
    <w:basedOn w:val="Chaptertitle"/>
    <w:qFormat/>
    <w:rsid w:val="00275002"/>
    <w:pPr>
      <w:pageBreakBefore/>
      <w:numPr>
        <w:numId w:val="21"/>
      </w:numPr>
      <w:tabs>
        <w:tab w:val="left" w:pos="680"/>
      </w:tabs>
      <w:ind w:left="680" w:hanging="680"/>
      <w:outlineLvl w:val="0"/>
    </w:pPr>
    <w:rPr>
      <w:rFonts w:ascii="Arial" w:hAnsi="Arial"/>
      <w:color w:val="000000" w:themeColor="text1"/>
    </w:rPr>
  </w:style>
  <w:style w:type="paragraph" w:styleId="Revision">
    <w:name w:val="Revision"/>
    <w:hidden/>
    <w:uiPriority w:val="99"/>
    <w:semiHidden/>
    <w:rsid w:val="00275002"/>
    <w:pPr>
      <w:spacing w:before="0"/>
    </w:pPr>
    <w:rPr>
      <w:rFonts w:ascii="Arial" w:hAnsi="Arial"/>
    </w:rPr>
  </w:style>
  <w:style w:type="paragraph" w:styleId="CommentText">
    <w:name w:val="annotation text"/>
    <w:basedOn w:val="Normal"/>
    <w:link w:val="CommentTextChar"/>
    <w:uiPriority w:val="99"/>
    <w:unhideWhenUsed/>
    <w:rsid w:val="00275002"/>
    <w:pPr>
      <w:spacing w:line="240" w:lineRule="auto"/>
    </w:pPr>
    <w:rPr>
      <w:sz w:val="20"/>
      <w:szCs w:val="20"/>
    </w:rPr>
  </w:style>
  <w:style w:type="character" w:customStyle="1" w:styleId="CommentTextChar">
    <w:name w:val="Comment Text Char"/>
    <w:basedOn w:val="DefaultParagraphFont"/>
    <w:link w:val="CommentText"/>
    <w:uiPriority w:val="99"/>
    <w:rsid w:val="00275002"/>
    <w:rPr>
      <w:rFonts w:ascii="Arial" w:hAnsi="Arial"/>
      <w:sz w:val="20"/>
      <w:szCs w:val="20"/>
    </w:rPr>
  </w:style>
  <w:style w:type="paragraph" w:styleId="CommentSubject">
    <w:name w:val="annotation subject"/>
    <w:basedOn w:val="Normal"/>
    <w:link w:val="CommentSubjectChar"/>
    <w:semiHidden/>
    <w:rsid w:val="00275002"/>
    <w:pPr>
      <w:spacing w:before="0" w:line="288" w:lineRule="auto"/>
      <w:jc w:val="both"/>
    </w:pPr>
    <w:rPr>
      <w:rFonts w:ascii="Gautami" w:eastAsia="Times New Roman" w:hAnsi="Gautami" w:cs="Times New Roman"/>
      <w:b/>
      <w:bCs/>
      <w:sz w:val="20"/>
      <w:szCs w:val="24"/>
      <w:lang w:eastAsia="en-AU"/>
    </w:rPr>
  </w:style>
  <w:style w:type="character" w:customStyle="1" w:styleId="CommentSubjectChar">
    <w:name w:val="Comment Subject Char"/>
    <w:basedOn w:val="CommentTextChar"/>
    <w:link w:val="CommentSubject"/>
    <w:semiHidden/>
    <w:rsid w:val="00275002"/>
    <w:rPr>
      <w:rFonts w:ascii="Gautami" w:eastAsia="Times New Roman" w:hAnsi="Gautami" w:cs="Times New Roman"/>
      <w:b/>
      <w:bCs/>
      <w:sz w:val="20"/>
      <w:szCs w:val="24"/>
      <w:lang w:eastAsia="en-AU"/>
    </w:rPr>
  </w:style>
  <w:style w:type="numbering" w:styleId="1ai">
    <w:name w:val="Outline List 1"/>
    <w:aliases w:val="AER Numbered List"/>
    <w:basedOn w:val="NoList"/>
    <w:rsid w:val="00275002"/>
    <w:pPr>
      <w:numPr>
        <w:numId w:val="22"/>
      </w:numPr>
    </w:pPr>
  </w:style>
  <w:style w:type="table" w:styleId="TableClassic2">
    <w:name w:val="Table Classic 2"/>
    <w:basedOn w:val="TableNormal"/>
    <w:rsid w:val="00275002"/>
    <w:pPr>
      <w:spacing w:before="0"/>
    </w:pPr>
    <w:rPr>
      <w:rFonts w:ascii="Times" w:eastAsia="Times New Roman" w:hAnsi="Times" w:cs="Times New Roman"/>
      <w:sz w:val="20"/>
      <w:szCs w:val="20"/>
      <w:lang w:eastAsia="en-A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ntemporary">
    <w:name w:val="Table Contemporary"/>
    <w:basedOn w:val="TableNormal"/>
    <w:rsid w:val="00275002"/>
    <w:pPr>
      <w:spacing w:before="0"/>
    </w:pPr>
    <w:rPr>
      <w:rFonts w:ascii="Times" w:eastAsia="Times New Roman" w:hAnsi="Times" w:cs="Times New Roman"/>
      <w:sz w:val="20"/>
      <w:szCs w:val="20"/>
      <w:lang w:eastAsia="en-A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lassic1">
    <w:name w:val="Table Classic 1"/>
    <w:basedOn w:val="TableNormal"/>
    <w:rsid w:val="00275002"/>
    <w:pPr>
      <w:spacing w:before="0"/>
    </w:pPr>
    <w:rPr>
      <w:rFonts w:ascii="Times" w:eastAsia="Times New Roman" w:hAnsi="Times" w:cs="Times New Roman"/>
      <w:sz w:val="20"/>
      <w:szCs w:val="20"/>
      <w:lang w:eastAsia="en-A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75002"/>
    <w:pPr>
      <w:spacing w:before="0"/>
    </w:pPr>
    <w:rPr>
      <w:rFonts w:ascii="Calibri" w:eastAsia="Times New Roman" w:hAnsi="Calibri" w:cs="Times New Roman"/>
      <w:sz w:val="20"/>
      <w:szCs w:val="20"/>
      <w:lang w:eastAsia="en-A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rFonts w:ascii="Calibri" w:hAnsi="Calibri"/>
        <w:b/>
        <w:bCs/>
        <w:color w:val="000000"/>
        <w:sz w:val="20"/>
      </w:r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MediumShading2-Accent5">
    <w:name w:val="Medium Shading 2 Accent 5"/>
    <w:basedOn w:val="TableNormal"/>
    <w:uiPriority w:val="64"/>
    <w:rsid w:val="00275002"/>
    <w:pPr>
      <w:spacing w:before="0"/>
    </w:pPr>
    <w:rPr>
      <w:rFonts w:ascii="Calibri" w:eastAsia="Calibri" w:hAnsi="Calibri" w:cs="Times New Roman"/>
      <w:sz w:val="20"/>
      <w:szCs w:val="20"/>
      <w:lang w:eastAsia="en-A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unhideWhenUsed/>
    <w:rsid w:val="0027500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ERHeading1">
    <w:name w:val="AER Heading 1"/>
    <w:basedOn w:val="Heading2notnumbered"/>
    <w:link w:val="AERHeading1Char"/>
    <w:qFormat/>
    <w:rsid w:val="000E2946"/>
    <w:rPr>
      <w:color w:val="2272A3" w:themeColor="accent4" w:themeShade="80"/>
    </w:rPr>
  </w:style>
  <w:style w:type="paragraph" w:customStyle="1" w:styleId="AERHeading3">
    <w:name w:val="AER Heading 3"/>
    <w:basedOn w:val="Heading4notnumbered"/>
    <w:link w:val="AERHeading3Char"/>
    <w:qFormat/>
    <w:rsid w:val="00914A87"/>
  </w:style>
  <w:style w:type="character" w:customStyle="1" w:styleId="Heading2notnumberedChar">
    <w:name w:val="Heading 2 not numbered Char"/>
    <w:basedOn w:val="Heading2Char"/>
    <w:link w:val="Heading2notnumbered"/>
    <w:rsid w:val="000E2946"/>
    <w:rPr>
      <w:rFonts w:ascii="Arial" w:eastAsia="Times New Roman" w:hAnsi="Arial" w:cs="Times New Roman"/>
      <w:b/>
      <w:bCs/>
      <w:color w:val="003591" w:themeColor="text2"/>
      <w:sz w:val="32"/>
      <w:szCs w:val="20"/>
    </w:rPr>
  </w:style>
  <w:style w:type="character" w:customStyle="1" w:styleId="AERHeading1Char">
    <w:name w:val="AER Heading 1 Char"/>
    <w:basedOn w:val="Heading2notnumberedChar"/>
    <w:link w:val="AERHeading1"/>
    <w:rsid w:val="000E2946"/>
    <w:rPr>
      <w:rFonts w:ascii="Arial" w:eastAsia="Times New Roman" w:hAnsi="Arial" w:cs="Times New Roman"/>
      <w:b/>
      <w:bCs/>
      <w:color w:val="2272A3" w:themeColor="accent4" w:themeShade="80"/>
      <w:sz w:val="32"/>
      <w:szCs w:val="20"/>
    </w:rPr>
  </w:style>
  <w:style w:type="paragraph" w:customStyle="1" w:styleId="Tablesumline">
    <w:name w:val="Table sum line"/>
    <w:basedOn w:val="Normal"/>
    <w:link w:val="TablesumlineChar"/>
    <w:qFormat/>
    <w:rsid w:val="00FD72DC"/>
    <w:pPr>
      <w:spacing w:before="120" w:after="120"/>
    </w:pPr>
    <w:rPr>
      <w:b/>
      <w:sz w:val="20"/>
    </w:rPr>
  </w:style>
  <w:style w:type="character" w:customStyle="1" w:styleId="Heading4notnumberedChar">
    <w:name w:val="Heading 4 not numbered Char"/>
    <w:basedOn w:val="Heading4Char"/>
    <w:link w:val="Heading4notnumbered"/>
    <w:rsid w:val="00914A87"/>
    <w:rPr>
      <w:rFonts w:ascii="Arial" w:eastAsia="Times New Roman" w:hAnsi="Arial" w:cs="Times New Roman"/>
      <w:b/>
      <w:bCs/>
      <w:i w:val="0"/>
      <w:iCs w:val="0"/>
      <w:color w:val="51626F"/>
      <w:sz w:val="24"/>
      <w:szCs w:val="20"/>
    </w:rPr>
  </w:style>
  <w:style w:type="character" w:customStyle="1" w:styleId="AERHeading3Char">
    <w:name w:val="AER Heading 3 Char"/>
    <w:basedOn w:val="Heading4notnumberedChar"/>
    <w:link w:val="AERHeading3"/>
    <w:rsid w:val="00914A87"/>
    <w:rPr>
      <w:rFonts w:ascii="Arial" w:eastAsia="Times New Roman" w:hAnsi="Arial" w:cs="Times New Roman"/>
      <w:b/>
      <w:bCs/>
      <w:i w:val="0"/>
      <w:iCs w:val="0"/>
      <w:color w:val="51626F"/>
      <w:sz w:val="24"/>
      <w:szCs w:val="20"/>
    </w:rPr>
  </w:style>
  <w:style w:type="table" w:customStyle="1" w:styleId="AERsummarytable">
    <w:name w:val="AER summary table"/>
    <w:basedOn w:val="AERTable-Text"/>
    <w:uiPriority w:val="99"/>
    <w:rsid w:val="00FD72DC"/>
    <w:pPr>
      <w:spacing w:before="0"/>
    </w:pPr>
    <w:tblPr>
      <w:tblStyleRowBandSize w:val="1"/>
      <w:tblInd w:w="0" w:type="dxa"/>
      <w:tblBorders>
        <w:bottom w:val="single" w:sz="4" w:space="0" w:color="auto"/>
      </w:tblBorders>
      <w:tblCellMar>
        <w:top w:w="0" w:type="dxa"/>
        <w:left w:w="108" w:type="dxa"/>
        <w:bottom w:w="0" w:type="dxa"/>
        <w:right w:w="108" w:type="dxa"/>
      </w:tblCellMar>
    </w:tblPr>
    <w:trPr>
      <w:cantSplit/>
    </w:tr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TablesumlineChar">
    <w:name w:val="Table sum line Char"/>
    <w:basedOn w:val="DefaultParagraphFont"/>
    <w:link w:val="Tablesumline"/>
    <w:rsid w:val="00FD72DC"/>
    <w:rPr>
      <w:rFonts w:ascii="Arial" w:hAnsi="Arial"/>
      <w:b/>
      <w:sz w:val="20"/>
    </w:rPr>
  </w:style>
  <w:style w:type="table" w:customStyle="1" w:styleId="Style1">
    <w:name w:val="Style1"/>
    <w:basedOn w:val="TableNormal"/>
    <w:uiPriority w:val="99"/>
    <w:rsid w:val="00A81EF8"/>
    <w:pPr>
      <w:spacing w:before="0"/>
    </w:pPr>
    <w:tblPr>
      <w:tblInd w:w="0" w:type="dxa"/>
      <w:tblCellMar>
        <w:top w:w="0" w:type="dxa"/>
        <w:left w:w="108" w:type="dxa"/>
        <w:bottom w:w="0" w:type="dxa"/>
        <w:right w:w="108" w:type="dxa"/>
      </w:tblCellMar>
    </w:tblPr>
    <w:tblStylePr w:type="firstRow">
      <w:rPr>
        <w:rFonts w:ascii="Arial" w:hAnsi="Arial"/>
        <w:color w:val="FFFFFF" w:themeColor="background1"/>
        <w:sz w:val="18"/>
      </w:rPr>
      <w:tblPr/>
      <w:tcPr>
        <w:shd w:val="clear" w:color="auto" w:fill="2272A3" w:themeFill="accent4" w:themeFillShade="80"/>
      </w:tcPr>
    </w:tblStylePr>
  </w:style>
  <w:style w:type="paragraph" w:customStyle="1" w:styleId="tableheadingline2">
    <w:name w:val="table heading line 2"/>
    <w:basedOn w:val="Normal"/>
    <w:link w:val="tableheadingline2Char"/>
    <w:qFormat/>
    <w:rsid w:val="00FA3830"/>
    <w:pPr>
      <w:spacing w:before="0" w:after="120"/>
      <w:jc w:val="center"/>
    </w:pPr>
    <w:rPr>
      <w:b/>
      <w:sz w:val="18"/>
      <w14:numSpacing w14:val="tabular"/>
    </w:rPr>
  </w:style>
  <w:style w:type="character" w:customStyle="1" w:styleId="tableheadingline2Char">
    <w:name w:val="table heading line 2 Char"/>
    <w:basedOn w:val="DefaultParagraphFont"/>
    <w:link w:val="tableheadingline2"/>
    <w:rsid w:val="00FA3830"/>
    <w:rPr>
      <w:rFonts w:ascii="Arial" w:hAnsi="Arial"/>
      <w:b/>
      <w:sz w:val="18"/>
      <w14:numSpacing w14:val="tabular"/>
    </w:rPr>
  </w:style>
  <w:style w:type="paragraph" w:customStyle="1" w:styleId="AERbodytext">
    <w:name w:val="AER body text"/>
    <w:link w:val="AERbodytextChar"/>
    <w:qFormat/>
    <w:rsid w:val="001778E3"/>
    <w:pPr>
      <w:spacing w:before="120" w:after="120" w:line="288" w:lineRule="auto"/>
      <w:jc w:val="both"/>
    </w:pPr>
    <w:rPr>
      <w:rFonts w:ascii="Arial" w:eastAsia="Times New Roman" w:hAnsi="Arial" w:cs="Arial"/>
      <w:bCs/>
      <w:lang w:eastAsia="en-AU"/>
    </w:rPr>
  </w:style>
  <w:style w:type="character" w:customStyle="1" w:styleId="AERbodytextChar">
    <w:name w:val="AER body text Char"/>
    <w:basedOn w:val="DefaultParagraphFont"/>
    <w:link w:val="AERbodytext"/>
    <w:rsid w:val="001778E3"/>
    <w:rPr>
      <w:rFonts w:ascii="Arial" w:eastAsia="Times New Roman" w:hAnsi="Arial" w:cs="Arial"/>
      <w:bCs/>
      <w:lang w:eastAsia="en-AU"/>
    </w:rPr>
  </w:style>
  <w:style w:type="paragraph" w:customStyle="1" w:styleId="tablenormal0">
    <w:name w:val="table normal"/>
    <w:basedOn w:val="Normal"/>
    <w:link w:val="tablenormalChar"/>
    <w:qFormat/>
    <w:rsid w:val="005D2FBD"/>
    <w:pPr>
      <w:spacing w:before="120" w:after="120"/>
    </w:pPr>
    <w:rPr>
      <w:rFonts w:cs="Arial"/>
      <w:sz w:val="18"/>
    </w:rPr>
  </w:style>
  <w:style w:type="character" w:customStyle="1" w:styleId="tablenormalChar">
    <w:name w:val="table normal Char"/>
    <w:basedOn w:val="DefaultParagraphFont"/>
    <w:link w:val="tablenormal0"/>
    <w:rsid w:val="005D2FBD"/>
    <w:rPr>
      <w:rFonts w:ascii="Arial" w:hAnsi="Arial" w:cs="Arial"/>
      <w:sz w:val="18"/>
    </w:rPr>
  </w:style>
  <w:style w:type="table" w:customStyle="1" w:styleId="AERsummarytable1">
    <w:name w:val="AER summary table1"/>
    <w:basedOn w:val="AERTable-Text"/>
    <w:uiPriority w:val="99"/>
    <w:rsid w:val="00784A7E"/>
    <w:pPr>
      <w:spacing w:before="0"/>
    </w:pPr>
    <w:tblPr>
      <w:tblStyleRowBandSize w:val="1"/>
      <w:tblInd w:w="0" w:type="dxa"/>
      <w:tblBorders>
        <w:bottom w:val="single" w:sz="4" w:space="0" w:color="auto"/>
      </w:tblBorders>
      <w:tblCellMar>
        <w:top w:w="0" w:type="dxa"/>
        <w:left w:w="108" w:type="dxa"/>
        <w:bottom w:w="0" w:type="dxa"/>
        <w:right w:w="108" w:type="dxa"/>
      </w:tblCellMar>
    </w:tblPr>
    <w:trPr>
      <w:cantSplit/>
    </w:tr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table" w:customStyle="1" w:styleId="AERsummarytable2">
    <w:name w:val="AER summary table2"/>
    <w:basedOn w:val="TableNormal"/>
    <w:uiPriority w:val="99"/>
    <w:rsid w:val="002D1734"/>
    <w:pPr>
      <w:spacing w:before="0" w:after="120"/>
    </w:pPr>
    <w:rPr>
      <w:rFonts w:ascii="Arial" w:hAnsi="Arial"/>
      <w:sz w:val="18"/>
    </w:rPr>
    <w:tblPr>
      <w:tblStyleRowBandSize w:val="1"/>
      <w:tblInd w:w="0" w:type="dxa"/>
      <w:tblBorders>
        <w:bottom w:val="single" w:sz="4" w:space="0" w:color="auto"/>
      </w:tblBorders>
      <w:tblCellMar>
        <w:top w:w="0" w:type="dxa"/>
        <w:left w:w="108" w:type="dxa"/>
        <w:bottom w:w="0" w:type="dxa"/>
        <w:right w:w="108" w:type="dxa"/>
      </w:tblCellMar>
    </w:tblPr>
    <w:trPr>
      <w:cantSplit/>
    </w:tr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a531">
    <w:name w:val="a5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571">
    <w:name w:val="a5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691">
    <w:name w:val="a69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31">
    <w:name w:val="a7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71">
    <w:name w:val="a7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displayonly">
    <w:name w:val="display_only"/>
    <w:basedOn w:val="DefaultParagraphFont"/>
    <w:rsid w:val="00091F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882484">
      <w:bodyDiv w:val="1"/>
      <w:marLeft w:val="0"/>
      <w:marRight w:val="0"/>
      <w:marTop w:val="0"/>
      <w:marBottom w:val="0"/>
      <w:divBdr>
        <w:top w:val="none" w:sz="0" w:space="0" w:color="auto"/>
        <w:left w:val="none" w:sz="0" w:space="0" w:color="auto"/>
        <w:bottom w:val="none" w:sz="0" w:space="0" w:color="auto"/>
        <w:right w:val="none" w:sz="0" w:space="0" w:color="auto"/>
      </w:divBdr>
    </w:div>
    <w:div w:id="300615641">
      <w:bodyDiv w:val="1"/>
      <w:marLeft w:val="0"/>
      <w:marRight w:val="0"/>
      <w:marTop w:val="0"/>
      <w:marBottom w:val="0"/>
      <w:divBdr>
        <w:top w:val="none" w:sz="0" w:space="0" w:color="auto"/>
        <w:left w:val="none" w:sz="0" w:space="0" w:color="auto"/>
        <w:bottom w:val="none" w:sz="0" w:space="0" w:color="auto"/>
        <w:right w:val="none" w:sz="0" w:space="0" w:color="auto"/>
      </w:divBdr>
    </w:div>
    <w:div w:id="326597061">
      <w:bodyDiv w:val="1"/>
      <w:marLeft w:val="0"/>
      <w:marRight w:val="0"/>
      <w:marTop w:val="0"/>
      <w:marBottom w:val="0"/>
      <w:divBdr>
        <w:top w:val="none" w:sz="0" w:space="0" w:color="auto"/>
        <w:left w:val="none" w:sz="0" w:space="0" w:color="auto"/>
        <w:bottom w:val="none" w:sz="0" w:space="0" w:color="auto"/>
        <w:right w:val="none" w:sz="0" w:space="0" w:color="auto"/>
      </w:divBdr>
    </w:div>
    <w:div w:id="361899807">
      <w:bodyDiv w:val="1"/>
      <w:marLeft w:val="0"/>
      <w:marRight w:val="0"/>
      <w:marTop w:val="0"/>
      <w:marBottom w:val="0"/>
      <w:divBdr>
        <w:top w:val="none" w:sz="0" w:space="0" w:color="auto"/>
        <w:left w:val="none" w:sz="0" w:space="0" w:color="auto"/>
        <w:bottom w:val="none" w:sz="0" w:space="0" w:color="auto"/>
        <w:right w:val="none" w:sz="0" w:space="0" w:color="auto"/>
      </w:divBdr>
    </w:div>
    <w:div w:id="368650552">
      <w:bodyDiv w:val="1"/>
      <w:marLeft w:val="0"/>
      <w:marRight w:val="0"/>
      <w:marTop w:val="0"/>
      <w:marBottom w:val="0"/>
      <w:divBdr>
        <w:top w:val="none" w:sz="0" w:space="0" w:color="auto"/>
        <w:left w:val="none" w:sz="0" w:space="0" w:color="auto"/>
        <w:bottom w:val="none" w:sz="0" w:space="0" w:color="auto"/>
        <w:right w:val="none" w:sz="0" w:space="0" w:color="auto"/>
      </w:divBdr>
    </w:div>
    <w:div w:id="370884515">
      <w:bodyDiv w:val="1"/>
      <w:marLeft w:val="0"/>
      <w:marRight w:val="0"/>
      <w:marTop w:val="0"/>
      <w:marBottom w:val="0"/>
      <w:divBdr>
        <w:top w:val="none" w:sz="0" w:space="0" w:color="auto"/>
        <w:left w:val="none" w:sz="0" w:space="0" w:color="auto"/>
        <w:bottom w:val="none" w:sz="0" w:space="0" w:color="auto"/>
        <w:right w:val="none" w:sz="0" w:space="0" w:color="auto"/>
      </w:divBdr>
    </w:div>
    <w:div w:id="492918306">
      <w:bodyDiv w:val="1"/>
      <w:marLeft w:val="0"/>
      <w:marRight w:val="0"/>
      <w:marTop w:val="0"/>
      <w:marBottom w:val="0"/>
      <w:divBdr>
        <w:top w:val="none" w:sz="0" w:space="0" w:color="auto"/>
        <w:left w:val="none" w:sz="0" w:space="0" w:color="auto"/>
        <w:bottom w:val="none" w:sz="0" w:space="0" w:color="auto"/>
        <w:right w:val="none" w:sz="0" w:space="0" w:color="auto"/>
      </w:divBdr>
    </w:div>
    <w:div w:id="551885407">
      <w:bodyDiv w:val="1"/>
      <w:marLeft w:val="0"/>
      <w:marRight w:val="0"/>
      <w:marTop w:val="0"/>
      <w:marBottom w:val="0"/>
      <w:divBdr>
        <w:top w:val="none" w:sz="0" w:space="0" w:color="auto"/>
        <w:left w:val="none" w:sz="0" w:space="0" w:color="auto"/>
        <w:bottom w:val="none" w:sz="0" w:space="0" w:color="auto"/>
        <w:right w:val="none" w:sz="0" w:space="0" w:color="auto"/>
      </w:divBdr>
    </w:div>
    <w:div w:id="607350953">
      <w:bodyDiv w:val="1"/>
      <w:marLeft w:val="0"/>
      <w:marRight w:val="0"/>
      <w:marTop w:val="0"/>
      <w:marBottom w:val="0"/>
      <w:divBdr>
        <w:top w:val="none" w:sz="0" w:space="0" w:color="auto"/>
        <w:left w:val="none" w:sz="0" w:space="0" w:color="auto"/>
        <w:bottom w:val="none" w:sz="0" w:space="0" w:color="auto"/>
        <w:right w:val="none" w:sz="0" w:space="0" w:color="auto"/>
      </w:divBdr>
      <w:divsChild>
        <w:div w:id="1477409511">
          <w:marLeft w:val="0"/>
          <w:marRight w:val="0"/>
          <w:marTop w:val="0"/>
          <w:marBottom w:val="0"/>
          <w:divBdr>
            <w:top w:val="none" w:sz="0" w:space="0" w:color="auto"/>
            <w:left w:val="none" w:sz="0" w:space="0" w:color="auto"/>
            <w:bottom w:val="none" w:sz="0" w:space="0" w:color="auto"/>
            <w:right w:val="none" w:sz="0" w:space="0" w:color="auto"/>
          </w:divBdr>
          <w:divsChild>
            <w:div w:id="1592464704">
              <w:marLeft w:val="0"/>
              <w:marRight w:val="0"/>
              <w:marTop w:val="0"/>
              <w:marBottom w:val="0"/>
              <w:divBdr>
                <w:top w:val="none" w:sz="0" w:space="0" w:color="auto"/>
                <w:left w:val="none" w:sz="0" w:space="0" w:color="auto"/>
                <w:bottom w:val="none" w:sz="0" w:space="0" w:color="auto"/>
                <w:right w:val="none" w:sz="0" w:space="0" w:color="auto"/>
              </w:divBdr>
              <w:divsChild>
                <w:div w:id="734359218">
                  <w:marLeft w:val="0"/>
                  <w:marRight w:val="0"/>
                  <w:marTop w:val="0"/>
                  <w:marBottom w:val="0"/>
                  <w:divBdr>
                    <w:top w:val="none" w:sz="0" w:space="0" w:color="auto"/>
                    <w:left w:val="none" w:sz="0" w:space="0" w:color="auto"/>
                    <w:bottom w:val="none" w:sz="0" w:space="0" w:color="auto"/>
                    <w:right w:val="none" w:sz="0" w:space="0" w:color="auto"/>
                  </w:divBdr>
                  <w:divsChild>
                    <w:div w:id="148524803">
                      <w:marLeft w:val="0"/>
                      <w:marRight w:val="0"/>
                      <w:marTop w:val="0"/>
                      <w:marBottom w:val="0"/>
                      <w:divBdr>
                        <w:top w:val="none" w:sz="0" w:space="0" w:color="auto"/>
                        <w:left w:val="none" w:sz="0" w:space="0" w:color="auto"/>
                        <w:bottom w:val="none" w:sz="0" w:space="0" w:color="auto"/>
                        <w:right w:val="none" w:sz="0" w:space="0" w:color="auto"/>
                      </w:divBdr>
                      <w:divsChild>
                        <w:div w:id="574323894">
                          <w:marLeft w:val="0"/>
                          <w:marRight w:val="0"/>
                          <w:marTop w:val="0"/>
                          <w:marBottom w:val="0"/>
                          <w:divBdr>
                            <w:top w:val="none" w:sz="0" w:space="0" w:color="auto"/>
                            <w:left w:val="none" w:sz="0" w:space="0" w:color="auto"/>
                            <w:bottom w:val="none" w:sz="0" w:space="0" w:color="auto"/>
                            <w:right w:val="none" w:sz="0" w:space="0" w:color="auto"/>
                          </w:divBdr>
                        </w:div>
                      </w:divsChild>
                    </w:div>
                    <w:div w:id="282813355">
                      <w:marLeft w:val="0"/>
                      <w:marRight w:val="0"/>
                      <w:marTop w:val="0"/>
                      <w:marBottom w:val="0"/>
                      <w:divBdr>
                        <w:top w:val="none" w:sz="0" w:space="0" w:color="auto"/>
                        <w:left w:val="none" w:sz="0" w:space="0" w:color="auto"/>
                        <w:bottom w:val="none" w:sz="0" w:space="0" w:color="auto"/>
                        <w:right w:val="none" w:sz="0" w:space="0" w:color="auto"/>
                      </w:divBdr>
                      <w:divsChild>
                        <w:div w:id="1136265507">
                          <w:marLeft w:val="0"/>
                          <w:marRight w:val="0"/>
                          <w:marTop w:val="0"/>
                          <w:marBottom w:val="0"/>
                          <w:divBdr>
                            <w:top w:val="none" w:sz="0" w:space="0" w:color="auto"/>
                            <w:left w:val="none" w:sz="0" w:space="0" w:color="auto"/>
                            <w:bottom w:val="none" w:sz="0" w:space="0" w:color="auto"/>
                            <w:right w:val="none" w:sz="0" w:space="0" w:color="auto"/>
                          </w:divBdr>
                        </w:div>
                      </w:divsChild>
                    </w:div>
                    <w:div w:id="1495608441">
                      <w:marLeft w:val="0"/>
                      <w:marRight w:val="0"/>
                      <w:marTop w:val="0"/>
                      <w:marBottom w:val="0"/>
                      <w:divBdr>
                        <w:top w:val="none" w:sz="0" w:space="0" w:color="auto"/>
                        <w:left w:val="none" w:sz="0" w:space="0" w:color="auto"/>
                        <w:bottom w:val="none" w:sz="0" w:space="0" w:color="auto"/>
                        <w:right w:val="none" w:sz="0" w:space="0" w:color="auto"/>
                      </w:divBdr>
                      <w:divsChild>
                        <w:div w:id="761222663">
                          <w:marLeft w:val="0"/>
                          <w:marRight w:val="0"/>
                          <w:marTop w:val="0"/>
                          <w:marBottom w:val="0"/>
                          <w:divBdr>
                            <w:top w:val="none" w:sz="0" w:space="0" w:color="auto"/>
                            <w:left w:val="none" w:sz="0" w:space="0" w:color="auto"/>
                            <w:bottom w:val="none" w:sz="0" w:space="0" w:color="auto"/>
                            <w:right w:val="none" w:sz="0" w:space="0" w:color="auto"/>
                          </w:divBdr>
                        </w:div>
                      </w:divsChild>
                    </w:div>
                    <w:div w:id="1695614408">
                      <w:marLeft w:val="0"/>
                      <w:marRight w:val="0"/>
                      <w:marTop w:val="0"/>
                      <w:marBottom w:val="0"/>
                      <w:divBdr>
                        <w:top w:val="none" w:sz="0" w:space="0" w:color="auto"/>
                        <w:left w:val="none" w:sz="0" w:space="0" w:color="auto"/>
                        <w:bottom w:val="none" w:sz="0" w:space="0" w:color="auto"/>
                        <w:right w:val="none" w:sz="0" w:space="0" w:color="auto"/>
                      </w:divBdr>
                      <w:divsChild>
                        <w:div w:id="938560433">
                          <w:marLeft w:val="0"/>
                          <w:marRight w:val="0"/>
                          <w:marTop w:val="0"/>
                          <w:marBottom w:val="0"/>
                          <w:divBdr>
                            <w:top w:val="none" w:sz="0" w:space="0" w:color="auto"/>
                            <w:left w:val="none" w:sz="0" w:space="0" w:color="auto"/>
                            <w:bottom w:val="none" w:sz="0" w:space="0" w:color="auto"/>
                            <w:right w:val="none" w:sz="0" w:space="0" w:color="auto"/>
                          </w:divBdr>
                        </w:div>
                      </w:divsChild>
                    </w:div>
                    <w:div w:id="1756435873">
                      <w:marLeft w:val="0"/>
                      <w:marRight w:val="0"/>
                      <w:marTop w:val="0"/>
                      <w:marBottom w:val="0"/>
                      <w:divBdr>
                        <w:top w:val="none" w:sz="0" w:space="0" w:color="auto"/>
                        <w:left w:val="none" w:sz="0" w:space="0" w:color="auto"/>
                        <w:bottom w:val="none" w:sz="0" w:space="0" w:color="auto"/>
                        <w:right w:val="none" w:sz="0" w:space="0" w:color="auto"/>
                      </w:divBdr>
                      <w:divsChild>
                        <w:div w:id="133556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0089711">
      <w:bodyDiv w:val="1"/>
      <w:marLeft w:val="0"/>
      <w:marRight w:val="0"/>
      <w:marTop w:val="0"/>
      <w:marBottom w:val="0"/>
      <w:divBdr>
        <w:top w:val="none" w:sz="0" w:space="0" w:color="auto"/>
        <w:left w:val="none" w:sz="0" w:space="0" w:color="auto"/>
        <w:bottom w:val="none" w:sz="0" w:space="0" w:color="auto"/>
        <w:right w:val="none" w:sz="0" w:space="0" w:color="auto"/>
      </w:divBdr>
    </w:div>
    <w:div w:id="688801072">
      <w:bodyDiv w:val="1"/>
      <w:marLeft w:val="0"/>
      <w:marRight w:val="0"/>
      <w:marTop w:val="0"/>
      <w:marBottom w:val="0"/>
      <w:divBdr>
        <w:top w:val="none" w:sz="0" w:space="0" w:color="auto"/>
        <w:left w:val="none" w:sz="0" w:space="0" w:color="auto"/>
        <w:bottom w:val="none" w:sz="0" w:space="0" w:color="auto"/>
        <w:right w:val="none" w:sz="0" w:space="0" w:color="auto"/>
      </w:divBdr>
    </w:div>
    <w:div w:id="742337540">
      <w:bodyDiv w:val="1"/>
      <w:marLeft w:val="0"/>
      <w:marRight w:val="0"/>
      <w:marTop w:val="0"/>
      <w:marBottom w:val="0"/>
      <w:divBdr>
        <w:top w:val="none" w:sz="0" w:space="0" w:color="auto"/>
        <w:left w:val="none" w:sz="0" w:space="0" w:color="auto"/>
        <w:bottom w:val="none" w:sz="0" w:space="0" w:color="auto"/>
        <w:right w:val="none" w:sz="0" w:space="0" w:color="auto"/>
      </w:divBdr>
    </w:div>
    <w:div w:id="844250539">
      <w:bodyDiv w:val="1"/>
      <w:marLeft w:val="0"/>
      <w:marRight w:val="0"/>
      <w:marTop w:val="0"/>
      <w:marBottom w:val="0"/>
      <w:divBdr>
        <w:top w:val="none" w:sz="0" w:space="0" w:color="auto"/>
        <w:left w:val="none" w:sz="0" w:space="0" w:color="auto"/>
        <w:bottom w:val="none" w:sz="0" w:space="0" w:color="auto"/>
        <w:right w:val="none" w:sz="0" w:space="0" w:color="auto"/>
      </w:divBdr>
    </w:div>
    <w:div w:id="851798394">
      <w:bodyDiv w:val="1"/>
      <w:marLeft w:val="0"/>
      <w:marRight w:val="0"/>
      <w:marTop w:val="0"/>
      <w:marBottom w:val="0"/>
      <w:divBdr>
        <w:top w:val="none" w:sz="0" w:space="0" w:color="auto"/>
        <w:left w:val="none" w:sz="0" w:space="0" w:color="auto"/>
        <w:bottom w:val="none" w:sz="0" w:space="0" w:color="auto"/>
        <w:right w:val="none" w:sz="0" w:space="0" w:color="auto"/>
      </w:divBdr>
    </w:div>
    <w:div w:id="882669064">
      <w:bodyDiv w:val="1"/>
      <w:marLeft w:val="0"/>
      <w:marRight w:val="0"/>
      <w:marTop w:val="0"/>
      <w:marBottom w:val="0"/>
      <w:divBdr>
        <w:top w:val="none" w:sz="0" w:space="0" w:color="auto"/>
        <w:left w:val="none" w:sz="0" w:space="0" w:color="auto"/>
        <w:bottom w:val="none" w:sz="0" w:space="0" w:color="auto"/>
        <w:right w:val="none" w:sz="0" w:space="0" w:color="auto"/>
      </w:divBdr>
    </w:div>
    <w:div w:id="884219376">
      <w:bodyDiv w:val="1"/>
      <w:marLeft w:val="0"/>
      <w:marRight w:val="0"/>
      <w:marTop w:val="0"/>
      <w:marBottom w:val="0"/>
      <w:divBdr>
        <w:top w:val="none" w:sz="0" w:space="0" w:color="auto"/>
        <w:left w:val="none" w:sz="0" w:space="0" w:color="auto"/>
        <w:bottom w:val="none" w:sz="0" w:space="0" w:color="auto"/>
        <w:right w:val="none" w:sz="0" w:space="0" w:color="auto"/>
      </w:divBdr>
    </w:div>
    <w:div w:id="1022441387">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 w:id="1046876556">
      <w:bodyDiv w:val="1"/>
      <w:marLeft w:val="0"/>
      <w:marRight w:val="0"/>
      <w:marTop w:val="0"/>
      <w:marBottom w:val="0"/>
      <w:divBdr>
        <w:top w:val="none" w:sz="0" w:space="0" w:color="auto"/>
        <w:left w:val="none" w:sz="0" w:space="0" w:color="auto"/>
        <w:bottom w:val="none" w:sz="0" w:space="0" w:color="auto"/>
        <w:right w:val="none" w:sz="0" w:space="0" w:color="auto"/>
      </w:divBdr>
    </w:div>
    <w:div w:id="1086655771">
      <w:bodyDiv w:val="1"/>
      <w:marLeft w:val="0"/>
      <w:marRight w:val="0"/>
      <w:marTop w:val="0"/>
      <w:marBottom w:val="0"/>
      <w:divBdr>
        <w:top w:val="none" w:sz="0" w:space="0" w:color="auto"/>
        <w:left w:val="none" w:sz="0" w:space="0" w:color="auto"/>
        <w:bottom w:val="none" w:sz="0" w:space="0" w:color="auto"/>
        <w:right w:val="none" w:sz="0" w:space="0" w:color="auto"/>
      </w:divBdr>
    </w:div>
    <w:div w:id="1098868369">
      <w:bodyDiv w:val="1"/>
      <w:marLeft w:val="0"/>
      <w:marRight w:val="0"/>
      <w:marTop w:val="0"/>
      <w:marBottom w:val="0"/>
      <w:divBdr>
        <w:top w:val="none" w:sz="0" w:space="0" w:color="auto"/>
        <w:left w:val="none" w:sz="0" w:space="0" w:color="auto"/>
        <w:bottom w:val="none" w:sz="0" w:space="0" w:color="auto"/>
        <w:right w:val="none" w:sz="0" w:space="0" w:color="auto"/>
      </w:divBdr>
    </w:div>
    <w:div w:id="1222518291">
      <w:bodyDiv w:val="1"/>
      <w:marLeft w:val="0"/>
      <w:marRight w:val="0"/>
      <w:marTop w:val="0"/>
      <w:marBottom w:val="0"/>
      <w:divBdr>
        <w:top w:val="none" w:sz="0" w:space="0" w:color="auto"/>
        <w:left w:val="none" w:sz="0" w:space="0" w:color="auto"/>
        <w:bottom w:val="none" w:sz="0" w:space="0" w:color="auto"/>
        <w:right w:val="none" w:sz="0" w:space="0" w:color="auto"/>
      </w:divBdr>
    </w:div>
    <w:div w:id="1333071894">
      <w:bodyDiv w:val="1"/>
      <w:marLeft w:val="0"/>
      <w:marRight w:val="0"/>
      <w:marTop w:val="0"/>
      <w:marBottom w:val="0"/>
      <w:divBdr>
        <w:top w:val="none" w:sz="0" w:space="0" w:color="auto"/>
        <w:left w:val="none" w:sz="0" w:space="0" w:color="auto"/>
        <w:bottom w:val="none" w:sz="0" w:space="0" w:color="auto"/>
        <w:right w:val="none" w:sz="0" w:space="0" w:color="auto"/>
      </w:divBdr>
    </w:div>
    <w:div w:id="1383939366">
      <w:bodyDiv w:val="1"/>
      <w:marLeft w:val="0"/>
      <w:marRight w:val="0"/>
      <w:marTop w:val="0"/>
      <w:marBottom w:val="0"/>
      <w:divBdr>
        <w:top w:val="none" w:sz="0" w:space="0" w:color="auto"/>
        <w:left w:val="none" w:sz="0" w:space="0" w:color="auto"/>
        <w:bottom w:val="none" w:sz="0" w:space="0" w:color="auto"/>
        <w:right w:val="none" w:sz="0" w:space="0" w:color="auto"/>
      </w:divBdr>
    </w:div>
    <w:div w:id="1406144921">
      <w:bodyDiv w:val="1"/>
      <w:marLeft w:val="0"/>
      <w:marRight w:val="0"/>
      <w:marTop w:val="0"/>
      <w:marBottom w:val="0"/>
      <w:divBdr>
        <w:top w:val="none" w:sz="0" w:space="0" w:color="auto"/>
        <w:left w:val="none" w:sz="0" w:space="0" w:color="auto"/>
        <w:bottom w:val="none" w:sz="0" w:space="0" w:color="auto"/>
        <w:right w:val="none" w:sz="0" w:space="0" w:color="auto"/>
      </w:divBdr>
    </w:div>
    <w:div w:id="1464157369">
      <w:bodyDiv w:val="1"/>
      <w:marLeft w:val="0"/>
      <w:marRight w:val="0"/>
      <w:marTop w:val="0"/>
      <w:marBottom w:val="0"/>
      <w:divBdr>
        <w:top w:val="none" w:sz="0" w:space="0" w:color="auto"/>
        <w:left w:val="none" w:sz="0" w:space="0" w:color="auto"/>
        <w:bottom w:val="none" w:sz="0" w:space="0" w:color="auto"/>
        <w:right w:val="none" w:sz="0" w:space="0" w:color="auto"/>
      </w:divBdr>
    </w:div>
    <w:div w:id="1481730809">
      <w:bodyDiv w:val="1"/>
      <w:marLeft w:val="0"/>
      <w:marRight w:val="0"/>
      <w:marTop w:val="0"/>
      <w:marBottom w:val="0"/>
      <w:divBdr>
        <w:top w:val="none" w:sz="0" w:space="0" w:color="auto"/>
        <w:left w:val="none" w:sz="0" w:space="0" w:color="auto"/>
        <w:bottom w:val="none" w:sz="0" w:space="0" w:color="auto"/>
        <w:right w:val="none" w:sz="0" w:space="0" w:color="auto"/>
      </w:divBdr>
    </w:div>
    <w:div w:id="1542669960">
      <w:bodyDiv w:val="1"/>
      <w:marLeft w:val="0"/>
      <w:marRight w:val="0"/>
      <w:marTop w:val="0"/>
      <w:marBottom w:val="0"/>
      <w:divBdr>
        <w:top w:val="none" w:sz="0" w:space="0" w:color="auto"/>
        <w:left w:val="none" w:sz="0" w:space="0" w:color="auto"/>
        <w:bottom w:val="none" w:sz="0" w:space="0" w:color="auto"/>
        <w:right w:val="none" w:sz="0" w:space="0" w:color="auto"/>
      </w:divBdr>
    </w:div>
    <w:div w:id="1580599939">
      <w:bodyDiv w:val="1"/>
      <w:marLeft w:val="0"/>
      <w:marRight w:val="0"/>
      <w:marTop w:val="0"/>
      <w:marBottom w:val="0"/>
      <w:divBdr>
        <w:top w:val="none" w:sz="0" w:space="0" w:color="auto"/>
        <w:left w:val="none" w:sz="0" w:space="0" w:color="auto"/>
        <w:bottom w:val="none" w:sz="0" w:space="0" w:color="auto"/>
        <w:right w:val="none" w:sz="0" w:space="0" w:color="auto"/>
      </w:divBdr>
    </w:div>
    <w:div w:id="1822455881">
      <w:bodyDiv w:val="1"/>
      <w:marLeft w:val="0"/>
      <w:marRight w:val="0"/>
      <w:marTop w:val="0"/>
      <w:marBottom w:val="0"/>
      <w:divBdr>
        <w:top w:val="none" w:sz="0" w:space="0" w:color="auto"/>
        <w:left w:val="none" w:sz="0" w:space="0" w:color="auto"/>
        <w:bottom w:val="none" w:sz="0" w:space="0" w:color="auto"/>
        <w:right w:val="none" w:sz="0" w:space="0" w:color="auto"/>
      </w:divBdr>
      <w:divsChild>
        <w:div w:id="560797537">
          <w:marLeft w:val="0"/>
          <w:marRight w:val="0"/>
          <w:marTop w:val="0"/>
          <w:marBottom w:val="0"/>
          <w:divBdr>
            <w:top w:val="none" w:sz="0" w:space="0" w:color="auto"/>
            <w:left w:val="none" w:sz="0" w:space="0" w:color="auto"/>
            <w:bottom w:val="none" w:sz="0" w:space="0" w:color="auto"/>
            <w:right w:val="none" w:sz="0" w:space="0" w:color="auto"/>
          </w:divBdr>
          <w:divsChild>
            <w:div w:id="593125470">
              <w:marLeft w:val="0"/>
              <w:marRight w:val="0"/>
              <w:marTop w:val="0"/>
              <w:marBottom w:val="0"/>
              <w:divBdr>
                <w:top w:val="none" w:sz="0" w:space="0" w:color="auto"/>
                <w:left w:val="none" w:sz="0" w:space="0" w:color="auto"/>
                <w:bottom w:val="none" w:sz="0" w:space="0" w:color="auto"/>
                <w:right w:val="none" w:sz="0" w:space="0" w:color="auto"/>
              </w:divBdr>
              <w:divsChild>
                <w:div w:id="1316841165">
                  <w:marLeft w:val="0"/>
                  <w:marRight w:val="0"/>
                  <w:marTop w:val="0"/>
                  <w:marBottom w:val="0"/>
                  <w:divBdr>
                    <w:top w:val="none" w:sz="0" w:space="0" w:color="auto"/>
                    <w:left w:val="none" w:sz="0" w:space="0" w:color="auto"/>
                    <w:bottom w:val="none" w:sz="0" w:space="0" w:color="auto"/>
                    <w:right w:val="none" w:sz="0" w:space="0" w:color="auto"/>
                  </w:divBdr>
                  <w:divsChild>
                    <w:div w:id="228424745">
                      <w:marLeft w:val="0"/>
                      <w:marRight w:val="0"/>
                      <w:marTop w:val="0"/>
                      <w:marBottom w:val="0"/>
                      <w:divBdr>
                        <w:top w:val="none" w:sz="0" w:space="0" w:color="auto"/>
                        <w:left w:val="none" w:sz="0" w:space="0" w:color="auto"/>
                        <w:bottom w:val="none" w:sz="0" w:space="0" w:color="auto"/>
                        <w:right w:val="none" w:sz="0" w:space="0" w:color="auto"/>
                      </w:divBdr>
                      <w:divsChild>
                        <w:div w:id="763839833">
                          <w:marLeft w:val="0"/>
                          <w:marRight w:val="0"/>
                          <w:marTop w:val="0"/>
                          <w:marBottom w:val="0"/>
                          <w:divBdr>
                            <w:top w:val="none" w:sz="0" w:space="0" w:color="auto"/>
                            <w:left w:val="none" w:sz="0" w:space="0" w:color="auto"/>
                            <w:bottom w:val="none" w:sz="0" w:space="0" w:color="auto"/>
                            <w:right w:val="none" w:sz="0" w:space="0" w:color="auto"/>
                          </w:divBdr>
                        </w:div>
                      </w:divsChild>
                    </w:div>
                    <w:div w:id="376928848">
                      <w:marLeft w:val="0"/>
                      <w:marRight w:val="0"/>
                      <w:marTop w:val="0"/>
                      <w:marBottom w:val="0"/>
                      <w:divBdr>
                        <w:top w:val="none" w:sz="0" w:space="0" w:color="auto"/>
                        <w:left w:val="none" w:sz="0" w:space="0" w:color="auto"/>
                        <w:bottom w:val="none" w:sz="0" w:space="0" w:color="auto"/>
                        <w:right w:val="none" w:sz="0" w:space="0" w:color="auto"/>
                      </w:divBdr>
                      <w:divsChild>
                        <w:div w:id="1865053153">
                          <w:marLeft w:val="0"/>
                          <w:marRight w:val="0"/>
                          <w:marTop w:val="0"/>
                          <w:marBottom w:val="0"/>
                          <w:divBdr>
                            <w:top w:val="none" w:sz="0" w:space="0" w:color="auto"/>
                            <w:left w:val="none" w:sz="0" w:space="0" w:color="auto"/>
                            <w:bottom w:val="none" w:sz="0" w:space="0" w:color="auto"/>
                            <w:right w:val="none" w:sz="0" w:space="0" w:color="auto"/>
                          </w:divBdr>
                        </w:div>
                      </w:divsChild>
                    </w:div>
                    <w:div w:id="869800885">
                      <w:marLeft w:val="0"/>
                      <w:marRight w:val="0"/>
                      <w:marTop w:val="0"/>
                      <w:marBottom w:val="0"/>
                      <w:divBdr>
                        <w:top w:val="none" w:sz="0" w:space="0" w:color="auto"/>
                        <w:left w:val="none" w:sz="0" w:space="0" w:color="auto"/>
                        <w:bottom w:val="none" w:sz="0" w:space="0" w:color="auto"/>
                        <w:right w:val="none" w:sz="0" w:space="0" w:color="auto"/>
                      </w:divBdr>
                      <w:divsChild>
                        <w:div w:id="1443502136">
                          <w:marLeft w:val="0"/>
                          <w:marRight w:val="0"/>
                          <w:marTop w:val="0"/>
                          <w:marBottom w:val="0"/>
                          <w:divBdr>
                            <w:top w:val="none" w:sz="0" w:space="0" w:color="auto"/>
                            <w:left w:val="none" w:sz="0" w:space="0" w:color="auto"/>
                            <w:bottom w:val="none" w:sz="0" w:space="0" w:color="auto"/>
                            <w:right w:val="none" w:sz="0" w:space="0" w:color="auto"/>
                          </w:divBdr>
                        </w:div>
                      </w:divsChild>
                    </w:div>
                    <w:div w:id="880243303">
                      <w:marLeft w:val="0"/>
                      <w:marRight w:val="0"/>
                      <w:marTop w:val="0"/>
                      <w:marBottom w:val="0"/>
                      <w:divBdr>
                        <w:top w:val="none" w:sz="0" w:space="0" w:color="auto"/>
                        <w:left w:val="none" w:sz="0" w:space="0" w:color="auto"/>
                        <w:bottom w:val="none" w:sz="0" w:space="0" w:color="auto"/>
                        <w:right w:val="none" w:sz="0" w:space="0" w:color="auto"/>
                      </w:divBdr>
                      <w:divsChild>
                        <w:div w:id="1872836296">
                          <w:marLeft w:val="0"/>
                          <w:marRight w:val="0"/>
                          <w:marTop w:val="0"/>
                          <w:marBottom w:val="0"/>
                          <w:divBdr>
                            <w:top w:val="none" w:sz="0" w:space="0" w:color="auto"/>
                            <w:left w:val="none" w:sz="0" w:space="0" w:color="auto"/>
                            <w:bottom w:val="none" w:sz="0" w:space="0" w:color="auto"/>
                            <w:right w:val="none" w:sz="0" w:space="0" w:color="auto"/>
                          </w:divBdr>
                        </w:div>
                      </w:divsChild>
                    </w:div>
                    <w:div w:id="1784616926">
                      <w:marLeft w:val="0"/>
                      <w:marRight w:val="0"/>
                      <w:marTop w:val="0"/>
                      <w:marBottom w:val="0"/>
                      <w:divBdr>
                        <w:top w:val="none" w:sz="0" w:space="0" w:color="auto"/>
                        <w:left w:val="none" w:sz="0" w:space="0" w:color="auto"/>
                        <w:bottom w:val="none" w:sz="0" w:space="0" w:color="auto"/>
                        <w:right w:val="none" w:sz="0" w:space="0" w:color="auto"/>
                      </w:divBdr>
                      <w:divsChild>
                        <w:div w:id="26018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492597">
      <w:bodyDiv w:val="1"/>
      <w:marLeft w:val="0"/>
      <w:marRight w:val="0"/>
      <w:marTop w:val="0"/>
      <w:marBottom w:val="0"/>
      <w:divBdr>
        <w:top w:val="none" w:sz="0" w:space="0" w:color="auto"/>
        <w:left w:val="none" w:sz="0" w:space="0" w:color="auto"/>
        <w:bottom w:val="none" w:sz="0" w:space="0" w:color="auto"/>
        <w:right w:val="none" w:sz="0" w:space="0" w:color="auto"/>
      </w:divBdr>
    </w:div>
    <w:div w:id="1848859156">
      <w:bodyDiv w:val="1"/>
      <w:marLeft w:val="0"/>
      <w:marRight w:val="0"/>
      <w:marTop w:val="0"/>
      <w:marBottom w:val="0"/>
      <w:divBdr>
        <w:top w:val="none" w:sz="0" w:space="0" w:color="auto"/>
        <w:left w:val="none" w:sz="0" w:space="0" w:color="auto"/>
        <w:bottom w:val="none" w:sz="0" w:space="0" w:color="auto"/>
        <w:right w:val="none" w:sz="0" w:space="0" w:color="auto"/>
      </w:divBdr>
    </w:div>
    <w:div w:id="1879587762">
      <w:bodyDiv w:val="1"/>
      <w:marLeft w:val="0"/>
      <w:marRight w:val="0"/>
      <w:marTop w:val="0"/>
      <w:marBottom w:val="0"/>
      <w:divBdr>
        <w:top w:val="none" w:sz="0" w:space="0" w:color="auto"/>
        <w:left w:val="none" w:sz="0" w:space="0" w:color="auto"/>
        <w:bottom w:val="none" w:sz="0" w:space="0" w:color="auto"/>
        <w:right w:val="none" w:sz="0" w:space="0" w:color="auto"/>
      </w:divBdr>
    </w:div>
    <w:div w:id="2029481601">
      <w:bodyDiv w:val="1"/>
      <w:marLeft w:val="0"/>
      <w:marRight w:val="0"/>
      <w:marTop w:val="0"/>
      <w:marBottom w:val="0"/>
      <w:divBdr>
        <w:top w:val="none" w:sz="0" w:space="0" w:color="auto"/>
        <w:left w:val="none" w:sz="0" w:space="0" w:color="auto"/>
        <w:bottom w:val="none" w:sz="0" w:space="0" w:color="auto"/>
        <w:right w:val="none" w:sz="0" w:space="0" w:color="auto"/>
      </w:divBdr>
    </w:div>
    <w:div w:id="2083333955">
      <w:bodyDiv w:val="1"/>
      <w:marLeft w:val="0"/>
      <w:marRight w:val="0"/>
      <w:marTop w:val="0"/>
      <w:marBottom w:val="0"/>
      <w:divBdr>
        <w:top w:val="none" w:sz="0" w:space="0" w:color="auto"/>
        <w:left w:val="none" w:sz="0" w:space="0" w:color="auto"/>
        <w:bottom w:val="none" w:sz="0" w:space="0" w:color="auto"/>
        <w:right w:val="none" w:sz="0" w:space="0" w:color="auto"/>
      </w:divBdr>
    </w:div>
    <w:div w:id="2116511574">
      <w:bodyDiv w:val="1"/>
      <w:marLeft w:val="0"/>
      <w:marRight w:val="0"/>
      <w:marTop w:val="0"/>
      <w:marBottom w:val="0"/>
      <w:divBdr>
        <w:top w:val="none" w:sz="0" w:space="0" w:color="auto"/>
        <w:left w:val="none" w:sz="0" w:space="0" w:color="auto"/>
        <w:bottom w:val="none" w:sz="0" w:space="0" w:color="auto"/>
        <w:right w:val="none" w:sz="0" w:space="0" w:color="auto"/>
      </w:divBdr>
      <w:divsChild>
        <w:div w:id="41172161">
          <w:marLeft w:val="0"/>
          <w:marRight w:val="0"/>
          <w:marTop w:val="0"/>
          <w:marBottom w:val="0"/>
          <w:divBdr>
            <w:top w:val="none" w:sz="0" w:space="0" w:color="auto"/>
            <w:left w:val="none" w:sz="0" w:space="0" w:color="auto"/>
            <w:bottom w:val="none" w:sz="0" w:space="0" w:color="auto"/>
            <w:right w:val="none" w:sz="0" w:space="0" w:color="auto"/>
          </w:divBdr>
          <w:divsChild>
            <w:div w:id="898325867">
              <w:marLeft w:val="0"/>
              <w:marRight w:val="0"/>
              <w:marTop w:val="0"/>
              <w:marBottom w:val="0"/>
              <w:divBdr>
                <w:top w:val="none" w:sz="0" w:space="0" w:color="auto"/>
                <w:left w:val="none" w:sz="0" w:space="0" w:color="auto"/>
                <w:bottom w:val="none" w:sz="0" w:space="0" w:color="auto"/>
                <w:right w:val="none" w:sz="0" w:space="0" w:color="auto"/>
              </w:divBdr>
            </w:div>
            <w:div w:id="2037462382">
              <w:marLeft w:val="0"/>
              <w:marRight w:val="0"/>
              <w:marTop w:val="0"/>
              <w:marBottom w:val="0"/>
              <w:divBdr>
                <w:top w:val="none" w:sz="0" w:space="0" w:color="auto"/>
                <w:left w:val="none" w:sz="0" w:space="0" w:color="auto"/>
                <w:bottom w:val="none" w:sz="0" w:space="0" w:color="auto"/>
                <w:right w:val="none" w:sz="0" w:space="0" w:color="auto"/>
              </w:divBdr>
            </w:div>
            <w:div w:id="1704093197">
              <w:marLeft w:val="0"/>
              <w:marRight w:val="0"/>
              <w:marTop w:val="0"/>
              <w:marBottom w:val="0"/>
              <w:divBdr>
                <w:top w:val="none" w:sz="0" w:space="0" w:color="auto"/>
                <w:left w:val="none" w:sz="0" w:space="0" w:color="auto"/>
                <w:bottom w:val="none" w:sz="0" w:space="0" w:color="auto"/>
                <w:right w:val="none" w:sz="0" w:space="0" w:color="auto"/>
              </w:divBdr>
            </w:div>
            <w:div w:id="382561846">
              <w:marLeft w:val="0"/>
              <w:marRight w:val="0"/>
              <w:marTop w:val="0"/>
              <w:marBottom w:val="0"/>
              <w:divBdr>
                <w:top w:val="none" w:sz="0" w:space="0" w:color="auto"/>
                <w:left w:val="none" w:sz="0" w:space="0" w:color="auto"/>
                <w:bottom w:val="none" w:sz="0" w:space="0" w:color="auto"/>
                <w:right w:val="none" w:sz="0" w:space="0" w:color="auto"/>
              </w:divBdr>
            </w:div>
            <w:div w:id="69142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4.emf"/><Relationship Id="rId3" Type="http://schemas.openxmlformats.org/officeDocument/2006/relationships/numbering" Target="numbering.xml"/><Relationship Id="rId21" Type="http://schemas.openxmlformats.org/officeDocument/2006/relationships/hyperlink" Target="http://www.aer.gov.au/node/451" TargetMode="External"/><Relationship Id="rId34"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hyperlink" Target="http://www.aer.gov.au/industry-information/industry-statistics" TargetMode="External"/><Relationship Id="rId17" Type="http://schemas.openxmlformats.org/officeDocument/2006/relationships/image" Target="media/image6.emf"/><Relationship Id="rId25" Type="http://schemas.openxmlformats.org/officeDocument/2006/relationships/image" Target="media/image13.emf"/><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aer.gov.au/wholesale-markets/market-performance" TargetMode="Externa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4.jpeg"/><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8.emf"/><Relationship Id="rId31" Type="http://schemas.openxmlformats.org/officeDocument/2006/relationships/image" Target="media/image19.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footer" Target="footer3.xml"/></Relationships>
</file>

<file path=word/_rels/footnotes.xml.rels><?xml version="1.0" encoding="UTF-8" standalone="yes"?>
<Relationships xmlns="http://schemas.openxmlformats.org/package/2006/relationships"><Relationship Id="rId3" Type="http://schemas.openxmlformats.org/officeDocument/2006/relationships/hyperlink" Target="https://www.aer.gov.au/system/files/User%20guide%20to%20the%20AER%20gas%20weekly%20report%20-%20November%202016.pdf" TargetMode="External"/><Relationship Id="rId2" Type="http://schemas.openxmlformats.org/officeDocument/2006/relationships/hyperlink" Target="https://www.aer.gov.au/system/files/User%20guide%20to%20the%20AER%20gas%20weekly%20report%20-%20November%202016.pdf" TargetMode="External"/><Relationship Id="rId1" Type="http://schemas.openxmlformats.org/officeDocument/2006/relationships/hyperlink" Target="https://www.aemo.com.au/-/media/Files/Gas/National_Planning_and_Forecasting/VGPR/2017/2017-VICTORIAN-GAS-PLANNING-REPORT.pdf"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3591"/>
      </a:dk2>
      <a:lt2>
        <a:srgbClr val="D5D6D2"/>
      </a:lt2>
      <a:accent1>
        <a:srgbClr val="51626F"/>
      </a:accent1>
      <a:accent2>
        <a:srgbClr val="4F2D7D"/>
      </a:accent2>
      <a:accent3>
        <a:srgbClr val="0098C3"/>
      </a:accent3>
      <a:accent4>
        <a:srgbClr val="A0CFEB"/>
      </a:accent4>
      <a:accent5>
        <a:srgbClr val="B71202"/>
      </a:accent5>
      <a:accent6>
        <a:srgbClr val="DC5034"/>
      </a:accent6>
      <a:hlink>
        <a:srgbClr val="0000FF"/>
      </a:hlink>
      <a:folHlink>
        <a:srgbClr val="800080"/>
      </a:folHlink>
    </a:clrScheme>
    <a:fontScheme name="ACCC">
      <a:majorFont>
        <a:latin typeface="Lucida Fax"/>
        <a:ea typeface=""/>
        <a:cs typeface=""/>
      </a:majorFont>
      <a:minorFont>
        <a:latin typeface="Arial"/>
        <a:ea typeface=""/>
        <a:cs typeface=""/>
      </a:minorFont>
    </a:fontScheme>
    <a:fmtScheme name="Apex">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A1B06CC-A580-4A2C-A0FE-7A9203F17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7728F1F9.dotm</Template>
  <TotalTime>0</TotalTime>
  <Pages>12</Pages>
  <Words>1739</Words>
  <Characters>9915</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2017-06-29T07:07:00Z</dcterms:created>
  <dcterms:modified xsi:type="dcterms:W3CDTF">2017-06-29T07:07:00Z</dcterms:modified>
</cp:coreProperties>
</file>