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0C4" w:rsidRPr="004420C4" w:rsidRDefault="00CA02F8" w:rsidP="004420C4">
      <w:pPr>
        <w:pStyle w:val="Heading1"/>
        <w:numPr>
          <w:ilvl w:val="0"/>
          <w:numId w:val="0"/>
        </w:numPr>
        <w:spacing w:before="120" w:after="0"/>
        <w:ind w:left="142"/>
        <w:rPr>
          <w:color w:val="FFFFFF"/>
          <w:sz w:val="36"/>
        </w:rPr>
      </w:pPr>
      <w:bookmarkStart w:id="0" w:name="OLE_LINK66"/>
      <w:bookmarkStart w:id="1" w:name="OLE_LINK67"/>
      <w:r>
        <w:rPr>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alt="Australian Energy Regulator logo" style="position:absolute;left:0;text-align:left;margin-left:-.55pt;margin-top:5.5pt;width:476.25pt;height:77.25pt;z-index:-251649024;mso-position-horizontal-relative:text;mso-position-vertical-relative:text">
            <v:imagedata r:id="rId8" o:title="AER-header for report templates"/>
          </v:shape>
        </w:pict>
      </w:r>
      <w:r>
        <w:rPr>
          <w:noProof/>
          <w:color w:val="FFFFFF"/>
          <w:sz w:val="36"/>
        </w:rPr>
        <w:pict>
          <v:shape id="_x0000_s1093" type="#_x0000_t75" style="position:absolute;left:0;text-align:left;margin-left:720.75pt;margin-top:282.05pt;width:386.3pt;height:299.3pt;z-index:251666432;mso-position-horizontal-relative:text;mso-position-vertical-relative:text" fillcolor="black" strokecolor="white" strokeweight="3e-5mm">
            <v:imagedata r:id="rId9" o:title=""/>
            <o:lock v:ext="edit" rotation="t"/>
          </v:shape>
        </w:pict>
      </w:r>
      <w:r w:rsidR="004420C4" w:rsidRPr="004420C4">
        <w:rPr>
          <w:color w:val="FFFFFF"/>
          <w:sz w:val="36"/>
        </w:rPr>
        <w:t>Gas Market Report</w:t>
      </w:r>
    </w:p>
    <w:p w:rsidR="004420C4" w:rsidRDefault="004420C4" w:rsidP="004420C4"/>
    <w:p w:rsidR="004420C4" w:rsidRDefault="004420C4" w:rsidP="004420C4"/>
    <w:p w:rsidR="004420C4" w:rsidRDefault="004420C4" w:rsidP="004420C4"/>
    <w:p w:rsidR="004420C4" w:rsidRPr="00AC3047" w:rsidRDefault="00C70268" w:rsidP="004420C4">
      <w:pPr>
        <w:pStyle w:val="Heading2"/>
        <w:numPr>
          <w:ilvl w:val="0"/>
          <w:numId w:val="0"/>
        </w:numPr>
        <w:rPr>
          <w:i w:val="0"/>
        </w:rPr>
      </w:pPr>
      <w:r>
        <w:rPr>
          <w:i w:val="0"/>
          <w:sz w:val="36"/>
          <w:szCs w:val="36"/>
        </w:rPr>
        <w:t>10 – 16 January 2016</w: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6671F5" w:rsidRDefault="005C7F88" w:rsidP="00345444">
      <w:pPr>
        <w:pStyle w:val="AERbodytext"/>
        <w:spacing w:line="240" w:lineRule="auto"/>
        <w:jc w:val="both"/>
      </w:pPr>
      <w:r>
        <w:t>Figure 1 shows that a</w:t>
      </w:r>
      <w:r w:rsidR="00A64506">
        <w:t xml:space="preserve">verage </w:t>
      </w:r>
      <w:r>
        <w:t>daily</w:t>
      </w:r>
      <w:bookmarkStart w:id="2" w:name="_GoBack"/>
      <w:bookmarkEnd w:id="2"/>
      <w:r>
        <w:t xml:space="preserve"> </w:t>
      </w:r>
      <w:r w:rsidR="00A64506">
        <w:t xml:space="preserve">prices </w:t>
      </w:r>
      <w:r>
        <w:t xml:space="preserve">were higher in all markets than for the previous week. </w:t>
      </w:r>
      <w:r w:rsidR="00A64506">
        <w:t xml:space="preserve"> </w:t>
      </w:r>
      <w:r w:rsidR="006671F5">
        <w:t xml:space="preserve">In part this was explained by an increase in the </w:t>
      </w:r>
      <w:r w:rsidR="00A64506">
        <w:t>us</w:t>
      </w:r>
      <w:r w:rsidR="006671F5">
        <w:t>e</w:t>
      </w:r>
      <w:r w:rsidR="00A64506">
        <w:t xml:space="preserve"> of gas for gas powered generation (GPG)</w:t>
      </w:r>
      <w:r w:rsidR="006671F5">
        <w:t xml:space="preserve">, as shown in </w:t>
      </w:r>
      <w:r w:rsidR="00A64506">
        <w:t xml:space="preserve">figure 5.1. </w:t>
      </w:r>
    </w:p>
    <w:p w:rsidR="006671F5" w:rsidRDefault="00A64506" w:rsidP="00345444">
      <w:pPr>
        <w:pStyle w:val="AERbodytext"/>
        <w:spacing w:line="240" w:lineRule="auto"/>
        <w:jc w:val="both"/>
      </w:pPr>
      <w:r>
        <w:t xml:space="preserve">The </w:t>
      </w:r>
      <w:r w:rsidR="006671F5">
        <w:t>smallest</w:t>
      </w:r>
      <w:r>
        <w:t xml:space="preserve"> price increase occurred in Brisbane</w:t>
      </w:r>
      <w:r w:rsidR="006671F5">
        <w:t>,</w:t>
      </w:r>
      <w:r>
        <w:t xml:space="preserve"> where prices have generally been above $5/GJ </w:t>
      </w:r>
      <w:r w:rsidR="005C5733">
        <w:t>over</w:t>
      </w:r>
      <w:r>
        <w:t xml:space="preserve"> January</w:t>
      </w:r>
      <w:r w:rsidR="006671F5">
        <w:t xml:space="preserve"> to date</w:t>
      </w:r>
      <w:r>
        <w:t xml:space="preserve">. Production at Roma and shipping on LNG pipelines remains high, with </w:t>
      </w:r>
      <w:r w:rsidR="00946D9B">
        <w:t xml:space="preserve">another cargo loading at the </w:t>
      </w:r>
      <w:r>
        <w:t xml:space="preserve">APLNG </w:t>
      </w:r>
      <w:r w:rsidR="00946D9B">
        <w:t xml:space="preserve">export terminal and additional shipments departing Gladstone for the GLNG and QCLNG projects </w:t>
      </w:r>
      <w:r w:rsidR="00C015B4">
        <w:t xml:space="preserve">during </w:t>
      </w:r>
      <w:r w:rsidR="00946D9B">
        <w:t>the week.</w:t>
      </w:r>
    </w:p>
    <w:p w:rsidR="000B261F" w:rsidRPr="006A7228" w:rsidRDefault="00A64506" w:rsidP="00345444">
      <w:pPr>
        <w:pStyle w:val="AERbodytext"/>
        <w:spacing w:line="240" w:lineRule="auto"/>
        <w:jc w:val="both"/>
        <w:rPr>
          <w:color w:val="FF0000"/>
        </w:rPr>
      </w:pPr>
      <w:r>
        <w:t xml:space="preserve">The largest average price increases occurred in Victoria and </w:t>
      </w:r>
      <w:r w:rsidR="00C015B4">
        <w:t>Adelaide</w:t>
      </w:r>
      <w:r>
        <w:t>, increasing by 41 and 51 percent respectively.</w:t>
      </w:r>
      <w:r w:rsidR="000B285F">
        <w:t xml:space="preserve"> </w:t>
      </w:r>
      <w:r w:rsidR="00C015B4">
        <w:t>Figure 3.1 shows e</w:t>
      </w:r>
      <w:r w:rsidR="000B285F">
        <w:t xml:space="preserve">x ante prices in Adelaide </w:t>
      </w:r>
      <w:r w:rsidR="00C015B4">
        <w:t xml:space="preserve">were </w:t>
      </w:r>
      <w:r w:rsidR="000B285F">
        <w:t xml:space="preserve">above $6/GJ for </w:t>
      </w:r>
      <w:r w:rsidR="00C015B4">
        <w:t>from Monday to Sunday inclusive.</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1"/>
      </w:r>
    </w:p>
    <w:tbl>
      <w:tblPr>
        <w:tblStyle w:val="AERTable-Text0"/>
        <w:tblW w:w="4858" w:type="pct"/>
        <w:tblLook w:val="04A0" w:firstRow="1" w:lastRow="0" w:firstColumn="1" w:lastColumn="0" w:noHBand="0" w:noVBand="1"/>
      </w:tblPr>
      <w:tblGrid>
        <w:gridCol w:w="3650"/>
        <w:gridCol w:w="1420"/>
        <w:gridCol w:w="1418"/>
        <w:gridCol w:w="1418"/>
        <w:gridCol w:w="1558"/>
      </w:tblGrid>
      <w:tr w:rsidR="003F44B7" w:rsidRPr="00DC24BF" w:rsidTr="003F44B7">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3F44B7" w:rsidRPr="00DC24BF" w:rsidRDefault="003F44B7" w:rsidP="00DF127B">
            <w:pPr>
              <w:pStyle w:val="TableHeading"/>
              <w:jc w:val="center"/>
              <w:rPr>
                <w:rFonts w:cs="Arial"/>
                <w:sz w:val="20"/>
                <w:szCs w:val="20"/>
              </w:rPr>
            </w:pPr>
            <w:r>
              <w:rPr>
                <w:rFonts w:cs="Arial"/>
                <w:sz w:val="20"/>
                <w:szCs w:val="20"/>
              </w:rPr>
              <w:t>Region</w:t>
            </w:r>
          </w:p>
        </w:tc>
        <w:tc>
          <w:tcPr>
            <w:tcW w:w="750" w:type="pct"/>
            <w:tcBorders>
              <w:bottom w:val="nil"/>
            </w:tcBorders>
          </w:tcPr>
          <w:p w:rsidR="003F44B7" w:rsidRPr="00936A7B" w:rsidRDefault="003F44B7" w:rsidP="00DF127B">
            <w:pPr>
              <w:jc w:val="center"/>
              <w:rPr>
                <w:sz w:val="20"/>
              </w:rPr>
            </w:pPr>
            <w:r w:rsidRPr="00936A7B">
              <w:rPr>
                <w:sz w:val="20"/>
              </w:rPr>
              <w:t>Victoria</w:t>
            </w:r>
          </w:p>
        </w:tc>
        <w:tc>
          <w:tcPr>
            <w:tcW w:w="749" w:type="pct"/>
            <w:tcBorders>
              <w:bottom w:val="nil"/>
            </w:tcBorders>
            <w:hideMark/>
          </w:tcPr>
          <w:p w:rsidR="003F44B7" w:rsidRPr="00936A7B" w:rsidRDefault="003F44B7" w:rsidP="00DF127B">
            <w:pPr>
              <w:jc w:val="center"/>
              <w:rPr>
                <w:sz w:val="20"/>
              </w:rPr>
            </w:pPr>
            <w:r w:rsidRPr="00936A7B">
              <w:rPr>
                <w:sz w:val="20"/>
              </w:rPr>
              <w:t>Sydney</w:t>
            </w:r>
          </w:p>
        </w:tc>
        <w:tc>
          <w:tcPr>
            <w:tcW w:w="749" w:type="pct"/>
            <w:tcBorders>
              <w:bottom w:val="nil"/>
            </w:tcBorders>
            <w:hideMark/>
          </w:tcPr>
          <w:p w:rsidR="003F44B7" w:rsidRPr="00936A7B" w:rsidRDefault="003F44B7" w:rsidP="00DF127B">
            <w:pPr>
              <w:jc w:val="center"/>
              <w:rPr>
                <w:sz w:val="20"/>
              </w:rPr>
            </w:pPr>
            <w:r w:rsidRPr="00936A7B">
              <w:rPr>
                <w:sz w:val="20"/>
              </w:rPr>
              <w:t>Adelaide</w:t>
            </w:r>
          </w:p>
        </w:tc>
        <w:tc>
          <w:tcPr>
            <w:tcW w:w="823" w:type="pct"/>
            <w:tcBorders>
              <w:bottom w:val="nil"/>
            </w:tcBorders>
            <w:hideMark/>
          </w:tcPr>
          <w:p w:rsidR="003F44B7" w:rsidRPr="00936A7B" w:rsidRDefault="003F44B7" w:rsidP="00DF127B">
            <w:pPr>
              <w:jc w:val="center"/>
              <w:rPr>
                <w:sz w:val="20"/>
              </w:rPr>
            </w:pPr>
            <w:r w:rsidRPr="00936A7B">
              <w:rPr>
                <w:sz w:val="20"/>
              </w:rPr>
              <w:t>Brisbane</w:t>
            </w:r>
          </w:p>
        </w:tc>
      </w:tr>
      <w:tr w:rsidR="00615F25" w:rsidRPr="0091453B" w:rsidTr="00DF127B">
        <w:trPr>
          <w:trHeight w:val="510"/>
        </w:trPr>
        <w:tc>
          <w:tcPr>
            <w:tcW w:w="1928" w:type="pct"/>
            <w:tcBorders>
              <w:top w:val="nil"/>
              <w:bottom w:val="nil"/>
            </w:tcBorders>
            <w:vAlign w:val="center"/>
          </w:tcPr>
          <w:p w:rsidR="00615F25" w:rsidRDefault="00615F25">
            <w:pPr>
              <w:rPr>
                <w:rFonts w:cs="Arial"/>
                <w:sz w:val="20"/>
                <w:szCs w:val="20"/>
              </w:rPr>
            </w:pPr>
            <w:r>
              <w:rPr>
                <w:rFonts w:cs="Arial"/>
                <w:sz w:val="20"/>
                <w:szCs w:val="20"/>
              </w:rPr>
              <w:t>10 Jan - 16 Jan 2016</w:t>
            </w:r>
          </w:p>
        </w:tc>
        <w:tc>
          <w:tcPr>
            <w:tcW w:w="750" w:type="pct"/>
            <w:tcBorders>
              <w:top w:val="nil"/>
              <w:bottom w:val="nil"/>
            </w:tcBorders>
            <w:vAlign w:val="center"/>
          </w:tcPr>
          <w:p w:rsidR="00615F25" w:rsidRDefault="00615F25">
            <w:pPr>
              <w:jc w:val="center"/>
              <w:rPr>
                <w:rFonts w:cs="Arial"/>
                <w:sz w:val="20"/>
                <w:szCs w:val="20"/>
              </w:rPr>
            </w:pPr>
            <w:r>
              <w:rPr>
                <w:rFonts w:cs="Arial"/>
                <w:sz w:val="20"/>
                <w:szCs w:val="20"/>
              </w:rPr>
              <w:t>4.10</w:t>
            </w:r>
          </w:p>
        </w:tc>
        <w:tc>
          <w:tcPr>
            <w:tcW w:w="749" w:type="pct"/>
            <w:tcBorders>
              <w:top w:val="nil"/>
              <w:bottom w:val="nil"/>
            </w:tcBorders>
            <w:vAlign w:val="center"/>
          </w:tcPr>
          <w:p w:rsidR="00615F25" w:rsidRDefault="00615F25">
            <w:pPr>
              <w:jc w:val="center"/>
              <w:rPr>
                <w:rFonts w:cs="Arial"/>
                <w:sz w:val="20"/>
                <w:szCs w:val="20"/>
              </w:rPr>
            </w:pPr>
            <w:r>
              <w:rPr>
                <w:rFonts w:cs="Arial"/>
                <w:sz w:val="20"/>
                <w:szCs w:val="20"/>
              </w:rPr>
              <w:t>4.86</w:t>
            </w:r>
          </w:p>
        </w:tc>
        <w:tc>
          <w:tcPr>
            <w:tcW w:w="749" w:type="pct"/>
            <w:tcBorders>
              <w:top w:val="nil"/>
              <w:bottom w:val="nil"/>
            </w:tcBorders>
            <w:vAlign w:val="center"/>
          </w:tcPr>
          <w:p w:rsidR="00615F25" w:rsidRDefault="00615F25">
            <w:pPr>
              <w:jc w:val="center"/>
              <w:rPr>
                <w:rFonts w:cs="Arial"/>
                <w:sz w:val="20"/>
                <w:szCs w:val="20"/>
              </w:rPr>
            </w:pPr>
            <w:r>
              <w:rPr>
                <w:rFonts w:cs="Arial"/>
                <w:sz w:val="20"/>
                <w:szCs w:val="20"/>
              </w:rPr>
              <w:t>6.86</w:t>
            </w:r>
          </w:p>
        </w:tc>
        <w:tc>
          <w:tcPr>
            <w:tcW w:w="823" w:type="pct"/>
            <w:tcBorders>
              <w:top w:val="nil"/>
              <w:bottom w:val="nil"/>
            </w:tcBorders>
            <w:vAlign w:val="center"/>
          </w:tcPr>
          <w:p w:rsidR="00615F25" w:rsidRDefault="00615F25">
            <w:pPr>
              <w:jc w:val="center"/>
              <w:rPr>
                <w:rFonts w:cs="Arial"/>
                <w:sz w:val="20"/>
                <w:szCs w:val="20"/>
              </w:rPr>
            </w:pPr>
            <w:r>
              <w:rPr>
                <w:rFonts w:cs="Arial"/>
                <w:sz w:val="20"/>
                <w:szCs w:val="20"/>
              </w:rPr>
              <w:t>5.89</w:t>
            </w:r>
          </w:p>
        </w:tc>
      </w:tr>
      <w:tr w:rsidR="00615F25" w:rsidRPr="0091453B" w:rsidTr="00DF127B">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615F25" w:rsidRDefault="00615F25">
            <w:pPr>
              <w:rPr>
                <w:rFonts w:cs="Arial"/>
                <w:sz w:val="20"/>
                <w:szCs w:val="20"/>
              </w:rPr>
            </w:pPr>
            <w:r>
              <w:rPr>
                <w:rFonts w:cs="Arial"/>
                <w:sz w:val="20"/>
                <w:szCs w:val="20"/>
              </w:rPr>
              <w:t>% change from previous week</w:t>
            </w:r>
          </w:p>
        </w:tc>
        <w:tc>
          <w:tcPr>
            <w:tcW w:w="750" w:type="pct"/>
            <w:tcBorders>
              <w:top w:val="nil"/>
              <w:bottom w:val="nil"/>
            </w:tcBorders>
            <w:vAlign w:val="center"/>
          </w:tcPr>
          <w:p w:rsidR="00615F25" w:rsidRDefault="00615F25">
            <w:pPr>
              <w:jc w:val="center"/>
              <w:rPr>
                <w:rFonts w:cs="Arial"/>
                <w:sz w:val="20"/>
                <w:szCs w:val="20"/>
              </w:rPr>
            </w:pPr>
            <w:r>
              <w:rPr>
                <w:rFonts w:cs="Arial"/>
                <w:sz w:val="20"/>
                <w:szCs w:val="20"/>
              </w:rPr>
              <w:t>41</w:t>
            </w:r>
          </w:p>
        </w:tc>
        <w:tc>
          <w:tcPr>
            <w:tcW w:w="749" w:type="pct"/>
            <w:tcBorders>
              <w:top w:val="nil"/>
              <w:bottom w:val="nil"/>
            </w:tcBorders>
            <w:vAlign w:val="center"/>
          </w:tcPr>
          <w:p w:rsidR="00615F25" w:rsidRDefault="00615F25">
            <w:pPr>
              <w:jc w:val="center"/>
              <w:rPr>
                <w:rFonts w:cs="Arial"/>
                <w:sz w:val="20"/>
                <w:szCs w:val="20"/>
              </w:rPr>
            </w:pPr>
            <w:r>
              <w:rPr>
                <w:rFonts w:cs="Arial"/>
                <w:sz w:val="20"/>
                <w:szCs w:val="20"/>
              </w:rPr>
              <w:t>18</w:t>
            </w:r>
          </w:p>
        </w:tc>
        <w:tc>
          <w:tcPr>
            <w:tcW w:w="749" w:type="pct"/>
            <w:tcBorders>
              <w:top w:val="nil"/>
              <w:bottom w:val="nil"/>
            </w:tcBorders>
            <w:vAlign w:val="center"/>
          </w:tcPr>
          <w:p w:rsidR="00615F25" w:rsidRDefault="00615F25">
            <w:pPr>
              <w:jc w:val="center"/>
              <w:rPr>
                <w:rFonts w:cs="Arial"/>
                <w:sz w:val="20"/>
                <w:szCs w:val="20"/>
              </w:rPr>
            </w:pPr>
            <w:r>
              <w:rPr>
                <w:rFonts w:cs="Arial"/>
                <w:sz w:val="20"/>
                <w:szCs w:val="20"/>
              </w:rPr>
              <w:t>51</w:t>
            </w:r>
          </w:p>
        </w:tc>
        <w:tc>
          <w:tcPr>
            <w:tcW w:w="823" w:type="pct"/>
            <w:tcBorders>
              <w:top w:val="nil"/>
              <w:bottom w:val="nil"/>
            </w:tcBorders>
            <w:vAlign w:val="center"/>
          </w:tcPr>
          <w:p w:rsidR="00615F25" w:rsidRDefault="00615F25">
            <w:pPr>
              <w:jc w:val="center"/>
              <w:rPr>
                <w:rFonts w:cs="Arial"/>
                <w:sz w:val="20"/>
                <w:szCs w:val="20"/>
              </w:rPr>
            </w:pPr>
            <w:r>
              <w:rPr>
                <w:rFonts w:cs="Arial"/>
                <w:sz w:val="20"/>
                <w:szCs w:val="20"/>
              </w:rPr>
              <w:t>13</w:t>
            </w:r>
          </w:p>
        </w:tc>
      </w:tr>
      <w:tr w:rsidR="00615F25" w:rsidRPr="0091453B" w:rsidTr="00DF127B">
        <w:trPr>
          <w:trHeight w:val="510"/>
        </w:trPr>
        <w:tc>
          <w:tcPr>
            <w:tcW w:w="1928" w:type="pct"/>
            <w:tcBorders>
              <w:top w:val="nil"/>
              <w:bottom w:val="nil"/>
            </w:tcBorders>
            <w:vAlign w:val="center"/>
          </w:tcPr>
          <w:p w:rsidR="00615F25" w:rsidRDefault="00615F25">
            <w:pPr>
              <w:rPr>
                <w:rFonts w:cs="Arial"/>
                <w:sz w:val="20"/>
                <w:szCs w:val="20"/>
              </w:rPr>
            </w:pPr>
            <w:r>
              <w:rPr>
                <w:rFonts w:cs="Arial"/>
                <w:sz w:val="20"/>
                <w:szCs w:val="20"/>
              </w:rPr>
              <w:t>15-16 financial YTD</w:t>
            </w:r>
          </w:p>
        </w:tc>
        <w:tc>
          <w:tcPr>
            <w:tcW w:w="750" w:type="pct"/>
            <w:tcBorders>
              <w:top w:val="nil"/>
              <w:bottom w:val="nil"/>
            </w:tcBorders>
            <w:vAlign w:val="center"/>
          </w:tcPr>
          <w:p w:rsidR="00615F25" w:rsidRDefault="00615F25">
            <w:pPr>
              <w:jc w:val="center"/>
              <w:rPr>
                <w:rFonts w:cs="Arial"/>
                <w:sz w:val="20"/>
                <w:szCs w:val="20"/>
              </w:rPr>
            </w:pPr>
            <w:r>
              <w:rPr>
                <w:rFonts w:cs="Arial"/>
                <w:sz w:val="20"/>
                <w:szCs w:val="20"/>
              </w:rPr>
              <w:t>4.40</w:t>
            </w:r>
          </w:p>
        </w:tc>
        <w:tc>
          <w:tcPr>
            <w:tcW w:w="749" w:type="pct"/>
            <w:tcBorders>
              <w:top w:val="nil"/>
              <w:bottom w:val="nil"/>
            </w:tcBorders>
            <w:vAlign w:val="center"/>
          </w:tcPr>
          <w:p w:rsidR="00615F25" w:rsidRDefault="00615F25">
            <w:pPr>
              <w:jc w:val="center"/>
              <w:rPr>
                <w:rFonts w:cs="Arial"/>
                <w:sz w:val="20"/>
                <w:szCs w:val="20"/>
              </w:rPr>
            </w:pPr>
            <w:r>
              <w:rPr>
                <w:rFonts w:cs="Arial"/>
                <w:sz w:val="20"/>
                <w:szCs w:val="20"/>
              </w:rPr>
              <w:t>4.65</w:t>
            </w:r>
          </w:p>
        </w:tc>
        <w:tc>
          <w:tcPr>
            <w:tcW w:w="749" w:type="pct"/>
            <w:tcBorders>
              <w:top w:val="nil"/>
              <w:bottom w:val="nil"/>
            </w:tcBorders>
            <w:vAlign w:val="center"/>
          </w:tcPr>
          <w:p w:rsidR="00615F25" w:rsidRDefault="00615F25">
            <w:pPr>
              <w:jc w:val="center"/>
              <w:rPr>
                <w:rFonts w:cs="Arial"/>
                <w:sz w:val="20"/>
                <w:szCs w:val="20"/>
              </w:rPr>
            </w:pPr>
            <w:r>
              <w:rPr>
                <w:rFonts w:cs="Arial"/>
                <w:sz w:val="20"/>
                <w:szCs w:val="20"/>
              </w:rPr>
              <w:t>5.13</w:t>
            </w:r>
          </w:p>
        </w:tc>
        <w:tc>
          <w:tcPr>
            <w:tcW w:w="823" w:type="pct"/>
            <w:tcBorders>
              <w:top w:val="nil"/>
              <w:bottom w:val="nil"/>
            </w:tcBorders>
            <w:vAlign w:val="center"/>
          </w:tcPr>
          <w:p w:rsidR="00615F25" w:rsidRDefault="00615F25">
            <w:pPr>
              <w:jc w:val="center"/>
              <w:rPr>
                <w:rFonts w:cs="Arial"/>
                <w:sz w:val="20"/>
                <w:szCs w:val="20"/>
              </w:rPr>
            </w:pPr>
            <w:r>
              <w:rPr>
                <w:rFonts w:cs="Arial"/>
                <w:sz w:val="20"/>
                <w:szCs w:val="20"/>
              </w:rPr>
              <w:t>3.83</w:t>
            </w:r>
          </w:p>
        </w:tc>
      </w:tr>
      <w:tr w:rsidR="00615F25" w:rsidRPr="0091453B" w:rsidTr="00DF127B">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615F25" w:rsidRDefault="00615F25">
            <w:pPr>
              <w:rPr>
                <w:rFonts w:cs="Arial"/>
                <w:sz w:val="20"/>
                <w:szCs w:val="20"/>
              </w:rPr>
            </w:pPr>
            <w:r>
              <w:rPr>
                <w:rFonts w:cs="Arial"/>
                <w:sz w:val="20"/>
                <w:szCs w:val="20"/>
              </w:rPr>
              <w:t>% change from previous financial YTD</w:t>
            </w:r>
          </w:p>
        </w:tc>
        <w:tc>
          <w:tcPr>
            <w:tcW w:w="750"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26</w:t>
            </w:r>
          </w:p>
        </w:tc>
        <w:tc>
          <w:tcPr>
            <w:tcW w:w="749"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46</w:t>
            </w:r>
          </w:p>
        </w:tc>
        <w:tc>
          <w:tcPr>
            <w:tcW w:w="749"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43</w:t>
            </w:r>
          </w:p>
        </w:tc>
        <w:tc>
          <w:tcPr>
            <w:tcW w:w="823"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84</w:t>
            </w:r>
          </w:p>
        </w:tc>
      </w:tr>
    </w:tbl>
    <w:p w:rsidR="00FF0D8A"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5C5733" w:rsidRDefault="005C5733" w:rsidP="00FF0D8A">
      <w:pPr>
        <w:pStyle w:val="AERbodytext"/>
        <w:spacing w:before="120" w:after="120"/>
        <w:jc w:val="both"/>
      </w:pPr>
    </w:p>
    <w:p w:rsidR="005C5733" w:rsidRDefault="005C5733" w:rsidP="00FF0D8A">
      <w:pPr>
        <w:pStyle w:val="AERbodytext"/>
        <w:spacing w:before="120" w:after="120"/>
        <w:jc w:val="both"/>
      </w:pPr>
    </w:p>
    <w:p w:rsidR="005C5733" w:rsidRPr="008D4DAB" w:rsidRDefault="005C5733" w:rsidP="00FF0D8A">
      <w:pPr>
        <w:pStyle w:val="AERbodytext"/>
        <w:spacing w:before="120" w:after="120"/>
        <w:jc w:val="both"/>
      </w:pPr>
    </w:p>
    <w:p w:rsidR="00D1641C" w:rsidRDefault="00FF0D8A" w:rsidP="00D1641C">
      <w:pPr>
        <w:pStyle w:val="Heading2"/>
        <w:ind w:firstLine="0"/>
        <w:rPr>
          <w:i w:val="0"/>
          <w:color w:val="2272A3"/>
          <w:sz w:val="24"/>
          <w:szCs w:val="24"/>
        </w:rPr>
      </w:pPr>
      <w:r w:rsidRPr="006E7E57">
        <w:rPr>
          <w:i w:val="0"/>
          <w:color w:val="2272A3"/>
          <w:sz w:val="24"/>
          <w:szCs w:val="24"/>
        </w:rPr>
        <w:t>Victorian Gas Market</w:t>
      </w:r>
    </w:p>
    <w:tbl>
      <w:tblPr>
        <w:tblStyle w:val="AERTable-Text0"/>
        <w:tblW w:w="4858" w:type="pct"/>
        <w:tblLook w:val="04A0" w:firstRow="1" w:lastRow="0" w:firstColumn="1" w:lastColumn="0" w:noHBand="0" w:noVBand="1"/>
      </w:tblPr>
      <w:tblGrid>
        <w:gridCol w:w="3649"/>
        <w:gridCol w:w="1418"/>
        <w:gridCol w:w="2128"/>
        <w:gridCol w:w="2269"/>
      </w:tblGrid>
      <w:tr w:rsidR="00F114D5" w:rsidRPr="00DC24BF" w:rsidTr="00F114D5">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F114D5" w:rsidRPr="00DC24BF" w:rsidRDefault="00F114D5" w:rsidP="00DF127B">
            <w:pPr>
              <w:pStyle w:val="TableHeading"/>
              <w:jc w:val="center"/>
              <w:rPr>
                <w:rFonts w:cs="Arial"/>
                <w:sz w:val="20"/>
                <w:szCs w:val="20"/>
              </w:rPr>
            </w:pPr>
          </w:p>
        </w:tc>
        <w:tc>
          <w:tcPr>
            <w:tcW w:w="749" w:type="pct"/>
            <w:tcBorders>
              <w:bottom w:val="nil"/>
            </w:tcBorders>
            <w:hideMark/>
          </w:tcPr>
          <w:p w:rsidR="00F114D5" w:rsidRPr="002861A9" w:rsidRDefault="00F114D5" w:rsidP="00DF127B">
            <w:pPr>
              <w:keepNext/>
              <w:spacing w:before="40" w:after="40"/>
              <w:jc w:val="center"/>
              <w:rPr>
                <w:rFonts w:cs="Arial"/>
                <w:b w:val="0"/>
                <w:bCs/>
                <w:sz w:val="20"/>
                <w:szCs w:val="20"/>
              </w:rPr>
            </w:pPr>
            <w:r w:rsidRPr="002861A9">
              <w:rPr>
                <w:rFonts w:cs="Arial"/>
                <w:bCs/>
                <w:sz w:val="20"/>
                <w:szCs w:val="20"/>
              </w:rPr>
              <w:t>Price ($/GJ)</w:t>
            </w:r>
          </w:p>
        </w:tc>
        <w:tc>
          <w:tcPr>
            <w:tcW w:w="1124" w:type="pct"/>
            <w:tcBorders>
              <w:bottom w:val="nil"/>
            </w:tcBorders>
            <w:hideMark/>
          </w:tcPr>
          <w:p w:rsidR="00F114D5" w:rsidRPr="002861A9" w:rsidRDefault="00F114D5" w:rsidP="00DF127B">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1199" w:type="pct"/>
            <w:tcBorders>
              <w:bottom w:val="nil"/>
            </w:tcBorders>
            <w:hideMark/>
          </w:tcPr>
          <w:p w:rsidR="00F114D5" w:rsidRPr="002861A9" w:rsidRDefault="00F114D5" w:rsidP="00DF127B">
            <w:pPr>
              <w:keepNext/>
              <w:spacing w:before="40" w:after="40"/>
              <w:jc w:val="center"/>
              <w:rPr>
                <w:rFonts w:cs="Arial"/>
                <w:b w:val="0"/>
                <w:bCs/>
                <w:sz w:val="20"/>
                <w:szCs w:val="20"/>
              </w:rPr>
            </w:pPr>
            <w:r w:rsidRPr="002861A9">
              <w:rPr>
                <w:rFonts w:cs="Arial"/>
                <w:bCs/>
                <w:sz w:val="20"/>
                <w:szCs w:val="20"/>
              </w:rPr>
              <w:t>BOD forecast demand quantity (TJ)</w:t>
            </w:r>
          </w:p>
        </w:tc>
      </w:tr>
      <w:tr w:rsidR="00615F25" w:rsidRPr="0091453B" w:rsidTr="00DF127B">
        <w:trPr>
          <w:trHeight w:val="510"/>
        </w:trPr>
        <w:tc>
          <w:tcPr>
            <w:tcW w:w="1928" w:type="pct"/>
            <w:tcBorders>
              <w:top w:val="nil"/>
              <w:bottom w:val="nil"/>
            </w:tcBorders>
            <w:vAlign w:val="center"/>
          </w:tcPr>
          <w:p w:rsidR="00615F25" w:rsidRDefault="00615F25">
            <w:pPr>
              <w:rPr>
                <w:rFonts w:cs="Arial"/>
                <w:sz w:val="20"/>
                <w:szCs w:val="20"/>
              </w:rPr>
            </w:pPr>
            <w:r>
              <w:rPr>
                <w:rFonts w:cs="Arial"/>
                <w:sz w:val="20"/>
                <w:szCs w:val="20"/>
              </w:rPr>
              <w:t>10 Jan - 16 Jan 2016</w:t>
            </w:r>
          </w:p>
        </w:tc>
        <w:tc>
          <w:tcPr>
            <w:tcW w:w="749" w:type="pct"/>
            <w:tcBorders>
              <w:top w:val="nil"/>
              <w:bottom w:val="nil"/>
            </w:tcBorders>
            <w:vAlign w:val="center"/>
          </w:tcPr>
          <w:p w:rsidR="00615F25" w:rsidRDefault="00615F25">
            <w:pPr>
              <w:jc w:val="center"/>
              <w:rPr>
                <w:rFonts w:cs="Arial"/>
                <w:sz w:val="20"/>
                <w:szCs w:val="20"/>
              </w:rPr>
            </w:pPr>
            <w:r>
              <w:rPr>
                <w:rFonts w:cs="Arial"/>
                <w:sz w:val="20"/>
                <w:szCs w:val="20"/>
              </w:rPr>
              <w:t>4.10</w:t>
            </w:r>
          </w:p>
        </w:tc>
        <w:tc>
          <w:tcPr>
            <w:tcW w:w="1124" w:type="pct"/>
            <w:tcBorders>
              <w:top w:val="nil"/>
              <w:bottom w:val="nil"/>
            </w:tcBorders>
            <w:vAlign w:val="center"/>
          </w:tcPr>
          <w:p w:rsidR="00615F25" w:rsidRDefault="00615F25">
            <w:pPr>
              <w:jc w:val="center"/>
              <w:rPr>
                <w:rFonts w:cs="Arial"/>
                <w:sz w:val="20"/>
                <w:szCs w:val="20"/>
              </w:rPr>
            </w:pPr>
            <w:r>
              <w:rPr>
                <w:rFonts w:cs="Arial"/>
                <w:sz w:val="20"/>
                <w:szCs w:val="20"/>
              </w:rPr>
              <w:t>-</w:t>
            </w:r>
          </w:p>
        </w:tc>
        <w:tc>
          <w:tcPr>
            <w:tcW w:w="1199" w:type="pct"/>
            <w:tcBorders>
              <w:top w:val="nil"/>
              <w:bottom w:val="nil"/>
            </w:tcBorders>
            <w:vAlign w:val="center"/>
          </w:tcPr>
          <w:p w:rsidR="00615F25" w:rsidRDefault="00615F25">
            <w:pPr>
              <w:jc w:val="center"/>
              <w:rPr>
                <w:rFonts w:cs="Arial"/>
                <w:sz w:val="20"/>
                <w:szCs w:val="20"/>
              </w:rPr>
            </w:pPr>
            <w:r>
              <w:rPr>
                <w:rFonts w:cs="Arial"/>
                <w:sz w:val="20"/>
                <w:szCs w:val="20"/>
              </w:rPr>
              <w:t>343</w:t>
            </w:r>
          </w:p>
        </w:tc>
      </w:tr>
      <w:tr w:rsidR="00615F25" w:rsidRPr="0091453B" w:rsidTr="00DF127B">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615F25" w:rsidRDefault="00615F25">
            <w:pPr>
              <w:rPr>
                <w:rFonts w:cs="Arial"/>
                <w:sz w:val="20"/>
                <w:szCs w:val="20"/>
              </w:rPr>
            </w:pPr>
            <w:r>
              <w:rPr>
                <w:rFonts w:cs="Arial"/>
                <w:sz w:val="20"/>
                <w:szCs w:val="20"/>
              </w:rPr>
              <w:t>% change from previous week</w:t>
            </w:r>
          </w:p>
        </w:tc>
        <w:tc>
          <w:tcPr>
            <w:tcW w:w="749" w:type="pct"/>
            <w:tcBorders>
              <w:top w:val="nil"/>
              <w:bottom w:val="nil"/>
            </w:tcBorders>
            <w:vAlign w:val="center"/>
          </w:tcPr>
          <w:p w:rsidR="00615F25" w:rsidRDefault="00615F25">
            <w:pPr>
              <w:jc w:val="center"/>
              <w:rPr>
                <w:rFonts w:cs="Arial"/>
                <w:sz w:val="20"/>
                <w:szCs w:val="20"/>
              </w:rPr>
            </w:pPr>
            <w:r>
              <w:rPr>
                <w:rFonts w:cs="Arial"/>
                <w:sz w:val="20"/>
                <w:szCs w:val="20"/>
              </w:rPr>
              <w:t>41</w:t>
            </w:r>
          </w:p>
        </w:tc>
        <w:tc>
          <w:tcPr>
            <w:tcW w:w="1124" w:type="pct"/>
            <w:tcBorders>
              <w:top w:val="nil"/>
              <w:bottom w:val="nil"/>
            </w:tcBorders>
            <w:vAlign w:val="center"/>
          </w:tcPr>
          <w:p w:rsidR="00615F25" w:rsidRDefault="00615F25">
            <w:pPr>
              <w:jc w:val="center"/>
              <w:rPr>
                <w:rFonts w:cs="Arial"/>
                <w:sz w:val="20"/>
                <w:szCs w:val="20"/>
              </w:rPr>
            </w:pPr>
            <w:r>
              <w:rPr>
                <w:rFonts w:cs="Arial"/>
                <w:sz w:val="20"/>
                <w:szCs w:val="20"/>
              </w:rPr>
              <w:t>-</w:t>
            </w:r>
          </w:p>
        </w:tc>
        <w:tc>
          <w:tcPr>
            <w:tcW w:w="1199" w:type="pct"/>
            <w:tcBorders>
              <w:top w:val="nil"/>
              <w:bottom w:val="nil"/>
            </w:tcBorders>
            <w:vAlign w:val="center"/>
          </w:tcPr>
          <w:p w:rsidR="00615F25" w:rsidRDefault="00615F25">
            <w:pPr>
              <w:jc w:val="center"/>
              <w:rPr>
                <w:rFonts w:cs="Arial"/>
                <w:sz w:val="20"/>
                <w:szCs w:val="20"/>
              </w:rPr>
            </w:pPr>
            <w:r>
              <w:rPr>
                <w:rFonts w:cs="Arial"/>
                <w:sz w:val="20"/>
                <w:szCs w:val="20"/>
              </w:rPr>
              <w:t>14</w:t>
            </w:r>
          </w:p>
        </w:tc>
      </w:tr>
      <w:tr w:rsidR="00615F25" w:rsidRPr="0091453B" w:rsidTr="00DF127B">
        <w:trPr>
          <w:trHeight w:val="510"/>
        </w:trPr>
        <w:tc>
          <w:tcPr>
            <w:tcW w:w="1928" w:type="pct"/>
            <w:tcBorders>
              <w:top w:val="nil"/>
              <w:bottom w:val="nil"/>
            </w:tcBorders>
            <w:vAlign w:val="center"/>
          </w:tcPr>
          <w:p w:rsidR="00615F25" w:rsidRDefault="00615F25">
            <w:pPr>
              <w:rPr>
                <w:rFonts w:cs="Arial"/>
                <w:sz w:val="20"/>
                <w:szCs w:val="20"/>
              </w:rPr>
            </w:pPr>
            <w:r>
              <w:rPr>
                <w:rFonts w:cs="Arial"/>
                <w:sz w:val="20"/>
                <w:szCs w:val="20"/>
              </w:rPr>
              <w:t>15-16 financial YTD</w:t>
            </w:r>
          </w:p>
        </w:tc>
        <w:tc>
          <w:tcPr>
            <w:tcW w:w="749" w:type="pct"/>
            <w:tcBorders>
              <w:top w:val="nil"/>
              <w:bottom w:val="nil"/>
            </w:tcBorders>
            <w:vAlign w:val="center"/>
          </w:tcPr>
          <w:p w:rsidR="00615F25" w:rsidRDefault="00615F25">
            <w:pPr>
              <w:jc w:val="center"/>
              <w:rPr>
                <w:rFonts w:cs="Arial"/>
                <w:sz w:val="20"/>
                <w:szCs w:val="20"/>
              </w:rPr>
            </w:pPr>
            <w:r>
              <w:rPr>
                <w:rFonts w:cs="Arial"/>
                <w:sz w:val="20"/>
                <w:szCs w:val="20"/>
              </w:rPr>
              <w:t>4.40</w:t>
            </w:r>
          </w:p>
        </w:tc>
        <w:tc>
          <w:tcPr>
            <w:tcW w:w="1124" w:type="pct"/>
            <w:tcBorders>
              <w:top w:val="nil"/>
              <w:bottom w:val="nil"/>
            </w:tcBorders>
            <w:vAlign w:val="center"/>
          </w:tcPr>
          <w:p w:rsidR="00615F25" w:rsidRDefault="00615F25">
            <w:pPr>
              <w:jc w:val="center"/>
              <w:rPr>
                <w:rFonts w:cs="Arial"/>
                <w:sz w:val="20"/>
                <w:szCs w:val="20"/>
              </w:rPr>
            </w:pPr>
            <w:r>
              <w:rPr>
                <w:rFonts w:cs="Arial"/>
                <w:sz w:val="20"/>
                <w:szCs w:val="20"/>
              </w:rPr>
              <w:t>-</w:t>
            </w:r>
          </w:p>
        </w:tc>
        <w:tc>
          <w:tcPr>
            <w:tcW w:w="1199" w:type="pct"/>
            <w:tcBorders>
              <w:top w:val="nil"/>
              <w:bottom w:val="nil"/>
            </w:tcBorders>
            <w:vAlign w:val="center"/>
          </w:tcPr>
          <w:p w:rsidR="00615F25" w:rsidRDefault="00615F25">
            <w:pPr>
              <w:jc w:val="center"/>
              <w:rPr>
                <w:rFonts w:cs="Arial"/>
                <w:sz w:val="20"/>
                <w:szCs w:val="20"/>
              </w:rPr>
            </w:pPr>
            <w:r>
              <w:rPr>
                <w:rFonts w:cs="Arial"/>
                <w:sz w:val="20"/>
                <w:szCs w:val="20"/>
              </w:rPr>
              <w:t>606</w:t>
            </w:r>
          </w:p>
        </w:tc>
      </w:tr>
      <w:tr w:rsidR="00615F25" w:rsidRPr="0091453B" w:rsidTr="00DF127B">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615F25" w:rsidRDefault="00615F25">
            <w:pPr>
              <w:rPr>
                <w:rFonts w:cs="Arial"/>
                <w:sz w:val="20"/>
                <w:szCs w:val="20"/>
              </w:rPr>
            </w:pPr>
            <w:r>
              <w:rPr>
                <w:rFonts w:cs="Arial"/>
                <w:sz w:val="20"/>
                <w:szCs w:val="20"/>
              </w:rPr>
              <w:t xml:space="preserve">% change from previous financial YTD </w:t>
            </w:r>
          </w:p>
        </w:tc>
        <w:tc>
          <w:tcPr>
            <w:tcW w:w="749"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26</w:t>
            </w:r>
          </w:p>
        </w:tc>
        <w:tc>
          <w:tcPr>
            <w:tcW w:w="1124"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w:t>
            </w:r>
          </w:p>
        </w:tc>
        <w:tc>
          <w:tcPr>
            <w:tcW w:w="1199"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7</w:t>
            </w:r>
          </w:p>
        </w:tc>
      </w:tr>
    </w:tbl>
    <w:p w:rsidR="00FF0D8A" w:rsidRDefault="00FF0D8A" w:rsidP="00FF0D8A">
      <w:pPr>
        <w:pStyle w:val="AERbodytext"/>
        <w:spacing w:before="120" w:after="120"/>
        <w:jc w:val="both"/>
      </w:pPr>
      <w:r w:rsidRPr="006619E5">
        <w:rPr>
          <w:sz w:val="20"/>
        </w:rPr>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t>More</w:t>
      </w:r>
      <w:r w:rsidRPr="00D329E0">
        <w:t xml:space="preserve"> </w:t>
      </w:r>
      <w:r>
        <w:t xml:space="preserve">detailed </w:t>
      </w:r>
      <w:r w:rsidRPr="00D329E0">
        <w:t xml:space="preserve">analysis on the </w:t>
      </w:r>
      <w:r>
        <w:t>VGM is provided in section 1</w:t>
      </w:r>
      <w:r w:rsidRPr="00D329E0">
        <w:t xml:space="preserve">. </w:t>
      </w:r>
    </w:p>
    <w:p w:rsidR="00FF0D8A" w:rsidRPr="008D4DAB"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DF127B">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DF127B">
            <w:pPr>
              <w:pStyle w:val="TableHeading"/>
              <w:jc w:val="center"/>
              <w:rPr>
                <w:rFonts w:cs="Arial"/>
                <w:sz w:val="20"/>
                <w:szCs w:val="20"/>
              </w:rPr>
            </w:pPr>
          </w:p>
        </w:tc>
        <w:tc>
          <w:tcPr>
            <w:tcW w:w="759" w:type="pct"/>
            <w:tcBorders>
              <w:bottom w:val="nil"/>
            </w:tcBorders>
            <w:hideMark/>
          </w:tcPr>
          <w:p w:rsidR="00F114D5" w:rsidRPr="002861A9" w:rsidRDefault="00F114D5" w:rsidP="00DF127B">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DF127B">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DF127B">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DF127B">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DF127B">
            <w:pPr>
              <w:keepNext/>
              <w:spacing w:before="40" w:after="40"/>
              <w:jc w:val="center"/>
              <w:rPr>
                <w:rFonts w:cs="Arial"/>
                <w:b w:val="0"/>
                <w:bCs/>
                <w:sz w:val="20"/>
                <w:szCs w:val="20"/>
              </w:rPr>
            </w:pPr>
            <w:r w:rsidRPr="002861A9">
              <w:rPr>
                <w:rFonts w:cs="Arial"/>
                <w:bCs/>
                <w:sz w:val="20"/>
                <w:szCs w:val="20"/>
              </w:rPr>
              <w:t>Ex post quantity (TJ)</w:t>
            </w:r>
          </w:p>
        </w:tc>
      </w:tr>
      <w:tr w:rsidR="00615F25" w:rsidRPr="00405CDE" w:rsidTr="00DF127B">
        <w:trPr>
          <w:trHeight w:val="510"/>
        </w:trPr>
        <w:tc>
          <w:tcPr>
            <w:tcW w:w="1430" w:type="pct"/>
            <w:tcBorders>
              <w:top w:val="nil"/>
              <w:bottom w:val="nil"/>
            </w:tcBorders>
            <w:vAlign w:val="center"/>
          </w:tcPr>
          <w:p w:rsidR="00615F25" w:rsidRDefault="00615F25">
            <w:pPr>
              <w:rPr>
                <w:rFonts w:cs="Arial"/>
                <w:sz w:val="20"/>
                <w:szCs w:val="20"/>
              </w:rPr>
            </w:pPr>
            <w:r>
              <w:rPr>
                <w:rFonts w:cs="Arial"/>
                <w:sz w:val="20"/>
                <w:szCs w:val="20"/>
              </w:rPr>
              <w:t>10 Jan - 16 Jan 2016</w:t>
            </w:r>
          </w:p>
        </w:tc>
        <w:tc>
          <w:tcPr>
            <w:tcW w:w="759" w:type="pct"/>
            <w:tcBorders>
              <w:top w:val="nil"/>
              <w:bottom w:val="nil"/>
            </w:tcBorders>
            <w:vAlign w:val="center"/>
          </w:tcPr>
          <w:p w:rsidR="00615F25" w:rsidRDefault="00615F25">
            <w:pPr>
              <w:jc w:val="center"/>
              <w:rPr>
                <w:rFonts w:cs="Arial"/>
                <w:sz w:val="20"/>
                <w:szCs w:val="20"/>
              </w:rPr>
            </w:pPr>
            <w:r>
              <w:rPr>
                <w:rFonts w:cs="Arial"/>
                <w:sz w:val="20"/>
                <w:szCs w:val="20"/>
              </w:rPr>
              <w:t>4.86</w:t>
            </w:r>
          </w:p>
        </w:tc>
        <w:tc>
          <w:tcPr>
            <w:tcW w:w="758" w:type="pct"/>
            <w:tcBorders>
              <w:top w:val="nil"/>
              <w:bottom w:val="nil"/>
            </w:tcBorders>
            <w:vAlign w:val="center"/>
          </w:tcPr>
          <w:p w:rsidR="00615F25" w:rsidRDefault="00615F25">
            <w:pPr>
              <w:jc w:val="center"/>
              <w:rPr>
                <w:rFonts w:cs="Arial"/>
                <w:sz w:val="20"/>
                <w:szCs w:val="20"/>
              </w:rPr>
            </w:pPr>
            <w:r>
              <w:rPr>
                <w:rFonts w:cs="Arial"/>
                <w:sz w:val="20"/>
                <w:szCs w:val="20"/>
              </w:rPr>
              <w:t>3.72</w:t>
            </w:r>
          </w:p>
        </w:tc>
        <w:tc>
          <w:tcPr>
            <w:tcW w:w="759" w:type="pct"/>
            <w:tcBorders>
              <w:top w:val="nil"/>
              <w:bottom w:val="nil"/>
            </w:tcBorders>
            <w:vAlign w:val="center"/>
          </w:tcPr>
          <w:p w:rsidR="00615F25" w:rsidRDefault="00615F25">
            <w:pPr>
              <w:jc w:val="center"/>
              <w:rPr>
                <w:rFonts w:cs="Arial"/>
                <w:sz w:val="20"/>
                <w:szCs w:val="20"/>
              </w:rPr>
            </w:pPr>
            <w:r>
              <w:rPr>
                <w:rFonts w:cs="Arial"/>
                <w:sz w:val="20"/>
                <w:szCs w:val="20"/>
              </w:rPr>
              <w:t>172.45</w:t>
            </w:r>
          </w:p>
        </w:tc>
        <w:tc>
          <w:tcPr>
            <w:tcW w:w="685" w:type="pct"/>
            <w:tcBorders>
              <w:top w:val="nil"/>
              <w:bottom w:val="nil"/>
            </w:tcBorders>
            <w:vAlign w:val="center"/>
          </w:tcPr>
          <w:p w:rsidR="00615F25" w:rsidRDefault="00615F25">
            <w:pPr>
              <w:jc w:val="center"/>
              <w:rPr>
                <w:rFonts w:cs="Arial"/>
                <w:sz w:val="20"/>
                <w:szCs w:val="20"/>
              </w:rPr>
            </w:pPr>
            <w:r>
              <w:rPr>
                <w:rFonts w:cs="Arial"/>
                <w:sz w:val="20"/>
                <w:szCs w:val="20"/>
              </w:rPr>
              <w:t>245</w:t>
            </w:r>
          </w:p>
        </w:tc>
        <w:tc>
          <w:tcPr>
            <w:tcW w:w="608" w:type="pct"/>
            <w:tcBorders>
              <w:top w:val="nil"/>
              <w:bottom w:val="nil"/>
            </w:tcBorders>
            <w:vAlign w:val="center"/>
          </w:tcPr>
          <w:p w:rsidR="00615F25" w:rsidRDefault="00615F25">
            <w:pPr>
              <w:jc w:val="center"/>
              <w:rPr>
                <w:rFonts w:cs="Arial"/>
                <w:sz w:val="20"/>
                <w:szCs w:val="20"/>
              </w:rPr>
            </w:pPr>
            <w:r>
              <w:rPr>
                <w:rFonts w:cs="Arial"/>
                <w:sz w:val="20"/>
                <w:szCs w:val="20"/>
              </w:rPr>
              <w:t>224</w:t>
            </w:r>
          </w:p>
        </w:tc>
      </w:tr>
      <w:tr w:rsidR="00615F25" w:rsidRPr="00405CDE" w:rsidTr="00DF127B">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615F25" w:rsidRDefault="00615F25">
            <w:pPr>
              <w:rPr>
                <w:rFonts w:cs="Arial"/>
                <w:sz w:val="20"/>
                <w:szCs w:val="20"/>
              </w:rPr>
            </w:pPr>
            <w:r>
              <w:rPr>
                <w:rFonts w:cs="Arial"/>
                <w:sz w:val="20"/>
                <w:szCs w:val="20"/>
              </w:rPr>
              <w:t>% change from previous week</w:t>
            </w:r>
          </w:p>
        </w:tc>
        <w:tc>
          <w:tcPr>
            <w:tcW w:w="759" w:type="pct"/>
            <w:tcBorders>
              <w:top w:val="nil"/>
              <w:bottom w:val="nil"/>
            </w:tcBorders>
            <w:vAlign w:val="center"/>
          </w:tcPr>
          <w:p w:rsidR="00615F25" w:rsidRDefault="00615F25">
            <w:pPr>
              <w:jc w:val="center"/>
              <w:rPr>
                <w:rFonts w:cs="Arial"/>
                <w:sz w:val="20"/>
                <w:szCs w:val="20"/>
              </w:rPr>
            </w:pPr>
            <w:r>
              <w:rPr>
                <w:rFonts w:cs="Arial"/>
                <w:sz w:val="20"/>
                <w:szCs w:val="20"/>
              </w:rPr>
              <w:t>18</w:t>
            </w:r>
          </w:p>
        </w:tc>
        <w:tc>
          <w:tcPr>
            <w:tcW w:w="758" w:type="pct"/>
            <w:tcBorders>
              <w:top w:val="nil"/>
              <w:bottom w:val="nil"/>
            </w:tcBorders>
            <w:vAlign w:val="center"/>
          </w:tcPr>
          <w:p w:rsidR="00615F25" w:rsidRDefault="00615F25">
            <w:pPr>
              <w:jc w:val="center"/>
              <w:rPr>
                <w:rFonts w:cs="Arial"/>
                <w:sz w:val="20"/>
                <w:szCs w:val="20"/>
              </w:rPr>
            </w:pPr>
            <w:r>
              <w:rPr>
                <w:rFonts w:cs="Arial"/>
                <w:sz w:val="20"/>
                <w:szCs w:val="20"/>
              </w:rPr>
              <w:t>-1</w:t>
            </w:r>
          </w:p>
        </w:tc>
        <w:tc>
          <w:tcPr>
            <w:tcW w:w="759" w:type="pct"/>
            <w:tcBorders>
              <w:top w:val="nil"/>
              <w:bottom w:val="nil"/>
            </w:tcBorders>
            <w:vAlign w:val="center"/>
          </w:tcPr>
          <w:p w:rsidR="00615F25" w:rsidRDefault="00615F25">
            <w:pPr>
              <w:jc w:val="center"/>
              <w:rPr>
                <w:rFonts w:cs="Arial"/>
                <w:sz w:val="20"/>
                <w:szCs w:val="20"/>
              </w:rPr>
            </w:pPr>
            <w:r>
              <w:rPr>
                <w:rFonts w:cs="Arial"/>
                <w:sz w:val="20"/>
                <w:szCs w:val="20"/>
              </w:rPr>
              <w:t>402</w:t>
            </w:r>
          </w:p>
        </w:tc>
        <w:tc>
          <w:tcPr>
            <w:tcW w:w="685" w:type="pct"/>
            <w:tcBorders>
              <w:top w:val="nil"/>
              <w:bottom w:val="nil"/>
            </w:tcBorders>
            <w:vAlign w:val="center"/>
          </w:tcPr>
          <w:p w:rsidR="00615F25" w:rsidRDefault="00615F25">
            <w:pPr>
              <w:jc w:val="center"/>
              <w:rPr>
                <w:rFonts w:cs="Arial"/>
                <w:sz w:val="20"/>
                <w:szCs w:val="20"/>
              </w:rPr>
            </w:pPr>
            <w:r>
              <w:rPr>
                <w:rFonts w:cs="Arial"/>
                <w:sz w:val="20"/>
                <w:szCs w:val="20"/>
              </w:rPr>
              <w:t>17</w:t>
            </w:r>
          </w:p>
        </w:tc>
        <w:tc>
          <w:tcPr>
            <w:tcW w:w="608" w:type="pct"/>
            <w:tcBorders>
              <w:top w:val="nil"/>
              <w:bottom w:val="nil"/>
            </w:tcBorders>
            <w:vAlign w:val="center"/>
          </w:tcPr>
          <w:p w:rsidR="00615F25" w:rsidRDefault="00615F25">
            <w:pPr>
              <w:jc w:val="center"/>
              <w:rPr>
                <w:rFonts w:cs="Arial"/>
                <w:sz w:val="20"/>
                <w:szCs w:val="20"/>
              </w:rPr>
            </w:pPr>
            <w:r>
              <w:rPr>
                <w:rFonts w:cs="Arial"/>
                <w:sz w:val="20"/>
                <w:szCs w:val="20"/>
              </w:rPr>
              <w:t>14</w:t>
            </w:r>
          </w:p>
        </w:tc>
      </w:tr>
      <w:tr w:rsidR="00615F25" w:rsidRPr="00405CDE" w:rsidTr="00DF127B">
        <w:trPr>
          <w:trHeight w:val="510"/>
        </w:trPr>
        <w:tc>
          <w:tcPr>
            <w:tcW w:w="1430" w:type="pct"/>
            <w:tcBorders>
              <w:top w:val="nil"/>
              <w:bottom w:val="nil"/>
            </w:tcBorders>
            <w:vAlign w:val="center"/>
          </w:tcPr>
          <w:p w:rsidR="00615F25" w:rsidRDefault="00615F25">
            <w:pPr>
              <w:rPr>
                <w:rFonts w:cs="Arial"/>
                <w:sz w:val="20"/>
                <w:szCs w:val="20"/>
              </w:rPr>
            </w:pPr>
            <w:r>
              <w:rPr>
                <w:rFonts w:cs="Arial"/>
                <w:sz w:val="20"/>
                <w:szCs w:val="20"/>
              </w:rPr>
              <w:t>15-16 financial YTD</w:t>
            </w:r>
          </w:p>
        </w:tc>
        <w:tc>
          <w:tcPr>
            <w:tcW w:w="759" w:type="pct"/>
            <w:tcBorders>
              <w:top w:val="nil"/>
              <w:bottom w:val="nil"/>
            </w:tcBorders>
            <w:vAlign w:val="center"/>
          </w:tcPr>
          <w:p w:rsidR="00615F25" w:rsidRDefault="00615F25">
            <w:pPr>
              <w:jc w:val="center"/>
              <w:rPr>
                <w:rFonts w:cs="Arial"/>
                <w:sz w:val="20"/>
                <w:szCs w:val="20"/>
              </w:rPr>
            </w:pPr>
            <w:r>
              <w:rPr>
                <w:rFonts w:cs="Arial"/>
                <w:sz w:val="20"/>
                <w:szCs w:val="20"/>
              </w:rPr>
              <w:t>4.65</w:t>
            </w:r>
          </w:p>
        </w:tc>
        <w:tc>
          <w:tcPr>
            <w:tcW w:w="758" w:type="pct"/>
            <w:tcBorders>
              <w:top w:val="nil"/>
              <w:bottom w:val="nil"/>
            </w:tcBorders>
            <w:vAlign w:val="center"/>
          </w:tcPr>
          <w:p w:rsidR="00615F25" w:rsidRDefault="00615F25">
            <w:pPr>
              <w:jc w:val="center"/>
              <w:rPr>
                <w:rFonts w:cs="Arial"/>
                <w:sz w:val="20"/>
                <w:szCs w:val="20"/>
              </w:rPr>
            </w:pPr>
            <w:r>
              <w:rPr>
                <w:rFonts w:cs="Arial"/>
                <w:sz w:val="20"/>
                <w:szCs w:val="20"/>
              </w:rPr>
              <w:t>4.35</w:t>
            </w:r>
          </w:p>
        </w:tc>
        <w:tc>
          <w:tcPr>
            <w:tcW w:w="759" w:type="pct"/>
            <w:tcBorders>
              <w:top w:val="nil"/>
              <w:bottom w:val="nil"/>
            </w:tcBorders>
            <w:vAlign w:val="center"/>
          </w:tcPr>
          <w:p w:rsidR="00615F25" w:rsidRDefault="00615F25">
            <w:pPr>
              <w:jc w:val="center"/>
              <w:rPr>
                <w:rFonts w:cs="Arial"/>
                <w:sz w:val="20"/>
                <w:szCs w:val="20"/>
              </w:rPr>
            </w:pPr>
            <w:r>
              <w:rPr>
                <w:rFonts w:cs="Arial"/>
                <w:sz w:val="20"/>
                <w:szCs w:val="20"/>
              </w:rPr>
              <w:t>29.88</w:t>
            </w:r>
          </w:p>
        </w:tc>
        <w:tc>
          <w:tcPr>
            <w:tcW w:w="685" w:type="pct"/>
            <w:tcBorders>
              <w:top w:val="nil"/>
              <w:bottom w:val="nil"/>
            </w:tcBorders>
            <w:vAlign w:val="center"/>
          </w:tcPr>
          <w:p w:rsidR="00615F25" w:rsidRDefault="00615F25">
            <w:pPr>
              <w:jc w:val="center"/>
              <w:rPr>
                <w:rFonts w:cs="Arial"/>
                <w:sz w:val="20"/>
                <w:szCs w:val="20"/>
              </w:rPr>
            </w:pPr>
            <w:r>
              <w:rPr>
                <w:rFonts w:cs="Arial"/>
                <w:sz w:val="20"/>
                <w:szCs w:val="20"/>
              </w:rPr>
              <w:t>239</w:t>
            </w:r>
          </w:p>
        </w:tc>
        <w:tc>
          <w:tcPr>
            <w:tcW w:w="608" w:type="pct"/>
            <w:tcBorders>
              <w:top w:val="nil"/>
              <w:bottom w:val="nil"/>
            </w:tcBorders>
            <w:vAlign w:val="center"/>
          </w:tcPr>
          <w:p w:rsidR="00615F25" w:rsidRDefault="00615F25">
            <w:pPr>
              <w:jc w:val="center"/>
              <w:rPr>
                <w:rFonts w:cs="Arial"/>
                <w:sz w:val="20"/>
                <w:szCs w:val="20"/>
              </w:rPr>
            </w:pPr>
            <w:r>
              <w:rPr>
                <w:rFonts w:cs="Arial"/>
                <w:sz w:val="20"/>
                <w:szCs w:val="20"/>
              </w:rPr>
              <w:t>234</w:t>
            </w:r>
          </w:p>
        </w:tc>
      </w:tr>
      <w:tr w:rsidR="00615F25" w:rsidRPr="00405CDE" w:rsidTr="00DF127B">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615F25" w:rsidRDefault="00615F25">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46</w:t>
            </w:r>
          </w:p>
        </w:tc>
        <w:tc>
          <w:tcPr>
            <w:tcW w:w="758"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35</w:t>
            </w:r>
          </w:p>
        </w:tc>
        <w:tc>
          <w:tcPr>
            <w:tcW w:w="759"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112</w:t>
            </w:r>
          </w:p>
        </w:tc>
        <w:tc>
          <w:tcPr>
            <w:tcW w:w="685"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-6</w:t>
            </w:r>
          </w:p>
        </w:tc>
        <w:tc>
          <w:tcPr>
            <w:tcW w:w="608"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-9</w:t>
            </w:r>
          </w:p>
        </w:tc>
      </w:tr>
    </w:tbl>
    <w:p w:rsidR="00D1641C"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5C5733" w:rsidRPr="00405CDE" w:rsidTr="00DF127B">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5C5733" w:rsidRPr="00DC24BF" w:rsidRDefault="005C5733" w:rsidP="00DF127B">
            <w:pPr>
              <w:pStyle w:val="TableHeading"/>
              <w:jc w:val="center"/>
              <w:rPr>
                <w:rFonts w:cs="Arial"/>
                <w:sz w:val="20"/>
                <w:szCs w:val="20"/>
              </w:rPr>
            </w:pPr>
          </w:p>
        </w:tc>
        <w:tc>
          <w:tcPr>
            <w:tcW w:w="759" w:type="pct"/>
            <w:tcBorders>
              <w:bottom w:val="nil"/>
            </w:tcBorders>
            <w:hideMark/>
          </w:tcPr>
          <w:p w:rsidR="005C5733" w:rsidRPr="002861A9" w:rsidRDefault="005C5733" w:rsidP="00DF127B">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5C5733" w:rsidRPr="002861A9" w:rsidRDefault="005C5733" w:rsidP="00DF127B">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5C5733" w:rsidRPr="002861A9" w:rsidRDefault="005C5733" w:rsidP="00DF127B">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5C5733" w:rsidRPr="002861A9" w:rsidRDefault="005C5733" w:rsidP="00DF127B">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5C5733" w:rsidRPr="002861A9" w:rsidRDefault="005C5733" w:rsidP="00DF127B">
            <w:pPr>
              <w:keepNext/>
              <w:spacing w:before="40" w:after="40"/>
              <w:jc w:val="center"/>
              <w:rPr>
                <w:rFonts w:cs="Arial"/>
                <w:b w:val="0"/>
                <w:bCs/>
                <w:sz w:val="20"/>
                <w:szCs w:val="20"/>
              </w:rPr>
            </w:pPr>
            <w:r w:rsidRPr="002861A9">
              <w:rPr>
                <w:rFonts w:cs="Arial"/>
                <w:bCs/>
                <w:sz w:val="20"/>
                <w:szCs w:val="20"/>
              </w:rPr>
              <w:t>Ex post quantity (TJ)</w:t>
            </w:r>
          </w:p>
        </w:tc>
      </w:tr>
      <w:tr w:rsidR="005C5733" w:rsidRPr="00405CDE" w:rsidTr="00DF127B">
        <w:trPr>
          <w:trHeight w:val="510"/>
        </w:trPr>
        <w:tc>
          <w:tcPr>
            <w:tcW w:w="1430" w:type="pct"/>
            <w:tcBorders>
              <w:top w:val="nil"/>
              <w:bottom w:val="nil"/>
            </w:tcBorders>
            <w:vAlign w:val="center"/>
          </w:tcPr>
          <w:p w:rsidR="005C5733" w:rsidRDefault="005C5733" w:rsidP="00DF127B">
            <w:pPr>
              <w:rPr>
                <w:rFonts w:cs="Arial"/>
                <w:sz w:val="20"/>
                <w:szCs w:val="20"/>
              </w:rPr>
            </w:pPr>
            <w:r>
              <w:rPr>
                <w:rFonts w:cs="Arial"/>
                <w:sz w:val="20"/>
                <w:szCs w:val="20"/>
              </w:rPr>
              <w:t>10 Jan - 16 Jan 2016</w:t>
            </w:r>
          </w:p>
        </w:tc>
        <w:tc>
          <w:tcPr>
            <w:tcW w:w="759" w:type="pct"/>
            <w:tcBorders>
              <w:top w:val="nil"/>
              <w:bottom w:val="nil"/>
            </w:tcBorders>
            <w:vAlign w:val="center"/>
          </w:tcPr>
          <w:p w:rsidR="005C5733" w:rsidRDefault="005C5733" w:rsidP="00DF127B">
            <w:pPr>
              <w:jc w:val="center"/>
              <w:rPr>
                <w:rFonts w:cs="Arial"/>
                <w:sz w:val="20"/>
                <w:szCs w:val="20"/>
              </w:rPr>
            </w:pPr>
            <w:r>
              <w:rPr>
                <w:rFonts w:cs="Arial"/>
                <w:sz w:val="20"/>
                <w:szCs w:val="20"/>
              </w:rPr>
              <w:t>6.86</w:t>
            </w:r>
          </w:p>
        </w:tc>
        <w:tc>
          <w:tcPr>
            <w:tcW w:w="758" w:type="pct"/>
            <w:tcBorders>
              <w:top w:val="nil"/>
              <w:bottom w:val="nil"/>
            </w:tcBorders>
            <w:vAlign w:val="center"/>
          </w:tcPr>
          <w:p w:rsidR="005C5733" w:rsidRDefault="005C5733" w:rsidP="00DF127B">
            <w:pPr>
              <w:jc w:val="center"/>
              <w:rPr>
                <w:rFonts w:cs="Arial"/>
                <w:sz w:val="20"/>
                <w:szCs w:val="20"/>
              </w:rPr>
            </w:pPr>
            <w:r>
              <w:rPr>
                <w:rFonts w:cs="Arial"/>
                <w:sz w:val="20"/>
                <w:szCs w:val="20"/>
              </w:rPr>
              <w:t>6.65</w:t>
            </w:r>
          </w:p>
        </w:tc>
        <w:tc>
          <w:tcPr>
            <w:tcW w:w="759" w:type="pct"/>
            <w:tcBorders>
              <w:top w:val="nil"/>
              <w:bottom w:val="nil"/>
            </w:tcBorders>
            <w:vAlign w:val="center"/>
          </w:tcPr>
          <w:p w:rsidR="005C5733" w:rsidRDefault="005C5733" w:rsidP="00DF127B">
            <w:pPr>
              <w:jc w:val="center"/>
              <w:rPr>
                <w:rFonts w:cs="Arial"/>
                <w:sz w:val="20"/>
                <w:szCs w:val="20"/>
              </w:rPr>
            </w:pPr>
            <w:r>
              <w:rPr>
                <w:rFonts w:cs="Arial"/>
                <w:sz w:val="20"/>
                <w:szCs w:val="20"/>
              </w:rPr>
              <w:t>4.16</w:t>
            </w:r>
          </w:p>
        </w:tc>
        <w:tc>
          <w:tcPr>
            <w:tcW w:w="685" w:type="pct"/>
            <w:tcBorders>
              <w:top w:val="nil"/>
              <w:bottom w:val="nil"/>
            </w:tcBorders>
            <w:vAlign w:val="center"/>
          </w:tcPr>
          <w:p w:rsidR="005C5733" w:rsidRDefault="005C5733" w:rsidP="00DF127B">
            <w:pPr>
              <w:jc w:val="center"/>
              <w:rPr>
                <w:rFonts w:cs="Arial"/>
                <w:sz w:val="20"/>
                <w:szCs w:val="20"/>
              </w:rPr>
            </w:pPr>
            <w:r>
              <w:rPr>
                <w:rFonts w:cs="Arial"/>
                <w:sz w:val="20"/>
                <w:szCs w:val="20"/>
              </w:rPr>
              <w:t>45</w:t>
            </w:r>
          </w:p>
        </w:tc>
        <w:tc>
          <w:tcPr>
            <w:tcW w:w="608" w:type="pct"/>
            <w:tcBorders>
              <w:top w:val="nil"/>
              <w:bottom w:val="nil"/>
            </w:tcBorders>
            <w:vAlign w:val="center"/>
          </w:tcPr>
          <w:p w:rsidR="005C5733" w:rsidRDefault="005C5733" w:rsidP="00DF127B">
            <w:pPr>
              <w:jc w:val="center"/>
              <w:rPr>
                <w:rFonts w:cs="Arial"/>
                <w:sz w:val="20"/>
                <w:szCs w:val="20"/>
              </w:rPr>
            </w:pPr>
            <w:r>
              <w:rPr>
                <w:rFonts w:cs="Arial"/>
                <w:sz w:val="20"/>
                <w:szCs w:val="20"/>
              </w:rPr>
              <w:t>42</w:t>
            </w:r>
          </w:p>
        </w:tc>
      </w:tr>
      <w:tr w:rsidR="005C5733" w:rsidRPr="00405CDE" w:rsidTr="00DF127B">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5C5733" w:rsidRDefault="005C5733" w:rsidP="00DF127B">
            <w:pPr>
              <w:rPr>
                <w:rFonts w:cs="Arial"/>
                <w:sz w:val="20"/>
                <w:szCs w:val="20"/>
              </w:rPr>
            </w:pPr>
            <w:r>
              <w:rPr>
                <w:rFonts w:cs="Arial"/>
                <w:sz w:val="20"/>
                <w:szCs w:val="20"/>
              </w:rPr>
              <w:t>% change from previous week</w:t>
            </w:r>
          </w:p>
        </w:tc>
        <w:tc>
          <w:tcPr>
            <w:tcW w:w="759" w:type="pct"/>
            <w:tcBorders>
              <w:top w:val="nil"/>
              <w:bottom w:val="nil"/>
            </w:tcBorders>
            <w:vAlign w:val="center"/>
          </w:tcPr>
          <w:p w:rsidR="005C5733" w:rsidRDefault="005C5733" w:rsidP="00DF127B">
            <w:pPr>
              <w:jc w:val="center"/>
              <w:rPr>
                <w:rFonts w:cs="Arial"/>
                <w:sz w:val="20"/>
                <w:szCs w:val="20"/>
              </w:rPr>
            </w:pPr>
            <w:r>
              <w:rPr>
                <w:rFonts w:cs="Arial"/>
                <w:sz w:val="20"/>
                <w:szCs w:val="20"/>
              </w:rPr>
              <w:t>51</w:t>
            </w:r>
          </w:p>
        </w:tc>
        <w:tc>
          <w:tcPr>
            <w:tcW w:w="758" w:type="pct"/>
            <w:tcBorders>
              <w:top w:val="nil"/>
              <w:bottom w:val="nil"/>
            </w:tcBorders>
            <w:vAlign w:val="center"/>
          </w:tcPr>
          <w:p w:rsidR="005C5733" w:rsidRDefault="005C5733" w:rsidP="00DF127B">
            <w:pPr>
              <w:jc w:val="center"/>
              <w:rPr>
                <w:rFonts w:cs="Arial"/>
                <w:sz w:val="20"/>
                <w:szCs w:val="20"/>
              </w:rPr>
            </w:pPr>
            <w:r>
              <w:rPr>
                <w:rFonts w:cs="Arial"/>
                <w:sz w:val="20"/>
                <w:szCs w:val="20"/>
              </w:rPr>
              <w:t>67</w:t>
            </w:r>
          </w:p>
        </w:tc>
        <w:tc>
          <w:tcPr>
            <w:tcW w:w="759" w:type="pct"/>
            <w:tcBorders>
              <w:top w:val="nil"/>
              <w:bottom w:val="nil"/>
            </w:tcBorders>
            <w:vAlign w:val="center"/>
          </w:tcPr>
          <w:p w:rsidR="005C5733" w:rsidRDefault="005C5733" w:rsidP="00DF127B">
            <w:pPr>
              <w:jc w:val="center"/>
              <w:rPr>
                <w:rFonts w:cs="Arial"/>
                <w:sz w:val="20"/>
                <w:szCs w:val="20"/>
              </w:rPr>
            </w:pPr>
            <w:r>
              <w:rPr>
                <w:rFonts w:cs="Arial"/>
                <w:sz w:val="20"/>
                <w:szCs w:val="20"/>
              </w:rPr>
              <w:t>-30</w:t>
            </w:r>
          </w:p>
        </w:tc>
        <w:tc>
          <w:tcPr>
            <w:tcW w:w="685" w:type="pct"/>
            <w:tcBorders>
              <w:top w:val="nil"/>
              <w:bottom w:val="nil"/>
            </w:tcBorders>
            <w:vAlign w:val="center"/>
          </w:tcPr>
          <w:p w:rsidR="005C5733" w:rsidRDefault="005C5733" w:rsidP="00DF127B">
            <w:pPr>
              <w:jc w:val="center"/>
              <w:rPr>
                <w:rFonts w:cs="Arial"/>
                <w:sz w:val="20"/>
                <w:szCs w:val="20"/>
              </w:rPr>
            </w:pPr>
            <w:r>
              <w:rPr>
                <w:rFonts w:cs="Arial"/>
                <w:sz w:val="20"/>
                <w:szCs w:val="20"/>
              </w:rPr>
              <w:t>8</w:t>
            </w:r>
          </w:p>
        </w:tc>
        <w:tc>
          <w:tcPr>
            <w:tcW w:w="608" w:type="pct"/>
            <w:tcBorders>
              <w:top w:val="nil"/>
              <w:bottom w:val="nil"/>
            </w:tcBorders>
            <w:vAlign w:val="center"/>
          </w:tcPr>
          <w:p w:rsidR="005C5733" w:rsidRDefault="005C5733" w:rsidP="00DF127B">
            <w:pPr>
              <w:jc w:val="center"/>
              <w:rPr>
                <w:rFonts w:cs="Arial"/>
                <w:sz w:val="20"/>
                <w:szCs w:val="20"/>
              </w:rPr>
            </w:pPr>
            <w:r>
              <w:rPr>
                <w:rFonts w:cs="Arial"/>
                <w:sz w:val="20"/>
                <w:szCs w:val="20"/>
              </w:rPr>
              <w:t>12</w:t>
            </w:r>
          </w:p>
        </w:tc>
      </w:tr>
      <w:tr w:rsidR="005C5733" w:rsidRPr="00405CDE" w:rsidTr="00DF127B">
        <w:trPr>
          <w:trHeight w:val="510"/>
        </w:trPr>
        <w:tc>
          <w:tcPr>
            <w:tcW w:w="1430" w:type="pct"/>
            <w:tcBorders>
              <w:top w:val="nil"/>
              <w:bottom w:val="nil"/>
            </w:tcBorders>
            <w:vAlign w:val="center"/>
          </w:tcPr>
          <w:p w:rsidR="005C5733" w:rsidRDefault="005C5733" w:rsidP="00DF127B">
            <w:pPr>
              <w:rPr>
                <w:rFonts w:cs="Arial"/>
                <w:sz w:val="20"/>
                <w:szCs w:val="20"/>
              </w:rPr>
            </w:pPr>
            <w:r>
              <w:rPr>
                <w:rFonts w:cs="Arial"/>
                <w:sz w:val="20"/>
                <w:szCs w:val="20"/>
              </w:rPr>
              <w:t>15-16 financial YTD</w:t>
            </w:r>
          </w:p>
        </w:tc>
        <w:tc>
          <w:tcPr>
            <w:tcW w:w="759" w:type="pct"/>
            <w:tcBorders>
              <w:top w:val="nil"/>
              <w:bottom w:val="nil"/>
            </w:tcBorders>
            <w:vAlign w:val="center"/>
          </w:tcPr>
          <w:p w:rsidR="005C5733" w:rsidRDefault="005C5733" w:rsidP="00DF127B">
            <w:pPr>
              <w:jc w:val="center"/>
              <w:rPr>
                <w:rFonts w:cs="Arial"/>
                <w:sz w:val="20"/>
                <w:szCs w:val="20"/>
              </w:rPr>
            </w:pPr>
            <w:r>
              <w:rPr>
                <w:rFonts w:cs="Arial"/>
                <w:sz w:val="20"/>
                <w:szCs w:val="20"/>
              </w:rPr>
              <w:t>5.13</w:t>
            </w:r>
          </w:p>
        </w:tc>
        <w:tc>
          <w:tcPr>
            <w:tcW w:w="758" w:type="pct"/>
            <w:tcBorders>
              <w:top w:val="nil"/>
              <w:bottom w:val="nil"/>
            </w:tcBorders>
            <w:vAlign w:val="center"/>
          </w:tcPr>
          <w:p w:rsidR="005C5733" w:rsidRDefault="005C5733" w:rsidP="00DF127B">
            <w:pPr>
              <w:jc w:val="center"/>
              <w:rPr>
                <w:rFonts w:cs="Arial"/>
                <w:sz w:val="20"/>
                <w:szCs w:val="20"/>
              </w:rPr>
            </w:pPr>
            <w:r>
              <w:rPr>
                <w:rFonts w:cs="Arial"/>
                <w:sz w:val="20"/>
                <w:szCs w:val="20"/>
              </w:rPr>
              <w:t>5.25</w:t>
            </w:r>
          </w:p>
        </w:tc>
        <w:tc>
          <w:tcPr>
            <w:tcW w:w="759" w:type="pct"/>
            <w:tcBorders>
              <w:top w:val="nil"/>
              <w:bottom w:val="nil"/>
            </w:tcBorders>
            <w:vAlign w:val="center"/>
          </w:tcPr>
          <w:p w:rsidR="005C5733" w:rsidRDefault="005C5733" w:rsidP="00DF127B">
            <w:pPr>
              <w:jc w:val="center"/>
              <w:rPr>
                <w:rFonts w:cs="Arial"/>
                <w:sz w:val="20"/>
                <w:szCs w:val="20"/>
              </w:rPr>
            </w:pPr>
            <w:r>
              <w:rPr>
                <w:rFonts w:cs="Arial"/>
                <w:sz w:val="20"/>
                <w:szCs w:val="20"/>
              </w:rPr>
              <w:t>8.71</w:t>
            </w:r>
          </w:p>
        </w:tc>
        <w:tc>
          <w:tcPr>
            <w:tcW w:w="685" w:type="pct"/>
            <w:tcBorders>
              <w:top w:val="nil"/>
              <w:bottom w:val="nil"/>
            </w:tcBorders>
            <w:vAlign w:val="center"/>
          </w:tcPr>
          <w:p w:rsidR="005C5733" w:rsidRDefault="005C5733" w:rsidP="00DF127B">
            <w:pPr>
              <w:jc w:val="center"/>
              <w:rPr>
                <w:rFonts w:cs="Arial"/>
                <w:sz w:val="20"/>
                <w:szCs w:val="20"/>
              </w:rPr>
            </w:pPr>
            <w:r>
              <w:rPr>
                <w:rFonts w:cs="Arial"/>
                <w:sz w:val="20"/>
                <w:szCs w:val="20"/>
              </w:rPr>
              <w:t>65</w:t>
            </w:r>
          </w:p>
        </w:tc>
        <w:tc>
          <w:tcPr>
            <w:tcW w:w="608" w:type="pct"/>
            <w:tcBorders>
              <w:top w:val="nil"/>
              <w:bottom w:val="nil"/>
            </w:tcBorders>
            <w:vAlign w:val="center"/>
          </w:tcPr>
          <w:p w:rsidR="005C5733" w:rsidRDefault="005C5733" w:rsidP="00DF127B">
            <w:pPr>
              <w:jc w:val="center"/>
              <w:rPr>
                <w:rFonts w:cs="Arial"/>
                <w:sz w:val="20"/>
                <w:szCs w:val="20"/>
              </w:rPr>
            </w:pPr>
            <w:r>
              <w:rPr>
                <w:rFonts w:cs="Arial"/>
                <w:sz w:val="20"/>
                <w:szCs w:val="20"/>
              </w:rPr>
              <w:t>66</w:t>
            </w:r>
          </w:p>
        </w:tc>
      </w:tr>
      <w:tr w:rsidR="005C5733" w:rsidRPr="00405CDE" w:rsidTr="00DF127B">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5C5733" w:rsidRDefault="005C5733" w:rsidP="00DF127B">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5C5733" w:rsidRDefault="005C5733" w:rsidP="00DF127B">
            <w:pPr>
              <w:jc w:val="center"/>
              <w:rPr>
                <w:rFonts w:cs="Arial"/>
                <w:sz w:val="20"/>
                <w:szCs w:val="20"/>
              </w:rPr>
            </w:pPr>
            <w:r>
              <w:rPr>
                <w:rFonts w:cs="Arial"/>
                <w:sz w:val="20"/>
                <w:szCs w:val="20"/>
              </w:rPr>
              <w:t>43</w:t>
            </w:r>
          </w:p>
        </w:tc>
        <w:tc>
          <w:tcPr>
            <w:tcW w:w="758" w:type="pct"/>
            <w:tcBorders>
              <w:top w:val="nil"/>
              <w:bottom w:val="single" w:sz="4" w:space="0" w:color="auto"/>
            </w:tcBorders>
            <w:vAlign w:val="center"/>
          </w:tcPr>
          <w:p w:rsidR="005C5733" w:rsidRDefault="005C5733" w:rsidP="00DF127B">
            <w:pPr>
              <w:jc w:val="center"/>
              <w:rPr>
                <w:rFonts w:cs="Arial"/>
                <w:sz w:val="20"/>
                <w:szCs w:val="20"/>
              </w:rPr>
            </w:pPr>
            <w:r>
              <w:rPr>
                <w:rFonts w:cs="Arial"/>
                <w:sz w:val="20"/>
                <w:szCs w:val="20"/>
              </w:rPr>
              <w:t>48</w:t>
            </w:r>
          </w:p>
        </w:tc>
        <w:tc>
          <w:tcPr>
            <w:tcW w:w="759" w:type="pct"/>
            <w:tcBorders>
              <w:top w:val="nil"/>
              <w:bottom w:val="single" w:sz="4" w:space="0" w:color="auto"/>
            </w:tcBorders>
            <w:vAlign w:val="center"/>
          </w:tcPr>
          <w:p w:rsidR="005C5733" w:rsidRDefault="005C5733" w:rsidP="00DF127B">
            <w:pPr>
              <w:jc w:val="center"/>
              <w:rPr>
                <w:rFonts w:cs="Arial"/>
                <w:sz w:val="20"/>
                <w:szCs w:val="20"/>
              </w:rPr>
            </w:pPr>
            <w:r>
              <w:rPr>
                <w:rFonts w:cs="Arial"/>
                <w:sz w:val="20"/>
                <w:szCs w:val="20"/>
              </w:rPr>
              <w:t>-32</w:t>
            </w:r>
          </w:p>
        </w:tc>
        <w:tc>
          <w:tcPr>
            <w:tcW w:w="685" w:type="pct"/>
            <w:tcBorders>
              <w:top w:val="nil"/>
              <w:bottom w:val="single" w:sz="4" w:space="0" w:color="auto"/>
            </w:tcBorders>
            <w:vAlign w:val="center"/>
          </w:tcPr>
          <w:p w:rsidR="005C5733" w:rsidRDefault="005C5733" w:rsidP="00DF127B">
            <w:pPr>
              <w:jc w:val="center"/>
              <w:rPr>
                <w:rFonts w:cs="Arial"/>
                <w:sz w:val="20"/>
                <w:szCs w:val="20"/>
              </w:rPr>
            </w:pPr>
            <w:r>
              <w:rPr>
                <w:rFonts w:cs="Arial"/>
                <w:sz w:val="20"/>
                <w:szCs w:val="20"/>
              </w:rPr>
              <w:t>0</w:t>
            </w:r>
          </w:p>
        </w:tc>
        <w:tc>
          <w:tcPr>
            <w:tcW w:w="608" w:type="pct"/>
            <w:tcBorders>
              <w:top w:val="nil"/>
              <w:bottom w:val="single" w:sz="4" w:space="0" w:color="auto"/>
            </w:tcBorders>
            <w:vAlign w:val="center"/>
          </w:tcPr>
          <w:p w:rsidR="005C5733" w:rsidRDefault="005C5733" w:rsidP="00DF127B">
            <w:pPr>
              <w:jc w:val="center"/>
              <w:rPr>
                <w:rFonts w:cs="Arial"/>
                <w:sz w:val="20"/>
                <w:szCs w:val="20"/>
              </w:rPr>
            </w:pPr>
            <w:r>
              <w:rPr>
                <w:rFonts w:cs="Arial"/>
                <w:sz w:val="20"/>
                <w:szCs w:val="20"/>
              </w:rPr>
              <w:t>2</w:t>
            </w:r>
          </w:p>
        </w:tc>
      </w:tr>
    </w:tbl>
    <w:p w:rsidR="005C5733" w:rsidRDefault="005C5733" w:rsidP="005C5733"/>
    <w:p w:rsidR="005C5733" w:rsidRDefault="005C5733" w:rsidP="005C5733"/>
    <w:p w:rsidR="005C5733" w:rsidRDefault="005C5733" w:rsidP="005C5733"/>
    <w:p w:rsidR="005C5733" w:rsidRPr="005C5733" w:rsidRDefault="005C5733" w:rsidP="005C5733"/>
    <w:p w:rsidR="00D1641C" w:rsidRDefault="006E7E57" w:rsidP="00D1641C">
      <w:pPr>
        <w:pStyle w:val="Heading2"/>
        <w:ind w:firstLine="0"/>
        <w:rPr>
          <w:i w:val="0"/>
          <w:color w:val="2272A3"/>
          <w:sz w:val="24"/>
          <w:szCs w:val="24"/>
        </w:rPr>
      </w:pPr>
      <w:r>
        <w:rPr>
          <w:i w:val="0"/>
          <w:color w:val="2272A3"/>
          <w:sz w:val="24"/>
          <w:szCs w:val="24"/>
        </w:rPr>
        <w:lastRenderedPageBreak/>
        <w:t>Brisbane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91453B">
            <w:pPr>
              <w:pStyle w:val="TableHeading"/>
              <w:jc w:val="center"/>
              <w:rPr>
                <w:rFonts w:cs="Arial"/>
                <w:sz w:val="20"/>
                <w:szCs w:val="20"/>
              </w:rPr>
            </w:pPr>
          </w:p>
        </w:tc>
        <w:tc>
          <w:tcPr>
            <w:tcW w:w="759" w:type="pct"/>
            <w:tcBorders>
              <w:bottom w:val="nil"/>
            </w:tcBorders>
            <w:hideMark/>
          </w:tcPr>
          <w:p w:rsidR="00F114D5" w:rsidRPr="002861A9" w:rsidRDefault="00F114D5" w:rsidP="00DF127B">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DF127B">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DF127B">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DF127B">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DF127B">
            <w:pPr>
              <w:keepNext/>
              <w:spacing w:before="40" w:after="40"/>
              <w:jc w:val="center"/>
              <w:rPr>
                <w:rFonts w:cs="Arial"/>
                <w:b w:val="0"/>
                <w:bCs/>
                <w:sz w:val="20"/>
                <w:szCs w:val="20"/>
              </w:rPr>
            </w:pPr>
            <w:r w:rsidRPr="002861A9">
              <w:rPr>
                <w:rFonts w:cs="Arial"/>
                <w:bCs/>
                <w:sz w:val="20"/>
                <w:szCs w:val="20"/>
              </w:rPr>
              <w:t>Ex post quantity (TJ)</w:t>
            </w:r>
          </w:p>
        </w:tc>
      </w:tr>
      <w:tr w:rsidR="00615F25" w:rsidRPr="00405CDE" w:rsidTr="00DF127B">
        <w:trPr>
          <w:trHeight w:val="510"/>
        </w:trPr>
        <w:tc>
          <w:tcPr>
            <w:tcW w:w="1430" w:type="pct"/>
            <w:tcBorders>
              <w:top w:val="nil"/>
              <w:bottom w:val="nil"/>
            </w:tcBorders>
            <w:vAlign w:val="center"/>
          </w:tcPr>
          <w:p w:rsidR="00615F25" w:rsidRDefault="00615F25">
            <w:pPr>
              <w:rPr>
                <w:rFonts w:cs="Arial"/>
                <w:sz w:val="20"/>
                <w:szCs w:val="20"/>
              </w:rPr>
            </w:pPr>
            <w:r>
              <w:rPr>
                <w:rFonts w:cs="Arial"/>
                <w:sz w:val="20"/>
                <w:szCs w:val="20"/>
              </w:rPr>
              <w:t>10 Jan - 16 Jan 2016</w:t>
            </w:r>
          </w:p>
        </w:tc>
        <w:tc>
          <w:tcPr>
            <w:tcW w:w="759" w:type="pct"/>
            <w:tcBorders>
              <w:top w:val="nil"/>
              <w:bottom w:val="nil"/>
            </w:tcBorders>
            <w:vAlign w:val="center"/>
          </w:tcPr>
          <w:p w:rsidR="00615F25" w:rsidRDefault="00615F25">
            <w:pPr>
              <w:jc w:val="center"/>
              <w:rPr>
                <w:rFonts w:cs="Arial"/>
                <w:sz w:val="20"/>
                <w:szCs w:val="20"/>
              </w:rPr>
            </w:pPr>
            <w:r>
              <w:rPr>
                <w:rFonts w:cs="Arial"/>
                <w:sz w:val="20"/>
                <w:szCs w:val="20"/>
              </w:rPr>
              <w:t>5.89</w:t>
            </w:r>
          </w:p>
        </w:tc>
        <w:tc>
          <w:tcPr>
            <w:tcW w:w="758" w:type="pct"/>
            <w:tcBorders>
              <w:top w:val="nil"/>
              <w:bottom w:val="nil"/>
            </w:tcBorders>
            <w:vAlign w:val="center"/>
          </w:tcPr>
          <w:p w:rsidR="00615F25" w:rsidRDefault="00615F25">
            <w:pPr>
              <w:jc w:val="center"/>
              <w:rPr>
                <w:rFonts w:cs="Arial"/>
                <w:sz w:val="20"/>
                <w:szCs w:val="20"/>
              </w:rPr>
            </w:pPr>
            <w:r>
              <w:rPr>
                <w:rFonts w:cs="Arial"/>
                <w:sz w:val="20"/>
                <w:szCs w:val="20"/>
              </w:rPr>
              <w:t>6.46</w:t>
            </w:r>
          </w:p>
        </w:tc>
        <w:tc>
          <w:tcPr>
            <w:tcW w:w="759" w:type="pct"/>
            <w:tcBorders>
              <w:top w:val="nil"/>
              <w:bottom w:val="nil"/>
            </w:tcBorders>
            <w:vAlign w:val="center"/>
          </w:tcPr>
          <w:p w:rsidR="00615F25" w:rsidRDefault="00615F25">
            <w:pPr>
              <w:jc w:val="center"/>
              <w:rPr>
                <w:rFonts w:cs="Arial"/>
                <w:sz w:val="20"/>
                <w:szCs w:val="20"/>
              </w:rPr>
            </w:pPr>
            <w:r>
              <w:rPr>
                <w:rFonts w:cs="Arial"/>
                <w:sz w:val="20"/>
                <w:szCs w:val="20"/>
              </w:rPr>
              <w:t>2.79</w:t>
            </w:r>
          </w:p>
        </w:tc>
        <w:tc>
          <w:tcPr>
            <w:tcW w:w="685" w:type="pct"/>
            <w:tcBorders>
              <w:top w:val="nil"/>
              <w:bottom w:val="nil"/>
            </w:tcBorders>
            <w:vAlign w:val="center"/>
          </w:tcPr>
          <w:p w:rsidR="00615F25" w:rsidRDefault="00615F25">
            <w:pPr>
              <w:jc w:val="center"/>
              <w:rPr>
                <w:rFonts w:cs="Arial"/>
                <w:sz w:val="20"/>
                <w:szCs w:val="20"/>
              </w:rPr>
            </w:pPr>
            <w:r>
              <w:rPr>
                <w:rFonts w:cs="Arial"/>
                <w:sz w:val="20"/>
                <w:szCs w:val="20"/>
              </w:rPr>
              <w:t>80</w:t>
            </w:r>
          </w:p>
        </w:tc>
        <w:tc>
          <w:tcPr>
            <w:tcW w:w="608" w:type="pct"/>
            <w:tcBorders>
              <w:top w:val="nil"/>
              <w:bottom w:val="nil"/>
            </w:tcBorders>
            <w:vAlign w:val="center"/>
          </w:tcPr>
          <w:p w:rsidR="00615F25" w:rsidRDefault="00615F25">
            <w:pPr>
              <w:jc w:val="center"/>
              <w:rPr>
                <w:rFonts w:cs="Arial"/>
                <w:sz w:val="20"/>
                <w:szCs w:val="20"/>
              </w:rPr>
            </w:pPr>
            <w:r>
              <w:rPr>
                <w:rFonts w:cs="Arial"/>
                <w:sz w:val="20"/>
                <w:szCs w:val="20"/>
              </w:rPr>
              <w:t>83</w:t>
            </w:r>
          </w:p>
        </w:tc>
      </w:tr>
      <w:tr w:rsidR="00615F25" w:rsidRPr="00405CDE" w:rsidTr="00DF127B">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615F25" w:rsidRDefault="00615F25">
            <w:pPr>
              <w:rPr>
                <w:rFonts w:cs="Arial"/>
                <w:sz w:val="20"/>
                <w:szCs w:val="20"/>
              </w:rPr>
            </w:pPr>
            <w:r>
              <w:rPr>
                <w:rFonts w:cs="Arial"/>
                <w:sz w:val="20"/>
                <w:szCs w:val="20"/>
              </w:rPr>
              <w:t>% change from previous week</w:t>
            </w:r>
          </w:p>
        </w:tc>
        <w:tc>
          <w:tcPr>
            <w:tcW w:w="759" w:type="pct"/>
            <w:tcBorders>
              <w:top w:val="nil"/>
              <w:bottom w:val="nil"/>
            </w:tcBorders>
            <w:vAlign w:val="center"/>
          </w:tcPr>
          <w:p w:rsidR="00615F25" w:rsidRDefault="00615F25">
            <w:pPr>
              <w:jc w:val="center"/>
              <w:rPr>
                <w:rFonts w:cs="Arial"/>
                <w:sz w:val="20"/>
                <w:szCs w:val="20"/>
              </w:rPr>
            </w:pPr>
            <w:r>
              <w:rPr>
                <w:rFonts w:cs="Arial"/>
                <w:sz w:val="20"/>
                <w:szCs w:val="20"/>
              </w:rPr>
              <w:t>13</w:t>
            </w:r>
          </w:p>
        </w:tc>
        <w:tc>
          <w:tcPr>
            <w:tcW w:w="758" w:type="pct"/>
            <w:tcBorders>
              <w:top w:val="nil"/>
              <w:bottom w:val="nil"/>
            </w:tcBorders>
            <w:vAlign w:val="center"/>
          </w:tcPr>
          <w:p w:rsidR="00615F25" w:rsidRDefault="00615F25">
            <w:pPr>
              <w:jc w:val="center"/>
              <w:rPr>
                <w:rFonts w:cs="Arial"/>
                <w:sz w:val="20"/>
                <w:szCs w:val="20"/>
              </w:rPr>
            </w:pPr>
            <w:r>
              <w:rPr>
                <w:rFonts w:cs="Arial"/>
                <w:sz w:val="20"/>
                <w:szCs w:val="20"/>
              </w:rPr>
              <w:t>18</w:t>
            </w:r>
          </w:p>
        </w:tc>
        <w:tc>
          <w:tcPr>
            <w:tcW w:w="759" w:type="pct"/>
            <w:tcBorders>
              <w:top w:val="nil"/>
              <w:bottom w:val="nil"/>
            </w:tcBorders>
            <w:vAlign w:val="center"/>
          </w:tcPr>
          <w:p w:rsidR="00615F25" w:rsidRDefault="00615F25">
            <w:pPr>
              <w:jc w:val="center"/>
              <w:rPr>
                <w:rFonts w:cs="Arial"/>
                <w:sz w:val="20"/>
                <w:szCs w:val="20"/>
              </w:rPr>
            </w:pPr>
            <w:r>
              <w:rPr>
                <w:rFonts w:cs="Arial"/>
                <w:sz w:val="20"/>
                <w:szCs w:val="20"/>
              </w:rPr>
              <w:t>9</w:t>
            </w:r>
          </w:p>
        </w:tc>
        <w:tc>
          <w:tcPr>
            <w:tcW w:w="685" w:type="pct"/>
            <w:tcBorders>
              <w:top w:val="nil"/>
              <w:bottom w:val="nil"/>
            </w:tcBorders>
            <w:vAlign w:val="center"/>
          </w:tcPr>
          <w:p w:rsidR="00615F25" w:rsidRDefault="00615F25">
            <w:pPr>
              <w:jc w:val="center"/>
              <w:rPr>
                <w:rFonts w:cs="Arial"/>
                <w:sz w:val="20"/>
                <w:szCs w:val="20"/>
              </w:rPr>
            </w:pPr>
            <w:r>
              <w:rPr>
                <w:rFonts w:cs="Arial"/>
                <w:sz w:val="20"/>
                <w:szCs w:val="20"/>
              </w:rPr>
              <w:t>2</w:t>
            </w:r>
          </w:p>
        </w:tc>
        <w:tc>
          <w:tcPr>
            <w:tcW w:w="608" w:type="pct"/>
            <w:tcBorders>
              <w:top w:val="nil"/>
              <w:bottom w:val="nil"/>
            </w:tcBorders>
            <w:vAlign w:val="center"/>
          </w:tcPr>
          <w:p w:rsidR="00615F25" w:rsidRDefault="00615F25">
            <w:pPr>
              <w:jc w:val="center"/>
              <w:rPr>
                <w:rFonts w:cs="Arial"/>
                <w:sz w:val="20"/>
                <w:szCs w:val="20"/>
              </w:rPr>
            </w:pPr>
            <w:r>
              <w:rPr>
                <w:rFonts w:cs="Arial"/>
                <w:sz w:val="20"/>
                <w:szCs w:val="20"/>
              </w:rPr>
              <w:t>2</w:t>
            </w:r>
          </w:p>
        </w:tc>
      </w:tr>
      <w:tr w:rsidR="00615F25" w:rsidRPr="00405CDE" w:rsidTr="00DF127B">
        <w:trPr>
          <w:trHeight w:val="510"/>
        </w:trPr>
        <w:tc>
          <w:tcPr>
            <w:tcW w:w="1430" w:type="pct"/>
            <w:tcBorders>
              <w:top w:val="nil"/>
              <w:bottom w:val="nil"/>
            </w:tcBorders>
            <w:vAlign w:val="center"/>
          </w:tcPr>
          <w:p w:rsidR="00615F25" w:rsidRDefault="00615F25">
            <w:pPr>
              <w:rPr>
                <w:rFonts w:cs="Arial"/>
                <w:sz w:val="20"/>
                <w:szCs w:val="20"/>
              </w:rPr>
            </w:pPr>
            <w:r>
              <w:rPr>
                <w:rFonts w:cs="Arial"/>
                <w:sz w:val="20"/>
                <w:szCs w:val="20"/>
              </w:rPr>
              <w:t>15-16 financial YTD</w:t>
            </w:r>
          </w:p>
        </w:tc>
        <w:tc>
          <w:tcPr>
            <w:tcW w:w="759" w:type="pct"/>
            <w:tcBorders>
              <w:top w:val="nil"/>
              <w:bottom w:val="nil"/>
            </w:tcBorders>
            <w:vAlign w:val="center"/>
          </w:tcPr>
          <w:p w:rsidR="00615F25" w:rsidRDefault="00615F25">
            <w:pPr>
              <w:jc w:val="center"/>
              <w:rPr>
                <w:rFonts w:cs="Arial"/>
                <w:sz w:val="20"/>
                <w:szCs w:val="20"/>
              </w:rPr>
            </w:pPr>
            <w:r>
              <w:rPr>
                <w:rFonts w:cs="Arial"/>
                <w:sz w:val="20"/>
                <w:szCs w:val="20"/>
              </w:rPr>
              <w:t>3.83</w:t>
            </w:r>
          </w:p>
        </w:tc>
        <w:tc>
          <w:tcPr>
            <w:tcW w:w="758" w:type="pct"/>
            <w:tcBorders>
              <w:top w:val="nil"/>
              <w:bottom w:val="nil"/>
            </w:tcBorders>
            <w:vAlign w:val="center"/>
          </w:tcPr>
          <w:p w:rsidR="00615F25" w:rsidRDefault="00615F25">
            <w:pPr>
              <w:jc w:val="center"/>
              <w:rPr>
                <w:rFonts w:cs="Arial"/>
                <w:sz w:val="20"/>
                <w:szCs w:val="20"/>
              </w:rPr>
            </w:pPr>
            <w:r>
              <w:rPr>
                <w:rFonts w:cs="Arial"/>
                <w:sz w:val="20"/>
                <w:szCs w:val="20"/>
              </w:rPr>
              <w:t>3.82</w:t>
            </w:r>
          </w:p>
        </w:tc>
        <w:tc>
          <w:tcPr>
            <w:tcW w:w="759" w:type="pct"/>
            <w:tcBorders>
              <w:top w:val="nil"/>
              <w:bottom w:val="nil"/>
            </w:tcBorders>
            <w:vAlign w:val="center"/>
          </w:tcPr>
          <w:p w:rsidR="00615F25" w:rsidRDefault="00615F25">
            <w:pPr>
              <w:jc w:val="center"/>
              <w:rPr>
                <w:rFonts w:cs="Arial"/>
                <w:sz w:val="20"/>
                <w:szCs w:val="20"/>
              </w:rPr>
            </w:pPr>
            <w:r>
              <w:rPr>
                <w:rFonts w:cs="Arial"/>
                <w:sz w:val="20"/>
                <w:szCs w:val="20"/>
              </w:rPr>
              <w:t>1.58</w:t>
            </w:r>
          </w:p>
        </w:tc>
        <w:tc>
          <w:tcPr>
            <w:tcW w:w="685" w:type="pct"/>
            <w:tcBorders>
              <w:top w:val="nil"/>
              <w:bottom w:val="nil"/>
            </w:tcBorders>
            <w:vAlign w:val="center"/>
          </w:tcPr>
          <w:p w:rsidR="00615F25" w:rsidRDefault="00615F25">
            <w:pPr>
              <w:jc w:val="center"/>
              <w:rPr>
                <w:rFonts w:cs="Arial"/>
                <w:sz w:val="20"/>
                <w:szCs w:val="20"/>
              </w:rPr>
            </w:pPr>
            <w:r>
              <w:rPr>
                <w:rFonts w:cs="Arial"/>
                <w:sz w:val="20"/>
                <w:szCs w:val="20"/>
              </w:rPr>
              <w:t>88</w:t>
            </w:r>
          </w:p>
        </w:tc>
        <w:tc>
          <w:tcPr>
            <w:tcW w:w="608" w:type="pct"/>
            <w:tcBorders>
              <w:top w:val="nil"/>
              <w:bottom w:val="nil"/>
            </w:tcBorders>
            <w:vAlign w:val="center"/>
          </w:tcPr>
          <w:p w:rsidR="00615F25" w:rsidRDefault="00615F25">
            <w:pPr>
              <w:jc w:val="center"/>
              <w:rPr>
                <w:rFonts w:cs="Arial"/>
                <w:sz w:val="20"/>
                <w:szCs w:val="20"/>
              </w:rPr>
            </w:pPr>
            <w:r>
              <w:rPr>
                <w:rFonts w:cs="Arial"/>
                <w:sz w:val="20"/>
                <w:szCs w:val="20"/>
              </w:rPr>
              <w:t>88</w:t>
            </w:r>
          </w:p>
        </w:tc>
      </w:tr>
      <w:tr w:rsidR="00615F25" w:rsidRPr="00405CDE" w:rsidTr="00DF127B">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615F25" w:rsidRDefault="00615F25">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84</w:t>
            </w:r>
          </w:p>
        </w:tc>
        <w:tc>
          <w:tcPr>
            <w:tcW w:w="758"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102</w:t>
            </w:r>
          </w:p>
        </w:tc>
        <w:tc>
          <w:tcPr>
            <w:tcW w:w="759"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14</w:t>
            </w:r>
          </w:p>
        </w:tc>
        <w:tc>
          <w:tcPr>
            <w:tcW w:w="685"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-40</w:t>
            </w:r>
          </w:p>
        </w:tc>
        <w:tc>
          <w:tcPr>
            <w:tcW w:w="608"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-40</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BC18FB" w:rsidRPr="006E7E57" w:rsidRDefault="00FE30E3" w:rsidP="00BC18FB">
      <w:pPr>
        <w:pStyle w:val="Heading1"/>
        <w:numPr>
          <w:ilvl w:val="0"/>
          <w:numId w:val="0"/>
        </w:numPr>
        <w:rPr>
          <w:color w:val="2272A3"/>
        </w:rPr>
      </w:pPr>
      <w:r>
        <w:rPr>
          <w:color w:val="2272A3"/>
        </w:rPr>
        <w:t>Detailed market analysis</w:t>
      </w:r>
    </w:p>
    <w:p w:rsidR="005C5733" w:rsidRPr="005C5733" w:rsidRDefault="005A7DF7" w:rsidP="005C5733">
      <w:pPr>
        <w:pStyle w:val="ListParagraph"/>
        <w:ind w:left="0"/>
        <w:contextualSpacing w:val="0"/>
        <w:jc w:val="both"/>
        <w:rPr>
          <w:rFonts w:ascii="Arial" w:eastAsia="Times New Roman" w:hAnsi="Arial" w:cs="Arial"/>
          <w:b/>
          <w:i/>
          <w:sz w:val="22"/>
          <w:szCs w:val="24"/>
        </w:rPr>
      </w:pPr>
      <w:r>
        <w:rPr>
          <w:rFonts w:ascii="Arial" w:eastAsia="Times New Roman" w:hAnsi="Arial" w:cs="Arial"/>
          <w:b/>
          <w:i/>
          <w:sz w:val="22"/>
          <w:szCs w:val="24"/>
        </w:rPr>
        <w:t>C</w:t>
      </w:r>
      <w:r w:rsidR="005C5733" w:rsidRPr="005C5733">
        <w:rPr>
          <w:rFonts w:ascii="Arial" w:eastAsia="Times New Roman" w:hAnsi="Arial" w:cs="Arial"/>
          <w:b/>
          <w:i/>
          <w:sz w:val="22"/>
          <w:szCs w:val="24"/>
        </w:rPr>
        <w:t xml:space="preserve">ontingency </w:t>
      </w:r>
      <w:r w:rsidR="00C015B4">
        <w:rPr>
          <w:rFonts w:ascii="Arial" w:eastAsia="Times New Roman" w:hAnsi="Arial" w:cs="Arial"/>
          <w:b/>
          <w:i/>
          <w:sz w:val="22"/>
          <w:szCs w:val="24"/>
        </w:rPr>
        <w:t>g</w:t>
      </w:r>
      <w:r w:rsidR="005C5733" w:rsidRPr="005C5733">
        <w:rPr>
          <w:rFonts w:ascii="Arial" w:eastAsia="Times New Roman" w:hAnsi="Arial" w:cs="Arial"/>
          <w:b/>
          <w:i/>
          <w:sz w:val="22"/>
          <w:szCs w:val="24"/>
        </w:rPr>
        <w:t>as event in Sydney</w:t>
      </w:r>
      <w:r w:rsidR="00C015B4">
        <w:rPr>
          <w:rFonts w:ascii="Arial" w:eastAsia="Times New Roman" w:hAnsi="Arial" w:cs="Arial"/>
          <w:b/>
          <w:i/>
          <w:sz w:val="22"/>
          <w:szCs w:val="24"/>
        </w:rPr>
        <w:t xml:space="preserve"> on 13 January</w:t>
      </w:r>
    </w:p>
    <w:p w:rsidR="003E0750" w:rsidRDefault="005C5733" w:rsidP="005C5733">
      <w:pPr>
        <w:pStyle w:val="ListParagraph"/>
        <w:ind w:left="0"/>
        <w:contextualSpacing w:val="0"/>
        <w:jc w:val="both"/>
        <w:rPr>
          <w:rFonts w:ascii="Arial" w:eastAsia="Times New Roman" w:hAnsi="Arial" w:cs="Arial"/>
          <w:sz w:val="22"/>
          <w:szCs w:val="24"/>
        </w:rPr>
      </w:pPr>
      <w:r w:rsidRPr="005C5733">
        <w:rPr>
          <w:rFonts w:ascii="Arial" w:eastAsia="Times New Roman" w:hAnsi="Arial" w:cs="Arial"/>
          <w:sz w:val="22"/>
          <w:szCs w:val="24"/>
        </w:rPr>
        <w:t xml:space="preserve">Figure 2.4 shows </w:t>
      </w:r>
      <w:r w:rsidR="00C015B4">
        <w:rPr>
          <w:rFonts w:ascii="Arial" w:eastAsia="Times New Roman" w:hAnsi="Arial" w:cs="Arial"/>
          <w:sz w:val="22"/>
          <w:szCs w:val="24"/>
        </w:rPr>
        <w:t xml:space="preserve">there were several </w:t>
      </w:r>
      <w:r w:rsidRPr="005C5733">
        <w:rPr>
          <w:rFonts w:ascii="Arial" w:eastAsia="Times New Roman" w:hAnsi="Arial" w:cs="Arial"/>
          <w:sz w:val="22"/>
          <w:szCs w:val="24"/>
        </w:rPr>
        <w:t>large MOS requirements</w:t>
      </w:r>
      <w:r w:rsidR="00C015B4">
        <w:rPr>
          <w:rFonts w:ascii="Arial" w:eastAsia="Times New Roman" w:hAnsi="Arial" w:cs="Arial"/>
          <w:sz w:val="22"/>
          <w:szCs w:val="24"/>
        </w:rPr>
        <w:t xml:space="preserve"> </w:t>
      </w:r>
      <w:r w:rsidRPr="005C5733">
        <w:rPr>
          <w:rFonts w:ascii="Arial" w:eastAsia="Times New Roman" w:hAnsi="Arial" w:cs="Arial"/>
          <w:sz w:val="22"/>
          <w:szCs w:val="24"/>
        </w:rPr>
        <w:t>in Sydney this week</w:t>
      </w:r>
      <w:r w:rsidR="00C015B4">
        <w:rPr>
          <w:rFonts w:ascii="Arial" w:eastAsia="Times New Roman" w:hAnsi="Arial" w:cs="Arial"/>
          <w:sz w:val="22"/>
          <w:szCs w:val="24"/>
        </w:rPr>
        <w:t>. O</w:t>
      </w:r>
      <w:r w:rsidR="00C015B4" w:rsidRPr="005C5733">
        <w:rPr>
          <w:rFonts w:ascii="Arial" w:eastAsia="Times New Roman" w:hAnsi="Arial" w:cs="Arial"/>
          <w:sz w:val="22"/>
          <w:szCs w:val="24"/>
        </w:rPr>
        <w:t>n 13 January</w:t>
      </w:r>
      <w:r w:rsidRPr="005C5733">
        <w:rPr>
          <w:rFonts w:ascii="Arial" w:eastAsia="Times New Roman" w:hAnsi="Arial" w:cs="Arial"/>
          <w:sz w:val="22"/>
          <w:szCs w:val="24"/>
        </w:rPr>
        <w:t xml:space="preserve">, </w:t>
      </w:r>
      <w:r w:rsidR="00C015B4">
        <w:rPr>
          <w:rFonts w:ascii="Arial" w:eastAsia="Times New Roman" w:hAnsi="Arial" w:cs="Arial"/>
          <w:sz w:val="22"/>
          <w:szCs w:val="24"/>
        </w:rPr>
        <w:t xml:space="preserve">there was a </w:t>
      </w:r>
      <w:r w:rsidRPr="005C5733">
        <w:rPr>
          <w:rFonts w:ascii="Arial" w:eastAsia="Times New Roman" w:hAnsi="Arial" w:cs="Arial"/>
          <w:sz w:val="22"/>
          <w:szCs w:val="24"/>
        </w:rPr>
        <w:t xml:space="preserve">requirement for overrun MOS when the decrease requirement reached around 40 TJ in the hub. </w:t>
      </w:r>
      <w:r w:rsidR="003E0750" w:rsidRPr="003E0750">
        <w:rPr>
          <w:rFonts w:ascii="Arial" w:eastAsia="Times New Roman" w:hAnsi="Arial" w:cs="Arial"/>
          <w:sz w:val="22"/>
          <w:szCs w:val="24"/>
        </w:rPr>
        <w:t>Overrun MOS quantities are allocations of MOS required when the quantity of a given service in the monthly MOS offer stack has been exhausted. The 38</w:t>
      </w:r>
      <w:r w:rsidR="003E0750">
        <w:rPr>
          <w:rFonts w:ascii="Arial" w:eastAsia="Times New Roman" w:hAnsi="Arial" w:cs="Arial"/>
          <w:sz w:val="22"/>
          <w:szCs w:val="24"/>
        </w:rPr>
        <w:t> </w:t>
      </w:r>
      <w:r w:rsidR="003E0750" w:rsidRPr="003E0750">
        <w:rPr>
          <w:rFonts w:ascii="Arial" w:eastAsia="Times New Roman" w:hAnsi="Arial" w:cs="Arial"/>
          <w:sz w:val="22"/>
          <w:szCs w:val="24"/>
        </w:rPr>
        <w:t>TJ of decrease MOS offered on the Moomba to Sydney Pipeline was insufficient to cover the requirement in the hub on 13</w:t>
      </w:r>
      <w:r w:rsidR="003E0750">
        <w:rPr>
          <w:rFonts w:ascii="Arial" w:eastAsia="Times New Roman" w:hAnsi="Arial" w:cs="Arial"/>
          <w:sz w:val="22"/>
          <w:szCs w:val="24"/>
        </w:rPr>
        <w:t> </w:t>
      </w:r>
      <w:r w:rsidR="003E0750" w:rsidRPr="003E0750">
        <w:rPr>
          <w:rFonts w:ascii="Arial" w:eastAsia="Times New Roman" w:hAnsi="Arial" w:cs="Arial"/>
          <w:sz w:val="22"/>
          <w:szCs w:val="24"/>
        </w:rPr>
        <w:t>January, leading to 2.4</w:t>
      </w:r>
      <w:r w:rsidR="003E0750">
        <w:rPr>
          <w:rFonts w:ascii="Arial" w:eastAsia="Times New Roman" w:hAnsi="Arial" w:cs="Arial"/>
          <w:sz w:val="22"/>
          <w:szCs w:val="24"/>
        </w:rPr>
        <w:t> </w:t>
      </w:r>
      <w:r w:rsidR="003E0750" w:rsidRPr="003E0750">
        <w:rPr>
          <w:rFonts w:ascii="Arial" w:eastAsia="Times New Roman" w:hAnsi="Arial" w:cs="Arial"/>
          <w:sz w:val="22"/>
          <w:szCs w:val="24"/>
        </w:rPr>
        <w:t>TJ of MOS being allocated as overrun.</w:t>
      </w:r>
      <w:r w:rsidR="003E0750">
        <w:rPr>
          <w:rFonts w:ascii="Arial" w:eastAsia="Times New Roman" w:hAnsi="Arial" w:cs="Arial"/>
          <w:sz w:val="22"/>
          <w:szCs w:val="24"/>
        </w:rPr>
        <w:t xml:space="preserve"> As a result, s</w:t>
      </w:r>
      <w:r w:rsidR="003E0750" w:rsidRPr="005C5733">
        <w:rPr>
          <w:rFonts w:ascii="Arial" w:eastAsia="Times New Roman" w:hAnsi="Arial" w:cs="Arial"/>
          <w:sz w:val="22"/>
          <w:szCs w:val="24"/>
        </w:rPr>
        <w:t xml:space="preserve">ervice payments </w:t>
      </w:r>
      <w:r w:rsidR="003E0750">
        <w:rPr>
          <w:rFonts w:ascii="Arial" w:eastAsia="Times New Roman" w:hAnsi="Arial" w:cs="Arial"/>
          <w:sz w:val="22"/>
          <w:szCs w:val="24"/>
        </w:rPr>
        <w:t xml:space="preserve">reached </w:t>
      </w:r>
      <w:r w:rsidR="003E0750" w:rsidRPr="005C5733">
        <w:rPr>
          <w:rFonts w:ascii="Arial" w:eastAsia="Times New Roman" w:hAnsi="Arial" w:cs="Arial"/>
          <w:sz w:val="22"/>
          <w:szCs w:val="24"/>
        </w:rPr>
        <w:t>$586 </w:t>
      </w:r>
      <w:r w:rsidR="008D3031" w:rsidRPr="005C5733">
        <w:rPr>
          <w:rFonts w:ascii="Arial" w:eastAsia="Times New Roman" w:hAnsi="Arial" w:cs="Arial"/>
          <w:sz w:val="22"/>
          <w:szCs w:val="24"/>
        </w:rPr>
        <w:t>00</w:t>
      </w:r>
      <w:r w:rsidR="008D3031">
        <w:rPr>
          <w:rFonts w:ascii="Arial" w:eastAsia="Times New Roman" w:hAnsi="Arial" w:cs="Arial"/>
          <w:sz w:val="22"/>
          <w:szCs w:val="24"/>
        </w:rPr>
        <w:t>3</w:t>
      </w:r>
      <w:r w:rsidR="008D3031" w:rsidRPr="005C5733">
        <w:rPr>
          <w:rFonts w:ascii="Arial" w:eastAsia="Times New Roman" w:hAnsi="Arial" w:cs="Arial"/>
          <w:sz w:val="22"/>
          <w:szCs w:val="24"/>
        </w:rPr>
        <w:t xml:space="preserve"> </w:t>
      </w:r>
      <w:r w:rsidR="003E0750" w:rsidRPr="005C5733">
        <w:rPr>
          <w:rFonts w:ascii="Arial" w:eastAsia="Times New Roman" w:hAnsi="Arial" w:cs="Arial"/>
          <w:sz w:val="22"/>
          <w:szCs w:val="24"/>
        </w:rPr>
        <w:t>for that gas day</w:t>
      </w:r>
      <w:r w:rsidR="003E0750">
        <w:rPr>
          <w:rFonts w:ascii="Arial" w:eastAsia="Times New Roman" w:hAnsi="Arial" w:cs="Arial"/>
          <w:sz w:val="22"/>
          <w:szCs w:val="24"/>
        </w:rPr>
        <w:t xml:space="preserve">. </w:t>
      </w:r>
    </w:p>
    <w:p w:rsidR="005C5733" w:rsidRPr="005C5733" w:rsidRDefault="003E0750" w:rsidP="005C5733">
      <w:pPr>
        <w:pStyle w:val="ListParagraph"/>
        <w:ind w:left="0"/>
        <w:contextualSpacing w:val="0"/>
        <w:jc w:val="both"/>
        <w:rPr>
          <w:rFonts w:ascii="Arial" w:eastAsia="Times New Roman" w:hAnsi="Arial" w:cs="Arial"/>
          <w:sz w:val="22"/>
          <w:szCs w:val="24"/>
        </w:rPr>
      </w:pPr>
      <w:r>
        <w:rPr>
          <w:rFonts w:ascii="Arial" w:eastAsia="Times New Roman" w:hAnsi="Arial" w:cs="Arial"/>
          <w:sz w:val="22"/>
          <w:szCs w:val="24"/>
        </w:rPr>
        <w:t>L</w:t>
      </w:r>
      <w:r w:rsidR="005C5733" w:rsidRPr="005C5733">
        <w:rPr>
          <w:rFonts w:ascii="Arial" w:eastAsia="Times New Roman" w:hAnsi="Arial" w:cs="Arial"/>
          <w:sz w:val="22"/>
          <w:szCs w:val="24"/>
        </w:rPr>
        <w:t>arge decrease requirements also led to significant service payments for the 10, 11, 14 and 16 January gas days</w:t>
      </w:r>
      <w:r>
        <w:rPr>
          <w:rFonts w:ascii="Arial" w:eastAsia="Times New Roman" w:hAnsi="Arial" w:cs="Arial"/>
          <w:sz w:val="22"/>
          <w:szCs w:val="24"/>
        </w:rPr>
        <w:t xml:space="preserve"> of </w:t>
      </w:r>
      <w:r w:rsidRPr="003E0750">
        <w:rPr>
          <w:rFonts w:ascii="Arial" w:eastAsia="Times New Roman" w:hAnsi="Arial" w:cs="Arial"/>
          <w:sz w:val="22"/>
          <w:szCs w:val="24"/>
        </w:rPr>
        <w:t>$245</w:t>
      </w:r>
      <w:r>
        <w:rPr>
          <w:rFonts w:ascii="Arial" w:eastAsia="Times New Roman" w:hAnsi="Arial" w:cs="Arial"/>
          <w:sz w:val="22"/>
          <w:szCs w:val="24"/>
        </w:rPr>
        <w:t> </w:t>
      </w:r>
      <w:r w:rsidRPr="003E0750">
        <w:rPr>
          <w:rFonts w:ascii="Arial" w:eastAsia="Times New Roman" w:hAnsi="Arial" w:cs="Arial"/>
          <w:sz w:val="22"/>
          <w:szCs w:val="24"/>
        </w:rPr>
        <w:t>725, $137</w:t>
      </w:r>
      <w:r>
        <w:rPr>
          <w:rFonts w:ascii="Arial" w:eastAsia="Times New Roman" w:hAnsi="Arial" w:cs="Arial"/>
          <w:sz w:val="22"/>
          <w:szCs w:val="24"/>
        </w:rPr>
        <w:t> </w:t>
      </w:r>
      <w:r w:rsidRPr="003E0750">
        <w:rPr>
          <w:rFonts w:ascii="Arial" w:eastAsia="Times New Roman" w:hAnsi="Arial" w:cs="Arial"/>
          <w:sz w:val="22"/>
          <w:szCs w:val="24"/>
        </w:rPr>
        <w:t>730, $89</w:t>
      </w:r>
      <w:r>
        <w:rPr>
          <w:rFonts w:ascii="Arial" w:eastAsia="Times New Roman" w:hAnsi="Arial" w:cs="Arial"/>
          <w:sz w:val="22"/>
          <w:szCs w:val="24"/>
        </w:rPr>
        <w:t> </w:t>
      </w:r>
      <w:r w:rsidRPr="003E0750">
        <w:rPr>
          <w:rFonts w:ascii="Arial" w:eastAsia="Times New Roman" w:hAnsi="Arial" w:cs="Arial"/>
          <w:sz w:val="22"/>
          <w:szCs w:val="24"/>
        </w:rPr>
        <w:t>371 and $101</w:t>
      </w:r>
      <w:r>
        <w:rPr>
          <w:rFonts w:ascii="Arial" w:eastAsia="Times New Roman" w:hAnsi="Arial" w:cs="Arial"/>
          <w:sz w:val="22"/>
          <w:szCs w:val="24"/>
        </w:rPr>
        <w:t> </w:t>
      </w:r>
      <w:r w:rsidRPr="003E0750">
        <w:rPr>
          <w:rFonts w:ascii="Arial" w:eastAsia="Times New Roman" w:hAnsi="Arial" w:cs="Arial"/>
          <w:sz w:val="22"/>
          <w:szCs w:val="24"/>
        </w:rPr>
        <w:t>981 respectively</w:t>
      </w:r>
      <w:r w:rsidR="005C5733" w:rsidRPr="005C5733">
        <w:rPr>
          <w:rFonts w:ascii="Arial" w:eastAsia="Times New Roman" w:hAnsi="Arial" w:cs="Arial"/>
          <w:sz w:val="22"/>
          <w:szCs w:val="24"/>
        </w:rPr>
        <w:t xml:space="preserve">. The large decrease requirements occurred as a result of high levels of over forecast hub demand. </w:t>
      </w:r>
    </w:p>
    <w:p w:rsidR="005C5733" w:rsidRPr="005C5733" w:rsidRDefault="005C5733" w:rsidP="005C5733">
      <w:pPr>
        <w:pStyle w:val="ListParagraph"/>
        <w:ind w:left="0"/>
        <w:contextualSpacing w:val="0"/>
        <w:jc w:val="both"/>
        <w:rPr>
          <w:rFonts w:ascii="Arial" w:eastAsia="Times New Roman" w:hAnsi="Arial" w:cs="Arial"/>
          <w:sz w:val="22"/>
          <w:szCs w:val="24"/>
        </w:rPr>
      </w:pPr>
      <w:r w:rsidRPr="005C5733">
        <w:rPr>
          <w:rFonts w:ascii="Arial" w:eastAsia="Times New Roman" w:hAnsi="Arial" w:cs="Arial"/>
          <w:sz w:val="22"/>
          <w:szCs w:val="24"/>
        </w:rPr>
        <w:t xml:space="preserve">On 13 January, </w:t>
      </w:r>
      <w:r w:rsidR="00DF127B" w:rsidRPr="005C5733">
        <w:rPr>
          <w:rFonts w:ascii="Arial" w:eastAsia="Times New Roman" w:hAnsi="Arial" w:cs="Arial"/>
          <w:sz w:val="22"/>
          <w:szCs w:val="24"/>
        </w:rPr>
        <w:t>compression</w:t>
      </w:r>
      <w:r w:rsidR="00DF127B">
        <w:rPr>
          <w:rFonts w:ascii="Arial" w:eastAsia="Times New Roman" w:hAnsi="Arial" w:cs="Arial"/>
          <w:sz w:val="22"/>
          <w:szCs w:val="24"/>
        </w:rPr>
        <w:t xml:space="preserve"> problems on the </w:t>
      </w:r>
      <w:r w:rsidRPr="005C5733">
        <w:rPr>
          <w:rFonts w:ascii="Arial" w:eastAsia="Times New Roman" w:hAnsi="Arial" w:cs="Arial"/>
          <w:sz w:val="22"/>
          <w:szCs w:val="24"/>
        </w:rPr>
        <w:t xml:space="preserve">Eastern Gas Pipeline </w:t>
      </w:r>
      <w:r w:rsidR="00DF127B">
        <w:rPr>
          <w:rFonts w:ascii="Arial" w:eastAsia="Times New Roman" w:hAnsi="Arial" w:cs="Arial"/>
          <w:sz w:val="22"/>
          <w:szCs w:val="24"/>
        </w:rPr>
        <w:t xml:space="preserve">meant there was the </w:t>
      </w:r>
      <w:r w:rsidRPr="005C5733">
        <w:rPr>
          <w:rFonts w:ascii="Arial" w:eastAsia="Times New Roman" w:hAnsi="Arial" w:cs="Arial"/>
          <w:sz w:val="22"/>
          <w:szCs w:val="24"/>
        </w:rPr>
        <w:t xml:space="preserve">potential </w:t>
      </w:r>
      <w:r w:rsidR="00DF127B">
        <w:rPr>
          <w:rFonts w:ascii="Arial" w:eastAsia="Times New Roman" w:hAnsi="Arial" w:cs="Arial"/>
          <w:sz w:val="22"/>
          <w:szCs w:val="24"/>
        </w:rPr>
        <w:t xml:space="preserve">for a </w:t>
      </w:r>
      <w:r w:rsidRPr="005C5733">
        <w:rPr>
          <w:rFonts w:ascii="Arial" w:eastAsia="Times New Roman" w:hAnsi="Arial" w:cs="Arial"/>
          <w:sz w:val="22"/>
          <w:szCs w:val="24"/>
        </w:rPr>
        <w:t xml:space="preserve">30 TJ shortfall in supply to the hub. The </w:t>
      </w:r>
      <w:r w:rsidR="00DF127B">
        <w:rPr>
          <w:rFonts w:ascii="Arial" w:eastAsia="Times New Roman" w:hAnsi="Arial" w:cs="Arial"/>
          <w:sz w:val="22"/>
          <w:szCs w:val="24"/>
        </w:rPr>
        <w:t>problem</w:t>
      </w:r>
      <w:r w:rsidR="00DF127B" w:rsidRPr="005C5733">
        <w:rPr>
          <w:rFonts w:ascii="Arial" w:eastAsia="Times New Roman" w:hAnsi="Arial" w:cs="Arial"/>
          <w:sz w:val="22"/>
          <w:szCs w:val="24"/>
        </w:rPr>
        <w:t xml:space="preserve"> </w:t>
      </w:r>
      <w:r w:rsidRPr="005C5733">
        <w:rPr>
          <w:rFonts w:ascii="Arial" w:eastAsia="Times New Roman" w:hAnsi="Arial" w:cs="Arial"/>
          <w:sz w:val="22"/>
          <w:szCs w:val="24"/>
        </w:rPr>
        <w:t xml:space="preserve">was expected to continue </w:t>
      </w:r>
      <w:r w:rsidR="00DF127B">
        <w:rPr>
          <w:rFonts w:ascii="Arial" w:eastAsia="Times New Roman" w:hAnsi="Arial" w:cs="Arial"/>
          <w:sz w:val="22"/>
          <w:szCs w:val="24"/>
        </w:rPr>
        <w:t>into</w:t>
      </w:r>
      <w:r w:rsidR="0042726B">
        <w:rPr>
          <w:rFonts w:ascii="Arial" w:eastAsia="Times New Roman" w:hAnsi="Arial" w:cs="Arial"/>
          <w:sz w:val="22"/>
          <w:szCs w:val="24"/>
        </w:rPr>
        <w:t xml:space="preserve"> </w:t>
      </w:r>
      <w:r w:rsidRPr="005C5733">
        <w:rPr>
          <w:rFonts w:ascii="Arial" w:eastAsia="Times New Roman" w:hAnsi="Arial" w:cs="Arial"/>
          <w:sz w:val="22"/>
          <w:szCs w:val="24"/>
        </w:rPr>
        <w:t xml:space="preserve">the 14 January gas day. </w:t>
      </w:r>
      <w:r w:rsidR="006253C6">
        <w:rPr>
          <w:rFonts w:ascii="Arial" w:eastAsia="Times New Roman" w:hAnsi="Arial" w:cs="Arial"/>
          <w:sz w:val="22"/>
          <w:szCs w:val="24"/>
        </w:rPr>
        <w:t xml:space="preserve">As a result </w:t>
      </w:r>
      <w:r w:rsidRPr="005C5733">
        <w:rPr>
          <w:rFonts w:ascii="Arial" w:eastAsia="Times New Roman" w:hAnsi="Arial" w:cs="Arial"/>
          <w:sz w:val="22"/>
          <w:szCs w:val="24"/>
        </w:rPr>
        <w:t>AEMO advise</w:t>
      </w:r>
      <w:r w:rsidR="006253C6">
        <w:rPr>
          <w:rFonts w:ascii="Arial" w:eastAsia="Times New Roman" w:hAnsi="Arial" w:cs="Arial"/>
          <w:sz w:val="22"/>
          <w:szCs w:val="24"/>
        </w:rPr>
        <w:t>d</w:t>
      </w:r>
      <w:r w:rsidRPr="005C5733">
        <w:rPr>
          <w:rFonts w:ascii="Arial" w:eastAsia="Times New Roman" w:hAnsi="Arial" w:cs="Arial"/>
          <w:sz w:val="22"/>
          <w:szCs w:val="24"/>
        </w:rPr>
        <w:t xml:space="preserve"> the market that a CG event had been triggered</w:t>
      </w:r>
      <w:r w:rsidR="00A80E7F">
        <w:rPr>
          <w:rFonts w:ascii="Arial" w:eastAsia="Times New Roman" w:hAnsi="Arial" w:cs="Arial"/>
          <w:sz w:val="22"/>
          <w:szCs w:val="24"/>
        </w:rPr>
        <w:t>, as required under the Gas Rules</w:t>
      </w:r>
      <w:r w:rsidR="006253C6">
        <w:rPr>
          <w:rFonts w:ascii="Arial" w:eastAsia="Times New Roman" w:hAnsi="Arial" w:cs="Arial"/>
          <w:sz w:val="22"/>
          <w:szCs w:val="24"/>
        </w:rPr>
        <w:t>. H</w:t>
      </w:r>
      <w:r w:rsidRPr="005C5733">
        <w:rPr>
          <w:rFonts w:ascii="Arial" w:eastAsia="Times New Roman" w:hAnsi="Arial" w:cs="Arial"/>
          <w:sz w:val="22"/>
          <w:szCs w:val="24"/>
        </w:rPr>
        <w:t xml:space="preserve">owever </w:t>
      </w:r>
      <w:r w:rsidR="006253C6">
        <w:rPr>
          <w:rFonts w:ascii="Arial" w:eastAsia="Times New Roman" w:hAnsi="Arial" w:cs="Arial"/>
          <w:sz w:val="22"/>
          <w:szCs w:val="24"/>
        </w:rPr>
        <w:t xml:space="preserve">subsequent </w:t>
      </w:r>
      <w:r w:rsidRPr="005C5733">
        <w:rPr>
          <w:rFonts w:ascii="Arial" w:eastAsia="Times New Roman" w:hAnsi="Arial" w:cs="Arial"/>
          <w:sz w:val="22"/>
          <w:szCs w:val="24"/>
        </w:rPr>
        <w:t>consultation</w:t>
      </w:r>
      <w:r w:rsidR="0042726B">
        <w:rPr>
          <w:rFonts w:ascii="Arial" w:eastAsia="Times New Roman" w:hAnsi="Arial" w:cs="Arial"/>
          <w:sz w:val="22"/>
          <w:szCs w:val="24"/>
        </w:rPr>
        <w:t>s</w:t>
      </w:r>
      <w:r w:rsidRPr="005C5733">
        <w:rPr>
          <w:rFonts w:ascii="Arial" w:eastAsia="Times New Roman" w:hAnsi="Arial" w:cs="Arial"/>
          <w:sz w:val="22"/>
          <w:szCs w:val="24"/>
        </w:rPr>
        <w:t xml:space="preserve"> between AEMO</w:t>
      </w:r>
      <w:r w:rsidR="0042726B">
        <w:rPr>
          <w:rFonts w:ascii="Arial" w:eastAsia="Times New Roman" w:hAnsi="Arial" w:cs="Arial"/>
          <w:sz w:val="22"/>
          <w:szCs w:val="24"/>
        </w:rPr>
        <w:t>, facility operators</w:t>
      </w:r>
      <w:r w:rsidRPr="005C5733">
        <w:rPr>
          <w:rFonts w:ascii="Arial" w:eastAsia="Times New Roman" w:hAnsi="Arial" w:cs="Arial"/>
          <w:sz w:val="22"/>
          <w:szCs w:val="24"/>
        </w:rPr>
        <w:t xml:space="preserve"> and market participants alleviated the potential supply shortage</w:t>
      </w:r>
      <w:r w:rsidR="006253C6">
        <w:rPr>
          <w:rFonts w:ascii="Arial" w:eastAsia="Times New Roman" w:hAnsi="Arial" w:cs="Arial"/>
          <w:sz w:val="22"/>
          <w:szCs w:val="24"/>
        </w:rPr>
        <w:t>, removing the requirement for contingency gas</w:t>
      </w:r>
      <w:r w:rsidRPr="005C5733">
        <w:rPr>
          <w:rFonts w:ascii="Arial" w:eastAsia="Times New Roman" w:hAnsi="Arial" w:cs="Arial"/>
          <w:sz w:val="22"/>
          <w:szCs w:val="24"/>
        </w:rPr>
        <w:t>. In response to the potential shortfall, participants renominated supply into Sydney from the Eastern Gas Pipeline (EGP) to the Moomba to Sydney Pipeline (MSP).</w:t>
      </w:r>
    </w:p>
    <w:p w:rsidR="00F84B56" w:rsidRPr="005C5733" w:rsidRDefault="008D3031" w:rsidP="001B3823">
      <w:pPr>
        <w:jc w:val="both"/>
        <w:rPr>
          <w:rFonts w:cs="Arial"/>
        </w:rPr>
      </w:pPr>
      <w:r>
        <w:rPr>
          <w:rFonts w:cs="Arial"/>
        </w:rPr>
        <w:t xml:space="preserve">Jemena </w:t>
      </w:r>
      <w:r w:rsidR="00737C36">
        <w:rPr>
          <w:rFonts w:cs="Arial"/>
        </w:rPr>
        <w:t>notified t</w:t>
      </w:r>
      <w:r w:rsidR="005C5733" w:rsidRPr="005C5733">
        <w:rPr>
          <w:rFonts w:cs="Arial"/>
        </w:rPr>
        <w:t>he wider market of potential curtailment on the EGP via Linepack Capacity Adequacy flag alerts on the Bulletin Board. A RED flag</w:t>
      </w:r>
      <w:r w:rsidR="005C5733" w:rsidRPr="005C5733">
        <w:rPr>
          <w:rStyle w:val="FootnoteReference"/>
          <w:rFonts w:cs="Arial"/>
        </w:rPr>
        <w:footnoteReference w:id="2"/>
      </w:r>
      <w:r w:rsidR="005C5733" w:rsidRPr="005C5733">
        <w:rPr>
          <w:rFonts w:cs="Arial"/>
        </w:rPr>
        <w:t xml:space="preserve"> was raised for 13 January and an AMBER flag</w:t>
      </w:r>
      <w:r w:rsidR="005C5733" w:rsidRPr="005C5733">
        <w:rPr>
          <w:rStyle w:val="FootnoteReference"/>
          <w:rFonts w:cs="Arial"/>
        </w:rPr>
        <w:footnoteReference w:id="3"/>
      </w:r>
      <w:r w:rsidR="005C5733" w:rsidRPr="005C5733">
        <w:rPr>
          <w:rFonts w:cs="Arial"/>
        </w:rPr>
        <w:t xml:space="preserve"> was raised for 14</w:t>
      </w:r>
      <w:r w:rsidR="00737C36">
        <w:rPr>
          <w:rFonts w:cs="Arial"/>
        </w:rPr>
        <w:t> </w:t>
      </w:r>
      <w:r w:rsidR="005C5733" w:rsidRPr="005C5733">
        <w:rPr>
          <w:rFonts w:cs="Arial"/>
        </w:rPr>
        <w:t>January.</w:t>
      </w:r>
    </w:p>
    <w:p w:rsidR="005C5733" w:rsidRDefault="005C5733" w:rsidP="001B3823">
      <w:pPr>
        <w:jc w:val="both"/>
        <w:rPr>
          <w:rFonts w:cs="Arial"/>
        </w:rPr>
      </w:pPr>
      <w:r w:rsidRPr="005C5733">
        <w:rPr>
          <w:rFonts w:cs="Arial"/>
        </w:rPr>
        <w:t>The actual renominations on the day resulted in an excess of net supply to the hub of 13.5 TJ above forecast levels. This, combined with demand in the hub being over forecast by around 26 TJ, resulted in the significant MOS decrease requirement on the day.</w:t>
      </w:r>
    </w:p>
    <w:p w:rsidR="005A7DF7" w:rsidRPr="005C5733" w:rsidRDefault="005A7DF7" w:rsidP="001B3823">
      <w:pPr>
        <w:jc w:val="both"/>
        <w:rPr>
          <w:rFonts w:cs="Arial"/>
        </w:rPr>
      </w:pPr>
    </w:p>
    <w:p w:rsidR="000B261F" w:rsidRPr="005C5733" w:rsidRDefault="000B261F" w:rsidP="001B3823">
      <w:pPr>
        <w:jc w:val="both"/>
        <w:rPr>
          <w:rFonts w:eastAsia="MS Mincho" w:cs="Arial"/>
          <w:color w:val="FF0000"/>
        </w:rPr>
      </w:pPr>
      <w:r w:rsidRPr="005C5733">
        <w:rPr>
          <w:rFonts w:cs="Arial"/>
          <w:b/>
          <w:i/>
        </w:rPr>
        <w:lastRenderedPageBreak/>
        <w:t>Significant Price Event - Sydney STTM hub 13 January 2016</w:t>
      </w:r>
    </w:p>
    <w:p w:rsidR="000B261F" w:rsidRDefault="00737C36">
      <w:pPr>
        <w:jc w:val="both"/>
      </w:pPr>
      <w:r>
        <w:t xml:space="preserve">On Wednesday 13 January, decrease MOS requirements in Sydney reached 40 TJ, leading to a service cost of $586 003. </w:t>
      </w:r>
      <w:r w:rsidR="000B261F" w:rsidRPr="005C5733">
        <w:rPr>
          <w:rFonts w:cs="Arial"/>
        </w:rPr>
        <w:t>Under Rule 498 of the Gas Rules, the AER is required to identify and report on any significant price variations (</w:t>
      </w:r>
      <w:r w:rsidR="000B261F" w:rsidRPr="005A7DF7">
        <w:rPr>
          <w:rFonts w:cs="Arial"/>
          <w:bCs/>
        </w:rPr>
        <w:t>SPV</w:t>
      </w:r>
      <w:r w:rsidR="000B261F" w:rsidRPr="005C5733">
        <w:rPr>
          <w:rFonts w:cs="Arial"/>
        </w:rPr>
        <w:t xml:space="preserve">s) in the </w:t>
      </w:r>
      <w:r w:rsidR="000B261F" w:rsidRPr="005A7DF7">
        <w:rPr>
          <w:bCs/>
        </w:rPr>
        <w:t>STTM</w:t>
      </w:r>
      <w:r w:rsidR="000B261F">
        <w:t>.</w:t>
      </w:r>
      <w:r>
        <w:t xml:space="preserve"> In the case of MOS, this is the case when the service cost exceeds $250 000. </w:t>
      </w:r>
      <w:r w:rsidR="001C0ED1">
        <w:t>In accordance with the Gas Rules, w</w:t>
      </w:r>
      <w:r>
        <w:t>e will publish a separate detailed</w:t>
      </w:r>
      <w:r w:rsidR="001C0ED1">
        <w:t xml:space="preserve"> report into the events leading to the high MOS service cost on 13 January. </w:t>
      </w:r>
    </w:p>
    <w:p w:rsidR="005C5733" w:rsidRPr="005C5733" w:rsidRDefault="005C5733" w:rsidP="005C5733">
      <w:pPr>
        <w:pStyle w:val="ListParagraph"/>
        <w:ind w:left="0"/>
        <w:contextualSpacing w:val="0"/>
        <w:jc w:val="both"/>
        <w:rPr>
          <w:rFonts w:ascii="Arial" w:eastAsia="MS Mincho" w:hAnsi="Arial" w:cs="Arial"/>
          <w:b/>
          <w:i/>
          <w:sz w:val="22"/>
          <w:szCs w:val="22"/>
        </w:rPr>
      </w:pPr>
      <w:r w:rsidRPr="005C5733">
        <w:rPr>
          <w:rFonts w:ascii="Arial" w:eastAsia="MS Mincho" w:hAnsi="Arial" w:cs="Arial"/>
          <w:b/>
          <w:i/>
          <w:sz w:val="22"/>
          <w:szCs w:val="22"/>
        </w:rPr>
        <w:t>Gas Powered Generation and gas market prices</w:t>
      </w:r>
    </w:p>
    <w:p w:rsidR="005C5733" w:rsidRPr="005C5733" w:rsidRDefault="00BD5BC2" w:rsidP="005C5733">
      <w:pPr>
        <w:pStyle w:val="ListParagraph"/>
        <w:ind w:left="0"/>
        <w:contextualSpacing w:val="0"/>
        <w:jc w:val="both"/>
        <w:rPr>
          <w:rFonts w:ascii="Arial" w:eastAsia="MS Mincho" w:hAnsi="Arial" w:cs="Arial"/>
          <w:sz w:val="22"/>
          <w:szCs w:val="22"/>
        </w:rPr>
      </w:pPr>
      <w:r>
        <w:rPr>
          <w:rFonts w:ascii="Arial" w:eastAsia="MS Mincho" w:hAnsi="Arial" w:cs="Arial"/>
          <w:sz w:val="22"/>
          <w:szCs w:val="22"/>
        </w:rPr>
        <w:t xml:space="preserve">Figure 6 shows </w:t>
      </w:r>
      <w:r w:rsidR="00A907FB">
        <w:rPr>
          <w:rFonts w:ascii="Arial" w:eastAsia="MS Mincho" w:hAnsi="Arial" w:cs="Arial"/>
          <w:sz w:val="22"/>
          <w:szCs w:val="22"/>
        </w:rPr>
        <w:t xml:space="preserve">that </w:t>
      </w:r>
      <w:r w:rsidR="00BD3FE8">
        <w:rPr>
          <w:rFonts w:ascii="Arial" w:eastAsia="MS Mincho" w:hAnsi="Arial" w:cs="Arial"/>
          <w:sz w:val="22"/>
          <w:szCs w:val="22"/>
        </w:rPr>
        <w:t xml:space="preserve">maximum daily temperatures </w:t>
      </w:r>
      <w:r w:rsidR="004D1CD4" w:rsidRPr="005C5733">
        <w:rPr>
          <w:rFonts w:ascii="Arial" w:eastAsia="MS Mincho" w:hAnsi="Arial" w:cs="Arial"/>
          <w:sz w:val="22"/>
          <w:szCs w:val="22"/>
        </w:rPr>
        <w:t>in Queensland</w:t>
      </w:r>
      <w:r w:rsidR="004D1CD4">
        <w:rPr>
          <w:rFonts w:ascii="Arial" w:eastAsia="MS Mincho" w:hAnsi="Arial" w:cs="Arial"/>
          <w:sz w:val="22"/>
          <w:szCs w:val="22"/>
        </w:rPr>
        <w:t xml:space="preserve"> </w:t>
      </w:r>
      <w:r w:rsidR="00A907FB">
        <w:rPr>
          <w:rFonts w:ascii="Arial" w:eastAsia="MS Mincho" w:hAnsi="Arial" w:cs="Arial"/>
          <w:sz w:val="22"/>
          <w:szCs w:val="22"/>
        </w:rPr>
        <w:t xml:space="preserve">were </w:t>
      </w:r>
      <w:r w:rsidR="00BD3FE8">
        <w:rPr>
          <w:rFonts w:ascii="Arial" w:eastAsia="MS Mincho" w:hAnsi="Arial" w:cs="Arial"/>
          <w:sz w:val="22"/>
          <w:szCs w:val="22"/>
        </w:rPr>
        <w:t>consisten</w:t>
      </w:r>
      <w:r w:rsidR="005A7DF7">
        <w:rPr>
          <w:rFonts w:ascii="Arial" w:eastAsia="MS Mincho" w:hAnsi="Arial" w:cs="Arial"/>
          <w:sz w:val="22"/>
          <w:szCs w:val="22"/>
        </w:rPr>
        <w:t>t</w:t>
      </w:r>
      <w:r w:rsidR="00BD3FE8">
        <w:rPr>
          <w:rFonts w:ascii="Arial" w:eastAsia="MS Mincho" w:hAnsi="Arial" w:cs="Arial"/>
          <w:sz w:val="22"/>
          <w:szCs w:val="22"/>
        </w:rPr>
        <w:t>ly around 30</w:t>
      </w:r>
      <w:r w:rsidR="00A907FB">
        <w:rPr>
          <w:rFonts w:ascii="Arial" w:eastAsia="MS Mincho" w:hAnsi="Arial" w:cs="Arial"/>
          <w:sz w:val="22"/>
          <w:szCs w:val="22"/>
        </w:rPr>
        <w:t> </w:t>
      </w:r>
      <w:r w:rsidR="00BD3FE8">
        <w:rPr>
          <w:rFonts w:ascii="Arial" w:eastAsia="MS Mincho" w:hAnsi="Arial" w:cs="Arial"/>
          <w:sz w:val="22"/>
          <w:szCs w:val="22"/>
        </w:rPr>
        <w:t>degrees this week</w:t>
      </w:r>
      <w:r w:rsidR="005C5733" w:rsidRPr="005C5733">
        <w:rPr>
          <w:rFonts w:ascii="Arial" w:eastAsia="MS Mincho" w:hAnsi="Arial" w:cs="Arial"/>
          <w:sz w:val="22"/>
          <w:szCs w:val="22"/>
        </w:rPr>
        <w:t xml:space="preserve">, </w:t>
      </w:r>
      <w:r w:rsidR="00A907FB">
        <w:rPr>
          <w:rFonts w:ascii="Arial" w:eastAsia="MS Mincho" w:hAnsi="Arial" w:cs="Arial"/>
          <w:sz w:val="22"/>
          <w:szCs w:val="22"/>
        </w:rPr>
        <w:t>and</w:t>
      </w:r>
      <w:r w:rsidR="004D1CD4">
        <w:rPr>
          <w:rFonts w:ascii="Arial" w:eastAsia="MS Mincho" w:hAnsi="Arial" w:cs="Arial"/>
          <w:sz w:val="22"/>
          <w:szCs w:val="22"/>
        </w:rPr>
        <w:t xml:space="preserve"> </w:t>
      </w:r>
      <w:r w:rsidR="005C5733" w:rsidRPr="005C5733">
        <w:rPr>
          <w:rFonts w:ascii="Arial" w:eastAsia="MS Mincho" w:hAnsi="Arial" w:cs="Arial"/>
          <w:sz w:val="22"/>
          <w:szCs w:val="22"/>
        </w:rPr>
        <w:t xml:space="preserve">gas usage for electricity generation on weekdays </w:t>
      </w:r>
      <w:r w:rsidR="007D4F43">
        <w:rPr>
          <w:rFonts w:ascii="Arial" w:eastAsia="MS Mincho" w:hAnsi="Arial" w:cs="Arial"/>
          <w:sz w:val="22"/>
          <w:szCs w:val="22"/>
        </w:rPr>
        <w:t xml:space="preserve">ranged </w:t>
      </w:r>
      <w:r w:rsidR="005C5733" w:rsidRPr="005C5733">
        <w:rPr>
          <w:rFonts w:ascii="Arial" w:eastAsia="MS Mincho" w:hAnsi="Arial" w:cs="Arial"/>
          <w:sz w:val="22"/>
          <w:szCs w:val="22"/>
        </w:rPr>
        <w:t>between 260 TJ and 325 TJ.</w:t>
      </w:r>
      <w:r w:rsidR="005C5733" w:rsidRPr="005C5733">
        <w:rPr>
          <w:rStyle w:val="FootnoteReference"/>
          <w:rFonts w:ascii="Arial" w:eastAsia="MS Mincho" w:hAnsi="Arial" w:cs="Arial"/>
          <w:sz w:val="22"/>
          <w:szCs w:val="22"/>
        </w:rPr>
        <w:footnoteReference w:id="4"/>
      </w:r>
      <w:r w:rsidR="005C5733" w:rsidRPr="005C5733">
        <w:rPr>
          <w:rFonts w:ascii="Arial" w:eastAsia="MS Mincho" w:hAnsi="Arial" w:cs="Arial"/>
          <w:sz w:val="22"/>
          <w:szCs w:val="22"/>
        </w:rPr>
        <w:t xml:space="preserve"> The price in Queensland reached a maximum of $7.02/GJ on Tuesday 12 January.</w:t>
      </w:r>
      <w:r w:rsidR="005C5733" w:rsidRPr="005C5733">
        <w:rPr>
          <w:rStyle w:val="FootnoteReference"/>
          <w:rFonts w:ascii="Arial" w:eastAsia="MS Mincho" w:hAnsi="Arial" w:cs="Arial"/>
          <w:sz w:val="22"/>
          <w:szCs w:val="22"/>
        </w:rPr>
        <w:footnoteReference w:id="5"/>
      </w:r>
      <w:r w:rsidR="005C5733" w:rsidRPr="005C5733">
        <w:rPr>
          <w:rFonts w:ascii="Arial" w:eastAsia="MS Mincho" w:hAnsi="Arial" w:cs="Arial"/>
          <w:sz w:val="22"/>
          <w:szCs w:val="22"/>
        </w:rPr>
        <w:t xml:space="preserve"> Demand in the hub on this day was under forecast, leading to a higher ex post price</w:t>
      </w:r>
      <w:r w:rsidR="00BD3FE8">
        <w:rPr>
          <w:rFonts w:ascii="Arial" w:eastAsia="MS Mincho" w:hAnsi="Arial" w:cs="Arial"/>
          <w:sz w:val="22"/>
          <w:szCs w:val="22"/>
        </w:rPr>
        <w:t>s</w:t>
      </w:r>
      <w:r w:rsidR="005C5733" w:rsidRPr="005C5733">
        <w:rPr>
          <w:rFonts w:ascii="Arial" w:eastAsia="MS Mincho" w:hAnsi="Arial" w:cs="Arial"/>
          <w:sz w:val="22"/>
          <w:szCs w:val="22"/>
        </w:rPr>
        <w:t xml:space="preserve"> (see figure 4.1) and MOS requirements </w:t>
      </w:r>
      <w:r w:rsidR="00BD3FE8">
        <w:rPr>
          <w:rFonts w:ascii="Arial" w:eastAsia="MS Mincho" w:hAnsi="Arial" w:cs="Arial"/>
          <w:sz w:val="22"/>
          <w:szCs w:val="22"/>
        </w:rPr>
        <w:t>in excess of</w:t>
      </w:r>
      <w:r w:rsidR="00BD3FE8" w:rsidRPr="005C5733">
        <w:rPr>
          <w:rFonts w:ascii="Arial" w:eastAsia="MS Mincho" w:hAnsi="Arial" w:cs="Arial"/>
          <w:sz w:val="22"/>
          <w:szCs w:val="22"/>
        </w:rPr>
        <w:t xml:space="preserve"> </w:t>
      </w:r>
      <w:r w:rsidR="005C5733" w:rsidRPr="005C5733">
        <w:rPr>
          <w:rFonts w:ascii="Arial" w:eastAsia="MS Mincho" w:hAnsi="Arial" w:cs="Arial"/>
          <w:sz w:val="22"/>
          <w:szCs w:val="22"/>
        </w:rPr>
        <w:t>5 TJ (see figure 4.4).</w:t>
      </w:r>
    </w:p>
    <w:p w:rsidR="005C5733" w:rsidRPr="005C5733" w:rsidRDefault="004D1CD4" w:rsidP="005C5733">
      <w:pPr>
        <w:pStyle w:val="ListParagraph"/>
        <w:ind w:left="0"/>
        <w:contextualSpacing w:val="0"/>
        <w:jc w:val="both"/>
        <w:rPr>
          <w:rFonts w:ascii="Arial" w:eastAsia="MS Mincho" w:hAnsi="Arial" w:cs="Arial"/>
          <w:sz w:val="22"/>
          <w:szCs w:val="22"/>
        </w:rPr>
      </w:pPr>
      <w:r>
        <w:rPr>
          <w:rFonts w:ascii="Arial" w:eastAsia="MS Mincho" w:hAnsi="Arial" w:cs="Arial"/>
          <w:sz w:val="22"/>
          <w:szCs w:val="22"/>
        </w:rPr>
        <w:t>Figure 7 shows that</w:t>
      </w:r>
      <w:r w:rsidR="005C5733" w:rsidRPr="005C5733">
        <w:rPr>
          <w:rFonts w:ascii="Arial" w:eastAsia="MS Mincho" w:hAnsi="Arial" w:cs="Arial"/>
          <w:sz w:val="22"/>
          <w:szCs w:val="22"/>
        </w:rPr>
        <w:t xml:space="preserve"> electricity generation gas usage</w:t>
      </w:r>
      <w:r w:rsidRPr="004D1CD4">
        <w:rPr>
          <w:rFonts w:ascii="Arial" w:eastAsia="MS Mincho" w:hAnsi="Arial" w:cs="Arial"/>
          <w:sz w:val="22"/>
          <w:szCs w:val="22"/>
        </w:rPr>
        <w:t xml:space="preserve"> </w:t>
      </w:r>
      <w:r>
        <w:rPr>
          <w:rFonts w:ascii="Arial" w:eastAsia="MS Mincho" w:hAnsi="Arial" w:cs="Arial"/>
          <w:sz w:val="22"/>
          <w:szCs w:val="22"/>
        </w:rPr>
        <w:t>i</w:t>
      </w:r>
      <w:r w:rsidRPr="005C5733">
        <w:rPr>
          <w:rFonts w:ascii="Arial" w:eastAsia="MS Mincho" w:hAnsi="Arial" w:cs="Arial"/>
          <w:sz w:val="22"/>
          <w:szCs w:val="22"/>
        </w:rPr>
        <w:t>n Sydney</w:t>
      </w:r>
      <w:r w:rsidR="005C5733" w:rsidRPr="005C5733">
        <w:rPr>
          <w:rFonts w:ascii="Arial" w:eastAsia="MS Mincho" w:hAnsi="Arial" w:cs="Arial"/>
          <w:sz w:val="22"/>
          <w:szCs w:val="22"/>
        </w:rPr>
        <w:t xml:space="preserve"> was above 145 TJ over 4 days, reaching a maximum of around 200 TJ on Wednesday 13 January.</w:t>
      </w:r>
      <w:r w:rsidR="005C5733" w:rsidRPr="005C5733">
        <w:rPr>
          <w:rStyle w:val="FootnoteReference"/>
          <w:rFonts w:ascii="Arial" w:eastAsia="MS Mincho" w:hAnsi="Arial" w:cs="Arial"/>
          <w:sz w:val="22"/>
          <w:szCs w:val="22"/>
        </w:rPr>
        <w:footnoteReference w:id="6"/>
      </w:r>
    </w:p>
    <w:p w:rsidR="005C5733" w:rsidRPr="005C5733" w:rsidRDefault="005C5733" w:rsidP="005C5733">
      <w:pPr>
        <w:pStyle w:val="ListParagraph"/>
        <w:ind w:left="0"/>
        <w:contextualSpacing w:val="0"/>
        <w:jc w:val="both"/>
        <w:rPr>
          <w:rFonts w:ascii="Arial" w:eastAsia="MS Mincho" w:hAnsi="Arial" w:cs="Arial"/>
          <w:sz w:val="22"/>
          <w:szCs w:val="22"/>
        </w:rPr>
      </w:pPr>
      <w:r w:rsidRPr="005C5733">
        <w:rPr>
          <w:rFonts w:ascii="Arial" w:eastAsia="MS Mincho" w:hAnsi="Arial" w:cs="Arial"/>
          <w:sz w:val="22"/>
          <w:szCs w:val="22"/>
        </w:rPr>
        <w:t>In Adelaide</w:t>
      </w:r>
      <w:r w:rsidR="00BD3FE8">
        <w:rPr>
          <w:rFonts w:ascii="Arial" w:eastAsia="MS Mincho" w:hAnsi="Arial" w:cs="Arial"/>
          <w:sz w:val="22"/>
          <w:szCs w:val="22"/>
        </w:rPr>
        <w:t xml:space="preserve"> maximum daily </w:t>
      </w:r>
      <w:r w:rsidRPr="005C5733">
        <w:rPr>
          <w:rFonts w:ascii="Arial" w:eastAsia="MS Mincho" w:hAnsi="Arial" w:cs="Arial"/>
          <w:sz w:val="22"/>
          <w:szCs w:val="22"/>
        </w:rPr>
        <w:t xml:space="preserve">temperatures </w:t>
      </w:r>
      <w:r w:rsidR="00855495">
        <w:rPr>
          <w:rFonts w:ascii="Arial" w:eastAsia="MS Mincho" w:hAnsi="Arial" w:cs="Arial"/>
          <w:sz w:val="22"/>
          <w:szCs w:val="22"/>
        </w:rPr>
        <w:t xml:space="preserve">were high, reaching </w:t>
      </w:r>
      <w:r w:rsidRPr="005C5733">
        <w:rPr>
          <w:rFonts w:ascii="Arial" w:eastAsia="MS Mincho" w:hAnsi="Arial" w:cs="Arial"/>
          <w:sz w:val="22"/>
          <w:szCs w:val="22"/>
        </w:rPr>
        <w:t xml:space="preserve">about 38 degrees over three days mid-week. </w:t>
      </w:r>
      <w:r w:rsidR="004D1CD4">
        <w:rPr>
          <w:rFonts w:ascii="Arial" w:eastAsia="MS Mincho" w:hAnsi="Arial" w:cs="Arial"/>
          <w:sz w:val="22"/>
          <w:szCs w:val="22"/>
        </w:rPr>
        <w:t>As shown in figure 8, t</w:t>
      </w:r>
      <w:r w:rsidR="004D1CD4" w:rsidRPr="005C5733">
        <w:rPr>
          <w:rFonts w:ascii="Arial" w:eastAsia="MS Mincho" w:hAnsi="Arial" w:cs="Arial"/>
          <w:sz w:val="22"/>
          <w:szCs w:val="22"/>
        </w:rPr>
        <w:t xml:space="preserve">his </w:t>
      </w:r>
      <w:r w:rsidRPr="005C5733">
        <w:rPr>
          <w:rFonts w:ascii="Arial" w:eastAsia="MS Mincho" w:hAnsi="Arial" w:cs="Arial"/>
          <w:sz w:val="22"/>
          <w:szCs w:val="22"/>
        </w:rPr>
        <w:t>drove higher GPG demand, increasing to around 250 TJ on 12 January as gas prices in Adelaide reached a maximum of $9.50/GJ.</w:t>
      </w:r>
      <w:r w:rsidRPr="005C5733">
        <w:rPr>
          <w:rStyle w:val="FootnoteReference"/>
          <w:rFonts w:ascii="Arial" w:eastAsia="MS Mincho" w:hAnsi="Arial" w:cs="Arial"/>
          <w:sz w:val="22"/>
          <w:szCs w:val="22"/>
        </w:rPr>
        <w:footnoteReference w:id="7"/>
      </w:r>
      <w:r w:rsidRPr="005C5733">
        <w:rPr>
          <w:rFonts w:ascii="Arial" w:eastAsia="MS Mincho" w:hAnsi="Arial" w:cs="Arial"/>
          <w:sz w:val="22"/>
          <w:szCs w:val="22"/>
        </w:rPr>
        <w:t xml:space="preserve"> </w:t>
      </w:r>
      <w:r w:rsidR="000B285F">
        <w:rPr>
          <w:rFonts w:ascii="Arial" w:eastAsia="MS Mincho" w:hAnsi="Arial" w:cs="Arial"/>
          <w:sz w:val="22"/>
          <w:szCs w:val="22"/>
        </w:rPr>
        <w:t>Ex ante prices reduced below D-2 provisional prices for the following two days</w:t>
      </w:r>
      <w:r w:rsidR="00855495">
        <w:rPr>
          <w:rFonts w:ascii="Arial" w:eastAsia="MS Mincho" w:hAnsi="Arial" w:cs="Arial"/>
          <w:sz w:val="22"/>
          <w:szCs w:val="22"/>
        </w:rPr>
        <w:t xml:space="preserve">, and </w:t>
      </w:r>
      <w:r w:rsidR="000B285F">
        <w:rPr>
          <w:rFonts w:ascii="Arial" w:eastAsia="MS Mincho" w:hAnsi="Arial" w:cs="Arial"/>
          <w:sz w:val="22"/>
          <w:szCs w:val="22"/>
        </w:rPr>
        <w:t xml:space="preserve">GPG output </w:t>
      </w:r>
      <w:r w:rsidR="00855495">
        <w:rPr>
          <w:rFonts w:ascii="Arial" w:eastAsia="MS Mincho" w:hAnsi="Arial" w:cs="Arial"/>
          <w:sz w:val="22"/>
          <w:szCs w:val="22"/>
        </w:rPr>
        <w:t xml:space="preserve">began to fall </w:t>
      </w:r>
      <w:r w:rsidR="000B285F">
        <w:rPr>
          <w:rFonts w:ascii="Arial" w:eastAsia="MS Mincho" w:hAnsi="Arial" w:cs="Arial"/>
          <w:sz w:val="22"/>
          <w:szCs w:val="22"/>
        </w:rPr>
        <w:t>from 13 January.</w:t>
      </w:r>
    </w:p>
    <w:p w:rsidR="005C5733" w:rsidRPr="005C5733" w:rsidRDefault="004D1CD4" w:rsidP="005C5733">
      <w:pPr>
        <w:pStyle w:val="ListParagraph"/>
        <w:ind w:left="0"/>
        <w:contextualSpacing w:val="0"/>
        <w:jc w:val="both"/>
        <w:rPr>
          <w:rFonts w:ascii="Arial" w:eastAsia="MS Mincho" w:hAnsi="Arial" w:cs="Arial"/>
          <w:sz w:val="22"/>
          <w:szCs w:val="22"/>
        </w:rPr>
      </w:pPr>
      <w:r>
        <w:rPr>
          <w:rFonts w:ascii="Arial" w:eastAsia="MS Mincho" w:hAnsi="Arial" w:cs="Arial"/>
          <w:sz w:val="22"/>
          <w:szCs w:val="22"/>
        </w:rPr>
        <w:t>Figure 9 shows that</w:t>
      </w:r>
      <w:r w:rsidR="005C5733" w:rsidRPr="005C5733">
        <w:rPr>
          <w:rFonts w:ascii="Arial" w:eastAsia="MS Mincho" w:hAnsi="Arial" w:cs="Arial"/>
          <w:sz w:val="22"/>
          <w:szCs w:val="22"/>
        </w:rPr>
        <w:t xml:space="preserve"> gas demand for electricity generation </w:t>
      </w:r>
      <w:r>
        <w:rPr>
          <w:rFonts w:ascii="Arial" w:eastAsia="MS Mincho" w:hAnsi="Arial" w:cs="Arial"/>
          <w:sz w:val="22"/>
          <w:szCs w:val="22"/>
        </w:rPr>
        <w:t>i</w:t>
      </w:r>
      <w:r w:rsidRPr="005C5733">
        <w:rPr>
          <w:rFonts w:ascii="Arial" w:eastAsia="MS Mincho" w:hAnsi="Arial" w:cs="Arial"/>
          <w:sz w:val="22"/>
          <w:szCs w:val="22"/>
        </w:rPr>
        <w:t xml:space="preserve">n Victoria </w:t>
      </w:r>
      <w:r w:rsidR="005C5733" w:rsidRPr="005C5733">
        <w:rPr>
          <w:rFonts w:ascii="Arial" w:eastAsia="MS Mincho" w:hAnsi="Arial" w:cs="Arial"/>
          <w:sz w:val="22"/>
          <w:szCs w:val="22"/>
        </w:rPr>
        <w:t xml:space="preserve">increased significantly over three days from 11 January. Temperatures in the region </w:t>
      </w:r>
      <w:r w:rsidR="00855495">
        <w:rPr>
          <w:rFonts w:ascii="Arial" w:eastAsia="MS Mincho" w:hAnsi="Arial" w:cs="Arial"/>
          <w:sz w:val="22"/>
          <w:szCs w:val="22"/>
        </w:rPr>
        <w:t>exceeded</w:t>
      </w:r>
      <w:r w:rsidR="005C5733" w:rsidRPr="005C5733">
        <w:rPr>
          <w:rFonts w:ascii="Arial" w:eastAsia="MS Mincho" w:hAnsi="Arial" w:cs="Arial"/>
          <w:sz w:val="22"/>
          <w:szCs w:val="22"/>
        </w:rPr>
        <w:t xml:space="preserve"> </w:t>
      </w:r>
      <w:r w:rsidR="00EE3490" w:rsidRPr="005C5733">
        <w:rPr>
          <w:rFonts w:ascii="Arial" w:eastAsia="MS Mincho" w:hAnsi="Arial" w:cs="Arial"/>
          <w:sz w:val="22"/>
          <w:szCs w:val="22"/>
        </w:rPr>
        <w:t>3</w:t>
      </w:r>
      <w:r w:rsidR="00EE3490">
        <w:rPr>
          <w:rFonts w:ascii="Arial" w:eastAsia="MS Mincho" w:hAnsi="Arial" w:cs="Arial"/>
          <w:sz w:val="22"/>
          <w:szCs w:val="22"/>
        </w:rPr>
        <w:t>6 </w:t>
      </w:r>
      <w:r w:rsidR="005C5733" w:rsidRPr="005C5733">
        <w:rPr>
          <w:rFonts w:ascii="Arial" w:eastAsia="MS Mincho" w:hAnsi="Arial" w:cs="Arial"/>
          <w:sz w:val="22"/>
          <w:szCs w:val="22"/>
        </w:rPr>
        <w:t>degrees and 42 degrees on 11 and 13 January respectively.</w:t>
      </w:r>
      <w:r w:rsidR="005C5733" w:rsidRPr="005C5733">
        <w:rPr>
          <w:rStyle w:val="FootnoteReference"/>
          <w:rFonts w:ascii="Arial" w:eastAsia="MS Mincho" w:hAnsi="Arial" w:cs="Arial"/>
          <w:sz w:val="22"/>
          <w:szCs w:val="22"/>
        </w:rPr>
        <w:footnoteReference w:id="8"/>
      </w:r>
      <w:r w:rsidR="005C5733" w:rsidRPr="005C5733">
        <w:rPr>
          <w:rFonts w:ascii="Arial" w:eastAsia="MS Mincho" w:hAnsi="Arial" w:cs="Arial"/>
          <w:sz w:val="22"/>
          <w:szCs w:val="22"/>
        </w:rPr>
        <w:t xml:space="preserve"> </w:t>
      </w:r>
      <w:r w:rsidR="00855495">
        <w:rPr>
          <w:rFonts w:ascii="Arial" w:eastAsia="MS Mincho" w:hAnsi="Arial" w:cs="Arial"/>
          <w:sz w:val="22"/>
          <w:szCs w:val="22"/>
        </w:rPr>
        <w:t>D</w:t>
      </w:r>
      <w:r w:rsidR="005C5733" w:rsidRPr="005C5733">
        <w:rPr>
          <w:rFonts w:ascii="Arial" w:eastAsia="MS Mincho" w:hAnsi="Arial" w:cs="Arial"/>
          <w:sz w:val="22"/>
          <w:szCs w:val="22"/>
        </w:rPr>
        <w:t xml:space="preserve">emand remained high for 12 January despite cooler temperatures, as gas usage at a number of GPGs increased above forecast levels during the afternoon. </w:t>
      </w:r>
      <w:r w:rsidR="00855495">
        <w:rPr>
          <w:rFonts w:ascii="Arial" w:eastAsia="MS Mincho" w:hAnsi="Arial" w:cs="Arial"/>
          <w:sz w:val="22"/>
          <w:szCs w:val="22"/>
        </w:rPr>
        <w:t>G</w:t>
      </w:r>
      <w:r w:rsidR="005C5733" w:rsidRPr="005C5733">
        <w:rPr>
          <w:rFonts w:ascii="Arial" w:eastAsia="MS Mincho" w:hAnsi="Arial" w:cs="Arial"/>
          <w:sz w:val="22"/>
          <w:szCs w:val="22"/>
        </w:rPr>
        <w:t xml:space="preserve">as schedule prices in Victoria </w:t>
      </w:r>
      <w:r w:rsidR="00855495">
        <w:rPr>
          <w:rFonts w:ascii="Arial" w:eastAsia="MS Mincho" w:hAnsi="Arial" w:cs="Arial"/>
          <w:sz w:val="22"/>
          <w:szCs w:val="22"/>
        </w:rPr>
        <w:t>fell</w:t>
      </w:r>
      <w:r w:rsidR="00855495" w:rsidRPr="005C5733">
        <w:rPr>
          <w:rFonts w:ascii="Arial" w:eastAsia="MS Mincho" w:hAnsi="Arial" w:cs="Arial"/>
          <w:sz w:val="22"/>
          <w:szCs w:val="22"/>
        </w:rPr>
        <w:t xml:space="preserve"> </w:t>
      </w:r>
      <w:r w:rsidR="005C5733" w:rsidRPr="005C5733">
        <w:rPr>
          <w:rFonts w:ascii="Arial" w:eastAsia="MS Mincho" w:hAnsi="Arial" w:cs="Arial"/>
          <w:sz w:val="22"/>
          <w:szCs w:val="22"/>
        </w:rPr>
        <w:t>to zero from a beginning of day price of only $1.50/GJ (see figure 1.1).</w:t>
      </w:r>
    </w:p>
    <w:p w:rsidR="00EB47F0" w:rsidRDefault="00EB47F0" w:rsidP="00EB47F0">
      <w:pPr>
        <w:pStyle w:val="Heading2"/>
        <w:ind w:firstLine="0"/>
        <w:rPr>
          <w:i w:val="0"/>
          <w:color w:val="2272A3"/>
          <w:sz w:val="24"/>
          <w:szCs w:val="24"/>
        </w:rPr>
      </w:pPr>
      <w:r>
        <w:rPr>
          <w:i w:val="0"/>
          <w:color w:val="2272A3"/>
          <w:sz w:val="24"/>
          <w:szCs w:val="24"/>
        </w:rPr>
        <w:t>G</w:t>
      </w:r>
      <w:r w:rsidR="00BD5BC2">
        <w:rPr>
          <w:i w:val="0"/>
          <w:color w:val="2272A3"/>
          <w:sz w:val="24"/>
          <w:szCs w:val="24"/>
        </w:rPr>
        <w:t>as powered generation, gas prices and temperature in Brisbane</w:t>
      </w:r>
    </w:p>
    <w:p w:rsidR="008D3031" w:rsidRDefault="00CA02F8" w:rsidP="005C5733">
      <w:pPr>
        <w:pStyle w:val="ListParagraph"/>
        <w:ind w:left="0"/>
        <w:contextualSpacing w:val="0"/>
        <w:jc w:val="both"/>
      </w:pPr>
      <w:r>
        <w:pict>
          <v:shape id="_x0000_i1025" type="#_x0000_t75" alt="Figure 6 shows gas usage estimates for gas powered generation (GPG) in Queensland (primary y-axis) and the price of gas in the Brisbane hub (secondary y-axis) by gas day. Also shown is the daily maximum temperature recorded in Brisbane on the day (tertiary y-axis). Calculation methodology for GPG is the same as that used for figure 5.1. For a more detailed description of the methodology, please refer to the user guide." style="width:476.35pt;height:184.3pt">
            <v:imagedata r:id="rId12" o:title=""/>
          </v:shape>
        </w:pict>
      </w:r>
    </w:p>
    <w:p w:rsidR="001605CF" w:rsidRDefault="001605CF" w:rsidP="005C5733">
      <w:pPr>
        <w:pStyle w:val="ListParagraph"/>
        <w:ind w:left="0"/>
        <w:contextualSpacing w:val="0"/>
        <w:jc w:val="both"/>
      </w:pPr>
    </w:p>
    <w:p w:rsidR="00BD5BC2" w:rsidRDefault="00BD5BC2" w:rsidP="00BD5BC2">
      <w:pPr>
        <w:pStyle w:val="Heading2"/>
        <w:ind w:firstLine="0"/>
        <w:rPr>
          <w:i w:val="0"/>
          <w:color w:val="2272A3"/>
          <w:sz w:val="24"/>
          <w:szCs w:val="24"/>
        </w:rPr>
      </w:pPr>
      <w:r>
        <w:rPr>
          <w:i w:val="0"/>
          <w:color w:val="2272A3"/>
          <w:sz w:val="24"/>
          <w:szCs w:val="24"/>
        </w:rPr>
        <w:t>Gas powered generation, gas prices and temperature in Sydney</w:t>
      </w:r>
    </w:p>
    <w:p w:rsidR="001605CF" w:rsidRDefault="00CA02F8" w:rsidP="005C5733">
      <w:pPr>
        <w:pStyle w:val="ListParagraph"/>
        <w:ind w:left="0"/>
        <w:contextualSpacing w:val="0"/>
        <w:jc w:val="both"/>
      </w:pPr>
      <w:r>
        <w:pict>
          <v:shape id="_x0000_i1026" type="#_x0000_t75" alt="Figure 7 shows gas usage estimates for gas powered generation (GPG) in New South Wales (primary y-axis) and the price of gas in the Sydney hub (secondary y-axis) by gas day. Also shown is the daily maximum temperature recorded in Sydney on the day (tertiary y-axis). Calculation methodology for GPG is the same as that used for figure 5.1. For a more detailed description of the methodology, please refer to the user guide." style="width:476.35pt;height:184.3pt">
            <v:imagedata r:id="rId13" o:title=""/>
          </v:shape>
        </w:pict>
      </w:r>
    </w:p>
    <w:p w:rsidR="00BD5BC2" w:rsidRDefault="00BD5BC2" w:rsidP="00BD5BC2">
      <w:pPr>
        <w:pStyle w:val="Heading2"/>
        <w:ind w:firstLine="0"/>
        <w:rPr>
          <w:i w:val="0"/>
          <w:color w:val="2272A3"/>
          <w:sz w:val="24"/>
          <w:szCs w:val="24"/>
        </w:rPr>
      </w:pPr>
      <w:r>
        <w:rPr>
          <w:i w:val="0"/>
          <w:color w:val="2272A3"/>
          <w:sz w:val="24"/>
          <w:szCs w:val="24"/>
        </w:rPr>
        <w:t>Gas powered generation, gas prices and temperature in Adelaide</w:t>
      </w:r>
    </w:p>
    <w:p w:rsidR="001605CF" w:rsidRDefault="00CA02F8" w:rsidP="005C5733">
      <w:pPr>
        <w:pStyle w:val="ListParagraph"/>
        <w:ind w:left="0"/>
        <w:contextualSpacing w:val="0"/>
        <w:jc w:val="both"/>
      </w:pPr>
      <w:r>
        <w:pict>
          <v:shape id="_x0000_i1027" type="#_x0000_t75" alt="Figure 8 shows gas usage estimates for gas powered generation (GPG) in South Australia (primary y-axis) and the price of gas in the Adelaide hub (secondary y-axis) by gas day. Also shown is the daily maximum temperature recorded in Adelaide on the day (tertiary y-axis). Calculation methodology for GPG is the same as that used for figure 5.1. For a more detailed description of the methodology, please refer to the user guide." style="width:476.35pt;height:184.3pt;mso-position-vertical:absolute">
            <v:imagedata r:id="rId14" o:title=""/>
          </v:shape>
        </w:pict>
      </w:r>
    </w:p>
    <w:p w:rsidR="00BD5BC2" w:rsidRDefault="00BD5BC2" w:rsidP="00BD5BC2">
      <w:pPr>
        <w:pStyle w:val="Heading2"/>
        <w:ind w:firstLine="0"/>
        <w:rPr>
          <w:i w:val="0"/>
          <w:color w:val="2272A3"/>
          <w:sz w:val="24"/>
          <w:szCs w:val="24"/>
        </w:rPr>
      </w:pPr>
      <w:r>
        <w:rPr>
          <w:i w:val="0"/>
          <w:color w:val="2272A3"/>
          <w:sz w:val="24"/>
          <w:szCs w:val="24"/>
        </w:rPr>
        <w:t>Gas powered generation, gas prices and temperature in Victoria</w:t>
      </w:r>
    </w:p>
    <w:p w:rsidR="001605CF" w:rsidRPr="005C5733" w:rsidRDefault="00CA02F8" w:rsidP="005C5733">
      <w:pPr>
        <w:pStyle w:val="ListParagraph"/>
        <w:ind w:left="0"/>
        <w:contextualSpacing w:val="0"/>
        <w:jc w:val="both"/>
        <w:rPr>
          <w:rFonts w:ascii="Arial" w:eastAsia="MS Mincho" w:hAnsi="Arial" w:cs="Arial"/>
          <w:sz w:val="22"/>
          <w:szCs w:val="22"/>
        </w:rPr>
      </w:pPr>
      <w:r>
        <w:pict>
          <v:shape id="_x0000_i1028" type="#_x0000_t75" alt="Figure 9 shows gas usage estimates for gas powered generation (GPG) in Victoria (primary y-axis) and the price of gas in the Victorian gas market (secondary y-axis) by gas day. Also shown is the daily maximum temperature recorded in Melbourne on the day (tertiary y-axis). Calculation methodology for GPG is the same as that used for figure 5.1. For a more detailed description of the methodology, please refer to the user guide." style="width:476.35pt;height:184.3pt;mso-position-vertical:absolute">
            <v:imagedata r:id="rId15" o:title=""/>
          </v:shape>
        </w:pict>
      </w:r>
    </w:p>
    <w:p w:rsidR="004420C4" w:rsidRPr="004420C4" w:rsidRDefault="0008491C" w:rsidP="004420C4">
      <w:pPr>
        <w:pStyle w:val="Heading1"/>
        <w:numPr>
          <w:ilvl w:val="0"/>
          <w:numId w:val="0"/>
        </w:numPr>
        <w:spacing w:before="120" w:after="0"/>
        <w:ind w:left="142"/>
        <w:rPr>
          <w:color w:val="FFFFFF"/>
          <w:sz w:val="36"/>
        </w:rPr>
      </w:pPr>
      <w:r>
        <w:rPr>
          <w:color w:val="FFFFFF" w:themeColor="background1"/>
          <w:sz w:val="36"/>
          <w:szCs w:val="36"/>
        </w:rPr>
        <w:br w:type="page"/>
      </w:r>
      <w:r w:rsidR="00CA02F8">
        <w:rPr>
          <w:color w:val="FFFFFF"/>
          <w:sz w:val="36"/>
        </w:rPr>
        <w:lastRenderedPageBreak/>
        <w:pict>
          <v:shape id="_x0000_s1075" type="#_x0000_t75" alt="Australian Energy Regulator logo" style="position:absolute;left:0;text-align:left;margin-left:.95pt;margin-top:-.3pt;width:476.25pt;height:77.25pt;z-index:-251652096;mso-position-horizontal-relative:text;mso-position-vertical-relative:text">
            <v:imagedata r:id="rId8" o:title="AER-header for report templates"/>
          </v:shape>
        </w:pict>
      </w:r>
      <w:r w:rsidR="00CA02F8">
        <w:rPr>
          <w:color w:val="FFFFFF"/>
          <w:sz w:val="36"/>
        </w:rPr>
        <w:pict>
          <v:shape id="_x0000_s1097" type="#_x0000_t75" style="position:absolute;left:0;text-align:left;margin-left:720.75pt;margin-top:282.05pt;width:386.3pt;height:299.3pt;z-index:251669504;mso-position-horizontal-relative:text;mso-position-vertical-relative:text" fillcolor="black" strokecolor="white" strokeweight="3e-5mm">
            <v:imagedata r:id="rId9" o:title=""/>
            <o:lock v:ext="edit" rotation="t"/>
          </v:shape>
        </w:pict>
      </w:r>
      <w:r w:rsidR="004420C4" w:rsidRPr="004420C4">
        <w:rPr>
          <w:color w:val="FFFFFF"/>
          <w:sz w:val="36"/>
        </w:rPr>
        <w:t>Detailed Market Figures</w:t>
      </w:r>
    </w:p>
    <w:p w:rsidR="004420C4" w:rsidRDefault="004420C4" w:rsidP="004420C4"/>
    <w:p w:rsidR="004420C4" w:rsidRDefault="004420C4" w:rsidP="004420C4"/>
    <w:p w:rsidR="004420C4" w:rsidRDefault="004420C4" w:rsidP="004420C4"/>
    <w:p w:rsidR="004420C4" w:rsidRPr="00AC3047" w:rsidRDefault="00C70268" w:rsidP="004420C4">
      <w:pPr>
        <w:pStyle w:val="Heading2"/>
        <w:numPr>
          <w:ilvl w:val="0"/>
          <w:numId w:val="0"/>
        </w:numPr>
        <w:rPr>
          <w:i w:val="0"/>
        </w:rPr>
      </w:pPr>
      <w:r>
        <w:rPr>
          <w:i w:val="0"/>
          <w:sz w:val="36"/>
          <w:szCs w:val="36"/>
        </w:rPr>
        <w:t>10 – 16 January 2016</w:t>
      </w:r>
    </w:p>
    <w:p w:rsidR="004420C4" w:rsidRDefault="004420C4" w:rsidP="004420C4">
      <w:pPr>
        <w:pStyle w:val="Heading3"/>
        <w:ind w:firstLine="0"/>
      </w:pPr>
      <w:r w:rsidRPr="00004A63">
        <w:rPr>
          <w:color w:val="2272A3"/>
          <w:sz w:val="32"/>
          <w:szCs w:val="32"/>
        </w:rPr>
        <w:t>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9"/>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10"/>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11"/>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CA02F8" w:rsidP="00362B9A">
      <w:r>
        <w:pict>
          <v:shape id="_x0000_i1029" type="#_x0000_t75" alt="Figure 1.1 shows the five Victorian schedule prices for each day this week. The marker indicates the daily imbalance weighted average price for each day. For a more detailed description of this figure, please refer to the user guide." style="width:476.35pt;height:137.65pt">
            <v:imagedata r:id="rId16"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CA02F8" w:rsidP="00362B9A">
      <w:r>
        <w:pict>
          <v:shape id="_x0000_i1030" type="#_x0000_t75" alt="Figure 1.2 shows the demand forecast used to calculate the five daily schedule prices for this week. For a more detailed description of this figure, please refer to the user guide." style="width:476.35pt;height:177.4pt">
            <v:imagedata r:id="rId17" o:title=""/>
          </v:shape>
        </w:pict>
      </w:r>
    </w:p>
    <w:p w:rsidR="00BC18FB" w:rsidRPr="00DD0358" w:rsidRDefault="00004A63" w:rsidP="00FF0D8A">
      <w:pPr>
        <w:pStyle w:val="Heading4"/>
        <w:ind w:hanging="338"/>
        <w:rPr>
          <w:color w:val="2272A3"/>
          <w:sz w:val="24"/>
        </w:rPr>
      </w:pPr>
      <w:r w:rsidRPr="00DD0358">
        <w:rPr>
          <w:color w:val="2272A3"/>
          <w:sz w:val="24"/>
        </w:rPr>
        <w:lastRenderedPageBreak/>
        <w:t>Injection bids by price bands</w:t>
      </w:r>
    </w:p>
    <w:p w:rsidR="00362B9A" w:rsidRPr="00362B9A" w:rsidRDefault="00CA02F8" w:rsidP="00362B9A">
      <w:r>
        <w:pict>
          <v:shape id="_x0000_i1031" type="#_x0000_t75" alt="Figure 1.3 shows the injection bids within certain price bands for each trading interval in Victoria this week. For a more detailed description of this figure, please refer to the user guide." style="width:475.2pt;height:206.8pt">
            <v:imagedata r:id="rId18"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CA02F8" w:rsidP="00362B9A">
      <w:r>
        <w:pict>
          <v:shape id="_x0000_i1032" type="#_x0000_t75" alt="Figure 1.4 shows the withdrawal bids within certain price bands for each trading interval in Victoria this week. For a more detailed description of this figure, please refer to the user guide." style="width:476.95pt;height:163.6pt">
            <v:imagedata r:id="rId19"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CA02F8" w:rsidP="00BC18FB">
      <w:r>
        <w:pict>
          <v:shape id="_x0000_i1033" type="#_x0000_t75" alt="Figure 1.5 shows the metered injections sorted by facility for each 4 hour interval in Victoria this week. For a more detailed description of this figure, please refer to the user guide." style="width:476.35pt;height:178pt">
            <v:imagedata r:id="rId20"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lastRenderedPageBreak/>
        <w:t>S</w:t>
      </w:r>
      <w:r w:rsidR="00362B9A">
        <w:rPr>
          <w:color w:val="2272A3"/>
          <w:sz w:val="32"/>
          <w:szCs w:val="32"/>
        </w:rPr>
        <w:t>ydney STTM</w:t>
      </w:r>
    </w:p>
    <w:p w:rsidR="00EF58A8" w:rsidRPr="00EF58A8" w:rsidRDefault="00EF58A8" w:rsidP="00EF58A8">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12"/>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13"/>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615F25" w:rsidRPr="00405CDE" w:rsidTr="00F114D5">
        <w:trPr>
          <w:trHeight w:val="510"/>
        </w:trPr>
        <w:tc>
          <w:tcPr>
            <w:tcW w:w="1100" w:type="pct"/>
            <w:tcBorders>
              <w:top w:val="nil"/>
              <w:bottom w:val="nil"/>
            </w:tcBorders>
            <w:vAlign w:val="center"/>
          </w:tcPr>
          <w:p w:rsidR="00615F25" w:rsidRDefault="00615F25">
            <w:pPr>
              <w:rPr>
                <w:rFonts w:cs="Arial"/>
                <w:sz w:val="20"/>
                <w:szCs w:val="20"/>
              </w:rPr>
            </w:pPr>
            <w:r>
              <w:rPr>
                <w:rFonts w:cs="Arial"/>
                <w:sz w:val="20"/>
                <w:szCs w:val="20"/>
              </w:rPr>
              <w:t>Ex ante price ($/GJ)</w:t>
            </w:r>
          </w:p>
        </w:tc>
        <w:tc>
          <w:tcPr>
            <w:tcW w:w="597" w:type="pct"/>
            <w:tcBorders>
              <w:top w:val="nil"/>
              <w:bottom w:val="nil"/>
            </w:tcBorders>
            <w:vAlign w:val="center"/>
          </w:tcPr>
          <w:p w:rsidR="00615F25" w:rsidRDefault="00615F25">
            <w:pPr>
              <w:jc w:val="center"/>
              <w:rPr>
                <w:rFonts w:cs="Arial"/>
                <w:sz w:val="20"/>
                <w:szCs w:val="20"/>
              </w:rPr>
            </w:pPr>
            <w:r>
              <w:rPr>
                <w:rFonts w:cs="Arial"/>
                <w:sz w:val="20"/>
                <w:szCs w:val="20"/>
              </w:rPr>
              <w:t>3.46</w:t>
            </w:r>
          </w:p>
        </w:tc>
        <w:tc>
          <w:tcPr>
            <w:tcW w:w="523" w:type="pct"/>
            <w:tcBorders>
              <w:top w:val="nil"/>
              <w:bottom w:val="nil"/>
            </w:tcBorders>
            <w:vAlign w:val="center"/>
          </w:tcPr>
          <w:p w:rsidR="00615F25" w:rsidRDefault="00615F25">
            <w:pPr>
              <w:jc w:val="center"/>
              <w:rPr>
                <w:rFonts w:cs="Arial"/>
                <w:sz w:val="20"/>
                <w:szCs w:val="20"/>
              </w:rPr>
            </w:pPr>
            <w:r>
              <w:rPr>
                <w:rFonts w:cs="Arial"/>
                <w:sz w:val="20"/>
                <w:szCs w:val="20"/>
              </w:rPr>
              <w:t>4.00</w:t>
            </w:r>
          </w:p>
        </w:tc>
        <w:tc>
          <w:tcPr>
            <w:tcW w:w="606" w:type="pct"/>
            <w:tcBorders>
              <w:top w:val="nil"/>
              <w:bottom w:val="nil"/>
            </w:tcBorders>
            <w:vAlign w:val="center"/>
          </w:tcPr>
          <w:p w:rsidR="00615F25" w:rsidRDefault="00615F25">
            <w:pPr>
              <w:jc w:val="center"/>
              <w:rPr>
                <w:rFonts w:cs="Arial"/>
                <w:sz w:val="20"/>
                <w:szCs w:val="20"/>
              </w:rPr>
            </w:pPr>
            <w:r>
              <w:rPr>
                <w:rFonts w:cs="Arial"/>
                <w:sz w:val="20"/>
                <w:szCs w:val="20"/>
              </w:rPr>
              <w:t>5.10</w:t>
            </w:r>
          </w:p>
        </w:tc>
        <w:tc>
          <w:tcPr>
            <w:tcW w:w="532" w:type="pct"/>
            <w:tcBorders>
              <w:top w:val="nil"/>
              <w:bottom w:val="nil"/>
            </w:tcBorders>
            <w:vAlign w:val="center"/>
          </w:tcPr>
          <w:p w:rsidR="00615F25" w:rsidRDefault="00615F25">
            <w:pPr>
              <w:jc w:val="center"/>
              <w:rPr>
                <w:rFonts w:cs="Arial"/>
                <w:sz w:val="20"/>
                <w:szCs w:val="20"/>
              </w:rPr>
            </w:pPr>
            <w:r>
              <w:rPr>
                <w:rFonts w:cs="Arial"/>
                <w:sz w:val="20"/>
                <w:szCs w:val="20"/>
              </w:rPr>
              <w:t>6.24</w:t>
            </w:r>
          </w:p>
        </w:tc>
        <w:tc>
          <w:tcPr>
            <w:tcW w:w="525" w:type="pct"/>
            <w:tcBorders>
              <w:top w:val="nil"/>
              <w:bottom w:val="nil"/>
            </w:tcBorders>
            <w:vAlign w:val="center"/>
          </w:tcPr>
          <w:p w:rsidR="00615F25" w:rsidRDefault="00615F25">
            <w:pPr>
              <w:jc w:val="center"/>
              <w:rPr>
                <w:rFonts w:cs="Arial"/>
                <w:sz w:val="20"/>
                <w:szCs w:val="20"/>
              </w:rPr>
            </w:pPr>
            <w:r>
              <w:rPr>
                <w:rFonts w:cs="Arial"/>
                <w:sz w:val="20"/>
                <w:szCs w:val="20"/>
              </w:rPr>
              <w:t>6.43</w:t>
            </w:r>
          </w:p>
        </w:tc>
        <w:tc>
          <w:tcPr>
            <w:tcW w:w="522" w:type="pct"/>
            <w:tcBorders>
              <w:top w:val="nil"/>
              <w:bottom w:val="nil"/>
            </w:tcBorders>
            <w:vAlign w:val="center"/>
          </w:tcPr>
          <w:p w:rsidR="00615F25" w:rsidRDefault="00615F25">
            <w:pPr>
              <w:jc w:val="center"/>
              <w:rPr>
                <w:rFonts w:cs="Arial"/>
                <w:sz w:val="20"/>
                <w:szCs w:val="20"/>
              </w:rPr>
            </w:pPr>
            <w:r>
              <w:rPr>
                <w:rFonts w:cs="Arial"/>
                <w:sz w:val="20"/>
                <w:szCs w:val="20"/>
              </w:rPr>
              <w:t>4.27</w:t>
            </w:r>
          </w:p>
        </w:tc>
        <w:tc>
          <w:tcPr>
            <w:tcW w:w="595" w:type="pct"/>
            <w:tcBorders>
              <w:top w:val="nil"/>
              <w:bottom w:val="nil"/>
            </w:tcBorders>
            <w:vAlign w:val="center"/>
          </w:tcPr>
          <w:p w:rsidR="00615F25" w:rsidRDefault="00615F25">
            <w:pPr>
              <w:jc w:val="center"/>
              <w:rPr>
                <w:rFonts w:cs="Arial"/>
                <w:sz w:val="20"/>
                <w:szCs w:val="20"/>
              </w:rPr>
            </w:pPr>
            <w:r>
              <w:rPr>
                <w:rFonts w:cs="Arial"/>
                <w:sz w:val="20"/>
                <w:szCs w:val="20"/>
              </w:rPr>
              <w:t>4.50</w:t>
            </w:r>
          </w:p>
        </w:tc>
      </w:tr>
      <w:tr w:rsidR="00615F25"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615F25" w:rsidRDefault="00615F25">
            <w:pPr>
              <w:rPr>
                <w:rFonts w:cs="Arial"/>
                <w:sz w:val="20"/>
                <w:szCs w:val="20"/>
              </w:rPr>
            </w:pPr>
            <w:r>
              <w:rPr>
                <w:rFonts w:cs="Arial"/>
                <w:sz w:val="20"/>
                <w:szCs w:val="20"/>
              </w:rPr>
              <w:t>Ex ante quantity (TJ)</w:t>
            </w:r>
          </w:p>
        </w:tc>
        <w:tc>
          <w:tcPr>
            <w:tcW w:w="597" w:type="pct"/>
            <w:tcBorders>
              <w:top w:val="nil"/>
              <w:bottom w:val="nil"/>
            </w:tcBorders>
            <w:vAlign w:val="center"/>
          </w:tcPr>
          <w:p w:rsidR="00615F25" w:rsidRDefault="00615F25">
            <w:pPr>
              <w:jc w:val="center"/>
              <w:rPr>
                <w:rFonts w:cs="Arial"/>
                <w:sz w:val="20"/>
                <w:szCs w:val="20"/>
              </w:rPr>
            </w:pPr>
            <w:r>
              <w:rPr>
                <w:rFonts w:cs="Arial"/>
                <w:sz w:val="20"/>
                <w:szCs w:val="20"/>
              </w:rPr>
              <w:t>202</w:t>
            </w:r>
          </w:p>
        </w:tc>
        <w:tc>
          <w:tcPr>
            <w:tcW w:w="523" w:type="pct"/>
            <w:tcBorders>
              <w:top w:val="nil"/>
              <w:bottom w:val="nil"/>
            </w:tcBorders>
            <w:vAlign w:val="center"/>
          </w:tcPr>
          <w:p w:rsidR="00615F25" w:rsidRDefault="00615F25">
            <w:pPr>
              <w:jc w:val="center"/>
              <w:rPr>
                <w:rFonts w:cs="Arial"/>
                <w:sz w:val="20"/>
                <w:szCs w:val="20"/>
              </w:rPr>
            </w:pPr>
            <w:r>
              <w:rPr>
                <w:rFonts w:cs="Arial"/>
                <w:sz w:val="20"/>
                <w:szCs w:val="20"/>
              </w:rPr>
              <w:t>227</w:t>
            </w:r>
          </w:p>
        </w:tc>
        <w:tc>
          <w:tcPr>
            <w:tcW w:w="606" w:type="pct"/>
            <w:tcBorders>
              <w:top w:val="nil"/>
              <w:bottom w:val="nil"/>
            </w:tcBorders>
            <w:vAlign w:val="center"/>
          </w:tcPr>
          <w:p w:rsidR="00615F25" w:rsidRDefault="00615F25">
            <w:pPr>
              <w:jc w:val="center"/>
              <w:rPr>
                <w:rFonts w:cs="Arial"/>
                <w:sz w:val="20"/>
                <w:szCs w:val="20"/>
              </w:rPr>
            </w:pPr>
            <w:r>
              <w:rPr>
                <w:rFonts w:cs="Arial"/>
                <w:sz w:val="20"/>
                <w:szCs w:val="20"/>
              </w:rPr>
              <w:t>261</w:t>
            </w:r>
          </w:p>
        </w:tc>
        <w:tc>
          <w:tcPr>
            <w:tcW w:w="532" w:type="pct"/>
            <w:tcBorders>
              <w:top w:val="nil"/>
              <w:bottom w:val="nil"/>
            </w:tcBorders>
            <w:vAlign w:val="center"/>
          </w:tcPr>
          <w:p w:rsidR="00615F25" w:rsidRDefault="00615F25">
            <w:pPr>
              <w:jc w:val="center"/>
              <w:rPr>
                <w:rFonts w:cs="Arial"/>
                <w:sz w:val="20"/>
                <w:szCs w:val="20"/>
              </w:rPr>
            </w:pPr>
            <w:r>
              <w:rPr>
                <w:rFonts w:cs="Arial"/>
                <w:sz w:val="20"/>
                <w:szCs w:val="20"/>
              </w:rPr>
              <w:t>296</w:t>
            </w:r>
          </w:p>
        </w:tc>
        <w:tc>
          <w:tcPr>
            <w:tcW w:w="525" w:type="pct"/>
            <w:tcBorders>
              <w:top w:val="nil"/>
              <w:bottom w:val="nil"/>
            </w:tcBorders>
            <w:vAlign w:val="center"/>
          </w:tcPr>
          <w:p w:rsidR="00615F25" w:rsidRDefault="00615F25">
            <w:pPr>
              <w:jc w:val="center"/>
              <w:rPr>
                <w:rFonts w:cs="Arial"/>
                <w:sz w:val="20"/>
                <w:szCs w:val="20"/>
              </w:rPr>
            </w:pPr>
            <w:r>
              <w:rPr>
                <w:rFonts w:cs="Arial"/>
                <w:sz w:val="20"/>
                <w:szCs w:val="20"/>
              </w:rPr>
              <w:t>292</w:t>
            </w:r>
          </w:p>
        </w:tc>
        <w:tc>
          <w:tcPr>
            <w:tcW w:w="522" w:type="pct"/>
            <w:tcBorders>
              <w:top w:val="nil"/>
              <w:bottom w:val="nil"/>
            </w:tcBorders>
            <w:vAlign w:val="center"/>
          </w:tcPr>
          <w:p w:rsidR="00615F25" w:rsidRDefault="00615F25">
            <w:pPr>
              <w:jc w:val="center"/>
              <w:rPr>
                <w:rFonts w:cs="Arial"/>
                <w:sz w:val="20"/>
                <w:szCs w:val="20"/>
              </w:rPr>
            </w:pPr>
            <w:r>
              <w:rPr>
                <w:rFonts w:cs="Arial"/>
                <w:sz w:val="20"/>
                <w:szCs w:val="20"/>
              </w:rPr>
              <w:t>233</w:t>
            </w:r>
          </w:p>
        </w:tc>
        <w:tc>
          <w:tcPr>
            <w:tcW w:w="595" w:type="pct"/>
            <w:tcBorders>
              <w:top w:val="nil"/>
              <w:bottom w:val="nil"/>
            </w:tcBorders>
            <w:vAlign w:val="center"/>
          </w:tcPr>
          <w:p w:rsidR="00615F25" w:rsidRDefault="00615F25">
            <w:pPr>
              <w:jc w:val="center"/>
              <w:rPr>
                <w:rFonts w:cs="Arial"/>
                <w:sz w:val="20"/>
                <w:szCs w:val="20"/>
              </w:rPr>
            </w:pPr>
            <w:r>
              <w:rPr>
                <w:rFonts w:cs="Arial"/>
                <w:sz w:val="20"/>
                <w:szCs w:val="20"/>
              </w:rPr>
              <w:t>204</w:t>
            </w:r>
          </w:p>
        </w:tc>
      </w:tr>
      <w:tr w:rsidR="00615F25" w:rsidRPr="00405CDE" w:rsidTr="00F114D5">
        <w:trPr>
          <w:trHeight w:val="510"/>
        </w:trPr>
        <w:tc>
          <w:tcPr>
            <w:tcW w:w="1100" w:type="pct"/>
            <w:tcBorders>
              <w:top w:val="nil"/>
              <w:bottom w:val="nil"/>
            </w:tcBorders>
            <w:vAlign w:val="center"/>
          </w:tcPr>
          <w:p w:rsidR="00615F25" w:rsidRDefault="00615F25">
            <w:pPr>
              <w:rPr>
                <w:rFonts w:cs="Arial"/>
                <w:sz w:val="20"/>
                <w:szCs w:val="20"/>
              </w:rPr>
            </w:pPr>
            <w:r>
              <w:rPr>
                <w:rFonts w:cs="Arial"/>
                <w:sz w:val="20"/>
                <w:szCs w:val="20"/>
              </w:rPr>
              <w:t>Ex post price ($/GJ)</w:t>
            </w:r>
          </w:p>
        </w:tc>
        <w:tc>
          <w:tcPr>
            <w:tcW w:w="597" w:type="pct"/>
            <w:tcBorders>
              <w:top w:val="nil"/>
              <w:bottom w:val="nil"/>
            </w:tcBorders>
            <w:vAlign w:val="center"/>
          </w:tcPr>
          <w:p w:rsidR="00615F25" w:rsidRDefault="00615F25">
            <w:pPr>
              <w:jc w:val="center"/>
              <w:rPr>
                <w:rFonts w:cs="Arial"/>
                <w:sz w:val="20"/>
                <w:szCs w:val="20"/>
              </w:rPr>
            </w:pPr>
            <w:r>
              <w:rPr>
                <w:rFonts w:cs="Arial"/>
                <w:sz w:val="20"/>
                <w:szCs w:val="20"/>
              </w:rPr>
              <w:t>1.00</w:t>
            </w:r>
          </w:p>
        </w:tc>
        <w:tc>
          <w:tcPr>
            <w:tcW w:w="523" w:type="pct"/>
            <w:tcBorders>
              <w:top w:val="nil"/>
              <w:bottom w:val="nil"/>
            </w:tcBorders>
            <w:vAlign w:val="center"/>
          </w:tcPr>
          <w:p w:rsidR="00615F25" w:rsidRDefault="00615F25">
            <w:pPr>
              <w:jc w:val="center"/>
              <w:rPr>
                <w:rFonts w:cs="Arial"/>
                <w:sz w:val="20"/>
                <w:szCs w:val="20"/>
              </w:rPr>
            </w:pPr>
            <w:r>
              <w:rPr>
                <w:rFonts w:cs="Arial"/>
                <w:sz w:val="20"/>
                <w:szCs w:val="20"/>
              </w:rPr>
              <w:t>2.50</w:t>
            </w:r>
          </w:p>
        </w:tc>
        <w:tc>
          <w:tcPr>
            <w:tcW w:w="606" w:type="pct"/>
            <w:tcBorders>
              <w:top w:val="nil"/>
              <w:bottom w:val="nil"/>
            </w:tcBorders>
            <w:vAlign w:val="center"/>
          </w:tcPr>
          <w:p w:rsidR="00615F25" w:rsidRDefault="00615F25">
            <w:pPr>
              <w:jc w:val="center"/>
              <w:rPr>
                <w:rFonts w:cs="Arial"/>
                <w:sz w:val="20"/>
                <w:szCs w:val="20"/>
              </w:rPr>
            </w:pPr>
            <w:r>
              <w:rPr>
                <w:rFonts w:cs="Arial"/>
                <w:sz w:val="20"/>
                <w:szCs w:val="20"/>
              </w:rPr>
              <w:t>5.10</w:t>
            </w:r>
          </w:p>
        </w:tc>
        <w:tc>
          <w:tcPr>
            <w:tcW w:w="532" w:type="pct"/>
            <w:tcBorders>
              <w:top w:val="nil"/>
              <w:bottom w:val="nil"/>
            </w:tcBorders>
            <w:vAlign w:val="center"/>
          </w:tcPr>
          <w:p w:rsidR="00615F25" w:rsidRDefault="00615F25">
            <w:pPr>
              <w:jc w:val="center"/>
              <w:rPr>
                <w:rFonts w:cs="Arial"/>
                <w:sz w:val="20"/>
                <w:szCs w:val="20"/>
              </w:rPr>
            </w:pPr>
            <w:r>
              <w:rPr>
                <w:rFonts w:cs="Arial"/>
                <w:sz w:val="20"/>
                <w:szCs w:val="20"/>
              </w:rPr>
              <w:t>5.23</w:t>
            </w:r>
          </w:p>
        </w:tc>
        <w:tc>
          <w:tcPr>
            <w:tcW w:w="525" w:type="pct"/>
            <w:tcBorders>
              <w:top w:val="nil"/>
              <w:bottom w:val="nil"/>
            </w:tcBorders>
            <w:vAlign w:val="center"/>
          </w:tcPr>
          <w:p w:rsidR="00615F25" w:rsidRDefault="00615F25">
            <w:pPr>
              <w:jc w:val="center"/>
              <w:rPr>
                <w:rFonts w:cs="Arial"/>
                <w:sz w:val="20"/>
                <w:szCs w:val="20"/>
              </w:rPr>
            </w:pPr>
            <w:r>
              <w:rPr>
                <w:rFonts w:cs="Arial"/>
                <w:sz w:val="20"/>
                <w:szCs w:val="20"/>
              </w:rPr>
              <w:t>5.10</w:t>
            </w:r>
          </w:p>
        </w:tc>
        <w:tc>
          <w:tcPr>
            <w:tcW w:w="522" w:type="pct"/>
            <w:tcBorders>
              <w:top w:val="nil"/>
              <w:bottom w:val="nil"/>
            </w:tcBorders>
            <w:vAlign w:val="center"/>
          </w:tcPr>
          <w:p w:rsidR="00615F25" w:rsidRDefault="00615F25">
            <w:pPr>
              <w:jc w:val="center"/>
              <w:rPr>
                <w:rFonts w:cs="Arial"/>
                <w:sz w:val="20"/>
                <w:szCs w:val="20"/>
              </w:rPr>
            </w:pPr>
            <w:r>
              <w:rPr>
                <w:rFonts w:cs="Arial"/>
                <w:sz w:val="20"/>
                <w:szCs w:val="20"/>
              </w:rPr>
              <w:t>3.54</w:t>
            </w:r>
          </w:p>
        </w:tc>
        <w:tc>
          <w:tcPr>
            <w:tcW w:w="595" w:type="pct"/>
            <w:tcBorders>
              <w:top w:val="nil"/>
              <w:bottom w:val="nil"/>
            </w:tcBorders>
            <w:vAlign w:val="center"/>
          </w:tcPr>
          <w:p w:rsidR="00615F25" w:rsidRDefault="00615F25">
            <w:pPr>
              <w:jc w:val="center"/>
              <w:rPr>
                <w:rFonts w:cs="Arial"/>
                <w:sz w:val="20"/>
                <w:szCs w:val="20"/>
              </w:rPr>
            </w:pPr>
            <w:r>
              <w:rPr>
                <w:rFonts w:cs="Arial"/>
                <w:sz w:val="20"/>
                <w:szCs w:val="20"/>
              </w:rPr>
              <w:t>3.54</w:t>
            </w:r>
          </w:p>
        </w:tc>
      </w:tr>
      <w:tr w:rsidR="00615F25"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615F25" w:rsidRDefault="00615F25">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169</w:t>
            </w:r>
          </w:p>
        </w:tc>
        <w:tc>
          <w:tcPr>
            <w:tcW w:w="523"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199</w:t>
            </w:r>
          </w:p>
        </w:tc>
        <w:tc>
          <w:tcPr>
            <w:tcW w:w="606"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262</w:t>
            </w:r>
          </w:p>
        </w:tc>
        <w:tc>
          <w:tcPr>
            <w:tcW w:w="532"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268</w:t>
            </w:r>
          </w:p>
        </w:tc>
        <w:tc>
          <w:tcPr>
            <w:tcW w:w="525"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258</w:t>
            </w:r>
          </w:p>
        </w:tc>
        <w:tc>
          <w:tcPr>
            <w:tcW w:w="522"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229</w:t>
            </w:r>
          </w:p>
        </w:tc>
        <w:tc>
          <w:tcPr>
            <w:tcW w:w="595"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184</w:t>
            </w:r>
          </w:p>
        </w:tc>
      </w:tr>
    </w:tbl>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CA02F8" w:rsidP="00362B9A">
      <w:r>
        <w:pict>
          <v:shape id="_x0000_i1034" type="#_x0000_t75" alt="Figure 2.2 shows the daily hub offers and bid in within certain price bands in Sydney this week. The line indicates the scheduled quantity for each day. For a more detailed description of this figure, please refer to the user guide." style="width:475.8pt;height:171.05pt">
            <v:imagedata r:id="rId22" o:title=""/>
          </v:shape>
        </w:pict>
      </w:r>
    </w:p>
    <w:p w:rsidR="00BC18FB" w:rsidRPr="00DD0358" w:rsidRDefault="00362B9A" w:rsidP="00FF0D8A">
      <w:pPr>
        <w:pStyle w:val="Heading4"/>
        <w:ind w:hanging="338"/>
        <w:rPr>
          <w:color w:val="2272A3"/>
          <w:sz w:val="24"/>
          <w:szCs w:val="24"/>
        </w:rPr>
      </w:pPr>
      <w:r w:rsidRPr="00DD0358">
        <w:rPr>
          <w:color w:val="2272A3"/>
          <w:sz w:val="24"/>
          <w:szCs w:val="24"/>
        </w:rPr>
        <w:lastRenderedPageBreak/>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CA02F8" w:rsidP="00362B9A">
      <w:r>
        <w:pict>
          <v:shape id="_x0000_i1035" type="#_x0000_t75" alt="Figure 2.3 shows the daily scheduled and allocated quantities sorted by facility for Sydney this week. For a more detailed description of this figure, please refer to the user guide." style="width:478.1pt;height:213.7pt">
            <v:imagedata r:id="rId23" o:title=""/>
          </v:shape>
        </w:pict>
      </w:r>
    </w:p>
    <w:p w:rsidR="00BC18FB" w:rsidRPr="00DD0358" w:rsidRDefault="00362B9A" w:rsidP="00FF0D8A">
      <w:pPr>
        <w:pStyle w:val="Heading4"/>
        <w:ind w:hanging="338"/>
        <w:rPr>
          <w:color w:val="2272A3"/>
          <w:sz w:val="24"/>
          <w:szCs w:val="24"/>
        </w:rPr>
      </w:pPr>
      <w:r w:rsidRPr="00DD0358">
        <w:rPr>
          <w:color w:val="2272A3"/>
          <w:sz w:val="24"/>
          <w:szCs w:val="24"/>
        </w:rPr>
        <w:t>SYD MOS allocations (TJ), service payments and commodity payments/charges ($000)</w:t>
      </w:r>
    </w:p>
    <w:p w:rsidR="00362B9A" w:rsidRDefault="00CA02F8" w:rsidP="00362B9A">
      <w:r>
        <w:pict>
          <v:shape id="_x0000_i1036" type="#_x0000_t75" alt="Figure 2.4 shows the daily MOS allocations sorted by facility for each facility in Sydney this week. The figure also shows the daily breakdown of costs associated with the MOS provided. For a more detailed description of this figure, please refer to the user guide." style="width:475.8pt;height:179.7pt">
            <v:imagedata r:id="rId24" o:title=""/>
          </v:shape>
        </w:pict>
      </w:r>
    </w:p>
    <w:p w:rsidR="00BC18FB" w:rsidRDefault="00AE309F"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szCs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7A51E1" w:rsidRPr="00405CDE" w:rsidTr="00DF127B">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615F25" w:rsidRPr="00405CDE" w:rsidTr="00DF127B">
        <w:trPr>
          <w:trHeight w:val="510"/>
        </w:trPr>
        <w:tc>
          <w:tcPr>
            <w:tcW w:w="1100" w:type="pct"/>
            <w:tcBorders>
              <w:top w:val="nil"/>
              <w:bottom w:val="nil"/>
            </w:tcBorders>
            <w:vAlign w:val="center"/>
          </w:tcPr>
          <w:p w:rsidR="00615F25" w:rsidRDefault="00615F25">
            <w:pPr>
              <w:rPr>
                <w:rFonts w:cs="Arial"/>
                <w:sz w:val="20"/>
                <w:szCs w:val="20"/>
              </w:rPr>
            </w:pPr>
            <w:r>
              <w:rPr>
                <w:rFonts w:cs="Arial"/>
                <w:sz w:val="20"/>
                <w:szCs w:val="20"/>
              </w:rPr>
              <w:t>Ex ante price ($/GJ)</w:t>
            </w:r>
          </w:p>
        </w:tc>
        <w:tc>
          <w:tcPr>
            <w:tcW w:w="597" w:type="pct"/>
            <w:tcBorders>
              <w:top w:val="nil"/>
              <w:bottom w:val="nil"/>
            </w:tcBorders>
            <w:vAlign w:val="center"/>
          </w:tcPr>
          <w:p w:rsidR="00615F25" w:rsidRDefault="00615F25">
            <w:pPr>
              <w:jc w:val="center"/>
              <w:rPr>
                <w:rFonts w:cs="Arial"/>
                <w:sz w:val="20"/>
                <w:szCs w:val="20"/>
              </w:rPr>
            </w:pPr>
            <w:r>
              <w:rPr>
                <w:rFonts w:cs="Arial"/>
                <w:sz w:val="20"/>
                <w:szCs w:val="20"/>
              </w:rPr>
              <w:t>3.88</w:t>
            </w:r>
          </w:p>
        </w:tc>
        <w:tc>
          <w:tcPr>
            <w:tcW w:w="523" w:type="pct"/>
            <w:tcBorders>
              <w:top w:val="nil"/>
              <w:bottom w:val="nil"/>
            </w:tcBorders>
            <w:vAlign w:val="center"/>
          </w:tcPr>
          <w:p w:rsidR="00615F25" w:rsidRDefault="00615F25">
            <w:pPr>
              <w:jc w:val="center"/>
              <w:rPr>
                <w:rFonts w:cs="Arial"/>
                <w:sz w:val="20"/>
                <w:szCs w:val="20"/>
              </w:rPr>
            </w:pPr>
            <w:r>
              <w:rPr>
                <w:rFonts w:cs="Arial"/>
                <w:sz w:val="20"/>
                <w:szCs w:val="20"/>
              </w:rPr>
              <w:t>7.43</w:t>
            </w:r>
          </w:p>
        </w:tc>
        <w:tc>
          <w:tcPr>
            <w:tcW w:w="606" w:type="pct"/>
            <w:tcBorders>
              <w:top w:val="nil"/>
              <w:bottom w:val="nil"/>
            </w:tcBorders>
            <w:vAlign w:val="center"/>
          </w:tcPr>
          <w:p w:rsidR="00615F25" w:rsidRDefault="00615F25">
            <w:pPr>
              <w:jc w:val="center"/>
              <w:rPr>
                <w:rFonts w:cs="Arial"/>
                <w:sz w:val="20"/>
                <w:szCs w:val="20"/>
              </w:rPr>
            </w:pPr>
            <w:r>
              <w:rPr>
                <w:rFonts w:cs="Arial"/>
                <w:sz w:val="20"/>
                <w:szCs w:val="20"/>
              </w:rPr>
              <w:t>9.50</w:t>
            </w:r>
          </w:p>
        </w:tc>
        <w:tc>
          <w:tcPr>
            <w:tcW w:w="532" w:type="pct"/>
            <w:tcBorders>
              <w:top w:val="nil"/>
              <w:bottom w:val="nil"/>
            </w:tcBorders>
            <w:vAlign w:val="center"/>
          </w:tcPr>
          <w:p w:rsidR="00615F25" w:rsidRDefault="00615F25">
            <w:pPr>
              <w:jc w:val="center"/>
              <w:rPr>
                <w:rFonts w:cs="Arial"/>
                <w:sz w:val="20"/>
                <w:szCs w:val="20"/>
              </w:rPr>
            </w:pPr>
            <w:r>
              <w:rPr>
                <w:rFonts w:cs="Arial"/>
                <w:sz w:val="20"/>
                <w:szCs w:val="20"/>
              </w:rPr>
              <w:t>8.00</w:t>
            </w:r>
          </w:p>
        </w:tc>
        <w:tc>
          <w:tcPr>
            <w:tcW w:w="525" w:type="pct"/>
            <w:tcBorders>
              <w:top w:val="nil"/>
              <w:bottom w:val="nil"/>
            </w:tcBorders>
            <w:vAlign w:val="center"/>
          </w:tcPr>
          <w:p w:rsidR="00615F25" w:rsidRDefault="00615F25">
            <w:pPr>
              <w:jc w:val="center"/>
              <w:rPr>
                <w:rFonts w:cs="Arial"/>
                <w:sz w:val="20"/>
                <w:szCs w:val="20"/>
              </w:rPr>
            </w:pPr>
            <w:r>
              <w:rPr>
                <w:rFonts w:cs="Arial"/>
                <w:sz w:val="20"/>
                <w:szCs w:val="20"/>
              </w:rPr>
              <w:t>6.38</w:t>
            </w:r>
          </w:p>
        </w:tc>
        <w:tc>
          <w:tcPr>
            <w:tcW w:w="522" w:type="pct"/>
            <w:tcBorders>
              <w:top w:val="nil"/>
              <w:bottom w:val="nil"/>
            </w:tcBorders>
            <w:vAlign w:val="center"/>
          </w:tcPr>
          <w:p w:rsidR="00615F25" w:rsidRDefault="00615F25">
            <w:pPr>
              <w:jc w:val="center"/>
              <w:rPr>
                <w:rFonts w:cs="Arial"/>
                <w:sz w:val="20"/>
                <w:szCs w:val="20"/>
              </w:rPr>
            </w:pPr>
            <w:r>
              <w:rPr>
                <w:rFonts w:cs="Arial"/>
                <w:sz w:val="20"/>
                <w:szCs w:val="20"/>
              </w:rPr>
              <w:t>6.47</w:t>
            </w:r>
          </w:p>
        </w:tc>
        <w:tc>
          <w:tcPr>
            <w:tcW w:w="595" w:type="pct"/>
            <w:tcBorders>
              <w:top w:val="nil"/>
              <w:bottom w:val="nil"/>
            </w:tcBorders>
            <w:vAlign w:val="center"/>
          </w:tcPr>
          <w:p w:rsidR="00615F25" w:rsidRDefault="00615F25">
            <w:pPr>
              <w:jc w:val="center"/>
              <w:rPr>
                <w:rFonts w:cs="Arial"/>
                <w:sz w:val="20"/>
                <w:szCs w:val="20"/>
              </w:rPr>
            </w:pPr>
            <w:r>
              <w:rPr>
                <w:rFonts w:cs="Arial"/>
                <w:sz w:val="20"/>
                <w:szCs w:val="20"/>
              </w:rPr>
              <w:t>6.40</w:t>
            </w:r>
          </w:p>
        </w:tc>
      </w:tr>
      <w:tr w:rsidR="00615F25" w:rsidRPr="00405CDE" w:rsidTr="00DF127B">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615F25" w:rsidRDefault="00615F25">
            <w:pPr>
              <w:rPr>
                <w:rFonts w:cs="Arial"/>
                <w:sz w:val="20"/>
                <w:szCs w:val="20"/>
              </w:rPr>
            </w:pPr>
            <w:r>
              <w:rPr>
                <w:rFonts w:cs="Arial"/>
                <w:sz w:val="20"/>
                <w:szCs w:val="20"/>
              </w:rPr>
              <w:t>Ex ante quantity (TJ)</w:t>
            </w:r>
          </w:p>
        </w:tc>
        <w:tc>
          <w:tcPr>
            <w:tcW w:w="597" w:type="pct"/>
            <w:tcBorders>
              <w:top w:val="nil"/>
              <w:bottom w:val="nil"/>
            </w:tcBorders>
            <w:vAlign w:val="center"/>
          </w:tcPr>
          <w:p w:rsidR="00615F25" w:rsidRDefault="00615F25">
            <w:pPr>
              <w:jc w:val="center"/>
              <w:rPr>
                <w:rFonts w:cs="Arial"/>
                <w:sz w:val="20"/>
                <w:szCs w:val="20"/>
              </w:rPr>
            </w:pPr>
            <w:r>
              <w:rPr>
                <w:rFonts w:cs="Arial"/>
                <w:sz w:val="20"/>
                <w:szCs w:val="20"/>
              </w:rPr>
              <w:t>36</w:t>
            </w:r>
          </w:p>
        </w:tc>
        <w:tc>
          <w:tcPr>
            <w:tcW w:w="523" w:type="pct"/>
            <w:tcBorders>
              <w:top w:val="nil"/>
              <w:bottom w:val="nil"/>
            </w:tcBorders>
            <w:vAlign w:val="center"/>
          </w:tcPr>
          <w:p w:rsidR="00615F25" w:rsidRDefault="00615F25">
            <w:pPr>
              <w:jc w:val="center"/>
              <w:rPr>
                <w:rFonts w:cs="Arial"/>
                <w:sz w:val="20"/>
                <w:szCs w:val="20"/>
              </w:rPr>
            </w:pPr>
            <w:r>
              <w:rPr>
                <w:rFonts w:cs="Arial"/>
                <w:sz w:val="20"/>
                <w:szCs w:val="20"/>
              </w:rPr>
              <w:t>44</w:t>
            </w:r>
          </w:p>
        </w:tc>
        <w:tc>
          <w:tcPr>
            <w:tcW w:w="606" w:type="pct"/>
            <w:tcBorders>
              <w:top w:val="nil"/>
              <w:bottom w:val="nil"/>
            </w:tcBorders>
            <w:vAlign w:val="center"/>
          </w:tcPr>
          <w:p w:rsidR="00615F25" w:rsidRDefault="00615F25">
            <w:pPr>
              <w:jc w:val="center"/>
              <w:rPr>
                <w:rFonts w:cs="Arial"/>
                <w:sz w:val="20"/>
                <w:szCs w:val="20"/>
              </w:rPr>
            </w:pPr>
            <w:r>
              <w:rPr>
                <w:rFonts w:cs="Arial"/>
                <w:sz w:val="20"/>
                <w:szCs w:val="20"/>
              </w:rPr>
              <w:t>49</w:t>
            </w:r>
          </w:p>
        </w:tc>
        <w:tc>
          <w:tcPr>
            <w:tcW w:w="532" w:type="pct"/>
            <w:tcBorders>
              <w:top w:val="nil"/>
              <w:bottom w:val="nil"/>
            </w:tcBorders>
            <w:vAlign w:val="center"/>
          </w:tcPr>
          <w:p w:rsidR="00615F25" w:rsidRDefault="00615F25">
            <w:pPr>
              <w:jc w:val="center"/>
              <w:rPr>
                <w:rFonts w:cs="Arial"/>
                <w:sz w:val="20"/>
                <w:szCs w:val="20"/>
              </w:rPr>
            </w:pPr>
            <w:r>
              <w:rPr>
                <w:rFonts w:cs="Arial"/>
                <w:sz w:val="20"/>
                <w:szCs w:val="20"/>
              </w:rPr>
              <w:t>51</w:t>
            </w:r>
          </w:p>
        </w:tc>
        <w:tc>
          <w:tcPr>
            <w:tcW w:w="525" w:type="pct"/>
            <w:tcBorders>
              <w:top w:val="nil"/>
              <w:bottom w:val="nil"/>
            </w:tcBorders>
            <w:vAlign w:val="center"/>
          </w:tcPr>
          <w:p w:rsidR="00615F25" w:rsidRDefault="00615F25">
            <w:pPr>
              <w:jc w:val="center"/>
              <w:rPr>
                <w:rFonts w:cs="Arial"/>
                <w:sz w:val="20"/>
                <w:szCs w:val="20"/>
              </w:rPr>
            </w:pPr>
            <w:r>
              <w:rPr>
                <w:rFonts w:cs="Arial"/>
                <w:sz w:val="20"/>
                <w:szCs w:val="20"/>
              </w:rPr>
              <w:t>49</w:t>
            </w:r>
          </w:p>
        </w:tc>
        <w:tc>
          <w:tcPr>
            <w:tcW w:w="522" w:type="pct"/>
            <w:tcBorders>
              <w:top w:val="nil"/>
              <w:bottom w:val="nil"/>
            </w:tcBorders>
            <w:vAlign w:val="center"/>
          </w:tcPr>
          <w:p w:rsidR="00615F25" w:rsidRDefault="00615F25">
            <w:pPr>
              <w:jc w:val="center"/>
              <w:rPr>
                <w:rFonts w:cs="Arial"/>
                <w:sz w:val="20"/>
                <w:szCs w:val="20"/>
              </w:rPr>
            </w:pPr>
            <w:r>
              <w:rPr>
                <w:rFonts w:cs="Arial"/>
                <w:sz w:val="20"/>
                <w:szCs w:val="20"/>
              </w:rPr>
              <w:t>48</w:t>
            </w:r>
          </w:p>
        </w:tc>
        <w:tc>
          <w:tcPr>
            <w:tcW w:w="595" w:type="pct"/>
            <w:tcBorders>
              <w:top w:val="nil"/>
              <w:bottom w:val="nil"/>
            </w:tcBorders>
            <w:vAlign w:val="center"/>
          </w:tcPr>
          <w:p w:rsidR="00615F25" w:rsidRDefault="00615F25">
            <w:pPr>
              <w:jc w:val="center"/>
              <w:rPr>
                <w:rFonts w:cs="Arial"/>
                <w:sz w:val="20"/>
                <w:szCs w:val="20"/>
              </w:rPr>
            </w:pPr>
            <w:r>
              <w:rPr>
                <w:rFonts w:cs="Arial"/>
                <w:sz w:val="20"/>
                <w:szCs w:val="20"/>
              </w:rPr>
              <w:t>38</w:t>
            </w:r>
          </w:p>
        </w:tc>
      </w:tr>
      <w:tr w:rsidR="00615F25" w:rsidRPr="00405CDE" w:rsidTr="00DF127B">
        <w:trPr>
          <w:trHeight w:val="510"/>
        </w:trPr>
        <w:tc>
          <w:tcPr>
            <w:tcW w:w="1100" w:type="pct"/>
            <w:tcBorders>
              <w:top w:val="nil"/>
              <w:bottom w:val="nil"/>
            </w:tcBorders>
            <w:vAlign w:val="center"/>
          </w:tcPr>
          <w:p w:rsidR="00615F25" w:rsidRDefault="00615F25">
            <w:pPr>
              <w:rPr>
                <w:rFonts w:cs="Arial"/>
                <w:sz w:val="20"/>
                <w:szCs w:val="20"/>
              </w:rPr>
            </w:pPr>
            <w:r>
              <w:rPr>
                <w:rFonts w:cs="Arial"/>
                <w:sz w:val="20"/>
                <w:szCs w:val="20"/>
              </w:rPr>
              <w:t>Ex post price ($/GJ)</w:t>
            </w:r>
          </w:p>
        </w:tc>
        <w:tc>
          <w:tcPr>
            <w:tcW w:w="597" w:type="pct"/>
            <w:tcBorders>
              <w:top w:val="nil"/>
              <w:bottom w:val="nil"/>
            </w:tcBorders>
            <w:vAlign w:val="center"/>
          </w:tcPr>
          <w:p w:rsidR="00615F25" w:rsidRDefault="00615F25">
            <w:pPr>
              <w:jc w:val="center"/>
              <w:rPr>
                <w:rFonts w:cs="Arial"/>
                <w:sz w:val="20"/>
                <w:szCs w:val="20"/>
              </w:rPr>
            </w:pPr>
            <w:r>
              <w:rPr>
                <w:rFonts w:cs="Arial"/>
                <w:sz w:val="20"/>
                <w:szCs w:val="20"/>
              </w:rPr>
              <w:t>3.10</w:t>
            </w:r>
          </w:p>
        </w:tc>
        <w:tc>
          <w:tcPr>
            <w:tcW w:w="523" w:type="pct"/>
            <w:tcBorders>
              <w:top w:val="nil"/>
              <w:bottom w:val="nil"/>
            </w:tcBorders>
            <w:vAlign w:val="center"/>
          </w:tcPr>
          <w:p w:rsidR="00615F25" w:rsidRDefault="00615F25">
            <w:pPr>
              <w:jc w:val="center"/>
              <w:rPr>
                <w:rFonts w:cs="Arial"/>
                <w:sz w:val="20"/>
                <w:szCs w:val="20"/>
              </w:rPr>
            </w:pPr>
            <w:r>
              <w:rPr>
                <w:rFonts w:cs="Arial"/>
                <w:sz w:val="20"/>
                <w:szCs w:val="20"/>
              </w:rPr>
              <w:t>7.30</w:t>
            </w:r>
          </w:p>
        </w:tc>
        <w:tc>
          <w:tcPr>
            <w:tcW w:w="606" w:type="pct"/>
            <w:tcBorders>
              <w:top w:val="nil"/>
              <w:bottom w:val="nil"/>
            </w:tcBorders>
            <w:vAlign w:val="center"/>
          </w:tcPr>
          <w:p w:rsidR="00615F25" w:rsidRDefault="00615F25">
            <w:pPr>
              <w:jc w:val="center"/>
              <w:rPr>
                <w:rFonts w:cs="Arial"/>
                <w:sz w:val="20"/>
                <w:szCs w:val="20"/>
              </w:rPr>
            </w:pPr>
            <w:r>
              <w:rPr>
                <w:rFonts w:cs="Arial"/>
                <w:sz w:val="20"/>
                <w:szCs w:val="20"/>
              </w:rPr>
              <w:t>9.50</w:t>
            </w:r>
          </w:p>
        </w:tc>
        <w:tc>
          <w:tcPr>
            <w:tcW w:w="532" w:type="pct"/>
            <w:tcBorders>
              <w:top w:val="nil"/>
              <w:bottom w:val="nil"/>
            </w:tcBorders>
            <w:vAlign w:val="center"/>
          </w:tcPr>
          <w:p w:rsidR="00615F25" w:rsidRDefault="00615F25">
            <w:pPr>
              <w:jc w:val="center"/>
              <w:rPr>
                <w:rFonts w:cs="Arial"/>
                <w:sz w:val="20"/>
                <w:szCs w:val="20"/>
              </w:rPr>
            </w:pPr>
            <w:r>
              <w:rPr>
                <w:rFonts w:cs="Arial"/>
                <w:sz w:val="20"/>
                <w:szCs w:val="20"/>
              </w:rPr>
              <w:t>6.94</w:t>
            </w:r>
          </w:p>
        </w:tc>
        <w:tc>
          <w:tcPr>
            <w:tcW w:w="525" w:type="pct"/>
            <w:tcBorders>
              <w:top w:val="nil"/>
              <w:bottom w:val="nil"/>
            </w:tcBorders>
            <w:vAlign w:val="center"/>
          </w:tcPr>
          <w:p w:rsidR="00615F25" w:rsidRDefault="00615F25">
            <w:pPr>
              <w:jc w:val="center"/>
              <w:rPr>
                <w:rFonts w:cs="Arial"/>
                <w:sz w:val="20"/>
                <w:szCs w:val="20"/>
              </w:rPr>
            </w:pPr>
            <w:r>
              <w:rPr>
                <w:rFonts w:cs="Arial"/>
                <w:sz w:val="20"/>
                <w:szCs w:val="20"/>
              </w:rPr>
              <w:t>6.95</w:t>
            </w:r>
          </w:p>
        </w:tc>
        <w:tc>
          <w:tcPr>
            <w:tcW w:w="522" w:type="pct"/>
            <w:tcBorders>
              <w:top w:val="nil"/>
              <w:bottom w:val="nil"/>
            </w:tcBorders>
            <w:vAlign w:val="center"/>
          </w:tcPr>
          <w:p w:rsidR="00615F25" w:rsidRDefault="00615F25">
            <w:pPr>
              <w:jc w:val="center"/>
              <w:rPr>
                <w:rFonts w:cs="Arial"/>
                <w:sz w:val="20"/>
                <w:szCs w:val="20"/>
              </w:rPr>
            </w:pPr>
            <w:r>
              <w:rPr>
                <w:rFonts w:cs="Arial"/>
                <w:sz w:val="20"/>
                <w:szCs w:val="20"/>
              </w:rPr>
              <w:t>6.35</w:t>
            </w:r>
          </w:p>
        </w:tc>
        <w:tc>
          <w:tcPr>
            <w:tcW w:w="595" w:type="pct"/>
            <w:tcBorders>
              <w:top w:val="nil"/>
              <w:bottom w:val="nil"/>
            </w:tcBorders>
            <w:vAlign w:val="center"/>
          </w:tcPr>
          <w:p w:rsidR="00615F25" w:rsidRDefault="00615F25">
            <w:pPr>
              <w:jc w:val="center"/>
              <w:rPr>
                <w:rFonts w:cs="Arial"/>
                <w:sz w:val="20"/>
                <w:szCs w:val="20"/>
              </w:rPr>
            </w:pPr>
            <w:r>
              <w:rPr>
                <w:rFonts w:cs="Arial"/>
                <w:sz w:val="20"/>
                <w:szCs w:val="20"/>
              </w:rPr>
              <w:t>6.40</w:t>
            </w:r>
          </w:p>
        </w:tc>
      </w:tr>
      <w:tr w:rsidR="00615F25" w:rsidRPr="00405CDE" w:rsidTr="00DF127B">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615F25" w:rsidRDefault="00615F25">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25</w:t>
            </w:r>
          </w:p>
        </w:tc>
        <w:tc>
          <w:tcPr>
            <w:tcW w:w="523"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41</w:t>
            </w:r>
          </w:p>
        </w:tc>
        <w:tc>
          <w:tcPr>
            <w:tcW w:w="606"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49</w:t>
            </w:r>
          </w:p>
        </w:tc>
        <w:tc>
          <w:tcPr>
            <w:tcW w:w="532"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47</w:t>
            </w:r>
          </w:p>
        </w:tc>
        <w:tc>
          <w:tcPr>
            <w:tcW w:w="525"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51</w:t>
            </w:r>
          </w:p>
        </w:tc>
        <w:tc>
          <w:tcPr>
            <w:tcW w:w="522"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45</w:t>
            </w:r>
          </w:p>
        </w:tc>
        <w:tc>
          <w:tcPr>
            <w:tcW w:w="595"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38</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CA02F8" w:rsidP="00362B9A">
      <w:r>
        <w:pict>
          <v:shape id="_x0000_i1037" type="#_x0000_t75" alt="Figure 3.2 shows the daily hub offers and bid in within certain price bands in Adelaide this week. The line indicates the scheduled quantity for each day. For a more detailed description of this figure, please refer to the user guide." style="width:475.8pt;height:171.05pt">
            <v:imagedata r:id="rId25"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CA02F8" w:rsidP="00362B9A">
      <w:r>
        <w:pict>
          <v:shape id="_x0000_i1038" type="#_x0000_t75" alt="Figure 3.3 shows the daily scheduled and allocated quantities sorted by facility for Adelaide this week. For a more detailed description of this figure, please refer to the user guide." style="width:476.95pt;height:106.55pt;mso-position-vertical:absolute">
            <v:imagedata r:id="rId26" o:title=""/>
          </v:shape>
        </w:pict>
      </w:r>
    </w:p>
    <w:p w:rsidR="00BC18FB" w:rsidRPr="00DD0358" w:rsidRDefault="004560B0" w:rsidP="003625A6">
      <w:pPr>
        <w:pStyle w:val="Heading4"/>
        <w:ind w:hanging="338"/>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CA02F8" w:rsidP="00362B9A">
      <w:r>
        <w:pict>
          <v:shape id="_x0000_i1039" type="#_x0000_t75" alt="Figure 3.4 shows the daily MOS allocations sorted by facility for each facility in Adelaide this week. The figure also shows the daily breakdown of costs associated with the MOS provided. For a more detailed description of this figure, please refer to the user guide." style="width:476.35pt;height:149.75pt;mso-position-vertical:absolute">
            <v:imagedata r:id="rId27" o:title=""/>
          </v:shape>
        </w:pict>
      </w:r>
    </w:p>
    <w:p w:rsidR="00BC18FB" w:rsidRDefault="00AE309F" w:rsidP="003625A6">
      <w:pPr>
        <w:pStyle w:val="Heading3"/>
        <w:ind w:firstLine="0"/>
        <w:rPr>
          <w:color w:val="2272A3"/>
          <w:sz w:val="32"/>
          <w:szCs w:val="32"/>
        </w:rPr>
      </w:pPr>
      <w:r>
        <w:rPr>
          <w:color w:val="2272A3"/>
          <w:sz w:val="32"/>
          <w:szCs w:val="32"/>
        </w:rPr>
        <w:br w:type="page"/>
      </w:r>
      <w:r w:rsidR="00BC18FB" w:rsidRPr="003625A6">
        <w:rPr>
          <w:color w:val="2272A3"/>
          <w:sz w:val="32"/>
          <w:szCs w:val="32"/>
        </w:rPr>
        <w:lastRenderedPageBreak/>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szCs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DF127B">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615F25" w:rsidRPr="00405CDE" w:rsidTr="00DF127B">
        <w:trPr>
          <w:trHeight w:val="510"/>
        </w:trPr>
        <w:tc>
          <w:tcPr>
            <w:tcW w:w="1100" w:type="pct"/>
            <w:tcBorders>
              <w:top w:val="nil"/>
              <w:bottom w:val="nil"/>
            </w:tcBorders>
            <w:vAlign w:val="center"/>
          </w:tcPr>
          <w:p w:rsidR="00615F25" w:rsidRDefault="00615F25">
            <w:pPr>
              <w:rPr>
                <w:rFonts w:cs="Arial"/>
                <w:sz w:val="20"/>
                <w:szCs w:val="20"/>
              </w:rPr>
            </w:pPr>
            <w:r>
              <w:rPr>
                <w:rFonts w:cs="Arial"/>
                <w:sz w:val="20"/>
                <w:szCs w:val="20"/>
              </w:rPr>
              <w:t>Ex ante price ($/GJ)</w:t>
            </w:r>
          </w:p>
        </w:tc>
        <w:tc>
          <w:tcPr>
            <w:tcW w:w="597" w:type="pct"/>
            <w:tcBorders>
              <w:top w:val="nil"/>
              <w:bottom w:val="nil"/>
            </w:tcBorders>
            <w:vAlign w:val="center"/>
          </w:tcPr>
          <w:p w:rsidR="00615F25" w:rsidRDefault="00615F25">
            <w:pPr>
              <w:jc w:val="center"/>
              <w:rPr>
                <w:rFonts w:cs="Arial"/>
                <w:sz w:val="20"/>
                <w:szCs w:val="20"/>
              </w:rPr>
            </w:pPr>
            <w:r>
              <w:rPr>
                <w:rFonts w:cs="Arial"/>
                <w:sz w:val="20"/>
                <w:szCs w:val="20"/>
              </w:rPr>
              <w:t>5.14</w:t>
            </w:r>
          </w:p>
        </w:tc>
        <w:tc>
          <w:tcPr>
            <w:tcW w:w="523" w:type="pct"/>
            <w:tcBorders>
              <w:top w:val="nil"/>
              <w:bottom w:val="nil"/>
            </w:tcBorders>
            <w:vAlign w:val="center"/>
          </w:tcPr>
          <w:p w:rsidR="00615F25" w:rsidRDefault="00615F25">
            <w:pPr>
              <w:jc w:val="center"/>
              <w:rPr>
                <w:rFonts w:cs="Arial"/>
                <w:sz w:val="20"/>
                <w:szCs w:val="20"/>
              </w:rPr>
            </w:pPr>
            <w:r>
              <w:rPr>
                <w:rFonts w:cs="Arial"/>
                <w:sz w:val="20"/>
                <w:szCs w:val="20"/>
              </w:rPr>
              <w:t>5.14</w:t>
            </w:r>
          </w:p>
        </w:tc>
        <w:tc>
          <w:tcPr>
            <w:tcW w:w="606" w:type="pct"/>
            <w:tcBorders>
              <w:top w:val="nil"/>
              <w:bottom w:val="nil"/>
            </w:tcBorders>
            <w:vAlign w:val="center"/>
          </w:tcPr>
          <w:p w:rsidR="00615F25" w:rsidRDefault="00615F25">
            <w:pPr>
              <w:jc w:val="center"/>
              <w:rPr>
                <w:rFonts w:cs="Arial"/>
                <w:sz w:val="20"/>
                <w:szCs w:val="20"/>
              </w:rPr>
            </w:pPr>
            <w:r>
              <w:rPr>
                <w:rFonts w:cs="Arial"/>
                <w:sz w:val="20"/>
                <w:szCs w:val="20"/>
              </w:rPr>
              <w:t>7.02</w:t>
            </w:r>
          </w:p>
        </w:tc>
        <w:tc>
          <w:tcPr>
            <w:tcW w:w="532" w:type="pct"/>
            <w:tcBorders>
              <w:top w:val="nil"/>
              <w:bottom w:val="nil"/>
            </w:tcBorders>
            <w:vAlign w:val="center"/>
          </w:tcPr>
          <w:p w:rsidR="00615F25" w:rsidRDefault="00615F25">
            <w:pPr>
              <w:jc w:val="center"/>
              <w:rPr>
                <w:rFonts w:cs="Arial"/>
                <w:sz w:val="20"/>
                <w:szCs w:val="20"/>
              </w:rPr>
            </w:pPr>
            <w:r>
              <w:rPr>
                <w:rFonts w:cs="Arial"/>
                <w:sz w:val="20"/>
                <w:szCs w:val="20"/>
              </w:rPr>
              <w:t>6.00</w:t>
            </w:r>
          </w:p>
        </w:tc>
        <w:tc>
          <w:tcPr>
            <w:tcW w:w="525" w:type="pct"/>
            <w:tcBorders>
              <w:top w:val="nil"/>
              <w:bottom w:val="nil"/>
            </w:tcBorders>
            <w:vAlign w:val="center"/>
          </w:tcPr>
          <w:p w:rsidR="00615F25" w:rsidRDefault="00615F25">
            <w:pPr>
              <w:jc w:val="center"/>
              <w:rPr>
                <w:rFonts w:cs="Arial"/>
                <w:sz w:val="20"/>
                <w:szCs w:val="20"/>
              </w:rPr>
            </w:pPr>
            <w:r>
              <w:rPr>
                <w:rFonts w:cs="Arial"/>
                <w:sz w:val="20"/>
                <w:szCs w:val="20"/>
              </w:rPr>
              <w:t>6.00</w:t>
            </w:r>
          </w:p>
        </w:tc>
        <w:tc>
          <w:tcPr>
            <w:tcW w:w="522" w:type="pct"/>
            <w:tcBorders>
              <w:top w:val="nil"/>
              <w:bottom w:val="nil"/>
            </w:tcBorders>
            <w:vAlign w:val="center"/>
          </w:tcPr>
          <w:p w:rsidR="00615F25" w:rsidRDefault="00615F25">
            <w:pPr>
              <w:jc w:val="center"/>
              <w:rPr>
                <w:rFonts w:cs="Arial"/>
                <w:sz w:val="20"/>
                <w:szCs w:val="20"/>
              </w:rPr>
            </w:pPr>
            <w:r>
              <w:rPr>
                <w:rFonts w:cs="Arial"/>
                <w:sz w:val="20"/>
                <w:szCs w:val="20"/>
              </w:rPr>
              <w:t>5.95</w:t>
            </w:r>
          </w:p>
        </w:tc>
        <w:tc>
          <w:tcPr>
            <w:tcW w:w="595" w:type="pct"/>
            <w:tcBorders>
              <w:top w:val="nil"/>
              <w:bottom w:val="nil"/>
            </w:tcBorders>
            <w:vAlign w:val="center"/>
          </w:tcPr>
          <w:p w:rsidR="00615F25" w:rsidRDefault="00615F25">
            <w:pPr>
              <w:jc w:val="center"/>
              <w:rPr>
                <w:rFonts w:cs="Arial"/>
                <w:sz w:val="20"/>
                <w:szCs w:val="20"/>
              </w:rPr>
            </w:pPr>
            <w:r>
              <w:rPr>
                <w:rFonts w:cs="Arial"/>
                <w:sz w:val="20"/>
                <w:szCs w:val="20"/>
              </w:rPr>
              <w:t>5.95</w:t>
            </w:r>
          </w:p>
        </w:tc>
      </w:tr>
      <w:tr w:rsidR="00615F25" w:rsidRPr="00405CDE" w:rsidTr="00DF127B">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615F25" w:rsidRDefault="00615F25">
            <w:pPr>
              <w:rPr>
                <w:rFonts w:cs="Arial"/>
                <w:sz w:val="20"/>
                <w:szCs w:val="20"/>
              </w:rPr>
            </w:pPr>
            <w:r>
              <w:rPr>
                <w:rFonts w:cs="Arial"/>
                <w:sz w:val="20"/>
                <w:szCs w:val="20"/>
              </w:rPr>
              <w:t>Ex ante quantity (TJ)</w:t>
            </w:r>
          </w:p>
        </w:tc>
        <w:tc>
          <w:tcPr>
            <w:tcW w:w="597" w:type="pct"/>
            <w:tcBorders>
              <w:top w:val="nil"/>
              <w:bottom w:val="nil"/>
            </w:tcBorders>
            <w:vAlign w:val="center"/>
          </w:tcPr>
          <w:p w:rsidR="00615F25" w:rsidRDefault="00615F25">
            <w:pPr>
              <w:jc w:val="center"/>
              <w:rPr>
                <w:rFonts w:cs="Arial"/>
                <w:sz w:val="20"/>
                <w:szCs w:val="20"/>
              </w:rPr>
            </w:pPr>
            <w:r>
              <w:rPr>
                <w:rFonts w:cs="Arial"/>
                <w:sz w:val="20"/>
                <w:szCs w:val="20"/>
              </w:rPr>
              <w:t>72</w:t>
            </w:r>
          </w:p>
        </w:tc>
        <w:tc>
          <w:tcPr>
            <w:tcW w:w="523" w:type="pct"/>
            <w:tcBorders>
              <w:top w:val="nil"/>
              <w:bottom w:val="nil"/>
            </w:tcBorders>
            <w:vAlign w:val="center"/>
          </w:tcPr>
          <w:p w:rsidR="00615F25" w:rsidRDefault="00615F25">
            <w:pPr>
              <w:jc w:val="center"/>
              <w:rPr>
                <w:rFonts w:cs="Arial"/>
                <w:sz w:val="20"/>
                <w:szCs w:val="20"/>
              </w:rPr>
            </w:pPr>
            <w:r>
              <w:rPr>
                <w:rFonts w:cs="Arial"/>
                <w:sz w:val="20"/>
                <w:szCs w:val="20"/>
              </w:rPr>
              <w:t>84</w:t>
            </w:r>
          </w:p>
        </w:tc>
        <w:tc>
          <w:tcPr>
            <w:tcW w:w="606" w:type="pct"/>
            <w:tcBorders>
              <w:top w:val="nil"/>
              <w:bottom w:val="nil"/>
            </w:tcBorders>
            <w:vAlign w:val="center"/>
          </w:tcPr>
          <w:p w:rsidR="00615F25" w:rsidRDefault="00615F25">
            <w:pPr>
              <w:jc w:val="center"/>
              <w:rPr>
                <w:rFonts w:cs="Arial"/>
                <w:sz w:val="20"/>
                <w:szCs w:val="20"/>
              </w:rPr>
            </w:pPr>
            <w:r>
              <w:rPr>
                <w:rFonts w:cs="Arial"/>
                <w:sz w:val="20"/>
                <w:szCs w:val="20"/>
              </w:rPr>
              <w:t>84</w:t>
            </w:r>
          </w:p>
        </w:tc>
        <w:tc>
          <w:tcPr>
            <w:tcW w:w="532" w:type="pct"/>
            <w:tcBorders>
              <w:top w:val="nil"/>
              <w:bottom w:val="nil"/>
            </w:tcBorders>
            <w:vAlign w:val="center"/>
          </w:tcPr>
          <w:p w:rsidR="00615F25" w:rsidRDefault="00615F25">
            <w:pPr>
              <w:jc w:val="center"/>
              <w:rPr>
                <w:rFonts w:cs="Arial"/>
                <w:sz w:val="20"/>
                <w:szCs w:val="20"/>
              </w:rPr>
            </w:pPr>
            <w:r>
              <w:rPr>
                <w:rFonts w:cs="Arial"/>
                <w:sz w:val="20"/>
                <w:szCs w:val="20"/>
              </w:rPr>
              <w:t>87</w:t>
            </w:r>
          </w:p>
        </w:tc>
        <w:tc>
          <w:tcPr>
            <w:tcW w:w="525" w:type="pct"/>
            <w:tcBorders>
              <w:top w:val="nil"/>
              <w:bottom w:val="nil"/>
            </w:tcBorders>
            <w:vAlign w:val="center"/>
          </w:tcPr>
          <w:p w:rsidR="00615F25" w:rsidRDefault="00615F25">
            <w:pPr>
              <w:jc w:val="center"/>
              <w:rPr>
                <w:rFonts w:cs="Arial"/>
                <w:sz w:val="20"/>
                <w:szCs w:val="20"/>
              </w:rPr>
            </w:pPr>
            <w:r>
              <w:rPr>
                <w:rFonts w:cs="Arial"/>
                <w:sz w:val="20"/>
                <w:szCs w:val="20"/>
              </w:rPr>
              <w:t>84</w:t>
            </w:r>
          </w:p>
        </w:tc>
        <w:tc>
          <w:tcPr>
            <w:tcW w:w="522" w:type="pct"/>
            <w:tcBorders>
              <w:top w:val="nil"/>
              <w:bottom w:val="nil"/>
            </w:tcBorders>
            <w:vAlign w:val="center"/>
          </w:tcPr>
          <w:p w:rsidR="00615F25" w:rsidRDefault="00615F25">
            <w:pPr>
              <w:jc w:val="center"/>
              <w:rPr>
                <w:rFonts w:cs="Arial"/>
                <w:sz w:val="20"/>
                <w:szCs w:val="20"/>
              </w:rPr>
            </w:pPr>
            <w:r>
              <w:rPr>
                <w:rFonts w:cs="Arial"/>
                <w:sz w:val="20"/>
                <w:szCs w:val="20"/>
              </w:rPr>
              <w:t>78</w:t>
            </w:r>
          </w:p>
        </w:tc>
        <w:tc>
          <w:tcPr>
            <w:tcW w:w="595" w:type="pct"/>
            <w:tcBorders>
              <w:top w:val="nil"/>
              <w:bottom w:val="nil"/>
            </w:tcBorders>
            <w:vAlign w:val="center"/>
          </w:tcPr>
          <w:p w:rsidR="00615F25" w:rsidRDefault="00615F25">
            <w:pPr>
              <w:jc w:val="center"/>
              <w:rPr>
                <w:rFonts w:cs="Arial"/>
                <w:sz w:val="20"/>
                <w:szCs w:val="20"/>
              </w:rPr>
            </w:pPr>
            <w:r>
              <w:rPr>
                <w:rFonts w:cs="Arial"/>
                <w:sz w:val="20"/>
                <w:szCs w:val="20"/>
              </w:rPr>
              <w:t>69</w:t>
            </w:r>
          </w:p>
        </w:tc>
      </w:tr>
      <w:tr w:rsidR="00615F25" w:rsidRPr="00405CDE" w:rsidTr="00DF127B">
        <w:trPr>
          <w:trHeight w:val="510"/>
        </w:trPr>
        <w:tc>
          <w:tcPr>
            <w:tcW w:w="1100" w:type="pct"/>
            <w:tcBorders>
              <w:top w:val="nil"/>
              <w:bottom w:val="nil"/>
            </w:tcBorders>
            <w:vAlign w:val="center"/>
          </w:tcPr>
          <w:p w:rsidR="00615F25" w:rsidRDefault="00615F25">
            <w:pPr>
              <w:rPr>
                <w:rFonts w:cs="Arial"/>
                <w:sz w:val="20"/>
                <w:szCs w:val="20"/>
              </w:rPr>
            </w:pPr>
            <w:r>
              <w:rPr>
                <w:rFonts w:cs="Arial"/>
                <w:sz w:val="20"/>
                <w:szCs w:val="20"/>
              </w:rPr>
              <w:t>Ex post price ($/GJ)</w:t>
            </w:r>
          </w:p>
        </w:tc>
        <w:tc>
          <w:tcPr>
            <w:tcW w:w="597" w:type="pct"/>
            <w:tcBorders>
              <w:top w:val="nil"/>
              <w:bottom w:val="nil"/>
            </w:tcBorders>
            <w:vAlign w:val="center"/>
          </w:tcPr>
          <w:p w:rsidR="00615F25" w:rsidRDefault="00615F25">
            <w:pPr>
              <w:jc w:val="center"/>
              <w:rPr>
                <w:rFonts w:cs="Arial"/>
                <w:sz w:val="20"/>
                <w:szCs w:val="20"/>
              </w:rPr>
            </w:pPr>
            <w:r>
              <w:rPr>
                <w:rFonts w:cs="Arial"/>
                <w:sz w:val="20"/>
                <w:szCs w:val="20"/>
              </w:rPr>
              <w:t>6.05</w:t>
            </w:r>
          </w:p>
        </w:tc>
        <w:tc>
          <w:tcPr>
            <w:tcW w:w="523" w:type="pct"/>
            <w:tcBorders>
              <w:top w:val="nil"/>
              <w:bottom w:val="nil"/>
            </w:tcBorders>
            <w:vAlign w:val="center"/>
          </w:tcPr>
          <w:p w:rsidR="00615F25" w:rsidRDefault="00615F25">
            <w:pPr>
              <w:jc w:val="center"/>
              <w:rPr>
                <w:rFonts w:cs="Arial"/>
                <w:sz w:val="20"/>
                <w:szCs w:val="20"/>
              </w:rPr>
            </w:pPr>
            <w:r>
              <w:rPr>
                <w:rFonts w:cs="Arial"/>
                <w:sz w:val="20"/>
                <w:szCs w:val="20"/>
              </w:rPr>
              <w:t>6.94</w:t>
            </w:r>
          </w:p>
        </w:tc>
        <w:tc>
          <w:tcPr>
            <w:tcW w:w="606" w:type="pct"/>
            <w:tcBorders>
              <w:top w:val="nil"/>
              <w:bottom w:val="nil"/>
            </w:tcBorders>
            <w:vAlign w:val="center"/>
          </w:tcPr>
          <w:p w:rsidR="00615F25" w:rsidRDefault="00615F25">
            <w:pPr>
              <w:jc w:val="center"/>
              <w:rPr>
                <w:rFonts w:cs="Arial"/>
                <w:sz w:val="20"/>
                <w:szCs w:val="20"/>
              </w:rPr>
            </w:pPr>
            <w:r>
              <w:rPr>
                <w:rFonts w:cs="Arial"/>
                <w:sz w:val="20"/>
                <w:szCs w:val="20"/>
              </w:rPr>
              <w:t>8.19</w:t>
            </w:r>
          </w:p>
        </w:tc>
        <w:tc>
          <w:tcPr>
            <w:tcW w:w="532" w:type="pct"/>
            <w:tcBorders>
              <w:top w:val="nil"/>
              <w:bottom w:val="nil"/>
            </w:tcBorders>
            <w:vAlign w:val="center"/>
          </w:tcPr>
          <w:p w:rsidR="00615F25" w:rsidRDefault="00615F25">
            <w:pPr>
              <w:jc w:val="center"/>
              <w:rPr>
                <w:rFonts w:cs="Arial"/>
                <w:sz w:val="20"/>
                <w:szCs w:val="20"/>
              </w:rPr>
            </w:pPr>
            <w:r>
              <w:rPr>
                <w:rFonts w:cs="Arial"/>
                <w:sz w:val="20"/>
                <w:szCs w:val="20"/>
              </w:rPr>
              <w:t>6.00</w:t>
            </w:r>
          </w:p>
        </w:tc>
        <w:tc>
          <w:tcPr>
            <w:tcW w:w="525" w:type="pct"/>
            <w:tcBorders>
              <w:top w:val="nil"/>
              <w:bottom w:val="nil"/>
            </w:tcBorders>
            <w:vAlign w:val="center"/>
          </w:tcPr>
          <w:p w:rsidR="00615F25" w:rsidRDefault="00615F25">
            <w:pPr>
              <w:jc w:val="center"/>
              <w:rPr>
                <w:rFonts w:cs="Arial"/>
                <w:sz w:val="20"/>
                <w:szCs w:val="20"/>
              </w:rPr>
            </w:pPr>
            <w:r>
              <w:rPr>
                <w:rFonts w:cs="Arial"/>
                <w:sz w:val="20"/>
                <w:szCs w:val="20"/>
              </w:rPr>
              <w:t>6.05</w:t>
            </w:r>
          </w:p>
        </w:tc>
        <w:tc>
          <w:tcPr>
            <w:tcW w:w="522" w:type="pct"/>
            <w:tcBorders>
              <w:top w:val="nil"/>
              <w:bottom w:val="nil"/>
            </w:tcBorders>
            <w:vAlign w:val="center"/>
          </w:tcPr>
          <w:p w:rsidR="00615F25" w:rsidRDefault="00615F25">
            <w:pPr>
              <w:jc w:val="center"/>
              <w:rPr>
                <w:rFonts w:cs="Arial"/>
                <w:sz w:val="20"/>
                <w:szCs w:val="20"/>
              </w:rPr>
            </w:pPr>
            <w:r>
              <w:rPr>
                <w:rFonts w:cs="Arial"/>
                <w:sz w:val="20"/>
                <w:szCs w:val="20"/>
              </w:rPr>
              <w:t>6.00</w:t>
            </w:r>
          </w:p>
        </w:tc>
        <w:tc>
          <w:tcPr>
            <w:tcW w:w="595" w:type="pct"/>
            <w:tcBorders>
              <w:top w:val="nil"/>
              <w:bottom w:val="nil"/>
            </w:tcBorders>
            <w:vAlign w:val="center"/>
          </w:tcPr>
          <w:p w:rsidR="00615F25" w:rsidRDefault="00615F25">
            <w:pPr>
              <w:jc w:val="center"/>
              <w:rPr>
                <w:rFonts w:cs="Arial"/>
                <w:sz w:val="20"/>
                <w:szCs w:val="20"/>
              </w:rPr>
            </w:pPr>
            <w:r>
              <w:rPr>
                <w:rFonts w:cs="Arial"/>
                <w:sz w:val="20"/>
                <w:szCs w:val="20"/>
              </w:rPr>
              <w:t>5.99</w:t>
            </w:r>
          </w:p>
        </w:tc>
      </w:tr>
      <w:tr w:rsidR="00615F25" w:rsidRPr="00405CDE" w:rsidTr="00DF127B">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615F25" w:rsidRDefault="00615F25">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74</w:t>
            </w:r>
          </w:p>
        </w:tc>
        <w:tc>
          <w:tcPr>
            <w:tcW w:w="523"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88</w:t>
            </w:r>
          </w:p>
        </w:tc>
        <w:tc>
          <w:tcPr>
            <w:tcW w:w="606"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90</w:t>
            </w:r>
          </w:p>
        </w:tc>
        <w:tc>
          <w:tcPr>
            <w:tcW w:w="532"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86</w:t>
            </w:r>
          </w:p>
        </w:tc>
        <w:tc>
          <w:tcPr>
            <w:tcW w:w="525"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87</w:t>
            </w:r>
          </w:p>
        </w:tc>
        <w:tc>
          <w:tcPr>
            <w:tcW w:w="522"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82</w:t>
            </w:r>
          </w:p>
        </w:tc>
        <w:tc>
          <w:tcPr>
            <w:tcW w:w="595" w:type="pct"/>
            <w:tcBorders>
              <w:top w:val="nil"/>
              <w:bottom w:val="single" w:sz="4" w:space="0" w:color="auto"/>
            </w:tcBorders>
            <w:vAlign w:val="center"/>
          </w:tcPr>
          <w:p w:rsidR="00615F25" w:rsidRDefault="00615F25">
            <w:pPr>
              <w:jc w:val="center"/>
              <w:rPr>
                <w:rFonts w:cs="Arial"/>
                <w:sz w:val="20"/>
                <w:szCs w:val="20"/>
              </w:rPr>
            </w:pPr>
            <w:r>
              <w:rPr>
                <w:rFonts w:cs="Arial"/>
                <w:sz w:val="20"/>
                <w:szCs w:val="20"/>
              </w:rPr>
              <w:t>72</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CA02F8" w:rsidP="00362B9A">
      <w:r>
        <w:pict>
          <v:shape id="_x0000_i1040" type="#_x0000_t75" alt="Figure 4.2 shows the daily hub offers and bid in within certain price bands in Brisbane this week. The line indicates the scheduled quantity for each day. For a more detailed description of this figure, please refer to the user guide." style="width:475.8pt;height:171.05pt">
            <v:imagedata r:id="rId28"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CA02F8" w:rsidP="00362B9A">
      <w:r>
        <w:pict>
          <v:shape id="_x0000_i1041" type="#_x0000_t75" alt="Figure 4.3 shows the daily scheduled and allocated quantities sorted by facility for Brisbane this week. For a more detailed description of this figure, please refer to the user guide." style="width:477.5pt;height:99.05pt">
            <v:imagedata r:id="rId29" o:title=""/>
          </v:shape>
        </w:pict>
      </w:r>
    </w:p>
    <w:p w:rsidR="00BC18FB" w:rsidRPr="00DD0358" w:rsidRDefault="004560B0" w:rsidP="004560B0">
      <w:pPr>
        <w:pStyle w:val="Heading4"/>
        <w:ind w:hanging="338"/>
        <w:rPr>
          <w:color w:val="2272A3"/>
          <w:sz w:val="24"/>
          <w:szCs w:val="24"/>
        </w:rPr>
      </w:pPr>
      <w:r w:rsidRPr="00DD0358">
        <w:rPr>
          <w:color w:val="2272A3"/>
          <w:sz w:val="24"/>
          <w:szCs w:val="24"/>
        </w:rPr>
        <w:t>BRI MOS allocations (TJ), service payments and commodity payments/charges ($000)</w:t>
      </w:r>
    </w:p>
    <w:p w:rsidR="004560B0" w:rsidRPr="00362B9A" w:rsidRDefault="00CA02F8" w:rsidP="00362B9A">
      <w:r>
        <w:pict>
          <v:shape id="_x0000_i1042" type="#_x0000_t75" alt="Figure 4.4 shows the daily MOS allocations sorted by facility for each facility in Brisbane this week. The figure also shows the daily breakdown of costs associated with the MOS provided. For a more detailed description of this figure, please refer to the user guide." style="width:475.8pt;height:156.65pt">
            <v:imagedata r:id="rId30"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lastRenderedPageBreak/>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14"/>
      </w:r>
      <w:r>
        <w:t xml:space="preserve"> from </w:t>
      </w:r>
      <w:r w:rsidRPr="00A475A2">
        <w:t xml:space="preserve">the Bulletin Board (changes from the </w:t>
      </w:r>
      <w:r>
        <w:t>previous week’s</w:t>
      </w:r>
      <w:r w:rsidRPr="00A475A2">
        <w:t xml:space="preserve"> average are shown in brackets).</w:t>
      </w:r>
      <w:r w:rsidRPr="00DF25FF">
        <w:t xml:space="preserve"> </w:t>
      </w:r>
      <w:r w:rsidR="004E20BF">
        <w:t>A</w:t>
      </w:r>
      <w:r>
        <w:t>verage daily scheduled volumes and prices</w:t>
      </w:r>
      <w:r>
        <w:rPr>
          <w:rStyle w:val="FootnoteReference"/>
        </w:rPr>
        <w:footnoteReference w:id="15"/>
      </w:r>
      <w:r>
        <w:t xml:space="preserve"> </w:t>
      </w:r>
      <w:r w:rsidR="004E20BF">
        <w:t xml:space="preserve">are provided </w:t>
      </w:r>
      <w:r w:rsidR="00A270DD">
        <w:t xml:space="preserve">for </w:t>
      </w:r>
      <w:r w:rsidR="004E20BF">
        <w:t>gas markets and gas powered generation for each region.</w:t>
      </w:r>
    </w:p>
    <w:p w:rsidR="00BC18FB" w:rsidRPr="00DD0358" w:rsidRDefault="004560B0" w:rsidP="00FF0D8A">
      <w:pPr>
        <w:pStyle w:val="Heading4"/>
        <w:ind w:hanging="338"/>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CA02F8" w:rsidP="00FB3934">
      <w:r>
        <w:rPr>
          <w:noProof/>
        </w:rPr>
        <w:pict>
          <v:shape id="_x0000_i1043" type="#_x0000_t75" alt="Figure 5.1 shows the average daily Bulletin Board flows for this week compared to the previous week. It includes price and demand data for gas markets across the east coast of Australia and gas powered generation usage estimates for each state. For a more detailed description of this figure, please refer to the user guide." style="width:376.7pt;height:547.2pt">
            <v:imagedata r:id="rId31"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6"/>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C534AE" w:rsidRPr="008C268E" w:rsidRDefault="00C534AE" w:rsidP="00345444">
      <w:pPr>
        <w:jc w:val="both"/>
        <w:rPr>
          <w:rFonts w:eastAsia="MS Mincho"/>
          <w:color w:val="FF0000"/>
        </w:rPr>
      </w:pPr>
      <w:r>
        <w:t>There were 19 trades this week for 113.5 TJ of gas at a volume weighted price of $5.29/GJ, 63.5 TJ was traded on the RBP at an average of $5.53/GJ and 50 TJ on SWQP at $4.98/GJ. There were no weekly product trades.</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7"/>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CA02F8" w:rsidP="00E37A86">
      <w:r>
        <w:rPr>
          <w:rFonts w:eastAsia="MS Mincho"/>
        </w:rPr>
        <w:pict>
          <v:shape id="_x0000_i1044" type="#_x0000_t75" alt="Figure 6.1 shows the daily volume of gas traded on each pipeline in the Wallumbilla Gas Supply Hub. The quantities displayed are shown for both the day the gas is traded over the current week and the gas day on which gas has been shipped." style="width:475.8pt;height:201.6pt">
            <v:imagedata r:id="rId32" o:title=""/>
          </v:shape>
        </w:pict>
      </w:r>
      <w:r w:rsidR="00E37A86" w:rsidRPr="006520EE">
        <w:t xml:space="preserve"> </w:t>
      </w:r>
    </w:p>
    <w:sectPr w:rsidR="009E74E3" w:rsidRPr="006520EE" w:rsidSect="00D635F1">
      <w:footerReference w:type="default" r:id="rId33"/>
      <w:footerReference w:type="first" r:id="rId34"/>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7DF7" w:rsidRDefault="005A7DF7">
      <w:r>
        <w:separator/>
      </w:r>
    </w:p>
  </w:endnote>
  <w:endnote w:type="continuationSeparator" w:id="0">
    <w:p w:rsidR="005A7DF7" w:rsidRDefault="005A7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DF7" w:rsidRDefault="005A7DF7" w:rsidP="00D22793">
    <w:pPr>
      <w:pBdr>
        <w:top w:val="single" w:sz="4" w:space="0" w:color="auto"/>
      </w:pBdr>
      <w:ind w:left="-284" w:right="-329" w:firstLine="284"/>
      <w:jc w:val="center"/>
      <w:rPr>
        <w:i/>
        <w:sz w:val="16"/>
        <w:szCs w:val="16"/>
      </w:rPr>
    </w:pPr>
    <w:r>
      <w:rPr>
        <w:i/>
        <w:sz w:val="20"/>
      </w:rPr>
      <w:t>© Commonwealth of Australia.</w:t>
    </w:r>
  </w:p>
  <w:p w:rsidR="005A7DF7" w:rsidRDefault="005A7DF7" w:rsidP="005A77AC">
    <w:pPr>
      <w:jc w:val="center"/>
    </w:pPr>
    <w:r>
      <w:fldChar w:fldCharType="begin"/>
    </w:r>
    <w:r>
      <w:instrText xml:space="preserve"> PAGE  \* MERGEFORMAT </w:instrText>
    </w:r>
    <w:r>
      <w:fldChar w:fldCharType="separate"/>
    </w:r>
    <w:r w:rsidR="00CA02F8">
      <w:rPr>
        <w:noProof/>
      </w:rPr>
      <w:t>13</w:t>
    </w:r>
    <w:r>
      <w:fldChar w:fldCharType="end"/>
    </w:r>
  </w:p>
  <w:p w:rsidR="005A7DF7" w:rsidRDefault="005A7DF7"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DF7" w:rsidRDefault="005A7DF7" w:rsidP="00491029">
    <w:pPr>
      <w:pBdr>
        <w:top w:val="single" w:sz="4" w:space="0" w:color="auto"/>
      </w:pBdr>
      <w:ind w:left="-284" w:right="-329" w:firstLine="284"/>
      <w:jc w:val="center"/>
      <w:rPr>
        <w:i/>
        <w:sz w:val="20"/>
      </w:rPr>
    </w:pPr>
    <w:r>
      <w:rPr>
        <w:i/>
        <w:sz w:val="20"/>
      </w:rPr>
      <w:t>© Commonwealth of Australia.</w:t>
    </w:r>
  </w:p>
  <w:p w:rsidR="005A7DF7" w:rsidRPr="002D773A" w:rsidRDefault="005A7DF7" w:rsidP="00491029">
    <w:pPr>
      <w:jc w:val="center"/>
    </w:pPr>
    <w:r>
      <w:fldChar w:fldCharType="begin"/>
    </w:r>
    <w:r>
      <w:instrText xml:space="preserve"> PAGE  \* MERGEFORMAT </w:instrText>
    </w:r>
    <w:r>
      <w:fldChar w:fldCharType="separate"/>
    </w:r>
    <w:r w:rsidR="00CA02F8">
      <w:rPr>
        <w:noProof/>
      </w:rPr>
      <w:t>1</w:t>
    </w:r>
    <w:r>
      <w:fldChar w:fldCharType="end"/>
    </w:r>
  </w:p>
  <w:p w:rsidR="005A7DF7" w:rsidRDefault="005A7DF7" w:rsidP="00491029">
    <w:pPr>
      <w:pStyle w:val="Footer"/>
      <w:jc w:val="right"/>
    </w:pPr>
    <w:r w:rsidRPr="00F52F00">
      <w:rPr>
        <w:rFonts w:cs="Arial"/>
        <w:i/>
      </w:rPr>
      <w:t>AER reference: 392</w:t>
    </w:r>
    <w:r>
      <w:rPr>
        <w:rFonts w:cs="Arial"/>
        <w:i/>
      </w:rPr>
      <w:t>7</w:t>
    </w:r>
    <w:r w:rsidRPr="00F52F00">
      <w:rPr>
        <w:rFonts w:cs="Arial"/>
        <w:i/>
      </w:rPr>
      <w:t xml:space="preserve">0 – </w:t>
    </w:r>
    <w:r w:rsidRPr="004718E5">
      <w:rPr>
        <w:rFonts w:cs="Arial"/>
        <w:i/>
      </w:rPr>
      <w:t>D16/</w:t>
    </w:r>
    <w:r>
      <w:rPr>
        <w:rFonts w:cs="Arial"/>
        <w:i/>
      </w:rPr>
      <w:t>7265</w:t>
    </w:r>
  </w:p>
  <w:p w:rsidR="005A7DF7" w:rsidRDefault="005A7D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7DF7" w:rsidRDefault="005A7DF7">
      <w:r>
        <w:separator/>
      </w:r>
    </w:p>
  </w:footnote>
  <w:footnote w:type="continuationSeparator" w:id="0">
    <w:p w:rsidR="005A7DF7" w:rsidRDefault="005A7DF7">
      <w:r>
        <w:continuationSeparator/>
      </w:r>
    </w:p>
  </w:footnote>
  <w:footnote w:id="1">
    <w:p w:rsidR="005A7DF7" w:rsidRPr="00942640" w:rsidRDefault="005A7DF7" w:rsidP="004560B0">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2">
    <w:p w:rsidR="005A7DF7" w:rsidRPr="005C5733" w:rsidRDefault="005A7DF7" w:rsidP="005C5733">
      <w:pPr>
        <w:pStyle w:val="FootnoteText"/>
        <w:jc w:val="both"/>
        <w:rPr>
          <w:sz w:val="18"/>
          <w:szCs w:val="18"/>
        </w:rPr>
      </w:pPr>
      <w:r>
        <w:rPr>
          <w:rStyle w:val="FootnoteReference"/>
        </w:rPr>
        <w:footnoteRef/>
      </w:r>
      <w:r>
        <w:t xml:space="preserve"> </w:t>
      </w:r>
      <w:r>
        <w:tab/>
      </w:r>
      <w:r w:rsidRPr="005C5733">
        <w:rPr>
          <w:sz w:val="18"/>
          <w:szCs w:val="18"/>
        </w:rPr>
        <w:t>A RED LCA flag indicates involuntary load shedding of 'firm' load is likely or happening on the gas day. CG was not scheduled on this day in the Sydney hub following participants renominating supply to the Moomba to Sydney Pipeline.</w:t>
      </w:r>
    </w:p>
  </w:footnote>
  <w:footnote w:id="3">
    <w:p w:rsidR="005A7DF7" w:rsidRPr="005C5733" w:rsidRDefault="005A7DF7" w:rsidP="005C5733">
      <w:pPr>
        <w:pStyle w:val="FootnoteText"/>
        <w:jc w:val="both"/>
        <w:rPr>
          <w:sz w:val="18"/>
          <w:szCs w:val="18"/>
        </w:rPr>
      </w:pPr>
      <w:r>
        <w:rPr>
          <w:rStyle w:val="FootnoteReference"/>
        </w:rPr>
        <w:footnoteRef/>
      </w:r>
      <w:r>
        <w:t xml:space="preserve"> </w:t>
      </w:r>
      <w:r>
        <w:tab/>
      </w:r>
      <w:r w:rsidRPr="005C5733">
        <w:rPr>
          <w:sz w:val="18"/>
          <w:szCs w:val="18"/>
        </w:rPr>
        <w:t>An AMBER LCA flag indicates voluntary/contractual load shedding of interruptible gas customers is likely or happening on the gas day.</w:t>
      </w:r>
    </w:p>
  </w:footnote>
  <w:footnote w:id="4">
    <w:p w:rsidR="005A7DF7" w:rsidRPr="005C5733" w:rsidRDefault="005A7DF7" w:rsidP="005C5733">
      <w:pPr>
        <w:pStyle w:val="FootnoteText"/>
        <w:jc w:val="both"/>
        <w:rPr>
          <w:sz w:val="18"/>
          <w:szCs w:val="18"/>
        </w:rPr>
      </w:pPr>
      <w:r>
        <w:rPr>
          <w:rStyle w:val="FootnoteReference"/>
        </w:rPr>
        <w:footnoteRef/>
      </w:r>
      <w:r>
        <w:t xml:space="preserve"> </w:t>
      </w:r>
      <w:r>
        <w:tab/>
      </w:r>
      <w:r w:rsidRPr="005C5733">
        <w:rPr>
          <w:rFonts w:eastAsia="MS Mincho" w:cs="Arial"/>
          <w:sz w:val="18"/>
          <w:szCs w:val="18"/>
        </w:rPr>
        <w:t xml:space="preserve">Temperatures in Brisbane </w:t>
      </w:r>
      <w:r>
        <w:rPr>
          <w:rFonts w:eastAsia="MS Mincho" w:cs="Arial"/>
          <w:sz w:val="18"/>
          <w:szCs w:val="18"/>
        </w:rPr>
        <w:t xml:space="preserve">were consistently </w:t>
      </w:r>
      <w:r w:rsidRPr="005C5733">
        <w:rPr>
          <w:rFonts w:eastAsia="MS Mincho" w:cs="Arial"/>
          <w:sz w:val="18"/>
          <w:szCs w:val="18"/>
        </w:rPr>
        <w:t xml:space="preserve">around 30 degrees </w:t>
      </w:r>
      <w:r>
        <w:rPr>
          <w:rFonts w:eastAsia="MS Mincho" w:cs="Arial"/>
          <w:sz w:val="18"/>
          <w:szCs w:val="18"/>
        </w:rPr>
        <w:t>this</w:t>
      </w:r>
      <w:r w:rsidRPr="005C5733">
        <w:rPr>
          <w:rFonts w:eastAsia="MS Mincho" w:cs="Arial"/>
          <w:sz w:val="18"/>
          <w:szCs w:val="18"/>
        </w:rPr>
        <w:t xml:space="preserve"> week. Gas usage estimates use the same methodology as that shown in figure 5.1.</w:t>
      </w:r>
    </w:p>
  </w:footnote>
  <w:footnote w:id="5">
    <w:p w:rsidR="005A7DF7" w:rsidRPr="005C5733" w:rsidRDefault="005A7DF7" w:rsidP="005C5733">
      <w:pPr>
        <w:pStyle w:val="FootnoteText"/>
        <w:jc w:val="both"/>
        <w:rPr>
          <w:sz w:val="18"/>
          <w:szCs w:val="18"/>
        </w:rPr>
      </w:pPr>
      <w:r>
        <w:rPr>
          <w:rStyle w:val="FootnoteReference"/>
        </w:rPr>
        <w:footnoteRef/>
      </w:r>
      <w:r>
        <w:t xml:space="preserve"> </w:t>
      </w:r>
      <w:r>
        <w:tab/>
      </w:r>
      <w:r w:rsidRPr="005C5733">
        <w:rPr>
          <w:rFonts w:eastAsia="MS Mincho" w:cs="Arial"/>
          <w:sz w:val="18"/>
          <w:szCs w:val="18"/>
        </w:rPr>
        <w:t>Three GPGs in Queensland increased output above forecast levels on 12 January.</w:t>
      </w:r>
    </w:p>
  </w:footnote>
  <w:footnote w:id="6">
    <w:p w:rsidR="005A7DF7" w:rsidRPr="005C5733" w:rsidRDefault="005A7DF7" w:rsidP="005C5733">
      <w:pPr>
        <w:pStyle w:val="FootnoteText"/>
        <w:jc w:val="both"/>
        <w:rPr>
          <w:sz w:val="18"/>
          <w:szCs w:val="18"/>
        </w:rPr>
      </w:pPr>
      <w:r>
        <w:rPr>
          <w:rStyle w:val="FootnoteReference"/>
        </w:rPr>
        <w:footnoteRef/>
      </w:r>
      <w:r>
        <w:t xml:space="preserve"> </w:t>
      </w:r>
      <w:r>
        <w:tab/>
      </w:r>
      <w:r w:rsidRPr="005C5733">
        <w:rPr>
          <w:rFonts w:eastAsia="MS Mincho" w:cs="Arial"/>
          <w:sz w:val="18"/>
          <w:szCs w:val="18"/>
        </w:rPr>
        <w:t>The temperature climbed above 31 degrees on 13 January and remained high over the remained of the week.  Electricity generation at the end of the week declined, despite temperatures in the region reaching close to 40 degrees on Saturday.</w:t>
      </w:r>
    </w:p>
  </w:footnote>
  <w:footnote w:id="7">
    <w:p w:rsidR="005A7DF7" w:rsidRPr="005C5733" w:rsidRDefault="005A7DF7" w:rsidP="005C5733">
      <w:pPr>
        <w:pStyle w:val="FootnoteText"/>
        <w:jc w:val="both"/>
        <w:rPr>
          <w:sz w:val="18"/>
          <w:szCs w:val="18"/>
        </w:rPr>
      </w:pPr>
      <w:r>
        <w:rPr>
          <w:rStyle w:val="FootnoteReference"/>
        </w:rPr>
        <w:footnoteRef/>
      </w:r>
      <w:r>
        <w:t xml:space="preserve"> </w:t>
      </w:r>
      <w:r>
        <w:tab/>
      </w:r>
      <w:r>
        <w:rPr>
          <w:rFonts w:eastAsia="MS Mincho" w:cs="Arial"/>
          <w:sz w:val="18"/>
          <w:szCs w:val="18"/>
        </w:rPr>
        <w:t xml:space="preserve">Prices on 11, 12 and 13 January were $8/GJ or higher. </w:t>
      </w:r>
      <w:r w:rsidRPr="005C5733">
        <w:rPr>
          <w:rFonts w:eastAsia="MS Mincho" w:cs="Arial"/>
          <w:sz w:val="18"/>
          <w:szCs w:val="18"/>
        </w:rPr>
        <w:t>Rebidding on 11 and 12 January led to higher ex ante prices, with higher forecast demand and significantly less gas offered below $6-$8/GJ compared to provisional schedules for those gas days.</w:t>
      </w:r>
    </w:p>
  </w:footnote>
  <w:footnote w:id="8">
    <w:p w:rsidR="005A7DF7" w:rsidRPr="005C5733" w:rsidRDefault="005A7DF7" w:rsidP="005C5733">
      <w:pPr>
        <w:pStyle w:val="FootnoteText"/>
        <w:jc w:val="both"/>
        <w:rPr>
          <w:sz w:val="18"/>
          <w:szCs w:val="18"/>
        </w:rPr>
      </w:pPr>
      <w:r>
        <w:rPr>
          <w:rStyle w:val="FootnoteReference"/>
        </w:rPr>
        <w:footnoteRef/>
      </w:r>
      <w:r>
        <w:t xml:space="preserve"> </w:t>
      </w:r>
      <w:r>
        <w:tab/>
      </w:r>
      <w:r w:rsidRPr="005C5733">
        <w:rPr>
          <w:rFonts w:eastAsia="MS Mincho" w:cs="Arial"/>
          <w:sz w:val="18"/>
          <w:szCs w:val="18"/>
        </w:rPr>
        <w:t>GPG usage levels ranged from 130 TJ on 12 January up to 183 TJ on 13 January.</w:t>
      </w:r>
    </w:p>
  </w:footnote>
  <w:footnote w:id="9">
    <w:p w:rsidR="005A7DF7" w:rsidRPr="00EF58A8" w:rsidRDefault="005A7DF7"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10">
    <w:p w:rsidR="005A7DF7" w:rsidRPr="00EF58A8" w:rsidRDefault="005A7DF7"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11">
    <w:p w:rsidR="005A7DF7" w:rsidRPr="00EF58A8" w:rsidRDefault="005A7DF7"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12">
    <w:p w:rsidR="005A7DF7" w:rsidRPr="00362B9A" w:rsidRDefault="005A7DF7"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13">
    <w:p w:rsidR="005A7DF7" w:rsidRDefault="005A7DF7"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4">
    <w:p w:rsidR="005A7DF7" w:rsidRPr="002E7E9E" w:rsidRDefault="005A7DF7"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Gas </w:t>
      </w:r>
      <w:r>
        <w:rPr>
          <w:sz w:val="18"/>
          <w:szCs w:val="18"/>
        </w:rPr>
        <w:t>f</w:t>
      </w:r>
      <w:r w:rsidRPr="002E7E9E">
        <w:rPr>
          <w:sz w:val="18"/>
          <w:szCs w:val="18"/>
        </w:rPr>
        <w:t>lows</w:t>
      </w:r>
      <w:r>
        <w:rPr>
          <w:sz w:val="18"/>
          <w:szCs w:val="18"/>
        </w:rPr>
        <w:t xml:space="preserve"> shown under regional headings</w:t>
      </w:r>
      <w:r w:rsidRPr="002E7E9E">
        <w:rPr>
          <w:sz w:val="18"/>
          <w:szCs w:val="18"/>
        </w:rPr>
        <w:t xml:space="preserve">: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A7DF7" w:rsidRDefault="005A7DF7"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A7DF7" w:rsidRDefault="005A7DF7" w:rsidP="004560B0">
      <w:pPr>
        <w:pStyle w:val="FootnoteText"/>
        <w:spacing w:before="0" w:after="0"/>
        <w:ind w:firstLine="0"/>
        <w:rPr>
          <w:sz w:val="18"/>
          <w:szCs w:val="18"/>
        </w:rPr>
      </w:pPr>
      <w:r w:rsidRPr="002E7E9E">
        <w:rPr>
          <w:sz w:val="18"/>
          <w:szCs w:val="18"/>
        </w:rPr>
        <w:t xml:space="preserve">GPG volumes </w:t>
      </w:r>
      <w:r>
        <w:rPr>
          <w:sz w:val="18"/>
          <w:szCs w:val="18"/>
        </w:rPr>
        <w:t xml:space="preserve">may </w:t>
      </w:r>
      <w:r w:rsidRPr="002E7E9E">
        <w:rPr>
          <w:sz w:val="18"/>
          <w:szCs w:val="18"/>
        </w:rPr>
        <w:t xml:space="preserve">include gas usage that </w:t>
      </w:r>
      <w:r>
        <w:rPr>
          <w:sz w:val="18"/>
          <w:szCs w:val="18"/>
        </w:rPr>
        <w:t>does</w:t>
      </w:r>
      <w:r w:rsidRPr="002E7E9E">
        <w:rPr>
          <w:sz w:val="18"/>
          <w:szCs w:val="18"/>
        </w:rPr>
        <w:t xml:space="preserve"> not show up on Bulletin Board pipeline flows.</w:t>
      </w:r>
    </w:p>
    <w:p w:rsidR="005A7DF7" w:rsidRPr="002E7E9E" w:rsidRDefault="005A7DF7" w:rsidP="004560B0">
      <w:pPr>
        <w:pStyle w:val="FootnoteText"/>
        <w:spacing w:before="0" w:after="0"/>
        <w:ind w:firstLine="0"/>
        <w:rPr>
          <w:sz w:val="18"/>
          <w:szCs w:val="18"/>
        </w:rPr>
      </w:pPr>
      <w:r>
        <w:rPr>
          <w:sz w:val="18"/>
          <w:szCs w:val="18"/>
        </w:rPr>
        <w:t>Roma included export LNG production from October 2014 and LNG pipeline flows are shown from October 2015.</w:t>
      </w:r>
    </w:p>
  </w:footnote>
  <w:footnote w:id="15">
    <w:p w:rsidR="005A7DF7" w:rsidRDefault="005A7DF7"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6">
    <w:p w:rsidR="005A7DF7" w:rsidRPr="009E74E3" w:rsidRDefault="005A7DF7"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7">
    <w:p w:rsidR="005A7DF7" w:rsidRPr="007300C3" w:rsidRDefault="005A7DF7" w:rsidP="00DE5B7B">
      <w:pPr>
        <w:pStyle w:val="FootnoteText"/>
        <w:spacing w:before="0" w:after="0"/>
        <w:ind w:left="284" w:hanging="284"/>
        <w:jc w:val="both"/>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1487971"/>
    <w:multiLevelType w:val="multilevel"/>
    <w:tmpl w:val="1E5C0EAA"/>
    <w:styleLink w:val="AERnumberedlist"/>
    <w:lvl w:ilvl="0">
      <w:start w:val="1"/>
      <w:numFmt w:val="none"/>
      <w:lvlText w:val="%1"/>
      <w:lvlJc w:val="left"/>
      <w:pPr>
        <w:tabs>
          <w:tab w:val="num" w:pos="0"/>
        </w:tabs>
        <w:ind w:left="0" w:firstLine="0"/>
      </w:pPr>
      <w:rPr>
        <w:rFonts w:hint="default"/>
      </w:rPr>
    </w:lvl>
    <w:lvl w:ilvl="1">
      <w:start w:val="1"/>
      <w:numFmt w:val="bullet"/>
      <w:lvlText w:val=""/>
      <w:lvlJc w:val="left"/>
      <w:pPr>
        <w:tabs>
          <w:tab w:val="num" w:pos="357"/>
        </w:tabs>
        <w:ind w:left="357" w:hanging="357"/>
      </w:pPr>
      <w:rPr>
        <w:rFonts w:ascii="Symbol" w:hAnsi="Symbol"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357"/>
        </w:tabs>
        <w:ind w:left="357" w:hanging="357"/>
      </w:pPr>
      <w:rPr>
        <w:rFonts w:hint="default"/>
      </w:rPr>
    </w:lvl>
    <w:lvl w:ilvl="5">
      <w:start w:val="1"/>
      <w:numFmt w:val="lowerLetter"/>
      <w:lvlRestart w:val="2"/>
      <w:lvlText w:val="(%6)"/>
      <w:lvlJc w:val="left"/>
      <w:pPr>
        <w:tabs>
          <w:tab w:val="num" w:pos="720"/>
        </w:tabs>
        <w:ind w:left="720" w:hanging="363"/>
      </w:pPr>
      <w:rPr>
        <w:rFonts w:hint="default"/>
      </w:rPr>
    </w:lvl>
    <w:lvl w:ilvl="6">
      <w:start w:val="1"/>
      <w:numFmt w:val="lowerRoman"/>
      <w:lvlRestart w:val="3"/>
      <w:lvlText w:val="(%7)"/>
      <w:lvlJc w:val="left"/>
      <w:pPr>
        <w:tabs>
          <w:tab w:val="num" w:pos="1077"/>
        </w:tabs>
        <w:ind w:left="107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5">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6">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8">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8"/>
  </w:num>
  <w:num w:numId="3">
    <w:abstractNumId w:val="10"/>
  </w:num>
  <w:num w:numId="4">
    <w:abstractNumId w:val="18"/>
  </w:num>
  <w:num w:numId="5">
    <w:abstractNumId w:val="2"/>
  </w:num>
  <w:num w:numId="6">
    <w:abstractNumId w:val="15"/>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6"/>
  </w:num>
  <w:num w:numId="20">
    <w:abstractNumId w:val="17"/>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characterSpacingControl w:val="doNotCompress"/>
  <w:hdrShapeDefaults>
    <o:shapedefaults v:ext="edit" spidmax="7577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H:\trimdata\TRIM\TEMP\HPTRIM.8152\D16 7265  20160110 - 20160116 gas weekly report.DOCX"/>
  </w:docVars>
  <w:rsids>
    <w:rsidRoot w:val="005F18AD"/>
    <w:rsid w:val="000013C1"/>
    <w:rsid w:val="00001BFB"/>
    <w:rsid w:val="00002313"/>
    <w:rsid w:val="00004A63"/>
    <w:rsid w:val="00010025"/>
    <w:rsid w:val="000123CA"/>
    <w:rsid w:val="00020978"/>
    <w:rsid w:val="0002268D"/>
    <w:rsid w:val="00027115"/>
    <w:rsid w:val="000323BA"/>
    <w:rsid w:val="00033456"/>
    <w:rsid w:val="00040F6B"/>
    <w:rsid w:val="000552AF"/>
    <w:rsid w:val="00055584"/>
    <w:rsid w:val="00061656"/>
    <w:rsid w:val="0006609A"/>
    <w:rsid w:val="00073D01"/>
    <w:rsid w:val="00076046"/>
    <w:rsid w:val="000813BF"/>
    <w:rsid w:val="0008491C"/>
    <w:rsid w:val="00085092"/>
    <w:rsid w:val="000876E7"/>
    <w:rsid w:val="00093854"/>
    <w:rsid w:val="000974A2"/>
    <w:rsid w:val="00097D40"/>
    <w:rsid w:val="000B261F"/>
    <w:rsid w:val="000B285F"/>
    <w:rsid w:val="000B4A1F"/>
    <w:rsid w:val="000B6397"/>
    <w:rsid w:val="000B69E0"/>
    <w:rsid w:val="000B7FAF"/>
    <w:rsid w:val="000D1FEB"/>
    <w:rsid w:val="000E1F9A"/>
    <w:rsid w:val="000F0BBB"/>
    <w:rsid w:val="000F2287"/>
    <w:rsid w:val="000F3B46"/>
    <w:rsid w:val="000F59F8"/>
    <w:rsid w:val="000F5F5E"/>
    <w:rsid w:val="000F6D05"/>
    <w:rsid w:val="00105F46"/>
    <w:rsid w:val="00113D67"/>
    <w:rsid w:val="00117C98"/>
    <w:rsid w:val="00125818"/>
    <w:rsid w:val="001420EB"/>
    <w:rsid w:val="001452B3"/>
    <w:rsid w:val="00150A19"/>
    <w:rsid w:val="00153729"/>
    <w:rsid w:val="00157AFD"/>
    <w:rsid w:val="001605CF"/>
    <w:rsid w:val="001608BE"/>
    <w:rsid w:val="00171BD5"/>
    <w:rsid w:val="00181F4A"/>
    <w:rsid w:val="001831BF"/>
    <w:rsid w:val="001835B2"/>
    <w:rsid w:val="00183D85"/>
    <w:rsid w:val="00193ECC"/>
    <w:rsid w:val="001A41B4"/>
    <w:rsid w:val="001A5893"/>
    <w:rsid w:val="001A5B94"/>
    <w:rsid w:val="001A5C1A"/>
    <w:rsid w:val="001A765F"/>
    <w:rsid w:val="001B294E"/>
    <w:rsid w:val="001B2ADA"/>
    <w:rsid w:val="001B3823"/>
    <w:rsid w:val="001C006C"/>
    <w:rsid w:val="001C0ED1"/>
    <w:rsid w:val="001C5A74"/>
    <w:rsid w:val="001E79FF"/>
    <w:rsid w:val="001F0F9B"/>
    <w:rsid w:val="002052B6"/>
    <w:rsid w:val="00206559"/>
    <w:rsid w:val="002168D4"/>
    <w:rsid w:val="002312F5"/>
    <w:rsid w:val="00231B0A"/>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1803"/>
    <w:rsid w:val="002B3D3C"/>
    <w:rsid w:val="002B4D21"/>
    <w:rsid w:val="002C0499"/>
    <w:rsid w:val="002C2576"/>
    <w:rsid w:val="002D0C16"/>
    <w:rsid w:val="002D59B3"/>
    <w:rsid w:val="002D5CEC"/>
    <w:rsid w:val="002E0688"/>
    <w:rsid w:val="002E2C96"/>
    <w:rsid w:val="002E2E46"/>
    <w:rsid w:val="002E7E9E"/>
    <w:rsid w:val="002F0AE7"/>
    <w:rsid w:val="002F139A"/>
    <w:rsid w:val="002F4250"/>
    <w:rsid w:val="0030240F"/>
    <w:rsid w:val="00311A09"/>
    <w:rsid w:val="00314A8B"/>
    <w:rsid w:val="0032174C"/>
    <w:rsid w:val="00323327"/>
    <w:rsid w:val="00330B70"/>
    <w:rsid w:val="0033162C"/>
    <w:rsid w:val="003348F7"/>
    <w:rsid w:val="00336E8E"/>
    <w:rsid w:val="003410C4"/>
    <w:rsid w:val="00345444"/>
    <w:rsid w:val="00347FBB"/>
    <w:rsid w:val="003548AA"/>
    <w:rsid w:val="0035758F"/>
    <w:rsid w:val="00357C72"/>
    <w:rsid w:val="003625A6"/>
    <w:rsid w:val="00362B9A"/>
    <w:rsid w:val="003632A4"/>
    <w:rsid w:val="003664D0"/>
    <w:rsid w:val="00366BDF"/>
    <w:rsid w:val="00372976"/>
    <w:rsid w:val="00374CF9"/>
    <w:rsid w:val="003800B4"/>
    <w:rsid w:val="00387B66"/>
    <w:rsid w:val="00396C2C"/>
    <w:rsid w:val="00396C7A"/>
    <w:rsid w:val="003977B4"/>
    <w:rsid w:val="003B0AAD"/>
    <w:rsid w:val="003B65E0"/>
    <w:rsid w:val="003C5272"/>
    <w:rsid w:val="003C5482"/>
    <w:rsid w:val="003D59BF"/>
    <w:rsid w:val="003E0750"/>
    <w:rsid w:val="003E313D"/>
    <w:rsid w:val="003F3391"/>
    <w:rsid w:val="003F44AD"/>
    <w:rsid w:val="003F44B7"/>
    <w:rsid w:val="003F51E6"/>
    <w:rsid w:val="003F7FD2"/>
    <w:rsid w:val="0040076C"/>
    <w:rsid w:val="004055AC"/>
    <w:rsid w:val="00411C3F"/>
    <w:rsid w:val="004149DB"/>
    <w:rsid w:val="00421FFF"/>
    <w:rsid w:val="0042726B"/>
    <w:rsid w:val="00430F4A"/>
    <w:rsid w:val="00433231"/>
    <w:rsid w:val="00434FC1"/>
    <w:rsid w:val="004420C4"/>
    <w:rsid w:val="00442756"/>
    <w:rsid w:val="00445D38"/>
    <w:rsid w:val="00447C09"/>
    <w:rsid w:val="004505EA"/>
    <w:rsid w:val="0045204B"/>
    <w:rsid w:val="00452149"/>
    <w:rsid w:val="00452AAD"/>
    <w:rsid w:val="004560B0"/>
    <w:rsid w:val="00460629"/>
    <w:rsid w:val="00463EFA"/>
    <w:rsid w:val="00470149"/>
    <w:rsid w:val="004718E5"/>
    <w:rsid w:val="004777B8"/>
    <w:rsid w:val="00483EDA"/>
    <w:rsid w:val="00491029"/>
    <w:rsid w:val="00492501"/>
    <w:rsid w:val="00496CEF"/>
    <w:rsid w:val="004A09D6"/>
    <w:rsid w:val="004A10A7"/>
    <w:rsid w:val="004B068E"/>
    <w:rsid w:val="004B18D8"/>
    <w:rsid w:val="004B2256"/>
    <w:rsid w:val="004B2A1A"/>
    <w:rsid w:val="004B6D60"/>
    <w:rsid w:val="004D09C9"/>
    <w:rsid w:val="004D1CD4"/>
    <w:rsid w:val="004D1EBF"/>
    <w:rsid w:val="004D3B99"/>
    <w:rsid w:val="004D3E78"/>
    <w:rsid w:val="004E20BF"/>
    <w:rsid w:val="004F3D13"/>
    <w:rsid w:val="00502181"/>
    <w:rsid w:val="00505139"/>
    <w:rsid w:val="00514A82"/>
    <w:rsid w:val="005157B0"/>
    <w:rsid w:val="005178FC"/>
    <w:rsid w:val="00522E00"/>
    <w:rsid w:val="005244DA"/>
    <w:rsid w:val="0053609E"/>
    <w:rsid w:val="00541108"/>
    <w:rsid w:val="00547827"/>
    <w:rsid w:val="00563C94"/>
    <w:rsid w:val="00564C71"/>
    <w:rsid w:val="0056618C"/>
    <w:rsid w:val="0058198F"/>
    <w:rsid w:val="00582F1C"/>
    <w:rsid w:val="005859CC"/>
    <w:rsid w:val="00586C57"/>
    <w:rsid w:val="00587CD1"/>
    <w:rsid w:val="005A1650"/>
    <w:rsid w:val="005A4569"/>
    <w:rsid w:val="005A6687"/>
    <w:rsid w:val="005A77AC"/>
    <w:rsid w:val="005A7DF7"/>
    <w:rsid w:val="005C4B8B"/>
    <w:rsid w:val="005C5733"/>
    <w:rsid w:val="005C68CE"/>
    <w:rsid w:val="005C7F88"/>
    <w:rsid w:val="005D1037"/>
    <w:rsid w:val="005D4097"/>
    <w:rsid w:val="005D6652"/>
    <w:rsid w:val="005E3DFB"/>
    <w:rsid w:val="005E4C48"/>
    <w:rsid w:val="005F18AD"/>
    <w:rsid w:val="005F31D0"/>
    <w:rsid w:val="00601A25"/>
    <w:rsid w:val="00601C18"/>
    <w:rsid w:val="00601E71"/>
    <w:rsid w:val="0060661E"/>
    <w:rsid w:val="00612663"/>
    <w:rsid w:val="00615F25"/>
    <w:rsid w:val="006253C6"/>
    <w:rsid w:val="00645036"/>
    <w:rsid w:val="00647DD2"/>
    <w:rsid w:val="006520EE"/>
    <w:rsid w:val="00652A42"/>
    <w:rsid w:val="006540A8"/>
    <w:rsid w:val="006671F5"/>
    <w:rsid w:val="006705A4"/>
    <w:rsid w:val="006722EB"/>
    <w:rsid w:val="00686F6E"/>
    <w:rsid w:val="00697E41"/>
    <w:rsid w:val="006A5317"/>
    <w:rsid w:val="006A7228"/>
    <w:rsid w:val="006B004C"/>
    <w:rsid w:val="006C1858"/>
    <w:rsid w:val="006C242A"/>
    <w:rsid w:val="006C2B2B"/>
    <w:rsid w:val="006C57B2"/>
    <w:rsid w:val="006C5A2C"/>
    <w:rsid w:val="006C6D60"/>
    <w:rsid w:val="006D6E0B"/>
    <w:rsid w:val="006E1063"/>
    <w:rsid w:val="006E312B"/>
    <w:rsid w:val="006E40BD"/>
    <w:rsid w:val="006E7E57"/>
    <w:rsid w:val="006F4169"/>
    <w:rsid w:val="007001FF"/>
    <w:rsid w:val="007059A9"/>
    <w:rsid w:val="00706720"/>
    <w:rsid w:val="00710600"/>
    <w:rsid w:val="0071106C"/>
    <w:rsid w:val="00715BED"/>
    <w:rsid w:val="00716B82"/>
    <w:rsid w:val="007201F8"/>
    <w:rsid w:val="007209C0"/>
    <w:rsid w:val="00722B62"/>
    <w:rsid w:val="0072650E"/>
    <w:rsid w:val="007306EC"/>
    <w:rsid w:val="00737C36"/>
    <w:rsid w:val="00740EE4"/>
    <w:rsid w:val="00747724"/>
    <w:rsid w:val="00750C0F"/>
    <w:rsid w:val="007513BE"/>
    <w:rsid w:val="00763150"/>
    <w:rsid w:val="0076429B"/>
    <w:rsid w:val="00767397"/>
    <w:rsid w:val="00773AE0"/>
    <w:rsid w:val="00776BBA"/>
    <w:rsid w:val="00781A4A"/>
    <w:rsid w:val="00791198"/>
    <w:rsid w:val="007941C2"/>
    <w:rsid w:val="00795966"/>
    <w:rsid w:val="007966A5"/>
    <w:rsid w:val="007A12DE"/>
    <w:rsid w:val="007A24B5"/>
    <w:rsid w:val="007A51E1"/>
    <w:rsid w:val="007A7E7A"/>
    <w:rsid w:val="007B7771"/>
    <w:rsid w:val="007D470C"/>
    <w:rsid w:val="007D4B14"/>
    <w:rsid w:val="007D4F43"/>
    <w:rsid w:val="007D4F53"/>
    <w:rsid w:val="007E52F7"/>
    <w:rsid w:val="007E5F68"/>
    <w:rsid w:val="0080456D"/>
    <w:rsid w:val="00811D1C"/>
    <w:rsid w:val="008133CF"/>
    <w:rsid w:val="008170C0"/>
    <w:rsid w:val="008344A6"/>
    <w:rsid w:val="00855495"/>
    <w:rsid w:val="00875D0C"/>
    <w:rsid w:val="008776EF"/>
    <w:rsid w:val="00882958"/>
    <w:rsid w:val="008936C5"/>
    <w:rsid w:val="00895965"/>
    <w:rsid w:val="008A6DB5"/>
    <w:rsid w:val="008B4A16"/>
    <w:rsid w:val="008B7161"/>
    <w:rsid w:val="008C0EC8"/>
    <w:rsid w:val="008C268E"/>
    <w:rsid w:val="008C7F3A"/>
    <w:rsid w:val="008D3031"/>
    <w:rsid w:val="008D39F4"/>
    <w:rsid w:val="008D4DAB"/>
    <w:rsid w:val="008D70A4"/>
    <w:rsid w:val="008E2239"/>
    <w:rsid w:val="008E24DA"/>
    <w:rsid w:val="008F4BF5"/>
    <w:rsid w:val="008F4EAE"/>
    <w:rsid w:val="008F5409"/>
    <w:rsid w:val="00900CEB"/>
    <w:rsid w:val="00903620"/>
    <w:rsid w:val="009136B3"/>
    <w:rsid w:val="009143E0"/>
    <w:rsid w:val="0091453B"/>
    <w:rsid w:val="00936A7B"/>
    <w:rsid w:val="00937543"/>
    <w:rsid w:val="00942622"/>
    <w:rsid w:val="00942640"/>
    <w:rsid w:val="00946D9B"/>
    <w:rsid w:val="00950C55"/>
    <w:rsid w:val="00951926"/>
    <w:rsid w:val="00956CA6"/>
    <w:rsid w:val="00956CE9"/>
    <w:rsid w:val="009629B5"/>
    <w:rsid w:val="00976584"/>
    <w:rsid w:val="00987973"/>
    <w:rsid w:val="00990F83"/>
    <w:rsid w:val="009962A0"/>
    <w:rsid w:val="009A04DD"/>
    <w:rsid w:val="009B2F99"/>
    <w:rsid w:val="009B4053"/>
    <w:rsid w:val="009B48FB"/>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270DD"/>
    <w:rsid w:val="00A324A8"/>
    <w:rsid w:val="00A349B0"/>
    <w:rsid w:val="00A475A2"/>
    <w:rsid w:val="00A51DDD"/>
    <w:rsid w:val="00A55660"/>
    <w:rsid w:val="00A55C96"/>
    <w:rsid w:val="00A642B8"/>
    <w:rsid w:val="00A64506"/>
    <w:rsid w:val="00A66FD2"/>
    <w:rsid w:val="00A67716"/>
    <w:rsid w:val="00A677D8"/>
    <w:rsid w:val="00A80E7F"/>
    <w:rsid w:val="00A834DF"/>
    <w:rsid w:val="00A907FB"/>
    <w:rsid w:val="00A91C53"/>
    <w:rsid w:val="00A936AE"/>
    <w:rsid w:val="00AA1D87"/>
    <w:rsid w:val="00AD3EBD"/>
    <w:rsid w:val="00AE03A4"/>
    <w:rsid w:val="00AE309F"/>
    <w:rsid w:val="00AE4633"/>
    <w:rsid w:val="00AE748C"/>
    <w:rsid w:val="00AF2164"/>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1477"/>
    <w:rsid w:val="00B82478"/>
    <w:rsid w:val="00B8698C"/>
    <w:rsid w:val="00B9063C"/>
    <w:rsid w:val="00B9666A"/>
    <w:rsid w:val="00BA16E2"/>
    <w:rsid w:val="00BA31C3"/>
    <w:rsid w:val="00BA65E6"/>
    <w:rsid w:val="00BA6C2E"/>
    <w:rsid w:val="00BB2FF6"/>
    <w:rsid w:val="00BC18FB"/>
    <w:rsid w:val="00BC21AB"/>
    <w:rsid w:val="00BC254C"/>
    <w:rsid w:val="00BC4C5B"/>
    <w:rsid w:val="00BC77F9"/>
    <w:rsid w:val="00BD3A40"/>
    <w:rsid w:val="00BD3FE8"/>
    <w:rsid w:val="00BD5BC2"/>
    <w:rsid w:val="00BD60AA"/>
    <w:rsid w:val="00BE18D0"/>
    <w:rsid w:val="00BE240C"/>
    <w:rsid w:val="00BE439C"/>
    <w:rsid w:val="00BE4577"/>
    <w:rsid w:val="00BF1D01"/>
    <w:rsid w:val="00BF3080"/>
    <w:rsid w:val="00C015B4"/>
    <w:rsid w:val="00C21D81"/>
    <w:rsid w:val="00C26B1D"/>
    <w:rsid w:val="00C26E38"/>
    <w:rsid w:val="00C3163F"/>
    <w:rsid w:val="00C534AE"/>
    <w:rsid w:val="00C560C2"/>
    <w:rsid w:val="00C60857"/>
    <w:rsid w:val="00C70268"/>
    <w:rsid w:val="00C75920"/>
    <w:rsid w:val="00C80FD8"/>
    <w:rsid w:val="00C83657"/>
    <w:rsid w:val="00C859CC"/>
    <w:rsid w:val="00C94431"/>
    <w:rsid w:val="00C9498F"/>
    <w:rsid w:val="00CA02F8"/>
    <w:rsid w:val="00CA0EE1"/>
    <w:rsid w:val="00CB0C0E"/>
    <w:rsid w:val="00CC300D"/>
    <w:rsid w:val="00CC385B"/>
    <w:rsid w:val="00CC4A35"/>
    <w:rsid w:val="00CD3544"/>
    <w:rsid w:val="00CE48FC"/>
    <w:rsid w:val="00CE5DB6"/>
    <w:rsid w:val="00CE75EF"/>
    <w:rsid w:val="00CF32A8"/>
    <w:rsid w:val="00CF53CA"/>
    <w:rsid w:val="00CF5471"/>
    <w:rsid w:val="00D10FA6"/>
    <w:rsid w:val="00D11DDB"/>
    <w:rsid w:val="00D161D7"/>
    <w:rsid w:val="00D1641C"/>
    <w:rsid w:val="00D16FE8"/>
    <w:rsid w:val="00D22793"/>
    <w:rsid w:val="00D329E0"/>
    <w:rsid w:val="00D40430"/>
    <w:rsid w:val="00D41D64"/>
    <w:rsid w:val="00D50980"/>
    <w:rsid w:val="00D60D45"/>
    <w:rsid w:val="00D635F1"/>
    <w:rsid w:val="00D67440"/>
    <w:rsid w:val="00D71951"/>
    <w:rsid w:val="00D76436"/>
    <w:rsid w:val="00D84A8C"/>
    <w:rsid w:val="00D86FB7"/>
    <w:rsid w:val="00DA0113"/>
    <w:rsid w:val="00DA37EC"/>
    <w:rsid w:val="00DA38A8"/>
    <w:rsid w:val="00DA3AAA"/>
    <w:rsid w:val="00DB0182"/>
    <w:rsid w:val="00DB12E4"/>
    <w:rsid w:val="00DB3B79"/>
    <w:rsid w:val="00DB3D7F"/>
    <w:rsid w:val="00DB5A3A"/>
    <w:rsid w:val="00DC0A52"/>
    <w:rsid w:val="00DC12FF"/>
    <w:rsid w:val="00DC154F"/>
    <w:rsid w:val="00DC158D"/>
    <w:rsid w:val="00DD0358"/>
    <w:rsid w:val="00DD5ACD"/>
    <w:rsid w:val="00DE5B7B"/>
    <w:rsid w:val="00DF127B"/>
    <w:rsid w:val="00E01475"/>
    <w:rsid w:val="00E032F3"/>
    <w:rsid w:val="00E16C03"/>
    <w:rsid w:val="00E2040E"/>
    <w:rsid w:val="00E2256B"/>
    <w:rsid w:val="00E27FEA"/>
    <w:rsid w:val="00E37A86"/>
    <w:rsid w:val="00E40361"/>
    <w:rsid w:val="00E41452"/>
    <w:rsid w:val="00E524B2"/>
    <w:rsid w:val="00E52E2A"/>
    <w:rsid w:val="00E74D68"/>
    <w:rsid w:val="00E7639D"/>
    <w:rsid w:val="00E77449"/>
    <w:rsid w:val="00E7755A"/>
    <w:rsid w:val="00E8378F"/>
    <w:rsid w:val="00E86AAA"/>
    <w:rsid w:val="00E92E1D"/>
    <w:rsid w:val="00E93C7C"/>
    <w:rsid w:val="00E94C7D"/>
    <w:rsid w:val="00EA2F65"/>
    <w:rsid w:val="00EA4813"/>
    <w:rsid w:val="00EA6E29"/>
    <w:rsid w:val="00EB47F0"/>
    <w:rsid w:val="00ED5E08"/>
    <w:rsid w:val="00EE2B5F"/>
    <w:rsid w:val="00EE3490"/>
    <w:rsid w:val="00EE51D2"/>
    <w:rsid w:val="00EE6F2C"/>
    <w:rsid w:val="00EF4E45"/>
    <w:rsid w:val="00EF58A8"/>
    <w:rsid w:val="00EF5A5D"/>
    <w:rsid w:val="00EF6B0C"/>
    <w:rsid w:val="00F01843"/>
    <w:rsid w:val="00F02D8D"/>
    <w:rsid w:val="00F114D5"/>
    <w:rsid w:val="00F16C55"/>
    <w:rsid w:val="00F25FA8"/>
    <w:rsid w:val="00F415E2"/>
    <w:rsid w:val="00F427B4"/>
    <w:rsid w:val="00F45735"/>
    <w:rsid w:val="00F5024F"/>
    <w:rsid w:val="00F50297"/>
    <w:rsid w:val="00F51FA1"/>
    <w:rsid w:val="00F5594F"/>
    <w:rsid w:val="00F55D61"/>
    <w:rsid w:val="00F63042"/>
    <w:rsid w:val="00F645EC"/>
    <w:rsid w:val="00F67024"/>
    <w:rsid w:val="00F67559"/>
    <w:rsid w:val="00F71200"/>
    <w:rsid w:val="00F73DCA"/>
    <w:rsid w:val="00F76C75"/>
    <w:rsid w:val="00F77722"/>
    <w:rsid w:val="00F803DE"/>
    <w:rsid w:val="00F84B56"/>
    <w:rsid w:val="00F96C04"/>
    <w:rsid w:val="00F976F4"/>
    <w:rsid w:val="00FB3934"/>
    <w:rsid w:val="00FB3DDB"/>
    <w:rsid w:val="00FB594A"/>
    <w:rsid w:val="00FB7DD0"/>
    <w:rsid w:val="00FC4B88"/>
    <w:rsid w:val="00FD08B1"/>
    <w:rsid w:val="00FD7009"/>
    <w:rsid w:val="00FD7231"/>
    <w:rsid w:val="00FE0150"/>
    <w:rsid w:val="00FE30E3"/>
    <w:rsid w:val="00FF0D8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note text"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qFormat/>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rsid w:val="005F18AD"/>
    <w:rPr>
      <w:vertAlign w:val="superscript"/>
    </w:rPr>
  </w:style>
  <w:style w:type="paragraph" w:styleId="FootnoteText">
    <w:name w:val="footnote text"/>
    <w:aliases w:val="Footnote Text Char1 Char,Footnote Text Char Char Char,Footnote Text Char2 Char Char Char,ALTS FOOTNOTE Char2 Char Char Char,Footnote Text Char1 Char1 Char Char Char,Footnote Text Char Char Char1 Char Char Char,Footnote Text2,Footnote Text1"/>
    <w:basedOn w:val="Normal"/>
    <w:link w:val="FootnoteTextChar"/>
    <w:qFormat/>
    <w:rsid w:val="005F18AD"/>
    <w:pPr>
      <w:ind w:left="340" w:hanging="340"/>
    </w:pPr>
    <w:rPr>
      <w:sz w:val="20"/>
      <w:szCs w:val="20"/>
      <w:lang w:eastAsia="en-US"/>
    </w:rPr>
  </w:style>
  <w:style w:type="character" w:customStyle="1" w:styleId="FootnoteTextChar">
    <w:name w:val="Footnote Text Char"/>
    <w:aliases w:val="Footnote Text Char1 Char Char,Footnote Text Char Char Char Char,Footnote Text Char2 Char Char Char Char,ALTS FOOTNOTE Char2 Char Char Char Char,Footnote Text Char1 Char1 Char Char Char Char,Footnote Text2 Char,Footnote Text1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uiPriority w:val="99"/>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qFormat/>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qFormat/>
    <w:rsid w:val="005F18AD"/>
    <w:pPr>
      <w:numPr>
        <w:numId w:val="8"/>
      </w:numPr>
      <w:tabs>
        <w:tab w:val="left" w:pos="720"/>
      </w:tabs>
      <w:ind w:hanging="363"/>
    </w:pPr>
  </w:style>
  <w:style w:type="paragraph" w:customStyle="1" w:styleId="AERnumberedlistthirdstyle">
    <w:name w:val="AER numbered list (third style)"/>
    <w:basedOn w:val="AERnumberedlistsecondstyle"/>
    <w:qFormat/>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 w:type="paragraph" w:customStyle="1" w:styleId="TableHeading">
    <w:name w:val="Table Heading"/>
    <w:basedOn w:val="Tabletext"/>
    <w:link w:val="TableHeadingChar"/>
    <w:qFormat/>
    <w:rsid w:val="0091453B"/>
    <w:pPr>
      <w:spacing w:before="60" w:after="60" w:line="276" w:lineRule="auto"/>
      <w:jc w:val="left"/>
    </w:pPr>
    <w:rPr>
      <w:rFonts w:eastAsia="Arial"/>
      <w:color w:val="FFFFFF"/>
      <w:sz w:val="18"/>
      <w:szCs w:val="22"/>
      <w:lang w:eastAsia="en-US"/>
    </w:rPr>
  </w:style>
  <w:style w:type="character" w:customStyle="1" w:styleId="TableHeadingChar">
    <w:name w:val="Table Heading Char"/>
    <w:link w:val="TableHeading"/>
    <w:rsid w:val="0091453B"/>
    <w:rPr>
      <w:rFonts w:ascii="Arial" w:eastAsia="Arial" w:hAnsi="Arial"/>
      <w:color w:val="FFFFFF"/>
      <w:sz w:val="18"/>
      <w:szCs w:val="22"/>
      <w:lang w:eastAsia="en-US"/>
    </w:rPr>
  </w:style>
  <w:style w:type="paragraph" w:customStyle="1" w:styleId="tableheadingline2">
    <w:name w:val="table heading line 2"/>
    <w:basedOn w:val="Normal"/>
    <w:link w:val="tableheadingline2Char"/>
    <w:qFormat/>
    <w:rsid w:val="0091453B"/>
    <w:pPr>
      <w:spacing w:before="0" w:line="276" w:lineRule="auto"/>
      <w:jc w:val="center"/>
    </w:pPr>
    <w:rPr>
      <w:rFonts w:eastAsia="Arial"/>
      <w:b/>
      <w:sz w:val="18"/>
      <w:szCs w:val="22"/>
      <w:lang w:eastAsia="en-US"/>
    </w:rPr>
  </w:style>
  <w:style w:type="character" w:customStyle="1" w:styleId="tableheadingline2Char">
    <w:name w:val="table heading line 2 Char"/>
    <w:link w:val="tableheadingline2"/>
    <w:rsid w:val="0091453B"/>
    <w:rPr>
      <w:rFonts w:ascii="Arial" w:eastAsia="Arial" w:hAnsi="Arial"/>
      <w:b/>
      <w:sz w:val="18"/>
      <w:szCs w:val="22"/>
      <w:lang w:eastAsia="en-US"/>
    </w:rPr>
  </w:style>
  <w:style w:type="numbering" w:customStyle="1" w:styleId="AERnumberedlist">
    <w:name w:val="AER numbered list"/>
    <w:uiPriority w:val="99"/>
    <w:rsid w:val="005C5733"/>
    <w:pPr>
      <w:numPr>
        <w:numId w:val="30"/>
      </w:numPr>
    </w:pPr>
  </w:style>
  <w:style w:type="paragraph" w:customStyle="1" w:styleId="AERnumberedlist2first">
    <w:name w:val="AER numbered list 2 first"/>
    <w:basedOn w:val="AERbodytext"/>
    <w:qFormat/>
    <w:rsid w:val="005C5733"/>
    <w:pPr>
      <w:tabs>
        <w:tab w:val="num" w:pos="357"/>
      </w:tabs>
      <w:spacing w:before="0" w:after="240" w:line="288" w:lineRule="auto"/>
      <w:ind w:left="357" w:hanging="357"/>
      <w:jc w:val="both"/>
    </w:pPr>
    <w:rPr>
      <w:rFonts w:ascii="Calibri" w:hAnsi="Calibri"/>
      <w:sz w:val="20"/>
    </w:rPr>
  </w:style>
  <w:style w:type="paragraph" w:customStyle="1" w:styleId="AERnumberedlist2second">
    <w:name w:val="AER numbered list 2 second"/>
    <w:basedOn w:val="AERnumberedlist2first"/>
    <w:qFormat/>
    <w:rsid w:val="005C5733"/>
    <w:pPr>
      <w:tabs>
        <w:tab w:val="clear" w:pos="357"/>
        <w:tab w:val="num" w:pos="720"/>
      </w:tabs>
      <w:ind w:left="720" w:hanging="363"/>
    </w:pPr>
  </w:style>
  <w:style w:type="paragraph" w:customStyle="1" w:styleId="AERnumberedlist2third">
    <w:name w:val="AER numbered list 2 third"/>
    <w:basedOn w:val="AERnumberedlist2second"/>
    <w:qFormat/>
    <w:rsid w:val="005C5733"/>
    <w:pPr>
      <w:tabs>
        <w:tab w:val="clear" w:pos="720"/>
        <w:tab w:val="num" w:pos="1361"/>
      </w:tabs>
      <w:ind w:left="1361" w:hanging="136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 w:type="numbering" w:customStyle="1" w:styleId="Heading2Char">
    <w:name w:val="AERnumberedlist"/>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32"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theme" Target="theme/theme1.xml"/><Relationship Id="rId10" Type="http://schemas.openxmlformats.org/officeDocument/2006/relationships/hyperlink" Target="http://www.aer.gov.au/node/451" TargetMode="External"/><Relationship Id="rId19" Type="http://schemas.openxmlformats.org/officeDocument/2006/relationships/image" Target="media/image10.emf"/><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6621E358.dotm</Template>
  <TotalTime>0</TotalTime>
  <Pages>13</Pages>
  <Words>2429</Words>
  <Characters>11491</Characters>
  <Application>Microsoft Office Word</Application>
  <DocSecurity>4</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13893</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2016-02-02T03:25:00Z</dcterms:created>
  <dcterms:modified xsi:type="dcterms:W3CDTF">2016-02-02T03:25:00Z</dcterms:modified>
</cp:coreProperties>
</file>