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094353"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A0352C" w:rsidP="004420C4">
      <w:pPr>
        <w:pStyle w:val="Heading2"/>
        <w:numPr>
          <w:ilvl w:val="0"/>
          <w:numId w:val="0"/>
        </w:numPr>
        <w:rPr>
          <w:i w:val="0"/>
        </w:rPr>
      </w:pPr>
      <w:r>
        <w:rPr>
          <w:i w:val="0"/>
          <w:sz w:val="36"/>
          <w:szCs w:val="36"/>
        </w:rPr>
        <w:t>10 – 16 April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025004" w:rsidRDefault="002A1764" w:rsidP="00345444">
      <w:pPr>
        <w:pStyle w:val="AERbodytext"/>
        <w:spacing w:line="240" w:lineRule="auto"/>
        <w:jc w:val="both"/>
      </w:pPr>
      <w:r>
        <w:t>Average p</w:t>
      </w:r>
      <w:r w:rsidR="00CE10E2" w:rsidRPr="00025004">
        <w:t xml:space="preserve">rices in all regions increased </w:t>
      </w:r>
      <w:r>
        <w:t>th</w:t>
      </w:r>
      <w:bookmarkStart w:id="2" w:name="_GoBack"/>
      <w:bookmarkEnd w:id="2"/>
      <w:r>
        <w:t>is</w:t>
      </w:r>
      <w:r w:rsidR="00CE10E2" w:rsidRPr="00025004">
        <w:t xml:space="preserve"> week. The largest increase </w:t>
      </w:r>
      <w:r>
        <w:t>was 27 per cent in Adelaide. From</w:t>
      </w:r>
      <w:r w:rsidR="00FA0D5D" w:rsidRPr="00025004">
        <w:t xml:space="preserve"> 12 April</w:t>
      </w:r>
      <w:r>
        <w:t>, the Adelaide price</w:t>
      </w:r>
      <w:r w:rsidR="00FA0D5D" w:rsidRPr="00025004">
        <w:t xml:space="preserve"> ranged between </w:t>
      </w:r>
      <w:r w:rsidR="00CE10E2" w:rsidRPr="00025004">
        <w:t>$</w:t>
      </w:r>
      <w:r w:rsidR="00FA0D5D" w:rsidRPr="00025004">
        <w:t>6.95</w:t>
      </w:r>
      <w:r w:rsidR="00CE10E2" w:rsidRPr="00025004">
        <w:t xml:space="preserve">/GJ </w:t>
      </w:r>
      <w:r>
        <w:t>–</w:t>
      </w:r>
      <w:r w:rsidR="00CE10E2" w:rsidRPr="00025004">
        <w:t xml:space="preserve"> $</w:t>
      </w:r>
      <w:r w:rsidR="00FA0D5D" w:rsidRPr="00025004">
        <w:t>8.20</w:t>
      </w:r>
      <w:r w:rsidR="00CE10E2" w:rsidRPr="00025004">
        <w:t>/GJ</w:t>
      </w:r>
      <w:r w:rsidR="00FA0D5D" w:rsidRPr="00025004">
        <w:t>.</w:t>
      </w:r>
      <w:r w:rsidR="0023102F" w:rsidRPr="00025004">
        <w:t xml:space="preserve"> Sydney and Victoria also saw significant price increases.</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A0352C" w:rsidRPr="0091453B" w:rsidTr="00096A89">
        <w:trPr>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10 Apr - 16 Apr 2016</w:t>
            </w:r>
          </w:p>
        </w:tc>
        <w:tc>
          <w:tcPr>
            <w:tcW w:w="750" w:type="pct"/>
            <w:tcBorders>
              <w:top w:val="nil"/>
              <w:bottom w:val="nil"/>
            </w:tcBorders>
            <w:vAlign w:val="center"/>
          </w:tcPr>
          <w:p w:rsidR="00A0352C" w:rsidRDefault="00A0352C">
            <w:pPr>
              <w:jc w:val="center"/>
              <w:rPr>
                <w:rFonts w:cs="Arial"/>
                <w:sz w:val="20"/>
                <w:szCs w:val="20"/>
              </w:rPr>
            </w:pPr>
            <w:r>
              <w:rPr>
                <w:rFonts w:cs="Arial"/>
                <w:sz w:val="20"/>
                <w:szCs w:val="20"/>
              </w:rPr>
              <w:t>6.08</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5.65</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7.29</w:t>
            </w:r>
          </w:p>
        </w:tc>
        <w:tc>
          <w:tcPr>
            <w:tcW w:w="823" w:type="pct"/>
            <w:tcBorders>
              <w:top w:val="nil"/>
              <w:bottom w:val="nil"/>
            </w:tcBorders>
            <w:vAlign w:val="center"/>
          </w:tcPr>
          <w:p w:rsidR="00A0352C" w:rsidRDefault="00A0352C">
            <w:pPr>
              <w:jc w:val="center"/>
              <w:rPr>
                <w:rFonts w:cs="Arial"/>
                <w:sz w:val="20"/>
                <w:szCs w:val="20"/>
              </w:rPr>
            </w:pPr>
            <w:r>
              <w:rPr>
                <w:rFonts w:cs="Arial"/>
                <w:sz w:val="20"/>
                <w:szCs w:val="20"/>
              </w:rPr>
              <w:t>5.39</w:t>
            </w:r>
          </w:p>
        </w:tc>
      </w:tr>
      <w:tr w:rsidR="00A0352C" w:rsidRPr="0091453B" w:rsidTr="00096A89">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 change from previous week</w:t>
            </w:r>
          </w:p>
        </w:tc>
        <w:tc>
          <w:tcPr>
            <w:tcW w:w="750" w:type="pct"/>
            <w:tcBorders>
              <w:top w:val="nil"/>
              <w:bottom w:val="nil"/>
            </w:tcBorders>
            <w:vAlign w:val="center"/>
          </w:tcPr>
          <w:p w:rsidR="00A0352C" w:rsidRDefault="00A0352C">
            <w:pPr>
              <w:jc w:val="center"/>
              <w:rPr>
                <w:rFonts w:cs="Arial"/>
                <w:sz w:val="20"/>
                <w:szCs w:val="20"/>
              </w:rPr>
            </w:pPr>
            <w:r>
              <w:rPr>
                <w:rFonts w:cs="Arial"/>
                <w:sz w:val="20"/>
                <w:szCs w:val="20"/>
              </w:rPr>
              <w:t>21</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18</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27</w:t>
            </w:r>
          </w:p>
        </w:tc>
        <w:tc>
          <w:tcPr>
            <w:tcW w:w="823" w:type="pct"/>
            <w:tcBorders>
              <w:top w:val="nil"/>
              <w:bottom w:val="nil"/>
            </w:tcBorders>
            <w:vAlign w:val="center"/>
          </w:tcPr>
          <w:p w:rsidR="00A0352C" w:rsidRDefault="00A0352C">
            <w:pPr>
              <w:jc w:val="center"/>
              <w:rPr>
                <w:rFonts w:cs="Arial"/>
                <w:sz w:val="20"/>
                <w:szCs w:val="20"/>
              </w:rPr>
            </w:pPr>
            <w:r>
              <w:rPr>
                <w:rFonts w:cs="Arial"/>
                <w:sz w:val="20"/>
                <w:szCs w:val="20"/>
              </w:rPr>
              <w:t>7</w:t>
            </w:r>
          </w:p>
        </w:tc>
      </w:tr>
      <w:tr w:rsidR="00A0352C" w:rsidRPr="0091453B" w:rsidTr="00096A89">
        <w:trPr>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15-16 financial YTD</w:t>
            </w:r>
          </w:p>
        </w:tc>
        <w:tc>
          <w:tcPr>
            <w:tcW w:w="750" w:type="pct"/>
            <w:tcBorders>
              <w:top w:val="nil"/>
              <w:bottom w:val="nil"/>
            </w:tcBorders>
            <w:vAlign w:val="center"/>
          </w:tcPr>
          <w:p w:rsidR="00A0352C" w:rsidRDefault="00A0352C">
            <w:pPr>
              <w:jc w:val="center"/>
              <w:rPr>
                <w:rFonts w:cs="Arial"/>
                <w:sz w:val="20"/>
                <w:szCs w:val="20"/>
              </w:rPr>
            </w:pPr>
            <w:r>
              <w:rPr>
                <w:rFonts w:cs="Arial"/>
                <w:sz w:val="20"/>
                <w:szCs w:val="20"/>
              </w:rPr>
              <w:t>4.47</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4.61</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5.22</w:t>
            </w:r>
          </w:p>
        </w:tc>
        <w:tc>
          <w:tcPr>
            <w:tcW w:w="823" w:type="pct"/>
            <w:tcBorders>
              <w:top w:val="nil"/>
              <w:bottom w:val="nil"/>
            </w:tcBorders>
            <w:vAlign w:val="center"/>
          </w:tcPr>
          <w:p w:rsidR="00A0352C" w:rsidRDefault="00A0352C">
            <w:pPr>
              <w:jc w:val="center"/>
              <w:rPr>
                <w:rFonts w:cs="Arial"/>
                <w:sz w:val="20"/>
                <w:szCs w:val="20"/>
              </w:rPr>
            </w:pPr>
            <w:r>
              <w:rPr>
                <w:rFonts w:cs="Arial"/>
                <w:sz w:val="20"/>
                <w:szCs w:val="20"/>
              </w:rPr>
              <w:t>4.19</w:t>
            </w:r>
          </w:p>
        </w:tc>
      </w:tr>
      <w:tr w:rsidR="00A0352C" w:rsidRPr="0091453B" w:rsidTr="00096A89">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A0352C" w:rsidRDefault="00A0352C">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39</w:t>
            </w:r>
          </w:p>
        </w:tc>
        <w:tc>
          <w:tcPr>
            <w:tcW w:w="74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43</w:t>
            </w:r>
          </w:p>
        </w:tc>
        <w:tc>
          <w:tcPr>
            <w:tcW w:w="823"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76</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2D1954" w:rsidRDefault="002D1954" w:rsidP="00FF0D8A">
      <w:pPr>
        <w:pStyle w:val="AERbodytext"/>
        <w:spacing w:before="120" w:after="120"/>
        <w:jc w:val="both"/>
      </w:pPr>
    </w:p>
    <w:p w:rsidR="002D1954" w:rsidRDefault="002D1954" w:rsidP="00FF0D8A">
      <w:pPr>
        <w:pStyle w:val="AERbodytext"/>
        <w:spacing w:before="120" w:after="120"/>
        <w:jc w:val="both"/>
      </w:pPr>
    </w:p>
    <w:p w:rsidR="002D1954" w:rsidRDefault="002D1954" w:rsidP="00FF0D8A">
      <w:pPr>
        <w:pStyle w:val="AERbodytext"/>
        <w:spacing w:before="120" w:after="120"/>
        <w:jc w:val="both"/>
      </w:pPr>
    </w:p>
    <w:p w:rsidR="002D1954" w:rsidRDefault="002D1954" w:rsidP="00FF0D8A">
      <w:pPr>
        <w:pStyle w:val="AERbodytext"/>
        <w:spacing w:before="120" w:after="120"/>
        <w:jc w:val="both"/>
      </w:pPr>
    </w:p>
    <w:p w:rsidR="002D1954" w:rsidRPr="008D4DAB" w:rsidRDefault="002D1954"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A0352C" w:rsidRPr="0091453B" w:rsidTr="00C97702">
        <w:trPr>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10 Apr - 16 Apr 2016</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6.08</w:t>
            </w:r>
          </w:p>
        </w:tc>
        <w:tc>
          <w:tcPr>
            <w:tcW w:w="1124" w:type="pct"/>
            <w:tcBorders>
              <w:top w:val="nil"/>
              <w:bottom w:val="nil"/>
            </w:tcBorders>
            <w:vAlign w:val="center"/>
          </w:tcPr>
          <w:p w:rsidR="00A0352C" w:rsidRDefault="00A0352C">
            <w:pPr>
              <w:jc w:val="center"/>
              <w:rPr>
                <w:rFonts w:cs="Arial"/>
                <w:sz w:val="20"/>
                <w:szCs w:val="20"/>
              </w:rPr>
            </w:pPr>
            <w:r>
              <w:rPr>
                <w:rFonts w:cs="Arial"/>
                <w:sz w:val="20"/>
                <w:szCs w:val="20"/>
              </w:rPr>
              <w:t>-</w:t>
            </w:r>
          </w:p>
        </w:tc>
        <w:tc>
          <w:tcPr>
            <w:tcW w:w="1199" w:type="pct"/>
            <w:tcBorders>
              <w:top w:val="nil"/>
              <w:bottom w:val="nil"/>
            </w:tcBorders>
            <w:vAlign w:val="center"/>
          </w:tcPr>
          <w:p w:rsidR="00A0352C" w:rsidRDefault="00A0352C">
            <w:pPr>
              <w:jc w:val="center"/>
              <w:rPr>
                <w:rFonts w:cs="Arial"/>
                <w:sz w:val="20"/>
                <w:szCs w:val="20"/>
              </w:rPr>
            </w:pPr>
            <w:r>
              <w:rPr>
                <w:rFonts w:cs="Arial"/>
                <w:sz w:val="20"/>
                <w:szCs w:val="20"/>
              </w:rPr>
              <w:t>411</w:t>
            </w:r>
          </w:p>
        </w:tc>
      </w:tr>
      <w:tr w:rsidR="00A0352C" w:rsidRPr="0091453B" w:rsidTr="00C9770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 change from previous week</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21</w:t>
            </w:r>
          </w:p>
        </w:tc>
        <w:tc>
          <w:tcPr>
            <w:tcW w:w="1124" w:type="pct"/>
            <w:tcBorders>
              <w:top w:val="nil"/>
              <w:bottom w:val="nil"/>
            </w:tcBorders>
            <w:vAlign w:val="center"/>
          </w:tcPr>
          <w:p w:rsidR="00A0352C" w:rsidRDefault="00A0352C">
            <w:pPr>
              <w:jc w:val="center"/>
              <w:rPr>
                <w:rFonts w:cs="Arial"/>
                <w:sz w:val="20"/>
                <w:szCs w:val="20"/>
              </w:rPr>
            </w:pPr>
            <w:r>
              <w:rPr>
                <w:rFonts w:cs="Arial"/>
                <w:sz w:val="20"/>
                <w:szCs w:val="20"/>
              </w:rPr>
              <w:t>-</w:t>
            </w:r>
          </w:p>
        </w:tc>
        <w:tc>
          <w:tcPr>
            <w:tcW w:w="1199" w:type="pct"/>
            <w:tcBorders>
              <w:top w:val="nil"/>
              <w:bottom w:val="nil"/>
            </w:tcBorders>
            <w:vAlign w:val="center"/>
          </w:tcPr>
          <w:p w:rsidR="00A0352C" w:rsidRDefault="00A0352C">
            <w:pPr>
              <w:jc w:val="center"/>
              <w:rPr>
                <w:rFonts w:cs="Arial"/>
                <w:sz w:val="20"/>
                <w:szCs w:val="20"/>
              </w:rPr>
            </w:pPr>
            <w:r>
              <w:rPr>
                <w:rFonts w:cs="Arial"/>
                <w:sz w:val="20"/>
                <w:szCs w:val="20"/>
              </w:rPr>
              <w:t>-2</w:t>
            </w:r>
          </w:p>
        </w:tc>
      </w:tr>
      <w:tr w:rsidR="00A0352C" w:rsidRPr="0091453B" w:rsidTr="00C97702">
        <w:trPr>
          <w:trHeight w:val="510"/>
        </w:trPr>
        <w:tc>
          <w:tcPr>
            <w:tcW w:w="1928" w:type="pct"/>
            <w:tcBorders>
              <w:top w:val="nil"/>
              <w:bottom w:val="nil"/>
            </w:tcBorders>
            <w:vAlign w:val="center"/>
          </w:tcPr>
          <w:p w:rsidR="00A0352C" w:rsidRDefault="00A0352C">
            <w:pPr>
              <w:rPr>
                <w:rFonts w:cs="Arial"/>
                <w:sz w:val="20"/>
                <w:szCs w:val="20"/>
              </w:rPr>
            </w:pPr>
            <w:r>
              <w:rPr>
                <w:rFonts w:cs="Arial"/>
                <w:sz w:val="20"/>
                <w:szCs w:val="20"/>
              </w:rPr>
              <w:t>15-16 financial YTD</w:t>
            </w:r>
          </w:p>
        </w:tc>
        <w:tc>
          <w:tcPr>
            <w:tcW w:w="749" w:type="pct"/>
            <w:tcBorders>
              <w:top w:val="nil"/>
              <w:bottom w:val="nil"/>
            </w:tcBorders>
            <w:vAlign w:val="center"/>
          </w:tcPr>
          <w:p w:rsidR="00A0352C" w:rsidRDefault="00A0352C">
            <w:pPr>
              <w:jc w:val="center"/>
              <w:rPr>
                <w:rFonts w:cs="Arial"/>
                <w:sz w:val="20"/>
                <w:szCs w:val="20"/>
              </w:rPr>
            </w:pPr>
            <w:r>
              <w:rPr>
                <w:rFonts w:cs="Arial"/>
                <w:sz w:val="20"/>
                <w:szCs w:val="20"/>
              </w:rPr>
              <w:t>4.47</w:t>
            </w:r>
          </w:p>
        </w:tc>
        <w:tc>
          <w:tcPr>
            <w:tcW w:w="1124" w:type="pct"/>
            <w:tcBorders>
              <w:top w:val="nil"/>
              <w:bottom w:val="nil"/>
            </w:tcBorders>
            <w:vAlign w:val="center"/>
          </w:tcPr>
          <w:p w:rsidR="00A0352C" w:rsidRDefault="00A0352C">
            <w:pPr>
              <w:jc w:val="center"/>
              <w:rPr>
                <w:rFonts w:cs="Arial"/>
                <w:sz w:val="20"/>
                <w:szCs w:val="20"/>
              </w:rPr>
            </w:pPr>
            <w:r>
              <w:rPr>
                <w:rFonts w:cs="Arial"/>
                <w:sz w:val="20"/>
                <w:szCs w:val="20"/>
              </w:rPr>
              <w:t>-</w:t>
            </w:r>
          </w:p>
        </w:tc>
        <w:tc>
          <w:tcPr>
            <w:tcW w:w="1199" w:type="pct"/>
            <w:tcBorders>
              <w:top w:val="nil"/>
              <w:bottom w:val="nil"/>
            </w:tcBorders>
            <w:vAlign w:val="center"/>
          </w:tcPr>
          <w:p w:rsidR="00A0352C" w:rsidRDefault="00A0352C">
            <w:pPr>
              <w:jc w:val="center"/>
              <w:rPr>
                <w:rFonts w:cs="Arial"/>
                <w:sz w:val="20"/>
                <w:szCs w:val="20"/>
              </w:rPr>
            </w:pPr>
            <w:r>
              <w:rPr>
                <w:rFonts w:cs="Arial"/>
                <w:sz w:val="20"/>
                <w:szCs w:val="20"/>
              </w:rPr>
              <w:t>526</w:t>
            </w:r>
          </w:p>
        </w:tc>
      </w:tr>
      <w:tr w:rsidR="00A0352C" w:rsidRPr="0091453B" w:rsidTr="00C9770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A0352C" w:rsidRDefault="00A0352C">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A0352C" w:rsidRPr="00405CDE" w:rsidTr="008D2BE3">
        <w:trPr>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10 Apr - 16 Apr 2016</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5.65</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4.77</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13.85</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225</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214</w:t>
            </w:r>
          </w:p>
        </w:tc>
      </w:tr>
      <w:tr w:rsidR="00A0352C" w:rsidRPr="00405CDE" w:rsidTr="008D2B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 change from previous week</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18</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7</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18</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-2</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-5</w:t>
            </w:r>
          </w:p>
        </w:tc>
      </w:tr>
      <w:tr w:rsidR="00A0352C" w:rsidRPr="00405CDE" w:rsidTr="008D2BE3">
        <w:trPr>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15-16 financial YTD</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4.61</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4.24</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29.09</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233</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227</w:t>
            </w:r>
          </w:p>
        </w:tc>
      </w:tr>
      <w:tr w:rsidR="00A0352C" w:rsidRPr="00405CDE" w:rsidTr="008D2BE3">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0352C" w:rsidRDefault="00A0352C">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39</w:t>
            </w:r>
          </w:p>
        </w:tc>
        <w:tc>
          <w:tcPr>
            <w:tcW w:w="758"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28</w:t>
            </w:r>
          </w:p>
        </w:tc>
        <w:tc>
          <w:tcPr>
            <w:tcW w:w="75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116</w:t>
            </w:r>
          </w:p>
        </w:tc>
        <w:tc>
          <w:tcPr>
            <w:tcW w:w="68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2D1954" w:rsidRPr="00405CDE" w:rsidTr="00494F66">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2D1954" w:rsidRPr="00DC24BF" w:rsidRDefault="002D1954" w:rsidP="00494F66">
            <w:pPr>
              <w:pStyle w:val="TableHeading"/>
              <w:jc w:val="center"/>
              <w:rPr>
                <w:rFonts w:cs="Arial"/>
                <w:sz w:val="20"/>
                <w:szCs w:val="20"/>
              </w:rPr>
            </w:pPr>
          </w:p>
        </w:tc>
        <w:tc>
          <w:tcPr>
            <w:tcW w:w="759" w:type="pct"/>
            <w:tcBorders>
              <w:bottom w:val="nil"/>
            </w:tcBorders>
            <w:hideMark/>
          </w:tcPr>
          <w:p w:rsidR="002D1954" w:rsidRPr="002861A9" w:rsidRDefault="002D1954" w:rsidP="00494F66">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2D1954" w:rsidRPr="002861A9" w:rsidRDefault="002D1954" w:rsidP="00494F66">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2D1954" w:rsidRPr="002861A9" w:rsidRDefault="002D1954" w:rsidP="00494F66">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2D1954" w:rsidRPr="002861A9" w:rsidRDefault="002D1954" w:rsidP="00494F66">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2D1954" w:rsidRPr="002861A9" w:rsidRDefault="002D1954" w:rsidP="00494F66">
            <w:pPr>
              <w:keepNext/>
              <w:spacing w:before="40" w:after="40"/>
              <w:jc w:val="center"/>
              <w:rPr>
                <w:rFonts w:cs="Arial"/>
                <w:b w:val="0"/>
                <w:bCs/>
                <w:sz w:val="20"/>
                <w:szCs w:val="20"/>
              </w:rPr>
            </w:pPr>
            <w:r w:rsidRPr="002861A9">
              <w:rPr>
                <w:rFonts w:cs="Arial"/>
                <w:bCs/>
                <w:sz w:val="20"/>
                <w:szCs w:val="20"/>
              </w:rPr>
              <w:t>Ex post quantity (TJ)</w:t>
            </w:r>
          </w:p>
        </w:tc>
      </w:tr>
      <w:tr w:rsidR="002D1954" w:rsidRPr="00405CDE" w:rsidTr="00494F66">
        <w:trPr>
          <w:trHeight w:val="510"/>
        </w:trPr>
        <w:tc>
          <w:tcPr>
            <w:tcW w:w="1430" w:type="pct"/>
            <w:tcBorders>
              <w:top w:val="nil"/>
              <w:bottom w:val="nil"/>
            </w:tcBorders>
            <w:vAlign w:val="center"/>
          </w:tcPr>
          <w:p w:rsidR="002D1954" w:rsidRDefault="002D1954" w:rsidP="00494F66">
            <w:pPr>
              <w:rPr>
                <w:rFonts w:cs="Arial"/>
                <w:sz w:val="20"/>
                <w:szCs w:val="20"/>
              </w:rPr>
            </w:pPr>
            <w:r>
              <w:rPr>
                <w:rFonts w:cs="Arial"/>
                <w:sz w:val="20"/>
                <w:szCs w:val="20"/>
              </w:rPr>
              <w:t>10 Apr - 16 Apr 2016</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7.29</w:t>
            </w:r>
          </w:p>
        </w:tc>
        <w:tc>
          <w:tcPr>
            <w:tcW w:w="758" w:type="pct"/>
            <w:tcBorders>
              <w:top w:val="nil"/>
              <w:bottom w:val="nil"/>
            </w:tcBorders>
            <w:vAlign w:val="center"/>
          </w:tcPr>
          <w:p w:rsidR="002D1954" w:rsidRDefault="002D1954" w:rsidP="00494F66">
            <w:pPr>
              <w:jc w:val="center"/>
              <w:rPr>
                <w:rFonts w:cs="Arial"/>
                <w:sz w:val="20"/>
                <w:szCs w:val="20"/>
              </w:rPr>
            </w:pPr>
            <w:r>
              <w:rPr>
                <w:rFonts w:cs="Arial"/>
                <w:sz w:val="20"/>
                <w:szCs w:val="20"/>
              </w:rPr>
              <w:t>7.53</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5.89</w:t>
            </w:r>
          </w:p>
        </w:tc>
        <w:tc>
          <w:tcPr>
            <w:tcW w:w="685" w:type="pct"/>
            <w:tcBorders>
              <w:top w:val="nil"/>
              <w:bottom w:val="nil"/>
            </w:tcBorders>
            <w:vAlign w:val="center"/>
          </w:tcPr>
          <w:p w:rsidR="002D1954" w:rsidRDefault="002D1954" w:rsidP="00494F66">
            <w:pPr>
              <w:jc w:val="center"/>
              <w:rPr>
                <w:rFonts w:cs="Arial"/>
                <w:sz w:val="20"/>
                <w:szCs w:val="20"/>
              </w:rPr>
            </w:pPr>
            <w:r>
              <w:rPr>
                <w:rFonts w:cs="Arial"/>
                <w:sz w:val="20"/>
                <w:szCs w:val="20"/>
              </w:rPr>
              <w:t>55</w:t>
            </w:r>
          </w:p>
        </w:tc>
        <w:tc>
          <w:tcPr>
            <w:tcW w:w="608" w:type="pct"/>
            <w:tcBorders>
              <w:top w:val="nil"/>
              <w:bottom w:val="nil"/>
            </w:tcBorders>
            <w:vAlign w:val="center"/>
          </w:tcPr>
          <w:p w:rsidR="002D1954" w:rsidRDefault="002D1954" w:rsidP="00494F66">
            <w:pPr>
              <w:jc w:val="center"/>
              <w:rPr>
                <w:rFonts w:cs="Arial"/>
                <w:sz w:val="20"/>
                <w:szCs w:val="20"/>
              </w:rPr>
            </w:pPr>
            <w:r>
              <w:rPr>
                <w:rFonts w:cs="Arial"/>
                <w:sz w:val="20"/>
                <w:szCs w:val="20"/>
              </w:rPr>
              <w:t>56</w:t>
            </w:r>
          </w:p>
        </w:tc>
      </w:tr>
      <w:tr w:rsidR="002D1954" w:rsidRPr="00405CDE" w:rsidTr="00494F66">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2D1954" w:rsidRDefault="002D1954" w:rsidP="00494F66">
            <w:pPr>
              <w:rPr>
                <w:rFonts w:cs="Arial"/>
                <w:sz w:val="20"/>
                <w:szCs w:val="20"/>
              </w:rPr>
            </w:pPr>
            <w:r>
              <w:rPr>
                <w:rFonts w:cs="Arial"/>
                <w:sz w:val="20"/>
                <w:szCs w:val="20"/>
              </w:rPr>
              <w:t>% change from previous week</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27</w:t>
            </w:r>
          </w:p>
        </w:tc>
        <w:tc>
          <w:tcPr>
            <w:tcW w:w="758" w:type="pct"/>
            <w:tcBorders>
              <w:top w:val="nil"/>
              <w:bottom w:val="nil"/>
            </w:tcBorders>
            <w:vAlign w:val="center"/>
          </w:tcPr>
          <w:p w:rsidR="002D1954" w:rsidRDefault="002D1954" w:rsidP="00494F66">
            <w:pPr>
              <w:jc w:val="center"/>
              <w:rPr>
                <w:rFonts w:cs="Arial"/>
                <w:sz w:val="20"/>
                <w:szCs w:val="20"/>
              </w:rPr>
            </w:pPr>
            <w:r>
              <w:rPr>
                <w:rFonts w:cs="Arial"/>
                <w:sz w:val="20"/>
                <w:szCs w:val="20"/>
              </w:rPr>
              <w:t>24</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-56</w:t>
            </w:r>
          </w:p>
        </w:tc>
        <w:tc>
          <w:tcPr>
            <w:tcW w:w="685" w:type="pct"/>
            <w:tcBorders>
              <w:top w:val="nil"/>
              <w:bottom w:val="nil"/>
            </w:tcBorders>
            <w:vAlign w:val="center"/>
          </w:tcPr>
          <w:p w:rsidR="002D1954" w:rsidRDefault="002D1954" w:rsidP="00494F66">
            <w:pPr>
              <w:jc w:val="center"/>
              <w:rPr>
                <w:rFonts w:cs="Arial"/>
                <w:sz w:val="20"/>
                <w:szCs w:val="20"/>
              </w:rPr>
            </w:pPr>
            <w:r>
              <w:rPr>
                <w:rFonts w:cs="Arial"/>
                <w:sz w:val="20"/>
                <w:szCs w:val="20"/>
              </w:rPr>
              <w:t>6</w:t>
            </w:r>
          </w:p>
        </w:tc>
        <w:tc>
          <w:tcPr>
            <w:tcW w:w="608" w:type="pct"/>
            <w:tcBorders>
              <w:top w:val="nil"/>
              <w:bottom w:val="nil"/>
            </w:tcBorders>
            <w:vAlign w:val="center"/>
          </w:tcPr>
          <w:p w:rsidR="002D1954" w:rsidRDefault="002D1954" w:rsidP="00494F66">
            <w:pPr>
              <w:jc w:val="center"/>
              <w:rPr>
                <w:rFonts w:cs="Arial"/>
                <w:sz w:val="20"/>
                <w:szCs w:val="20"/>
              </w:rPr>
            </w:pPr>
            <w:r>
              <w:rPr>
                <w:rFonts w:cs="Arial"/>
                <w:sz w:val="20"/>
                <w:szCs w:val="20"/>
              </w:rPr>
              <w:t>0</w:t>
            </w:r>
          </w:p>
        </w:tc>
      </w:tr>
      <w:tr w:rsidR="002D1954" w:rsidRPr="00405CDE" w:rsidTr="00494F66">
        <w:trPr>
          <w:trHeight w:val="510"/>
        </w:trPr>
        <w:tc>
          <w:tcPr>
            <w:tcW w:w="1430" w:type="pct"/>
            <w:tcBorders>
              <w:top w:val="nil"/>
              <w:bottom w:val="nil"/>
            </w:tcBorders>
            <w:vAlign w:val="center"/>
          </w:tcPr>
          <w:p w:rsidR="002D1954" w:rsidRDefault="002D1954" w:rsidP="00494F66">
            <w:pPr>
              <w:rPr>
                <w:rFonts w:cs="Arial"/>
                <w:sz w:val="20"/>
                <w:szCs w:val="20"/>
              </w:rPr>
            </w:pPr>
            <w:r>
              <w:rPr>
                <w:rFonts w:cs="Arial"/>
                <w:sz w:val="20"/>
                <w:szCs w:val="20"/>
              </w:rPr>
              <w:t>15-16 financial YTD</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5.22</w:t>
            </w:r>
          </w:p>
        </w:tc>
        <w:tc>
          <w:tcPr>
            <w:tcW w:w="758" w:type="pct"/>
            <w:tcBorders>
              <w:top w:val="nil"/>
              <w:bottom w:val="nil"/>
            </w:tcBorders>
            <w:vAlign w:val="center"/>
          </w:tcPr>
          <w:p w:rsidR="002D1954" w:rsidRDefault="002D1954" w:rsidP="00494F66">
            <w:pPr>
              <w:jc w:val="center"/>
              <w:rPr>
                <w:rFonts w:cs="Arial"/>
                <w:sz w:val="20"/>
                <w:szCs w:val="20"/>
              </w:rPr>
            </w:pPr>
            <w:r>
              <w:rPr>
                <w:rFonts w:cs="Arial"/>
                <w:sz w:val="20"/>
                <w:szCs w:val="20"/>
              </w:rPr>
              <w:t>5.33</w:t>
            </w:r>
          </w:p>
        </w:tc>
        <w:tc>
          <w:tcPr>
            <w:tcW w:w="759" w:type="pct"/>
            <w:tcBorders>
              <w:top w:val="nil"/>
              <w:bottom w:val="nil"/>
            </w:tcBorders>
            <w:vAlign w:val="center"/>
          </w:tcPr>
          <w:p w:rsidR="002D1954" w:rsidRDefault="002D1954" w:rsidP="00494F66">
            <w:pPr>
              <w:jc w:val="center"/>
              <w:rPr>
                <w:rFonts w:cs="Arial"/>
                <w:sz w:val="20"/>
                <w:szCs w:val="20"/>
              </w:rPr>
            </w:pPr>
            <w:r>
              <w:rPr>
                <w:rFonts w:cs="Arial"/>
                <w:sz w:val="20"/>
                <w:szCs w:val="20"/>
              </w:rPr>
              <w:t>8.40</w:t>
            </w:r>
          </w:p>
        </w:tc>
        <w:tc>
          <w:tcPr>
            <w:tcW w:w="685" w:type="pct"/>
            <w:tcBorders>
              <w:top w:val="nil"/>
              <w:bottom w:val="nil"/>
            </w:tcBorders>
            <w:vAlign w:val="center"/>
          </w:tcPr>
          <w:p w:rsidR="002D1954" w:rsidRDefault="002D1954" w:rsidP="00494F66">
            <w:pPr>
              <w:jc w:val="center"/>
              <w:rPr>
                <w:rFonts w:cs="Arial"/>
                <w:sz w:val="20"/>
                <w:szCs w:val="20"/>
              </w:rPr>
            </w:pPr>
            <w:r>
              <w:rPr>
                <w:rFonts w:cs="Arial"/>
                <w:sz w:val="20"/>
                <w:szCs w:val="20"/>
              </w:rPr>
              <w:t>59</w:t>
            </w:r>
          </w:p>
        </w:tc>
        <w:tc>
          <w:tcPr>
            <w:tcW w:w="608" w:type="pct"/>
            <w:tcBorders>
              <w:top w:val="nil"/>
              <w:bottom w:val="nil"/>
            </w:tcBorders>
            <w:vAlign w:val="center"/>
          </w:tcPr>
          <w:p w:rsidR="002D1954" w:rsidRDefault="002D1954" w:rsidP="00494F66">
            <w:pPr>
              <w:jc w:val="center"/>
              <w:rPr>
                <w:rFonts w:cs="Arial"/>
                <w:sz w:val="20"/>
                <w:szCs w:val="20"/>
              </w:rPr>
            </w:pPr>
            <w:r>
              <w:rPr>
                <w:rFonts w:cs="Arial"/>
                <w:sz w:val="20"/>
                <w:szCs w:val="20"/>
              </w:rPr>
              <w:t>60</w:t>
            </w:r>
          </w:p>
        </w:tc>
      </w:tr>
      <w:tr w:rsidR="002D1954" w:rsidRPr="00405CDE" w:rsidTr="00494F66">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2D1954" w:rsidRDefault="002D1954" w:rsidP="00494F6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2D1954" w:rsidRDefault="002D1954" w:rsidP="00494F66">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2D1954" w:rsidRDefault="002D1954" w:rsidP="00494F66">
            <w:pPr>
              <w:jc w:val="center"/>
              <w:rPr>
                <w:rFonts w:cs="Arial"/>
                <w:sz w:val="20"/>
                <w:szCs w:val="20"/>
              </w:rPr>
            </w:pPr>
            <w:r>
              <w:rPr>
                <w:rFonts w:cs="Arial"/>
                <w:sz w:val="20"/>
                <w:szCs w:val="20"/>
              </w:rPr>
              <w:t>50</w:t>
            </w:r>
          </w:p>
        </w:tc>
        <w:tc>
          <w:tcPr>
            <w:tcW w:w="759" w:type="pct"/>
            <w:tcBorders>
              <w:top w:val="nil"/>
              <w:bottom w:val="single" w:sz="4" w:space="0" w:color="auto"/>
            </w:tcBorders>
            <w:vAlign w:val="center"/>
          </w:tcPr>
          <w:p w:rsidR="002D1954" w:rsidRDefault="002D1954" w:rsidP="00494F66">
            <w:pPr>
              <w:jc w:val="center"/>
              <w:rPr>
                <w:rFonts w:cs="Arial"/>
                <w:sz w:val="20"/>
                <w:szCs w:val="20"/>
              </w:rPr>
            </w:pPr>
            <w:r>
              <w:rPr>
                <w:rFonts w:cs="Arial"/>
                <w:sz w:val="20"/>
                <w:szCs w:val="20"/>
              </w:rPr>
              <w:t>-37</w:t>
            </w:r>
          </w:p>
        </w:tc>
        <w:tc>
          <w:tcPr>
            <w:tcW w:w="685" w:type="pct"/>
            <w:tcBorders>
              <w:top w:val="nil"/>
              <w:bottom w:val="single" w:sz="4" w:space="0" w:color="auto"/>
            </w:tcBorders>
            <w:vAlign w:val="center"/>
          </w:tcPr>
          <w:p w:rsidR="002D1954" w:rsidRDefault="002D1954" w:rsidP="00494F66">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2D1954" w:rsidRDefault="002D1954" w:rsidP="00494F66">
            <w:pPr>
              <w:jc w:val="center"/>
              <w:rPr>
                <w:rFonts w:cs="Arial"/>
                <w:sz w:val="20"/>
                <w:szCs w:val="20"/>
              </w:rPr>
            </w:pPr>
            <w:r>
              <w:rPr>
                <w:rFonts w:cs="Arial"/>
                <w:sz w:val="20"/>
                <w:szCs w:val="20"/>
              </w:rPr>
              <w:t>-1</w:t>
            </w:r>
          </w:p>
        </w:tc>
      </w:tr>
    </w:tbl>
    <w:p w:rsidR="002D1954" w:rsidRDefault="002D1954" w:rsidP="002D1954"/>
    <w:p w:rsidR="002D1954" w:rsidRDefault="002D1954" w:rsidP="002D1954"/>
    <w:p w:rsidR="002D1954" w:rsidRDefault="002D1954" w:rsidP="002D1954"/>
    <w:p w:rsidR="002D1954" w:rsidRPr="002D1954" w:rsidRDefault="002D1954" w:rsidP="002D1954"/>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A0352C" w:rsidRPr="00405CDE" w:rsidTr="00E94B65">
        <w:trPr>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10 Apr - 16 Apr 2016</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5.39</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5.46</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1.67</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89</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91</w:t>
            </w:r>
          </w:p>
        </w:tc>
      </w:tr>
      <w:tr w:rsidR="00A0352C" w:rsidRPr="00405CDE" w:rsidTr="00E94B6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 change from previous week</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7</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14</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34</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14</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16</w:t>
            </w:r>
          </w:p>
        </w:tc>
      </w:tr>
      <w:tr w:rsidR="00A0352C" w:rsidRPr="00405CDE" w:rsidTr="00E94B65">
        <w:trPr>
          <w:trHeight w:val="510"/>
        </w:trPr>
        <w:tc>
          <w:tcPr>
            <w:tcW w:w="1430" w:type="pct"/>
            <w:tcBorders>
              <w:top w:val="nil"/>
              <w:bottom w:val="nil"/>
            </w:tcBorders>
            <w:vAlign w:val="center"/>
          </w:tcPr>
          <w:p w:rsidR="00A0352C" w:rsidRDefault="00A0352C">
            <w:pPr>
              <w:rPr>
                <w:rFonts w:cs="Arial"/>
                <w:sz w:val="20"/>
                <w:szCs w:val="20"/>
              </w:rPr>
            </w:pPr>
            <w:r>
              <w:rPr>
                <w:rFonts w:cs="Arial"/>
                <w:sz w:val="20"/>
                <w:szCs w:val="20"/>
              </w:rPr>
              <w:t>15-16 financial YTD</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4.19</w:t>
            </w:r>
          </w:p>
        </w:tc>
        <w:tc>
          <w:tcPr>
            <w:tcW w:w="758" w:type="pct"/>
            <w:tcBorders>
              <w:top w:val="nil"/>
              <w:bottom w:val="nil"/>
            </w:tcBorders>
            <w:vAlign w:val="center"/>
          </w:tcPr>
          <w:p w:rsidR="00A0352C" w:rsidRDefault="00A0352C">
            <w:pPr>
              <w:jc w:val="center"/>
              <w:rPr>
                <w:rFonts w:cs="Arial"/>
                <w:sz w:val="20"/>
                <w:szCs w:val="20"/>
              </w:rPr>
            </w:pPr>
            <w:r>
              <w:rPr>
                <w:rFonts w:cs="Arial"/>
                <w:sz w:val="20"/>
                <w:szCs w:val="20"/>
              </w:rPr>
              <w:t>4.19</w:t>
            </w:r>
          </w:p>
        </w:tc>
        <w:tc>
          <w:tcPr>
            <w:tcW w:w="759" w:type="pct"/>
            <w:tcBorders>
              <w:top w:val="nil"/>
              <w:bottom w:val="nil"/>
            </w:tcBorders>
            <w:vAlign w:val="center"/>
          </w:tcPr>
          <w:p w:rsidR="00A0352C" w:rsidRDefault="00A0352C">
            <w:pPr>
              <w:jc w:val="center"/>
              <w:rPr>
                <w:rFonts w:cs="Arial"/>
                <w:sz w:val="20"/>
                <w:szCs w:val="20"/>
              </w:rPr>
            </w:pPr>
            <w:r>
              <w:rPr>
                <w:rFonts w:cs="Arial"/>
                <w:sz w:val="20"/>
                <w:szCs w:val="20"/>
              </w:rPr>
              <w:t>1.55</w:t>
            </w:r>
          </w:p>
        </w:tc>
        <w:tc>
          <w:tcPr>
            <w:tcW w:w="685" w:type="pct"/>
            <w:tcBorders>
              <w:top w:val="nil"/>
              <w:bottom w:val="nil"/>
            </w:tcBorders>
            <w:vAlign w:val="center"/>
          </w:tcPr>
          <w:p w:rsidR="00A0352C" w:rsidRDefault="00A0352C">
            <w:pPr>
              <w:jc w:val="center"/>
              <w:rPr>
                <w:rFonts w:cs="Arial"/>
                <w:sz w:val="20"/>
                <w:szCs w:val="20"/>
              </w:rPr>
            </w:pPr>
            <w:r>
              <w:rPr>
                <w:rFonts w:cs="Arial"/>
                <w:sz w:val="20"/>
                <w:szCs w:val="20"/>
              </w:rPr>
              <w:t>83</w:t>
            </w:r>
          </w:p>
        </w:tc>
        <w:tc>
          <w:tcPr>
            <w:tcW w:w="608" w:type="pct"/>
            <w:tcBorders>
              <w:top w:val="nil"/>
              <w:bottom w:val="nil"/>
            </w:tcBorders>
            <w:vAlign w:val="center"/>
          </w:tcPr>
          <w:p w:rsidR="00A0352C" w:rsidRDefault="00A0352C">
            <w:pPr>
              <w:jc w:val="center"/>
              <w:rPr>
                <w:rFonts w:cs="Arial"/>
                <w:sz w:val="20"/>
                <w:szCs w:val="20"/>
              </w:rPr>
            </w:pPr>
            <w:r>
              <w:rPr>
                <w:rFonts w:cs="Arial"/>
                <w:sz w:val="20"/>
                <w:szCs w:val="20"/>
              </w:rPr>
              <w:t>82</w:t>
            </w:r>
          </w:p>
        </w:tc>
      </w:tr>
      <w:tr w:rsidR="00A0352C" w:rsidRPr="00405CDE" w:rsidTr="00E94B6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0352C" w:rsidRDefault="00A0352C">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76</w:t>
            </w:r>
          </w:p>
        </w:tc>
        <w:tc>
          <w:tcPr>
            <w:tcW w:w="758"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86</w:t>
            </w:r>
          </w:p>
        </w:tc>
        <w:tc>
          <w:tcPr>
            <w:tcW w:w="759"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-3</w:t>
            </w:r>
          </w:p>
        </w:tc>
        <w:tc>
          <w:tcPr>
            <w:tcW w:w="68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656A4C" w:rsidRPr="00C71AFE" w:rsidRDefault="00656A4C" w:rsidP="00D314ED">
      <w:pPr>
        <w:jc w:val="both"/>
        <w:rPr>
          <w:rFonts w:eastAsia="MS Mincho"/>
          <w:i/>
        </w:rPr>
      </w:pPr>
      <w:r>
        <w:rPr>
          <w:rFonts w:eastAsia="MS Mincho"/>
          <w:i/>
        </w:rPr>
        <w:t>High prices in Victoria</w:t>
      </w:r>
    </w:p>
    <w:p w:rsidR="00D314ED" w:rsidRDefault="00E55BEA" w:rsidP="00D314ED">
      <w:pPr>
        <w:jc w:val="both"/>
        <w:rPr>
          <w:rFonts w:eastAsia="MS Mincho"/>
        </w:rPr>
      </w:pPr>
      <w:r>
        <w:rPr>
          <w:rFonts w:eastAsia="MS Mincho"/>
        </w:rPr>
        <w:t>On the following days</w:t>
      </w:r>
      <w:r w:rsidR="00740E57">
        <w:rPr>
          <w:rFonts w:eastAsia="MS Mincho"/>
        </w:rPr>
        <w:t>, there were a number of high prices in Victoria linked to</w:t>
      </w:r>
      <w:r>
        <w:rPr>
          <w:rFonts w:eastAsia="MS Mincho"/>
        </w:rPr>
        <w:t xml:space="preserve"> the under forecasting of demand by participants and/or</w:t>
      </w:r>
      <w:r w:rsidR="00740E57">
        <w:rPr>
          <w:rFonts w:eastAsia="MS Mincho"/>
        </w:rPr>
        <w:t xml:space="preserve"> maintenance at Longford</w:t>
      </w:r>
      <w:r w:rsidR="00D314ED">
        <w:rPr>
          <w:rFonts w:eastAsia="MS Mincho"/>
        </w:rPr>
        <w:t xml:space="preserve"> (which reduced the supply of low priced gas</w:t>
      </w:r>
      <w:r w:rsidR="00936119">
        <w:rPr>
          <w:rFonts w:eastAsia="MS Mincho"/>
        </w:rPr>
        <w:t xml:space="preserve"> – see figure 1.5 on page 6</w:t>
      </w:r>
      <w:r w:rsidR="00D314ED">
        <w:rPr>
          <w:rFonts w:eastAsia="MS Mincho"/>
        </w:rPr>
        <w:t>):</w:t>
      </w:r>
    </w:p>
    <w:p w:rsidR="00D314ED" w:rsidRDefault="00422FB1" w:rsidP="00D314ED">
      <w:pPr>
        <w:numPr>
          <w:ilvl w:val="0"/>
          <w:numId w:val="31"/>
        </w:numPr>
        <w:jc w:val="both"/>
        <w:rPr>
          <w:rFonts w:eastAsia="MS Mincho"/>
        </w:rPr>
      </w:pPr>
      <w:r>
        <w:rPr>
          <w:rFonts w:eastAsia="MS Mincho"/>
        </w:rPr>
        <w:t xml:space="preserve">10 April – </w:t>
      </w:r>
      <w:r w:rsidR="00E55BEA">
        <w:rPr>
          <w:rFonts w:eastAsia="MS Mincho"/>
        </w:rPr>
        <w:t>both</w:t>
      </w:r>
      <w:r w:rsidR="00D314ED">
        <w:rPr>
          <w:rFonts w:eastAsia="MS Mincho"/>
        </w:rPr>
        <w:t xml:space="preserve"> factors led to </w:t>
      </w:r>
      <w:r w:rsidR="00E55BEA">
        <w:rPr>
          <w:rFonts w:eastAsia="MS Mincho"/>
        </w:rPr>
        <w:t>prices up to $9.74/GJ</w:t>
      </w:r>
      <w:r w:rsidR="00D314ED">
        <w:rPr>
          <w:rFonts w:eastAsia="MS Mincho"/>
        </w:rPr>
        <w:t xml:space="preserve"> </w:t>
      </w:r>
      <w:r w:rsidR="00E55BEA">
        <w:rPr>
          <w:rFonts w:eastAsia="MS Mincho"/>
        </w:rPr>
        <w:t>(at the 6 am schedule)</w:t>
      </w:r>
      <w:r w:rsidR="00D314ED">
        <w:rPr>
          <w:rFonts w:eastAsia="MS Mincho"/>
        </w:rPr>
        <w:t xml:space="preserve"> and the merit order injection of</w:t>
      </w:r>
      <w:r w:rsidR="00E55BEA">
        <w:rPr>
          <w:rFonts w:eastAsia="MS Mincho"/>
        </w:rPr>
        <w:t xml:space="preserve"> 3.9 </w:t>
      </w:r>
      <w:r w:rsidR="00D314ED">
        <w:rPr>
          <w:rFonts w:eastAsia="MS Mincho"/>
        </w:rPr>
        <w:t>TJ of LNG.</w:t>
      </w:r>
    </w:p>
    <w:p w:rsidR="00422FB1" w:rsidRDefault="00422FB1" w:rsidP="00D314ED">
      <w:pPr>
        <w:numPr>
          <w:ilvl w:val="0"/>
          <w:numId w:val="31"/>
        </w:numPr>
        <w:jc w:val="both"/>
        <w:rPr>
          <w:rFonts w:eastAsia="MS Mincho"/>
        </w:rPr>
      </w:pPr>
      <w:r>
        <w:rPr>
          <w:rFonts w:eastAsia="MS Mincho"/>
        </w:rPr>
        <w:t>12 April – lower supply from Longford likely contributed to high prices across all five schedules (the weighted average imbalance price for the day was $5.70/GJ).</w:t>
      </w:r>
    </w:p>
    <w:p w:rsidR="00D314ED" w:rsidRDefault="00422FB1" w:rsidP="00D314ED">
      <w:pPr>
        <w:numPr>
          <w:ilvl w:val="0"/>
          <w:numId w:val="31"/>
        </w:numPr>
        <w:jc w:val="both"/>
        <w:rPr>
          <w:rFonts w:eastAsia="MS Mincho"/>
        </w:rPr>
      </w:pPr>
      <w:r>
        <w:rPr>
          <w:rFonts w:eastAsia="MS Mincho"/>
        </w:rPr>
        <w:t>13 April – D</w:t>
      </w:r>
      <w:r w:rsidR="00E55BEA">
        <w:rPr>
          <w:rFonts w:eastAsia="MS Mincho"/>
        </w:rPr>
        <w:t xml:space="preserve">espite the anticipation of lower flows due to maintenance, the </w:t>
      </w:r>
      <w:r w:rsidR="00D314ED">
        <w:rPr>
          <w:rFonts w:eastAsia="MS Mincho"/>
        </w:rPr>
        <w:t>actual flows from Longford were</w:t>
      </w:r>
      <w:r>
        <w:rPr>
          <w:rFonts w:eastAsia="MS Mincho"/>
        </w:rPr>
        <w:t xml:space="preserve"> even</w:t>
      </w:r>
      <w:r w:rsidR="00D314ED">
        <w:rPr>
          <w:rFonts w:eastAsia="MS Mincho"/>
        </w:rPr>
        <w:t xml:space="preserve"> lower than expected, which resulted in the 2 pm price increasing</w:t>
      </w:r>
      <w:r w:rsidR="00E55BEA">
        <w:rPr>
          <w:rFonts w:eastAsia="MS Mincho"/>
        </w:rPr>
        <w:t xml:space="preserve"> to $6.80/GJ</w:t>
      </w:r>
      <w:r w:rsidR="00D314ED">
        <w:rPr>
          <w:rFonts w:eastAsia="MS Mincho"/>
        </w:rPr>
        <w:t>.</w:t>
      </w:r>
    </w:p>
    <w:p w:rsidR="00D314ED" w:rsidRPr="00422FB1" w:rsidRDefault="00422FB1" w:rsidP="00C71AFE">
      <w:pPr>
        <w:numPr>
          <w:ilvl w:val="0"/>
          <w:numId w:val="31"/>
        </w:numPr>
        <w:jc w:val="both"/>
        <w:rPr>
          <w:rFonts w:eastAsia="MS Mincho"/>
        </w:rPr>
      </w:pPr>
      <w:r>
        <w:rPr>
          <w:rFonts w:eastAsia="MS Mincho"/>
        </w:rPr>
        <w:t>14 April – B</w:t>
      </w:r>
      <w:r w:rsidR="00E55BEA">
        <w:rPr>
          <w:rFonts w:eastAsia="MS Mincho"/>
        </w:rPr>
        <w:t>oth factors</w:t>
      </w:r>
      <w:r w:rsidR="00D314ED">
        <w:rPr>
          <w:rFonts w:eastAsia="MS Mincho"/>
        </w:rPr>
        <w:t xml:space="preserve"> </w:t>
      </w:r>
      <w:r>
        <w:rPr>
          <w:rFonts w:eastAsia="MS Mincho"/>
        </w:rPr>
        <w:t>contributed to</w:t>
      </w:r>
      <w:r w:rsidR="00D314ED">
        <w:rPr>
          <w:rFonts w:eastAsia="MS Mincho"/>
        </w:rPr>
        <w:t xml:space="preserve"> </w:t>
      </w:r>
      <w:r w:rsidR="00E55BEA">
        <w:rPr>
          <w:rFonts w:eastAsia="MS Mincho"/>
        </w:rPr>
        <w:t>prices up to $7.85/GJ (at the</w:t>
      </w:r>
      <w:r>
        <w:rPr>
          <w:rFonts w:eastAsia="MS Mincho"/>
        </w:rPr>
        <w:t xml:space="preserve"> 2 pm schedule)</w:t>
      </w:r>
      <w:r w:rsidR="00E55BEA">
        <w:rPr>
          <w:rFonts w:eastAsia="MS Mincho"/>
        </w:rPr>
        <w:t xml:space="preserve"> </w:t>
      </w:r>
      <w:r w:rsidR="00D314ED">
        <w:rPr>
          <w:rFonts w:eastAsia="MS Mincho"/>
        </w:rPr>
        <w:t>and supply being scheduled from both Iona underground storage and Dandenong LNG.</w:t>
      </w:r>
    </w:p>
    <w:p w:rsidR="00656A4C" w:rsidRPr="00C71AFE" w:rsidRDefault="00656A4C" w:rsidP="009F146F">
      <w:pPr>
        <w:jc w:val="both"/>
        <w:rPr>
          <w:rFonts w:eastAsia="MS Mincho"/>
          <w:i/>
        </w:rPr>
      </w:pPr>
      <w:r>
        <w:rPr>
          <w:rFonts w:eastAsia="MS Mincho"/>
          <w:i/>
        </w:rPr>
        <w:t>High prices in Adelaide</w:t>
      </w:r>
      <w:r w:rsidR="00C2101A">
        <w:rPr>
          <w:rFonts w:eastAsia="MS Mincho"/>
          <w:i/>
        </w:rPr>
        <w:t xml:space="preserve"> </w:t>
      </w:r>
    </w:p>
    <w:p w:rsidR="00656A4C" w:rsidRDefault="00656A4C" w:rsidP="009F146F">
      <w:pPr>
        <w:jc w:val="both"/>
        <w:rPr>
          <w:rFonts w:eastAsia="MS Mincho"/>
        </w:rPr>
      </w:pPr>
      <w:r>
        <w:rPr>
          <w:rFonts w:eastAsia="MS Mincho"/>
        </w:rPr>
        <w:t xml:space="preserve">Analysis indicates a significant driver behind the high prices in Adelaide during the week was high demand within the distribution network. From 13 April, </w:t>
      </w:r>
      <w:r w:rsidR="0087400A">
        <w:rPr>
          <w:rFonts w:eastAsia="MS Mincho"/>
        </w:rPr>
        <w:t xml:space="preserve">higher ex ante prices </w:t>
      </w:r>
      <w:proofErr w:type="gramStart"/>
      <w:r w:rsidR="0087400A">
        <w:rPr>
          <w:rFonts w:eastAsia="MS Mincho"/>
        </w:rPr>
        <w:t>were</w:t>
      </w:r>
      <w:proofErr w:type="gramEnd"/>
      <w:r w:rsidR="0087400A">
        <w:rPr>
          <w:rFonts w:eastAsia="MS Mincho"/>
        </w:rPr>
        <w:t xml:space="preserve"> also influenced by participants rebidding capacity into higher price bands (above $6/GJ). Figure 5.1 on page 11 shows an overall increase in the gas demand from gas powered generators (GPG). However, this demand may have been a less significant contributor to the high prices, as prices remained high as GPG gas demand reduced later in the week. </w:t>
      </w:r>
    </w:p>
    <w:p w:rsidR="00936119" w:rsidRPr="00F46F6C" w:rsidRDefault="00936119" w:rsidP="00936119">
      <w:pPr>
        <w:jc w:val="both"/>
        <w:rPr>
          <w:rFonts w:eastAsia="MS Mincho"/>
          <w:i/>
        </w:rPr>
      </w:pPr>
      <w:r>
        <w:rPr>
          <w:rFonts w:eastAsia="MS Mincho"/>
          <w:i/>
        </w:rPr>
        <w:t>Prices in Sydney</w:t>
      </w:r>
    </w:p>
    <w:p w:rsidR="00936119" w:rsidRDefault="009365B2" w:rsidP="00941AAC">
      <w:pPr>
        <w:jc w:val="both"/>
        <w:rPr>
          <w:rFonts w:eastAsia="MS Mincho"/>
        </w:rPr>
      </w:pPr>
      <w:r w:rsidRPr="00C4103A">
        <w:rPr>
          <w:rFonts w:eastAsia="MS Mincho"/>
        </w:rPr>
        <w:t xml:space="preserve">In Sydney, price taker demand reduced from levels forecast in provisional schedules from 14 April, generally leading to lower ex ante prices. However, the price </w:t>
      </w:r>
      <w:r w:rsidR="00784420" w:rsidRPr="00C4103A">
        <w:rPr>
          <w:rFonts w:eastAsia="MS Mincho"/>
        </w:rPr>
        <w:t>increased to</w:t>
      </w:r>
      <w:r w:rsidRPr="00C4103A">
        <w:rPr>
          <w:rFonts w:eastAsia="MS Mincho"/>
        </w:rPr>
        <w:t xml:space="preserve"> $5.99/GJ on 16 April</w:t>
      </w:r>
      <w:r w:rsidR="00784420" w:rsidRPr="00C4103A">
        <w:rPr>
          <w:rFonts w:eastAsia="MS Mincho"/>
        </w:rPr>
        <w:t>,</w:t>
      </w:r>
      <w:r w:rsidRPr="00C4103A">
        <w:rPr>
          <w:rFonts w:eastAsia="MS Mincho"/>
        </w:rPr>
        <w:t xml:space="preserve"> </w:t>
      </w:r>
      <w:r w:rsidR="00C4103A" w:rsidRPr="00C4103A">
        <w:rPr>
          <w:rFonts w:eastAsia="MS Mincho"/>
        </w:rPr>
        <w:t xml:space="preserve">influenced </w:t>
      </w:r>
      <w:r w:rsidRPr="00C4103A">
        <w:rPr>
          <w:rFonts w:eastAsia="MS Mincho"/>
        </w:rPr>
        <w:t>by a reduction in offers below $6/GJ (reflecting the lower demand).</w:t>
      </w:r>
      <w:r w:rsidRPr="00C4103A">
        <w:rPr>
          <w:rStyle w:val="FootnoteReference"/>
          <w:rFonts w:eastAsia="MS Mincho"/>
        </w:rPr>
        <w:footnoteReference w:id="2"/>
      </w:r>
      <w:r w:rsidR="00784420" w:rsidRPr="00C4103A">
        <w:rPr>
          <w:rFonts w:eastAsia="MS Mincho"/>
        </w:rPr>
        <w:t xml:space="preserve"> </w:t>
      </w:r>
    </w:p>
    <w:p w:rsidR="009F146F" w:rsidRDefault="00784420" w:rsidP="00941AAC">
      <w:pPr>
        <w:jc w:val="both"/>
        <w:rPr>
          <w:rFonts w:eastAsia="MS Mincho"/>
        </w:rPr>
      </w:pPr>
      <w:r w:rsidRPr="00C4103A">
        <w:rPr>
          <w:rFonts w:eastAsia="MS Mincho"/>
        </w:rPr>
        <w:t xml:space="preserve">This was also </w:t>
      </w:r>
      <w:r w:rsidR="00C4103A" w:rsidRPr="00C4103A">
        <w:rPr>
          <w:rFonts w:eastAsia="MS Mincho"/>
        </w:rPr>
        <w:t xml:space="preserve">affected </w:t>
      </w:r>
      <w:r w:rsidRPr="00C4103A">
        <w:rPr>
          <w:rFonts w:eastAsia="MS Mincho"/>
        </w:rPr>
        <w:t xml:space="preserve">by the limited </w:t>
      </w:r>
      <w:r w:rsidR="002D1954">
        <w:rPr>
          <w:rFonts w:eastAsia="MS Mincho"/>
        </w:rPr>
        <w:t>availability of</w:t>
      </w:r>
      <w:r w:rsidRPr="00C4103A">
        <w:rPr>
          <w:rFonts w:eastAsia="MS Mincho"/>
        </w:rPr>
        <w:t xml:space="preserve"> offer</w:t>
      </w:r>
      <w:r w:rsidR="002D1954">
        <w:rPr>
          <w:rFonts w:eastAsia="MS Mincho"/>
        </w:rPr>
        <w:t>s</w:t>
      </w:r>
      <w:r w:rsidRPr="00C4103A">
        <w:rPr>
          <w:rFonts w:eastAsia="MS Mincho"/>
        </w:rPr>
        <w:t xml:space="preserve"> at low prices on the MSP, which resulted in a pipeline flow direction constraint </w:t>
      </w:r>
      <w:r w:rsidR="002D1954">
        <w:rPr>
          <w:rFonts w:eastAsia="MS Mincho"/>
        </w:rPr>
        <w:t xml:space="preserve">(PFDC) </w:t>
      </w:r>
      <w:r w:rsidRPr="00C4103A">
        <w:rPr>
          <w:rFonts w:eastAsia="MS Mincho"/>
        </w:rPr>
        <w:t xml:space="preserve">price of $0.98/GJ </w:t>
      </w:r>
      <w:r w:rsidR="002D1954">
        <w:rPr>
          <w:rFonts w:eastAsia="MS Mincho"/>
        </w:rPr>
        <w:t>(</w:t>
      </w:r>
      <w:r w:rsidRPr="00C4103A">
        <w:rPr>
          <w:rFonts w:eastAsia="MS Mincho"/>
        </w:rPr>
        <w:t xml:space="preserve">for additional gas scheduled to </w:t>
      </w:r>
      <w:r w:rsidRPr="00C4103A">
        <w:rPr>
          <w:rFonts w:eastAsia="MS Mincho"/>
        </w:rPr>
        <w:lastRenderedPageBreak/>
        <w:t>supply back haul on the pipeline</w:t>
      </w:r>
      <w:r w:rsidR="002D1954">
        <w:rPr>
          <w:rFonts w:eastAsia="MS Mincho"/>
        </w:rPr>
        <w:t>)</w:t>
      </w:r>
      <w:r w:rsidRPr="00C4103A">
        <w:rPr>
          <w:rFonts w:eastAsia="MS Mincho"/>
        </w:rPr>
        <w:t>.</w:t>
      </w:r>
      <w:r w:rsidRPr="00C4103A">
        <w:rPr>
          <w:rStyle w:val="FootnoteReference"/>
          <w:rFonts w:eastAsia="MS Mincho"/>
        </w:rPr>
        <w:footnoteReference w:id="3"/>
      </w:r>
      <w:r w:rsidRPr="00C4103A">
        <w:rPr>
          <w:rFonts w:eastAsia="MS Mincho"/>
        </w:rPr>
        <w:t xml:space="preserve"> Figure 2.3 shows the entire hub demand on the day was provided by forward haul on the EGP.</w:t>
      </w:r>
      <w:r w:rsidRPr="00C4103A">
        <w:rPr>
          <w:rStyle w:val="FootnoteReference"/>
          <w:rFonts w:eastAsia="MS Mincho"/>
        </w:rPr>
        <w:footnoteReference w:id="4"/>
      </w:r>
    </w:p>
    <w:p w:rsidR="00F13B32" w:rsidRPr="00C4103A" w:rsidRDefault="00F13B32" w:rsidP="00941AAC">
      <w:pPr>
        <w:jc w:val="both"/>
        <w:rPr>
          <w:rFonts w:eastAsia="MS Mincho"/>
        </w:rPr>
      </w:pPr>
      <w:r>
        <w:rPr>
          <w:rFonts w:eastAsia="MS Mincho"/>
        </w:rPr>
        <w:t>Figure 6 shows the provisional forecast (D-3 and D-2) and ex ante (D-1) offers and bids in the Sydney hub for 16 April.</w:t>
      </w:r>
      <w:r>
        <w:rPr>
          <w:rStyle w:val="FootnoteReference"/>
          <w:rFonts w:eastAsia="MS Mincho"/>
        </w:rPr>
        <w:footnoteReference w:id="5"/>
      </w:r>
    </w:p>
    <w:p w:rsidR="002D1954" w:rsidRDefault="002D1954" w:rsidP="002D1954">
      <w:pPr>
        <w:pStyle w:val="Heading2"/>
        <w:ind w:firstLine="0"/>
        <w:rPr>
          <w:i w:val="0"/>
          <w:color w:val="2272A3"/>
          <w:sz w:val="24"/>
          <w:szCs w:val="24"/>
        </w:rPr>
      </w:pPr>
      <w:r>
        <w:rPr>
          <w:i w:val="0"/>
          <w:color w:val="2272A3"/>
          <w:sz w:val="24"/>
          <w:szCs w:val="24"/>
        </w:rPr>
        <w:t>Forecast schedules in Sydney for the 16 April gas day</w:t>
      </w:r>
    </w:p>
    <w:p w:rsidR="00415D68" w:rsidRDefault="005A1088" w:rsidP="001B3823">
      <w:pPr>
        <w:jc w:val="both"/>
        <w:rPr>
          <w:rFonts w:eastAsia="MS Mincho"/>
        </w:rPr>
      </w:pPr>
      <w:r>
        <w:rPr>
          <w:rFonts w:eastAsia="MS Mincho"/>
        </w:rPr>
        <w:pict>
          <v:shape id="_x0000_i1025" type="#_x0000_t75" alt="Figure 6 shows the hub offers and bids (provisional and ex ante) within certain price bands in Sydney for 16 April. The line indicates the scheduled quantity for each day." style="width:475.45pt;height:172.55pt">
            <v:imagedata r:id="rId13" o:title=""/>
          </v:shape>
        </w:pict>
      </w:r>
    </w:p>
    <w:p w:rsidR="00492877" w:rsidRPr="00C4103A" w:rsidRDefault="00492877" w:rsidP="00492877">
      <w:pPr>
        <w:jc w:val="both"/>
        <w:rPr>
          <w:rFonts w:eastAsia="MS Mincho"/>
        </w:rPr>
      </w:pPr>
      <w:r>
        <w:rPr>
          <w:rFonts w:eastAsia="MS Mincho"/>
        </w:rPr>
        <w:t>Figure 7 shows the provisional forecast (D-3 and D-2) and ex ante (D-1) offers and bids on the Moomba to Sydney Pipeline for 16 April.</w:t>
      </w:r>
      <w:r>
        <w:rPr>
          <w:rStyle w:val="FootnoteReference"/>
          <w:rFonts w:eastAsia="MS Mincho"/>
        </w:rPr>
        <w:footnoteReference w:id="6"/>
      </w:r>
      <w:r>
        <w:rPr>
          <w:rFonts w:eastAsia="MS Mincho"/>
        </w:rPr>
        <w:t xml:space="preserve"> The figure demonstrates how rebidding back haul into higher price bands (on the right hand side) influenced the </w:t>
      </w:r>
      <w:r w:rsidR="0018604E">
        <w:rPr>
          <w:rFonts w:eastAsia="MS Mincho"/>
        </w:rPr>
        <w:t xml:space="preserve">implementation of the PFDC mechanism for the </w:t>
      </w:r>
      <w:r>
        <w:rPr>
          <w:rFonts w:eastAsia="MS Mincho"/>
        </w:rPr>
        <w:t>D-2 and D-1</w:t>
      </w:r>
      <w:r w:rsidR="0018604E">
        <w:rPr>
          <w:rFonts w:eastAsia="MS Mincho"/>
        </w:rPr>
        <w:t xml:space="preserve"> schedules</w:t>
      </w:r>
      <w:r>
        <w:rPr>
          <w:rFonts w:eastAsia="MS Mincho"/>
        </w:rPr>
        <w:t>. The figure also shows that a reduction in low priced offers on the pipeline (on the left hand side) influenced more supply on the EGP being required to set the market price</w:t>
      </w:r>
      <w:r w:rsidR="0018604E">
        <w:rPr>
          <w:rFonts w:eastAsia="MS Mincho"/>
        </w:rPr>
        <w:t>, reducing the amount of economically available forward haul on the pipeline.</w:t>
      </w:r>
    </w:p>
    <w:p w:rsidR="00492877" w:rsidRDefault="00492877" w:rsidP="00492877">
      <w:pPr>
        <w:pStyle w:val="Heading2"/>
        <w:ind w:firstLine="0"/>
        <w:rPr>
          <w:i w:val="0"/>
          <w:color w:val="2272A3"/>
          <w:sz w:val="24"/>
          <w:szCs w:val="24"/>
        </w:rPr>
      </w:pPr>
      <w:r>
        <w:rPr>
          <w:i w:val="0"/>
          <w:color w:val="2272A3"/>
          <w:sz w:val="24"/>
          <w:szCs w:val="24"/>
        </w:rPr>
        <w:t>Forecast schedules in Sydney on the MSP for the 16 April gas day</w:t>
      </w:r>
    </w:p>
    <w:p w:rsidR="0056440C" w:rsidRPr="003D59BF" w:rsidRDefault="005A1088" w:rsidP="001B3823">
      <w:pPr>
        <w:jc w:val="both"/>
        <w:rPr>
          <w:color w:val="FF0000"/>
        </w:rPr>
      </w:pPr>
      <w:r>
        <w:pict>
          <v:shape id="_x0000_i1026" type="#_x0000_t75" alt="Figure 7 shows MSP offers and bids (provisional and ex ante) within certain price bands for 16 April. The line indicates the scheduled quantity for each day. Scheduled offers may exceed scheduled bids, indicating net forward haul quantities flowing into the Sydney hub." style="width:475.45pt;height:172.55pt">
            <v:imagedata r:id="rId14" o:title=""/>
          </v:shape>
        </w:pic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094353">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094353">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A0352C" w:rsidP="004420C4">
      <w:pPr>
        <w:pStyle w:val="Heading2"/>
        <w:numPr>
          <w:ilvl w:val="0"/>
          <w:numId w:val="0"/>
        </w:numPr>
        <w:rPr>
          <w:i w:val="0"/>
        </w:rPr>
      </w:pPr>
      <w:r>
        <w:rPr>
          <w:i w:val="0"/>
          <w:sz w:val="36"/>
          <w:szCs w:val="36"/>
        </w:rPr>
        <w:t>10 – 16 April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7"/>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8"/>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9"/>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5A1088" w:rsidP="00362B9A">
      <w:r>
        <w:pict>
          <v:shape id="_x0000_i1027" type="#_x0000_t75" alt="Figure 1.1 shows the five Victorian schedule prices for each day this week. The marker indicates the daily imbalance weighted average price for each day. For a more detailed description of this figure, please refer to the user guide." style="width:476.15pt;height:137.2pt">
            <v:imagedata r:id="rId15"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5A1088" w:rsidP="00362B9A">
      <w:r>
        <w:pict>
          <v:shape id="_x0000_i1028" type="#_x0000_t75" alt="Figure 1.2 shows the demand forecast used to calculate the five daily schedule prices for this week. For a more detailed description of this figure, please refer to the user guide." style="width:476.15pt;height:176.6pt">
            <v:imagedata r:id="rId16"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5A1088" w:rsidP="00362B9A">
      <w:r>
        <w:pict>
          <v:shape id="_x0000_i1029" type="#_x0000_t75" alt="Figure 1.3 shows the injection bids within certain price bands for each trading interval in Victoria this week. For a more detailed description of this figure, please refer to the user guide." style="width:475.45pt;height:206.5pt">
            <v:imagedata r:id="rId17"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5A1088" w:rsidP="00362B9A">
      <w:r>
        <w:pict>
          <v:shape id="_x0000_i1030" type="#_x0000_t75" alt="Figure 1.4 shows the withdrawal bids within certain price bands for each trading interval in Victoria this week. For a more detailed description of this figure, please refer to the user guide." style="width:476.85pt;height:163.7pt">
            <v:imagedata r:id="rId18"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5A1088" w:rsidP="00BC18FB">
      <w:r>
        <w:pict>
          <v:shape id="_x0000_i1031" type="#_x0000_t75" alt="Figure 1.5 shows the metered injections sorted by facility for each 4 hour interval in Victoria this week. For a more detailed description of this figure, please refer to the user guide.&#10;" style="width:476.85pt;height:178.65pt">
            <v:imagedata r:id="rId19"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0"/>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1"/>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0352C" w:rsidRPr="00405CDE" w:rsidTr="00F114D5">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6.61</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4.85</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5.99</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5.99</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5.36</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4.75</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5.99</w:t>
            </w:r>
          </w:p>
        </w:tc>
      </w:tr>
      <w:tr w:rsidR="00A0352C"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quantity (TJ)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215</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243</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241</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242</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220</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224</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192</w:t>
            </w:r>
          </w:p>
        </w:tc>
      </w:tr>
      <w:tr w:rsidR="00A0352C" w:rsidRPr="00405CDE" w:rsidTr="00F114D5">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post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4.95</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4.75</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5.99</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4.75</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5.36</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4.51</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3.10</w:t>
            </w:r>
          </w:p>
        </w:tc>
      </w:tr>
      <w:tr w:rsidR="00A0352C"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0352C" w:rsidRDefault="00A0352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203</w:t>
            </w:r>
          </w:p>
        </w:tc>
        <w:tc>
          <w:tcPr>
            <w:tcW w:w="523"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238</w:t>
            </w:r>
          </w:p>
        </w:tc>
        <w:tc>
          <w:tcPr>
            <w:tcW w:w="606"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235</w:t>
            </w:r>
          </w:p>
        </w:tc>
        <w:tc>
          <w:tcPr>
            <w:tcW w:w="53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196</w:t>
            </w:r>
          </w:p>
        </w:tc>
        <w:tc>
          <w:tcPr>
            <w:tcW w:w="52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220</w:t>
            </w:r>
          </w:p>
        </w:tc>
        <w:tc>
          <w:tcPr>
            <w:tcW w:w="52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219</w:t>
            </w:r>
          </w:p>
        </w:tc>
        <w:tc>
          <w:tcPr>
            <w:tcW w:w="59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184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5A1088" w:rsidP="00362B9A">
      <w:r>
        <w:pict>
          <v:shape id="_x0000_i1032" type="#_x0000_t75" alt="Figure 2.2 shows the daily hub offers and bid in within certain price bands in Sydney this week. The line indicates the scheduled quantity for each day. For a more detailed description of this figure, please refer to the user guide." style="width:476.15pt;height:171.15pt">
            <v:imagedata r:id="rId21"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5A1088" w:rsidP="00362B9A">
      <w:r>
        <w:pict>
          <v:shape id="_x0000_i1033" type="#_x0000_t75" alt="Figure 2.3 shows the daily scheduled and allocated quantities sorted by facility for Sydney this week. For a more detailed description of this figure, please refer to the user guide." style="width:478.2pt;height:213.95pt">
            <v:imagedata r:id="rId22"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5A1088" w:rsidP="00362B9A">
      <w:r>
        <w:pict>
          <v:shape id="_x0000_i1034"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15pt;height:180.7pt">
            <v:imagedata r:id="rId23"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0352C" w:rsidRPr="00405CDE" w:rsidTr="006C5082">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6.41</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6.36</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6.95</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7.90</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7.60</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8.20</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7.60</w:t>
            </w:r>
          </w:p>
        </w:tc>
      </w:tr>
      <w:tr w:rsidR="00A0352C"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quantity (TJ)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45</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57</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57</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59</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57</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60</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48</w:t>
            </w:r>
          </w:p>
        </w:tc>
      </w:tr>
      <w:tr w:rsidR="00A0352C" w:rsidRPr="00405CDE" w:rsidTr="006C5082">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post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8.02</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6.47</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7.10</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7.90</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7.60</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8.20</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7.42</w:t>
            </w:r>
          </w:p>
        </w:tc>
      </w:tr>
      <w:tr w:rsidR="00A0352C"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0352C" w:rsidRDefault="00A0352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59</w:t>
            </w:r>
          </w:p>
        </w:tc>
        <w:tc>
          <w:tcPr>
            <w:tcW w:w="523"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58</w:t>
            </w:r>
          </w:p>
        </w:tc>
        <w:tc>
          <w:tcPr>
            <w:tcW w:w="606"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58</w:t>
            </w:r>
          </w:p>
        </w:tc>
        <w:tc>
          <w:tcPr>
            <w:tcW w:w="53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59</w:t>
            </w:r>
          </w:p>
        </w:tc>
        <w:tc>
          <w:tcPr>
            <w:tcW w:w="52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56</w:t>
            </w:r>
          </w:p>
        </w:tc>
        <w:tc>
          <w:tcPr>
            <w:tcW w:w="52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58</w:t>
            </w:r>
          </w:p>
        </w:tc>
        <w:tc>
          <w:tcPr>
            <w:tcW w:w="59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47</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5A1088" w:rsidP="00362B9A">
      <w:r>
        <w:pict>
          <v:shape id="_x0000_i1035" type="#_x0000_t75" alt="Figure 3.2 shows the daily hub offers and bid in within certain price bands in Adelaide this week. The line indicates the scheduled quantity for each day. For a more detailed description of this figure, please refer to the user guide." style="width:475.45pt;height:171.15pt;mso-position-vertical:absolute">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5A1088" w:rsidP="00362B9A">
      <w:r>
        <w:pict>
          <v:shape id="_x0000_i1036" type="#_x0000_t75" alt="Figure 3.3 shows the daily scheduled and allocated quantities sorted by facility for Adelaide this week. For a more detailed description of this figure, please refer to the user guide." style="width:478.2pt;height:106.65pt">
            <v:imagedata r:id="rId25"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5A1088" w:rsidP="00362B9A">
      <w:r>
        <w:pict>
          <v:shape id="_x0000_i1037"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15pt;height:150.1pt">
            <v:imagedata r:id="rId26"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0352C" w:rsidRPr="00405CDE" w:rsidTr="006C5082">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4.98</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4.94</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5.50</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5.50</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5.63</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5.51</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5.64</w:t>
            </w:r>
          </w:p>
        </w:tc>
      </w:tr>
      <w:tr w:rsidR="00A0352C"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ante quantity (TJ)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81</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97</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95</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94</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96</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85</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73</w:t>
            </w:r>
          </w:p>
        </w:tc>
      </w:tr>
      <w:tr w:rsidR="00A0352C" w:rsidRPr="00405CDE" w:rsidTr="006C5082">
        <w:trPr>
          <w:trHeight w:val="510"/>
        </w:trPr>
        <w:tc>
          <w:tcPr>
            <w:tcW w:w="1100" w:type="pct"/>
            <w:tcBorders>
              <w:top w:val="nil"/>
              <w:bottom w:val="nil"/>
            </w:tcBorders>
            <w:vAlign w:val="center"/>
          </w:tcPr>
          <w:p w:rsidR="00A0352C" w:rsidRDefault="00A0352C">
            <w:pPr>
              <w:rPr>
                <w:rFonts w:cs="Arial"/>
                <w:sz w:val="20"/>
                <w:szCs w:val="20"/>
              </w:rPr>
            </w:pPr>
            <w:r>
              <w:rPr>
                <w:rFonts w:cs="Arial"/>
                <w:sz w:val="20"/>
                <w:szCs w:val="20"/>
              </w:rPr>
              <w:t>Ex post price ($/GJ)</w:t>
            </w:r>
          </w:p>
        </w:tc>
        <w:tc>
          <w:tcPr>
            <w:tcW w:w="597" w:type="pct"/>
            <w:tcBorders>
              <w:top w:val="nil"/>
              <w:bottom w:val="nil"/>
            </w:tcBorders>
            <w:vAlign w:val="center"/>
          </w:tcPr>
          <w:p w:rsidR="00A0352C" w:rsidRDefault="00A0352C">
            <w:pPr>
              <w:jc w:val="center"/>
              <w:rPr>
                <w:rFonts w:cs="Arial"/>
                <w:sz w:val="20"/>
                <w:szCs w:val="20"/>
              </w:rPr>
            </w:pPr>
            <w:r>
              <w:rPr>
                <w:rFonts w:cs="Arial"/>
                <w:sz w:val="20"/>
                <w:szCs w:val="20"/>
              </w:rPr>
              <w:t>4.98</w:t>
            </w:r>
          </w:p>
        </w:tc>
        <w:tc>
          <w:tcPr>
            <w:tcW w:w="523" w:type="pct"/>
            <w:tcBorders>
              <w:top w:val="nil"/>
              <w:bottom w:val="nil"/>
            </w:tcBorders>
            <w:vAlign w:val="center"/>
          </w:tcPr>
          <w:p w:rsidR="00A0352C" w:rsidRDefault="00A0352C">
            <w:pPr>
              <w:jc w:val="center"/>
              <w:rPr>
                <w:rFonts w:cs="Arial"/>
                <w:sz w:val="20"/>
                <w:szCs w:val="20"/>
              </w:rPr>
            </w:pPr>
            <w:r>
              <w:rPr>
                <w:rFonts w:cs="Arial"/>
                <w:sz w:val="20"/>
                <w:szCs w:val="20"/>
              </w:rPr>
              <w:t>4.94</w:t>
            </w:r>
          </w:p>
        </w:tc>
        <w:tc>
          <w:tcPr>
            <w:tcW w:w="606" w:type="pct"/>
            <w:tcBorders>
              <w:top w:val="nil"/>
              <w:bottom w:val="nil"/>
            </w:tcBorders>
            <w:vAlign w:val="center"/>
          </w:tcPr>
          <w:p w:rsidR="00A0352C" w:rsidRDefault="00A0352C">
            <w:pPr>
              <w:jc w:val="center"/>
              <w:rPr>
                <w:rFonts w:cs="Arial"/>
                <w:sz w:val="20"/>
                <w:szCs w:val="20"/>
              </w:rPr>
            </w:pPr>
            <w:r>
              <w:rPr>
                <w:rFonts w:cs="Arial"/>
                <w:sz w:val="20"/>
                <w:szCs w:val="20"/>
              </w:rPr>
              <w:t>5.50</w:t>
            </w:r>
          </w:p>
        </w:tc>
        <w:tc>
          <w:tcPr>
            <w:tcW w:w="532" w:type="pct"/>
            <w:tcBorders>
              <w:top w:val="nil"/>
              <w:bottom w:val="nil"/>
            </w:tcBorders>
            <w:vAlign w:val="center"/>
          </w:tcPr>
          <w:p w:rsidR="00A0352C" w:rsidRDefault="00A0352C">
            <w:pPr>
              <w:jc w:val="center"/>
              <w:rPr>
                <w:rFonts w:cs="Arial"/>
                <w:sz w:val="20"/>
                <w:szCs w:val="20"/>
              </w:rPr>
            </w:pPr>
            <w:r>
              <w:rPr>
                <w:rFonts w:cs="Arial"/>
                <w:sz w:val="20"/>
                <w:szCs w:val="20"/>
              </w:rPr>
              <w:t>5.50</w:t>
            </w:r>
          </w:p>
        </w:tc>
        <w:tc>
          <w:tcPr>
            <w:tcW w:w="525" w:type="pct"/>
            <w:tcBorders>
              <w:top w:val="nil"/>
              <w:bottom w:val="nil"/>
            </w:tcBorders>
            <w:vAlign w:val="center"/>
          </w:tcPr>
          <w:p w:rsidR="00A0352C" w:rsidRDefault="00A0352C">
            <w:pPr>
              <w:jc w:val="center"/>
              <w:rPr>
                <w:rFonts w:cs="Arial"/>
                <w:sz w:val="20"/>
                <w:szCs w:val="20"/>
              </w:rPr>
            </w:pPr>
            <w:r>
              <w:rPr>
                <w:rFonts w:cs="Arial"/>
                <w:sz w:val="20"/>
                <w:szCs w:val="20"/>
              </w:rPr>
              <w:t>5.63</w:t>
            </w:r>
          </w:p>
        </w:tc>
        <w:tc>
          <w:tcPr>
            <w:tcW w:w="522" w:type="pct"/>
            <w:tcBorders>
              <w:top w:val="nil"/>
              <w:bottom w:val="nil"/>
            </w:tcBorders>
            <w:vAlign w:val="center"/>
          </w:tcPr>
          <w:p w:rsidR="00A0352C" w:rsidRDefault="00A0352C">
            <w:pPr>
              <w:jc w:val="center"/>
              <w:rPr>
                <w:rFonts w:cs="Arial"/>
                <w:sz w:val="20"/>
                <w:szCs w:val="20"/>
              </w:rPr>
            </w:pPr>
            <w:r>
              <w:rPr>
                <w:rFonts w:cs="Arial"/>
                <w:sz w:val="20"/>
                <w:szCs w:val="20"/>
              </w:rPr>
              <w:t>5.64</w:t>
            </w:r>
          </w:p>
        </w:tc>
        <w:tc>
          <w:tcPr>
            <w:tcW w:w="595" w:type="pct"/>
            <w:tcBorders>
              <w:top w:val="nil"/>
              <w:bottom w:val="nil"/>
            </w:tcBorders>
            <w:vAlign w:val="center"/>
          </w:tcPr>
          <w:p w:rsidR="00A0352C" w:rsidRDefault="00A0352C">
            <w:pPr>
              <w:jc w:val="center"/>
              <w:rPr>
                <w:rFonts w:cs="Arial"/>
                <w:sz w:val="20"/>
                <w:szCs w:val="20"/>
              </w:rPr>
            </w:pPr>
            <w:r>
              <w:rPr>
                <w:rFonts w:cs="Arial"/>
                <w:sz w:val="20"/>
                <w:szCs w:val="20"/>
              </w:rPr>
              <w:t>6.00</w:t>
            </w:r>
          </w:p>
        </w:tc>
      </w:tr>
      <w:tr w:rsidR="00A0352C"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0352C" w:rsidRDefault="00A0352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82</w:t>
            </w:r>
          </w:p>
        </w:tc>
        <w:tc>
          <w:tcPr>
            <w:tcW w:w="523"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96</w:t>
            </w:r>
          </w:p>
        </w:tc>
        <w:tc>
          <w:tcPr>
            <w:tcW w:w="606"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96</w:t>
            </w:r>
          </w:p>
        </w:tc>
        <w:tc>
          <w:tcPr>
            <w:tcW w:w="53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97</w:t>
            </w:r>
          </w:p>
        </w:tc>
        <w:tc>
          <w:tcPr>
            <w:tcW w:w="52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95</w:t>
            </w:r>
          </w:p>
        </w:tc>
        <w:tc>
          <w:tcPr>
            <w:tcW w:w="522"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89</w:t>
            </w:r>
          </w:p>
        </w:tc>
        <w:tc>
          <w:tcPr>
            <w:tcW w:w="595" w:type="pct"/>
            <w:tcBorders>
              <w:top w:val="nil"/>
              <w:bottom w:val="single" w:sz="4" w:space="0" w:color="auto"/>
            </w:tcBorders>
            <w:vAlign w:val="center"/>
          </w:tcPr>
          <w:p w:rsidR="00A0352C" w:rsidRDefault="00A0352C">
            <w:pPr>
              <w:jc w:val="center"/>
              <w:rPr>
                <w:rFonts w:cs="Arial"/>
                <w:sz w:val="20"/>
                <w:szCs w:val="20"/>
              </w:rPr>
            </w:pPr>
            <w:r>
              <w:rPr>
                <w:rFonts w:cs="Arial"/>
                <w:sz w:val="20"/>
                <w:szCs w:val="20"/>
              </w:rPr>
              <w:t>79</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5A1088" w:rsidP="00362B9A">
      <w:r>
        <w:pict>
          <v:shape id="_x0000_i1038" type="#_x0000_t75" alt="Figure 4.2 shows the daily hub offers and bid in within certain price bands in Brisbane this week. The line indicates the scheduled quantity for each day. For a more detailed description of this figure, please refer to the user guide." style="width:475.45pt;height:171.15pt;mso-position-vertical:absolute">
            <v:imagedata r:id="rId27"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5A1088" w:rsidP="00362B9A">
      <w:r>
        <w:pict>
          <v:shape id="_x0000_i1039" type="#_x0000_t75" alt="Figure 4.3 shows the daily scheduled and allocated quantities sorted by facility for Brisbane this week. For a more detailed description of this figure, please refer to the user guide." style="width:478.2pt;height:99.15pt">
            <v:imagedata r:id="rId28"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5A1088" w:rsidP="00362B9A">
      <w:r>
        <w:pict>
          <v:shape id="_x0000_i1040"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10;" style="width:476.15pt;height:156.25pt">
            <v:imagedata r:id="rId29"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3"/>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5A1088" w:rsidP="00FB3934">
      <w:r>
        <w:rPr>
          <w:noProof/>
        </w:rPr>
        <w:pict>
          <v:shape id="_x0000_i1041"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10;" style="width:377.65pt;height:546.1pt">
            <v:imagedata r:id="rId30"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4"/>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A0352C" w:rsidRDefault="00A0352C" w:rsidP="00345444">
      <w:pPr>
        <w:jc w:val="both"/>
        <w:rPr>
          <w:rFonts w:eastAsia="MS Mincho"/>
        </w:rPr>
      </w:pPr>
      <w:r w:rsidRPr="00A0352C">
        <w:rPr>
          <w:rFonts w:eastAsia="MS Mincho"/>
        </w:rPr>
        <w:t>There were 13 trades this week for daily and day-ahead products totalling 98 TJ. These sold at a volume weighted price of $4.94/GJ ($5.07/GJ on the RBP and $4.69/GJ on the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5"/>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5A1088" w:rsidP="00E37A86">
      <w:r>
        <w:rPr>
          <w:rFonts w:eastAsia="MS Mincho"/>
        </w:rPr>
        <w:pict>
          <v:shape id="_x0000_i1042" type="#_x0000_t75" alt="Figure 6.1 shows the daily volume of gas traded on each pipeline in the Wallumbilla Gas Supply Hub. The quantities displayed are shown for both the day the gas is traded over the current week and the gas day on which gas has been shipped.&#10;" style="width:475.45pt;height:201.75pt">
            <v:imagedata r:id="rId31" o:title=""/>
          </v:shape>
        </w:pict>
      </w:r>
      <w:r w:rsidR="00E37A86" w:rsidRPr="006520EE">
        <w:t xml:space="preserve"> </w:t>
      </w:r>
    </w:p>
    <w:sectPr w:rsidR="009E74E3" w:rsidRPr="006520EE" w:rsidSect="00D635F1">
      <w:footerReference w:type="default" r:id="rId32"/>
      <w:footerReference w:type="first" r:id="rId33"/>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094353">
      <w:rPr>
        <w:noProof/>
      </w:rPr>
      <w:t>12</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094353">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A0352C">
      <w:rPr>
        <w:rFonts w:cs="Arial"/>
        <w:i/>
      </w:rPr>
      <w:t>54339</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365B2" w:rsidRPr="00784420" w:rsidRDefault="009365B2" w:rsidP="00C4103A">
      <w:pPr>
        <w:pStyle w:val="FootnoteText"/>
        <w:jc w:val="both"/>
        <w:rPr>
          <w:sz w:val="18"/>
        </w:rPr>
      </w:pPr>
      <w:r>
        <w:rPr>
          <w:rStyle w:val="FootnoteReference"/>
        </w:rPr>
        <w:footnoteRef/>
      </w:r>
      <w:r>
        <w:t xml:space="preserve"> </w:t>
      </w:r>
      <w:r>
        <w:tab/>
      </w:r>
      <w:r w:rsidRPr="00784420">
        <w:rPr>
          <w:sz w:val="18"/>
        </w:rPr>
        <w:t>Offers and price taker bids reduced from the D-2 provisional schedule, however</w:t>
      </w:r>
      <w:r w:rsidR="00784420" w:rsidRPr="00784420">
        <w:rPr>
          <w:sz w:val="18"/>
        </w:rPr>
        <w:t xml:space="preserve"> </w:t>
      </w:r>
      <w:r w:rsidRPr="00784420">
        <w:rPr>
          <w:sz w:val="18"/>
        </w:rPr>
        <w:t xml:space="preserve">higher priced bids </w:t>
      </w:r>
      <w:r w:rsidR="002D1954">
        <w:rPr>
          <w:sz w:val="18"/>
        </w:rPr>
        <w:t xml:space="preserve">both </w:t>
      </w:r>
      <w:r w:rsidR="002D1954" w:rsidRPr="00784420">
        <w:rPr>
          <w:sz w:val="18"/>
        </w:rPr>
        <w:t xml:space="preserve">on </w:t>
      </w:r>
      <w:r w:rsidR="00784420" w:rsidRPr="00784420">
        <w:rPr>
          <w:sz w:val="18"/>
        </w:rPr>
        <w:t>the EGP</w:t>
      </w:r>
      <w:r w:rsidR="002D1954">
        <w:rPr>
          <w:sz w:val="18"/>
        </w:rPr>
        <w:t xml:space="preserve"> and within the hub </w:t>
      </w:r>
      <w:r w:rsidR="00784420" w:rsidRPr="00784420">
        <w:rPr>
          <w:sz w:val="18"/>
        </w:rPr>
        <w:t xml:space="preserve"> </w:t>
      </w:r>
      <w:r w:rsidRPr="00784420">
        <w:rPr>
          <w:sz w:val="18"/>
        </w:rPr>
        <w:t>were increased in the D-1 (ex ante) schedule.</w:t>
      </w:r>
    </w:p>
  </w:footnote>
  <w:footnote w:id="3">
    <w:p w:rsidR="00784420" w:rsidRPr="00784420" w:rsidRDefault="00784420" w:rsidP="00C4103A">
      <w:pPr>
        <w:pStyle w:val="FootnoteText"/>
        <w:jc w:val="both"/>
        <w:rPr>
          <w:sz w:val="16"/>
        </w:rPr>
      </w:pPr>
      <w:r>
        <w:rPr>
          <w:rStyle w:val="FootnoteReference"/>
        </w:rPr>
        <w:footnoteRef/>
      </w:r>
      <w:r>
        <w:t xml:space="preserve"> </w:t>
      </w:r>
      <w:r>
        <w:tab/>
      </w:r>
      <w:r w:rsidR="002D1954" w:rsidRPr="002D1954">
        <w:rPr>
          <w:sz w:val="18"/>
          <w:szCs w:val="18"/>
        </w:rPr>
        <w:t xml:space="preserve">The PFDC mechanism allows additional forward haul to be scheduled on the pipeline to economically supply back haul bids. </w:t>
      </w:r>
      <w:r w:rsidRPr="002D1954">
        <w:rPr>
          <w:sz w:val="18"/>
          <w:szCs w:val="18"/>
        </w:rPr>
        <w:t>A provisional PFDC price</w:t>
      </w:r>
      <w:r w:rsidRPr="00784420">
        <w:rPr>
          <w:sz w:val="18"/>
        </w:rPr>
        <w:t xml:space="preserve"> in the D-2 schedule</w:t>
      </w:r>
      <w:r>
        <w:rPr>
          <w:sz w:val="18"/>
        </w:rPr>
        <w:t xml:space="preserve"> was set at $4.88/GJ, reflecting the larger difference in the cost of additional back haul and the low D-2 provisional price of $0.02</w:t>
      </w:r>
      <w:r w:rsidR="00C4103A">
        <w:rPr>
          <w:sz w:val="18"/>
        </w:rPr>
        <w:t xml:space="preserve"> (set by a bid on the EGP)</w:t>
      </w:r>
      <w:r>
        <w:rPr>
          <w:sz w:val="18"/>
        </w:rPr>
        <w:t>.</w:t>
      </w:r>
    </w:p>
  </w:footnote>
  <w:footnote w:id="4">
    <w:p w:rsidR="00784420" w:rsidRDefault="00784420" w:rsidP="00C4103A">
      <w:pPr>
        <w:pStyle w:val="FootnoteText"/>
        <w:jc w:val="both"/>
      </w:pPr>
      <w:r>
        <w:rPr>
          <w:rStyle w:val="FootnoteReference"/>
        </w:rPr>
        <w:footnoteRef/>
      </w:r>
      <w:r>
        <w:t xml:space="preserve"> </w:t>
      </w:r>
      <w:r>
        <w:tab/>
      </w:r>
      <w:r w:rsidRPr="00784420">
        <w:rPr>
          <w:sz w:val="18"/>
        </w:rPr>
        <w:t>There was no gas offered at Rosalind Park (ROS) from 11 April.</w:t>
      </w:r>
      <w:r w:rsidR="00492877">
        <w:rPr>
          <w:sz w:val="18"/>
        </w:rPr>
        <w:t xml:space="preserve"> This may be due to maintenance at the facility.</w:t>
      </w:r>
      <w:r>
        <w:t xml:space="preserve"> </w:t>
      </w:r>
    </w:p>
  </w:footnote>
  <w:footnote w:id="5">
    <w:p w:rsidR="00F13B32" w:rsidRPr="00F13B32" w:rsidRDefault="00F13B32" w:rsidP="00F13B32">
      <w:pPr>
        <w:pStyle w:val="FootnoteText"/>
        <w:jc w:val="both"/>
        <w:rPr>
          <w:sz w:val="18"/>
        </w:rPr>
      </w:pPr>
      <w:r>
        <w:rPr>
          <w:rStyle w:val="FootnoteReference"/>
        </w:rPr>
        <w:footnoteRef/>
      </w:r>
      <w:r>
        <w:t xml:space="preserve"> </w:t>
      </w:r>
      <w:r>
        <w:tab/>
      </w:r>
      <w:r w:rsidRPr="00F13B32">
        <w:rPr>
          <w:sz w:val="18"/>
        </w:rPr>
        <w:t>Some of the available offers shown in figure 6 (on the EGP) were not scheduled in merit order, with additional offers above the market price scheduled on the MSP to set the PFDC price.</w:t>
      </w:r>
    </w:p>
  </w:footnote>
  <w:footnote w:id="6">
    <w:p w:rsidR="00492877" w:rsidRPr="00F13B32" w:rsidRDefault="00492877" w:rsidP="00492877">
      <w:pPr>
        <w:pStyle w:val="FootnoteText"/>
        <w:jc w:val="both"/>
        <w:rPr>
          <w:sz w:val="18"/>
        </w:rPr>
      </w:pPr>
      <w:r>
        <w:rPr>
          <w:rStyle w:val="FootnoteReference"/>
        </w:rPr>
        <w:footnoteRef/>
      </w:r>
      <w:r>
        <w:t xml:space="preserve"> </w:t>
      </w:r>
      <w:r>
        <w:tab/>
      </w:r>
      <w:r>
        <w:rPr>
          <w:sz w:val="18"/>
        </w:rPr>
        <w:t>Offers are only shown up to 45 TJ (total offers exceeded 300 TJ on the MSP for the gas day)</w:t>
      </w:r>
      <w:r w:rsidRPr="00F13B32">
        <w:rPr>
          <w:sz w:val="18"/>
        </w:rPr>
        <w:t>.</w:t>
      </w:r>
    </w:p>
  </w:footnote>
  <w:footnote w:id="7">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8">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9">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0">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1">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2">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3">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4">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5">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A1911B6"/>
    <w:multiLevelType w:val="hybridMultilevel"/>
    <w:tmpl w:val="3DBEF4CE"/>
    <w:lvl w:ilvl="0" w:tplc="A9E8D154">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7">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0">
    <w:nsid w:val="344A3E0D"/>
    <w:multiLevelType w:val="hybridMultilevel"/>
    <w:tmpl w:val="E20A33D0"/>
    <w:lvl w:ilvl="0" w:tplc="D37CEE6A">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4">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5">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7">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9">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2"/>
  </w:num>
  <w:num w:numId="4">
    <w:abstractNumId w:val="19"/>
  </w:num>
  <w:num w:numId="5">
    <w:abstractNumId w:val="3"/>
  </w:num>
  <w:num w:numId="6">
    <w:abstractNumId w:val="16"/>
  </w:num>
  <w:num w:numId="7">
    <w:abstractNumId w:val="13"/>
  </w:num>
  <w:num w:numId="8">
    <w:abstractNumId w:val="8"/>
  </w:num>
  <w:num w:numId="9">
    <w:abstractNumId w:val="6"/>
  </w:num>
  <w:num w:numId="10">
    <w:abstractNumId w:val="11"/>
  </w:num>
  <w:num w:numId="11">
    <w:abstractNumId w:val="0"/>
  </w:num>
  <w:num w:numId="12">
    <w:abstractNumId w:val="14"/>
  </w:num>
  <w:num w:numId="1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5"/>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4"/>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7"/>
  </w:num>
  <w:num w:numId="20">
    <w:abstractNumId w:val="18"/>
  </w:num>
  <w:num w:numId="21">
    <w:abstractNumId w:val="2"/>
  </w:num>
  <w:num w:numId="22">
    <w:abstractNumId w:val="7"/>
  </w:num>
  <w:num w:numId="23">
    <w:abstractNumId w:val="4"/>
  </w:num>
  <w:num w:numId="24">
    <w:abstractNumId w:val="4"/>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4"/>
  </w:num>
  <w:num w:numId="26">
    <w:abstractNumId w:val="4"/>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0"/>
  </w:num>
  <w:num w:numId="3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5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10 – 16 April 2016.docx"/>
  </w:docVars>
  <w:rsids>
    <w:rsidRoot w:val="005F18AD"/>
    <w:rsid w:val="000013C1"/>
    <w:rsid w:val="00001BFB"/>
    <w:rsid w:val="00002313"/>
    <w:rsid w:val="00004A63"/>
    <w:rsid w:val="00010025"/>
    <w:rsid w:val="000123CA"/>
    <w:rsid w:val="00020978"/>
    <w:rsid w:val="0002268D"/>
    <w:rsid w:val="00025004"/>
    <w:rsid w:val="00027115"/>
    <w:rsid w:val="000323BA"/>
    <w:rsid w:val="00033456"/>
    <w:rsid w:val="00040F6B"/>
    <w:rsid w:val="00050AC3"/>
    <w:rsid w:val="000552AF"/>
    <w:rsid w:val="00055584"/>
    <w:rsid w:val="00061656"/>
    <w:rsid w:val="0006609A"/>
    <w:rsid w:val="00073D01"/>
    <w:rsid w:val="00076046"/>
    <w:rsid w:val="000813BF"/>
    <w:rsid w:val="0008491C"/>
    <w:rsid w:val="00085092"/>
    <w:rsid w:val="000876E7"/>
    <w:rsid w:val="00093854"/>
    <w:rsid w:val="00094353"/>
    <w:rsid w:val="000974A2"/>
    <w:rsid w:val="00097D40"/>
    <w:rsid w:val="000B4A1F"/>
    <w:rsid w:val="000B6397"/>
    <w:rsid w:val="000B69E0"/>
    <w:rsid w:val="000B72AF"/>
    <w:rsid w:val="000B7FAF"/>
    <w:rsid w:val="000D1FEB"/>
    <w:rsid w:val="000E1F9A"/>
    <w:rsid w:val="000F0BBB"/>
    <w:rsid w:val="000F2287"/>
    <w:rsid w:val="000F3B46"/>
    <w:rsid w:val="000F59F8"/>
    <w:rsid w:val="000F5F5E"/>
    <w:rsid w:val="000F6D05"/>
    <w:rsid w:val="00113D67"/>
    <w:rsid w:val="00117C98"/>
    <w:rsid w:val="00125818"/>
    <w:rsid w:val="001372B4"/>
    <w:rsid w:val="001420EB"/>
    <w:rsid w:val="001452B3"/>
    <w:rsid w:val="00150A19"/>
    <w:rsid w:val="00153729"/>
    <w:rsid w:val="00157AFD"/>
    <w:rsid w:val="001608BE"/>
    <w:rsid w:val="00171BD5"/>
    <w:rsid w:val="00181F4A"/>
    <w:rsid w:val="001831BF"/>
    <w:rsid w:val="001835B2"/>
    <w:rsid w:val="00183D85"/>
    <w:rsid w:val="0018604E"/>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02F"/>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1764"/>
    <w:rsid w:val="002A30E7"/>
    <w:rsid w:val="002A3E5D"/>
    <w:rsid w:val="002A46AC"/>
    <w:rsid w:val="002A5634"/>
    <w:rsid w:val="002B1803"/>
    <w:rsid w:val="002B3D3C"/>
    <w:rsid w:val="002B4D21"/>
    <w:rsid w:val="002C0499"/>
    <w:rsid w:val="002C2576"/>
    <w:rsid w:val="002D0C16"/>
    <w:rsid w:val="002D1954"/>
    <w:rsid w:val="002D59B3"/>
    <w:rsid w:val="002D5CEC"/>
    <w:rsid w:val="002E0688"/>
    <w:rsid w:val="002E2C96"/>
    <w:rsid w:val="002E2E46"/>
    <w:rsid w:val="002E7E9E"/>
    <w:rsid w:val="002F0AE7"/>
    <w:rsid w:val="002F139A"/>
    <w:rsid w:val="002F4250"/>
    <w:rsid w:val="003000A7"/>
    <w:rsid w:val="0030240F"/>
    <w:rsid w:val="00311A09"/>
    <w:rsid w:val="00314A8B"/>
    <w:rsid w:val="0032174C"/>
    <w:rsid w:val="00323327"/>
    <w:rsid w:val="003240A9"/>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419B"/>
    <w:rsid w:val="003D59BF"/>
    <w:rsid w:val="003E313D"/>
    <w:rsid w:val="003F3391"/>
    <w:rsid w:val="003F44AD"/>
    <w:rsid w:val="003F44B7"/>
    <w:rsid w:val="003F51E6"/>
    <w:rsid w:val="003F7FD2"/>
    <w:rsid w:val="0040076C"/>
    <w:rsid w:val="004055AC"/>
    <w:rsid w:val="00411C3F"/>
    <w:rsid w:val="00414102"/>
    <w:rsid w:val="004149DB"/>
    <w:rsid w:val="00415D68"/>
    <w:rsid w:val="00421FFF"/>
    <w:rsid w:val="00422FB1"/>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2877"/>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40C"/>
    <w:rsid w:val="00564C71"/>
    <w:rsid w:val="0056618C"/>
    <w:rsid w:val="0058198F"/>
    <w:rsid w:val="00582F1C"/>
    <w:rsid w:val="005859CC"/>
    <w:rsid w:val="00586C57"/>
    <w:rsid w:val="00587CD1"/>
    <w:rsid w:val="005A1088"/>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56A4C"/>
    <w:rsid w:val="006705A4"/>
    <w:rsid w:val="00670FB3"/>
    <w:rsid w:val="006722EB"/>
    <w:rsid w:val="00686F6E"/>
    <w:rsid w:val="00697E41"/>
    <w:rsid w:val="006A5317"/>
    <w:rsid w:val="006A7228"/>
    <w:rsid w:val="006B004C"/>
    <w:rsid w:val="006C1858"/>
    <w:rsid w:val="006C242A"/>
    <w:rsid w:val="006C2B2B"/>
    <w:rsid w:val="006C57B2"/>
    <w:rsid w:val="006C5A2C"/>
    <w:rsid w:val="006C6D60"/>
    <w:rsid w:val="006D570D"/>
    <w:rsid w:val="006D6E0B"/>
    <w:rsid w:val="006E1063"/>
    <w:rsid w:val="006E312B"/>
    <w:rsid w:val="006E40BD"/>
    <w:rsid w:val="006E7E57"/>
    <w:rsid w:val="006F4169"/>
    <w:rsid w:val="007001FF"/>
    <w:rsid w:val="007059A9"/>
    <w:rsid w:val="00706720"/>
    <w:rsid w:val="00710600"/>
    <w:rsid w:val="0071106C"/>
    <w:rsid w:val="00715BED"/>
    <w:rsid w:val="00716B82"/>
    <w:rsid w:val="00717223"/>
    <w:rsid w:val="007201F8"/>
    <w:rsid w:val="007209C0"/>
    <w:rsid w:val="00722B62"/>
    <w:rsid w:val="0072650E"/>
    <w:rsid w:val="007306EC"/>
    <w:rsid w:val="00740E57"/>
    <w:rsid w:val="00740EE4"/>
    <w:rsid w:val="00747724"/>
    <w:rsid w:val="00750C0F"/>
    <w:rsid w:val="00763150"/>
    <w:rsid w:val="0076429B"/>
    <w:rsid w:val="00767397"/>
    <w:rsid w:val="00773AE0"/>
    <w:rsid w:val="00776BBA"/>
    <w:rsid w:val="00781A4A"/>
    <w:rsid w:val="00784420"/>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6408B"/>
    <w:rsid w:val="0087400A"/>
    <w:rsid w:val="00875D0C"/>
    <w:rsid w:val="008776EF"/>
    <w:rsid w:val="00882958"/>
    <w:rsid w:val="008936C5"/>
    <w:rsid w:val="00895965"/>
    <w:rsid w:val="008A6DB5"/>
    <w:rsid w:val="008B4A16"/>
    <w:rsid w:val="008B7161"/>
    <w:rsid w:val="008C0EC8"/>
    <w:rsid w:val="008C268E"/>
    <w:rsid w:val="008C306A"/>
    <w:rsid w:val="008C7F3A"/>
    <w:rsid w:val="008D39F4"/>
    <w:rsid w:val="008D4DAB"/>
    <w:rsid w:val="008D52A0"/>
    <w:rsid w:val="008D70A4"/>
    <w:rsid w:val="008E2239"/>
    <w:rsid w:val="008E24DA"/>
    <w:rsid w:val="008F4BF5"/>
    <w:rsid w:val="008F4EAE"/>
    <w:rsid w:val="008F5409"/>
    <w:rsid w:val="00900CEB"/>
    <w:rsid w:val="00903620"/>
    <w:rsid w:val="009136B3"/>
    <w:rsid w:val="009143E0"/>
    <w:rsid w:val="0091453B"/>
    <w:rsid w:val="00936119"/>
    <w:rsid w:val="009365B2"/>
    <w:rsid w:val="00936A7B"/>
    <w:rsid w:val="00937543"/>
    <w:rsid w:val="00941AAC"/>
    <w:rsid w:val="00942622"/>
    <w:rsid w:val="00942640"/>
    <w:rsid w:val="00950C55"/>
    <w:rsid w:val="00951926"/>
    <w:rsid w:val="00954DA7"/>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E767F"/>
    <w:rsid w:val="009F146F"/>
    <w:rsid w:val="009F43B1"/>
    <w:rsid w:val="009F4655"/>
    <w:rsid w:val="009F4DF7"/>
    <w:rsid w:val="009F6FA3"/>
    <w:rsid w:val="00A0223D"/>
    <w:rsid w:val="00A0352C"/>
    <w:rsid w:val="00A13F97"/>
    <w:rsid w:val="00A156EE"/>
    <w:rsid w:val="00A16270"/>
    <w:rsid w:val="00A200D0"/>
    <w:rsid w:val="00A26940"/>
    <w:rsid w:val="00A270DD"/>
    <w:rsid w:val="00A324A8"/>
    <w:rsid w:val="00A349B0"/>
    <w:rsid w:val="00A475A2"/>
    <w:rsid w:val="00A51DDD"/>
    <w:rsid w:val="00A541D2"/>
    <w:rsid w:val="00A55660"/>
    <w:rsid w:val="00A55C96"/>
    <w:rsid w:val="00A642B8"/>
    <w:rsid w:val="00A66FD2"/>
    <w:rsid w:val="00A67716"/>
    <w:rsid w:val="00A677D8"/>
    <w:rsid w:val="00A834DF"/>
    <w:rsid w:val="00A91C53"/>
    <w:rsid w:val="00A936AE"/>
    <w:rsid w:val="00AA1D87"/>
    <w:rsid w:val="00AD0E9A"/>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249B"/>
    <w:rsid w:val="00B76529"/>
    <w:rsid w:val="00B82478"/>
    <w:rsid w:val="00B8698C"/>
    <w:rsid w:val="00B9666A"/>
    <w:rsid w:val="00BA16E2"/>
    <w:rsid w:val="00BA31C3"/>
    <w:rsid w:val="00BA65E6"/>
    <w:rsid w:val="00BA6C2E"/>
    <w:rsid w:val="00BB145C"/>
    <w:rsid w:val="00BB2FF6"/>
    <w:rsid w:val="00BC18FB"/>
    <w:rsid w:val="00BC21AB"/>
    <w:rsid w:val="00BC254C"/>
    <w:rsid w:val="00BC4C5B"/>
    <w:rsid w:val="00BC6945"/>
    <w:rsid w:val="00BC77F9"/>
    <w:rsid w:val="00BD3A40"/>
    <w:rsid w:val="00BD60AA"/>
    <w:rsid w:val="00BE18D0"/>
    <w:rsid w:val="00BE240C"/>
    <w:rsid w:val="00BE4577"/>
    <w:rsid w:val="00BE74E3"/>
    <w:rsid w:val="00BF1D01"/>
    <w:rsid w:val="00BF3080"/>
    <w:rsid w:val="00C2101A"/>
    <w:rsid w:val="00C21D81"/>
    <w:rsid w:val="00C26B1D"/>
    <w:rsid w:val="00C26E38"/>
    <w:rsid w:val="00C3163F"/>
    <w:rsid w:val="00C4103A"/>
    <w:rsid w:val="00C560C2"/>
    <w:rsid w:val="00C60857"/>
    <w:rsid w:val="00C71AFE"/>
    <w:rsid w:val="00C75920"/>
    <w:rsid w:val="00C80FD8"/>
    <w:rsid w:val="00C83657"/>
    <w:rsid w:val="00C859CC"/>
    <w:rsid w:val="00C94431"/>
    <w:rsid w:val="00C9498F"/>
    <w:rsid w:val="00CA0EE1"/>
    <w:rsid w:val="00CB0C0E"/>
    <w:rsid w:val="00CC300D"/>
    <w:rsid w:val="00CC385B"/>
    <w:rsid w:val="00CC4A35"/>
    <w:rsid w:val="00CD3544"/>
    <w:rsid w:val="00CE10E2"/>
    <w:rsid w:val="00CE48FC"/>
    <w:rsid w:val="00CE5DB6"/>
    <w:rsid w:val="00CE75EF"/>
    <w:rsid w:val="00CF32A8"/>
    <w:rsid w:val="00CF53CA"/>
    <w:rsid w:val="00CF5471"/>
    <w:rsid w:val="00CF5795"/>
    <w:rsid w:val="00D10FA6"/>
    <w:rsid w:val="00D11DDB"/>
    <w:rsid w:val="00D161D7"/>
    <w:rsid w:val="00D1641C"/>
    <w:rsid w:val="00D16FE8"/>
    <w:rsid w:val="00D22793"/>
    <w:rsid w:val="00D27B81"/>
    <w:rsid w:val="00D314ED"/>
    <w:rsid w:val="00D329E0"/>
    <w:rsid w:val="00D40430"/>
    <w:rsid w:val="00D41D64"/>
    <w:rsid w:val="00D439C1"/>
    <w:rsid w:val="00D50980"/>
    <w:rsid w:val="00D60D45"/>
    <w:rsid w:val="00D635F1"/>
    <w:rsid w:val="00D67440"/>
    <w:rsid w:val="00D71951"/>
    <w:rsid w:val="00D76436"/>
    <w:rsid w:val="00D76A41"/>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2B6B"/>
    <w:rsid w:val="00E16C03"/>
    <w:rsid w:val="00E2040E"/>
    <w:rsid w:val="00E2256B"/>
    <w:rsid w:val="00E27FEA"/>
    <w:rsid w:val="00E37A86"/>
    <w:rsid w:val="00E40361"/>
    <w:rsid w:val="00E41452"/>
    <w:rsid w:val="00E524B2"/>
    <w:rsid w:val="00E52E2A"/>
    <w:rsid w:val="00E55BE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3B32"/>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825AE"/>
    <w:rsid w:val="00F96C04"/>
    <w:rsid w:val="00F976F4"/>
    <w:rsid w:val="00FA0D5D"/>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character" w:customStyle="1" w:styleId="accc-document-title">
    <w:name w:val="accc-document-title"/>
    <w:rsid w:val="00C210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901524018">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49D55-50E8-4209-9BF0-061862CC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FF82807D.dotm</Template>
  <TotalTime>0</TotalTime>
  <Pages>12</Pages>
  <Words>2081</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11889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2016-05-04T06:56:00Z</dcterms:created>
  <dcterms:modified xsi:type="dcterms:W3CDTF">2016-05-04T06:56:00Z</dcterms:modified>
</cp:coreProperties>
</file>