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A608B9"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FF0EDD" w:rsidP="004420C4">
      <w:pPr>
        <w:pStyle w:val="Heading2"/>
        <w:numPr>
          <w:ilvl w:val="0"/>
          <w:numId w:val="0"/>
        </w:numPr>
        <w:rPr>
          <w:i w:val="0"/>
        </w:rPr>
      </w:pPr>
      <w:r>
        <w:rPr>
          <w:i w:val="0"/>
          <w:sz w:val="36"/>
          <w:szCs w:val="36"/>
        </w:rPr>
        <w:t>1 – 7 November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4E7CF5" w:rsidRDefault="004E7CF5" w:rsidP="00345444">
      <w:pPr>
        <w:pStyle w:val="AERbodytext"/>
        <w:spacing w:line="240" w:lineRule="auto"/>
        <w:jc w:val="both"/>
      </w:pPr>
      <w:r w:rsidRPr="004E7CF5">
        <w:t>As shown in figures 1 to 5, a</w:t>
      </w:r>
      <w:r w:rsidR="00BD7A42" w:rsidRPr="004E7CF5">
        <w:t xml:space="preserve">verage prices across the Victorian market and the STTM were slightly lower than the previous week. </w:t>
      </w:r>
      <w:r w:rsidRPr="004E7CF5">
        <w:t>Additionally, t</w:t>
      </w:r>
      <w:r w:rsidRPr="004E7CF5">
        <w:rPr>
          <w:rFonts w:eastAsia="MS Mincho"/>
        </w:rPr>
        <w:t>here were no significant market events.</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4F19C5">
      <w:pPr>
        <w:pStyle w:val="Heading2"/>
        <w:spacing w:before="200"/>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9B066D" w:rsidRPr="00DC24BF" w:rsidTr="00106C5D">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vAlign w:val="center"/>
            <w:hideMark/>
          </w:tcPr>
          <w:p w:rsidR="009B066D" w:rsidRDefault="009B066D">
            <w:pPr>
              <w:jc w:val="center"/>
              <w:rPr>
                <w:rFonts w:cs="Arial"/>
                <w:bCs/>
                <w:sz w:val="20"/>
                <w:szCs w:val="20"/>
              </w:rPr>
            </w:pPr>
            <w:r>
              <w:rPr>
                <w:rFonts w:cs="Arial"/>
                <w:b w:val="0"/>
                <w:bCs/>
                <w:sz w:val="20"/>
                <w:szCs w:val="20"/>
              </w:rPr>
              <w:t> </w:t>
            </w:r>
          </w:p>
        </w:tc>
        <w:tc>
          <w:tcPr>
            <w:tcW w:w="750" w:type="pct"/>
            <w:tcBorders>
              <w:bottom w:val="nil"/>
            </w:tcBorders>
            <w:vAlign w:val="center"/>
          </w:tcPr>
          <w:p w:rsidR="009B066D" w:rsidRPr="006B09ED" w:rsidRDefault="009B066D">
            <w:pPr>
              <w:jc w:val="center"/>
              <w:rPr>
                <w:rFonts w:cs="Arial"/>
                <w:bCs/>
                <w:sz w:val="20"/>
                <w:szCs w:val="20"/>
              </w:rPr>
            </w:pPr>
            <w:r w:rsidRPr="006B09ED">
              <w:rPr>
                <w:rFonts w:cs="Arial"/>
                <w:bCs/>
                <w:sz w:val="20"/>
                <w:szCs w:val="20"/>
              </w:rPr>
              <w:t>Victoria</w:t>
            </w:r>
          </w:p>
        </w:tc>
        <w:tc>
          <w:tcPr>
            <w:tcW w:w="749" w:type="pct"/>
            <w:tcBorders>
              <w:bottom w:val="nil"/>
            </w:tcBorders>
            <w:vAlign w:val="center"/>
            <w:hideMark/>
          </w:tcPr>
          <w:p w:rsidR="009B066D" w:rsidRPr="006B09ED" w:rsidRDefault="009B066D">
            <w:pPr>
              <w:jc w:val="center"/>
              <w:rPr>
                <w:rFonts w:cs="Arial"/>
                <w:bCs/>
                <w:sz w:val="20"/>
                <w:szCs w:val="20"/>
              </w:rPr>
            </w:pPr>
            <w:r w:rsidRPr="006B09ED">
              <w:rPr>
                <w:rFonts w:cs="Arial"/>
                <w:bCs/>
                <w:sz w:val="20"/>
                <w:szCs w:val="20"/>
              </w:rPr>
              <w:t>Sydney</w:t>
            </w:r>
          </w:p>
        </w:tc>
        <w:tc>
          <w:tcPr>
            <w:tcW w:w="749" w:type="pct"/>
            <w:tcBorders>
              <w:bottom w:val="nil"/>
            </w:tcBorders>
            <w:vAlign w:val="center"/>
            <w:hideMark/>
          </w:tcPr>
          <w:p w:rsidR="009B066D" w:rsidRPr="006B09ED" w:rsidRDefault="009B066D">
            <w:pPr>
              <w:jc w:val="center"/>
              <w:rPr>
                <w:rFonts w:cs="Arial"/>
                <w:bCs/>
                <w:sz w:val="20"/>
                <w:szCs w:val="20"/>
              </w:rPr>
            </w:pPr>
            <w:r w:rsidRPr="006B09ED">
              <w:rPr>
                <w:rFonts w:cs="Arial"/>
                <w:bCs/>
                <w:sz w:val="20"/>
                <w:szCs w:val="20"/>
              </w:rPr>
              <w:t>Adelaide</w:t>
            </w:r>
          </w:p>
        </w:tc>
        <w:tc>
          <w:tcPr>
            <w:tcW w:w="823" w:type="pct"/>
            <w:tcBorders>
              <w:bottom w:val="nil"/>
            </w:tcBorders>
            <w:vAlign w:val="center"/>
            <w:hideMark/>
          </w:tcPr>
          <w:p w:rsidR="009B066D" w:rsidRPr="006B09ED" w:rsidRDefault="009B066D">
            <w:pPr>
              <w:jc w:val="center"/>
              <w:rPr>
                <w:rFonts w:cs="Arial"/>
                <w:bCs/>
                <w:sz w:val="20"/>
                <w:szCs w:val="20"/>
              </w:rPr>
            </w:pPr>
            <w:r w:rsidRPr="006B09ED">
              <w:rPr>
                <w:rFonts w:cs="Arial"/>
                <w:bCs/>
                <w:sz w:val="20"/>
                <w:szCs w:val="20"/>
              </w:rPr>
              <w:t>Brisbane</w:t>
            </w:r>
          </w:p>
        </w:tc>
      </w:tr>
      <w:tr w:rsidR="009B066D" w:rsidRPr="0091453B" w:rsidTr="00106C5D">
        <w:trPr>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01 Nov - 07 Nov 2015</w:t>
            </w:r>
          </w:p>
        </w:tc>
        <w:tc>
          <w:tcPr>
            <w:tcW w:w="750" w:type="pct"/>
            <w:tcBorders>
              <w:top w:val="nil"/>
              <w:bottom w:val="nil"/>
            </w:tcBorders>
            <w:vAlign w:val="center"/>
          </w:tcPr>
          <w:p w:rsidR="009B066D" w:rsidRDefault="009B066D">
            <w:pPr>
              <w:jc w:val="center"/>
              <w:rPr>
                <w:rFonts w:cs="Arial"/>
                <w:sz w:val="20"/>
                <w:szCs w:val="20"/>
              </w:rPr>
            </w:pPr>
            <w:r>
              <w:rPr>
                <w:rFonts w:cs="Arial"/>
                <w:sz w:val="20"/>
                <w:szCs w:val="20"/>
              </w:rPr>
              <w:t>3.96</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3.91</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3.83</w:t>
            </w:r>
          </w:p>
        </w:tc>
        <w:tc>
          <w:tcPr>
            <w:tcW w:w="823" w:type="pct"/>
            <w:tcBorders>
              <w:top w:val="nil"/>
              <w:bottom w:val="nil"/>
            </w:tcBorders>
            <w:vAlign w:val="center"/>
          </w:tcPr>
          <w:p w:rsidR="009B066D" w:rsidRDefault="009B066D">
            <w:pPr>
              <w:jc w:val="center"/>
              <w:rPr>
                <w:rFonts w:cs="Arial"/>
                <w:sz w:val="20"/>
                <w:szCs w:val="20"/>
              </w:rPr>
            </w:pPr>
            <w:r>
              <w:rPr>
                <w:rFonts w:cs="Arial"/>
                <w:sz w:val="20"/>
                <w:szCs w:val="20"/>
              </w:rPr>
              <w:t>2.71</w:t>
            </w:r>
          </w:p>
        </w:tc>
      </w:tr>
      <w:tr w:rsidR="009B066D" w:rsidRPr="0091453B" w:rsidTr="00106C5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 change from previous week</w:t>
            </w:r>
          </w:p>
        </w:tc>
        <w:tc>
          <w:tcPr>
            <w:tcW w:w="750" w:type="pct"/>
            <w:tcBorders>
              <w:top w:val="nil"/>
              <w:bottom w:val="nil"/>
            </w:tcBorders>
            <w:vAlign w:val="center"/>
          </w:tcPr>
          <w:p w:rsidR="009B066D" w:rsidRDefault="009B066D">
            <w:pPr>
              <w:jc w:val="center"/>
              <w:rPr>
                <w:rFonts w:cs="Arial"/>
                <w:sz w:val="20"/>
                <w:szCs w:val="20"/>
              </w:rPr>
            </w:pPr>
            <w:r>
              <w:rPr>
                <w:rFonts w:cs="Arial"/>
                <w:sz w:val="20"/>
                <w:szCs w:val="20"/>
              </w:rPr>
              <w:t>-8</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-1</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-12</w:t>
            </w:r>
          </w:p>
        </w:tc>
        <w:tc>
          <w:tcPr>
            <w:tcW w:w="823" w:type="pct"/>
            <w:tcBorders>
              <w:top w:val="nil"/>
              <w:bottom w:val="nil"/>
            </w:tcBorders>
            <w:vAlign w:val="center"/>
          </w:tcPr>
          <w:p w:rsidR="009B066D" w:rsidRDefault="009B066D">
            <w:pPr>
              <w:jc w:val="center"/>
              <w:rPr>
                <w:rFonts w:cs="Arial"/>
                <w:sz w:val="20"/>
                <w:szCs w:val="20"/>
              </w:rPr>
            </w:pPr>
            <w:r>
              <w:rPr>
                <w:rFonts w:cs="Arial"/>
                <w:sz w:val="20"/>
                <w:szCs w:val="20"/>
              </w:rPr>
              <w:t>-14</w:t>
            </w:r>
          </w:p>
        </w:tc>
      </w:tr>
      <w:tr w:rsidR="009B066D" w:rsidRPr="0091453B" w:rsidTr="00106C5D">
        <w:trPr>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15-16 financial YTD</w:t>
            </w:r>
          </w:p>
        </w:tc>
        <w:tc>
          <w:tcPr>
            <w:tcW w:w="750" w:type="pct"/>
            <w:tcBorders>
              <w:top w:val="nil"/>
              <w:bottom w:val="nil"/>
            </w:tcBorders>
            <w:vAlign w:val="center"/>
          </w:tcPr>
          <w:p w:rsidR="009B066D" w:rsidRDefault="009B066D">
            <w:pPr>
              <w:jc w:val="center"/>
              <w:rPr>
                <w:rFonts w:cs="Arial"/>
                <w:sz w:val="20"/>
                <w:szCs w:val="20"/>
              </w:rPr>
            </w:pPr>
            <w:r>
              <w:rPr>
                <w:rFonts w:cs="Arial"/>
                <w:sz w:val="20"/>
                <w:szCs w:val="20"/>
              </w:rPr>
              <w:t>4.45</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4.74</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5.18</w:t>
            </w:r>
          </w:p>
        </w:tc>
        <w:tc>
          <w:tcPr>
            <w:tcW w:w="823" w:type="pct"/>
            <w:tcBorders>
              <w:top w:val="nil"/>
              <w:bottom w:val="nil"/>
            </w:tcBorders>
            <w:vAlign w:val="center"/>
          </w:tcPr>
          <w:p w:rsidR="009B066D" w:rsidRDefault="009B066D">
            <w:pPr>
              <w:jc w:val="center"/>
              <w:rPr>
                <w:rFonts w:cs="Arial"/>
                <w:sz w:val="20"/>
                <w:szCs w:val="20"/>
              </w:rPr>
            </w:pPr>
            <w:r>
              <w:rPr>
                <w:rFonts w:cs="Arial"/>
                <w:sz w:val="20"/>
                <w:szCs w:val="20"/>
              </w:rPr>
              <w:t>3.86</w:t>
            </w:r>
          </w:p>
        </w:tc>
      </w:tr>
      <w:tr w:rsidR="009B066D" w:rsidRPr="0091453B" w:rsidTr="00106C5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B066D" w:rsidRDefault="009B066D">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43</w:t>
            </w:r>
          </w:p>
        </w:tc>
        <w:tc>
          <w:tcPr>
            <w:tcW w:w="749"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45</w:t>
            </w:r>
          </w:p>
        </w:tc>
        <w:tc>
          <w:tcPr>
            <w:tcW w:w="823"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86</w:t>
            </w:r>
          </w:p>
        </w:tc>
      </w:tr>
    </w:tbl>
    <w:p w:rsidR="00FF0D8A" w:rsidRPr="008D4DAB" w:rsidRDefault="00FF0D8A" w:rsidP="004F19C5">
      <w:pPr>
        <w:pStyle w:val="AERbodytext"/>
        <w:spacing w:before="120" w:after="6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4F19C5">
      <w:pPr>
        <w:pStyle w:val="Heading2"/>
        <w:spacing w:before="200"/>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9B066D" w:rsidRPr="00DC24BF" w:rsidTr="009B066D">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9B066D" w:rsidRDefault="009B066D" w:rsidP="009B066D">
            <w:pPr>
              <w:jc w:val="center"/>
              <w:rPr>
                <w:rFonts w:cs="Arial"/>
                <w:bCs/>
                <w:sz w:val="20"/>
                <w:szCs w:val="20"/>
              </w:rPr>
            </w:pPr>
          </w:p>
        </w:tc>
        <w:tc>
          <w:tcPr>
            <w:tcW w:w="749" w:type="pct"/>
            <w:tcBorders>
              <w:bottom w:val="nil"/>
            </w:tcBorders>
            <w:hideMark/>
          </w:tcPr>
          <w:p w:rsidR="009B066D" w:rsidRPr="006B09ED" w:rsidRDefault="009B066D" w:rsidP="009B066D">
            <w:pPr>
              <w:jc w:val="center"/>
              <w:rPr>
                <w:rFonts w:cs="Arial"/>
                <w:bCs/>
                <w:sz w:val="20"/>
                <w:szCs w:val="20"/>
              </w:rPr>
            </w:pPr>
            <w:r w:rsidRPr="006B09ED">
              <w:rPr>
                <w:rFonts w:cs="Arial"/>
                <w:bCs/>
                <w:sz w:val="20"/>
                <w:szCs w:val="20"/>
              </w:rPr>
              <w:t>Prices ($/GJ)</w:t>
            </w:r>
          </w:p>
        </w:tc>
        <w:tc>
          <w:tcPr>
            <w:tcW w:w="1124" w:type="pct"/>
            <w:tcBorders>
              <w:bottom w:val="nil"/>
            </w:tcBorders>
            <w:hideMark/>
          </w:tcPr>
          <w:p w:rsidR="009B066D" w:rsidRPr="006B09ED" w:rsidRDefault="009B066D" w:rsidP="009B066D">
            <w:pPr>
              <w:jc w:val="center"/>
              <w:rPr>
                <w:rFonts w:cs="Arial"/>
                <w:bCs/>
                <w:sz w:val="20"/>
                <w:szCs w:val="20"/>
              </w:rPr>
            </w:pPr>
            <w:r w:rsidRPr="006B09ED">
              <w:rPr>
                <w:rFonts w:cs="Arial"/>
                <w:bCs/>
                <w:sz w:val="20"/>
                <w:szCs w:val="20"/>
              </w:rPr>
              <w:t>Ancillary payments ($1000)</w:t>
            </w:r>
          </w:p>
        </w:tc>
        <w:tc>
          <w:tcPr>
            <w:tcW w:w="1199" w:type="pct"/>
            <w:tcBorders>
              <w:bottom w:val="nil"/>
            </w:tcBorders>
            <w:hideMark/>
          </w:tcPr>
          <w:p w:rsidR="009B066D" w:rsidRPr="006B09ED" w:rsidRDefault="009B066D" w:rsidP="009B066D">
            <w:pPr>
              <w:jc w:val="center"/>
              <w:rPr>
                <w:rFonts w:cs="Arial"/>
                <w:bCs/>
                <w:sz w:val="20"/>
                <w:szCs w:val="20"/>
              </w:rPr>
            </w:pPr>
            <w:r w:rsidRPr="006B09ED">
              <w:rPr>
                <w:rFonts w:cs="Arial"/>
                <w:bCs/>
                <w:sz w:val="20"/>
                <w:szCs w:val="20"/>
              </w:rPr>
              <w:t>Demand (TJ)</w:t>
            </w:r>
          </w:p>
        </w:tc>
      </w:tr>
      <w:tr w:rsidR="009B066D" w:rsidRPr="0091453B" w:rsidTr="00C964DB">
        <w:trPr>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01 Nov - 07 Nov 2015</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3.96</w:t>
            </w:r>
          </w:p>
        </w:tc>
        <w:tc>
          <w:tcPr>
            <w:tcW w:w="1124" w:type="pct"/>
            <w:tcBorders>
              <w:top w:val="nil"/>
              <w:bottom w:val="nil"/>
            </w:tcBorders>
            <w:vAlign w:val="center"/>
          </w:tcPr>
          <w:p w:rsidR="009B066D" w:rsidRDefault="009B066D">
            <w:pPr>
              <w:jc w:val="center"/>
              <w:rPr>
                <w:rFonts w:cs="Arial"/>
                <w:sz w:val="20"/>
                <w:szCs w:val="20"/>
              </w:rPr>
            </w:pPr>
            <w:r>
              <w:rPr>
                <w:rFonts w:cs="Arial"/>
                <w:sz w:val="20"/>
                <w:szCs w:val="20"/>
              </w:rPr>
              <w:t>-</w:t>
            </w:r>
          </w:p>
        </w:tc>
        <w:tc>
          <w:tcPr>
            <w:tcW w:w="1199" w:type="pct"/>
            <w:tcBorders>
              <w:top w:val="nil"/>
              <w:bottom w:val="nil"/>
            </w:tcBorders>
            <w:vAlign w:val="center"/>
          </w:tcPr>
          <w:p w:rsidR="009B066D" w:rsidRDefault="009B066D">
            <w:pPr>
              <w:jc w:val="center"/>
              <w:rPr>
                <w:rFonts w:cs="Arial"/>
                <w:sz w:val="20"/>
                <w:szCs w:val="20"/>
              </w:rPr>
            </w:pPr>
            <w:r>
              <w:rPr>
                <w:rFonts w:cs="Arial"/>
                <w:sz w:val="20"/>
                <w:szCs w:val="20"/>
              </w:rPr>
              <w:t>381</w:t>
            </w:r>
          </w:p>
        </w:tc>
      </w:tr>
      <w:tr w:rsidR="009B066D" w:rsidRPr="0091453B" w:rsidTr="00C964D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 change from previous week</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-8</w:t>
            </w:r>
          </w:p>
        </w:tc>
        <w:tc>
          <w:tcPr>
            <w:tcW w:w="1124" w:type="pct"/>
            <w:tcBorders>
              <w:top w:val="nil"/>
              <w:bottom w:val="nil"/>
            </w:tcBorders>
            <w:vAlign w:val="center"/>
          </w:tcPr>
          <w:p w:rsidR="009B066D" w:rsidRDefault="009B066D">
            <w:pPr>
              <w:jc w:val="center"/>
              <w:rPr>
                <w:rFonts w:cs="Arial"/>
                <w:sz w:val="20"/>
                <w:szCs w:val="20"/>
              </w:rPr>
            </w:pPr>
            <w:r>
              <w:rPr>
                <w:rFonts w:cs="Arial"/>
                <w:sz w:val="20"/>
                <w:szCs w:val="20"/>
              </w:rPr>
              <w:t>-</w:t>
            </w:r>
          </w:p>
        </w:tc>
        <w:tc>
          <w:tcPr>
            <w:tcW w:w="1199" w:type="pct"/>
            <w:tcBorders>
              <w:top w:val="nil"/>
              <w:bottom w:val="nil"/>
            </w:tcBorders>
            <w:vAlign w:val="center"/>
          </w:tcPr>
          <w:p w:rsidR="009B066D" w:rsidRDefault="009B066D">
            <w:pPr>
              <w:jc w:val="center"/>
              <w:rPr>
                <w:rFonts w:cs="Arial"/>
                <w:sz w:val="20"/>
                <w:szCs w:val="20"/>
              </w:rPr>
            </w:pPr>
            <w:r>
              <w:rPr>
                <w:rFonts w:cs="Arial"/>
                <w:sz w:val="20"/>
                <w:szCs w:val="20"/>
              </w:rPr>
              <w:t>2</w:t>
            </w:r>
          </w:p>
        </w:tc>
      </w:tr>
      <w:tr w:rsidR="009B066D" w:rsidRPr="0091453B" w:rsidTr="00C964DB">
        <w:trPr>
          <w:trHeight w:val="510"/>
        </w:trPr>
        <w:tc>
          <w:tcPr>
            <w:tcW w:w="1928" w:type="pct"/>
            <w:tcBorders>
              <w:top w:val="nil"/>
              <w:bottom w:val="nil"/>
            </w:tcBorders>
            <w:vAlign w:val="center"/>
          </w:tcPr>
          <w:p w:rsidR="009B066D" w:rsidRDefault="009B066D">
            <w:pPr>
              <w:rPr>
                <w:rFonts w:cs="Arial"/>
                <w:sz w:val="20"/>
                <w:szCs w:val="20"/>
              </w:rPr>
            </w:pPr>
            <w:r>
              <w:rPr>
                <w:rFonts w:cs="Arial"/>
                <w:sz w:val="20"/>
                <w:szCs w:val="20"/>
              </w:rPr>
              <w:t>15-16 financial YTD</w:t>
            </w:r>
          </w:p>
        </w:tc>
        <w:tc>
          <w:tcPr>
            <w:tcW w:w="749" w:type="pct"/>
            <w:tcBorders>
              <w:top w:val="nil"/>
              <w:bottom w:val="nil"/>
            </w:tcBorders>
            <w:vAlign w:val="center"/>
          </w:tcPr>
          <w:p w:rsidR="009B066D" w:rsidRDefault="009B066D">
            <w:pPr>
              <w:jc w:val="center"/>
              <w:rPr>
                <w:rFonts w:cs="Arial"/>
                <w:sz w:val="20"/>
                <w:szCs w:val="20"/>
              </w:rPr>
            </w:pPr>
            <w:r>
              <w:rPr>
                <w:rFonts w:cs="Arial"/>
                <w:sz w:val="20"/>
                <w:szCs w:val="20"/>
              </w:rPr>
              <w:t>4.45</w:t>
            </w:r>
          </w:p>
        </w:tc>
        <w:tc>
          <w:tcPr>
            <w:tcW w:w="1124" w:type="pct"/>
            <w:tcBorders>
              <w:top w:val="nil"/>
              <w:bottom w:val="nil"/>
            </w:tcBorders>
            <w:vAlign w:val="center"/>
          </w:tcPr>
          <w:p w:rsidR="009B066D" w:rsidRDefault="009B066D">
            <w:pPr>
              <w:jc w:val="center"/>
              <w:rPr>
                <w:rFonts w:cs="Arial"/>
                <w:sz w:val="20"/>
                <w:szCs w:val="20"/>
              </w:rPr>
            </w:pPr>
            <w:r>
              <w:rPr>
                <w:rFonts w:cs="Arial"/>
                <w:sz w:val="20"/>
                <w:szCs w:val="20"/>
              </w:rPr>
              <w:t>-</w:t>
            </w:r>
          </w:p>
        </w:tc>
        <w:tc>
          <w:tcPr>
            <w:tcW w:w="1199" w:type="pct"/>
            <w:tcBorders>
              <w:top w:val="nil"/>
              <w:bottom w:val="nil"/>
            </w:tcBorders>
            <w:vAlign w:val="center"/>
          </w:tcPr>
          <w:p w:rsidR="009B066D" w:rsidRDefault="009B066D">
            <w:pPr>
              <w:jc w:val="center"/>
              <w:rPr>
                <w:rFonts w:cs="Arial"/>
                <w:sz w:val="20"/>
                <w:szCs w:val="20"/>
              </w:rPr>
            </w:pPr>
            <w:r>
              <w:rPr>
                <w:rFonts w:cs="Arial"/>
                <w:sz w:val="20"/>
                <w:szCs w:val="20"/>
              </w:rPr>
              <w:t>742</w:t>
            </w:r>
          </w:p>
        </w:tc>
      </w:tr>
      <w:tr w:rsidR="009B066D" w:rsidRPr="0091453B" w:rsidTr="00C964D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B066D" w:rsidRDefault="009B066D">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9B066D" w:rsidRDefault="009B066D">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9B066D" w:rsidRDefault="009B066D">
            <w:pPr>
              <w:jc w:val="center"/>
              <w:rPr>
                <w:rFonts w:cs="Arial"/>
                <w:sz w:val="20"/>
                <w:szCs w:val="20"/>
              </w:rPr>
            </w:pPr>
            <w:bookmarkStart w:id="2" w:name="_GoBack"/>
            <w:bookmarkEnd w:id="2"/>
            <w:r>
              <w:rPr>
                <w:rFonts w:cs="Arial"/>
                <w:sz w:val="20"/>
                <w:szCs w:val="20"/>
              </w:rPr>
              <w:t>7</w:t>
            </w:r>
          </w:p>
        </w:tc>
      </w:tr>
    </w:tbl>
    <w:p w:rsidR="00FF0D8A" w:rsidRPr="004F19C5" w:rsidRDefault="00FF0D8A" w:rsidP="00FF0D8A">
      <w:pPr>
        <w:pStyle w:val="AERbodytext"/>
        <w:spacing w:before="120" w:after="120"/>
        <w:jc w:val="both"/>
        <w:rPr>
          <w:sz w:val="18"/>
          <w:szCs w:val="18"/>
        </w:rPr>
      </w:pPr>
      <w:r w:rsidRPr="004F19C5">
        <w:rPr>
          <w:sz w:val="18"/>
          <w:szCs w:val="18"/>
        </w:rPr>
        <w:lastRenderedPageBreak/>
        <w:t xml:space="preserve">* Note: only positive ancillary payments, reflecting system constraints will be shown here.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6B09ED" w:rsidRPr="00405CDE" w:rsidTr="0073002C">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759"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price ($/GJ)</w:t>
            </w:r>
          </w:p>
        </w:tc>
        <w:tc>
          <w:tcPr>
            <w:tcW w:w="758"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Ex post price ($/GJ)</w:t>
            </w:r>
          </w:p>
        </w:tc>
        <w:tc>
          <w:tcPr>
            <w:tcW w:w="759"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MOS payments ($000)</w:t>
            </w:r>
          </w:p>
        </w:tc>
        <w:tc>
          <w:tcPr>
            <w:tcW w:w="68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quantity (TJ)</w:t>
            </w:r>
          </w:p>
        </w:tc>
        <w:tc>
          <w:tcPr>
            <w:tcW w:w="608"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post quantity (TJ)</w:t>
            </w:r>
          </w:p>
        </w:tc>
      </w:tr>
      <w:tr w:rsidR="006B09ED" w:rsidRPr="00405CDE" w:rsidTr="0073002C">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01 Nov - 07 Nov 2015</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3.91</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4.02</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12.56</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200</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200</w:t>
            </w:r>
          </w:p>
        </w:tc>
      </w:tr>
      <w:tr w:rsidR="006B09ED" w:rsidRPr="00405CDE" w:rsidTr="0073002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 change from previous week</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2</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-2</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-2</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-2</w:t>
            </w:r>
          </w:p>
        </w:tc>
      </w:tr>
      <w:tr w:rsidR="006B09ED" w:rsidRPr="00405CDE" w:rsidTr="0073002C">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15-16 financial YTD</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4.74</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4.54</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23.17</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255</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251</w:t>
            </w:r>
          </w:p>
        </w:tc>
      </w:tr>
      <w:tr w:rsidR="006B09ED" w:rsidRPr="00405CDE" w:rsidTr="0073002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B09ED" w:rsidRDefault="006B09E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33</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44</w:t>
            </w:r>
          </w:p>
        </w:tc>
        <w:tc>
          <w:tcPr>
            <w:tcW w:w="68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-6</w:t>
            </w:r>
          </w:p>
        </w:tc>
        <w:tc>
          <w:tcPr>
            <w:tcW w:w="60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-8</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6B09ED" w:rsidRPr="00405CDE" w:rsidTr="00964B0D">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759"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price ($/GJ)</w:t>
            </w:r>
          </w:p>
        </w:tc>
        <w:tc>
          <w:tcPr>
            <w:tcW w:w="758"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Ex post price ($/GJ)</w:t>
            </w:r>
          </w:p>
        </w:tc>
        <w:tc>
          <w:tcPr>
            <w:tcW w:w="759"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MOS payments ($000)</w:t>
            </w:r>
          </w:p>
        </w:tc>
        <w:tc>
          <w:tcPr>
            <w:tcW w:w="68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quantity (TJ)</w:t>
            </w:r>
          </w:p>
        </w:tc>
        <w:tc>
          <w:tcPr>
            <w:tcW w:w="608"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post quantity (TJ)</w:t>
            </w:r>
          </w:p>
        </w:tc>
      </w:tr>
      <w:tr w:rsidR="006B09ED" w:rsidRPr="00405CDE" w:rsidTr="00964B0D">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01 Nov - 07 Nov 2015</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3.83</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3.96</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3.94</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52</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55</w:t>
            </w:r>
          </w:p>
        </w:tc>
      </w:tr>
      <w:tr w:rsidR="006B09ED" w:rsidRPr="00405CDE" w:rsidTr="00964B0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 change from previous week</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-12</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-14</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37</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1</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-4</w:t>
            </w:r>
          </w:p>
        </w:tc>
      </w:tr>
      <w:tr w:rsidR="006B09ED" w:rsidRPr="00405CDE" w:rsidTr="00964B0D">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15-16 financial YTD</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5.18</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5.21</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10.69</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75</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74</w:t>
            </w:r>
          </w:p>
        </w:tc>
      </w:tr>
      <w:tr w:rsidR="006B09ED" w:rsidRPr="00405CDE" w:rsidTr="00964B0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B09ED" w:rsidRDefault="006B09E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-24</w:t>
            </w:r>
          </w:p>
        </w:tc>
        <w:tc>
          <w:tcPr>
            <w:tcW w:w="68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0</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6B09ED" w:rsidRPr="00405CDE" w:rsidTr="005C25C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759"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price ($/GJ)</w:t>
            </w:r>
          </w:p>
        </w:tc>
        <w:tc>
          <w:tcPr>
            <w:tcW w:w="758"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Ex post price ($/GJ)</w:t>
            </w:r>
          </w:p>
        </w:tc>
        <w:tc>
          <w:tcPr>
            <w:tcW w:w="759"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MOS payments ($000)</w:t>
            </w:r>
          </w:p>
        </w:tc>
        <w:tc>
          <w:tcPr>
            <w:tcW w:w="68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ante quantity (TJ)</w:t>
            </w:r>
          </w:p>
        </w:tc>
        <w:tc>
          <w:tcPr>
            <w:tcW w:w="608"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Ex post quantity (TJ)</w:t>
            </w:r>
          </w:p>
        </w:tc>
      </w:tr>
      <w:tr w:rsidR="006B09ED" w:rsidRPr="00405CDE" w:rsidTr="005C25C5">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01 Nov - 07 Nov 2015</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2.71</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2.61</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1.27</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88</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86</w:t>
            </w:r>
          </w:p>
        </w:tc>
      </w:tr>
      <w:tr w:rsidR="006B09ED" w:rsidRPr="00405CDE" w:rsidTr="005C25C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 change from previous week</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-14</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-23</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15</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-1</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-4</w:t>
            </w:r>
          </w:p>
        </w:tc>
      </w:tr>
      <w:tr w:rsidR="006B09ED" w:rsidRPr="00405CDE" w:rsidTr="005C25C5">
        <w:trPr>
          <w:trHeight w:val="510"/>
        </w:trPr>
        <w:tc>
          <w:tcPr>
            <w:tcW w:w="1430" w:type="pct"/>
            <w:tcBorders>
              <w:top w:val="nil"/>
              <w:bottom w:val="nil"/>
            </w:tcBorders>
            <w:vAlign w:val="center"/>
          </w:tcPr>
          <w:p w:rsidR="006B09ED" w:rsidRDefault="006B09ED">
            <w:pPr>
              <w:rPr>
                <w:rFonts w:cs="Arial"/>
                <w:sz w:val="20"/>
                <w:szCs w:val="20"/>
              </w:rPr>
            </w:pPr>
            <w:r>
              <w:rPr>
                <w:rFonts w:cs="Arial"/>
                <w:sz w:val="20"/>
                <w:szCs w:val="20"/>
              </w:rPr>
              <w:t>15-16 financial YTD</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3.86</w:t>
            </w:r>
          </w:p>
        </w:tc>
        <w:tc>
          <w:tcPr>
            <w:tcW w:w="758" w:type="pct"/>
            <w:tcBorders>
              <w:top w:val="nil"/>
              <w:bottom w:val="nil"/>
            </w:tcBorders>
            <w:vAlign w:val="center"/>
          </w:tcPr>
          <w:p w:rsidR="006B09ED" w:rsidRDefault="006B09ED">
            <w:pPr>
              <w:jc w:val="center"/>
              <w:rPr>
                <w:rFonts w:cs="Arial"/>
                <w:sz w:val="20"/>
                <w:szCs w:val="20"/>
              </w:rPr>
            </w:pPr>
            <w:r>
              <w:rPr>
                <w:rFonts w:cs="Arial"/>
                <w:sz w:val="20"/>
                <w:szCs w:val="20"/>
              </w:rPr>
              <w:t>3.81</w:t>
            </w:r>
          </w:p>
        </w:tc>
        <w:tc>
          <w:tcPr>
            <w:tcW w:w="759" w:type="pct"/>
            <w:tcBorders>
              <w:top w:val="nil"/>
              <w:bottom w:val="nil"/>
            </w:tcBorders>
            <w:vAlign w:val="center"/>
          </w:tcPr>
          <w:p w:rsidR="006B09ED" w:rsidRDefault="006B09ED">
            <w:pPr>
              <w:jc w:val="center"/>
              <w:rPr>
                <w:rFonts w:cs="Arial"/>
                <w:sz w:val="20"/>
                <w:szCs w:val="20"/>
              </w:rPr>
            </w:pPr>
            <w:r>
              <w:rPr>
                <w:rFonts w:cs="Arial"/>
                <w:sz w:val="20"/>
                <w:szCs w:val="20"/>
              </w:rPr>
              <w:t>1.36</w:t>
            </w:r>
          </w:p>
        </w:tc>
        <w:tc>
          <w:tcPr>
            <w:tcW w:w="685" w:type="pct"/>
            <w:tcBorders>
              <w:top w:val="nil"/>
              <w:bottom w:val="nil"/>
            </w:tcBorders>
            <w:vAlign w:val="center"/>
          </w:tcPr>
          <w:p w:rsidR="006B09ED" w:rsidRDefault="006B09ED">
            <w:pPr>
              <w:jc w:val="center"/>
              <w:rPr>
                <w:rFonts w:cs="Arial"/>
                <w:sz w:val="20"/>
                <w:szCs w:val="20"/>
              </w:rPr>
            </w:pPr>
            <w:r>
              <w:rPr>
                <w:rFonts w:cs="Arial"/>
                <w:sz w:val="20"/>
                <w:szCs w:val="20"/>
              </w:rPr>
              <w:t>93</w:t>
            </w:r>
          </w:p>
        </w:tc>
        <w:tc>
          <w:tcPr>
            <w:tcW w:w="608" w:type="pct"/>
            <w:tcBorders>
              <w:top w:val="nil"/>
              <w:bottom w:val="nil"/>
            </w:tcBorders>
            <w:vAlign w:val="center"/>
          </w:tcPr>
          <w:p w:rsidR="006B09ED" w:rsidRDefault="006B09ED">
            <w:pPr>
              <w:jc w:val="center"/>
              <w:rPr>
                <w:rFonts w:cs="Arial"/>
                <w:sz w:val="20"/>
                <w:szCs w:val="20"/>
              </w:rPr>
            </w:pPr>
            <w:r>
              <w:rPr>
                <w:rFonts w:cs="Arial"/>
                <w:sz w:val="20"/>
                <w:szCs w:val="20"/>
              </w:rPr>
              <w:t>92</w:t>
            </w:r>
          </w:p>
        </w:tc>
      </w:tr>
      <w:tr w:rsidR="006B09ED" w:rsidRPr="00405CDE" w:rsidTr="005C25C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B09ED" w:rsidRDefault="006B09E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86</w:t>
            </w:r>
          </w:p>
        </w:tc>
        <w:tc>
          <w:tcPr>
            <w:tcW w:w="75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111</w:t>
            </w:r>
          </w:p>
        </w:tc>
        <w:tc>
          <w:tcPr>
            <w:tcW w:w="759"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21</w:t>
            </w:r>
          </w:p>
        </w:tc>
        <w:tc>
          <w:tcPr>
            <w:tcW w:w="68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A608B9" w:rsidP="004420C4">
      <w:pPr>
        <w:pStyle w:val="Heading1"/>
        <w:numPr>
          <w:ilvl w:val="0"/>
          <w:numId w:val="0"/>
        </w:numPr>
        <w:spacing w:before="120" w:after="0"/>
        <w:ind w:left="142"/>
        <w:rPr>
          <w:color w:val="FFFFFF"/>
          <w:sz w:val="36"/>
        </w:rPr>
      </w:pPr>
      <w:r>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FF0EDD" w:rsidP="004420C4">
      <w:pPr>
        <w:pStyle w:val="Heading2"/>
        <w:numPr>
          <w:ilvl w:val="0"/>
          <w:numId w:val="0"/>
        </w:numPr>
        <w:rPr>
          <w:i w:val="0"/>
        </w:rPr>
      </w:pPr>
      <w:r>
        <w:rPr>
          <w:i w:val="0"/>
          <w:sz w:val="36"/>
          <w:szCs w:val="36"/>
        </w:rPr>
        <w:t>1 – 7 November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A608B9"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35pt;height:137.3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A608B9" w:rsidP="00362B9A">
      <w:r>
        <w:pict>
          <v:shape id="_x0000_i1026" type="#_x0000_t75" alt="Figure 1.2 shows the demand forecast used to calculate the five daily schedule prices for this week. For a more detailed description of this figure, please refer to the user guide." style="width:476.35pt;height:177.5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A608B9" w:rsidP="00362B9A">
      <w:r>
        <w:pict>
          <v:shape id="_x0000_i1027" type="#_x0000_t75" alt="Figure 1.3 shows the injection bids within certain price bands for each trading interval in Victoria this week. For a more detailed description of this figure, please refer to the user guide.    &#10;" style="width:475.55pt;height:205.9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A608B9" w:rsidP="00362B9A">
      <w:r>
        <w:pict>
          <v:shape id="_x0000_i1028" type="#_x0000_t75" alt="Figure 1.4 shows the withdrawal bids within certain price bands for each trading interval in Victoria this week. For a more detailed description of this figure, please refer to the user guide.    &#10;    &#10;" style="width:476.35pt;height:162.4pt;mso-position-vertical:absolute">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A608B9" w:rsidP="00BC18FB">
      <w:r>
        <w:pict>
          <v:shape id="_x0000_i1029" type="#_x0000_t75" alt="Figure 1.5 shows the metered injections sorted by facility for each 4 hour interval in Victoria this week. For a more detailed description of this figure, please refer to the user guide.        &#10;" style="width:476.35pt;height:1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6B09ED" w:rsidRPr="00405CDE" w:rsidTr="000B629A">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597"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Sun</w:t>
            </w:r>
          </w:p>
        </w:tc>
        <w:tc>
          <w:tcPr>
            <w:tcW w:w="523"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Mon</w:t>
            </w:r>
          </w:p>
        </w:tc>
        <w:tc>
          <w:tcPr>
            <w:tcW w:w="606"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Tue</w:t>
            </w:r>
          </w:p>
        </w:tc>
        <w:tc>
          <w:tcPr>
            <w:tcW w:w="532"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Wed</w:t>
            </w:r>
          </w:p>
        </w:tc>
        <w:tc>
          <w:tcPr>
            <w:tcW w:w="525"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Thu</w:t>
            </w:r>
          </w:p>
        </w:tc>
        <w:tc>
          <w:tcPr>
            <w:tcW w:w="522"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Fri</w:t>
            </w:r>
          </w:p>
        </w:tc>
        <w:tc>
          <w:tcPr>
            <w:tcW w:w="59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Sat</w:t>
            </w:r>
          </w:p>
        </w:tc>
      </w:tr>
      <w:tr w:rsidR="006B09ED" w:rsidRPr="00405CDE" w:rsidTr="00F114D5">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3.91</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4.22</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4.19</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3.50</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4.01</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4.05</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3.50</w:t>
            </w:r>
          </w:p>
        </w:tc>
      </w:tr>
      <w:tr w:rsidR="006B09E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quantity (TJ)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173</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206</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215</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221</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214</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198</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176</w:t>
            </w:r>
          </w:p>
        </w:tc>
      </w:tr>
      <w:tr w:rsidR="006B09ED" w:rsidRPr="00405CDE" w:rsidTr="00F114D5">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post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3.91</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4.00</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4.03</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3.50</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4.01</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4.70</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4.01</w:t>
            </w:r>
          </w:p>
        </w:tc>
      </w:tr>
      <w:tr w:rsidR="006B09ED"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B09ED" w:rsidRDefault="006B09E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172</w:t>
            </w:r>
          </w:p>
        </w:tc>
        <w:tc>
          <w:tcPr>
            <w:tcW w:w="523"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199</w:t>
            </w:r>
          </w:p>
        </w:tc>
        <w:tc>
          <w:tcPr>
            <w:tcW w:w="606"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211</w:t>
            </w:r>
          </w:p>
        </w:tc>
        <w:tc>
          <w:tcPr>
            <w:tcW w:w="53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220</w:t>
            </w:r>
          </w:p>
        </w:tc>
        <w:tc>
          <w:tcPr>
            <w:tcW w:w="52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214</w:t>
            </w:r>
          </w:p>
        </w:tc>
        <w:tc>
          <w:tcPr>
            <w:tcW w:w="52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203</w:t>
            </w:r>
          </w:p>
        </w:tc>
        <w:tc>
          <w:tcPr>
            <w:tcW w:w="59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180</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A608B9"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55pt;height:169.9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A608B9" w:rsidP="00362B9A">
      <w:r>
        <w:pict>
          <v:shape id="_x0000_i1031" type="#_x0000_t75" alt="Figure 2.3 shows the daily scheduled and allocated quantities sorted by facility for Sydney this week. For a more detailed description of this figure, please refer to the user guide." style="width:478.05pt;height:212.65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A608B9"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10;" style="width:475.55pt;height:180pt">
            <v:imagedata r:id="rId21" o:title=""/>
          </v:shape>
        </w:pict>
      </w:r>
    </w:p>
    <w:p w:rsidR="00BC18FB" w:rsidRDefault="00BC18FB" w:rsidP="00BC18FB">
      <w:pPr>
        <w:pStyle w:val="Heading3"/>
        <w:ind w:firstLine="0"/>
        <w:rPr>
          <w:color w:val="2272A3"/>
          <w:sz w:val="32"/>
          <w:szCs w:val="32"/>
        </w:rPr>
      </w:pPr>
      <w:r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6B09ED" w:rsidRPr="00405CDE" w:rsidTr="001C4556">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597"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Sun</w:t>
            </w:r>
          </w:p>
        </w:tc>
        <w:tc>
          <w:tcPr>
            <w:tcW w:w="523"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Mon</w:t>
            </w:r>
          </w:p>
        </w:tc>
        <w:tc>
          <w:tcPr>
            <w:tcW w:w="606"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Tue</w:t>
            </w:r>
          </w:p>
        </w:tc>
        <w:tc>
          <w:tcPr>
            <w:tcW w:w="532"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Wed</w:t>
            </w:r>
          </w:p>
        </w:tc>
        <w:tc>
          <w:tcPr>
            <w:tcW w:w="525"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Thu</w:t>
            </w:r>
          </w:p>
        </w:tc>
        <w:tc>
          <w:tcPr>
            <w:tcW w:w="522"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Fri</w:t>
            </w:r>
          </w:p>
        </w:tc>
        <w:tc>
          <w:tcPr>
            <w:tcW w:w="59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Sat</w:t>
            </w:r>
          </w:p>
        </w:tc>
      </w:tr>
      <w:tr w:rsidR="006B09ED" w:rsidRPr="00405CDE" w:rsidTr="006C5082">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4.19</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4.26</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3.91</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3.88</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3.81</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3.52</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3.23</w:t>
            </w:r>
          </w:p>
        </w:tc>
      </w:tr>
      <w:tr w:rsidR="006B09E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quantity (TJ)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45</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60</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56</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54</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55</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51</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40</w:t>
            </w:r>
          </w:p>
        </w:tc>
      </w:tr>
      <w:tr w:rsidR="006B09ED" w:rsidRPr="00405CDE" w:rsidTr="006C5082">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post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4.17</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4.26</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3.89</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3.99</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3.88</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4.05</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3.49</w:t>
            </w:r>
          </w:p>
        </w:tc>
      </w:tr>
      <w:tr w:rsidR="006B09E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B09ED" w:rsidRDefault="006B09E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44</w:t>
            </w:r>
          </w:p>
        </w:tc>
        <w:tc>
          <w:tcPr>
            <w:tcW w:w="523"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57</w:t>
            </w:r>
          </w:p>
        </w:tc>
        <w:tc>
          <w:tcPr>
            <w:tcW w:w="606"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52</w:t>
            </w:r>
          </w:p>
        </w:tc>
        <w:tc>
          <w:tcPr>
            <w:tcW w:w="53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62</w:t>
            </w:r>
          </w:p>
        </w:tc>
        <w:tc>
          <w:tcPr>
            <w:tcW w:w="52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63</w:t>
            </w:r>
          </w:p>
        </w:tc>
        <w:tc>
          <w:tcPr>
            <w:tcW w:w="52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62</w:t>
            </w:r>
          </w:p>
        </w:tc>
        <w:tc>
          <w:tcPr>
            <w:tcW w:w="59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45</w:t>
            </w:r>
          </w:p>
        </w:tc>
      </w:tr>
    </w:tbl>
    <w:p w:rsidR="00BC18FB" w:rsidRPr="00DD0358" w:rsidRDefault="003625A6" w:rsidP="00FF0D8A">
      <w:pPr>
        <w:pStyle w:val="Heading4"/>
        <w:ind w:hanging="338"/>
        <w:rPr>
          <w:color w:val="2272A3"/>
          <w:sz w:val="24"/>
        </w:rPr>
      </w:pPr>
      <w:r w:rsidRPr="00DD0358">
        <w:rPr>
          <w:color w:val="2272A3"/>
          <w:sz w:val="24"/>
          <w:szCs w:val="24"/>
        </w:rPr>
        <w:lastRenderedPageBreak/>
        <w:t>ADL daily hub offers and daily hub bids in price bands ($/GJ)</w:t>
      </w:r>
    </w:p>
    <w:p w:rsidR="00362B9A" w:rsidRPr="00362B9A" w:rsidRDefault="00A608B9"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5pt;height:169.9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A608B9" w:rsidP="00362B9A">
      <w:r>
        <w:pict>
          <v:shape id="_x0000_i1034" type="#_x0000_t75" alt="Figure 3.3 shows the daily scheduled and allocated quantities sorted by facility for Adelaide this week. For a more detailed description of this figure, please refer to the user guide." style="width:477.2pt;height:105.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A608B9"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10;" style="width:476.35pt;height:149.85pt">
            <v:imagedata r:id="rId24" o:title=""/>
          </v:shape>
        </w:pict>
      </w:r>
    </w:p>
    <w:p w:rsidR="00BC18FB" w:rsidRDefault="00BC18FB" w:rsidP="003625A6">
      <w:pPr>
        <w:pStyle w:val="Heading3"/>
        <w:ind w:firstLine="0"/>
        <w:rPr>
          <w:color w:val="2272A3"/>
          <w:sz w:val="32"/>
          <w:szCs w:val="32"/>
        </w:rPr>
      </w:pPr>
      <w:r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6B09ED" w:rsidRPr="00405CDE" w:rsidTr="003405C8">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vAlign w:val="center"/>
            <w:hideMark/>
          </w:tcPr>
          <w:p w:rsidR="006B09ED" w:rsidRDefault="006B09ED">
            <w:pPr>
              <w:rPr>
                <w:rFonts w:cs="Arial"/>
                <w:bCs/>
                <w:sz w:val="20"/>
                <w:szCs w:val="20"/>
              </w:rPr>
            </w:pPr>
            <w:r>
              <w:rPr>
                <w:rFonts w:cs="Arial"/>
                <w:b w:val="0"/>
                <w:bCs/>
                <w:sz w:val="20"/>
                <w:szCs w:val="20"/>
              </w:rPr>
              <w:t> </w:t>
            </w:r>
          </w:p>
        </w:tc>
        <w:tc>
          <w:tcPr>
            <w:tcW w:w="597"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Sun</w:t>
            </w:r>
          </w:p>
        </w:tc>
        <w:tc>
          <w:tcPr>
            <w:tcW w:w="523"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Mon</w:t>
            </w:r>
          </w:p>
        </w:tc>
        <w:tc>
          <w:tcPr>
            <w:tcW w:w="606"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Tue</w:t>
            </w:r>
          </w:p>
        </w:tc>
        <w:tc>
          <w:tcPr>
            <w:tcW w:w="532"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Wed</w:t>
            </w:r>
          </w:p>
        </w:tc>
        <w:tc>
          <w:tcPr>
            <w:tcW w:w="525" w:type="pct"/>
            <w:tcBorders>
              <w:bottom w:val="nil"/>
            </w:tcBorders>
            <w:vAlign w:val="center"/>
          </w:tcPr>
          <w:p w:rsidR="006B09ED" w:rsidRPr="006B09ED" w:rsidRDefault="006B09ED">
            <w:pPr>
              <w:jc w:val="center"/>
              <w:rPr>
                <w:rFonts w:cs="Arial"/>
                <w:bCs/>
                <w:sz w:val="20"/>
                <w:szCs w:val="20"/>
              </w:rPr>
            </w:pPr>
            <w:r w:rsidRPr="006B09ED">
              <w:rPr>
                <w:rFonts w:cs="Arial"/>
                <w:bCs/>
                <w:sz w:val="20"/>
                <w:szCs w:val="20"/>
              </w:rPr>
              <w:t>Thu</w:t>
            </w:r>
          </w:p>
        </w:tc>
        <w:tc>
          <w:tcPr>
            <w:tcW w:w="522"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Fri</w:t>
            </w:r>
          </w:p>
        </w:tc>
        <w:tc>
          <w:tcPr>
            <w:tcW w:w="595" w:type="pct"/>
            <w:tcBorders>
              <w:bottom w:val="nil"/>
            </w:tcBorders>
            <w:vAlign w:val="center"/>
            <w:hideMark/>
          </w:tcPr>
          <w:p w:rsidR="006B09ED" w:rsidRPr="006B09ED" w:rsidRDefault="006B09ED">
            <w:pPr>
              <w:jc w:val="center"/>
              <w:rPr>
                <w:rFonts w:cs="Arial"/>
                <w:bCs/>
                <w:sz w:val="20"/>
                <w:szCs w:val="20"/>
              </w:rPr>
            </w:pPr>
            <w:r w:rsidRPr="006B09ED">
              <w:rPr>
                <w:rFonts w:cs="Arial"/>
                <w:bCs/>
                <w:sz w:val="20"/>
                <w:szCs w:val="20"/>
              </w:rPr>
              <w:t>Sat</w:t>
            </w:r>
          </w:p>
        </w:tc>
      </w:tr>
      <w:tr w:rsidR="006B09ED" w:rsidRPr="00405CDE" w:rsidTr="006C5082">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2.61</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3.21</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3.45</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2.54</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2.79</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2.23</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2.10</w:t>
            </w:r>
          </w:p>
        </w:tc>
      </w:tr>
      <w:tr w:rsidR="006B09E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ante quantity (TJ)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77</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95</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94</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94</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94</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88</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75</w:t>
            </w:r>
          </w:p>
        </w:tc>
      </w:tr>
      <w:tr w:rsidR="006B09ED" w:rsidRPr="00405CDE" w:rsidTr="006C5082">
        <w:trPr>
          <w:trHeight w:val="510"/>
        </w:trPr>
        <w:tc>
          <w:tcPr>
            <w:tcW w:w="1100" w:type="pct"/>
            <w:tcBorders>
              <w:top w:val="nil"/>
              <w:bottom w:val="nil"/>
            </w:tcBorders>
            <w:vAlign w:val="center"/>
          </w:tcPr>
          <w:p w:rsidR="006B09ED" w:rsidRDefault="006B09ED">
            <w:pPr>
              <w:rPr>
                <w:rFonts w:cs="Arial"/>
                <w:sz w:val="20"/>
                <w:szCs w:val="20"/>
              </w:rPr>
            </w:pPr>
            <w:r>
              <w:rPr>
                <w:rFonts w:cs="Arial"/>
                <w:sz w:val="20"/>
                <w:szCs w:val="20"/>
              </w:rPr>
              <w:t>Ex post price ($/GJ)</w:t>
            </w:r>
          </w:p>
        </w:tc>
        <w:tc>
          <w:tcPr>
            <w:tcW w:w="597" w:type="pct"/>
            <w:tcBorders>
              <w:top w:val="nil"/>
              <w:bottom w:val="nil"/>
            </w:tcBorders>
            <w:vAlign w:val="center"/>
          </w:tcPr>
          <w:p w:rsidR="006B09ED" w:rsidRDefault="006B09ED">
            <w:pPr>
              <w:jc w:val="center"/>
              <w:rPr>
                <w:rFonts w:cs="Arial"/>
                <w:sz w:val="20"/>
                <w:szCs w:val="20"/>
              </w:rPr>
            </w:pPr>
            <w:r>
              <w:rPr>
                <w:rFonts w:cs="Arial"/>
                <w:sz w:val="20"/>
                <w:szCs w:val="20"/>
              </w:rPr>
              <w:t>2.61</w:t>
            </w:r>
          </w:p>
        </w:tc>
        <w:tc>
          <w:tcPr>
            <w:tcW w:w="523" w:type="pct"/>
            <w:tcBorders>
              <w:top w:val="nil"/>
              <w:bottom w:val="nil"/>
            </w:tcBorders>
            <w:vAlign w:val="center"/>
          </w:tcPr>
          <w:p w:rsidR="006B09ED" w:rsidRDefault="006B09ED">
            <w:pPr>
              <w:jc w:val="center"/>
              <w:rPr>
                <w:rFonts w:cs="Arial"/>
                <w:sz w:val="20"/>
                <w:szCs w:val="20"/>
              </w:rPr>
            </w:pPr>
            <w:r>
              <w:rPr>
                <w:rFonts w:cs="Arial"/>
                <w:sz w:val="20"/>
                <w:szCs w:val="20"/>
              </w:rPr>
              <w:t>3.21</w:t>
            </w:r>
          </w:p>
        </w:tc>
        <w:tc>
          <w:tcPr>
            <w:tcW w:w="606" w:type="pct"/>
            <w:tcBorders>
              <w:top w:val="nil"/>
              <w:bottom w:val="nil"/>
            </w:tcBorders>
            <w:vAlign w:val="center"/>
          </w:tcPr>
          <w:p w:rsidR="006B09ED" w:rsidRDefault="006B09ED">
            <w:pPr>
              <w:jc w:val="center"/>
              <w:rPr>
                <w:rFonts w:cs="Arial"/>
                <w:sz w:val="20"/>
                <w:szCs w:val="20"/>
              </w:rPr>
            </w:pPr>
            <w:r>
              <w:rPr>
                <w:rFonts w:cs="Arial"/>
                <w:sz w:val="20"/>
                <w:szCs w:val="20"/>
              </w:rPr>
              <w:t>3.49</w:t>
            </w:r>
          </w:p>
        </w:tc>
        <w:tc>
          <w:tcPr>
            <w:tcW w:w="532" w:type="pct"/>
            <w:tcBorders>
              <w:top w:val="nil"/>
              <w:bottom w:val="nil"/>
            </w:tcBorders>
            <w:vAlign w:val="center"/>
          </w:tcPr>
          <w:p w:rsidR="006B09ED" w:rsidRDefault="006B09ED">
            <w:pPr>
              <w:jc w:val="center"/>
              <w:rPr>
                <w:rFonts w:cs="Arial"/>
                <w:sz w:val="20"/>
                <w:szCs w:val="20"/>
              </w:rPr>
            </w:pPr>
            <w:r>
              <w:rPr>
                <w:rFonts w:cs="Arial"/>
                <w:sz w:val="20"/>
                <w:szCs w:val="20"/>
              </w:rPr>
              <w:t>2.40</w:t>
            </w:r>
          </w:p>
        </w:tc>
        <w:tc>
          <w:tcPr>
            <w:tcW w:w="525" w:type="pct"/>
            <w:tcBorders>
              <w:top w:val="nil"/>
              <w:bottom w:val="nil"/>
            </w:tcBorders>
            <w:vAlign w:val="center"/>
          </w:tcPr>
          <w:p w:rsidR="006B09ED" w:rsidRDefault="006B09ED">
            <w:pPr>
              <w:jc w:val="center"/>
              <w:rPr>
                <w:rFonts w:cs="Arial"/>
                <w:sz w:val="20"/>
                <w:szCs w:val="20"/>
              </w:rPr>
            </w:pPr>
            <w:r>
              <w:rPr>
                <w:rFonts w:cs="Arial"/>
                <w:sz w:val="20"/>
                <w:szCs w:val="20"/>
              </w:rPr>
              <w:t>2.20</w:t>
            </w:r>
          </w:p>
        </w:tc>
        <w:tc>
          <w:tcPr>
            <w:tcW w:w="522" w:type="pct"/>
            <w:tcBorders>
              <w:top w:val="nil"/>
              <w:bottom w:val="nil"/>
            </w:tcBorders>
            <w:vAlign w:val="center"/>
          </w:tcPr>
          <w:p w:rsidR="006B09ED" w:rsidRDefault="006B09ED">
            <w:pPr>
              <w:jc w:val="center"/>
              <w:rPr>
                <w:rFonts w:cs="Arial"/>
                <w:sz w:val="20"/>
                <w:szCs w:val="20"/>
              </w:rPr>
            </w:pPr>
            <w:r>
              <w:rPr>
                <w:rFonts w:cs="Arial"/>
                <w:sz w:val="20"/>
                <w:szCs w:val="20"/>
              </w:rPr>
              <w:t>2.23</w:t>
            </w:r>
          </w:p>
        </w:tc>
        <w:tc>
          <w:tcPr>
            <w:tcW w:w="595" w:type="pct"/>
            <w:tcBorders>
              <w:top w:val="nil"/>
              <w:bottom w:val="nil"/>
            </w:tcBorders>
            <w:vAlign w:val="center"/>
          </w:tcPr>
          <w:p w:rsidR="006B09ED" w:rsidRDefault="006B09ED">
            <w:pPr>
              <w:jc w:val="center"/>
              <w:rPr>
                <w:rFonts w:cs="Arial"/>
                <w:sz w:val="20"/>
                <w:szCs w:val="20"/>
              </w:rPr>
            </w:pPr>
            <w:r>
              <w:rPr>
                <w:rFonts w:cs="Arial"/>
                <w:sz w:val="20"/>
                <w:szCs w:val="20"/>
              </w:rPr>
              <w:t>2.10</w:t>
            </w:r>
          </w:p>
        </w:tc>
      </w:tr>
      <w:tr w:rsidR="006B09ED"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B09ED" w:rsidRDefault="006B09ED">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78</w:t>
            </w:r>
          </w:p>
        </w:tc>
        <w:tc>
          <w:tcPr>
            <w:tcW w:w="523"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94</w:t>
            </w:r>
          </w:p>
        </w:tc>
        <w:tc>
          <w:tcPr>
            <w:tcW w:w="606"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94</w:t>
            </w:r>
          </w:p>
        </w:tc>
        <w:tc>
          <w:tcPr>
            <w:tcW w:w="53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92</w:t>
            </w:r>
          </w:p>
        </w:tc>
        <w:tc>
          <w:tcPr>
            <w:tcW w:w="52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86</w:t>
            </w:r>
          </w:p>
        </w:tc>
        <w:tc>
          <w:tcPr>
            <w:tcW w:w="522"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86</w:t>
            </w:r>
          </w:p>
        </w:tc>
        <w:tc>
          <w:tcPr>
            <w:tcW w:w="595" w:type="pct"/>
            <w:tcBorders>
              <w:top w:val="nil"/>
              <w:bottom w:val="single" w:sz="4" w:space="0" w:color="auto"/>
            </w:tcBorders>
            <w:vAlign w:val="center"/>
          </w:tcPr>
          <w:p w:rsidR="006B09ED" w:rsidRDefault="006B09ED">
            <w:pPr>
              <w:jc w:val="center"/>
              <w:rPr>
                <w:rFonts w:cs="Arial"/>
                <w:sz w:val="20"/>
                <w:szCs w:val="20"/>
              </w:rPr>
            </w:pPr>
            <w:r>
              <w:rPr>
                <w:rFonts w:cs="Arial"/>
                <w:sz w:val="20"/>
                <w:szCs w:val="20"/>
              </w:rPr>
              <w:t>74</w:t>
            </w:r>
          </w:p>
        </w:tc>
      </w:tr>
    </w:tbl>
    <w:p w:rsidR="00BC18FB" w:rsidRPr="00DD0358" w:rsidRDefault="003625A6" w:rsidP="00FF0D8A">
      <w:pPr>
        <w:pStyle w:val="Heading4"/>
        <w:ind w:hanging="338"/>
        <w:rPr>
          <w:color w:val="2272A3"/>
          <w:sz w:val="24"/>
        </w:rPr>
      </w:pPr>
      <w:r w:rsidRPr="00DD0358">
        <w:rPr>
          <w:color w:val="2272A3"/>
          <w:sz w:val="24"/>
          <w:szCs w:val="24"/>
        </w:rPr>
        <w:lastRenderedPageBreak/>
        <w:t>BRI daily hub offers and daily hub bids in price bands ($/GJ)</w:t>
      </w:r>
    </w:p>
    <w:p w:rsidR="00362B9A" w:rsidRPr="00362B9A" w:rsidRDefault="00A608B9"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5pt;height:171.65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A608B9" w:rsidP="00362B9A">
      <w:r>
        <w:pict>
          <v:shape id="_x0000_i1037" type="#_x0000_t75" alt="Figure 4.3 shows the daily scheduled and allocated quantities sorted by facility for Brisbane this week. For a more detailed description of this figure, please refer to the user guide.&#10;" style="width:478.05pt;height:98.8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A608B9"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10;" style="width:475.55pt;height:156.5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A608B9"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10;" style="width:376.75pt;height:548.35pt">
            <v:imagedata r:id="rId28" o:title="" croptop="232f" cropleft="336f"/>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201C41" w:rsidRDefault="00016BDF" w:rsidP="00345444">
      <w:pPr>
        <w:jc w:val="both"/>
        <w:rPr>
          <w:rFonts w:eastAsia="MS Mincho"/>
        </w:rPr>
      </w:pPr>
      <w:r w:rsidRPr="00201C41">
        <w:rPr>
          <w:rFonts w:eastAsia="MS Mincho"/>
        </w:rPr>
        <w:t xml:space="preserve">There were 13 trades for a total of 158 TJ over the week, at a volume weighted average price of $2.65/GJ. The RBP had seven of the trades, </w:t>
      </w:r>
      <w:r w:rsidR="00201C41" w:rsidRPr="00201C41">
        <w:rPr>
          <w:rFonts w:eastAsia="MS Mincho"/>
        </w:rPr>
        <w:t xml:space="preserve">comprising </w:t>
      </w:r>
      <w:r w:rsidRPr="00201C41">
        <w:rPr>
          <w:rFonts w:eastAsia="MS Mincho"/>
        </w:rPr>
        <w:t xml:space="preserve">daily </w:t>
      </w:r>
      <w:r w:rsidR="00201C41" w:rsidRPr="00201C41">
        <w:rPr>
          <w:rFonts w:eastAsia="MS Mincho"/>
        </w:rPr>
        <w:t>and</w:t>
      </w:r>
      <w:r w:rsidRPr="00201C41">
        <w:rPr>
          <w:rFonts w:eastAsia="MS Mincho"/>
        </w:rPr>
        <w:t xml:space="preserve"> day ahead products. The six trades were on the SWQP </w:t>
      </w:r>
      <w:r w:rsidR="00201C41" w:rsidRPr="00201C41">
        <w:rPr>
          <w:rFonts w:eastAsia="MS Mincho"/>
        </w:rPr>
        <w:t>comprised</w:t>
      </w:r>
      <w:r w:rsidRPr="00201C41">
        <w:rPr>
          <w:rFonts w:eastAsia="MS Mincho"/>
        </w:rPr>
        <w:t xml:space="preserve"> balance of day, daily, or day ahead products. </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A608B9"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10;" style="width:475.55pt;height:202.6pt">
            <v:imagedata r:id="rId29" o:title=""/>
          </v:shape>
        </w:pict>
      </w:r>
      <w:r w:rsidR="00E37A86" w:rsidRPr="006520EE">
        <w:t xml:space="preserve"> </w:t>
      </w:r>
    </w:p>
    <w:sectPr w:rsidR="009E74E3" w:rsidRPr="006520EE" w:rsidSect="004E7CF5">
      <w:footerReference w:type="default" r:id="rId30"/>
      <w:footerReference w:type="first" r:id="rId31"/>
      <w:pgSz w:w="11907" w:h="16840" w:code="9"/>
      <w:pgMar w:top="539" w:right="1021" w:bottom="284"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A608B9">
      <w:rPr>
        <w:noProof/>
      </w:rPr>
      <w:t>10</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A608B9">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w:t>
    </w:r>
    <w:r w:rsidRPr="001D3AED">
      <w:rPr>
        <w:rFonts w:cs="Arial"/>
        <w:i/>
      </w:rPr>
      <w:t>– D15/</w:t>
    </w:r>
    <w:r w:rsidR="001D3AED" w:rsidRPr="001D3AED">
      <w:rPr>
        <w:rFonts w:cs="Arial"/>
        <w:i/>
      </w:rPr>
      <w:t>175079</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5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480\D15 175079  20151101 - 20151107 gas weekly report.DOCX"/>
  </w:docVars>
  <w:rsids>
    <w:rsidRoot w:val="005F18AD"/>
    <w:rsid w:val="000013C1"/>
    <w:rsid w:val="00001BFB"/>
    <w:rsid w:val="00002313"/>
    <w:rsid w:val="00004A63"/>
    <w:rsid w:val="00010025"/>
    <w:rsid w:val="000123CA"/>
    <w:rsid w:val="00016BDF"/>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D3AED"/>
    <w:rsid w:val="001E79FF"/>
    <w:rsid w:val="001F0F9B"/>
    <w:rsid w:val="00201C41"/>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0E4F"/>
    <w:rsid w:val="004B18D8"/>
    <w:rsid w:val="004B2256"/>
    <w:rsid w:val="004B2A1A"/>
    <w:rsid w:val="004B6D60"/>
    <w:rsid w:val="004D09C9"/>
    <w:rsid w:val="004D1EBF"/>
    <w:rsid w:val="004D3B99"/>
    <w:rsid w:val="004D3E78"/>
    <w:rsid w:val="004E20BF"/>
    <w:rsid w:val="004E7CF5"/>
    <w:rsid w:val="004F19C5"/>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B09ED"/>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066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08B9"/>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57D3D"/>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D7A42"/>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9B2"/>
    <w:rsid w:val="00DA3AAA"/>
    <w:rsid w:val="00DB0182"/>
    <w:rsid w:val="00DB12E4"/>
    <w:rsid w:val="00DB3B79"/>
    <w:rsid w:val="00DB3D7F"/>
    <w:rsid w:val="00DB5A3A"/>
    <w:rsid w:val="00DC0A52"/>
    <w:rsid w:val="00DC12FF"/>
    <w:rsid w:val="00DC154F"/>
    <w:rsid w:val="00DC158D"/>
    <w:rsid w:val="00DC5B29"/>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39CE"/>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F0D8A"/>
    <w:rsid w:val="00FF0EDD"/>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C70BB-AE10-4C4C-8F8C-C0EF6ADF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EE5435CD</Template>
  <TotalTime>0</TotalTime>
  <Pages>10</Pages>
  <Words>1595</Words>
  <Characters>7428</Characters>
  <Application>Microsoft Office Word</Application>
  <DocSecurity>4</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9005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2015-11-23T00:23:00Z</dcterms:created>
  <dcterms:modified xsi:type="dcterms:W3CDTF">2015-11-23T00:23:00Z</dcterms:modified>
</cp:coreProperties>
</file>