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31" w:rsidRDefault="00EC22E9" w:rsidP="007C2D31">
      <w:pPr>
        <w:pStyle w:val="AERdraftfinalminortitle"/>
        <w:tabs>
          <w:tab w:val="left" w:pos="272"/>
          <w:tab w:val="center" w:pos="4156"/>
        </w:tabs>
        <w:jc w:val="left"/>
      </w:pPr>
      <w:bookmarkStart w:id="0" w:name="_Ref31889252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4.8pt;margin-top:-76.3pt;width:600.95pt;height:850pt;z-index:-251658752">
            <v:imagedata r:id="rId8" o:title="AER-final-orange"/>
            <o:lock v:ext="edit" aspectratio="f"/>
          </v:shape>
        </w:pict>
      </w:r>
      <w:r w:rsidR="00532FCA">
        <w:tab/>
      </w:r>
      <w:r w:rsidR="00532FCA">
        <w:tab/>
        <w:t>Final</w:t>
      </w:r>
      <w:r w:rsidR="007C2D31">
        <w:t xml:space="preserve"> Decision</w:t>
      </w:r>
    </w:p>
    <w:p w:rsidR="007C2D31" w:rsidRDefault="007C2D31" w:rsidP="007C2D31">
      <w:pPr>
        <w:pStyle w:val="Title"/>
      </w:pPr>
      <w:r w:rsidRPr="00AB693D">
        <w:t>SPI Electricity Pty Ltd</w:t>
      </w:r>
      <w:r w:rsidRPr="00AB693D">
        <w:br/>
      </w:r>
      <w:r>
        <w:br/>
        <w:t>2011–15 Distribution Determination</w:t>
      </w:r>
      <w:r>
        <w:br/>
      </w:r>
      <w:r>
        <w:br w:type="textWrapping" w:clear="all"/>
        <w:t>Insurance Pass Through Event</w:t>
      </w:r>
    </w:p>
    <w:p w:rsidR="007C2D31" w:rsidRPr="00685DE0" w:rsidRDefault="007C2D31" w:rsidP="007C2D31">
      <w:pPr>
        <w:pStyle w:val="Subtitle"/>
      </w:pPr>
      <w:r>
        <w:t>P</w:t>
      </w:r>
      <w:r w:rsidRPr="00685DE0">
        <w:t xml:space="preserve">ursuant to </w:t>
      </w:r>
      <w:r>
        <w:t xml:space="preserve">Orders of the </w:t>
      </w:r>
      <w:r w:rsidRPr="00685DE0">
        <w:t>Australian Competition Tribunal</w:t>
      </w:r>
      <w:r>
        <w:t xml:space="preserve"> in </w:t>
      </w:r>
      <w:r w:rsidRPr="007640B8">
        <w:rPr>
          <w:i/>
        </w:rPr>
        <w:t xml:space="preserve">Application by </w:t>
      </w:r>
      <w:r>
        <w:rPr>
          <w:i/>
        </w:rPr>
        <w:t xml:space="preserve">United Energy Distribution Pty Limited </w:t>
      </w:r>
      <w:r>
        <w:rPr>
          <w:i/>
        </w:rPr>
        <w:br/>
      </w:r>
      <w:r>
        <w:t>[2012] ACompT 8</w:t>
      </w:r>
    </w:p>
    <w:p w:rsidR="007C2D31" w:rsidRPr="00685DE0" w:rsidRDefault="007C2D31" w:rsidP="007C2D31">
      <w:pPr>
        <w:pStyle w:val="Subtitle"/>
      </w:pPr>
    </w:p>
    <w:p w:rsidR="007C2D31" w:rsidRDefault="004B3FD8" w:rsidP="007C2D31">
      <w:pPr>
        <w:pStyle w:val="Subtitle"/>
      </w:pPr>
      <w:r>
        <w:t>April</w:t>
      </w:r>
      <w:r w:rsidR="00532FCA">
        <w:t xml:space="preserve"> 2013</w:t>
      </w:r>
    </w:p>
    <w:p w:rsidR="007C2D31" w:rsidRDefault="007C2D31" w:rsidP="007C2D31">
      <w:pPr>
        <w:pStyle w:val="Subtitle"/>
        <w:rPr>
          <w:szCs w:val="28"/>
        </w:rPr>
      </w:pPr>
    </w:p>
    <w:p w:rsidR="007C2D31" w:rsidRDefault="007C2D31" w:rsidP="007C2D31">
      <w:pPr>
        <w:pStyle w:val="AERbodytext"/>
      </w:pPr>
    </w:p>
    <w:p w:rsidR="007C2D31" w:rsidRDefault="007C2D31" w:rsidP="007C2D31">
      <w:pPr>
        <w:pStyle w:val="AERbodytext"/>
        <w:sectPr w:rsidR="007C2D31">
          <w:footerReference w:type="even" r:id="rId9"/>
          <w:footerReference w:type="default" r:id="rId10"/>
          <w:pgSz w:w="11906" w:h="16838"/>
          <w:pgMar w:top="1440" w:right="1800" w:bottom="1440" w:left="1800" w:header="708" w:footer="708" w:gutter="0"/>
          <w:cols w:space="708"/>
          <w:titlePg/>
          <w:docGrid w:linePitch="360"/>
        </w:sectPr>
      </w:pPr>
    </w:p>
    <w:p w:rsidR="007C2D31" w:rsidRDefault="00532FCA" w:rsidP="007C2D31">
      <w:pPr>
        <w:pStyle w:val="AERcopyrighttext"/>
      </w:pPr>
      <w:r>
        <w:lastRenderedPageBreak/>
        <w:t>© Commonwealth of Australia 2013</w:t>
      </w:r>
      <w:r w:rsidR="007C2D31">
        <w:t xml:space="preserve"> </w:t>
      </w:r>
    </w:p>
    <w:p w:rsidR="007C2D31" w:rsidRPr="00A03737" w:rsidRDefault="007C2D31" w:rsidP="007C2D31">
      <w:pPr>
        <w:pStyle w:val="AERcopyrighttext"/>
      </w:pPr>
      <w:r w:rsidRPr="00A03737">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C2D31" w:rsidRPr="00A03737" w:rsidRDefault="007C2D31" w:rsidP="007C2D31">
      <w:pPr>
        <w:pStyle w:val="AERbodytext"/>
        <w:rPr>
          <w:rFonts w:ascii="Times New Roman" w:hAnsi="Times New Roman"/>
        </w:rPr>
      </w:pPr>
      <w:r w:rsidRPr="001B3EF9">
        <w:rPr>
          <w:rFonts w:ascii="Times New Roman" w:hAnsi="Times New Roman"/>
        </w:rPr>
        <w:t>Inquiries about this draft decision should be addressed to:</w:t>
      </w:r>
    </w:p>
    <w:p w:rsidR="007C2D31" w:rsidRDefault="007C2D31">
      <w:pPr>
        <w:pStyle w:val="AERbodytext"/>
        <w:jc w:val="left"/>
        <w:rPr>
          <w:rFonts w:ascii="Times New Roman" w:hAnsi="Times New Roman"/>
        </w:rPr>
      </w:pPr>
      <w:r w:rsidRPr="001B3EF9">
        <w:rPr>
          <w:rFonts w:ascii="Times New Roman" w:hAnsi="Times New Roman"/>
        </w:rPr>
        <w:t>Australian Energy Regulator</w:t>
      </w:r>
      <w:r w:rsidRPr="001B3EF9">
        <w:rPr>
          <w:rFonts w:ascii="Times New Roman" w:hAnsi="Times New Roman"/>
        </w:rPr>
        <w:br w:type="textWrapping" w:clear="all"/>
        <w:t>GPO Box 520</w:t>
      </w:r>
      <w:r w:rsidRPr="001B3EF9">
        <w:rPr>
          <w:rFonts w:ascii="Times New Roman" w:hAnsi="Times New Roman"/>
        </w:rPr>
        <w:br w:type="textWrapping" w:clear="all"/>
        <w:t>Melbourne  Vic  3001</w:t>
      </w:r>
    </w:p>
    <w:p w:rsidR="007C2D31" w:rsidRDefault="007C2D31">
      <w:pPr>
        <w:pStyle w:val="AERbodytext"/>
        <w:jc w:val="left"/>
        <w:rPr>
          <w:rFonts w:ascii="Times New Roman" w:hAnsi="Times New Roman"/>
        </w:rPr>
      </w:pPr>
      <w:r w:rsidRPr="001B3EF9">
        <w:rPr>
          <w:rFonts w:ascii="Times New Roman" w:hAnsi="Times New Roman"/>
        </w:rPr>
        <w:t>Tel: (03) 9290 1444</w:t>
      </w:r>
      <w:r w:rsidRPr="001B3EF9">
        <w:rPr>
          <w:rFonts w:ascii="Times New Roman" w:hAnsi="Times New Roman"/>
        </w:rPr>
        <w:br w:type="textWrapping" w:clear="all"/>
        <w:t>Fax: (03) 9290 1457</w:t>
      </w:r>
      <w:r w:rsidRPr="001B3EF9">
        <w:rPr>
          <w:rFonts w:ascii="Times New Roman" w:hAnsi="Times New Roman"/>
        </w:rPr>
        <w:br w:type="textWrapping" w:clear="all"/>
        <w:t>Email: AERInquiry@aer.gov.au</w:t>
      </w:r>
    </w:p>
    <w:p w:rsidR="007C2D31" w:rsidRDefault="007C2D31" w:rsidP="007C2D31">
      <w:pPr>
        <w:pStyle w:val="AERbodytext"/>
      </w:pPr>
      <w:r>
        <w:t xml:space="preserve">AER </w:t>
      </w:r>
      <w:r w:rsidRPr="00F93B3F">
        <w:t>reference: 39804</w:t>
      </w:r>
      <w:r>
        <w:t xml:space="preserve">  </w:t>
      </w:r>
    </w:p>
    <w:p w:rsidR="007C2D31" w:rsidRDefault="007C2D31" w:rsidP="007C2D31">
      <w:pPr>
        <w:pStyle w:val="AERheading4"/>
      </w:pPr>
      <w:r>
        <w:t xml:space="preserve">Amendment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2843"/>
        <w:gridCol w:w="2843"/>
      </w:tblGrid>
      <w:tr w:rsidR="007C2D31">
        <w:tc>
          <w:tcPr>
            <w:tcW w:w="2842" w:type="dxa"/>
          </w:tcPr>
          <w:p w:rsidR="007C2D31" w:rsidRDefault="007C2D31" w:rsidP="007C2D31">
            <w:pPr>
              <w:pStyle w:val="AERbodytext"/>
            </w:pPr>
            <w:r>
              <w:t>Version</w:t>
            </w:r>
          </w:p>
        </w:tc>
        <w:tc>
          <w:tcPr>
            <w:tcW w:w="2843" w:type="dxa"/>
          </w:tcPr>
          <w:p w:rsidR="007C2D31" w:rsidRDefault="007C2D31" w:rsidP="007C2D31">
            <w:pPr>
              <w:pStyle w:val="AERbodytext"/>
            </w:pPr>
            <w:r>
              <w:t>Date</w:t>
            </w:r>
          </w:p>
        </w:tc>
        <w:tc>
          <w:tcPr>
            <w:tcW w:w="2843" w:type="dxa"/>
          </w:tcPr>
          <w:p w:rsidR="007C2D31" w:rsidRDefault="007C2D31" w:rsidP="007C2D31">
            <w:pPr>
              <w:pStyle w:val="AERbodytext"/>
            </w:pPr>
            <w:r>
              <w:t>Pages</w:t>
            </w:r>
          </w:p>
        </w:tc>
      </w:tr>
      <w:tr w:rsidR="007C2D31">
        <w:tc>
          <w:tcPr>
            <w:tcW w:w="2842" w:type="dxa"/>
          </w:tcPr>
          <w:p w:rsidR="007C2D31" w:rsidRDefault="007C2D31" w:rsidP="007C2D31">
            <w:pPr>
              <w:pStyle w:val="AERbodytext"/>
            </w:pPr>
            <w:r>
              <w:t>1.0</w:t>
            </w:r>
          </w:p>
        </w:tc>
        <w:tc>
          <w:tcPr>
            <w:tcW w:w="2843" w:type="dxa"/>
          </w:tcPr>
          <w:p w:rsidR="007C2D31" w:rsidRPr="00026438" w:rsidRDefault="00026438" w:rsidP="00026438">
            <w:pPr>
              <w:pStyle w:val="AERbodytext"/>
            </w:pPr>
            <w:r w:rsidRPr="00026438">
              <w:t>19</w:t>
            </w:r>
            <w:r w:rsidR="00D11C3D" w:rsidRPr="00026438">
              <w:t xml:space="preserve"> </w:t>
            </w:r>
            <w:r w:rsidR="004B3FD8" w:rsidRPr="00026438">
              <w:t>April</w:t>
            </w:r>
            <w:r w:rsidR="003517D8" w:rsidRPr="00026438">
              <w:t xml:space="preserve"> 201</w:t>
            </w:r>
            <w:r w:rsidR="00532FCA" w:rsidRPr="00026438">
              <w:t>3</w:t>
            </w:r>
          </w:p>
        </w:tc>
        <w:tc>
          <w:tcPr>
            <w:tcW w:w="2843" w:type="dxa"/>
          </w:tcPr>
          <w:p w:rsidR="007C2D31" w:rsidRPr="00026438" w:rsidRDefault="00D11C3D" w:rsidP="00026438">
            <w:pPr>
              <w:pStyle w:val="AERbodytext"/>
            </w:pPr>
            <w:r w:rsidRPr="00026438">
              <w:t>9</w:t>
            </w:r>
          </w:p>
        </w:tc>
      </w:tr>
      <w:tr w:rsidR="007C2D31">
        <w:tc>
          <w:tcPr>
            <w:tcW w:w="2842" w:type="dxa"/>
          </w:tcPr>
          <w:p w:rsidR="007C2D31" w:rsidRDefault="007C2D31" w:rsidP="007C2D31">
            <w:pPr>
              <w:pStyle w:val="AERbodytext"/>
            </w:pPr>
          </w:p>
        </w:tc>
        <w:tc>
          <w:tcPr>
            <w:tcW w:w="2843" w:type="dxa"/>
          </w:tcPr>
          <w:p w:rsidR="007C2D31" w:rsidRDefault="007C2D31" w:rsidP="007C2D31">
            <w:pPr>
              <w:pStyle w:val="AERbodytext"/>
            </w:pPr>
          </w:p>
        </w:tc>
        <w:tc>
          <w:tcPr>
            <w:tcW w:w="2843" w:type="dxa"/>
          </w:tcPr>
          <w:p w:rsidR="007C2D31" w:rsidRDefault="007C2D31" w:rsidP="007C2D31">
            <w:pPr>
              <w:pStyle w:val="AERbodytext"/>
            </w:pPr>
          </w:p>
        </w:tc>
      </w:tr>
    </w:tbl>
    <w:p w:rsidR="007C2D31" w:rsidRDefault="007C2D31" w:rsidP="007C2D31">
      <w:pPr>
        <w:pStyle w:val="AERbodytext"/>
      </w:pPr>
    </w:p>
    <w:p w:rsidR="007C2D31" w:rsidRDefault="007C2D31">
      <w:pPr>
        <w:pStyle w:val="AERbodytext"/>
        <w:jc w:val="left"/>
        <w:rPr>
          <w:rFonts w:ascii="Times New Roman" w:hAnsi="Times New Roman"/>
        </w:rPr>
        <w:sectPr w:rsidR="007C2D31">
          <w:footerReference w:type="default" r:id="rId11"/>
          <w:pgSz w:w="11906" w:h="16838"/>
          <w:pgMar w:top="1440" w:right="1440" w:bottom="1440" w:left="1440" w:header="708" w:footer="708" w:gutter="0"/>
          <w:cols w:space="708"/>
          <w:docGrid w:linePitch="360"/>
        </w:sectPr>
      </w:pPr>
    </w:p>
    <w:p w:rsidR="007C2D31" w:rsidRDefault="007C2D31" w:rsidP="007C2D31">
      <w:pPr>
        <w:pStyle w:val="AERunnumberedheading"/>
      </w:pPr>
      <w:bookmarkStart w:id="1" w:name="_Toc332993114"/>
      <w:bookmarkStart w:id="2" w:name="_Toc354046514"/>
      <w:r>
        <w:lastRenderedPageBreak/>
        <w:t>Contents</w:t>
      </w:r>
      <w:bookmarkEnd w:id="1"/>
      <w:bookmarkEnd w:id="2"/>
    </w:p>
    <w:p w:rsidR="00026438" w:rsidRDefault="00EC22E9">
      <w:pPr>
        <w:pStyle w:val="TOC1"/>
        <w:rPr>
          <w:rFonts w:asciiTheme="minorHAnsi" w:eastAsiaTheme="minorEastAsia" w:hAnsiTheme="minorHAnsi" w:cstheme="minorBidi"/>
          <w:b w:val="0"/>
          <w:noProof/>
          <w:sz w:val="22"/>
          <w:szCs w:val="22"/>
          <w:lang w:eastAsia="en-AU"/>
        </w:rPr>
      </w:pPr>
      <w:r w:rsidRPr="00EC22E9">
        <w:fldChar w:fldCharType="begin"/>
      </w:r>
      <w:r w:rsidR="007C2D31">
        <w:instrText xml:space="preserve"> TOC \h \z \t "AER heading 1,1,AER heading 2,2,AER unnumbered heading,1" </w:instrText>
      </w:r>
      <w:r w:rsidRPr="00EC22E9">
        <w:fldChar w:fldCharType="separate"/>
      </w:r>
      <w:hyperlink w:anchor="_Toc354046514" w:history="1">
        <w:r w:rsidR="00026438" w:rsidRPr="006E7A26">
          <w:rPr>
            <w:rStyle w:val="Hyperlink"/>
            <w:noProof/>
          </w:rPr>
          <w:t>Contents</w:t>
        </w:r>
        <w:r w:rsidR="00026438">
          <w:rPr>
            <w:noProof/>
            <w:webHidden/>
          </w:rPr>
          <w:tab/>
          <w:t>.................................................................................................................................................</w:t>
        </w:r>
        <w:r>
          <w:rPr>
            <w:noProof/>
            <w:webHidden/>
          </w:rPr>
          <w:fldChar w:fldCharType="begin"/>
        </w:r>
        <w:r w:rsidR="00026438">
          <w:rPr>
            <w:noProof/>
            <w:webHidden/>
          </w:rPr>
          <w:instrText xml:space="preserve"> PAGEREF _Toc354046514 \h </w:instrText>
        </w:r>
        <w:r>
          <w:rPr>
            <w:noProof/>
            <w:webHidden/>
          </w:rPr>
        </w:r>
        <w:r>
          <w:rPr>
            <w:noProof/>
            <w:webHidden/>
          </w:rPr>
          <w:fldChar w:fldCharType="separate"/>
        </w:r>
        <w:r w:rsidR="00026438">
          <w:rPr>
            <w:noProof/>
            <w:webHidden/>
          </w:rPr>
          <w:t>i</w:t>
        </w:r>
        <w:r>
          <w:rPr>
            <w:noProof/>
            <w:webHidden/>
          </w:rPr>
          <w:fldChar w:fldCharType="end"/>
        </w:r>
      </w:hyperlink>
    </w:p>
    <w:p w:rsidR="00026438" w:rsidRDefault="00EC22E9">
      <w:pPr>
        <w:pStyle w:val="TOC1"/>
        <w:rPr>
          <w:rFonts w:asciiTheme="minorHAnsi" w:eastAsiaTheme="minorEastAsia" w:hAnsiTheme="minorHAnsi" w:cstheme="minorBidi"/>
          <w:b w:val="0"/>
          <w:noProof/>
          <w:sz w:val="22"/>
          <w:szCs w:val="22"/>
          <w:lang w:eastAsia="en-AU"/>
        </w:rPr>
      </w:pPr>
      <w:hyperlink w:anchor="_Toc354046515" w:history="1">
        <w:r w:rsidR="00026438" w:rsidRPr="006E7A26">
          <w:rPr>
            <w:rStyle w:val="Hyperlink"/>
            <w:noProof/>
          </w:rPr>
          <w:t>1</w:t>
        </w:r>
        <w:r w:rsidR="00026438">
          <w:rPr>
            <w:rFonts w:asciiTheme="minorHAnsi" w:eastAsiaTheme="minorEastAsia" w:hAnsiTheme="minorHAnsi" w:cstheme="minorBidi"/>
            <w:b w:val="0"/>
            <w:noProof/>
            <w:sz w:val="22"/>
            <w:szCs w:val="22"/>
            <w:lang w:eastAsia="en-AU"/>
          </w:rPr>
          <w:tab/>
        </w:r>
        <w:r w:rsidR="00026438" w:rsidRPr="006E7A26">
          <w:rPr>
            <w:rStyle w:val="Hyperlink"/>
            <w:noProof/>
          </w:rPr>
          <w:t>Final Decision</w:t>
        </w:r>
        <w:r w:rsidR="00026438">
          <w:rPr>
            <w:noProof/>
            <w:webHidden/>
          </w:rPr>
          <w:tab/>
          <w:t>.............................................................................................................................</w:t>
        </w:r>
        <w:r>
          <w:rPr>
            <w:noProof/>
            <w:webHidden/>
          </w:rPr>
          <w:fldChar w:fldCharType="begin"/>
        </w:r>
        <w:r w:rsidR="00026438">
          <w:rPr>
            <w:noProof/>
            <w:webHidden/>
          </w:rPr>
          <w:instrText xml:space="preserve"> PAGEREF _Toc354046515 \h </w:instrText>
        </w:r>
        <w:r>
          <w:rPr>
            <w:noProof/>
            <w:webHidden/>
          </w:rPr>
        </w:r>
        <w:r>
          <w:rPr>
            <w:noProof/>
            <w:webHidden/>
          </w:rPr>
          <w:fldChar w:fldCharType="separate"/>
        </w:r>
        <w:r w:rsidR="00026438">
          <w:rPr>
            <w:noProof/>
            <w:webHidden/>
          </w:rPr>
          <w:t>1</w:t>
        </w:r>
        <w:r>
          <w:rPr>
            <w:noProof/>
            <w:webHidden/>
          </w:rPr>
          <w:fldChar w:fldCharType="end"/>
        </w:r>
      </w:hyperlink>
    </w:p>
    <w:p w:rsidR="00026438" w:rsidRDefault="00EC22E9">
      <w:pPr>
        <w:pStyle w:val="TOC1"/>
        <w:rPr>
          <w:rFonts w:asciiTheme="minorHAnsi" w:eastAsiaTheme="minorEastAsia" w:hAnsiTheme="minorHAnsi" w:cstheme="minorBidi"/>
          <w:b w:val="0"/>
          <w:noProof/>
          <w:sz w:val="22"/>
          <w:szCs w:val="22"/>
          <w:lang w:eastAsia="en-AU"/>
        </w:rPr>
      </w:pPr>
      <w:hyperlink w:anchor="_Toc354046516" w:history="1">
        <w:r w:rsidR="00026438" w:rsidRPr="006E7A26">
          <w:rPr>
            <w:rStyle w:val="Hyperlink"/>
            <w:noProof/>
          </w:rPr>
          <w:t>2</w:t>
        </w:r>
        <w:r w:rsidR="00026438">
          <w:rPr>
            <w:rFonts w:asciiTheme="minorHAnsi" w:eastAsiaTheme="minorEastAsia" w:hAnsiTheme="minorHAnsi" w:cstheme="minorBidi"/>
            <w:b w:val="0"/>
            <w:noProof/>
            <w:sz w:val="22"/>
            <w:szCs w:val="22"/>
            <w:lang w:eastAsia="en-AU"/>
          </w:rPr>
          <w:tab/>
        </w:r>
        <w:r w:rsidR="00026438" w:rsidRPr="006E7A26">
          <w:rPr>
            <w:rStyle w:val="Hyperlink"/>
            <w:noProof/>
          </w:rPr>
          <w:t>Introduction</w:t>
        </w:r>
        <w:r w:rsidR="00026438">
          <w:rPr>
            <w:noProof/>
            <w:webHidden/>
          </w:rPr>
          <w:tab/>
          <w:t>.................................................................................................................................</w:t>
        </w:r>
        <w:r>
          <w:rPr>
            <w:noProof/>
            <w:webHidden/>
          </w:rPr>
          <w:fldChar w:fldCharType="begin"/>
        </w:r>
        <w:r w:rsidR="00026438">
          <w:rPr>
            <w:noProof/>
            <w:webHidden/>
          </w:rPr>
          <w:instrText xml:space="preserve"> PAGEREF _Toc354046516 \h </w:instrText>
        </w:r>
        <w:r>
          <w:rPr>
            <w:noProof/>
            <w:webHidden/>
          </w:rPr>
        </w:r>
        <w:r>
          <w:rPr>
            <w:noProof/>
            <w:webHidden/>
          </w:rPr>
          <w:fldChar w:fldCharType="separate"/>
        </w:r>
        <w:r w:rsidR="00026438">
          <w:rPr>
            <w:noProof/>
            <w:webHidden/>
          </w:rPr>
          <w:t>3</w:t>
        </w:r>
        <w:r>
          <w:rPr>
            <w:noProof/>
            <w:webHidden/>
          </w:rPr>
          <w:fldChar w:fldCharType="end"/>
        </w:r>
      </w:hyperlink>
    </w:p>
    <w:p w:rsidR="00026438" w:rsidRDefault="00EC22E9">
      <w:pPr>
        <w:pStyle w:val="TOC2"/>
        <w:rPr>
          <w:rFonts w:asciiTheme="minorHAnsi" w:eastAsiaTheme="minorEastAsia" w:hAnsiTheme="minorHAnsi" w:cstheme="minorBidi"/>
          <w:noProof/>
          <w:sz w:val="22"/>
          <w:szCs w:val="22"/>
        </w:rPr>
      </w:pPr>
      <w:hyperlink w:anchor="_Toc354046517" w:history="1">
        <w:r w:rsidR="00026438" w:rsidRPr="006E7A26">
          <w:rPr>
            <w:rStyle w:val="Hyperlink"/>
            <w:noProof/>
          </w:rPr>
          <w:t>2.1</w:t>
        </w:r>
        <w:r w:rsidR="00026438">
          <w:rPr>
            <w:rFonts w:asciiTheme="minorHAnsi" w:eastAsiaTheme="minorEastAsia" w:hAnsiTheme="minorHAnsi" w:cstheme="minorBidi"/>
            <w:noProof/>
            <w:sz w:val="22"/>
            <w:szCs w:val="22"/>
          </w:rPr>
          <w:tab/>
        </w:r>
        <w:r w:rsidR="00026438" w:rsidRPr="006E7A26">
          <w:rPr>
            <w:rStyle w:val="Hyperlink"/>
            <w:noProof/>
          </w:rPr>
          <w:t>The issue</w:t>
        </w:r>
        <w:r w:rsidR="00026438">
          <w:rPr>
            <w:noProof/>
            <w:webHidden/>
          </w:rPr>
          <w:tab/>
        </w:r>
        <w:r>
          <w:rPr>
            <w:noProof/>
            <w:webHidden/>
          </w:rPr>
          <w:fldChar w:fldCharType="begin"/>
        </w:r>
        <w:r w:rsidR="00026438">
          <w:rPr>
            <w:noProof/>
            <w:webHidden/>
          </w:rPr>
          <w:instrText xml:space="preserve"> PAGEREF _Toc354046517 \h </w:instrText>
        </w:r>
        <w:r>
          <w:rPr>
            <w:noProof/>
            <w:webHidden/>
          </w:rPr>
        </w:r>
        <w:r>
          <w:rPr>
            <w:noProof/>
            <w:webHidden/>
          </w:rPr>
          <w:fldChar w:fldCharType="separate"/>
        </w:r>
        <w:r w:rsidR="00026438">
          <w:rPr>
            <w:noProof/>
            <w:webHidden/>
          </w:rPr>
          <w:t>3</w:t>
        </w:r>
        <w:r>
          <w:rPr>
            <w:noProof/>
            <w:webHidden/>
          </w:rPr>
          <w:fldChar w:fldCharType="end"/>
        </w:r>
      </w:hyperlink>
    </w:p>
    <w:p w:rsidR="00026438" w:rsidRDefault="00EC22E9">
      <w:pPr>
        <w:pStyle w:val="TOC2"/>
        <w:rPr>
          <w:rFonts w:asciiTheme="minorHAnsi" w:eastAsiaTheme="minorEastAsia" w:hAnsiTheme="minorHAnsi" w:cstheme="minorBidi"/>
          <w:noProof/>
          <w:sz w:val="22"/>
          <w:szCs w:val="22"/>
        </w:rPr>
      </w:pPr>
      <w:hyperlink w:anchor="_Toc354046518" w:history="1">
        <w:r w:rsidR="00026438" w:rsidRPr="006E7A26">
          <w:rPr>
            <w:rStyle w:val="Hyperlink"/>
            <w:noProof/>
          </w:rPr>
          <w:t>2.2</w:t>
        </w:r>
        <w:r w:rsidR="00026438">
          <w:rPr>
            <w:rFonts w:asciiTheme="minorHAnsi" w:eastAsiaTheme="minorEastAsia" w:hAnsiTheme="minorHAnsi" w:cstheme="minorBidi"/>
            <w:noProof/>
            <w:sz w:val="22"/>
            <w:szCs w:val="22"/>
          </w:rPr>
          <w:tab/>
        </w:r>
        <w:r w:rsidR="00026438" w:rsidRPr="006E7A26">
          <w:rPr>
            <w:rStyle w:val="Hyperlink"/>
            <w:noProof/>
          </w:rPr>
          <w:t>Scope of AER’s decision</w:t>
        </w:r>
        <w:r w:rsidR="00026438">
          <w:rPr>
            <w:noProof/>
            <w:webHidden/>
          </w:rPr>
          <w:tab/>
        </w:r>
        <w:r>
          <w:rPr>
            <w:noProof/>
            <w:webHidden/>
          </w:rPr>
          <w:fldChar w:fldCharType="begin"/>
        </w:r>
        <w:r w:rsidR="00026438">
          <w:rPr>
            <w:noProof/>
            <w:webHidden/>
          </w:rPr>
          <w:instrText xml:space="preserve"> PAGEREF _Toc354046518 \h </w:instrText>
        </w:r>
        <w:r>
          <w:rPr>
            <w:noProof/>
            <w:webHidden/>
          </w:rPr>
        </w:r>
        <w:r>
          <w:rPr>
            <w:noProof/>
            <w:webHidden/>
          </w:rPr>
          <w:fldChar w:fldCharType="separate"/>
        </w:r>
        <w:r w:rsidR="00026438">
          <w:rPr>
            <w:noProof/>
            <w:webHidden/>
          </w:rPr>
          <w:t>4</w:t>
        </w:r>
        <w:r>
          <w:rPr>
            <w:noProof/>
            <w:webHidden/>
          </w:rPr>
          <w:fldChar w:fldCharType="end"/>
        </w:r>
      </w:hyperlink>
    </w:p>
    <w:p w:rsidR="00026438" w:rsidRDefault="00EC22E9">
      <w:pPr>
        <w:pStyle w:val="TOC2"/>
        <w:rPr>
          <w:rFonts w:asciiTheme="minorHAnsi" w:eastAsiaTheme="minorEastAsia" w:hAnsiTheme="minorHAnsi" w:cstheme="minorBidi"/>
          <w:noProof/>
          <w:sz w:val="22"/>
          <w:szCs w:val="22"/>
        </w:rPr>
      </w:pPr>
      <w:hyperlink w:anchor="_Toc354046519" w:history="1">
        <w:r w:rsidR="00026438" w:rsidRPr="006E7A26">
          <w:rPr>
            <w:rStyle w:val="Hyperlink"/>
            <w:noProof/>
          </w:rPr>
          <w:t>2.3</w:t>
        </w:r>
        <w:r w:rsidR="00026438">
          <w:rPr>
            <w:rFonts w:asciiTheme="minorHAnsi" w:eastAsiaTheme="minorEastAsia" w:hAnsiTheme="minorHAnsi" w:cstheme="minorBidi"/>
            <w:noProof/>
            <w:sz w:val="22"/>
            <w:szCs w:val="22"/>
          </w:rPr>
          <w:tab/>
        </w:r>
        <w:r w:rsidR="00026438" w:rsidRPr="006E7A26">
          <w:rPr>
            <w:rStyle w:val="Hyperlink"/>
            <w:noProof/>
          </w:rPr>
          <w:t>Draft decision</w:t>
        </w:r>
        <w:r w:rsidR="00026438">
          <w:rPr>
            <w:noProof/>
            <w:webHidden/>
          </w:rPr>
          <w:tab/>
        </w:r>
        <w:r>
          <w:rPr>
            <w:noProof/>
            <w:webHidden/>
          </w:rPr>
          <w:fldChar w:fldCharType="begin"/>
        </w:r>
        <w:r w:rsidR="00026438">
          <w:rPr>
            <w:noProof/>
            <w:webHidden/>
          </w:rPr>
          <w:instrText xml:space="preserve"> PAGEREF _Toc354046519 \h </w:instrText>
        </w:r>
        <w:r>
          <w:rPr>
            <w:noProof/>
            <w:webHidden/>
          </w:rPr>
        </w:r>
        <w:r>
          <w:rPr>
            <w:noProof/>
            <w:webHidden/>
          </w:rPr>
          <w:fldChar w:fldCharType="separate"/>
        </w:r>
        <w:r w:rsidR="00026438">
          <w:rPr>
            <w:noProof/>
            <w:webHidden/>
          </w:rPr>
          <w:t>4</w:t>
        </w:r>
        <w:r>
          <w:rPr>
            <w:noProof/>
            <w:webHidden/>
          </w:rPr>
          <w:fldChar w:fldCharType="end"/>
        </w:r>
      </w:hyperlink>
    </w:p>
    <w:p w:rsidR="00026438" w:rsidRDefault="00EC22E9">
      <w:pPr>
        <w:pStyle w:val="TOC2"/>
        <w:rPr>
          <w:rFonts w:asciiTheme="minorHAnsi" w:eastAsiaTheme="minorEastAsia" w:hAnsiTheme="minorHAnsi" w:cstheme="minorBidi"/>
          <w:noProof/>
          <w:sz w:val="22"/>
          <w:szCs w:val="22"/>
        </w:rPr>
      </w:pPr>
      <w:hyperlink w:anchor="_Toc354046520" w:history="1">
        <w:r w:rsidR="00026438" w:rsidRPr="006E7A26">
          <w:rPr>
            <w:rStyle w:val="Hyperlink"/>
            <w:noProof/>
          </w:rPr>
          <w:t>2.4</w:t>
        </w:r>
        <w:r w:rsidR="00026438">
          <w:rPr>
            <w:rFonts w:asciiTheme="minorHAnsi" w:eastAsiaTheme="minorEastAsia" w:hAnsiTheme="minorHAnsi" w:cstheme="minorBidi"/>
            <w:noProof/>
            <w:sz w:val="22"/>
            <w:szCs w:val="22"/>
          </w:rPr>
          <w:tab/>
        </w:r>
        <w:r w:rsidR="00026438" w:rsidRPr="006E7A26">
          <w:rPr>
            <w:rStyle w:val="Hyperlink"/>
            <w:noProof/>
          </w:rPr>
          <w:t>Summary of submissions and response</w:t>
        </w:r>
        <w:r w:rsidR="00026438">
          <w:rPr>
            <w:noProof/>
            <w:webHidden/>
          </w:rPr>
          <w:tab/>
        </w:r>
        <w:r>
          <w:rPr>
            <w:noProof/>
            <w:webHidden/>
          </w:rPr>
          <w:fldChar w:fldCharType="begin"/>
        </w:r>
        <w:r w:rsidR="00026438">
          <w:rPr>
            <w:noProof/>
            <w:webHidden/>
          </w:rPr>
          <w:instrText xml:space="preserve"> PAGEREF _Toc354046520 \h </w:instrText>
        </w:r>
        <w:r>
          <w:rPr>
            <w:noProof/>
            <w:webHidden/>
          </w:rPr>
        </w:r>
        <w:r>
          <w:rPr>
            <w:noProof/>
            <w:webHidden/>
          </w:rPr>
          <w:fldChar w:fldCharType="separate"/>
        </w:r>
        <w:r w:rsidR="00026438">
          <w:rPr>
            <w:noProof/>
            <w:webHidden/>
          </w:rPr>
          <w:t>4</w:t>
        </w:r>
        <w:r>
          <w:rPr>
            <w:noProof/>
            <w:webHidden/>
          </w:rPr>
          <w:fldChar w:fldCharType="end"/>
        </w:r>
      </w:hyperlink>
    </w:p>
    <w:p w:rsidR="00026438" w:rsidRDefault="00EC22E9">
      <w:pPr>
        <w:pStyle w:val="TOC1"/>
        <w:rPr>
          <w:rFonts w:asciiTheme="minorHAnsi" w:eastAsiaTheme="minorEastAsia" w:hAnsiTheme="minorHAnsi" w:cstheme="minorBidi"/>
          <w:b w:val="0"/>
          <w:noProof/>
          <w:sz w:val="22"/>
          <w:szCs w:val="22"/>
          <w:lang w:eastAsia="en-AU"/>
        </w:rPr>
      </w:pPr>
      <w:hyperlink w:anchor="_Toc354046521" w:history="1">
        <w:r w:rsidR="00026438" w:rsidRPr="006E7A26">
          <w:rPr>
            <w:rStyle w:val="Hyperlink"/>
            <w:noProof/>
          </w:rPr>
          <w:t>3</w:t>
        </w:r>
        <w:r w:rsidR="00026438">
          <w:rPr>
            <w:rFonts w:asciiTheme="minorHAnsi" w:eastAsiaTheme="minorEastAsia" w:hAnsiTheme="minorHAnsi" w:cstheme="minorBidi"/>
            <w:b w:val="0"/>
            <w:noProof/>
            <w:sz w:val="22"/>
            <w:szCs w:val="22"/>
            <w:lang w:eastAsia="en-AU"/>
          </w:rPr>
          <w:tab/>
        </w:r>
        <w:r w:rsidR="00026438" w:rsidRPr="006E7A26">
          <w:rPr>
            <w:rStyle w:val="Hyperlink"/>
            <w:noProof/>
          </w:rPr>
          <w:t>Reasons</w:t>
        </w:r>
        <w:r w:rsidR="00026438">
          <w:rPr>
            <w:noProof/>
            <w:webHidden/>
          </w:rPr>
          <w:tab/>
          <w:t>.......................................................................................................................................</w:t>
        </w:r>
        <w:r>
          <w:rPr>
            <w:noProof/>
            <w:webHidden/>
          </w:rPr>
          <w:fldChar w:fldCharType="begin"/>
        </w:r>
        <w:r w:rsidR="00026438">
          <w:rPr>
            <w:noProof/>
            <w:webHidden/>
          </w:rPr>
          <w:instrText xml:space="preserve"> PAGEREF _Toc354046521 \h </w:instrText>
        </w:r>
        <w:r>
          <w:rPr>
            <w:noProof/>
            <w:webHidden/>
          </w:rPr>
        </w:r>
        <w:r>
          <w:rPr>
            <w:noProof/>
            <w:webHidden/>
          </w:rPr>
          <w:fldChar w:fldCharType="separate"/>
        </w:r>
        <w:r w:rsidR="00026438">
          <w:rPr>
            <w:noProof/>
            <w:webHidden/>
          </w:rPr>
          <w:t>6</w:t>
        </w:r>
        <w:r>
          <w:rPr>
            <w:noProof/>
            <w:webHidden/>
          </w:rPr>
          <w:fldChar w:fldCharType="end"/>
        </w:r>
      </w:hyperlink>
    </w:p>
    <w:p w:rsidR="00026438" w:rsidRDefault="00EC22E9">
      <w:pPr>
        <w:pStyle w:val="TOC2"/>
        <w:rPr>
          <w:rFonts w:asciiTheme="minorHAnsi" w:eastAsiaTheme="minorEastAsia" w:hAnsiTheme="minorHAnsi" w:cstheme="minorBidi"/>
          <w:noProof/>
          <w:sz w:val="22"/>
          <w:szCs w:val="22"/>
        </w:rPr>
      </w:pPr>
      <w:hyperlink w:anchor="_Toc354046522" w:history="1">
        <w:r w:rsidR="00026438" w:rsidRPr="006E7A26">
          <w:rPr>
            <w:rStyle w:val="Hyperlink"/>
            <w:noProof/>
          </w:rPr>
          <w:t>3.1</w:t>
        </w:r>
        <w:r w:rsidR="00026438">
          <w:rPr>
            <w:rFonts w:asciiTheme="minorHAnsi" w:eastAsiaTheme="minorEastAsia" w:hAnsiTheme="minorHAnsi" w:cstheme="minorBidi"/>
            <w:noProof/>
            <w:sz w:val="22"/>
            <w:szCs w:val="22"/>
          </w:rPr>
          <w:tab/>
        </w:r>
        <w:r w:rsidR="00026438" w:rsidRPr="006E7A26">
          <w:rPr>
            <w:rStyle w:val="Hyperlink"/>
            <w:noProof/>
          </w:rPr>
          <w:t>Extending the insurance event definition</w:t>
        </w:r>
        <w:r w:rsidR="00026438">
          <w:rPr>
            <w:noProof/>
            <w:webHidden/>
          </w:rPr>
          <w:tab/>
          <w:t>..</w:t>
        </w:r>
        <w:r>
          <w:rPr>
            <w:noProof/>
            <w:webHidden/>
          </w:rPr>
          <w:fldChar w:fldCharType="begin"/>
        </w:r>
        <w:r w:rsidR="00026438">
          <w:rPr>
            <w:noProof/>
            <w:webHidden/>
          </w:rPr>
          <w:instrText xml:space="preserve"> PAGEREF _Toc354046522 \h </w:instrText>
        </w:r>
        <w:r>
          <w:rPr>
            <w:noProof/>
            <w:webHidden/>
          </w:rPr>
        </w:r>
        <w:r>
          <w:rPr>
            <w:noProof/>
            <w:webHidden/>
          </w:rPr>
          <w:fldChar w:fldCharType="separate"/>
        </w:r>
        <w:r w:rsidR="00026438">
          <w:rPr>
            <w:noProof/>
            <w:webHidden/>
          </w:rPr>
          <w:t>6</w:t>
        </w:r>
        <w:r>
          <w:rPr>
            <w:noProof/>
            <w:webHidden/>
          </w:rPr>
          <w:fldChar w:fldCharType="end"/>
        </w:r>
      </w:hyperlink>
    </w:p>
    <w:p w:rsidR="00026438" w:rsidRDefault="00EC22E9">
      <w:pPr>
        <w:pStyle w:val="TOC1"/>
        <w:rPr>
          <w:rFonts w:asciiTheme="minorHAnsi" w:eastAsiaTheme="minorEastAsia" w:hAnsiTheme="minorHAnsi" w:cstheme="minorBidi"/>
          <w:b w:val="0"/>
          <w:noProof/>
          <w:sz w:val="22"/>
          <w:szCs w:val="22"/>
          <w:lang w:eastAsia="en-AU"/>
        </w:rPr>
      </w:pPr>
      <w:hyperlink w:anchor="_Toc354046523" w:history="1">
        <w:r w:rsidR="00026438" w:rsidRPr="006E7A26">
          <w:rPr>
            <w:rStyle w:val="Hyperlink"/>
            <w:noProof/>
          </w:rPr>
          <w:t>Appendix A: Pass through events</w:t>
        </w:r>
        <w:r w:rsidR="00026438">
          <w:rPr>
            <w:noProof/>
            <w:webHidden/>
          </w:rPr>
          <w:tab/>
          <w:t>......................................................................................................</w:t>
        </w:r>
        <w:r>
          <w:rPr>
            <w:noProof/>
            <w:webHidden/>
          </w:rPr>
          <w:fldChar w:fldCharType="begin"/>
        </w:r>
        <w:r w:rsidR="00026438">
          <w:rPr>
            <w:noProof/>
            <w:webHidden/>
          </w:rPr>
          <w:instrText xml:space="preserve"> PAGEREF _Toc354046523 \h </w:instrText>
        </w:r>
        <w:r>
          <w:rPr>
            <w:noProof/>
            <w:webHidden/>
          </w:rPr>
        </w:r>
        <w:r>
          <w:rPr>
            <w:noProof/>
            <w:webHidden/>
          </w:rPr>
          <w:fldChar w:fldCharType="separate"/>
        </w:r>
        <w:r w:rsidR="00026438">
          <w:rPr>
            <w:noProof/>
            <w:webHidden/>
          </w:rPr>
          <w:t>8</w:t>
        </w:r>
        <w:r>
          <w:rPr>
            <w:noProof/>
            <w:webHidden/>
          </w:rPr>
          <w:fldChar w:fldCharType="end"/>
        </w:r>
      </w:hyperlink>
    </w:p>
    <w:p w:rsidR="007C2D31" w:rsidRDefault="00EC22E9" w:rsidP="007C2D31">
      <w:pPr>
        <w:pStyle w:val="AERbodytext"/>
        <w:tabs>
          <w:tab w:val="right" w:leader="dot" w:pos="8364"/>
        </w:tabs>
        <w:sectPr w:rsidR="007C2D31">
          <w:footerReference w:type="default" r:id="rId12"/>
          <w:pgSz w:w="11906" w:h="16838" w:code="9"/>
          <w:pgMar w:top="1440" w:right="1440" w:bottom="1440" w:left="1440" w:header="709" w:footer="709" w:gutter="0"/>
          <w:pgNumType w:fmt="lowerRoman" w:start="1"/>
          <w:cols w:space="708"/>
          <w:docGrid w:linePitch="360"/>
        </w:sectPr>
      </w:pPr>
      <w:r>
        <w:fldChar w:fldCharType="end"/>
      </w:r>
    </w:p>
    <w:p w:rsidR="00AA657D" w:rsidRPr="00147309" w:rsidRDefault="00AA657D" w:rsidP="00AA657D">
      <w:pPr>
        <w:pStyle w:val="AERheading1"/>
      </w:pPr>
      <w:bookmarkStart w:id="3" w:name="_Toc354046515"/>
      <w:r w:rsidRPr="00147309">
        <w:lastRenderedPageBreak/>
        <w:t>Final Decision</w:t>
      </w:r>
      <w:bookmarkEnd w:id="3"/>
    </w:p>
    <w:p w:rsidR="00AA657D" w:rsidRDefault="00AA657D" w:rsidP="00AA657D">
      <w:pPr>
        <w:pStyle w:val="AERbodytext"/>
      </w:pPr>
      <w:r w:rsidRPr="00147309">
        <w:t xml:space="preserve">For the reasons outlined below, </w:t>
      </w:r>
      <w:r w:rsidR="00474E8C">
        <w:t xml:space="preserve">the AER has maintained </w:t>
      </w:r>
      <w:r w:rsidR="00FA4CD3">
        <w:t>its</w:t>
      </w:r>
      <w:r w:rsidRPr="00147309">
        <w:t xml:space="preserve"> </w:t>
      </w:r>
      <w:r w:rsidRPr="00365D60">
        <w:t>draft decision</w:t>
      </w:r>
      <w:r>
        <w:t>.</w:t>
      </w:r>
      <w:r w:rsidRPr="00365D60">
        <w:t xml:space="preserve"> </w:t>
      </w:r>
      <w:r>
        <w:t xml:space="preserve">We </w:t>
      </w:r>
      <w:r w:rsidRPr="00365D60">
        <w:t>replac</w:t>
      </w:r>
      <w:r>
        <w:t>e</w:t>
      </w:r>
      <w:r w:rsidRPr="00365D60">
        <w:t xml:space="preserve"> the definition of the insurance pass through event in SP AusNet’s 2011–15 distribution determination with the following:</w:t>
      </w:r>
    </w:p>
    <w:p w:rsidR="00AA657D" w:rsidRPr="00076559" w:rsidRDefault="00AA657D" w:rsidP="00AA657D">
      <w:pPr>
        <w:widowControl w:val="0"/>
        <w:autoSpaceDE w:val="0"/>
        <w:autoSpaceDN w:val="0"/>
        <w:adjustRightInd w:val="0"/>
        <w:spacing w:after="120" w:line="240" w:lineRule="auto"/>
        <w:ind w:left="1134" w:hanging="567"/>
        <w:rPr>
          <w:rFonts w:eastAsia="Calibri" w:cs="Gautami"/>
          <w:sz w:val="16"/>
          <w:szCs w:val="16"/>
        </w:rPr>
      </w:pPr>
      <w:r w:rsidRPr="00076559">
        <w:rPr>
          <w:rFonts w:eastAsia="Calibri" w:cs="Gautami"/>
          <w:sz w:val="16"/>
          <w:szCs w:val="16"/>
        </w:rPr>
        <w:t>an insurance event:</w:t>
      </w:r>
    </w:p>
    <w:p w:rsidR="00AA657D" w:rsidRPr="00992337" w:rsidRDefault="00AA657D" w:rsidP="00AA657D">
      <w:p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An insurance event occurs if:</w:t>
      </w:r>
    </w:p>
    <w:p w:rsidR="00AA657D" w:rsidRPr="00992337" w:rsidRDefault="00AA657D" w:rsidP="00AA657D">
      <w:pPr>
        <w:autoSpaceDE w:val="0"/>
        <w:autoSpaceDN w:val="0"/>
        <w:adjustRightInd w:val="0"/>
        <w:spacing w:after="120" w:line="240" w:lineRule="auto"/>
        <w:ind w:left="1134" w:hanging="567"/>
        <w:rPr>
          <w:rFonts w:eastAsia="Calibri" w:cs="Gautami"/>
          <w:sz w:val="16"/>
          <w:szCs w:val="16"/>
        </w:rPr>
      </w:pPr>
      <w:r>
        <w:rPr>
          <w:rFonts w:eastAsia="Calibri" w:cs="Gautami"/>
          <w:sz w:val="16"/>
          <w:szCs w:val="16"/>
        </w:rPr>
        <w:t>(a)</w:t>
      </w:r>
      <w:r>
        <w:rPr>
          <w:rFonts w:eastAsia="Calibri" w:cs="Gautami"/>
          <w:sz w:val="16"/>
          <w:szCs w:val="16"/>
        </w:rPr>
        <w:tab/>
      </w:r>
      <w:r w:rsidRPr="00992337">
        <w:rPr>
          <w:rFonts w:eastAsia="Calibri" w:cs="Gautami"/>
          <w:sz w:val="16"/>
          <w:szCs w:val="16"/>
        </w:rPr>
        <w:t xml:space="preserve">the DNSP makes a claim on a </w:t>
      </w:r>
      <w:r>
        <w:rPr>
          <w:rFonts w:eastAsia="Calibri" w:cs="Gautami"/>
          <w:sz w:val="16"/>
          <w:szCs w:val="16"/>
        </w:rPr>
        <w:t xml:space="preserve">relevant </w:t>
      </w:r>
      <w:r w:rsidRPr="00992337">
        <w:rPr>
          <w:rFonts w:eastAsia="Calibri" w:cs="Gautami"/>
          <w:sz w:val="16"/>
          <w:szCs w:val="16"/>
        </w:rPr>
        <w:t>insurance policy;</w:t>
      </w:r>
      <w:r>
        <w:rPr>
          <w:rFonts w:eastAsia="Calibri" w:cs="Gautami"/>
          <w:sz w:val="16"/>
          <w:szCs w:val="16"/>
        </w:rPr>
        <w:t xml:space="preserve"> </w:t>
      </w:r>
      <w:r w:rsidRPr="00992337">
        <w:rPr>
          <w:rFonts w:eastAsia="Calibri" w:cs="Gautami"/>
          <w:sz w:val="16"/>
          <w:szCs w:val="16"/>
        </w:rPr>
        <w:t>and</w:t>
      </w:r>
    </w:p>
    <w:p w:rsidR="00AA657D" w:rsidRPr="00992337" w:rsidRDefault="00AA657D" w:rsidP="00AA657D">
      <w:pPr>
        <w:autoSpaceDE w:val="0"/>
        <w:autoSpaceDN w:val="0"/>
        <w:adjustRightInd w:val="0"/>
        <w:spacing w:after="120" w:line="240" w:lineRule="auto"/>
        <w:ind w:left="1134" w:hanging="567"/>
        <w:rPr>
          <w:rFonts w:cs="Gautami"/>
          <w:sz w:val="16"/>
          <w:szCs w:val="16"/>
        </w:rPr>
      </w:pPr>
      <w:r w:rsidRPr="00992337">
        <w:rPr>
          <w:rFonts w:eastAsia="Calibri" w:cs="Gautami"/>
          <w:sz w:val="16"/>
          <w:szCs w:val="16"/>
        </w:rPr>
        <w:t>(b)</w:t>
      </w:r>
      <w:r>
        <w:rPr>
          <w:rFonts w:eastAsia="Calibri" w:cs="Gautami"/>
          <w:sz w:val="16"/>
          <w:szCs w:val="16"/>
        </w:rPr>
        <w:tab/>
      </w:r>
      <w:r w:rsidRPr="00992337">
        <w:rPr>
          <w:rFonts w:eastAsia="Calibri" w:cs="Gautami"/>
          <w:sz w:val="16"/>
          <w:szCs w:val="16"/>
        </w:rPr>
        <w:t xml:space="preserve">the DNSP incurs costs beyond the </w:t>
      </w:r>
      <w:r>
        <w:rPr>
          <w:rFonts w:eastAsia="Calibri" w:cs="Gautami"/>
          <w:sz w:val="16"/>
          <w:szCs w:val="16"/>
        </w:rPr>
        <w:t xml:space="preserve">relevant </w:t>
      </w:r>
      <w:r w:rsidRPr="00992337">
        <w:rPr>
          <w:rFonts w:eastAsia="Calibri" w:cs="Gautami"/>
          <w:sz w:val="16"/>
          <w:szCs w:val="16"/>
        </w:rPr>
        <w:t>policy limit; and</w:t>
      </w:r>
    </w:p>
    <w:p w:rsidR="00AA657D" w:rsidRDefault="00AA657D" w:rsidP="00AA657D">
      <w:p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w:t>
      </w:r>
      <w:r>
        <w:rPr>
          <w:rFonts w:eastAsia="Calibri" w:cs="Gautami"/>
          <w:sz w:val="16"/>
          <w:szCs w:val="16"/>
        </w:rPr>
        <w:t>c</w:t>
      </w:r>
      <w:r w:rsidRPr="00992337">
        <w:rPr>
          <w:rFonts w:eastAsia="Calibri" w:cs="Gautami"/>
          <w:sz w:val="16"/>
          <w:szCs w:val="16"/>
        </w:rPr>
        <w:t>)</w:t>
      </w:r>
      <w:r>
        <w:rPr>
          <w:rFonts w:eastAsia="Calibri" w:cs="Gautami"/>
          <w:sz w:val="16"/>
          <w:szCs w:val="16"/>
        </w:rPr>
        <w:tab/>
      </w:r>
      <w:r w:rsidRPr="00992337">
        <w:rPr>
          <w:rFonts w:eastAsia="Calibri" w:cs="Gautami"/>
          <w:sz w:val="16"/>
          <w:szCs w:val="16"/>
        </w:rPr>
        <w:t xml:space="preserve">the costs beyond the </w:t>
      </w:r>
      <w:r>
        <w:rPr>
          <w:rFonts w:eastAsia="Calibri" w:cs="Gautami"/>
          <w:sz w:val="16"/>
          <w:szCs w:val="16"/>
        </w:rPr>
        <w:t xml:space="preserve">relevant </w:t>
      </w:r>
      <w:r w:rsidRPr="00992337">
        <w:rPr>
          <w:rFonts w:eastAsia="Calibri" w:cs="Gautami"/>
          <w:sz w:val="16"/>
          <w:szCs w:val="16"/>
        </w:rPr>
        <w:t>policy limit</w:t>
      </w:r>
      <w:r w:rsidRPr="00992337" w:rsidDel="00B54F7E">
        <w:rPr>
          <w:rFonts w:eastAsia="Calibri" w:cs="Gautami"/>
          <w:sz w:val="16"/>
          <w:szCs w:val="16"/>
        </w:rPr>
        <w:t xml:space="preserve"> </w:t>
      </w:r>
      <w:r w:rsidRPr="00992337">
        <w:rPr>
          <w:rFonts w:eastAsia="Calibri" w:cs="Gautami"/>
          <w:sz w:val="16"/>
          <w:szCs w:val="16"/>
        </w:rPr>
        <w:t>materially increase the costs to the DNSP of</w:t>
      </w:r>
      <w:r>
        <w:rPr>
          <w:rFonts w:eastAsia="Calibri" w:cs="Gautami"/>
          <w:sz w:val="16"/>
          <w:szCs w:val="16"/>
        </w:rPr>
        <w:t xml:space="preserve"> </w:t>
      </w:r>
      <w:r w:rsidRPr="00992337">
        <w:rPr>
          <w:rFonts w:eastAsia="Calibri" w:cs="Gautami"/>
          <w:sz w:val="16"/>
          <w:szCs w:val="16"/>
        </w:rPr>
        <w:t>providing direct control services</w:t>
      </w:r>
      <w:r>
        <w:rPr>
          <w:rFonts w:eastAsia="Calibri" w:cs="Gautami"/>
          <w:sz w:val="16"/>
          <w:szCs w:val="16"/>
        </w:rPr>
        <w:t>.</w:t>
      </w:r>
    </w:p>
    <w:p w:rsidR="00AA657D" w:rsidRPr="0041440C" w:rsidRDefault="00AA657D" w:rsidP="00AA657D">
      <w:pPr>
        <w:autoSpaceDE w:val="0"/>
        <w:autoSpaceDN w:val="0"/>
        <w:adjustRightInd w:val="0"/>
        <w:spacing w:after="120" w:line="240" w:lineRule="auto"/>
        <w:ind w:left="1134" w:hanging="567"/>
        <w:rPr>
          <w:rFonts w:eastAsia="Calibri" w:cs="Gautami"/>
          <w:sz w:val="16"/>
          <w:szCs w:val="16"/>
        </w:rPr>
      </w:pPr>
      <w:r w:rsidRPr="0041440C">
        <w:rPr>
          <w:rFonts w:eastAsia="Calibri" w:cs="Gautami"/>
          <w:sz w:val="16"/>
          <w:szCs w:val="16"/>
        </w:rPr>
        <w:t>For the purposes of this insurance event:</w:t>
      </w:r>
    </w:p>
    <w:p w:rsidR="00AA657D" w:rsidRDefault="00AA657D" w:rsidP="00AA657D">
      <w:pPr>
        <w:spacing w:after="120"/>
        <w:ind w:left="1134" w:hanging="567"/>
        <w:rPr>
          <w:rFonts w:cs="Gautami"/>
          <w:sz w:val="16"/>
          <w:szCs w:val="16"/>
        </w:rPr>
      </w:pPr>
      <w:r w:rsidRPr="00076559">
        <w:rPr>
          <w:rFonts w:cs="Gautami"/>
          <w:sz w:val="16"/>
          <w:szCs w:val="16"/>
        </w:rPr>
        <w:t>(</w:t>
      </w:r>
      <w:r>
        <w:rPr>
          <w:rFonts w:cs="Gautami"/>
          <w:sz w:val="16"/>
          <w:szCs w:val="16"/>
        </w:rPr>
        <w:t>d</w:t>
      </w:r>
      <w:r w:rsidRPr="00076559">
        <w:rPr>
          <w:rFonts w:cs="Gautami"/>
          <w:sz w:val="16"/>
          <w:szCs w:val="16"/>
        </w:rPr>
        <w:t>)</w:t>
      </w:r>
      <w:r w:rsidRPr="00076559">
        <w:rPr>
          <w:rFonts w:cs="Gautami"/>
          <w:sz w:val="16"/>
          <w:szCs w:val="16"/>
        </w:rPr>
        <w:tab/>
        <w:t>the relevant policy limit is the greater of the DNSP’s actual policy limit at the time of the event that gives rise to the claim and its policy limit at the time of making of the 2011–15 distribution determination by the AER or, if the policy coverage was for coverage during the 2006</w:t>
      </w:r>
      <w:r w:rsidRPr="006213C7">
        <w:rPr>
          <w:rFonts w:cs="Gautami"/>
          <w:sz w:val="16"/>
          <w:szCs w:val="16"/>
        </w:rPr>
        <w:t xml:space="preserve">–10 </w:t>
      </w:r>
      <w:r>
        <w:rPr>
          <w:rFonts w:cs="Gautami"/>
          <w:sz w:val="16"/>
          <w:szCs w:val="16"/>
        </w:rPr>
        <w:t>electricity distribution pricing review</w:t>
      </w:r>
      <w:r w:rsidRPr="006213C7">
        <w:rPr>
          <w:rFonts w:cs="Gautami"/>
          <w:sz w:val="16"/>
          <w:szCs w:val="16"/>
        </w:rPr>
        <w:t>, by the ESCV</w:t>
      </w:r>
      <w:r>
        <w:rPr>
          <w:rFonts w:cs="Gautami"/>
          <w:sz w:val="16"/>
          <w:szCs w:val="16"/>
        </w:rPr>
        <w:t>, with reference to the forecast operating expenditure allowance approved in those determinations</w:t>
      </w:r>
      <w:r w:rsidRPr="006213C7">
        <w:rPr>
          <w:rFonts w:cs="Gautami"/>
          <w:sz w:val="16"/>
          <w:szCs w:val="16"/>
        </w:rPr>
        <w:t>;</w:t>
      </w:r>
    </w:p>
    <w:p w:rsidR="00AA657D" w:rsidRPr="0041440C" w:rsidRDefault="00AA657D" w:rsidP="00AA657D">
      <w:pPr>
        <w:autoSpaceDE w:val="0"/>
        <w:autoSpaceDN w:val="0"/>
        <w:adjustRightInd w:val="0"/>
        <w:spacing w:after="120" w:line="240" w:lineRule="auto"/>
        <w:ind w:left="1134" w:hanging="567"/>
        <w:rPr>
          <w:rFonts w:eastAsia="Calibri" w:cs="Gautami"/>
          <w:sz w:val="16"/>
          <w:szCs w:val="16"/>
        </w:rPr>
      </w:pPr>
      <w:r w:rsidRPr="0041440C">
        <w:rPr>
          <w:rFonts w:eastAsia="Calibri" w:cs="Gautami"/>
          <w:sz w:val="16"/>
          <w:szCs w:val="16"/>
        </w:rPr>
        <w:t>(</w:t>
      </w:r>
      <w:r>
        <w:rPr>
          <w:rFonts w:eastAsia="Calibri" w:cs="Gautami"/>
          <w:sz w:val="16"/>
          <w:szCs w:val="16"/>
        </w:rPr>
        <w:t>e</w:t>
      </w:r>
      <w:r w:rsidRPr="0041440C">
        <w:rPr>
          <w:rFonts w:eastAsia="Calibri" w:cs="Gautami"/>
          <w:sz w:val="16"/>
          <w:szCs w:val="16"/>
        </w:rPr>
        <w:t>)</w:t>
      </w:r>
      <w:r w:rsidRPr="0041440C">
        <w:rPr>
          <w:rFonts w:eastAsia="Calibri" w:cs="Gautami"/>
          <w:sz w:val="16"/>
          <w:szCs w:val="16"/>
        </w:rPr>
        <w:tab/>
        <w:t xml:space="preserve">a relevant insurance policy is an insurance policy </w:t>
      </w:r>
      <w:r>
        <w:rPr>
          <w:rFonts w:eastAsia="Calibri" w:cs="Gautami"/>
          <w:sz w:val="16"/>
          <w:szCs w:val="16"/>
        </w:rPr>
        <w:t>held</w:t>
      </w:r>
      <w:r w:rsidRPr="0041440C">
        <w:rPr>
          <w:rFonts w:eastAsia="Calibri" w:cs="Gautami"/>
          <w:sz w:val="16"/>
          <w:szCs w:val="16"/>
        </w:rPr>
        <w:t xml:space="preserve"> during the 2006–10 regulatory period or the 2011–15 regulatory control period</w:t>
      </w:r>
      <w:r>
        <w:rPr>
          <w:rFonts w:eastAsia="Calibri" w:cs="Gautami"/>
          <w:sz w:val="16"/>
          <w:szCs w:val="16"/>
        </w:rPr>
        <w:t>;</w:t>
      </w:r>
    </w:p>
    <w:p w:rsidR="00AA657D" w:rsidRDefault="00AA657D" w:rsidP="00AA657D">
      <w:pPr>
        <w:autoSpaceDE w:val="0"/>
        <w:autoSpaceDN w:val="0"/>
        <w:adjustRightInd w:val="0"/>
        <w:spacing w:after="240" w:line="240" w:lineRule="auto"/>
        <w:ind w:left="1134" w:hanging="567"/>
        <w:rPr>
          <w:rFonts w:eastAsia="Calibri" w:cs="Gautami"/>
          <w:sz w:val="16"/>
          <w:szCs w:val="16"/>
        </w:rPr>
      </w:pPr>
      <w:r w:rsidRPr="0041440C">
        <w:rPr>
          <w:rFonts w:eastAsia="Calibri" w:cs="Gautami"/>
          <w:sz w:val="16"/>
          <w:szCs w:val="16"/>
        </w:rPr>
        <w:t>(</w:t>
      </w:r>
      <w:r>
        <w:rPr>
          <w:rFonts w:eastAsia="Calibri" w:cs="Gautami"/>
          <w:sz w:val="16"/>
          <w:szCs w:val="16"/>
        </w:rPr>
        <w:t>f</w:t>
      </w:r>
      <w:r w:rsidRPr="0041440C">
        <w:rPr>
          <w:rFonts w:eastAsia="Calibri" w:cs="Gautami"/>
          <w:sz w:val="16"/>
          <w:szCs w:val="16"/>
        </w:rPr>
        <w:t>)</w:t>
      </w:r>
      <w:r w:rsidRPr="0041440C">
        <w:rPr>
          <w:rFonts w:eastAsia="Calibri" w:cs="Gautami"/>
          <w:sz w:val="16"/>
          <w:szCs w:val="16"/>
        </w:rPr>
        <w:tab/>
      </w:r>
      <w:r w:rsidRPr="00992337">
        <w:rPr>
          <w:rFonts w:eastAsia="Calibri" w:cs="Gautami"/>
          <w:sz w:val="16"/>
          <w:szCs w:val="16"/>
        </w:rPr>
        <w:t xml:space="preserve">the costs beyond the </w:t>
      </w:r>
      <w:r>
        <w:rPr>
          <w:rFonts w:eastAsia="Calibri" w:cs="Gautami"/>
          <w:sz w:val="16"/>
          <w:szCs w:val="16"/>
        </w:rPr>
        <w:t xml:space="preserve">relevant </w:t>
      </w:r>
      <w:r w:rsidRPr="00992337">
        <w:rPr>
          <w:rFonts w:eastAsia="Calibri" w:cs="Gautami"/>
          <w:sz w:val="16"/>
          <w:szCs w:val="16"/>
        </w:rPr>
        <w:t>policy limit</w:t>
      </w:r>
      <w:r w:rsidRPr="00992337" w:rsidDel="00B54F7E">
        <w:rPr>
          <w:rFonts w:eastAsia="Calibri" w:cs="Gautami"/>
          <w:sz w:val="16"/>
          <w:szCs w:val="16"/>
        </w:rPr>
        <w:t xml:space="preserve"> </w:t>
      </w:r>
      <w:r w:rsidRPr="00992337">
        <w:rPr>
          <w:rFonts w:eastAsia="Calibri" w:cs="Gautami"/>
          <w:sz w:val="16"/>
          <w:szCs w:val="16"/>
        </w:rPr>
        <w:t xml:space="preserve">materially increase </w:t>
      </w:r>
      <w:r>
        <w:rPr>
          <w:rFonts w:eastAsia="Calibri" w:cs="Gautami"/>
          <w:sz w:val="16"/>
          <w:szCs w:val="16"/>
        </w:rPr>
        <w:t xml:space="preserve">the </w:t>
      </w:r>
      <w:r w:rsidRPr="0041440C">
        <w:rPr>
          <w:rFonts w:eastAsia="Calibri" w:cs="Gautami"/>
          <w:sz w:val="16"/>
          <w:szCs w:val="16"/>
        </w:rPr>
        <w:t xml:space="preserve">costs where </w:t>
      </w:r>
      <w:r>
        <w:rPr>
          <w:rFonts w:eastAsia="Calibri" w:cs="Gautami"/>
          <w:sz w:val="16"/>
          <w:szCs w:val="16"/>
        </w:rPr>
        <w:t xml:space="preserve">those costs would increase </w:t>
      </w:r>
      <w:r w:rsidRPr="00992337">
        <w:rPr>
          <w:rFonts w:eastAsia="Calibri" w:cs="Gautami"/>
          <w:sz w:val="16"/>
          <w:szCs w:val="16"/>
        </w:rPr>
        <w:t>the smoothed forecast</w:t>
      </w:r>
      <w:r>
        <w:rPr>
          <w:rFonts w:eastAsia="Calibri" w:cs="Gautami"/>
          <w:sz w:val="16"/>
          <w:szCs w:val="16"/>
        </w:rPr>
        <w:t xml:space="preserve"> </w:t>
      </w:r>
      <w:r w:rsidRPr="00992337">
        <w:rPr>
          <w:rFonts w:eastAsia="Calibri" w:cs="Gautami"/>
          <w:sz w:val="16"/>
          <w:szCs w:val="16"/>
        </w:rPr>
        <w:t>revenue of the regulatory year in which the costs are incurred</w:t>
      </w:r>
      <w:r>
        <w:rPr>
          <w:rFonts w:eastAsia="Calibri" w:cs="Gautami"/>
          <w:sz w:val="16"/>
          <w:szCs w:val="16"/>
        </w:rPr>
        <w:t xml:space="preserve"> by at least 1 per cent</w:t>
      </w:r>
      <w:r w:rsidRPr="00992337">
        <w:rPr>
          <w:rFonts w:eastAsia="Calibri" w:cs="Gautami"/>
          <w:sz w:val="16"/>
          <w:szCs w:val="16"/>
        </w:rPr>
        <w:t>.</w:t>
      </w:r>
    </w:p>
    <w:p w:rsidR="00AA657D" w:rsidRDefault="00AA657D" w:rsidP="00AA657D">
      <w:pPr>
        <w:pStyle w:val="AERbodytext"/>
      </w:pPr>
      <w:r>
        <w:t>We will make the necessary consequential amendments to SP AusNet’s 2011-15 distribution determination to give effect to this decision. We will publish those separately.</w:t>
      </w:r>
    </w:p>
    <w:p w:rsidR="00DE4097" w:rsidRDefault="009B1A00" w:rsidP="00177969">
      <w:pPr>
        <w:pStyle w:val="AERbodytext"/>
      </w:pPr>
      <w:r>
        <w:t xml:space="preserve">This decision addresses a ‘gap’ in the application of the insurance event.  </w:t>
      </w:r>
      <w:r w:rsidR="00703081">
        <w:t>This gap arises given the insurance event in SP AusNet’s current determination does not cover the limits for prior policies. The extension of the insurance event definition to prior policies also gives effect to the previous regulatory arrangements administered by the ESCV.</w:t>
      </w:r>
      <w:r w:rsidR="00DE4097">
        <w:t xml:space="preserve"> Under these</w:t>
      </w:r>
      <w:r w:rsidR="00703081">
        <w:t xml:space="preserve"> </w:t>
      </w:r>
      <w:r w:rsidR="00C5054A">
        <w:t xml:space="preserve">previous </w:t>
      </w:r>
      <w:r w:rsidR="00703081">
        <w:t>arrangements were an insurance claim made</w:t>
      </w:r>
      <w:r w:rsidR="00DE4097">
        <w:t>,</w:t>
      </w:r>
      <w:r w:rsidR="00703081">
        <w:t xml:space="preserve"> SP AusNet could have appli</w:t>
      </w:r>
      <w:r w:rsidR="00DE4097">
        <w:t xml:space="preserve">ed to </w:t>
      </w:r>
      <w:r w:rsidR="00703081">
        <w:t xml:space="preserve">the ESCV to </w:t>
      </w:r>
      <w:r w:rsidR="00DE4097">
        <w:t xml:space="preserve">recover </w:t>
      </w:r>
      <w:r w:rsidR="00703081">
        <w:t>costs</w:t>
      </w:r>
      <w:r w:rsidR="00DE4097">
        <w:t xml:space="preserve"> above insurance limits.</w:t>
      </w:r>
      <w:r w:rsidR="00C5054A">
        <w:rPr>
          <w:rStyle w:val="FootnoteReference"/>
        </w:rPr>
        <w:footnoteReference w:id="1"/>
      </w:r>
    </w:p>
    <w:p w:rsidR="00AA657D" w:rsidRPr="00026438" w:rsidRDefault="0067018F" w:rsidP="00026438">
      <w:pPr>
        <w:pStyle w:val="AERbodytext"/>
      </w:pPr>
      <w:r w:rsidRPr="00026438">
        <w:t xml:space="preserve">In addressing this gap, this decision allows SP AusNet to apply to the AER to recover costs that exceed the </w:t>
      </w:r>
      <w:r w:rsidR="0072052A" w:rsidRPr="00026438">
        <w:t xml:space="preserve">limits </w:t>
      </w:r>
      <w:r w:rsidRPr="00026438">
        <w:t xml:space="preserve">of coverage </w:t>
      </w:r>
      <w:r w:rsidR="0072052A" w:rsidRPr="00026438">
        <w:t>of its</w:t>
      </w:r>
      <w:r w:rsidRPr="00026438">
        <w:t xml:space="preserve"> relevant insurance policies</w:t>
      </w:r>
      <w:r w:rsidR="0072052A" w:rsidRPr="00026438">
        <w:t>.</w:t>
      </w:r>
      <w:r w:rsidRPr="00026438">
        <w:t xml:space="preserve"> </w:t>
      </w:r>
    </w:p>
    <w:p w:rsidR="0053129C" w:rsidRDefault="00AA657D" w:rsidP="0053129C">
      <w:pPr>
        <w:pStyle w:val="AERbodytext"/>
      </w:pPr>
      <w:r>
        <w:t xml:space="preserve">This decision only gives SP AusNet an opportunity to </w:t>
      </w:r>
      <w:r w:rsidR="00FA4CD3">
        <w:t xml:space="preserve">apply to the AER to </w:t>
      </w:r>
      <w:r>
        <w:t xml:space="preserve">recover additional costs. It does not mean SP AusNet will </w:t>
      </w:r>
      <w:r w:rsidR="00FA4CD3">
        <w:t xml:space="preserve">automatically </w:t>
      </w:r>
      <w:r>
        <w:t xml:space="preserve">receive any additional revenue. We will assess that, </w:t>
      </w:r>
      <w:r w:rsidR="00451658">
        <w:t>s</w:t>
      </w:r>
      <w:r>
        <w:t>hould an insurance event occur</w:t>
      </w:r>
      <w:r w:rsidR="00FA4CD3">
        <w:t>,</w:t>
      </w:r>
      <w:r>
        <w:t xml:space="preserve"> and if SP AusNet makes an application. In doing so, </w:t>
      </w:r>
      <w:r w:rsidR="00474E8C">
        <w:t xml:space="preserve">we </w:t>
      </w:r>
      <w:r>
        <w:t xml:space="preserve">must </w:t>
      </w:r>
      <w:r w:rsidRPr="009D5BA7">
        <w:t>consider</w:t>
      </w:r>
      <w:r>
        <w:t xml:space="preserve"> what actions</w:t>
      </w:r>
      <w:r w:rsidRPr="009D5BA7">
        <w:t xml:space="preserve"> </w:t>
      </w:r>
      <w:r>
        <w:t xml:space="preserve">SP AusNet </w:t>
      </w:r>
      <w:r w:rsidRPr="009D5BA7">
        <w:t xml:space="preserve">has </w:t>
      </w:r>
      <w:r>
        <w:t>taken</w:t>
      </w:r>
      <w:r w:rsidRPr="009D5BA7">
        <w:t xml:space="preserve"> to mitigate </w:t>
      </w:r>
      <w:r>
        <w:t>or reduce costs</w:t>
      </w:r>
      <w:r w:rsidRPr="009D5BA7">
        <w:t>.</w:t>
      </w:r>
      <w:r>
        <w:t xml:space="preserve"> </w:t>
      </w:r>
      <w:r w:rsidR="0053129C" w:rsidRPr="001D2C08">
        <w:t>This</w:t>
      </w:r>
      <w:r w:rsidR="0072052A">
        <w:t xml:space="preserve"> would </w:t>
      </w:r>
      <w:r w:rsidR="0053129C" w:rsidRPr="001D2C08">
        <w:t>include</w:t>
      </w:r>
      <w:r w:rsidR="0053129C">
        <w:t>, amongst other factors</w:t>
      </w:r>
      <w:r w:rsidR="0053129C" w:rsidRPr="001D2C08">
        <w:t>:</w:t>
      </w:r>
    </w:p>
    <w:p w:rsidR="0053129C" w:rsidRDefault="0053129C" w:rsidP="0053129C">
      <w:pPr>
        <w:pStyle w:val="AERbulletlistfirststyle"/>
      </w:pPr>
      <w:r w:rsidRPr="001D2C08">
        <w:t>actions the network business may/may not have taken to reduce the magnitude of the pass through amount; and</w:t>
      </w:r>
    </w:p>
    <w:p w:rsidR="0053129C" w:rsidRDefault="0053129C" w:rsidP="0053129C">
      <w:pPr>
        <w:pStyle w:val="AERbulletlistfirststyle"/>
      </w:pPr>
      <w:r w:rsidRPr="001D2C08">
        <w:t xml:space="preserve">actions </w:t>
      </w:r>
      <w:r>
        <w:t xml:space="preserve">or omissions </w:t>
      </w:r>
      <w:r w:rsidRPr="001D2C08">
        <w:t>taken by the business which affect the magnitude of the amount involved</w:t>
      </w:r>
      <w:r>
        <w:t>.</w:t>
      </w:r>
      <w:r>
        <w:rPr>
          <w:rStyle w:val="FootnoteReference"/>
        </w:rPr>
        <w:footnoteReference w:id="2"/>
      </w:r>
    </w:p>
    <w:p w:rsidR="00AA657D" w:rsidRDefault="001274D2" w:rsidP="00AA657D">
      <w:pPr>
        <w:pStyle w:val="AERbodytext"/>
      </w:pPr>
      <w:r>
        <w:t>S</w:t>
      </w:r>
      <w:r w:rsidR="00AA657D">
        <w:t>hould SP AusNet make an application, we would</w:t>
      </w:r>
      <w:r>
        <w:t>, for example,</w:t>
      </w:r>
      <w:r w:rsidR="00AA657D">
        <w:t xml:space="preserve"> review any court </w:t>
      </w:r>
      <w:r w:rsidR="008D6BEB">
        <w:t xml:space="preserve">judgements </w:t>
      </w:r>
      <w:r w:rsidR="00AA657D">
        <w:t xml:space="preserve">or litigation settlement involved. </w:t>
      </w:r>
    </w:p>
    <w:p w:rsidR="00991B51" w:rsidRDefault="00991B51" w:rsidP="00AA657D">
      <w:pPr>
        <w:pStyle w:val="AERbodytext"/>
      </w:pPr>
      <w:r>
        <w:rPr>
          <w:rStyle w:val="AERbody"/>
        </w:rPr>
        <w:lastRenderedPageBreak/>
        <w:t xml:space="preserve">It should also be noted this decision is not about whether the AER includes </w:t>
      </w:r>
      <w:r w:rsidRPr="00AA657D">
        <w:rPr>
          <w:rStyle w:val="AERbody"/>
        </w:rPr>
        <w:t xml:space="preserve">an insurance pass through event in SP AusNet’s current determination. The Tribunal’s remittal is to determine how to </w:t>
      </w:r>
      <w:r>
        <w:rPr>
          <w:rStyle w:val="AERbody"/>
        </w:rPr>
        <w:t>define</w:t>
      </w:r>
      <w:r w:rsidRPr="00AA657D">
        <w:rPr>
          <w:rStyle w:val="AERbody"/>
        </w:rPr>
        <w:t xml:space="preserve"> the event, not whether the event should exist</w:t>
      </w:r>
      <w:r>
        <w:rPr>
          <w:rStyle w:val="AERbody"/>
        </w:rPr>
        <w:t>.</w:t>
      </w:r>
    </w:p>
    <w:p w:rsidR="007C2D31" w:rsidRDefault="001A3F30">
      <w:pPr>
        <w:pStyle w:val="AERheading1"/>
      </w:pPr>
      <w:bookmarkStart w:id="4" w:name="_Toc354046516"/>
      <w:r>
        <w:lastRenderedPageBreak/>
        <w:t>Introduction</w:t>
      </w:r>
      <w:bookmarkEnd w:id="4"/>
    </w:p>
    <w:p w:rsidR="001A3F30" w:rsidRDefault="001A3F30" w:rsidP="001A3F30">
      <w:pPr>
        <w:pStyle w:val="AERheading2"/>
        <w:tabs>
          <w:tab w:val="clear" w:pos="4317"/>
          <w:tab w:val="num" w:pos="0"/>
        </w:tabs>
        <w:spacing w:after="240"/>
        <w:ind w:left="4315" w:hanging="5024"/>
      </w:pPr>
      <w:bookmarkStart w:id="5" w:name="_Toc354046517"/>
      <w:r>
        <w:t>The issue</w:t>
      </w:r>
      <w:bookmarkEnd w:id="5"/>
    </w:p>
    <w:p w:rsidR="0052611F" w:rsidRDefault="0052611F" w:rsidP="0052611F">
      <w:pPr>
        <w:pStyle w:val="AERbodytext"/>
      </w:pPr>
      <w:r>
        <w:t>A distribution determination is predicated on a number of constituent decisions.</w:t>
      </w:r>
      <w:r>
        <w:rPr>
          <w:rStyle w:val="FootnoteReference"/>
        </w:rPr>
        <w:footnoteReference w:id="3"/>
      </w:r>
      <w:r>
        <w:t xml:space="preserve"> Nominating pass through events (</w:t>
      </w:r>
      <w:r w:rsidRPr="008C15F2">
        <w:rPr>
          <w:b/>
        </w:rPr>
        <w:t>nominated pass through event</w:t>
      </w:r>
      <w:r>
        <w:t>) is one of these. This is in addition to pass through events that the NER prescribes.</w:t>
      </w:r>
      <w:r>
        <w:rPr>
          <w:rStyle w:val="FootnoteReference"/>
        </w:rPr>
        <w:footnoteReference w:id="4"/>
      </w:r>
      <w:r>
        <w:t xml:space="preserve"> </w:t>
      </w:r>
    </w:p>
    <w:p w:rsidR="0052611F" w:rsidRDefault="0052611F" w:rsidP="007C2D31">
      <w:pPr>
        <w:pStyle w:val="AERbodytext"/>
      </w:pPr>
      <w:r w:rsidRPr="0052611F">
        <w:rPr>
          <w:rStyle w:val="AERbody"/>
        </w:rPr>
        <w:t xml:space="preserve">In general, the NER’s pass through </w:t>
      </w:r>
      <w:r w:rsidR="00FA4CD3">
        <w:rPr>
          <w:rStyle w:val="AERbody"/>
        </w:rPr>
        <w:t>framework</w:t>
      </w:r>
      <w:r w:rsidR="00FA4CD3" w:rsidRPr="0052611F">
        <w:rPr>
          <w:rStyle w:val="AERbody"/>
        </w:rPr>
        <w:t xml:space="preserve"> </w:t>
      </w:r>
      <w:r w:rsidR="00FA4CD3">
        <w:rPr>
          <w:rStyle w:val="AERbody"/>
        </w:rPr>
        <w:t>provides a mechanism for</w:t>
      </w:r>
      <w:r w:rsidR="00FA4CD3" w:rsidRPr="0052611F">
        <w:rPr>
          <w:rStyle w:val="AERbody"/>
        </w:rPr>
        <w:t xml:space="preserve"> </w:t>
      </w:r>
      <w:r w:rsidRPr="0052611F">
        <w:rPr>
          <w:rStyle w:val="AERbody"/>
        </w:rPr>
        <w:t xml:space="preserve">a distribution network service provider (DNSP) </w:t>
      </w:r>
      <w:r w:rsidR="00EA01EC">
        <w:rPr>
          <w:rStyle w:val="AERbody"/>
        </w:rPr>
        <w:t xml:space="preserve">to apply to the AER </w:t>
      </w:r>
      <w:r w:rsidRPr="0052611F">
        <w:rPr>
          <w:rStyle w:val="AERbody"/>
        </w:rPr>
        <w:t>to recover certain costs that are material and beyond its control. Although a DNSP may incur these costs in respect of foreseeable events, they are different to costs that a DNSP may control. The regulatory regime expects a DNSP to manage and bear costs it can control.</w:t>
      </w:r>
      <w:r w:rsidRPr="0052611F">
        <w:rPr>
          <w:rStyle w:val="AERsuperscript"/>
        </w:rPr>
        <w:footnoteReference w:id="5"/>
      </w:r>
    </w:p>
    <w:p w:rsidR="007C2D31" w:rsidRDefault="007C2D31" w:rsidP="007C2D31">
      <w:pPr>
        <w:pStyle w:val="AERbodytext"/>
      </w:pPr>
      <w:r>
        <w:t xml:space="preserve">On </w:t>
      </w:r>
      <w:r w:rsidR="00951C1D" w:rsidRPr="00951C1D">
        <w:t>19 November 201</w:t>
      </w:r>
      <w:r w:rsidRPr="00057820">
        <w:t>0</w:t>
      </w:r>
      <w:r>
        <w:t xml:space="preserve">, </w:t>
      </w:r>
      <w:r w:rsidRPr="00093D84">
        <w:t>SPI Electricity Pty Ltd (</w:t>
      </w:r>
      <w:r w:rsidRPr="00093D84">
        <w:rPr>
          <w:b/>
        </w:rPr>
        <w:t>SP AusNet</w:t>
      </w:r>
      <w:r w:rsidRPr="00093D84">
        <w:t xml:space="preserve">) </w:t>
      </w:r>
      <w:r>
        <w:t>applied to the Australian Competition Tribunal (</w:t>
      </w:r>
      <w:r w:rsidRPr="007741CC">
        <w:rPr>
          <w:b/>
        </w:rPr>
        <w:t>Tribunal</w:t>
      </w:r>
      <w:r>
        <w:t>) for review of various parts of its 2011–15 distribution determination</w:t>
      </w:r>
      <w:r w:rsidRPr="00636D9D">
        <w:t>.</w:t>
      </w:r>
      <w:r w:rsidRPr="00636D9D">
        <w:rPr>
          <w:rStyle w:val="FootnoteReference"/>
        </w:rPr>
        <w:footnoteReference w:id="6"/>
      </w:r>
      <w:r w:rsidRPr="00636D9D">
        <w:t xml:space="preserve"> One part of </w:t>
      </w:r>
      <w:r>
        <w:t xml:space="preserve">that </w:t>
      </w:r>
      <w:r w:rsidRPr="00636D9D">
        <w:t>review concerned the</w:t>
      </w:r>
      <w:r>
        <w:t xml:space="preserve"> following definition of</w:t>
      </w:r>
      <w:r w:rsidRPr="00636D9D">
        <w:t xml:space="preserve"> </w:t>
      </w:r>
      <w:r>
        <w:t xml:space="preserve">the insurance </w:t>
      </w:r>
      <w:r w:rsidR="00777894">
        <w:t xml:space="preserve">pass </w:t>
      </w:r>
      <w:r>
        <w:t>through event</w:t>
      </w:r>
      <w:r w:rsidRPr="00636D9D">
        <w:t xml:space="preserve"> that </w:t>
      </w:r>
      <w:r>
        <w:t>was</w:t>
      </w:r>
      <w:r w:rsidRPr="00636D9D">
        <w:t xml:space="preserve"> </w:t>
      </w:r>
      <w:r>
        <w:t>included in SP AusNet’s 2011–15 distribution determination pursuant to clause 6.12.1(14)</w:t>
      </w:r>
      <w:r w:rsidRPr="00636D9D">
        <w:t xml:space="preserve"> </w:t>
      </w:r>
      <w:r>
        <w:t xml:space="preserve">of </w:t>
      </w:r>
      <w:r w:rsidRPr="00636D9D">
        <w:t xml:space="preserve">the </w:t>
      </w:r>
      <w:r w:rsidRPr="00636D9D">
        <w:rPr>
          <w:i/>
        </w:rPr>
        <w:t>National Electricity Rules</w:t>
      </w:r>
      <w:r w:rsidRPr="00636D9D">
        <w:t xml:space="preserve"> (</w:t>
      </w:r>
      <w:r w:rsidRPr="00636D9D">
        <w:rPr>
          <w:b/>
        </w:rPr>
        <w:t>NER</w:t>
      </w:r>
      <w:r w:rsidRPr="007D645B">
        <w:t>)</w:t>
      </w:r>
      <w:r>
        <w:t>:</w:t>
      </w:r>
    </w:p>
    <w:p w:rsidR="007C2D31" w:rsidRPr="00992337" w:rsidRDefault="007C2D31" w:rsidP="007C2D31">
      <w:p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an insurance event:</w:t>
      </w:r>
    </w:p>
    <w:p w:rsidR="007C2D31" w:rsidRPr="00992337" w:rsidRDefault="007C2D31" w:rsidP="007C2D31">
      <w:p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An insurance event occurs if:</w:t>
      </w:r>
    </w:p>
    <w:p w:rsidR="00AA536A" w:rsidRDefault="007C2D31">
      <w:pPr>
        <w:numPr>
          <w:ilvl w:val="0"/>
          <w:numId w:val="6"/>
        </w:num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the DNSP makes a claim on an insurance policy that it holds;</w:t>
      </w:r>
      <w:r>
        <w:rPr>
          <w:rFonts w:eastAsia="Calibri" w:cs="Gautami"/>
          <w:sz w:val="16"/>
          <w:szCs w:val="16"/>
        </w:rPr>
        <w:t xml:space="preserve"> </w:t>
      </w:r>
      <w:r w:rsidRPr="00992337">
        <w:rPr>
          <w:rFonts w:eastAsia="Calibri" w:cs="Gautami"/>
          <w:sz w:val="16"/>
          <w:szCs w:val="16"/>
        </w:rPr>
        <w:t>and</w:t>
      </w:r>
    </w:p>
    <w:p w:rsidR="007C2D31" w:rsidRPr="00992337" w:rsidRDefault="007C2D31" w:rsidP="007C2D31">
      <w:pPr>
        <w:autoSpaceDE w:val="0"/>
        <w:autoSpaceDN w:val="0"/>
        <w:adjustRightInd w:val="0"/>
        <w:spacing w:after="120" w:line="240" w:lineRule="auto"/>
        <w:ind w:left="1134" w:hanging="567"/>
        <w:rPr>
          <w:rFonts w:cs="Gautami"/>
          <w:sz w:val="16"/>
          <w:szCs w:val="16"/>
        </w:rPr>
      </w:pPr>
      <w:r w:rsidRPr="00992337">
        <w:rPr>
          <w:rFonts w:eastAsia="Calibri" w:cs="Gautami"/>
          <w:sz w:val="16"/>
          <w:szCs w:val="16"/>
        </w:rPr>
        <w:t>(b)</w:t>
      </w:r>
      <w:r>
        <w:rPr>
          <w:rFonts w:eastAsia="Calibri" w:cs="Gautami"/>
          <w:sz w:val="16"/>
          <w:szCs w:val="16"/>
        </w:rPr>
        <w:tab/>
      </w:r>
      <w:r w:rsidRPr="00992337">
        <w:rPr>
          <w:rFonts w:eastAsia="Calibri" w:cs="Gautami"/>
          <w:sz w:val="16"/>
          <w:szCs w:val="16"/>
        </w:rPr>
        <w:t>the DNSP incurs costs beyond the policy limit for the relevant</w:t>
      </w:r>
      <w:r>
        <w:rPr>
          <w:rFonts w:eastAsia="Calibri" w:cs="Gautami"/>
          <w:sz w:val="16"/>
          <w:szCs w:val="16"/>
        </w:rPr>
        <w:t xml:space="preserve"> </w:t>
      </w:r>
      <w:r w:rsidRPr="00992337">
        <w:rPr>
          <w:rFonts w:eastAsia="Calibri" w:cs="Gautami"/>
          <w:sz w:val="16"/>
          <w:szCs w:val="16"/>
        </w:rPr>
        <w:t>insurance policy; and</w:t>
      </w:r>
    </w:p>
    <w:p w:rsidR="007C2D31" w:rsidRPr="00992337" w:rsidRDefault="007C2D31" w:rsidP="007C2D31">
      <w:p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(c)</w:t>
      </w:r>
      <w:r>
        <w:rPr>
          <w:rFonts w:eastAsia="Calibri" w:cs="Gautami"/>
          <w:sz w:val="16"/>
          <w:szCs w:val="16"/>
        </w:rPr>
        <w:tab/>
      </w:r>
      <w:r w:rsidRPr="00992337">
        <w:rPr>
          <w:rFonts w:eastAsia="Calibri" w:cs="Gautami"/>
          <w:sz w:val="16"/>
          <w:szCs w:val="16"/>
        </w:rPr>
        <w:t>the DNSP must bear the costs that are in excess of the policy</w:t>
      </w:r>
      <w:r>
        <w:rPr>
          <w:rFonts w:eastAsia="Calibri" w:cs="Gautami"/>
          <w:sz w:val="16"/>
          <w:szCs w:val="16"/>
        </w:rPr>
        <w:t xml:space="preserve"> </w:t>
      </w:r>
      <w:r w:rsidRPr="00992337">
        <w:rPr>
          <w:rFonts w:eastAsia="Calibri" w:cs="Gautami"/>
          <w:sz w:val="16"/>
          <w:szCs w:val="16"/>
        </w:rPr>
        <w:t>limit; and</w:t>
      </w:r>
    </w:p>
    <w:p w:rsidR="007C2D31" w:rsidRPr="00992337" w:rsidRDefault="007C2D31" w:rsidP="007C2D31">
      <w:pPr>
        <w:autoSpaceDE w:val="0"/>
        <w:autoSpaceDN w:val="0"/>
        <w:adjustRightInd w:val="0"/>
        <w:spacing w:after="120" w:line="240" w:lineRule="auto"/>
        <w:ind w:left="1134" w:hanging="567"/>
        <w:rPr>
          <w:rFonts w:eastAsia="Calibri" w:cs="Gautami"/>
          <w:sz w:val="16"/>
          <w:szCs w:val="16"/>
        </w:rPr>
      </w:pPr>
      <w:r w:rsidRPr="00992337">
        <w:rPr>
          <w:rFonts w:eastAsia="Calibri" w:cs="Gautami"/>
          <w:sz w:val="16"/>
          <w:szCs w:val="16"/>
        </w:rPr>
        <w:t>(d)</w:t>
      </w:r>
      <w:r>
        <w:rPr>
          <w:rFonts w:eastAsia="Calibri" w:cs="Gautami"/>
          <w:sz w:val="16"/>
          <w:szCs w:val="16"/>
        </w:rPr>
        <w:tab/>
      </w:r>
      <w:r w:rsidRPr="00992337">
        <w:rPr>
          <w:rFonts w:eastAsia="Calibri" w:cs="Gautami"/>
          <w:sz w:val="16"/>
          <w:szCs w:val="16"/>
        </w:rPr>
        <w:t>the event materially increases the costs to the DNSP of</w:t>
      </w:r>
      <w:r>
        <w:rPr>
          <w:rFonts w:eastAsia="Calibri" w:cs="Gautami"/>
          <w:sz w:val="16"/>
          <w:szCs w:val="16"/>
        </w:rPr>
        <w:t xml:space="preserve"> </w:t>
      </w:r>
      <w:r w:rsidRPr="00992337">
        <w:rPr>
          <w:rFonts w:eastAsia="Calibri" w:cs="Gautami"/>
          <w:sz w:val="16"/>
          <w:szCs w:val="16"/>
        </w:rPr>
        <w:t>providing direct control services.</w:t>
      </w:r>
    </w:p>
    <w:p w:rsidR="007C2D31" w:rsidRPr="00992337" w:rsidRDefault="007C2D31" w:rsidP="007C2D31">
      <w:pPr>
        <w:autoSpaceDE w:val="0"/>
        <w:autoSpaceDN w:val="0"/>
        <w:adjustRightInd w:val="0"/>
        <w:spacing w:after="120" w:line="240" w:lineRule="auto"/>
        <w:ind w:left="567"/>
        <w:rPr>
          <w:rFonts w:eastAsia="Calibri" w:cs="Gautami"/>
          <w:sz w:val="16"/>
          <w:szCs w:val="16"/>
        </w:rPr>
      </w:pPr>
      <w:r w:rsidRPr="00992337">
        <w:rPr>
          <w:rFonts w:eastAsia="Calibri" w:cs="Gautami"/>
          <w:sz w:val="16"/>
          <w:szCs w:val="16"/>
        </w:rPr>
        <w:t>For the purpose of this event, an event is considered to materially increase</w:t>
      </w:r>
      <w:r>
        <w:rPr>
          <w:rFonts w:eastAsia="Calibri" w:cs="Gautami"/>
          <w:sz w:val="16"/>
          <w:szCs w:val="16"/>
        </w:rPr>
        <w:t xml:space="preserve"> </w:t>
      </w:r>
      <w:r w:rsidRPr="00992337">
        <w:rPr>
          <w:rFonts w:eastAsia="Calibri" w:cs="Gautami"/>
          <w:sz w:val="16"/>
          <w:szCs w:val="16"/>
        </w:rPr>
        <w:t>costs where the event has an impact of one per cent of the smoothed forecast</w:t>
      </w:r>
      <w:r>
        <w:rPr>
          <w:rFonts w:eastAsia="Calibri" w:cs="Gautami"/>
          <w:sz w:val="16"/>
          <w:szCs w:val="16"/>
        </w:rPr>
        <w:t xml:space="preserve"> </w:t>
      </w:r>
      <w:r w:rsidRPr="00992337">
        <w:rPr>
          <w:rFonts w:eastAsia="Calibri" w:cs="Gautami"/>
          <w:sz w:val="16"/>
          <w:szCs w:val="16"/>
        </w:rPr>
        <w:t>revenue of the regulatory year in which the costs are incurred.</w:t>
      </w:r>
    </w:p>
    <w:p w:rsidR="007C2D31" w:rsidRDefault="007C2D31" w:rsidP="007C2D31">
      <w:pPr>
        <w:autoSpaceDE w:val="0"/>
        <w:autoSpaceDN w:val="0"/>
        <w:adjustRightInd w:val="0"/>
        <w:spacing w:after="240" w:line="240" w:lineRule="auto"/>
        <w:ind w:left="567"/>
        <w:rPr>
          <w:rFonts w:eastAsia="Calibri" w:cs="Gautami"/>
          <w:sz w:val="16"/>
          <w:szCs w:val="16"/>
        </w:rPr>
      </w:pPr>
      <w:r w:rsidRPr="00992337">
        <w:rPr>
          <w:rFonts w:eastAsia="Calibri" w:cs="Gautami"/>
          <w:sz w:val="16"/>
          <w:szCs w:val="16"/>
        </w:rPr>
        <w:t>For the purpose of this event, a relevant insurance policy refers to the policy</w:t>
      </w:r>
      <w:r>
        <w:rPr>
          <w:rFonts w:eastAsia="Calibri" w:cs="Gautami"/>
          <w:sz w:val="16"/>
          <w:szCs w:val="16"/>
        </w:rPr>
        <w:t xml:space="preserve"> </w:t>
      </w:r>
      <w:r w:rsidRPr="00992337">
        <w:rPr>
          <w:rFonts w:eastAsia="Calibri" w:cs="Gautami"/>
          <w:sz w:val="16"/>
          <w:szCs w:val="16"/>
        </w:rPr>
        <w:t>coverage provided through a DNSP ' s forecast operating expenditure</w:t>
      </w:r>
      <w:r>
        <w:rPr>
          <w:rFonts w:eastAsia="Calibri" w:cs="Gautami"/>
          <w:sz w:val="16"/>
          <w:szCs w:val="16"/>
        </w:rPr>
        <w:t xml:space="preserve"> </w:t>
      </w:r>
      <w:r w:rsidRPr="00992337">
        <w:rPr>
          <w:rFonts w:eastAsia="Calibri" w:cs="Gautami"/>
          <w:sz w:val="16"/>
          <w:szCs w:val="16"/>
        </w:rPr>
        <w:t>allowance for an insured risk, as approved by the AER in its distribution</w:t>
      </w:r>
      <w:r>
        <w:rPr>
          <w:rFonts w:eastAsia="Calibri" w:cs="Gautami"/>
          <w:sz w:val="16"/>
          <w:szCs w:val="16"/>
        </w:rPr>
        <w:t xml:space="preserve"> </w:t>
      </w:r>
      <w:r w:rsidRPr="00992337">
        <w:rPr>
          <w:rFonts w:eastAsia="Calibri" w:cs="Gautami"/>
          <w:sz w:val="16"/>
          <w:szCs w:val="16"/>
        </w:rPr>
        <w:t>determination and the reasons for the determination.</w:t>
      </w:r>
      <w:r>
        <w:rPr>
          <w:rStyle w:val="FootnoteReference"/>
          <w:rFonts w:eastAsia="Calibri" w:cs="Gautami"/>
          <w:sz w:val="16"/>
          <w:szCs w:val="16"/>
        </w:rPr>
        <w:footnoteReference w:id="7"/>
      </w:r>
    </w:p>
    <w:p w:rsidR="007C2D31" w:rsidRDefault="007C2D31" w:rsidP="007C2D31">
      <w:pPr>
        <w:pStyle w:val="AERbodytext"/>
      </w:pPr>
      <w:r w:rsidRPr="00093D84">
        <w:t xml:space="preserve">The </w:t>
      </w:r>
      <w:r>
        <w:t xml:space="preserve">reasons for including the insurance pass through event were set out in the </w:t>
      </w:r>
      <w:r w:rsidRPr="00093D84">
        <w:t>AER’s final decision for the 2011–15 Victorian distribution determinations (</w:t>
      </w:r>
      <w:r w:rsidRPr="00093D84">
        <w:rPr>
          <w:b/>
        </w:rPr>
        <w:t>Final Decision</w:t>
      </w:r>
      <w:r>
        <w:t>).</w:t>
      </w:r>
      <w:r>
        <w:rPr>
          <w:rStyle w:val="FootnoteReference"/>
        </w:rPr>
        <w:footnoteReference w:id="8"/>
      </w:r>
    </w:p>
    <w:p w:rsidR="007C2D31" w:rsidRDefault="007C2D31" w:rsidP="007C2D31">
      <w:pPr>
        <w:pStyle w:val="AERbodytext"/>
      </w:pPr>
      <w:r>
        <w:t xml:space="preserve">The Tribunal summarised SP AusNet’s concern with </w:t>
      </w:r>
      <w:r w:rsidRPr="00861230">
        <w:t xml:space="preserve">the insurance pass through event </w:t>
      </w:r>
      <w:r>
        <w:t>as follows:</w:t>
      </w:r>
    </w:p>
    <w:p w:rsidR="007C2D31" w:rsidRPr="007D7AE5" w:rsidRDefault="007C2D31" w:rsidP="007C2D31">
      <w:pPr>
        <w:spacing w:after="240" w:line="240" w:lineRule="auto"/>
        <w:ind w:left="567"/>
        <w:rPr>
          <w:rFonts w:cs="Gautami"/>
          <w:color w:val="000000"/>
          <w:sz w:val="16"/>
          <w:szCs w:val="16"/>
        </w:rPr>
      </w:pPr>
      <w:bookmarkStart w:id="6" w:name="Heading2420"/>
      <w:bookmarkEnd w:id="6"/>
      <w:r w:rsidRPr="007D7AE5">
        <w:rPr>
          <w:rFonts w:cs="Gautami"/>
          <w:color w:val="000000"/>
          <w:sz w:val="16"/>
          <w:szCs w:val="16"/>
        </w:rPr>
        <w:t xml:space="preserve">This issue concerns whether the reworked definition of </w:t>
      </w:r>
      <w:r w:rsidRPr="007D7AE5">
        <w:rPr>
          <w:rFonts w:cs="Gautami"/>
          <w:i/>
          <w:iCs/>
          <w:color w:val="000000"/>
          <w:sz w:val="16"/>
          <w:szCs w:val="16"/>
        </w:rPr>
        <w:t>“insurance event”</w:t>
      </w:r>
      <w:r w:rsidRPr="007D7AE5">
        <w:rPr>
          <w:rFonts w:cs="Gautami"/>
          <w:color w:val="000000"/>
          <w:sz w:val="16"/>
          <w:szCs w:val="16"/>
        </w:rPr>
        <w:t xml:space="preserve"> in the final decision which included a rider to that definition confining the costs which might be the subject of a pass through payment as a result of the happening of such an event to costs incurred which exceed the level of insurance cover provided by policies the premiums for which were provided for in SP AusNet’s forecast opex for the 2011–2015 </w:t>
      </w:r>
      <w:r w:rsidRPr="007D7AE5">
        <w:rPr>
          <w:rFonts w:cs="Gautami"/>
          <w:i/>
          <w:iCs/>
          <w:color w:val="000000"/>
          <w:sz w:val="16"/>
          <w:szCs w:val="16"/>
        </w:rPr>
        <w:t>regulatory control period</w:t>
      </w:r>
      <w:r w:rsidRPr="007D7AE5">
        <w:rPr>
          <w:rFonts w:cs="Gautami"/>
          <w:color w:val="000000"/>
          <w:sz w:val="16"/>
          <w:szCs w:val="16"/>
        </w:rPr>
        <w:t xml:space="preserve"> as approved by the AER was an incorrect exercise of discretion or unreasonable in all the circumstances or was arrived at as the result of errors of fact made by the AER. SP AusNet also contended that the decision to include the rider should be set aside because </w:t>
      </w:r>
      <w:r w:rsidRPr="007D7AE5">
        <w:rPr>
          <w:rFonts w:cs="Gautami"/>
          <w:color w:val="000000"/>
          <w:sz w:val="16"/>
          <w:szCs w:val="16"/>
        </w:rPr>
        <w:lastRenderedPageBreak/>
        <w:t xml:space="preserve">SP AusNet had been denied procedural fairness in the process leading to the final decision. The rider excluded from the scope of the additional nominated </w:t>
      </w:r>
      <w:r w:rsidRPr="007D7AE5">
        <w:rPr>
          <w:rFonts w:cs="Gautami"/>
          <w:i/>
          <w:iCs/>
          <w:color w:val="000000"/>
          <w:sz w:val="16"/>
          <w:szCs w:val="16"/>
        </w:rPr>
        <w:t>pass through event</w:t>
      </w:r>
      <w:r w:rsidRPr="007D7AE5">
        <w:rPr>
          <w:rFonts w:cs="Gautami"/>
          <w:color w:val="000000"/>
          <w:sz w:val="16"/>
          <w:szCs w:val="16"/>
        </w:rPr>
        <w:t xml:space="preserve"> concerning insurance (</w:t>
      </w:r>
      <w:r w:rsidRPr="007D7AE5">
        <w:rPr>
          <w:rFonts w:cs="Gautami"/>
          <w:b/>
          <w:bCs/>
          <w:color w:val="000000"/>
          <w:sz w:val="16"/>
          <w:szCs w:val="16"/>
        </w:rPr>
        <w:t>the insurance event</w:t>
      </w:r>
      <w:r w:rsidRPr="007D7AE5">
        <w:rPr>
          <w:rFonts w:cs="Gautami"/>
          <w:color w:val="000000"/>
          <w:sz w:val="16"/>
          <w:szCs w:val="16"/>
        </w:rPr>
        <w:t>)</w:t>
      </w:r>
      <w:r w:rsidRPr="007D7AE5">
        <w:rPr>
          <w:rFonts w:cs="Gautami"/>
          <w:b/>
          <w:bCs/>
          <w:color w:val="000000"/>
          <w:sz w:val="16"/>
          <w:szCs w:val="16"/>
        </w:rPr>
        <w:t xml:space="preserve"> </w:t>
      </w:r>
      <w:r w:rsidRPr="007D7AE5">
        <w:rPr>
          <w:rFonts w:cs="Gautami"/>
          <w:color w:val="000000"/>
          <w:sz w:val="16"/>
          <w:szCs w:val="16"/>
        </w:rPr>
        <w:t xml:space="preserve">events which occurred in a prior regulatory period (ie prior to 1 January 2011) and which were covered by insurance policies which were in place prior to 1 January 2011 but which had expired according to their terms by 1 January 2011, even though the financial impact and losses caused by those events are wholly or partly suffered in the 2011–2015 </w:t>
      </w:r>
      <w:r w:rsidRPr="007D7AE5">
        <w:rPr>
          <w:rFonts w:cs="Gautami"/>
          <w:i/>
          <w:iCs/>
          <w:color w:val="000000"/>
          <w:sz w:val="16"/>
          <w:szCs w:val="16"/>
        </w:rPr>
        <w:t>regulatory control period</w:t>
      </w:r>
      <w:r>
        <w:rPr>
          <w:rFonts w:cs="Gautami"/>
          <w:color w:val="000000"/>
          <w:sz w:val="16"/>
          <w:szCs w:val="16"/>
        </w:rPr>
        <w:t>.</w:t>
      </w:r>
      <w:r>
        <w:rPr>
          <w:rStyle w:val="FootnoteReference"/>
          <w:rFonts w:cs="Gautami"/>
          <w:color w:val="000000"/>
          <w:sz w:val="16"/>
          <w:szCs w:val="16"/>
        </w:rPr>
        <w:footnoteReference w:id="9"/>
      </w:r>
    </w:p>
    <w:p w:rsidR="007C2D31" w:rsidRDefault="007C2D31" w:rsidP="007C2D31">
      <w:pPr>
        <w:pStyle w:val="AERbodytext"/>
      </w:pPr>
      <w:r w:rsidRPr="00093D84">
        <w:t xml:space="preserve">On 5 April 2012, the Tribunal </w:t>
      </w:r>
      <w:r w:rsidR="000D0761">
        <w:t>remitted</w:t>
      </w:r>
      <w:r w:rsidR="000D0761" w:rsidRPr="00093D84">
        <w:t xml:space="preserve"> </w:t>
      </w:r>
      <w:r w:rsidRPr="00093D84">
        <w:t xml:space="preserve">that the </w:t>
      </w:r>
      <w:r>
        <w:t xml:space="preserve">insurance </w:t>
      </w:r>
      <w:r w:rsidR="00777894">
        <w:t xml:space="preserve">pass </w:t>
      </w:r>
      <w:r>
        <w:t xml:space="preserve">through event </w:t>
      </w:r>
      <w:r w:rsidRPr="00093D84">
        <w:t>de</w:t>
      </w:r>
      <w:r>
        <w:t>cision to the AER to be remade</w:t>
      </w:r>
      <w:r w:rsidRPr="00093D84">
        <w:t>.</w:t>
      </w:r>
      <w:r w:rsidRPr="00093D84">
        <w:rPr>
          <w:rStyle w:val="FootnoteReference"/>
        </w:rPr>
        <w:footnoteReference w:id="10"/>
      </w:r>
      <w:r w:rsidRPr="00AB5A2C">
        <w:t xml:space="preserve"> </w:t>
      </w:r>
      <w:r w:rsidRPr="00822888">
        <w:t>At the time of t</w:t>
      </w:r>
      <w:r w:rsidR="0052611F" w:rsidRPr="00822888">
        <w:t>he draft decision</w:t>
      </w:r>
      <w:r w:rsidRPr="00822888">
        <w:t>, the Tribunal’s reasons remain</w:t>
      </w:r>
      <w:r w:rsidR="0052611F" w:rsidRPr="00822888">
        <w:t>ed</w:t>
      </w:r>
      <w:r w:rsidRPr="00822888">
        <w:t xml:space="preserve"> confidential.</w:t>
      </w:r>
      <w:r w:rsidRPr="00822888">
        <w:rPr>
          <w:rStyle w:val="FootnoteReference"/>
        </w:rPr>
        <w:footnoteReference w:id="11"/>
      </w:r>
      <w:r w:rsidR="00C80215">
        <w:t xml:space="preserve"> The Tribunal on 24 September 2012 released a redacted version of its reasons.  </w:t>
      </w:r>
    </w:p>
    <w:p w:rsidR="00AA657D" w:rsidRDefault="00AA657D" w:rsidP="00AA657D">
      <w:pPr>
        <w:pStyle w:val="AERheading2"/>
        <w:tabs>
          <w:tab w:val="clear" w:pos="4317"/>
          <w:tab w:val="num" w:pos="0"/>
        </w:tabs>
        <w:spacing w:after="240"/>
        <w:ind w:left="4315" w:hanging="5024"/>
      </w:pPr>
      <w:bookmarkStart w:id="7" w:name="_Toc354046518"/>
      <w:r>
        <w:t>Scope of AER’s decision</w:t>
      </w:r>
      <w:bookmarkEnd w:id="7"/>
    </w:p>
    <w:p w:rsidR="00AA657D" w:rsidRDefault="00F037D6" w:rsidP="007C2D31">
      <w:pPr>
        <w:pStyle w:val="AERbodytext"/>
      </w:pPr>
      <w:r>
        <w:rPr>
          <w:rStyle w:val="AERbody"/>
        </w:rPr>
        <w:t xml:space="preserve">Whether the AER includes </w:t>
      </w:r>
      <w:r w:rsidR="00AA657D" w:rsidRPr="00AA657D">
        <w:rPr>
          <w:rStyle w:val="AERbody"/>
        </w:rPr>
        <w:t xml:space="preserve">an insurance pass through event in SP AusNet’s current determination is not at issue. The Tribunal’s remittal is to determine how to </w:t>
      </w:r>
      <w:r w:rsidR="00FA4CD3">
        <w:rPr>
          <w:rStyle w:val="AERbody"/>
        </w:rPr>
        <w:t>define</w:t>
      </w:r>
      <w:r w:rsidR="00FA4CD3" w:rsidRPr="00AA657D">
        <w:rPr>
          <w:rStyle w:val="AERbody"/>
        </w:rPr>
        <w:t xml:space="preserve"> </w:t>
      </w:r>
      <w:r w:rsidR="00AA657D" w:rsidRPr="00AA657D">
        <w:rPr>
          <w:rStyle w:val="AERbody"/>
        </w:rPr>
        <w:t xml:space="preserve">the event, not whether the event should exist.  </w:t>
      </w:r>
    </w:p>
    <w:p w:rsidR="00365D60" w:rsidRDefault="00A70940" w:rsidP="00365D60">
      <w:pPr>
        <w:pStyle w:val="AERheading2"/>
        <w:tabs>
          <w:tab w:val="clear" w:pos="4317"/>
          <w:tab w:val="num" w:pos="0"/>
        </w:tabs>
        <w:spacing w:after="240"/>
        <w:ind w:left="4315" w:hanging="5024"/>
      </w:pPr>
      <w:bookmarkStart w:id="8" w:name="_Toc354046519"/>
      <w:r>
        <w:t>Draft d</w:t>
      </w:r>
      <w:r w:rsidR="00365D60" w:rsidRPr="00365D60">
        <w:t>ecision</w:t>
      </w:r>
      <w:bookmarkEnd w:id="8"/>
    </w:p>
    <w:p w:rsidR="00365D60" w:rsidRDefault="00F200B9" w:rsidP="00365D60">
      <w:pPr>
        <w:pStyle w:val="AERbodytext"/>
      </w:pPr>
      <w:r>
        <w:t xml:space="preserve">On 29 August 2012, </w:t>
      </w:r>
      <w:r w:rsidR="005C4916">
        <w:t>we</w:t>
      </w:r>
      <w:r w:rsidR="00365D60">
        <w:t xml:space="preserve"> made </w:t>
      </w:r>
      <w:r w:rsidR="005C4916">
        <w:t xml:space="preserve">a </w:t>
      </w:r>
      <w:r w:rsidR="00365D60">
        <w:t xml:space="preserve">draft decision </w:t>
      </w:r>
      <w:r w:rsidR="000D0761">
        <w:t xml:space="preserve">to </w:t>
      </w:r>
      <w:r w:rsidR="00365D60">
        <w:t>revis</w:t>
      </w:r>
      <w:r w:rsidR="000D0761">
        <w:t>e</w:t>
      </w:r>
      <w:r w:rsidR="00365D60">
        <w:t xml:space="preserve"> the definition of an insurance event to include insurance policies that </w:t>
      </w:r>
      <w:r w:rsidR="000D0761">
        <w:t xml:space="preserve">SP AusNet </w:t>
      </w:r>
      <w:r w:rsidR="00365D60">
        <w:t xml:space="preserve">entered into </w:t>
      </w:r>
      <w:r w:rsidR="004D5BD7">
        <w:t xml:space="preserve">in </w:t>
      </w:r>
      <w:r w:rsidR="00365D60">
        <w:t xml:space="preserve">previous regulatory periods. Further, the decision required </w:t>
      </w:r>
      <w:r w:rsidR="00462BAA">
        <w:t xml:space="preserve">that </w:t>
      </w:r>
      <w:r w:rsidR="00365D60">
        <w:t xml:space="preserve">the relevant insurance policy </w:t>
      </w:r>
      <w:r w:rsidR="00622279">
        <w:t xml:space="preserve">for previous regulatory periods </w:t>
      </w:r>
      <w:r w:rsidR="00365D60">
        <w:t>was</w:t>
      </w:r>
      <w:r w:rsidR="004A6FE8">
        <w:t xml:space="preserve"> </w:t>
      </w:r>
      <w:r w:rsidR="005F7B5E">
        <w:t xml:space="preserve">entered </w:t>
      </w:r>
      <w:r w:rsidR="00365D60">
        <w:t xml:space="preserve">into as contemplated by the forecast operating expenditure allowance determined at the time. </w:t>
      </w:r>
    </w:p>
    <w:p w:rsidR="00365D60" w:rsidRDefault="00B71E3F" w:rsidP="00365D60">
      <w:pPr>
        <w:pStyle w:val="AERheading2"/>
        <w:tabs>
          <w:tab w:val="clear" w:pos="4317"/>
          <w:tab w:val="num" w:pos="0"/>
        </w:tabs>
        <w:spacing w:after="240"/>
        <w:ind w:left="4315" w:hanging="5024"/>
      </w:pPr>
      <w:bookmarkStart w:id="9" w:name="_Toc354046520"/>
      <w:r>
        <w:t>Summary of s</w:t>
      </w:r>
      <w:r w:rsidR="00365D60">
        <w:t>ubmissions</w:t>
      </w:r>
      <w:r w:rsidR="001A3F30">
        <w:t xml:space="preserve"> and response</w:t>
      </w:r>
      <w:bookmarkEnd w:id="9"/>
    </w:p>
    <w:p w:rsidR="000D1646" w:rsidRDefault="000D0761" w:rsidP="00BB5CF1">
      <w:pPr>
        <w:pStyle w:val="AERbodytext"/>
      </w:pPr>
      <w:r>
        <w:t xml:space="preserve">The </w:t>
      </w:r>
      <w:r w:rsidR="001A3F30">
        <w:t xml:space="preserve">majority of </w:t>
      </w:r>
      <w:r w:rsidR="00822888">
        <w:t>submissions on the draft</w:t>
      </w:r>
      <w:r>
        <w:t xml:space="preserve"> decision focussed on whether an insurance event should exist, rather than how we should formulate it. </w:t>
      </w:r>
      <w:r w:rsidR="002B7BC5">
        <w:t xml:space="preserve">We received one submission from the </w:t>
      </w:r>
      <w:r w:rsidR="00E82049">
        <w:t xml:space="preserve">then </w:t>
      </w:r>
      <w:r w:rsidR="00FA5730">
        <w:t xml:space="preserve">Victorian </w:t>
      </w:r>
      <w:r w:rsidR="00BB5CF1">
        <w:t>Minister for Energy and Resources</w:t>
      </w:r>
      <w:r>
        <w:t xml:space="preserve"> </w:t>
      </w:r>
      <w:r w:rsidR="00E82049">
        <w:t xml:space="preserve">who </w:t>
      </w:r>
      <w:r w:rsidR="00BB5CF1">
        <w:t>submitted that</w:t>
      </w:r>
      <w:r w:rsidR="000D1646">
        <w:t>:</w:t>
      </w:r>
    </w:p>
    <w:p w:rsidR="000D0761" w:rsidRDefault="000D1646">
      <w:pPr>
        <w:pStyle w:val="AERquote"/>
      </w:pPr>
      <w:r>
        <w:t>A</w:t>
      </w:r>
      <w:r w:rsidR="00FA5730">
        <w:t>s a matter of principle</w:t>
      </w:r>
      <w:r w:rsidR="002B7BC5">
        <w:t>,</w:t>
      </w:r>
      <w:r w:rsidR="00FA5730">
        <w:t xml:space="preserve"> the </w:t>
      </w:r>
      <w:r>
        <w:t xml:space="preserve">Victorian </w:t>
      </w:r>
      <w:r w:rsidR="00FA5730">
        <w:t>Government would not support any regulatory outcome that resulted in victims of negligence paying for the damage caused by their electricity network</w:t>
      </w:r>
      <w:r>
        <w:t xml:space="preserve"> </w:t>
      </w:r>
      <w:r w:rsidR="00FA5730">
        <w:t xml:space="preserve">where that damage is due to negligence and the </w:t>
      </w:r>
      <w:r>
        <w:t xml:space="preserve">network </w:t>
      </w:r>
      <w:r w:rsidR="00FA5730">
        <w:t xml:space="preserve">business </w:t>
      </w:r>
      <w:r w:rsidR="002B7BC5">
        <w:t xml:space="preserve">or a </w:t>
      </w:r>
      <w:r w:rsidR="00FA5730">
        <w:t>fail</w:t>
      </w:r>
      <w:r>
        <w:t>ed</w:t>
      </w:r>
      <w:r w:rsidR="00FA5730">
        <w:t xml:space="preserve"> to take action expected of it to avoid or reduce that damage.</w:t>
      </w:r>
      <w:r w:rsidR="00B8704F">
        <w:rPr>
          <w:rStyle w:val="FootnoteReference"/>
        </w:rPr>
        <w:footnoteReference w:id="12"/>
      </w:r>
    </w:p>
    <w:p w:rsidR="00FA5730" w:rsidRDefault="005C4916" w:rsidP="00BB5CF1">
      <w:pPr>
        <w:pStyle w:val="AERbodytext"/>
      </w:pPr>
      <w:r>
        <w:t xml:space="preserve">The Minister </w:t>
      </w:r>
      <w:r w:rsidR="002B7BC5">
        <w:t xml:space="preserve">submitted </w:t>
      </w:r>
      <w:r>
        <w:t>that the existing arrangement would preclude such an outcome</w:t>
      </w:r>
      <w:r w:rsidR="002B7BC5">
        <w:t>.</w:t>
      </w:r>
      <w:r>
        <w:t xml:space="preserve"> </w:t>
      </w:r>
      <w:r w:rsidR="002B7BC5">
        <w:t xml:space="preserve">But, he considered </w:t>
      </w:r>
      <w:r>
        <w:t xml:space="preserve">it important that the </w:t>
      </w:r>
      <w:r w:rsidR="002B7BC5">
        <w:t xml:space="preserve">AER clarify the existing framework’s </w:t>
      </w:r>
      <w:r>
        <w:t>intent.</w:t>
      </w:r>
    </w:p>
    <w:p w:rsidR="00BB5CF1" w:rsidRDefault="00FA5730" w:rsidP="00BB5CF1">
      <w:pPr>
        <w:pStyle w:val="AERbodytext"/>
      </w:pPr>
      <w:r>
        <w:t xml:space="preserve">The Minister also expressed concern that </w:t>
      </w:r>
      <w:r w:rsidR="00BB5CF1">
        <w:t>the insurance event</w:t>
      </w:r>
      <w:r w:rsidR="00622279">
        <w:t xml:space="preserve"> definition</w:t>
      </w:r>
      <w:r w:rsidR="00BB5CF1">
        <w:t xml:space="preserve"> may apply to any event which results in a claim on a DNSP’s insurance</w:t>
      </w:r>
      <w:r w:rsidR="002B7BC5">
        <w:t xml:space="preserve">. This occurs </w:t>
      </w:r>
      <w:r w:rsidR="00BB5CF1">
        <w:t xml:space="preserve">regardless </w:t>
      </w:r>
      <w:r w:rsidR="00462BAA">
        <w:t xml:space="preserve">of </w:t>
      </w:r>
      <w:r w:rsidR="00BB5CF1">
        <w:t xml:space="preserve">whether the event is beyond the </w:t>
      </w:r>
      <w:r w:rsidR="002B7BC5">
        <w:t xml:space="preserve">DNSP’s </w:t>
      </w:r>
      <w:r w:rsidR="00BB5CF1">
        <w:t>control. This could reduc</w:t>
      </w:r>
      <w:r w:rsidR="002B7BC5">
        <w:t>e</w:t>
      </w:r>
      <w:r w:rsidR="00BB5CF1">
        <w:t xml:space="preserve"> the DNSP’s incentives to take out efficient level</w:t>
      </w:r>
      <w:r w:rsidR="002B7BC5">
        <w:t>s</w:t>
      </w:r>
      <w:r w:rsidR="00BB5CF1">
        <w:t xml:space="preserve"> of insurance and take efficient steps to minimise the likelihood of an event occurring.</w:t>
      </w:r>
      <w:r w:rsidR="00BB5CF1" w:rsidRPr="00FE250B">
        <w:rPr>
          <w:rStyle w:val="FootnoteReference"/>
          <w:rFonts w:eastAsia="Calibri" w:cs="Gautami"/>
          <w:sz w:val="16"/>
          <w:szCs w:val="16"/>
        </w:rPr>
        <w:t xml:space="preserve"> </w:t>
      </w:r>
      <w:r w:rsidR="00BB5CF1">
        <w:rPr>
          <w:rStyle w:val="FootnoteReference"/>
          <w:rFonts w:eastAsia="Calibri" w:cs="Gautami"/>
          <w:sz w:val="16"/>
          <w:szCs w:val="16"/>
        </w:rPr>
        <w:footnoteReference w:id="13"/>
      </w:r>
      <w:r w:rsidR="00BB5CF1">
        <w:t xml:space="preserve">  </w:t>
      </w:r>
    </w:p>
    <w:p w:rsidR="00622279" w:rsidRDefault="00BB5CF1" w:rsidP="00BB5CF1">
      <w:pPr>
        <w:pStyle w:val="AERbodytext"/>
      </w:pPr>
      <w:r>
        <w:t xml:space="preserve">The Hon </w:t>
      </w:r>
      <w:r w:rsidR="00622279">
        <w:t xml:space="preserve">Lily </w:t>
      </w:r>
      <w:r>
        <w:t>D’Ambrosio MP</w:t>
      </w:r>
      <w:r w:rsidR="00E82049">
        <w:t>, Opposition spokesperson on energy,</w:t>
      </w:r>
      <w:r>
        <w:t xml:space="preserve"> submitted that </w:t>
      </w:r>
      <w:r w:rsidR="00622279">
        <w:t>the draft decision:</w:t>
      </w:r>
    </w:p>
    <w:p w:rsidR="008B3E20" w:rsidRDefault="00F62D0A">
      <w:pPr>
        <w:pStyle w:val="AERbulletlistfirststyle"/>
      </w:pPr>
      <w:r>
        <w:t>d</w:t>
      </w:r>
      <w:r w:rsidR="00622279">
        <w:t>oes</w:t>
      </w:r>
      <w:r>
        <w:t xml:space="preserve"> not encourage businesses to effectively manage risks</w:t>
      </w:r>
    </w:p>
    <w:p w:rsidR="008B3E20" w:rsidRDefault="00F62D0A">
      <w:pPr>
        <w:pStyle w:val="AERbulletlistfirststyle"/>
      </w:pPr>
      <w:r>
        <w:lastRenderedPageBreak/>
        <w:t>transfers the risk of an insurance pass through event to households</w:t>
      </w:r>
      <w:r w:rsidR="002B7BC5">
        <w:t>.</w:t>
      </w:r>
      <w:r>
        <w:t xml:space="preserve"> </w:t>
      </w:r>
      <w:r w:rsidR="002B7BC5">
        <w:t>T</w:t>
      </w:r>
      <w:r>
        <w:t xml:space="preserve">he businesses </w:t>
      </w:r>
      <w:r w:rsidR="002B7BC5">
        <w:t xml:space="preserve">may best </w:t>
      </w:r>
      <w:r>
        <w:t>manage this risk through effective management and oversight of their distribution networks</w:t>
      </w:r>
    </w:p>
    <w:p w:rsidR="008B3E20" w:rsidRDefault="009615C9">
      <w:pPr>
        <w:pStyle w:val="AERbulletlistfirststyle"/>
      </w:pPr>
      <w:r>
        <w:t>creates a situation where households are the insurer of last resort</w:t>
      </w:r>
      <w:r w:rsidR="002B7BC5">
        <w:t>.</w:t>
      </w:r>
      <w:r>
        <w:t xml:space="preserve"> </w:t>
      </w:r>
      <w:r w:rsidR="002B7BC5">
        <w:t xml:space="preserve">This </w:t>
      </w:r>
      <w:r>
        <w:t xml:space="preserve">is inappropriate and discourages </w:t>
      </w:r>
      <w:r w:rsidR="002B7BC5">
        <w:t>DNSPs bearing risk</w:t>
      </w:r>
      <w:r>
        <w:t xml:space="preserve">; and </w:t>
      </w:r>
    </w:p>
    <w:p w:rsidR="008B3E20" w:rsidRDefault="009615C9">
      <w:pPr>
        <w:pStyle w:val="AERbulletlistfirststyle"/>
      </w:pPr>
      <w:r>
        <w:t>leads to a retrospective regulatory decision</w:t>
      </w:r>
      <w:r w:rsidR="002B7BC5">
        <w:t>.</w:t>
      </w:r>
      <w:r>
        <w:t xml:space="preserve"> </w:t>
      </w:r>
      <w:r w:rsidR="002B7BC5">
        <w:t xml:space="preserve">It </w:t>
      </w:r>
      <w:r>
        <w:t>tak</w:t>
      </w:r>
      <w:r w:rsidR="002B7BC5">
        <w:t>es</w:t>
      </w:r>
      <w:r>
        <w:t xml:space="preserve"> into account insurance policies that </w:t>
      </w:r>
      <w:r w:rsidR="002B7BC5">
        <w:t xml:space="preserve">businesses </w:t>
      </w:r>
      <w:r>
        <w:t>entered in previous regulatory periods.</w:t>
      </w:r>
      <w:r w:rsidRPr="009615C9">
        <w:rPr>
          <w:rStyle w:val="FootnoteReference"/>
          <w:rFonts w:eastAsia="Calibri" w:cs="Gautami"/>
          <w:sz w:val="16"/>
          <w:szCs w:val="16"/>
        </w:rPr>
        <w:t xml:space="preserve"> </w:t>
      </w:r>
      <w:r>
        <w:rPr>
          <w:rStyle w:val="FootnoteReference"/>
          <w:rFonts w:eastAsia="Calibri" w:cs="Gautami"/>
          <w:sz w:val="16"/>
          <w:szCs w:val="16"/>
        </w:rPr>
        <w:footnoteReference w:id="14"/>
      </w:r>
      <w:r>
        <w:t xml:space="preserve">  </w:t>
      </w:r>
    </w:p>
    <w:p w:rsidR="00870A45" w:rsidRPr="004B3FD8" w:rsidRDefault="00870A45" w:rsidP="003F23AA">
      <w:pPr>
        <w:pStyle w:val="AERbodytext"/>
      </w:pPr>
      <w:r>
        <w:t>Amcor submitted that the draft decision does not sufficiently obligate the DNSP to properly administer and manage its business risks.</w:t>
      </w:r>
      <w:r w:rsidR="00146137" w:rsidRPr="00146137">
        <w:rPr>
          <w:rStyle w:val="FootnoteReference"/>
          <w:rFonts w:eastAsia="Calibri" w:cs="Gautami"/>
          <w:sz w:val="16"/>
          <w:szCs w:val="16"/>
        </w:rPr>
        <w:t xml:space="preserve"> </w:t>
      </w:r>
      <w:r w:rsidR="00146137">
        <w:rPr>
          <w:rStyle w:val="FootnoteReference"/>
          <w:rFonts w:eastAsia="Calibri" w:cs="Gautami"/>
          <w:sz w:val="16"/>
          <w:szCs w:val="16"/>
        </w:rPr>
        <w:footnoteReference w:id="15"/>
      </w:r>
      <w:r w:rsidR="009615C9">
        <w:rPr>
          <w:rFonts w:eastAsia="Calibri" w:cs="Gautami"/>
          <w:sz w:val="16"/>
          <w:szCs w:val="16"/>
        </w:rPr>
        <w:t xml:space="preserve">  </w:t>
      </w:r>
      <w:r w:rsidR="00341ECA" w:rsidRPr="00341ECA">
        <w:t>Amcor also submitted that the dr</w:t>
      </w:r>
      <w:r w:rsidR="00443B57">
        <w:t>a</w:t>
      </w:r>
      <w:r w:rsidR="00341ECA" w:rsidRPr="00341ECA">
        <w:t>ft decision does not mirror commercial reality</w:t>
      </w:r>
      <w:r w:rsidR="0036344E">
        <w:t>.</w:t>
      </w:r>
      <w:r w:rsidR="00341ECA" w:rsidRPr="00341ECA">
        <w:t xml:space="preserve"> </w:t>
      </w:r>
      <w:r w:rsidR="0036344E">
        <w:t>I</w:t>
      </w:r>
      <w:r w:rsidR="00341ECA" w:rsidRPr="00341ECA">
        <w:t>n fact</w:t>
      </w:r>
      <w:r w:rsidR="0036344E">
        <w:t xml:space="preserve">, it </w:t>
      </w:r>
      <w:r w:rsidR="00341ECA" w:rsidRPr="00341ECA">
        <w:t xml:space="preserve">quarantines </w:t>
      </w:r>
      <w:r w:rsidR="000D0761">
        <w:t>DNSPs</w:t>
      </w:r>
      <w:r w:rsidR="0036344E">
        <w:t>’ shareholders</w:t>
      </w:r>
      <w:r w:rsidR="00341ECA" w:rsidRPr="00341ECA">
        <w:t xml:space="preserve"> from any risk.</w:t>
      </w:r>
    </w:p>
    <w:p w:rsidR="006F0441" w:rsidRDefault="000E20F9" w:rsidP="003F23AA">
      <w:pPr>
        <w:pStyle w:val="AERbodytext"/>
      </w:pPr>
      <w:r>
        <w:t xml:space="preserve">SP AusNet </w:t>
      </w:r>
      <w:r w:rsidR="00E82049">
        <w:t xml:space="preserve">also made a submission and </w:t>
      </w:r>
      <w:r>
        <w:t>supported the draft decision</w:t>
      </w:r>
      <w:r w:rsidR="00A45EFE">
        <w:t>, stating that the decision:</w:t>
      </w:r>
    </w:p>
    <w:p w:rsidR="006F0441" w:rsidRDefault="00A45EFE" w:rsidP="006F0441">
      <w:pPr>
        <w:pStyle w:val="AERbulletlistfirststyle"/>
      </w:pPr>
      <w:r>
        <w:t>e</w:t>
      </w:r>
      <w:r w:rsidR="006F0441">
        <w:t>nhances regulatory certainty</w:t>
      </w:r>
    </w:p>
    <w:p w:rsidR="006F0441" w:rsidRDefault="00A45EFE" w:rsidP="006F0441">
      <w:pPr>
        <w:pStyle w:val="AERbulletlistfirststyle"/>
      </w:pPr>
      <w:r>
        <w:t>m</w:t>
      </w:r>
      <w:r w:rsidR="006F0441">
        <w:t xml:space="preserve">inimises the </w:t>
      </w:r>
      <w:r w:rsidR="00E41A1A">
        <w:t>costs that customers will pay over the long term and</w:t>
      </w:r>
    </w:p>
    <w:p w:rsidR="0061135E" w:rsidRDefault="0061135E" w:rsidP="001A3F30">
      <w:pPr>
        <w:pStyle w:val="AERbulletlistfirststyle"/>
      </w:pPr>
      <w:r w:rsidRPr="0061135E">
        <w:t>provides clarity with respect to the operation of the pass through.</w:t>
      </w:r>
      <w:r w:rsidRPr="0061135E">
        <w:rPr>
          <w:rStyle w:val="FootnoteReference"/>
          <w:rFonts w:eastAsia="Calibri" w:cs="Gautami"/>
          <w:sz w:val="16"/>
          <w:szCs w:val="16"/>
        </w:rPr>
        <w:footnoteReference w:id="16"/>
      </w:r>
    </w:p>
    <w:p w:rsidR="001A3F30" w:rsidRDefault="00E82049" w:rsidP="001A3F30">
      <w:pPr>
        <w:pStyle w:val="AERbodytext"/>
      </w:pPr>
      <w:r>
        <w:t>In</w:t>
      </w:r>
      <w:r w:rsidR="001A3F30">
        <w:t xml:space="preserve"> the draft decision</w:t>
      </w:r>
      <w:r w:rsidR="00813DDB">
        <w:t>,</w:t>
      </w:r>
      <w:r w:rsidR="001A3F30">
        <w:t xml:space="preserve"> we considered whether the insurance pass through event should cover an insurance policy entered into during a previous regulatory period. In doing so, it </w:t>
      </w:r>
      <w:r w:rsidR="00813DDB">
        <w:t xml:space="preserve">was </w:t>
      </w:r>
      <w:r w:rsidR="001A3F30">
        <w:t xml:space="preserve">necessary to consider whether the prior level of SP AusNet’s insurance coverage was efficient and prudent. We considered that there is no evidence to suggest that the level of coverage was not efficient. This was based on the </w:t>
      </w:r>
      <w:r w:rsidR="00813DDB">
        <w:t>regulatory regime which applied to SP AusNet at the time</w:t>
      </w:r>
      <w:r w:rsidR="005D798D">
        <w:t>. It</w:t>
      </w:r>
      <w:r w:rsidR="00813DDB">
        <w:t xml:space="preserve"> involved test</w:t>
      </w:r>
      <w:r w:rsidR="005D798D">
        <w:t>ing</w:t>
      </w:r>
      <w:r w:rsidR="00474E8C">
        <w:t xml:space="preserve"> any </w:t>
      </w:r>
      <w:r w:rsidR="00813DDB">
        <w:t xml:space="preserve">claims against the efficiency and prudency tests, as does the current regime. </w:t>
      </w:r>
      <w:r w:rsidR="005D798D">
        <w:t xml:space="preserve">Neither </w:t>
      </w:r>
      <w:r w:rsidR="00813DDB">
        <w:t xml:space="preserve">regime </w:t>
      </w:r>
      <w:r w:rsidR="002F64B6">
        <w:t>provide</w:t>
      </w:r>
      <w:r w:rsidR="005D798D">
        <w:t>s</w:t>
      </w:r>
      <w:r w:rsidR="00813DDB">
        <w:t xml:space="preserve"> certainty or </w:t>
      </w:r>
      <w:r w:rsidR="005D798D">
        <w:t xml:space="preserve">a </w:t>
      </w:r>
      <w:r w:rsidR="00813DDB">
        <w:t xml:space="preserve">guarantee </w:t>
      </w:r>
      <w:r w:rsidR="002F64B6">
        <w:t xml:space="preserve">that </w:t>
      </w:r>
      <w:r w:rsidR="001A3F30">
        <w:t>SP AusNet could pass through to consumers</w:t>
      </w:r>
      <w:r w:rsidR="00CA4E04">
        <w:t>,</w:t>
      </w:r>
      <w:r w:rsidR="001A3F30">
        <w:t xml:space="preserve"> costs in excess of insurance limits. There remains uncertainty about whether SP AusNet could pass through any costs should an insurance event occur. </w:t>
      </w:r>
      <w:r w:rsidR="005D798D">
        <w:t xml:space="preserve">Since it has no guarantee it will obtain a pass-through </w:t>
      </w:r>
      <w:r w:rsidR="001274D2">
        <w:t>or allowed to recover</w:t>
      </w:r>
      <w:r w:rsidR="005D798D">
        <w:t xml:space="preserve"> excess costs,</w:t>
      </w:r>
      <w:r w:rsidR="002F64B6">
        <w:t xml:space="preserve"> SP AusNet </w:t>
      </w:r>
      <w:r w:rsidR="00F9591F">
        <w:t xml:space="preserve">would </w:t>
      </w:r>
      <w:r w:rsidR="002F64B6">
        <w:t>ha</w:t>
      </w:r>
      <w:r w:rsidR="005D798D">
        <w:t>ve</w:t>
      </w:r>
      <w:r w:rsidR="002F64B6">
        <w:t xml:space="preserve"> incentive</w:t>
      </w:r>
      <w:r w:rsidR="005D798D">
        <w:t>s</w:t>
      </w:r>
      <w:r w:rsidR="002F64B6">
        <w:t xml:space="preserve"> to obtain an efficient level of insurance.</w:t>
      </w:r>
      <w:r w:rsidR="001A3F30">
        <w:t xml:space="preserve"> </w:t>
      </w:r>
    </w:p>
    <w:p w:rsidR="00451658" w:rsidRDefault="001274D2">
      <w:pPr>
        <w:pStyle w:val="AERbodytext"/>
      </w:pPr>
      <w:r>
        <w:t>Also</w:t>
      </w:r>
      <w:r w:rsidR="001A3F30">
        <w:t xml:space="preserve"> Amcor submitted the d</w:t>
      </w:r>
      <w:r w:rsidR="001A3F30" w:rsidRPr="000848C5">
        <w:t>raft decision does not mirror commercial reality</w:t>
      </w:r>
      <w:r>
        <w:t xml:space="preserve"> and</w:t>
      </w:r>
      <w:r w:rsidR="001A3F30" w:rsidRPr="000848C5">
        <w:t xml:space="preserve"> </w:t>
      </w:r>
      <w:r w:rsidR="001A3F30">
        <w:t xml:space="preserve">that it </w:t>
      </w:r>
      <w:r w:rsidR="001A3F30" w:rsidRPr="000848C5">
        <w:t xml:space="preserve">quarantines </w:t>
      </w:r>
      <w:r w:rsidR="001A3F30">
        <w:t xml:space="preserve">a DNSP’s </w:t>
      </w:r>
      <w:r w:rsidR="001A3F30" w:rsidRPr="000848C5">
        <w:t>shareholders from any risk.</w:t>
      </w:r>
      <w:r w:rsidR="001A3F30">
        <w:t xml:space="preserve"> We do not agree that the draft decision quarantines the shareholders from any risk.  DNSPs’ </w:t>
      </w:r>
      <w:r w:rsidR="001A3F30" w:rsidRPr="000848C5">
        <w:t xml:space="preserve">shareholders </w:t>
      </w:r>
      <w:r w:rsidR="001A3F30">
        <w:t xml:space="preserve">still face risks. Before declaring an ‘insurance event’, the </w:t>
      </w:r>
      <w:r w:rsidR="00607B3A">
        <w:t xml:space="preserve">Rules require that the </w:t>
      </w:r>
      <w:r w:rsidR="001A3F30">
        <w:t>AER must take into account</w:t>
      </w:r>
      <w:r w:rsidR="00AC7925">
        <w:t>, amongst other things</w:t>
      </w:r>
      <w:r w:rsidR="001A3F30">
        <w:rPr>
          <w:rStyle w:val="FootnoteReference"/>
        </w:rPr>
        <w:footnoteReference w:id="17"/>
      </w:r>
      <w:r w:rsidR="00AC7925">
        <w:t>:</w:t>
      </w:r>
      <w:r w:rsidR="001D2C08" w:rsidRPr="001D2C08">
        <w:t xml:space="preserve"> the efficiency of the network business’</w:t>
      </w:r>
      <w:r w:rsidR="00607B3A">
        <w:t xml:space="preserve"> </w:t>
      </w:r>
      <w:r w:rsidR="001D2C08" w:rsidRPr="001D2C08">
        <w:t xml:space="preserve">decisions and all actions taken </w:t>
      </w:r>
      <w:r w:rsidR="00D314E7">
        <w:t>in relation to the risk of the event</w:t>
      </w:r>
      <w:r w:rsidR="001D2C08" w:rsidRPr="001D2C08">
        <w:t>. This includes:</w:t>
      </w:r>
    </w:p>
    <w:p w:rsidR="00451658" w:rsidRDefault="001D2C08">
      <w:pPr>
        <w:pStyle w:val="AERbulletlistfirststyle"/>
      </w:pPr>
      <w:r w:rsidRPr="001D2C08">
        <w:t>actions the network business may/may not have taken to reduce the magnitude of the pass through amount; and</w:t>
      </w:r>
    </w:p>
    <w:p w:rsidR="00451658" w:rsidRDefault="001D2C08">
      <w:pPr>
        <w:pStyle w:val="AERbulletlistfirststyle"/>
      </w:pPr>
      <w:r w:rsidRPr="001D2C08">
        <w:t xml:space="preserve">actions </w:t>
      </w:r>
      <w:r w:rsidR="00607B3A">
        <w:t xml:space="preserve">or omissions </w:t>
      </w:r>
      <w:r w:rsidRPr="001D2C08">
        <w:t>taken by the business which affect the magnitude of the amount involved</w:t>
      </w:r>
      <w:r w:rsidR="00EA01EC">
        <w:t>.</w:t>
      </w:r>
      <w:r w:rsidR="00607B3A">
        <w:rPr>
          <w:rStyle w:val="FootnoteReference"/>
        </w:rPr>
        <w:footnoteReference w:id="18"/>
      </w:r>
    </w:p>
    <w:p w:rsidR="00AC7925" w:rsidRDefault="00607B3A" w:rsidP="001A3F30">
      <w:pPr>
        <w:pStyle w:val="AERbodytext"/>
      </w:pPr>
      <w:r>
        <w:t xml:space="preserve">A full list of the relevant factors </w:t>
      </w:r>
      <w:r w:rsidR="005226B9">
        <w:t xml:space="preserve">in the Rules </w:t>
      </w:r>
      <w:r>
        <w:t xml:space="preserve">that the AER must consider when assessing a pass through application </w:t>
      </w:r>
      <w:r w:rsidR="005226B9">
        <w:t>are</w:t>
      </w:r>
      <w:r>
        <w:t xml:space="preserve"> provided in Appendix A. </w:t>
      </w:r>
    </w:p>
    <w:p w:rsidR="001A3F30" w:rsidRDefault="001A3F30" w:rsidP="001A3F30">
      <w:pPr>
        <w:pStyle w:val="AERbodytext"/>
      </w:pPr>
      <w:r>
        <w:lastRenderedPageBreak/>
        <w:t xml:space="preserve">Further, in considering any pass through application we would consider the circumstances </w:t>
      </w:r>
      <w:r w:rsidR="001274D2">
        <w:t xml:space="preserve">surrounding </w:t>
      </w:r>
      <w:r w:rsidR="00CA4E04">
        <w:t>any insurance claim</w:t>
      </w:r>
      <w:r w:rsidR="001C0ECE">
        <w:t xml:space="preserve">. </w:t>
      </w:r>
      <w:r>
        <w:t xml:space="preserve"> In particular, any decision on any pass through, would also involve reviewing any relevant court judgements or litigation settlements. We consider these points address the Minister’s concerns.</w:t>
      </w:r>
    </w:p>
    <w:p w:rsidR="00B006FF" w:rsidDel="00B006FF" w:rsidRDefault="004D5BD7" w:rsidP="00B006FF">
      <w:pPr>
        <w:pStyle w:val="AERbodytext"/>
      </w:pPr>
      <w:r>
        <w:t xml:space="preserve">Finally, we agree with the </w:t>
      </w:r>
      <w:r w:rsidR="00E82049">
        <w:t>Opposition spokesperson’s</w:t>
      </w:r>
      <w:r w:rsidRPr="003A5018">
        <w:t xml:space="preserve"> submission that </w:t>
      </w:r>
      <w:r>
        <w:t xml:space="preserve">parties who can best manage risk should do so. </w:t>
      </w:r>
      <w:r w:rsidRPr="005C33EF">
        <w:t xml:space="preserve">This </w:t>
      </w:r>
      <w:r>
        <w:t>recognises</w:t>
      </w:r>
      <w:r w:rsidRPr="005C33EF">
        <w:t xml:space="preserve"> that </w:t>
      </w:r>
      <w:r>
        <w:t xml:space="preserve">some </w:t>
      </w:r>
      <w:r w:rsidRPr="005C33EF">
        <w:t xml:space="preserve">parties </w:t>
      </w:r>
      <w:r>
        <w:t xml:space="preserve">may </w:t>
      </w:r>
      <w:r w:rsidRPr="005C33EF">
        <w:t xml:space="preserve">better mitigate risk or reduce </w:t>
      </w:r>
      <w:r>
        <w:t xml:space="preserve">an event’s </w:t>
      </w:r>
      <w:r w:rsidRPr="005C33EF">
        <w:t>cost impact.</w:t>
      </w:r>
      <w:r w:rsidR="00454E51">
        <w:t xml:space="preserve">  However, this </w:t>
      </w:r>
      <w:r w:rsidR="00E93080">
        <w:t xml:space="preserve">submission </w:t>
      </w:r>
      <w:r w:rsidR="00454E51">
        <w:t xml:space="preserve">is relevant to whether the event </w:t>
      </w:r>
      <w:r w:rsidR="00991B51">
        <w:t xml:space="preserve">(an insurance event) </w:t>
      </w:r>
      <w:r w:rsidR="00454E51">
        <w:t>should exist</w:t>
      </w:r>
      <w:r w:rsidR="00E82049">
        <w:t xml:space="preserve"> in the first place</w:t>
      </w:r>
      <w:r w:rsidR="00454E51">
        <w:t xml:space="preserve">. </w:t>
      </w:r>
      <w:r w:rsidR="00E82049">
        <w:t xml:space="preserve">This is not a matter within the scope of this remittal decision. </w:t>
      </w:r>
      <w:r w:rsidR="00C61912">
        <w:t>As a separate process</w:t>
      </w:r>
      <w:r w:rsidR="005B336B">
        <w:t>,</w:t>
      </w:r>
      <w:r w:rsidR="00C61912">
        <w:t xml:space="preserve"> </w:t>
      </w:r>
      <w:r w:rsidR="00454E51">
        <w:t xml:space="preserve">we </w:t>
      </w:r>
      <w:r w:rsidR="00E93080">
        <w:t xml:space="preserve">are </w:t>
      </w:r>
      <w:r w:rsidR="00454E51">
        <w:t>review</w:t>
      </w:r>
      <w:r w:rsidR="00E93080">
        <w:t>ing the pass through</w:t>
      </w:r>
      <w:r w:rsidR="00454E51">
        <w:t xml:space="preserve"> </w:t>
      </w:r>
      <w:r w:rsidR="00E93080">
        <w:t xml:space="preserve">arrangements </w:t>
      </w:r>
      <w:r w:rsidR="00454E51">
        <w:t>for an insurance event</w:t>
      </w:r>
      <w:r w:rsidR="00E82049">
        <w:t xml:space="preserve"> for upcoming regulatory determinations</w:t>
      </w:r>
      <w:r w:rsidR="00454E51">
        <w:t xml:space="preserve">.  </w:t>
      </w:r>
      <w:r w:rsidR="00C61912">
        <w:t>As we have previously indicated we i</w:t>
      </w:r>
      <w:r w:rsidR="00B006FF">
        <w:t>ntend to consult</w:t>
      </w:r>
      <w:r w:rsidR="00C61912">
        <w:t xml:space="preserve"> </w:t>
      </w:r>
      <w:r w:rsidR="00B006FF">
        <w:t xml:space="preserve">more widely </w:t>
      </w:r>
      <w:r w:rsidR="00C61912">
        <w:t>as part of this</w:t>
      </w:r>
      <w:r w:rsidR="00B006FF">
        <w:t xml:space="preserve"> review</w:t>
      </w:r>
      <w:r w:rsidR="00C61912">
        <w:t>.</w:t>
      </w:r>
      <w:r w:rsidR="00C61912">
        <w:rPr>
          <w:rStyle w:val="FootnoteReference"/>
        </w:rPr>
        <w:footnoteReference w:id="19"/>
      </w:r>
    </w:p>
    <w:p w:rsidR="003A7C69" w:rsidRPr="003A7C69" w:rsidRDefault="00AA657D" w:rsidP="003A7C69">
      <w:pPr>
        <w:pStyle w:val="AERheading1"/>
        <w:pageBreakBefore w:val="0"/>
      </w:pPr>
      <w:bookmarkStart w:id="10" w:name="_Toc354046521"/>
      <w:r>
        <w:t>Reasons</w:t>
      </w:r>
      <w:bookmarkEnd w:id="10"/>
    </w:p>
    <w:p w:rsidR="00EF488E" w:rsidRDefault="003A5018" w:rsidP="0036344E">
      <w:pPr>
        <w:pStyle w:val="AERheading2"/>
        <w:tabs>
          <w:tab w:val="clear" w:pos="4317"/>
          <w:tab w:val="num" w:pos="0"/>
        </w:tabs>
        <w:spacing w:after="240"/>
        <w:ind w:left="4315" w:hanging="5024"/>
      </w:pPr>
      <w:bookmarkStart w:id="11" w:name="_Toc354046522"/>
      <w:r>
        <w:t xml:space="preserve">Extending the </w:t>
      </w:r>
      <w:r w:rsidR="0061135E">
        <w:t xml:space="preserve">insurance </w:t>
      </w:r>
      <w:r w:rsidR="00FC2C68">
        <w:t xml:space="preserve">event </w:t>
      </w:r>
      <w:r>
        <w:t>definitio</w:t>
      </w:r>
      <w:r w:rsidR="0061135E">
        <w:t>n</w:t>
      </w:r>
      <w:bookmarkEnd w:id="11"/>
    </w:p>
    <w:p w:rsidR="00E93080" w:rsidRDefault="004A6FE8" w:rsidP="00EF488E">
      <w:pPr>
        <w:pStyle w:val="AERbodytext"/>
      </w:pPr>
      <w:r>
        <w:t xml:space="preserve">As this decision is limited to how to formulate the pass through event, we have considered the </w:t>
      </w:r>
      <w:r w:rsidR="004D5BD7">
        <w:t>following</w:t>
      </w:r>
      <w:r w:rsidR="00C00CD3">
        <w:t xml:space="preserve"> issues raised by submissions</w:t>
      </w:r>
      <w:r w:rsidR="00E93080">
        <w:t>:</w:t>
      </w:r>
    </w:p>
    <w:p w:rsidR="002465FF" w:rsidRDefault="00153627" w:rsidP="00E93080">
      <w:pPr>
        <w:pStyle w:val="AERbulletlistfirststyle"/>
      </w:pPr>
      <w:r>
        <w:t xml:space="preserve">whether the decision reflects </w:t>
      </w:r>
      <w:r w:rsidR="00192204">
        <w:t xml:space="preserve">retrospective decision making </w:t>
      </w:r>
      <w:r>
        <w:t>by</w:t>
      </w:r>
      <w:r w:rsidR="00192204">
        <w:t xml:space="preserve"> </w:t>
      </w:r>
      <w:r>
        <w:t>including</w:t>
      </w:r>
      <w:r w:rsidR="00192204">
        <w:t xml:space="preserve"> prior insurance policies in the insurance pass through definition</w:t>
      </w:r>
      <w:r>
        <w:t>; and</w:t>
      </w:r>
    </w:p>
    <w:p w:rsidR="00EF488E" w:rsidRDefault="002465FF" w:rsidP="00E93080">
      <w:pPr>
        <w:pStyle w:val="AERbulletlistfirststyle"/>
      </w:pPr>
      <w:r>
        <w:t>SP AusNet’s proposed amendment to the event definition specified in the draft decision.</w:t>
      </w:r>
      <w:r w:rsidR="004D5BD7">
        <w:t xml:space="preserve">  </w:t>
      </w:r>
    </w:p>
    <w:p w:rsidR="003A5018" w:rsidRDefault="00F91447" w:rsidP="00F91447">
      <w:pPr>
        <w:pStyle w:val="AERbodytext"/>
      </w:pPr>
      <w:r>
        <w:t>These considerations are discussed below</w:t>
      </w:r>
      <w:r w:rsidR="00153627">
        <w:t>.</w:t>
      </w:r>
    </w:p>
    <w:p w:rsidR="008B3E20" w:rsidRDefault="00C00CD3">
      <w:pPr>
        <w:pStyle w:val="AERheading3"/>
      </w:pPr>
      <w:r>
        <w:t>Pro</w:t>
      </w:r>
      <w:r w:rsidR="00192204">
        <w:t>spective application of the pass through event</w:t>
      </w:r>
    </w:p>
    <w:p w:rsidR="00192204" w:rsidRDefault="00ED1C3C" w:rsidP="00192204">
      <w:pPr>
        <w:pStyle w:val="AERbodytext"/>
      </w:pPr>
      <w:r>
        <w:t xml:space="preserve">Some submissions submitted that the draft decision was retrospective in operation given that it proposed to include insurance policies entered into in prior regulatory periods. We do not agree that this decision is in any sense retrospective.  </w:t>
      </w:r>
      <w:r w:rsidR="00192204">
        <w:t xml:space="preserve">     </w:t>
      </w:r>
    </w:p>
    <w:p w:rsidR="00F91447" w:rsidRDefault="00192204" w:rsidP="00512FC7">
      <w:pPr>
        <w:pStyle w:val="AERbodytext"/>
      </w:pPr>
      <w:r>
        <w:t>The arrangements under the ESCVs electricity distribution price review (</w:t>
      </w:r>
      <w:r w:rsidRPr="00ED1C3C">
        <w:rPr>
          <w:b/>
        </w:rPr>
        <w:t>EDPR</w:t>
      </w:r>
      <w:r>
        <w:t xml:space="preserve">) 2006-10- </w:t>
      </w:r>
      <w:r w:rsidR="0072052A">
        <w:t xml:space="preserve">made an </w:t>
      </w:r>
      <w:r w:rsidR="00EF3EDC">
        <w:t>allow</w:t>
      </w:r>
      <w:r w:rsidR="0072052A">
        <w:t xml:space="preserve">ance </w:t>
      </w:r>
      <w:r w:rsidR="00EF3EDC">
        <w:t>for insurance coverage.</w:t>
      </w:r>
      <w:r>
        <w:t xml:space="preserve">  During 2006-10, a DNSP could ask the ESCV to reopen the EDPR </w:t>
      </w:r>
      <w:r w:rsidR="00ED1C3C">
        <w:t xml:space="preserve">to seek the recovery of costs in excess of its insurance limits </w:t>
      </w:r>
      <w:r w:rsidR="0067018F" w:rsidRPr="00026438">
        <w:t>that was beyond its control</w:t>
      </w:r>
      <w:r w:rsidRPr="00026438">
        <w:t>.</w:t>
      </w:r>
      <w:r>
        <w:t xml:space="preserve"> The reopener provisions under the ESCV framework operated in a similar way to the NER’s pass through</w:t>
      </w:r>
      <w:r w:rsidR="00ED1C3C">
        <w:t xml:space="preserve"> provisions.</w:t>
      </w:r>
      <w:r w:rsidR="00B8704F">
        <w:rPr>
          <w:rStyle w:val="FootnoteReference"/>
        </w:rPr>
        <w:footnoteReference w:id="20"/>
      </w:r>
      <w:r w:rsidR="00ED1C3C">
        <w:t xml:space="preserve"> This means that had</w:t>
      </w:r>
      <w:r>
        <w:t xml:space="preserve"> SP AusNet incurred costs in excess of its insurance limits, it could have sought to recover these costs through the </w:t>
      </w:r>
      <w:r w:rsidR="00EF3EDC">
        <w:t xml:space="preserve">ESCV’s </w:t>
      </w:r>
      <w:r>
        <w:t>reopener process.  In the absence of a</w:t>
      </w:r>
      <w:r w:rsidR="00153627">
        <w:t xml:space="preserve">n insurance event </w:t>
      </w:r>
      <w:r w:rsidR="00462BAA">
        <w:t xml:space="preserve">within SP AusNet’s current determination </w:t>
      </w:r>
      <w:r w:rsidR="00B006FF">
        <w:t xml:space="preserve">which does not cover </w:t>
      </w:r>
      <w:r w:rsidR="00462BAA">
        <w:t xml:space="preserve">the </w:t>
      </w:r>
      <w:r w:rsidR="00B006FF">
        <w:t xml:space="preserve">limits </w:t>
      </w:r>
      <w:r w:rsidR="00813DDB">
        <w:t xml:space="preserve">for </w:t>
      </w:r>
      <w:r w:rsidR="00153627">
        <w:t>prior policies</w:t>
      </w:r>
      <w:r>
        <w:t>, SP AusNet would not be ab</w:t>
      </w:r>
      <w:r w:rsidR="00153627">
        <w:t>le to seek the recovery of the</w:t>
      </w:r>
      <w:r>
        <w:t xml:space="preserve"> costs</w:t>
      </w:r>
      <w:r w:rsidR="00153627">
        <w:t xml:space="preserve"> in excess of its insurance</w:t>
      </w:r>
      <w:r w:rsidR="00B97E54">
        <w:t xml:space="preserve"> limits </w:t>
      </w:r>
      <w:r w:rsidR="00813DDB">
        <w:t>where the costs are  incurred</w:t>
      </w:r>
      <w:r w:rsidR="00B97E54">
        <w:t xml:space="preserve"> in 2011-1</w:t>
      </w:r>
      <w:r w:rsidR="00153627">
        <w:t>5. This decision addresses this ‘gap’ in the application of the insurance event.  In addressing this gap, the operation of the insurance event can only be prospective.</w:t>
      </w:r>
      <w:r w:rsidR="009643EF">
        <w:t xml:space="preserve">  </w:t>
      </w:r>
    </w:p>
    <w:p w:rsidR="00B97E54" w:rsidRDefault="00B97E54" w:rsidP="00512FC7">
      <w:pPr>
        <w:pStyle w:val="AERbodytext"/>
      </w:pPr>
      <w:r>
        <w:lastRenderedPageBreak/>
        <w:t xml:space="preserve">Accordingly, this decision affords SP AusNet the same opportunity to recover </w:t>
      </w:r>
      <w:r w:rsidR="007E6D96">
        <w:t xml:space="preserve">its efficient </w:t>
      </w:r>
      <w:r>
        <w:t>costs covered by all of its relevant insurance policies.</w:t>
      </w:r>
      <w:r w:rsidR="007E6D96">
        <w:rPr>
          <w:rStyle w:val="FootnoteReference"/>
        </w:rPr>
        <w:footnoteReference w:id="21"/>
      </w:r>
      <w:r>
        <w:t xml:space="preserve"> In particular, only costs above insurance limits on a relevant insurance policy will trigger a pass through event. Such circumstances could only arise in the future.</w:t>
      </w:r>
    </w:p>
    <w:bookmarkEnd w:id="0"/>
    <w:p w:rsidR="007C2D31" w:rsidRDefault="0002117F" w:rsidP="0002117F">
      <w:pPr>
        <w:pStyle w:val="AERheading3"/>
        <w:rPr>
          <w:rStyle w:val="AERbody"/>
          <w:color w:val="F2750E"/>
          <w:sz w:val="24"/>
        </w:rPr>
      </w:pPr>
      <w:r w:rsidRPr="0002117F">
        <w:rPr>
          <w:rStyle w:val="AERbody"/>
          <w:color w:val="F2750E"/>
          <w:sz w:val="24"/>
        </w:rPr>
        <w:t>Proposed amendment to the insurance event definition</w:t>
      </w:r>
    </w:p>
    <w:p w:rsidR="0002117F" w:rsidRDefault="0002117F" w:rsidP="0002117F">
      <w:pPr>
        <w:pStyle w:val="AERbodytext"/>
      </w:pPr>
      <w:r>
        <w:t xml:space="preserve">SP AusNet proposes that the </w:t>
      </w:r>
      <w:r w:rsidR="000D693B">
        <w:t xml:space="preserve">AER amend the </w:t>
      </w:r>
      <w:r>
        <w:t>draft decision</w:t>
      </w:r>
      <w:r w:rsidR="000D693B">
        <w:t>’s definition.</w:t>
      </w:r>
      <w:r>
        <w:t xml:space="preserve"> </w:t>
      </w:r>
      <w:r w:rsidR="000D693B">
        <w:t xml:space="preserve">SP AusNet proposed </w:t>
      </w:r>
      <w:r>
        <w:t xml:space="preserve">to include the plural as well as the singular with regard to claims on the relevant insurance policy.  </w:t>
      </w:r>
      <w:r w:rsidR="000D693B">
        <w:t xml:space="preserve">Specifically, it </w:t>
      </w:r>
      <w:r>
        <w:t>proposed:</w:t>
      </w:r>
    </w:p>
    <w:p w:rsidR="0002117F" w:rsidRPr="0002117F" w:rsidRDefault="0002117F" w:rsidP="0002117F">
      <w:pPr>
        <w:spacing w:after="120" w:line="240" w:lineRule="auto"/>
        <w:ind w:left="1134" w:hanging="567"/>
        <w:rPr>
          <w:sz w:val="16"/>
        </w:rPr>
      </w:pPr>
      <w:r w:rsidRPr="0002117F">
        <w:rPr>
          <w:sz w:val="16"/>
        </w:rPr>
        <w:t xml:space="preserve">An </w:t>
      </w:r>
      <w:r>
        <w:rPr>
          <w:sz w:val="16"/>
        </w:rPr>
        <w:t>insurance e</w:t>
      </w:r>
      <w:r w:rsidRPr="0002117F">
        <w:rPr>
          <w:sz w:val="16"/>
        </w:rPr>
        <w:t>vent:</w:t>
      </w:r>
    </w:p>
    <w:p w:rsidR="0002117F" w:rsidRPr="0002117F" w:rsidRDefault="0002117F" w:rsidP="0002117F">
      <w:pPr>
        <w:spacing w:after="120" w:line="240" w:lineRule="auto"/>
        <w:ind w:left="1134" w:hanging="567"/>
        <w:rPr>
          <w:sz w:val="16"/>
        </w:rPr>
      </w:pPr>
      <w:r w:rsidRPr="0002117F">
        <w:rPr>
          <w:sz w:val="16"/>
        </w:rPr>
        <w:t>An insurance event occurs if:</w:t>
      </w:r>
    </w:p>
    <w:p w:rsidR="0002117F" w:rsidRDefault="0002117F" w:rsidP="0002117F">
      <w:pPr>
        <w:numPr>
          <w:ilvl w:val="0"/>
          <w:numId w:val="11"/>
        </w:numPr>
        <w:spacing w:after="120" w:line="240" w:lineRule="auto"/>
        <w:rPr>
          <w:sz w:val="16"/>
        </w:rPr>
      </w:pPr>
      <w:r w:rsidRPr="0002117F">
        <w:rPr>
          <w:sz w:val="16"/>
        </w:rPr>
        <w:t xml:space="preserve">The DNSP makes a claim </w:t>
      </w:r>
      <w:r w:rsidRPr="0002117F">
        <w:rPr>
          <w:b/>
          <w:sz w:val="16"/>
        </w:rPr>
        <w:t>or claims</w:t>
      </w:r>
      <w:r w:rsidRPr="0002117F">
        <w:rPr>
          <w:sz w:val="16"/>
        </w:rPr>
        <w:t xml:space="preserve"> on a relevant insurance policy; and</w:t>
      </w:r>
      <w:r>
        <w:rPr>
          <w:sz w:val="16"/>
        </w:rPr>
        <w:t xml:space="preserve"> [emphasis added]</w:t>
      </w:r>
    </w:p>
    <w:p w:rsidR="0022376C" w:rsidRPr="0022376C" w:rsidRDefault="0022376C" w:rsidP="0022376C">
      <w:pPr>
        <w:numPr>
          <w:ilvl w:val="0"/>
          <w:numId w:val="11"/>
        </w:numPr>
        <w:spacing w:after="120" w:line="240" w:lineRule="auto"/>
        <w:rPr>
          <w:sz w:val="16"/>
        </w:rPr>
      </w:pPr>
      <w:r w:rsidRPr="0022376C">
        <w:rPr>
          <w:sz w:val="16"/>
        </w:rPr>
        <w:t>..................</w:t>
      </w:r>
    </w:p>
    <w:p w:rsidR="0002117F" w:rsidRDefault="0002117F" w:rsidP="0002117F">
      <w:pPr>
        <w:pStyle w:val="AERbodytext"/>
      </w:pPr>
      <w:r>
        <w:t>SP AusNet states that multiple claims are possible and present a risk scenario this protection is seeking to mitigate.</w:t>
      </w:r>
      <w:r>
        <w:rPr>
          <w:rStyle w:val="FootnoteReference"/>
        </w:rPr>
        <w:footnoteReference w:id="22"/>
      </w:r>
    </w:p>
    <w:p w:rsidR="001C0ECE" w:rsidRDefault="000D693B" w:rsidP="001C0ECE">
      <w:pPr>
        <w:pStyle w:val="AERbodytext"/>
      </w:pPr>
      <w:r>
        <w:t xml:space="preserve">SP AusNet’s proposal would </w:t>
      </w:r>
      <w:r w:rsidR="0022376C">
        <w:t xml:space="preserve">introduce some practical difficulties. </w:t>
      </w:r>
      <w:r w:rsidR="0017539A">
        <w:t>In particular, w</w:t>
      </w:r>
      <w:r w:rsidR="0022376C">
        <w:t xml:space="preserve">e consider that where there is a </w:t>
      </w:r>
      <w:r>
        <w:t xml:space="preserve">single </w:t>
      </w:r>
      <w:r w:rsidR="0022376C">
        <w:t>claim (subject to the remaining conditions)</w:t>
      </w:r>
      <w:r w:rsidR="0017539A">
        <w:t xml:space="preserve">, it is clear that a pass through event has </w:t>
      </w:r>
      <w:r>
        <w:t>occurred</w:t>
      </w:r>
      <w:r w:rsidR="0017539A">
        <w:t xml:space="preserve">. This provides SP AusNet with </w:t>
      </w:r>
      <w:r w:rsidR="00D40845">
        <w:t xml:space="preserve">necessary </w:t>
      </w:r>
      <w:r w:rsidR="0017539A">
        <w:t xml:space="preserve">clarity regarding the period </w:t>
      </w:r>
      <w:r w:rsidR="00B97E54">
        <w:t xml:space="preserve">with </w:t>
      </w:r>
      <w:r w:rsidR="0017539A">
        <w:t xml:space="preserve">which </w:t>
      </w:r>
      <w:r>
        <w:t xml:space="preserve">it must submit </w:t>
      </w:r>
      <w:r w:rsidR="0017539A">
        <w:t xml:space="preserve">a pass </w:t>
      </w:r>
      <w:r>
        <w:t>through application</w:t>
      </w:r>
      <w:r w:rsidR="005953C4">
        <w:t>.</w:t>
      </w:r>
      <w:r w:rsidR="00B8704F">
        <w:rPr>
          <w:rStyle w:val="FootnoteReference"/>
        </w:rPr>
        <w:footnoteReference w:id="23"/>
      </w:r>
      <w:r w:rsidR="005953C4">
        <w:t xml:space="preserve"> However, if the definition </w:t>
      </w:r>
      <w:r w:rsidR="0022376C">
        <w:t xml:space="preserve">includes </w:t>
      </w:r>
      <w:r>
        <w:t xml:space="preserve">a reference to plural </w:t>
      </w:r>
      <w:r w:rsidR="0022376C">
        <w:t>claims</w:t>
      </w:r>
      <w:r w:rsidR="0017539A">
        <w:t xml:space="preserve">, the </w:t>
      </w:r>
      <w:r>
        <w:t xml:space="preserve">event’s </w:t>
      </w:r>
      <w:r w:rsidR="0017539A">
        <w:t xml:space="preserve">timing </w:t>
      </w:r>
      <w:r w:rsidR="005953C4">
        <w:t xml:space="preserve">may be ambiguous. Further, SP AusNet has </w:t>
      </w:r>
      <w:r w:rsidR="00B97E54">
        <w:t xml:space="preserve">not </w:t>
      </w:r>
      <w:r w:rsidR="007D0BC1">
        <w:t xml:space="preserve">explained </w:t>
      </w:r>
      <w:r w:rsidR="00827855">
        <w:t xml:space="preserve">why multiple claims will present a risk scenario.  </w:t>
      </w:r>
      <w:r w:rsidR="007D0BC1">
        <w:t>If there are multiple claims that meet the relevant definition, SP AusNet may submit multiple applications</w:t>
      </w:r>
      <w:r w:rsidR="000E032A">
        <w:t xml:space="preserve">.  </w:t>
      </w:r>
      <w:r w:rsidR="00827855">
        <w:t xml:space="preserve"> </w:t>
      </w:r>
      <w:r w:rsidR="001776A8">
        <w:t>Accordingly, we do not agree with SP AusNet’s proposed amendment to the insurance event definition.</w:t>
      </w:r>
      <w:r w:rsidR="00827855">
        <w:t xml:space="preserve"> </w:t>
      </w:r>
    </w:p>
    <w:p w:rsidR="003A4703" w:rsidRDefault="00607B3A" w:rsidP="001C0ECE">
      <w:pPr>
        <w:pStyle w:val="AERunnumberedheading"/>
      </w:pPr>
      <w:bookmarkStart w:id="12" w:name="_Toc354046523"/>
      <w:r>
        <w:lastRenderedPageBreak/>
        <w:t>Appendix A</w:t>
      </w:r>
      <w:r w:rsidR="007046D9">
        <w:t>: Pass through events</w:t>
      </w:r>
      <w:bookmarkEnd w:id="12"/>
    </w:p>
    <w:p w:rsidR="0067018F" w:rsidRDefault="007046D9" w:rsidP="0067018F">
      <w:pPr>
        <w:pStyle w:val="Default"/>
        <w:rPr>
          <w:rFonts w:ascii="Arial" w:hAnsi="Arial" w:cs="Arial"/>
          <w:b/>
          <w:bCs/>
          <w:sz w:val="22"/>
          <w:szCs w:val="22"/>
        </w:rPr>
      </w:pPr>
      <w:r>
        <w:rPr>
          <w:rFonts w:ascii="Arial" w:hAnsi="Arial" w:cs="Arial"/>
          <w:b/>
          <w:bCs/>
          <w:sz w:val="22"/>
          <w:szCs w:val="22"/>
        </w:rPr>
        <w:t>Positive pass through</w:t>
      </w:r>
    </w:p>
    <w:p w:rsidR="0067018F" w:rsidRDefault="0067018F" w:rsidP="0067018F">
      <w:pPr>
        <w:pStyle w:val="Default"/>
      </w:pPr>
    </w:p>
    <w:p w:rsidR="003A4703" w:rsidRDefault="0009625B">
      <w:pPr>
        <w:pStyle w:val="AERbodytext"/>
      </w:pPr>
      <w:r>
        <w:t xml:space="preserve">Cl. 6.6 .1 of </w:t>
      </w:r>
      <w:r w:rsidR="001C0ECE">
        <w:t xml:space="preserve">National Electricity </w:t>
      </w:r>
      <w:r>
        <w:t>Rules specifies</w:t>
      </w:r>
      <w:r w:rsidR="00DB51D1">
        <w:t xml:space="preserve"> that:</w:t>
      </w:r>
    </w:p>
    <w:p w:rsidR="003A4703" w:rsidRDefault="00DB51D1" w:rsidP="007046D9">
      <w:pPr>
        <w:pStyle w:val="AERquote"/>
        <w:numPr>
          <w:ilvl w:val="0"/>
          <w:numId w:val="18"/>
        </w:numPr>
      </w:pPr>
      <w:r>
        <w:t xml:space="preserve">If the </w:t>
      </w:r>
      <w:r>
        <w:rPr>
          <w:i/>
          <w:iCs/>
        </w:rPr>
        <w:t xml:space="preserve">AER </w:t>
      </w:r>
      <w:r>
        <w:t xml:space="preserve">determines that a </w:t>
      </w:r>
      <w:r>
        <w:rPr>
          <w:i/>
          <w:iCs/>
        </w:rPr>
        <w:t xml:space="preserve">positive change event </w:t>
      </w:r>
      <w:r>
        <w:t xml:space="preserve">has occurred in respect of a statement under paragraph (c), the </w:t>
      </w:r>
      <w:r>
        <w:rPr>
          <w:i/>
          <w:iCs/>
        </w:rPr>
        <w:t xml:space="preserve">AER </w:t>
      </w:r>
      <w:r>
        <w:t xml:space="preserve">must determine: </w:t>
      </w:r>
    </w:p>
    <w:p w:rsidR="003A4703" w:rsidRPr="001C0ECE" w:rsidRDefault="00DB51D1" w:rsidP="001C0ECE">
      <w:pPr>
        <w:pStyle w:val="AERquote"/>
        <w:numPr>
          <w:ilvl w:val="0"/>
          <w:numId w:val="16"/>
        </w:numPr>
        <w:rPr>
          <w:color w:val="auto"/>
        </w:rPr>
      </w:pPr>
      <w:r w:rsidRPr="001C0ECE">
        <w:rPr>
          <w:color w:val="auto"/>
        </w:rPr>
        <w:t xml:space="preserve">the </w:t>
      </w:r>
      <w:r w:rsidRPr="001C0ECE">
        <w:rPr>
          <w:i/>
          <w:iCs/>
          <w:color w:val="auto"/>
        </w:rPr>
        <w:t>approved pass through amount</w:t>
      </w:r>
      <w:r w:rsidRPr="001C0ECE">
        <w:rPr>
          <w:color w:val="auto"/>
        </w:rPr>
        <w:t>; and</w:t>
      </w:r>
    </w:p>
    <w:p w:rsidR="003A4703" w:rsidRDefault="00DB51D1">
      <w:pPr>
        <w:pStyle w:val="AERquote"/>
        <w:numPr>
          <w:ilvl w:val="0"/>
          <w:numId w:val="16"/>
        </w:numPr>
        <w:rPr>
          <w:color w:val="auto"/>
        </w:rPr>
      </w:pPr>
      <w:r w:rsidRPr="00DB51D1">
        <w:rPr>
          <w:color w:val="auto"/>
        </w:rPr>
        <w:t xml:space="preserve">the amount of that </w:t>
      </w:r>
      <w:r w:rsidRPr="00DB51D1">
        <w:rPr>
          <w:i/>
          <w:iCs/>
          <w:color w:val="auto"/>
        </w:rPr>
        <w:t xml:space="preserve">approved pass through amount </w:t>
      </w:r>
      <w:r w:rsidRPr="00DB51D1">
        <w:rPr>
          <w:color w:val="auto"/>
        </w:rPr>
        <w:t xml:space="preserve">that should be passed through to </w:t>
      </w:r>
      <w:r w:rsidRPr="00DB51D1">
        <w:rPr>
          <w:i/>
          <w:iCs/>
          <w:color w:val="auto"/>
        </w:rPr>
        <w:t xml:space="preserve">Distribution Network Users </w:t>
      </w:r>
      <w:r w:rsidRPr="00DB51D1">
        <w:rPr>
          <w:color w:val="auto"/>
        </w:rPr>
        <w:t xml:space="preserve">in the </w:t>
      </w:r>
      <w:r w:rsidRPr="00DB51D1">
        <w:rPr>
          <w:i/>
          <w:iCs/>
          <w:color w:val="auto"/>
        </w:rPr>
        <w:t xml:space="preserve">regulatory year </w:t>
      </w:r>
      <w:r w:rsidRPr="00DB51D1">
        <w:rPr>
          <w:color w:val="auto"/>
        </w:rPr>
        <w:t xml:space="preserve">in which, and each </w:t>
      </w:r>
      <w:r w:rsidRPr="00DB51D1">
        <w:rPr>
          <w:i/>
          <w:iCs/>
          <w:color w:val="auto"/>
        </w:rPr>
        <w:t xml:space="preserve">regulatory year </w:t>
      </w:r>
      <w:r w:rsidRPr="00DB51D1">
        <w:rPr>
          <w:color w:val="auto"/>
        </w:rPr>
        <w:t xml:space="preserve">after that in which, the </w:t>
      </w:r>
      <w:r w:rsidRPr="00DB51D1">
        <w:rPr>
          <w:i/>
          <w:iCs/>
          <w:color w:val="auto"/>
        </w:rPr>
        <w:t xml:space="preserve">positive change event </w:t>
      </w:r>
      <w:r w:rsidRPr="00DB51D1">
        <w:rPr>
          <w:color w:val="auto"/>
        </w:rPr>
        <w:t>occurred,</w:t>
      </w:r>
    </w:p>
    <w:p w:rsidR="003A4703" w:rsidRDefault="00AE2A44">
      <w:pPr>
        <w:pStyle w:val="AERquote"/>
      </w:pPr>
      <w:r w:rsidRPr="00AE2A44">
        <w:t>taking into account the matters referred to in paragraph (j).</w:t>
      </w:r>
    </w:p>
    <w:p w:rsidR="00DB51D1" w:rsidRDefault="00DB51D1" w:rsidP="00DB51D1">
      <w:pPr>
        <w:pStyle w:val="Default"/>
        <w:rPr>
          <w:rFonts w:ascii="Arial" w:hAnsi="Arial" w:cs="Arial"/>
          <w:b/>
          <w:bCs/>
          <w:sz w:val="22"/>
          <w:szCs w:val="22"/>
        </w:rPr>
      </w:pPr>
      <w:r>
        <w:t xml:space="preserve"> </w:t>
      </w:r>
      <w:r w:rsidR="00827855">
        <w:t xml:space="preserve">  </w:t>
      </w:r>
      <w:r w:rsidRPr="00DB51D1">
        <w:rPr>
          <w:rFonts w:ascii="Arial" w:hAnsi="Arial" w:cs="Arial"/>
          <w:b/>
          <w:bCs/>
          <w:sz w:val="22"/>
          <w:szCs w:val="22"/>
        </w:rPr>
        <w:t>Relevant factors</w:t>
      </w:r>
    </w:p>
    <w:p w:rsidR="00DB51D1" w:rsidRPr="00DB51D1" w:rsidRDefault="00DB51D1" w:rsidP="00DB51D1">
      <w:pPr>
        <w:pStyle w:val="Default"/>
        <w:rPr>
          <w:rFonts w:ascii="Arial" w:hAnsi="Arial" w:cs="Arial"/>
          <w:sz w:val="22"/>
          <w:szCs w:val="22"/>
        </w:rPr>
      </w:pPr>
      <w:r w:rsidRPr="00DB51D1">
        <w:rPr>
          <w:rFonts w:ascii="Arial" w:hAnsi="Arial" w:cs="Arial"/>
          <w:b/>
          <w:bCs/>
          <w:sz w:val="22"/>
          <w:szCs w:val="22"/>
        </w:rPr>
        <w:t xml:space="preserve"> </w:t>
      </w:r>
    </w:p>
    <w:p w:rsidR="003A4703" w:rsidRDefault="0009625B">
      <w:pPr>
        <w:pStyle w:val="AERquote"/>
        <w:ind w:left="720" w:hanging="720"/>
        <w:rPr>
          <w:rFonts w:eastAsia="Calibri"/>
        </w:rPr>
      </w:pPr>
      <w:r>
        <w:rPr>
          <w:rFonts w:eastAsia="Calibri"/>
        </w:rPr>
        <w:t>(j)</w:t>
      </w:r>
      <w:r>
        <w:rPr>
          <w:rFonts w:eastAsia="Calibri"/>
        </w:rPr>
        <w:tab/>
      </w:r>
      <w:r w:rsidR="00DB51D1" w:rsidRPr="00DB51D1">
        <w:rPr>
          <w:rFonts w:eastAsia="Calibri"/>
        </w:rPr>
        <w:t xml:space="preserve">In making a determination under paragraph (d) or (g) in respect of a </w:t>
      </w:r>
      <w:r w:rsidR="00DB51D1" w:rsidRPr="00DB51D1">
        <w:rPr>
          <w:rFonts w:eastAsia="Calibri"/>
          <w:i/>
          <w:iCs/>
        </w:rPr>
        <w:t>Distribution Network Service Provider</w:t>
      </w:r>
      <w:r w:rsidR="00DB51D1" w:rsidRPr="00DB51D1">
        <w:rPr>
          <w:rFonts w:eastAsia="Calibri"/>
        </w:rPr>
        <w:t xml:space="preserve">, the </w:t>
      </w:r>
      <w:r w:rsidR="00DB51D1" w:rsidRPr="00DB51D1">
        <w:rPr>
          <w:rFonts w:eastAsia="Calibri"/>
          <w:i/>
          <w:iCs/>
        </w:rPr>
        <w:t xml:space="preserve">AER </w:t>
      </w:r>
      <w:r w:rsidR="00DB51D1" w:rsidRPr="00DB51D1">
        <w:rPr>
          <w:rFonts w:eastAsia="Calibri"/>
        </w:rPr>
        <w:t xml:space="preserve">must take into account: </w:t>
      </w:r>
    </w:p>
    <w:p w:rsidR="003A4703" w:rsidRDefault="00DB51D1" w:rsidP="001C0ECE">
      <w:pPr>
        <w:pStyle w:val="AERquote"/>
        <w:ind w:left="1440" w:hanging="540"/>
        <w:rPr>
          <w:rFonts w:eastAsia="Calibri"/>
        </w:rPr>
      </w:pPr>
      <w:r w:rsidRPr="00DB51D1">
        <w:rPr>
          <w:rFonts w:eastAsia="Calibri"/>
        </w:rPr>
        <w:t xml:space="preserve">(1) </w:t>
      </w:r>
      <w:r w:rsidR="0009625B">
        <w:rPr>
          <w:rFonts w:eastAsia="Calibri"/>
        </w:rPr>
        <w:tab/>
      </w:r>
      <w:r w:rsidRPr="00DB51D1">
        <w:rPr>
          <w:rFonts w:eastAsia="Calibri"/>
        </w:rPr>
        <w:t xml:space="preserve">the matters and proposals set out in any statement given to the </w:t>
      </w:r>
      <w:r w:rsidRPr="00DB51D1">
        <w:rPr>
          <w:rFonts w:eastAsia="Calibri"/>
          <w:i/>
          <w:iCs/>
        </w:rPr>
        <w:t xml:space="preserve">AER </w:t>
      </w:r>
      <w:r w:rsidRPr="00DB51D1">
        <w:rPr>
          <w:rFonts w:eastAsia="Calibri"/>
        </w:rPr>
        <w:t xml:space="preserve">by the </w:t>
      </w:r>
      <w:r w:rsidRPr="00DB51D1">
        <w:rPr>
          <w:rFonts w:eastAsia="Calibri"/>
          <w:i/>
          <w:iCs/>
        </w:rPr>
        <w:t xml:space="preserve">Distribution Network Service Provider </w:t>
      </w:r>
      <w:r w:rsidRPr="00DB51D1">
        <w:rPr>
          <w:rFonts w:eastAsia="Calibri"/>
        </w:rPr>
        <w:t xml:space="preserve">under paragraph (c) or (f); and </w:t>
      </w:r>
    </w:p>
    <w:p w:rsidR="003A4703" w:rsidRDefault="0009625B" w:rsidP="001C0ECE">
      <w:pPr>
        <w:pStyle w:val="AERquote"/>
        <w:ind w:left="1440" w:hanging="540"/>
        <w:rPr>
          <w:rFonts w:eastAsia="Calibri"/>
        </w:rPr>
      </w:pPr>
      <w:r>
        <w:rPr>
          <w:rFonts w:eastAsia="Calibri"/>
        </w:rPr>
        <w:t>(2)</w:t>
      </w:r>
      <w:r>
        <w:rPr>
          <w:rFonts w:eastAsia="Calibri"/>
        </w:rPr>
        <w:tab/>
      </w:r>
      <w:r w:rsidR="00DB51D1" w:rsidRPr="00DB51D1">
        <w:rPr>
          <w:rFonts w:eastAsia="Calibri"/>
        </w:rPr>
        <w:t xml:space="preserve">in the case of a </w:t>
      </w:r>
      <w:r w:rsidR="00DB51D1" w:rsidRPr="00DB51D1">
        <w:rPr>
          <w:rFonts w:eastAsia="Calibri"/>
          <w:i/>
          <w:iCs/>
        </w:rPr>
        <w:t>positive change event</w:t>
      </w:r>
      <w:r w:rsidR="00DB51D1" w:rsidRPr="00DB51D1">
        <w:rPr>
          <w:rFonts w:eastAsia="Calibri"/>
        </w:rPr>
        <w:t xml:space="preserve">, the increase in costs in the provision of </w:t>
      </w:r>
      <w:r w:rsidR="00DB51D1" w:rsidRPr="00DB51D1">
        <w:rPr>
          <w:rFonts w:eastAsia="Calibri"/>
          <w:i/>
          <w:iCs/>
        </w:rPr>
        <w:t xml:space="preserve">direct control services </w:t>
      </w:r>
      <w:r w:rsidR="00DB51D1" w:rsidRPr="00DB51D1">
        <w:rPr>
          <w:rFonts w:eastAsia="Calibri"/>
        </w:rPr>
        <w:t xml:space="preserve">that, as a result of the </w:t>
      </w:r>
      <w:r w:rsidR="00DB51D1" w:rsidRPr="00DB51D1">
        <w:rPr>
          <w:rFonts w:eastAsia="Calibri"/>
          <w:i/>
          <w:iCs/>
        </w:rPr>
        <w:t>positive change event</w:t>
      </w:r>
      <w:r w:rsidR="00DB51D1" w:rsidRPr="00DB51D1">
        <w:rPr>
          <w:rFonts w:eastAsia="Calibri"/>
        </w:rPr>
        <w:t xml:space="preserve">, the </w:t>
      </w:r>
      <w:r w:rsidR="00DB51D1" w:rsidRPr="00DB51D1">
        <w:rPr>
          <w:rFonts w:eastAsia="Calibri"/>
          <w:i/>
          <w:iCs/>
        </w:rPr>
        <w:t xml:space="preserve">Distribution Network Service Provider </w:t>
      </w:r>
      <w:r w:rsidR="00DB51D1" w:rsidRPr="00DB51D1">
        <w:rPr>
          <w:rFonts w:eastAsia="Calibri"/>
        </w:rPr>
        <w:t xml:space="preserve">has incurred and is likely to incur until: </w:t>
      </w:r>
    </w:p>
    <w:p w:rsidR="003A4703" w:rsidRDefault="00DB51D1">
      <w:pPr>
        <w:pStyle w:val="AERquote"/>
        <w:ind w:left="720" w:hanging="720"/>
        <w:rPr>
          <w:rFonts w:eastAsia="Calibri"/>
        </w:rPr>
      </w:pPr>
      <w:r w:rsidRPr="00DB51D1">
        <w:rPr>
          <w:rFonts w:eastAsia="Calibri"/>
        </w:rPr>
        <w:t xml:space="preserve">(i) </w:t>
      </w:r>
      <w:r w:rsidR="0009625B">
        <w:rPr>
          <w:rFonts w:eastAsia="Calibri"/>
        </w:rPr>
        <w:tab/>
      </w:r>
      <w:r w:rsidRPr="00DB51D1">
        <w:rPr>
          <w:rFonts w:eastAsia="Calibri"/>
        </w:rPr>
        <w:t xml:space="preserve">unless subparagraph(ii) applies – the end of the </w:t>
      </w:r>
      <w:r w:rsidRPr="00DB51D1">
        <w:rPr>
          <w:rFonts w:eastAsia="Calibri"/>
          <w:i/>
          <w:iCs/>
        </w:rPr>
        <w:t xml:space="preserve">regulatory control period </w:t>
      </w:r>
      <w:r w:rsidRPr="00DB51D1">
        <w:rPr>
          <w:rFonts w:eastAsia="Calibri"/>
        </w:rPr>
        <w:t xml:space="preserve">in which the </w:t>
      </w:r>
      <w:r w:rsidRPr="00DB51D1">
        <w:rPr>
          <w:rFonts w:eastAsia="Calibri"/>
          <w:i/>
          <w:iCs/>
        </w:rPr>
        <w:t xml:space="preserve">positive change event </w:t>
      </w:r>
      <w:r w:rsidRPr="00DB51D1">
        <w:rPr>
          <w:rFonts w:eastAsia="Calibri"/>
        </w:rPr>
        <w:t xml:space="preserve">occurred; or </w:t>
      </w:r>
    </w:p>
    <w:p w:rsidR="003A4703" w:rsidRDefault="00DB51D1" w:rsidP="001C0ECE">
      <w:pPr>
        <w:pStyle w:val="AERquote"/>
        <w:ind w:left="1440" w:hanging="540"/>
        <w:rPr>
          <w:rFonts w:eastAsia="Calibri"/>
        </w:rPr>
      </w:pPr>
      <w:r w:rsidRPr="00DB51D1">
        <w:rPr>
          <w:rFonts w:eastAsia="Calibri"/>
        </w:rPr>
        <w:t xml:space="preserve">(ii) </w:t>
      </w:r>
      <w:r w:rsidR="0009625B">
        <w:rPr>
          <w:rFonts w:eastAsia="Calibri"/>
        </w:rPr>
        <w:tab/>
      </w:r>
      <w:r w:rsidRPr="00DB51D1">
        <w:rPr>
          <w:rFonts w:eastAsia="Calibri"/>
        </w:rPr>
        <w:t xml:space="preserve">if the distribution determination for the </w:t>
      </w:r>
      <w:r w:rsidRPr="00DB51D1">
        <w:rPr>
          <w:rFonts w:eastAsia="Calibri"/>
          <w:i/>
          <w:iCs/>
        </w:rPr>
        <w:t xml:space="preserve">regulatory control period </w:t>
      </w:r>
      <w:r w:rsidRPr="00DB51D1">
        <w:rPr>
          <w:rFonts w:eastAsia="Calibri"/>
        </w:rPr>
        <w:t xml:space="preserve">following that in which the </w:t>
      </w:r>
      <w:r w:rsidRPr="00DB51D1">
        <w:rPr>
          <w:rFonts w:eastAsia="Calibri"/>
          <w:i/>
          <w:iCs/>
        </w:rPr>
        <w:t xml:space="preserve">positive change event </w:t>
      </w:r>
      <w:r w:rsidRPr="00DB51D1">
        <w:rPr>
          <w:rFonts w:eastAsia="Calibri"/>
        </w:rPr>
        <w:t xml:space="preserve">occurred does not make any allowance for the recovery of that increase in costs – the end of the </w:t>
      </w:r>
      <w:r w:rsidRPr="00DB51D1">
        <w:rPr>
          <w:rFonts w:eastAsia="Calibri"/>
          <w:i/>
          <w:iCs/>
        </w:rPr>
        <w:t xml:space="preserve">regulatory control period </w:t>
      </w:r>
      <w:r w:rsidRPr="00DB51D1">
        <w:rPr>
          <w:rFonts w:eastAsia="Calibri"/>
        </w:rPr>
        <w:t xml:space="preserve">following that in which the </w:t>
      </w:r>
      <w:r w:rsidRPr="00DB51D1">
        <w:rPr>
          <w:rFonts w:eastAsia="Calibri"/>
          <w:i/>
          <w:iCs/>
        </w:rPr>
        <w:t xml:space="preserve">positive change event </w:t>
      </w:r>
      <w:r w:rsidRPr="00DB51D1">
        <w:rPr>
          <w:rFonts w:eastAsia="Calibri"/>
        </w:rPr>
        <w:t xml:space="preserve">occurred; </w:t>
      </w:r>
    </w:p>
    <w:p w:rsidR="003A4703" w:rsidRDefault="0009625B" w:rsidP="001C0ECE">
      <w:pPr>
        <w:pStyle w:val="AERquote"/>
        <w:ind w:left="1440" w:hanging="540"/>
        <w:rPr>
          <w:rFonts w:eastAsia="Calibri"/>
        </w:rPr>
      </w:pPr>
      <w:r>
        <w:rPr>
          <w:rFonts w:eastAsia="Calibri"/>
        </w:rPr>
        <w:t>(2A)</w:t>
      </w:r>
      <w:r>
        <w:rPr>
          <w:rFonts w:eastAsia="Calibri"/>
        </w:rPr>
        <w:tab/>
      </w:r>
      <w:r w:rsidR="00DB51D1" w:rsidRPr="00DB51D1">
        <w:rPr>
          <w:rFonts w:eastAsia="Calibri"/>
        </w:rPr>
        <w:t xml:space="preserve">in the case of a </w:t>
      </w:r>
      <w:r w:rsidR="00DB51D1" w:rsidRPr="00DB51D1">
        <w:rPr>
          <w:rFonts w:eastAsia="Calibri"/>
          <w:i/>
          <w:iCs/>
        </w:rPr>
        <w:t>negative change event</w:t>
      </w:r>
      <w:r w:rsidR="00DB51D1" w:rsidRPr="00DB51D1">
        <w:rPr>
          <w:rFonts w:eastAsia="Calibri"/>
        </w:rPr>
        <w:t xml:space="preserve">, the costs in the provision of </w:t>
      </w:r>
      <w:r w:rsidR="00DB51D1" w:rsidRPr="00DB51D1">
        <w:rPr>
          <w:rFonts w:eastAsia="Calibri"/>
          <w:i/>
          <w:iCs/>
        </w:rPr>
        <w:t xml:space="preserve">direct control services </w:t>
      </w:r>
      <w:r w:rsidR="00DB51D1" w:rsidRPr="00DB51D1">
        <w:rPr>
          <w:rFonts w:eastAsia="Calibri"/>
        </w:rPr>
        <w:t xml:space="preserve">that, as a result of the </w:t>
      </w:r>
      <w:r w:rsidR="00DB51D1" w:rsidRPr="00DB51D1">
        <w:rPr>
          <w:rFonts w:eastAsia="Calibri"/>
          <w:i/>
          <w:iCs/>
        </w:rPr>
        <w:t>negative change event</w:t>
      </w:r>
      <w:r w:rsidR="00DB51D1" w:rsidRPr="00DB51D1">
        <w:rPr>
          <w:rFonts w:eastAsia="Calibri"/>
        </w:rPr>
        <w:t xml:space="preserve">, the </w:t>
      </w:r>
      <w:r w:rsidR="00DB51D1" w:rsidRPr="00DB51D1">
        <w:rPr>
          <w:rFonts w:eastAsia="Calibri"/>
          <w:i/>
          <w:iCs/>
        </w:rPr>
        <w:t xml:space="preserve">Distribution Network Service Provider </w:t>
      </w:r>
      <w:r w:rsidR="00DB51D1" w:rsidRPr="00DB51D1">
        <w:rPr>
          <w:rFonts w:eastAsia="Calibri"/>
        </w:rPr>
        <w:t xml:space="preserve">has saved and is likely to save until: </w:t>
      </w:r>
    </w:p>
    <w:p w:rsidR="003A4703" w:rsidRDefault="00DB51D1" w:rsidP="001C0ECE">
      <w:pPr>
        <w:pStyle w:val="AERquote"/>
        <w:ind w:left="1440" w:hanging="540"/>
        <w:rPr>
          <w:rFonts w:ascii="Arial" w:eastAsia="Calibri" w:hAnsi="Arial" w:cs="Arial"/>
          <w:sz w:val="24"/>
        </w:rPr>
      </w:pPr>
      <w:r w:rsidRPr="00DB51D1">
        <w:rPr>
          <w:rFonts w:eastAsia="Calibri"/>
        </w:rPr>
        <w:t xml:space="preserve">(i) </w:t>
      </w:r>
      <w:r w:rsidR="0009625B">
        <w:rPr>
          <w:rFonts w:eastAsia="Calibri"/>
        </w:rPr>
        <w:tab/>
      </w:r>
      <w:r w:rsidRPr="00DB51D1">
        <w:rPr>
          <w:rFonts w:eastAsia="Calibri"/>
        </w:rPr>
        <w:t xml:space="preserve">unless subparagraph(ii) applies – the end of the </w:t>
      </w:r>
      <w:r w:rsidRPr="00DB51D1">
        <w:rPr>
          <w:rFonts w:eastAsia="Calibri"/>
          <w:i/>
          <w:iCs/>
        </w:rPr>
        <w:t xml:space="preserve">regulatory control period </w:t>
      </w:r>
      <w:r w:rsidRPr="00DB51D1">
        <w:rPr>
          <w:rFonts w:eastAsia="Calibri"/>
        </w:rPr>
        <w:t xml:space="preserve">in which the </w:t>
      </w:r>
      <w:r w:rsidRPr="00DB51D1">
        <w:rPr>
          <w:rFonts w:eastAsia="Calibri"/>
          <w:i/>
          <w:iCs/>
        </w:rPr>
        <w:t xml:space="preserve">negative change event </w:t>
      </w:r>
      <w:r w:rsidRPr="00DB51D1">
        <w:rPr>
          <w:rFonts w:eastAsia="Calibri"/>
        </w:rPr>
        <w:t xml:space="preserve">occurred; </w:t>
      </w:r>
    </w:p>
    <w:p w:rsidR="003A4703" w:rsidRDefault="00DB51D1" w:rsidP="001C0ECE">
      <w:pPr>
        <w:pStyle w:val="AERquote"/>
        <w:ind w:left="1440" w:hanging="540"/>
        <w:rPr>
          <w:rFonts w:eastAsia="Calibri"/>
        </w:rPr>
      </w:pPr>
      <w:r w:rsidRPr="00DB51D1">
        <w:rPr>
          <w:rFonts w:eastAsia="Calibri"/>
        </w:rPr>
        <w:t xml:space="preserve">(ii) </w:t>
      </w:r>
      <w:r w:rsidR="0009625B">
        <w:rPr>
          <w:rFonts w:eastAsia="Calibri"/>
        </w:rPr>
        <w:tab/>
      </w:r>
      <w:r w:rsidRPr="00DB51D1">
        <w:rPr>
          <w:rFonts w:eastAsia="Calibri"/>
        </w:rPr>
        <w:t xml:space="preserve">if the distribution determination for the </w:t>
      </w:r>
      <w:r w:rsidRPr="00DB51D1">
        <w:rPr>
          <w:rFonts w:eastAsia="Calibri"/>
          <w:i/>
          <w:iCs/>
        </w:rPr>
        <w:t xml:space="preserve">regulatory control period </w:t>
      </w:r>
      <w:r w:rsidRPr="00DB51D1">
        <w:rPr>
          <w:rFonts w:eastAsia="Calibri"/>
        </w:rPr>
        <w:t>fo</w:t>
      </w:r>
      <w:r w:rsidR="0009625B">
        <w:rPr>
          <w:rFonts w:eastAsia="Calibri"/>
        </w:rPr>
        <w:t>llowing that in which t</w:t>
      </w:r>
      <w:r w:rsidRPr="00DB51D1">
        <w:rPr>
          <w:rFonts w:eastAsia="Calibri"/>
        </w:rPr>
        <w:t xml:space="preserve">he </w:t>
      </w:r>
      <w:r w:rsidRPr="00DB51D1">
        <w:rPr>
          <w:rFonts w:eastAsia="Calibri"/>
          <w:i/>
          <w:iCs/>
        </w:rPr>
        <w:t xml:space="preserve">negative change event </w:t>
      </w:r>
      <w:r w:rsidRPr="00DB51D1">
        <w:rPr>
          <w:rFonts w:eastAsia="Calibri"/>
        </w:rPr>
        <w:t xml:space="preserve">occurred does not make any allowance for the pass through of those cost savings to </w:t>
      </w:r>
      <w:r w:rsidRPr="00DB51D1">
        <w:rPr>
          <w:rFonts w:eastAsia="Calibri"/>
          <w:i/>
          <w:iCs/>
        </w:rPr>
        <w:t xml:space="preserve">Distribution Network Users </w:t>
      </w:r>
      <w:r w:rsidRPr="00DB51D1">
        <w:rPr>
          <w:rFonts w:eastAsia="Calibri"/>
        </w:rPr>
        <w:t xml:space="preserve">– the end of the </w:t>
      </w:r>
      <w:r w:rsidRPr="00DB51D1">
        <w:rPr>
          <w:rFonts w:eastAsia="Calibri"/>
          <w:i/>
          <w:iCs/>
        </w:rPr>
        <w:t xml:space="preserve">regulatory control period </w:t>
      </w:r>
      <w:r w:rsidRPr="00DB51D1">
        <w:rPr>
          <w:rFonts w:eastAsia="Calibri"/>
        </w:rPr>
        <w:t xml:space="preserve">following that in which the </w:t>
      </w:r>
      <w:r w:rsidRPr="00DB51D1">
        <w:rPr>
          <w:rFonts w:eastAsia="Calibri"/>
          <w:i/>
          <w:iCs/>
        </w:rPr>
        <w:t xml:space="preserve">negative change event </w:t>
      </w:r>
      <w:r w:rsidRPr="00DB51D1">
        <w:rPr>
          <w:rFonts w:eastAsia="Calibri"/>
        </w:rPr>
        <w:t xml:space="preserve">occurred; </w:t>
      </w:r>
    </w:p>
    <w:p w:rsidR="003A4703" w:rsidRDefault="00DB51D1" w:rsidP="001C0ECE">
      <w:pPr>
        <w:pStyle w:val="AERquote"/>
        <w:ind w:left="1440" w:hanging="540"/>
        <w:rPr>
          <w:rFonts w:eastAsia="Calibri"/>
        </w:rPr>
      </w:pPr>
      <w:r w:rsidRPr="00DB51D1">
        <w:rPr>
          <w:rFonts w:eastAsia="Calibri"/>
        </w:rPr>
        <w:t xml:space="preserve">(3) </w:t>
      </w:r>
      <w:r w:rsidR="001C0ECE">
        <w:rPr>
          <w:rFonts w:eastAsia="Calibri"/>
        </w:rPr>
        <w:tab/>
      </w:r>
      <w:r w:rsidRPr="00DB51D1">
        <w:rPr>
          <w:rFonts w:eastAsia="Calibri"/>
        </w:rPr>
        <w:t xml:space="preserve">in the case of a </w:t>
      </w:r>
      <w:r w:rsidRPr="00DB51D1">
        <w:rPr>
          <w:rFonts w:eastAsia="Calibri"/>
          <w:i/>
          <w:iCs/>
        </w:rPr>
        <w:t>positive change event</w:t>
      </w:r>
      <w:r w:rsidRPr="00DB51D1">
        <w:rPr>
          <w:rFonts w:eastAsia="Calibri"/>
        </w:rPr>
        <w:t xml:space="preserve">, the efficiency of the </w:t>
      </w:r>
      <w:r w:rsidRPr="00DB51D1">
        <w:rPr>
          <w:rFonts w:eastAsia="Calibri"/>
          <w:i/>
          <w:iCs/>
        </w:rPr>
        <w:t xml:space="preserve">Distribution Network Service Provider's </w:t>
      </w:r>
      <w:r w:rsidRPr="00DB51D1">
        <w:rPr>
          <w:rFonts w:eastAsia="Calibri"/>
        </w:rPr>
        <w:t xml:space="preserve">decisions and actions in relation to the risk of the </w:t>
      </w:r>
      <w:r w:rsidRPr="00DB51D1">
        <w:rPr>
          <w:rFonts w:eastAsia="Calibri"/>
          <w:i/>
          <w:iCs/>
        </w:rPr>
        <w:t>positive change event</w:t>
      </w:r>
      <w:r w:rsidRPr="00DB51D1">
        <w:rPr>
          <w:rFonts w:eastAsia="Calibri"/>
        </w:rPr>
        <w:t xml:space="preserve">, including whether the </w:t>
      </w:r>
      <w:r w:rsidRPr="00DB51D1">
        <w:rPr>
          <w:rFonts w:eastAsia="Calibri"/>
          <w:i/>
          <w:iCs/>
        </w:rPr>
        <w:t xml:space="preserve">Distribution Network Service Provider </w:t>
      </w:r>
      <w:r w:rsidRPr="00DB51D1">
        <w:rPr>
          <w:rFonts w:eastAsia="Calibri"/>
        </w:rPr>
        <w:t xml:space="preserve">has failed to take any action that could reasonably be taken to reduce the magnitude of the </w:t>
      </w:r>
      <w:r w:rsidRPr="00DB51D1">
        <w:rPr>
          <w:rFonts w:eastAsia="Calibri"/>
          <w:i/>
          <w:iCs/>
        </w:rPr>
        <w:t xml:space="preserve">eligible pass through amount </w:t>
      </w:r>
      <w:r w:rsidRPr="00DB51D1">
        <w:rPr>
          <w:rFonts w:eastAsia="Calibri"/>
        </w:rPr>
        <w:t xml:space="preserve">in respect of that </w:t>
      </w:r>
      <w:r w:rsidRPr="00DB51D1">
        <w:rPr>
          <w:rFonts w:eastAsia="Calibri"/>
          <w:i/>
          <w:iCs/>
        </w:rPr>
        <w:t xml:space="preserve">positive change event </w:t>
      </w:r>
      <w:r w:rsidRPr="00DB51D1">
        <w:rPr>
          <w:rFonts w:eastAsia="Calibri"/>
        </w:rPr>
        <w:t xml:space="preserve">and whether the </w:t>
      </w:r>
      <w:r w:rsidRPr="00DB51D1">
        <w:rPr>
          <w:rFonts w:eastAsia="Calibri"/>
          <w:i/>
          <w:iCs/>
        </w:rPr>
        <w:t xml:space="preserve">Distribution Network Service Provider </w:t>
      </w:r>
      <w:r w:rsidRPr="00DB51D1">
        <w:rPr>
          <w:rFonts w:eastAsia="Calibri"/>
        </w:rPr>
        <w:t xml:space="preserve">has taken or omitted to take any action where such action or omission has increased the magnitude of the amount in respect of that </w:t>
      </w:r>
      <w:r w:rsidRPr="00DB51D1">
        <w:rPr>
          <w:rFonts w:eastAsia="Calibri"/>
          <w:i/>
          <w:iCs/>
        </w:rPr>
        <w:t>positive change event</w:t>
      </w:r>
      <w:r w:rsidRPr="00DB51D1">
        <w:rPr>
          <w:rFonts w:eastAsia="Calibri"/>
        </w:rPr>
        <w:t xml:space="preserve">; </w:t>
      </w:r>
    </w:p>
    <w:p w:rsidR="003A4703" w:rsidRDefault="00DB51D1" w:rsidP="001C0ECE">
      <w:pPr>
        <w:pStyle w:val="AERquote"/>
        <w:ind w:left="1440" w:hanging="540"/>
        <w:rPr>
          <w:rFonts w:eastAsia="Calibri"/>
        </w:rPr>
      </w:pPr>
      <w:r w:rsidRPr="00DB51D1">
        <w:rPr>
          <w:rFonts w:eastAsia="Calibri"/>
        </w:rPr>
        <w:t xml:space="preserve">(4) </w:t>
      </w:r>
      <w:r w:rsidR="001C0ECE">
        <w:rPr>
          <w:rFonts w:eastAsia="Calibri"/>
        </w:rPr>
        <w:tab/>
      </w:r>
      <w:r w:rsidRPr="00DB51D1">
        <w:rPr>
          <w:rFonts w:eastAsia="Calibri"/>
        </w:rPr>
        <w:t xml:space="preserve">the time cost of money based on the </w:t>
      </w:r>
      <w:r w:rsidRPr="00DB51D1">
        <w:rPr>
          <w:rFonts w:eastAsia="Calibri"/>
          <w:i/>
          <w:iCs/>
        </w:rPr>
        <w:t xml:space="preserve">allowed rate of return </w:t>
      </w:r>
      <w:r w:rsidRPr="00DB51D1">
        <w:rPr>
          <w:rFonts w:eastAsia="Calibri"/>
        </w:rPr>
        <w:t xml:space="preserve">for the </w:t>
      </w:r>
      <w:r w:rsidRPr="00DB51D1">
        <w:rPr>
          <w:rFonts w:eastAsia="Calibri"/>
          <w:i/>
          <w:iCs/>
        </w:rPr>
        <w:t xml:space="preserve">Distribution Network Service Provider </w:t>
      </w:r>
      <w:r w:rsidRPr="00DB51D1">
        <w:rPr>
          <w:rFonts w:eastAsia="Calibri"/>
        </w:rPr>
        <w:t xml:space="preserve">for the </w:t>
      </w:r>
      <w:r w:rsidRPr="00DB51D1">
        <w:rPr>
          <w:rFonts w:eastAsia="Calibri"/>
          <w:i/>
          <w:iCs/>
        </w:rPr>
        <w:t xml:space="preserve">regulatory control period </w:t>
      </w:r>
      <w:r w:rsidRPr="00DB51D1">
        <w:rPr>
          <w:rFonts w:eastAsia="Calibri"/>
        </w:rPr>
        <w:t xml:space="preserve">in which the </w:t>
      </w:r>
      <w:r w:rsidRPr="00DB51D1">
        <w:rPr>
          <w:rFonts w:eastAsia="Calibri"/>
          <w:i/>
          <w:iCs/>
        </w:rPr>
        <w:t xml:space="preserve">pass through event </w:t>
      </w:r>
      <w:r w:rsidRPr="00DB51D1">
        <w:rPr>
          <w:rFonts w:eastAsia="Calibri"/>
        </w:rPr>
        <w:t xml:space="preserve">occurred; </w:t>
      </w:r>
    </w:p>
    <w:p w:rsidR="003A4703" w:rsidRDefault="00DB51D1" w:rsidP="001C0ECE">
      <w:pPr>
        <w:pStyle w:val="AERquote"/>
        <w:ind w:left="1440" w:hanging="540"/>
        <w:rPr>
          <w:rFonts w:eastAsia="Calibri"/>
        </w:rPr>
      </w:pPr>
      <w:r w:rsidRPr="00DB51D1">
        <w:rPr>
          <w:rFonts w:eastAsia="Calibri"/>
        </w:rPr>
        <w:t xml:space="preserve">(5) </w:t>
      </w:r>
      <w:r w:rsidR="001C0ECE">
        <w:rPr>
          <w:rFonts w:eastAsia="Calibri"/>
        </w:rPr>
        <w:tab/>
      </w:r>
      <w:r w:rsidRPr="00DB51D1">
        <w:rPr>
          <w:rFonts w:eastAsia="Calibri"/>
        </w:rPr>
        <w:t xml:space="preserve">the need to ensure that the </w:t>
      </w:r>
      <w:r w:rsidRPr="00DB51D1">
        <w:rPr>
          <w:rFonts w:eastAsia="Calibri"/>
          <w:i/>
          <w:iCs/>
        </w:rPr>
        <w:t xml:space="preserve">Distribution Network Service Provider </w:t>
      </w:r>
      <w:r w:rsidRPr="00DB51D1">
        <w:rPr>
          <w:rFonts w:eastAsia="Calibri"/>
        </w:rPr>
        <w:t xml:space="preserve">only recovers any actual or likely increment in costs under this paragraph (j) to the extent that such increment is solely as a consequence of a </w:t>
      </w:r>
      <w:r w:rsidRPr="00DB51D1">
        <w:rPr>
          <w:rFonts w:eastAsia="Calibri"/>
          <w:i/>
          <w:iCs/>
        </w:rPr>
        <w:t>pass through event</w:t>
      </w:r>
      <w:r w:rsidRPr="00DB51D1">
        <w:rPr>
          <w:rFonts w:eastAsia="Calibri"/>
        </w:rPr>
        <w:t xml:space="preserve">; </w:t>
      </w:r>
    </w:p>
    <w:p w:rsidR="003A4703" w:rsidRDefault="00DB51D1" w:rsidP="001C0ECE">
      <w:pPr>
        <w:pStyle w:val="AERquote"/>
        <w:ind w:left="1440" w:hanging="540"/>
        <w:rPr>
          <w:rFonts w:eastAsia="Calibri"/>
        </w:rPr>
      </w:pPr>
      <w:r w:rsidRPr="00DB51D1">
        <w:rPr>
          <w:rFonts w:eastAsia="Calibri"/>
        </w:rPr>
        <w:lastRenderedPageBreak/>
        <w:t xml:space="preserve">(6) </w:t>
      </w:r>
      <w:r w:rsidR="001C0ECE">
        <w:rPr>
          <w:rFonts w:eastAsia="Calibri"/>
        </w:rPr>
        <w:tab/>
      </w:r>
      <w:r w:rsidRPr="00DB51D1">
        <w:rPr>
          <w:rFonts w:eastAsia="Calibri"/>
        </w:rPr>
        <w:t xml:space="preserve">in the case of a </w:t>
      </w:r>
      <w:r w:rsidRPr="00DB51D1">
        <w:rPr>
          <w:rFonts w:eastAsia="Calibri"/>
          <w:i/>
          <w:iCs/>
        </w:rPr>
        <w:t>tax change event</w:t>
      </w:r>
      <w:r w:rsidRPr="00DB51D1">
        <w:rPr>
          <w:rFonts w:eastAsia="Calibri"/>
        </w:rPr>
        <w:t xml:space="preserve">, any change in the way another </w:t>
      </w:r>
      <w:r w:rsidRPr="00DB51D1">
        <w:rPr>
          <w:rFonts w:eastAsia="Calibri"/>
          <w:i/>
          <w:iCs/>
        </w:rPr>
        <w:t xml:space="preserve">tax </w:t>
      </w:r>
      <w:r w:rsidRPr="00DB51D1">
        <w:rPr>
          <w:rFonts w:eastAsia="Calibri"/>
        </w:rPr>
        <w:t xml:space="preserve">is calculated, or the removal or imposition of another </w:t>
      </w:r>
      <w:r w:rsidRPr="00DB51D1">
        <w:rPr>
          <w:rFonts w:eastAsia="Calibri"/>
          <w:i/>
          <w:iCs/>
        </w:rPr>
        <w:t>tax</w:t>
      </w:r>
      <w:r w:rsidRPr="00DB51D1">
        <w:rPr>
          <w:rFonts w:eastAsia="Calibri"/>
        </w:rPr>
        <w:t xml:space="preserve">, which, in the </w:t>
      </w:r>
      <w:r w:rsidRPr="00DB51D1">
        <w:rPr>
          <w:rFonts w:eastAsia="Calibri"/>
          <w:i/>
          <w:iCs/>
        </w:rPr>
        <w:t xml:space="preserve">AER's </w:t>
      </w:r>
      <w:r w:rsidRPr="00DB51D1">
        <w:rPr>
          <w:rFonts w:eastAsia="Calibri"/>
        </w:rPr>
        <w:t xml:space="preserve">opinion, is complementary to the </w:t>
      </w:r>
      <w:r w:rsidRPr="00DB51D1">
        <w:rPr>
          <w:rFonts w:eastAsia="Calibri"/>
          <w:i/>
          <w:iCs/>
        </w:rPr>
        <w:t xml:space="preserve">tax change event </w:t>
      </w:r>
      <w:r w:rsidRPr="00DB51D1">
        <w:rPr>
          <w:rFonts w:eastAsia="Calibri"/>
        </w:rPr>
        <w:t xml:space="preserve">concerned; </w:t>
      </w:r>
    </w:p>
    <w:p w:rsidR="003A4703" w:rsidRDefault="00DB51D1" w:rsidP="001C0ECE">
      <w:pPr>
        <w:pStyle w:val="AERquote"/>
        <w:ind w:left="1440" w:hanging="540"/>
        <w:rPr>
          <w:rFonts w:eastAsia="Calibri"/>
        </w:rPr>
      </w:pPr>
      <w:r w:rsidRPr="00DB51D1">
        <w:rPr>
          <w:rFonts w:eastAsia="Calibri"/>
        </w:rPr>
        <w:t xml:space="preserve">(7) </w:t>
      </w:r>
      <w:r w:rsidR="001C0ECE">
        <w:rPr>
          <w:rFonts w:eastAsia="Calibri"/>
        </w:rPr>
        <w:tab/>
      </w:r>
      <w:r w:rsidRPr="00DB51D1">
        <w:rPr>
          <w:rFonts w:eastAsia="Calibri"/>
        </w:rPr>
        <w:t xml:space="preserve">whether the costs of the </w:t>
      </w:r>
      <w:r w:rsidRPr="00DB51D1">
        <w:rPr>
          <w:rFonts w:eastAsia="Calibri"/>
          <w:i/>
          <w:iCs/>
        </w:rPr>
        <w:t xml:space="preserve">pass through event </w:t>
      </w:r>
      <w:r w:rsidRPr="00DB51D1">
        <w:rPr>
          <w:rFonts w:eastAsia="Calibri"/>
        </w:rPr>
        <w:t xml:space="preserve">have already been factored into the calculation of the </w:t>
      </w:r>
      <w:r w:rsidRPr="00DB51D1">
        <w:rPr>
          <w:rFonts w:eastAsia="Calibri"/>
          <w:i/>
          <w:iCs/>
        </w:rPr>
        <w:t xml:space="preserve">Distribution Network Service Provider's annual revenue requirement </w:t>
      </w:r>
      <w:r w:rsidRPr="00DB51D1">
        <w:rPr>
          <w:rFonts w:eastAsia="Calibri"/>
        </w:rPr>
        <w:t xml:space="preserve">for the </w:t>
      </w:r>
      <w:r w:rsidRPr="00DB51D1">
        <w:rPr>
          <w:rFonts w:eastAsia="Calibri"/>
          <w:i/>
          <w:iCs/>
        </w:rPr>
        <w:t xml:space="preserve">regulatory control period </w:t>
      </w:r>
      <w:r w:rsidRPr="00DB51D1">
        <w:rPr>
          <w:rFonts w:eastAsia="Calibri"/>
        </w:rPr>
        <w:t xml:space="preserve">in which the </w:t>
      </w:r>
      <w:r w:rsidRPr="00DB51D1">
        <w:rPr>
          <w:rFonts w:eastAsia="Calibri"/>
          <w:i/>
          <w:iCs/>
        </w:rPr>
        <w:t xml:space="preserve">pass through event </w:t>
      </w:r>
      <w:r w:rsidRPr="00DB51D1">
        <w:rPr>
          <w:rFonts w:eastAsia="Calibri"/>
        </w:rPr>
        <w:t xml:space="preserve">occurred or will be factored into the calculation of the </w:t>
      </w:r>
      <w:r w:rsidRPr="00DB51D1">
        <w:rPr>
          <w:rFonts w:eastAsia="Calibri"/>
          <w:i/>
          <w:iCs/>
        </w:rPr>
        <w:t xml:space="preserve">Distribution Network Service Provider's annual revenue requirement </w:t>
      </w:r>
      <w:r w:rsidRPr="00DB51D1">
        <w:rPr>
          <w:rFonts w:eastAsia="Calibri"/>
        </w:rPr>
        <w:t xml:space="preserve">for a subsequent </w:t>
      </w:r>
      <w:r w:rsidRPr="00DB51D1">
        <w:rPr>
          <w:rFonts w:eastAsia="Calibri"/>
          <w:i/>
          <w:iCs/>
        </w:rPr>
        <w:t>regulatory control period</w:t>
      </w:r>
      <w:r w:rsidRPr="00DB51D1">
        <w:rPr>
          <w:rFonts w:eastAsia="Calibri"/>
        </w:rPr>
        <w:t xml:space="preserve">; </w:t>
      </w:r>
    </w:p>
    <w:p w:rsidR="003A4703" w:rsidRDefault="00DB51D1" w:rsidP="001C0ECE">
      <w:pPr>
        <w:pStyle w:val="AERquote"/>
        <w:ind w:left="1440" w:hanging="540"/>
        <w:rPr>
          <w:rFonts w:eastAsia="Calibri"/>
        </w:rPr>
      </w:pPr>
      <w:r w:rsidRPr="00DB51D1">
        <w:rPr>
          <w:rFonts w:eastAsia="Calibri"/>
        </w:rPr>
        <w:t>(7A)</w:t>
      </w:r>
      <w:r w:rsidR="001C0ECE">
        <w:rPr>
          <w:rFonts w:eastAsia="Calibri"/>
        </w:rPr>
        <w:tab/>
      </w:r>
      <w:r w:rsidRPr="00DB51D1">
        <w:rPr>
          <w:rFonts w:eastAsia="Calibri"/>
        </w:rPr>
        <w:t xml:space="preserve"> the extent to which the costs that the </w:t>
      </w:r>
      <w:r w:rsidRPr="00DB51D1">
        <w:rPr>
          <w:rFonts w:eastAsia="Calibri"/>
          <w:i/>
          <w:iCs/>
        </w:rPr>
        <w:t xml:space="preserve">Distribution Network Service Provider </w:t>
      </w:r>
      <w:r w:rsidRPr="00DB51D1">
        <w:rPr>
          <w:rFonts w:eastAsia="Calibri"/>
        </w:rPr>
        <w:t xml:space="preserve">has incurred and is likely to incur are the subject of a previous determination made by the </w:t>
      </w:r>
      <w:r w:rsidRPr="00DB51D1">
        <w:rPr>
          <w:rFonts w:eastAsia="Calibri"/>
          <w:i/>
          <w:iCs/>
        </w:rPr>
        <w:t xml:space="preserve">AER </w:t>
      </w:r>
      <w:r w:rsidRPr="00DB51D1">
        <w:rPr>
          <w:rFonts w:eastAsia="Calibri"/>
        </w:rPr>
        <w:t xml:space="preserve">under this clause 6.6.1; and </w:t>
      </w:r>
    </w:p>
    <w:p w:rsidR="00097A8F" w:rsidRDefault="00DB51D1" w:rsidP="001C0ECE">
      <w:pPr>
        <w:pStyle w:val="AERquote"/>
      </w:pPr>
      <w:r w:rsidRPr="00DB51D1">
        <w:rPr>
          <w:rFonts w:eastAsia="Calibri"/>
        </w:rPr>
        <w:t xml:space="preserve">(8) </w:t>
      </w:r>
      <w:r w:rsidR="001C0ECE">
        <w:rPr>
          <w:rFonts w:eastAsia="Calibri"/>
        </w:rPr>
        <w:tab/>
      </w:r>
      <w:r w:rsidRPr="00DB51D1">
        <w:rPr>
          <w:rFonts w:eastAsia="Calibri"/>
        </w:rPr>
        <w:t xml:space="preserve">any other factors that the </w:t>
      </w:r>
      <w:r w:rsidRPr="00DB51D1">
        <w:rPr>
          <w:rFonts w:eastAsia="Calibri"/>
          <w:i/>
          <w:iCs/>
        </w:rPr>
        <w:t xml:space="preserve">AER </w:t>
      </w:r>
      <w:r w:rsidRPr="00DB51D1">
        <w:rPr>
          <w:rFonts w:eastAsia="Calibri"/>
        </w:rPr>
        <w:t xml:space="preserve">considers relevant. </w:t>
      </w:r>
    </w:p>
    <w:sectPr w:rsidR="00097A8F" w:rsidSect="007C2D31">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58" w:rsidRDefault="00451658" w:rsidP="007C2D31">
      <w:pPr>
        <w:spacing w:line="240" w:lineRule="auto"/>
      </w:pPr>
      <w:r>
        <w:separator/>
      </w:r>
    </w:p>
  </w:endnote>
  <w:endnote w:type="continuationSeparator" w:id="0">
    <w:p w:rsidR="00451658" w:rsidRDefault="00451658" w:rsidP="007C2D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58" w:rsidRDefault="00EC22E9" w:rsidP="007C2D31">
    <w:pPr>
      <w:framePr w:wrap="around" w:vAnchor="text" w:hAnchor="margin" w:xAlign="center" w:y="1"/>
    </w:pPr>
    <w:r>
      <w:fldChar w:fldCharType="begin"/>
    </w:r>
    <w:r w:rsidR="00451658">
      <w:instrText xml:space="preserve">PAGE  </w:instrText>
    </w:r>
    <w:r>
      <w:fldChar w:fldCharType="end"/>
    </w:r>
  </w:p>
  <w:p w:rsidR="00451658" w:rsidRDefault="00451658" w:rsidP="007C2D3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58" w:rsidRDefault="00EC22E9" w:rsidP="007C2D31">
    <w:pPr>
      <w:framePr w:wrap="around" w:vAnchor="text" w:hAnchor="margin" w:xAlign="center" w:y="1"/>
    </w:pPr>
    <w:fldSimple w:instr="PAGE  ">
      <w:r w:rsidR="00451658">
        <w:rPr>
          <w:noProof/>
        </w:rPr>
        <w:t>2</w:t>
      </w:r>
    </w:fldSimple>
  </w:p>
  <w:p w:rsidR="00451658" w:rsidRDefault="00451658" w:rsidP="007C2D31">
    <w:pPr>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58" w:rsidRDefault="004516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58" w:rsidRDefault="00451658" w:rsidP="007C2D31">
    <w:pPr>
      <w:tabs>
        <w:tab w:val="right" w:pos="9072"/>
      </w:tabs>
    </w:pPr>
    <w:r>
      <w:tab/>
    </w:r>
    <w:r w:rsidR="00EC22E9">
      <w:rPr>
        <w:rStyle w:val="PageNumber"/>
      </w:rPr>
      <w:fldChar w:fldCharType="begin"/>
    </w:r>
    <w:r>
      <w:rPr>
        <w:rStyle w:val="PageNumber"/>
      </w:rPr>
      <w:instrText xml:space="preserve"> PAGE </w:instrText>
    </w:r>
    <w:r w:rsidR="00EC22E9">
      <w:rPr>
        <w:rStyle w:val="PageNumber"/>
      </w:rPr>
      <w:fldChar w:fldCharType="separate"/>
    </w:r>
    <w:r w:rsidR="00BB2D0E">
      <w:rPr>
        <w:rStyle w:val="PageNumber"/>
        <w:noProof/>
      </w:rPr>
      <w:t>i</w:t>
    </w:r>
    <w:r w:rsidR="00EC22E9">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1526"/>
      <w:gridCol w:w="6804"/>
      <w:gridCol w:w="850"/>
    </w:tblGrid>
    <w:tr w:rsidR="00451658">
      <w:trPr>
        <w:trHeight w:val="142"/>
      </w:trPr>
      <w:tc>
        <w:tcPr>
          <w:tcW w:w="1526" w:type="dxa"/>
          <w:tcBorders>
            <w:right w:val="single" w:sz="4" w:space="0" w:color="000000"/>
          </w:tcBorders>
        </w:tcPr>
        <w:p w:rsidR="00451658" w:rsidRPr="007B056E" w:rsidRDefault="00451658" w:rsidP="007C2D31">
          <w:pPr>
            <w:jc w:val="left"/>
            <w:rPr>
              <w:szCs w:val="20"/>
            </w:rPr>
          </w:pPr>
          <w:r>
            <w:rPr>
              <w:szCs w:val="20"/>
            </w:rPr>
            <w:t>Final Decision</w:t>
          </w:r>
        </w:p>
      </w:tc>
      <w:tc>
        <w:tcPr>
          <w:tcW w:w="6804" w:type="dxa"/>
          <w:tcBorders>
            <w:left w:val="single" w:sz="4" w:space="0" w:color="000000"/>
          </w:tcBorders>
        </w:tcPr>
        <w:p w:rsidR="00451658" w:rsidRPr="007B056E" w:rsidRDefault="00451658" w:rsidP="007C2D31">
          <w:pPr>
            <w:jc w:val="left"/>
            <w:rPr>
              <w:szCs w:val="20"/>
            </w:rPr>
          </w:pPr>
          <w:r>
            <w:rPr>
              <w:szCs w:val="20"/>
            </w:rPr>
            <w:t>SPI Electricity Pty Ltd insurance pass through event</w:t>
          </w:r>
        </w:p>
      </w:tc>
      <w:tc>
        <w:tcPr>
          <w:tcW w:w="850" w:type="dxa"/>
        </w:tcPr>
        <w:p w:rsidR="00451658" w:rsidRPr="007B056E" w:rsidRDefault="00EC22E9" w:rsidP="007C2D31">
          <w:pPr>
            <w:jc w:val="right"/>
            <w:rPr>
              <w:szCs w:val="20"/>
            </w:rPr>
          </w:pPr>
          <w:fldSimple w:instr=" PAGE   \* MERGEFORMAT ">
            <w:r w:rsidR="00BB2D0E" w:rsidRPr="00BB2D0E">
              <w:rPr>
                <w:noProof/>
                <w:szCs w:val="20"/>
              </w:rPr>
              <w:t>6</w:t>
            </w:r>
          </w:fldSimple>
        </w:p>
      </w:tc>
    </w:tr>
  </w:tbl>
  <w:p w:rsidR="00451658" w:rsidRDefault="00451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58" w:rsidRDefault="00451658" w:rsidP="007C2D31">
      <w:pPr>
        <w:spacing w:line="240" w:lineRule="auto"/>
      </w:pPr>
      <w:r>
        <w:separator/>
      </w:r>
    </w:p>
  </w:footnote>
  <w:footnote w:type="continuationSeparator" w:id="0">
    <w:p w:rsidR="00451658" w:rsidRDefault="00451658" w:rsidP="007C2D31">
      <w:pPr>
        <w:spacing w:line="240" w:lineRule="auto"/>
      </w:pPr>
      <w:r>
        <w:continuationSeparator/>
      </w:r>
    </w:p>
  </w:footnote>
  <w:footnote w:id="1">
    <w:p w:rsidR="00451658" w:rsidRDefault="00451658">
      <w:pPr>
        <w:pStyle w:val="FootnoteText"/>
      </w:pPr>
      <w:r>
        <w:rPr>
          <w:rStyle w:val="FootnoteReference"/>
        </w:rPr>
        <w:footnoteRef/>
      </w:r>
      <w:r>
        <w:t xml:space="preserve"> </w:t>
      </w:r>
      <w:r w:rsidR="00474E8C">
        <w:tab/>
      </w:r>
      <w:r>
        <w:t>Victorian Electricity Supply Industry Tariff Order cl.3.2</w:t>
      </w:r>
    </w:p>
  </w:footnote>
  <w:footnote w:id="2">
    <w:p w:rsidR="00451658" w:rsidRPr="0029465B" w:rsidRDefault="00451658" w:rsidP="0053129C">
      <w:pPr>
        <w:pStyle w:val="FootnoteText"/>
        <w:spacing w:after="120"/>
      </w:pPr>
      <w:r>
        <w:rPr>
          <w:rStyle w:val="FootnoteReference"/>
        </w:rPr>
        <w:footnoteRef/>
      </w:r>
      <w:r>
        <w:t xml:space="preserve"> </w:t>
      </w:r>
      <w:r>
        <w:tab/>
        <w:t xml:space="preserve">NER, cl 6.6.1 (j)(3).  </w:t>
      </w:r>
    </w:p>
  </w:footnote>
  <w:footnote w:id="3">
    <w:p w:rsidR="00451658" w:rsidRDefault="00451658" w:rsidP="0052611F">
      <w:pPr>
        <w:pStyle w:val="FootnoteText"/>
        <w:spacing w:after="120"/>
      </w:pPr>
      <w:r>
        <w:rPr>
          <w:rStyle w:val="FootnoteReference"/>
        </w:rPr>
        <w:footnoteRef/>
      </w:r>
      <w:r>
        <w:t xml:space="preserve"> </w:t>
      </w:r>
      <w:r>
        <w:tab/>
        <w:t>NER, cl 6.12.1.</w:t>
      </w:r>
    </w:p>
  </w:footnote>
  <w:footnote w:id="4">
    <w:p w:rsidR="00451658" w:rsidRDefault="00451658" w:rsidP="0052611F">
      <w:pPr>
        <w:pStyle w:val="FootnoteText"/>
        <w:spacing w:after="120"/>
      </w:pPr>
      <w:r>
        <w:rPr>
          <w:rStyle w:val="FootnoteReference"/>
        </w:rPr>
        <w:footnoteRef/>
      </w:r>
      <w:r>
        <w:t xml:space="preserve"> </w:t>
      </w:r>
      <w:r>
        <w:tab/>
        <w:t>NER, cl 6.12.1(14) and the definition of a ‘pass through event’ in Chapter 10 of the NER.</w:t>
      </w:r>
    </w:p>
  </w:footnote>
  <w:footnote w:id="5">
    <w:p w:rsidR="00451658" w:rsidRPr="00BC56E2" w:rsidRDefault="00451658" w:rsidP="0052611F">
      <w:pPr>
        <w:pStyle w:val="FootnoteText"/>
        <w:spacing w:after="120"/>
      </w:pPr>
      <w:r w:rsidRPr="00951C1D">
        <w:rPr>
          <w:rStyle w:val="FootnoteReference"/>
        </w:rPr>
        <w:footnoteRef/>
      </w:r>
      <w:r w:rsidRPr="00951C1D">
        <w:t xml:space="preserve"> </w:t>
      </w:r>
      <w:r w:rsidRPr="00951C1D">
        <w:tab/>
        <w:t xml:space="preserve">Australian Energy Market Commission, </w:t>
      </w:r>
      <w:r w:rsidRPr="00951C1D">
        <w:rPr>
          <w:i/>
        </w:rPr>
        <w:t>National Electricity Amendment (Economic Regulation of Transmission Services) Rule 2006, Rule Determination</w:t>
      </w:r>
      <w:r w:rsidRPr="00AB1E83">
        <w:t xml:space="preserve">, 16 November 2006, </w:t>
      </w:r>
      <w:r w:rsidRPr="00951C1D">
        <w:t>p. 104.</w:t>
      </w:r>
    </w:p>
  </w:footnote>
  <w:footnote w:id="6">
    <w:p w:rsidR="00451658" w:rsidRPr="00D84422" w:rsidRDefault="00451658" w:rsidP="00BC56E2">
      <w:pPr>
        <w:pStyle w:val="FootnoteText"/>
        <w:spacing w:after="120"/>
      </w:pPr>
      <w:r>
        <w:rPr>
          <w:rStyle w:val="FootnoteReference"/>
        </w:rPr>
        <w:footnoteRef/>
      </w:r>
      <w:r>
        <w:t xml:space="preserve"> </w:t>
      </w:r>
      <w:r>
        <w:tab/>
        <w:t xml:space="preserve">AER, </w:t>
      </w:r>
      <w:r w:rsidRPr="00FC6DDE">
        <w:rPr>
          <w:i/>
        </w:rPr>
        <w:t>Final</w:t>
      </w:r>
      <w:r w:rsidRPr="007E27EA">
        <w:rPr>
          <w:i/>
        </w:rPr>
        <w:t xml:space="preserve"> </w:t>
      </w:r>
      <w:r>
        <w:rPr>
          <w:i/>
        </w:rPr>
        <w:t>SPI Electricity</w:t>
      </w:r>
      <w:r w:rsidRPr="00FC6DDE">
        <w:rPr>
          <w:i/>
        </w:rPr>
        <w:t xml:space="preserve"> Pty</w:t>
      </w:r>
      <w:r>
        <w:rPr>
          <w:i/>
        </w:rPr>
        <w:t xml:space="preserve"> Ltd</w:t>
      </w:r>
      <w:r w:rsidRPr="00FC6DDE">
        <w:rPr>
          <w:i/>
        </w:rPr>
        <w:t>, Distribution determination 2011–2015</w:t>
      </w:r>
      <w:r>
        <w:t>, October 2010.</w:t>
      </w:r>
    </w:p>
  </w:footnote>
  <w:footnote w:id="7">
    <w:p w:rsidR="00451658" w:rsidRDefault="00451658" w:rsidP="00BC56E2">
      <w:pPr>
        <w:pStyle w:val="FootnoteText"/>
        <w:spacing w:after="120"/>
      </w:pPr>
      <w:r>
        <w:rPr>
          <w:rStyle w:val="FootnoteReference"/>
        </w:rPr>
        <w:footnoteRef/>
      </w:r>
      <w:r>
        <w:t xml:space="preserve"> </w:t>
      </w:r>
      <w:r>
        <w:tab/>
        <w:t>Ibid., pp. 30 and 31.</w:t>
      </w:r>
    </w:p>
  </w:footnote>
  <w:footnote w:id="8">
    <w:p w:rsidR="00451658" w:rsidRPr="004C25AA" w:rsidRDefault="00451658" w:rsidP="00BC56E2">
      <w:pPr>
        <w:pStyle w:val="FootnoteText"/>
        <w:spacing w:after="120"/>
      </w:pPr>
      <w:r w:rsidRPr="00951C1D">
        <w:rPr>
          <w:rStyle w:val="FootnoteReference"/>
        </w:rPr>
        <w:footnoteRef/>
      </w:r>
      <w:r w:rsidRPr="00AB1E83">
        <w:t xml:space="preserve"> </w:t>
      </w:r>
      <w:r w:rsidRPr="00AB1E83">
        <w:tab/>
      </w:r>
      <w:r w:rsidRPr="00951C1D">
        <w:t xml:space="preserve">AER, </w:t>
      </w:r>
      <w:r w:rsidRPr="00951C1D">
        <w:rPr>
          <w:i/>
        </w:rPr>
        <w:t>Final Decision</w:t>
      </w:r>
      <w:r w:rsidRPr="00951C1D">
        <w:t xml:space="preserve">, </w:t>
      </w:r>
      <w:r w:rsidRPr="00951C1D">
        <w:rPr>
          <w:i/>
        </w:rPr>
        <w:t>Victorian electricity distribution network service providers, Distribution determination 2011-15</w:t>
      </w:r>
      <w:r w:rsidRPr="00951C1D">
        <w:t xml:space="preserve">, 29 October 2010, </w:t>
      </w:r>
      <w:r w:rsidRPr="00AB1E83">
        <w:t>pp.793</w:t>
      </w:r>
      <w:r>
        <w:t>–</w:t>
      </w:r>
      <w:r w:rsidRPr="00AB1E83">
        <w:t>794</w:t>
      </w:r>
      <w:r>
        <w:t>.</w:t>
      </w:r>
    </w:p>
  </w:footnote>
  <w:footnote w:id="9">
    <w:p w:rsidR="00451658" w:rsidRDefault="00451658" w:rsidP="00BC56E2">
      <w:pPr>
        <w:pStyle w:val="FootnoteText"/>
        <w:spacing w:after="120"/>
      </w:pPr>
      <w:r>
        <w:rPr>
          <w:rStyle w:val="FootnoteReference"/>
        </w:rPr>
        <w:footnoteRef/>
      </w:r>
      <w:r>
        <w:t xml:space="preserve"> </w:t>
      </w:r>
      <w:r>
        <w:tab/>
      </w:r>
      <w:r w:rsidRPr="00713462">
        <w:rPr>
          <w:i/>
        </w:rPr>
        <w:t>Application by United Energy Distribution Pty Limited</w:t>
      </w:r>
      <w:r w:rsidRPr="00713462">
        <w:t xml:space="preserve"> [2012] A</w:t>
      </w:r>
      <w:r>
        <w:t>C</w:t>
      </w:r>
      <w:r w:rsidRPr="00713462">
        <w:t>ompT</w:t>
      </w:r>
      <w:r>
        <w:t xml:space="preserve"> </w:t>
      </w:r>
      <w:r w:rsidRPr="00713462">
        <w:t>1</w:t>
      </w:r>
      <w:r>
        <w:t>, [533].</w:t>
      </w:r>
    </w:p>
  </w:footnote>
  <w:footnote w:id="10">
    <w:p w:rsidR="00451658" w:rsidRPr="00FC6DDE" w:rsidRDefault="00451658" w:rsidP="00BC56E2">
      <w:pPr>
        <w:pStyle w:val="FootnoteText"/>
        <w:spacing w:after="120"/>
      </w:pPr>
      <w:r>
        <w:rPr>
          <w:rStyle w:val="FootnoteReference"/>
        </w:rPr>
        <w:footnoteRef/>
      </w:r>
      <w:r>
        <w:t xml:space="preserve"> </w:t>
      </w:r>
      <w:r>
        <w:tab/>
      </w:r>
      <w:r w:rsidRPr="00713462">
        <w:rPr>
          <w:i/>
        </w:rPr>
        <w:t>Application by United Energy Distribution Pty Limited (No 2)</w:t>
      </w:r>
      <w:r w:rsidRPr="00713462">
        <w:t xml:space="preserve"> [2012] ACompT 8</w:t>
      </w:r>
      <w:r>
        <w:t>, Order 3 of ACT 7 of 2010.</w:t>
      </w:r>
    </w:p>
  </w:footnote>
  <w:footnote w:id="11">
    <w:p w:rsidR="00451658" w:rsidRDefault="00451658" w:rsidP="00BC56E2">
      <w:pPr>
        <w:pStyle w:val="FootnoteText"/>
        <w:spacing w:after="120"/>
      </w:pPr>
      <w:r>
        <w:rPr>
          <w:rStyle w:val="FootnoteReference"/>
        </w:rPr>
        <w:footnoteRef/>
      </w:r>
      <w:r>
        <w:t xml:space="preserve"> </w:t>
      </w:r>
      <w:r>
        <w:tab/>
      </w:r>
      <w:r w:rsidRPr="004C2976">
        <w:rPr>
          <w:i/>
        </w:rPr>
        <w:t xml:space="preserve">Application by SPI Electricity Pty Limited </w:t>
      </w:r>
      <w:r w:rsidRPr="004C2976">
        <w:t>[2013] ACompT 1</w:t>
      </w:r>
      <w:r>
        <w:t>, [1]-[5].</w:t>
      </w:r>
    </w:p>
  </w:footnote>
  <w:footnote w:id="12">
    <w:p w:rsidR="00451658" w:rsidRDefault="00451658" w:rsidP="00B8704F">
      <w:pPr>
        <w:pStyle w:val="FootnoteText"/>
        <w:spacing w:after="120"/>
      </w:pPr>
      <w:r>
        <w:rPr>
          <w:rStyle w:val="FootnoteReference"/>
        </w:rPr>
        <w:footnoteRef/>
      </w:r>
      <w:r>
        <w:t xml:space="preserve"> </w:t>
      </w:r>
      <w:r>
        <w:tab/>
        <w:t>The Minister for Energy and Resources’ submission to the Draft Decision, 12 September 2012, p. 1.</w:t>
      </w:r>
    </w:p>
  </w:footnote>
  <w:footnote w:id="13">
    <w:p w:rsidR="00451658" w:rsidRDefault="00451658" w:rsidP="00BB5CF1">
      <w:pPr>
        <w:pStyle w:val="FootnoteText"/>
        <w:spacing w:after="120"/>
      </w:pPr>
      <w:r>
        <w:rPr>
          <w:rStyle w:val="FootnoteReference"/>
        </w:rPr>
        <w:footnoteRef/>
      </w:r>
      <w:r>
        <w:t xml:space="preserve"> </w:t>
      </w:r>
      <w:r>
        <w:tab/>
        <w:t>The Minister for Energy and Resources’ submission to the Draft Decision, 12 September 2012, p. 2.</w:t>
      </w:r>
    </w:p>
  </w:footnote>
  <w:footnote w:id="14">
    <w:p w:rsidR="00451658" w:rsidRDefault="00451658" w:rsidP="009615C9">
      <w:pPr>
        <w:pStyle w:val="FootnoteText"/>
        <w:spacing w:after="120"/>
      </w:pPr>
      <w:r>
        <w:rPr>
          <w:rStyle w:val="FootnoteReference"/>
        </w:rPr>
        <w:footnoteRef/>
      </w:r>
      <w:r>
        <w:t xml:space="preserve"> </w:t>
      </w:r>
      <w:r>
        <w:tab/>
        <w:t>The Hon D’Ambrosio MP’s submission the Draft Decision, 11 September 2012, p. 1.</w:t>
      </w:r>
    </w:p>
  </w:footnote>
  <w:footnote w:id="15">
    <w:p w:rsidR="00451658" w:rsidRDefault="00451658" w:rsidP="00146137">
      <w:pPr>
        <w:pStyle w:val="FootnoteText"/>
        <w:spacing w:after="120"/>
      </w:pPr>
      <w:r>
        <w:rPr>
          <w:rStyle w:val="FootnoteReference"/>
        </w:rPr>
        <w:footnoteRef/>
      </w:r>
      <w:r>
        <w:t xml:space="preserve"> </w:t>
      </w:r>
      <w:r>
        <w:tab/>
        <w:t>Amcor’s submission to the Draft Decision, 2 October 2012, p. 1.</w:t>
      </w:r>
    </w:p>
  </w:footnote>
  <w:footnote w:id="16">
    <w:p w:rsidR="00451658" w:rsidRDefault="00451658" w:rsidP="0061135E">
      <w:pPr>
        <w:pStyle w:val="FootnoteText"/>
        <w:spacing w:after="120"/>
      </w:pPr>
      <w:r>
        <w:rPr>
          <w:rStyle w:val="FootnoteReference"/>
        </w:rPr>
        <w:footnoteRef/>
      </w:r>
      <w:r>
        <w:t xml:space="preserve"> </w:t>
      </w:r>
      <w:r>
        <w:tab/>
        <w:t>SP AusNet’s submission the Draft Decision, 12 September 2012, p. 4.</w:t>
      </w:r>
    </w:p>
  </w:footnote>
  <w:footnote w:id="17">
    <w:p w:rsidR="00451658" w:rsidRPr="0029465B" w:rsidRDefault="00451658" w:rsidP="001A3F30">
      <w:pPr>
        <w:pStyle w:val="FootnoteText"/>
        <w:spacing w:after="120"/>
      </w:pPr>
      <w:r>
        <w:rPr>
          <w:rStyle w:val="FootnoteReference"/>
        </w:rPr>
        <w:footnoteRef/>
      </w:r>
      <w:r>
        <w:t xml:space="preserve"> </w:t>
      </w:r>
      <w:r>
        <w:tab/>
        <w:t xml:space="preserve">NER, cl 6.6.1 (j)(1)-(8).  </w:t>
      </w:r>
    </w:p>
  </w:footnote>
  <w:footnote w:id="18">
    <w:p w:rsidR="00451658" w:rsidRPr="0029465B" w:rsidRDefault="00451658" w:rsidP="00607B3A">
      <w:pPr>
        <w:pStyle w:val="FootnoteText"/>
        <w:spacing w:after="120"/>
      </w:pPr>
      <w:r>
        <w:rPr>
          <w:rStyle w:val="FootnoteReference"/>
        </w:rPr>
        <w:footnoteRef/>
      </w:r>
      <w:r>
        <w:t xml:space="preserve"> </w:t>
      </w:r>
      <w:r>
        <w:tab/>
        <w:t xml:space="preserve">NER, cl 6.6.1 (j)(3).  </w:t>
      </w:r>
    </w:p>
  </w:footnote>
  <w:footnote w:id="19">
    <w:p w:rsidR="00451658" w:rsidRDefault="00451658" w:rsidP="00C61912">
      <w:pPr>
        <w:pStyle w:val="FootnoteText"/>
      </w:pPr>
      <w:r>
        <w:rPr>
          <w:rStyle w:val="FootnoteReference"/>
        </w:rPr>
        <w:footnoteRef/>
      </w:r>
      <w:r>
        <w:t xml:space="preserve"> </w:t>
      </w:r>
      <w:r>
        <w:tab/>
        <w:t>AER Decision, Powerlink nominated cost pass through events, Application to amend Powerlink’s 2012-17 transmission determination, March 2013, p.6.</w:t>
      </w:r>
    </w:p>
  </w:footnote>
  <w:footnote w:id="20">
    <w:p w:rsidR="00451658" w:rsidRDefault="00451658">
      <w:pPr>
        <w:pStyle w:val="FootnoteText"/>
      </w:pPr>
      <w:r>
        <w:rPr>
          <w:rStyle w:val="FootnoteReference"/>
        </w:rPr>
        <w:footnoteRef/>
      </w:r>
      <w:r>
        <w:t xml:space="preserve"> </w:t>
      </w:r>
      <w:r>
        <w:tab/>
      </w:r>
      <w:r w:rsidRPr="00B8704F">
        <w:t>Victorian Electricity Supply Industry Tariff Order cl.3.2.</w:t>
      </w:r>
    </w:p>
  </w:footnote>
  <w:footnote w:id="21">
    <w:p w:rsidR="00451658" w:rsidRDefault="00451658">
      <w:pPr>
        <w:pStyle w:val="FootnoteText"/>
      </w:pPr>
      <w:r>
        <w:rPr>
          <w:rStyle w:val="FootnoteReference"/>
        </w:rPr>
        <w:footnoteRef/>
      </w:r>
      <w:r>
        <w:t xml:space="preserve"> </w:t>
      </w:r>
      <w:r>
        <w:tab/>
        <w:t>This is consistent with NEL, ss7, 7A.</w:t>
      </w:r>
    </w:p>
  </w:footnote>
  <w:footnote w:id="22">
    <w:p w:rsidR="00451658" w:rsidRDefault="00451658">
      <w:pPr>
        <w:pStyle w:val="FootnoteText"/>
      </w:pPr>
      <w:r>
        <w:rPr>
          <w:rStyle w:val="FootnoteReference"/>
        </w:rPr>
        <w:footnoteRef/>
      </w:r>
      <w:r>
        <w:t xml:space="preserve"> </w:t>
      </w:r>
      <w:r>
        <w:tab/>
        <w:t>SP AusNet submission to the Draft Decision, October 2012, p.7.</w:t>
      </w:r>
    </w:p>
  </w:footnote>
  <w:footnote w:id="23">
    <w:p w:rsidR="00451658" w:rsidRDefault="00451658">
      <w:pPr>
        <w:pStyle w:val="FootnoteText"/>
      </w:pPr>
      <w:r>
        <w:rPr>
          <w:rStyle w:val="FootnoteReference"/>
        </w:rPr>
        <w:footnoteRef/>
      </w:r>
      <w:r>
        <w:t xml:space="preserve"> </w:t>
      </w:r>
      <w:r>
        <w:tab/>
        <w:t>NER, cl. 6.6.1(c)</w:t>
      </w:r>
      <w:r w:rsidR="00474E8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1E35"/>
    <w:multiLevelType w:val="multilevel"/>
    <w:tmpl w:val="1C9A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66883"/>
    <w:multiLevelType w:val="hybridMultilevel"/>
    <w:tmpl w:val="15B2CF12"/>
    <w:lvl w:ilvl="0" w:tplc="1F6CE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584834"/>
    <w:multiLevelType w:val="hybridMultilevel"/>
    <w:tmpl w:val="CE9CDF46"/>
    <w:lvl w:ilvl="0" w:tplc="1F6600CA">
      <w:start w:val="1"/>
      <w:numFmt w:val="bullet"/>
      <w:pStyle w:val="AERbullettwo"/>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C64162"/>
    <w:multiLevelType w:val="hybridMultilevel"/>
    <w:tmpl w:val="00308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367840"/>
    <w:multiLevelType w:val="hybridMultilevel"/>
    <w:tmpl w:val="8756563E"/>
    <w:lvl w:ilvl="0" w:tplc="1890A64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1A3A6266"/>
    <w:multiLevelType w:val="multilevel"/>
    <w:tmpl w:val="47CAA82A"/>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alibri"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alibri"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6D0381A"/>
    <w:multiLevelType w:val="hybridMultilevel"/>
    <w:tmpl w:val="A5B48F10"/>
    <w:lvl w:ilvl="0" w:tplc="85C8E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2B2E7C"/>
    <w:multiLevelType w:val="multilevel"/>
    <w:tmpl w:val="11FA17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93A2946"/>
    <w:multiLevelType w:val="hybridMultilevel"/>
    <w:tmpl w:val="8B6C3070"/>
    <w:lvl w:ilvl="0" w:tplc="BEFE9B2C">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3F74CB"/>
    <w:multiLevelType w:val="hybridMultilevel"/>
    <w:tmpl w:val="89C4D03A"/>
    <w:lvl w:ilvl="0" w:tplc="0C090005">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0">
    <w:nsid w:val="48900199"/>
    <w:multiLevelType w:val="hybridMultilevel"/>
    <w:tmpl w:val="663EE542"/>
    <w:lvl w:ilvl="0" w:tplc="B8A0578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4B4E2853"/>
    <w:multiLevelType w:val="hybridMultilevel"/>
    <w:tmpl w:val="6510713C"/>
    <w:lvl w:ilvl="0" w:tplc="8D88029C">
      <w:start w:val="1"/>
      <w:numFmt w:val="decimal"/>
      <w:lvlText w:val="(%1)"/>
      <w:lvlJc w:val="left"/>
      <w:pPr>
        <w:ind w:left="1260" w:hanging="36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2">
    <w:nsid w:val="4C435E4B"/>
    <w:multiLevelType w:val="hybridMultilevel"/>
    <w:tmpl w:val="089E0C72"/>
    <w:lvl w:ilvl="0" w:tplc="61F6AF2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925C9E"/>
    <w:multiLevelType w:val="hybridMultilevel"/>
    <w:tmpl w:val="26DE8EBC"/>
    <w:lvl w:ilvl="0" w:tplc="410825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62BF0570"/>
    <w:multiLevelType w:val="hybridMultilevel"/>
    <w:tmpl w:val="2C38EE7E"/>
    <w:lvl w:ilvl="0" w:tplc="B7FEFA10">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Arial"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Arial"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Arial"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5">
    <w:nsid w:val="65EE3019"/>
    <w:multiLevelType w:val="hybridMultilevel"/>
    <w:tmpl w:val="082AA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6A149FE"/>
    <w:multiLevelType w:val="multilevel"/>
    <w:tmpl w:val="FCA87C36"/>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AEF67FF"/>
    <w:multiLevelType w:val="multilevel"/>
    <w:tmpl w:val="E1F4D8C6"/>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6"/>
  </w:num>
  <w:num w:numId="4">
    <w:abstractNumId w:val="2"/>
  </w:num>
  <w:num w:numId="5">
    <w:abstractNumId w:val="14"/>
  </w:num>
  <w:num w:numId="6">
    <w:abstractNumId w:val="4"/>
  </w:num>
  <w:num w:numId="7">
    <w:abstractNumId w:val="5"/>
  </w:num>
  <w:num w:numId="8">
    <w:abstractNumId w:val="7"/>
  </w:num>
  <w:num w:numId="9">
    <w:abstractNumId w:val="3"/>
  </w:num>
  <w:num w:numId="10">
    <w:abstractNumId w:val="6"/>
  </w:num>
  <w:num w:numId="11">
    <w:abstractNumId w:val="13"/>
  </w:num>
  <w:num w:numId="12">
    <w:abstractNumId w:val="15"/>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num>
  <w:num w:numId="15">
    <w:abstractNumId w:val="10"/>
  </w:num>
  <w:num w:numId="16">
    <w:abstractNumId w:val="11"/>
  </w:num>
  <w:num w:numId="17">
    <w:abstractNumId w:val="8"/>
  </w:num>
  <w:num w:numId="18">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701"/>
  <w:stylePaneSortMethod w:val="00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Documents and Settings\bburk\Local Settings\Temporary Internet Files\Content.Outlook\MYX7NIJC\20130416 amended decision post board (4).docx"/>
  </w:docVars>
  <w:rsids>
    <w:rsidRoot w:val="00B37F86"/>
    <w:rsid w:val="00001A4F"/>
    <w:rsid w:val="00001B94"/>
    <w:rsid w:val="00011D74"/>
    <w:rsid w:val="000164F1"/>
    <w:rsid w:val="00017802"/>
    <w:rsid w:val="0002117F"/>
    <w:rsid w:val="00026438"/>
    <w:rsid w:val="000375CA"/>
    <w:rsid w:val="00040408"/>
    <w:rsid w:val="00050048"/>
    <w:rsid w:val="00055BFF"/>
    <w:rsid w:val="00057820"/>
    <w:rsid w:val="00060B88"/>
    <w:rsid w:val="0006486E"/>
    <w:rsid w:val="000741E6"/>
    <w:rsid w:val="000768FC"/>
    <w:rsid w:val="000804F5"/>
    <w:rsid w:val="000848C5"/>
    <w:rsid w:val="00085FED"/>
    <w:rsid w:val="0009625B"/>
    <w:rsid w:val="00097A8F"/>
    <w:rsid w:val="000A4CD1"/>
    <w:rsid w:val="000B3459"/>
    <w:rsid w:val="000C1DA5"/>
    <w:rsid w:val="000C2C71"/>
    <w:rsid w:val="000C34E4"/>
    <w:rsid w:val="000D0761"/>
    <w:rsid w:val="000D1646"/>
    <w:rsid w:val="000D693B"/>
    <w:rsid w:val="000D76C5"/>
    <w:rsid w:val="000E032A"/>
    <w:rsid w:val="000E20F9"/>
    <w:rsid w:val="000E52B8"/>
    <w:rsid w:val="000E5F88"/>
    <w:rsid w:val="000F2F9F"/>
    <w:rsid w:val="0010217C"/>
    <w:rsid w:val="00111104"/>
    <w:rsid w:val="001114F9"/>
    <w:rsid w:val="00117AF7"/>
    <w:rsid w:val="001274D2"/>
    <w:rsid w:val="00130B59"/>
    <w:rsid w:val="00130F69"/>
    <w:rsid w:val="0013145F"/>
    <w:rsid w:val="0014188F"/>
    <w:rsid w:val="00142BB8"/>
    <w:rsid w:val="00146137"/>
    <w:rsid w:val="00146229"/>
    <w:rsid w:val="00147309"/>
    <w:rsid w:val="00153627"/>
    <w:rsid w:val="00153977"/>
    <w:rsid w:val="00153EBA"/>
    <w:rsid w:val="0015534C"/>
    <w:rsid w:val="001555B2"/>
    <w:rsid w:val="00155DC5"/>
    <w:rsid w:val="00164DE3"/>
    <w:rsid w:val="00165474"/>
    <w:rsid w:val="001670DB"/>
    <w:rsid w:val="0017539A"/>
    <w:rsid w:val="001776A8"/>
    <w:rsid w:val="00177969"/>
    <w:rsid w:val="00180CA6"/>
    <w:rsid w:val="00192204"/>
    <w:rsid w:val="001A14C4"/>
    <w:rsid w:val="001A3F30"/>
    <w:rsid w:val="001A6978"/>
    <w:rsid w:val="001A7D91"/>
    <w:rsid w:val="001C0ECE"/>
    <w:rsid w:val="001C3AD5"/>
    <w:rsid w:val="001C5B8A"/>
    <w:rsid w:val="001D1FCA"/>
    <w:rsid w:val="001D2C08"/>
    <w:rsid w:val="001E2598"/>
    <w:rsid w:val="001E2FE2"/>
    <w:rsid w:val="001F5417"/>
    <w:rsid w:val="00210FE3"/>
    <w:rsid w:val="002153EF"/>
    <w:rsid w:val="0021765F"/>
    <w:rsid w:val="0022290A"/>
    <w:rsid w:val="0022376C"/>
    <w:rsid w:val="00233A74"/>
    <w:rsid w:val="00243EC1"/>
    <w:rsid w:val="00245C4F"/>
    <w:rsid w:val="002465FF"/>
    <w:rsid w:val="0025165D"/>
    <w:rsid w:val="00273CA0"/>
    <w:rsid w:val="00285A4D"/>
    <w:rsid w:val="00287ED5"/>
    <w:rsid w:val="002A1820"/>
    <w:rsid w:val="002B6674"/>
    <w:rsid w:val="002B78A1"/>
    <w:rsid w:val="002B7BC5"/>
    <w:rsid w:val="002C2104"/>
    <w:rsid w:val="002C3929"/>
    <w:rsid w:val="002D6A23"/>
    <w:rsid w:val="002E234A"/>
    <w:rsid w:val="002F5A62"/>
    <w:rsid w:val="002F5AA9"/>
    <w:rsid w:val="002F64B6"/>
    <w:rsid w:val="002F6722"/>
    <w:rsid w:val="00301882"/>
    <w:rsid w:val="00302A4A"/>
    <w:rsid w:val="00305438"/>
    <w:rsid w:val="00312F73"/>
    <w:rsid w:val="003151EE"/>
    <w:rsid w:val="00326688"/>
    <w:rsid w:val="00334D82"/>
    <w:rsid w:val="00341ECA"/>
    <w:rsid w:val="003517D8"/>
    <w:rsid w:val="00356AAC"/>
    <w:rsid w:val="0036344E"/>
    <w:rsid w:val="00365D60"/>
    <w:rsid w:val="00372109"/>
    <w:rsid w:val="00372E8F"/>
    <w:rsid w:val="003808FE"/>
    <w:rsid w:val="0038647A"/>
    <w:rsid w:val="00386F29"/>
    <w:rsid w:val="003A4703"/>
    <w:rsid w:val="003A5018"/>
    <w:rsid w:val="003A7C69"/>
    <w:rsid w:val="003B0631"/>
    <w:rsid w:val="003B0CE6"/>
    <w:rsid w:val="003E035C"/>
    <w:rsid w:val="003E1D08"/>
    <w:rsid w:val="003E250E"/>
    <w:rsid w:val="003E7CD7"/>
    <w:rsid w:val="003F23AA"/>
    <w:rsid w:val="003F2678"/>
    <w:rsid w:val="003F7B8E"/>
    <w:rsid w:val="0040387E"/>
    <w:rsid w:val="00423201"/>
    <w:rsid w:val="00434C56"/>
    <w:rsid w:val="0043609B"/>
    <w:rsid w:val="00443B57"/>
    <w:rsid w:val="00451658"/>
    <w:rsid w:val="00454E51"/>
    <w:rsid w:val="004628AE"/>
    <w:rsid w:val="00462BAA"/>
    <w:rsid w:val="00474E8C"/>
    <w:rsid w:val="00495847"/>
    <w:rsid w:val="00496DEF"/>
    <w:rsid w:val="00496FE1"/>
    <w:rsid w:val="004A0174"/>
    <w:rsid w:val="004A0EC0"/>
    <w:rsid w:val="004A1F09"/>
    <w:rsid w:val="004A6FE8"/>
    <w:rsid w:val="004B3FD8"/>
    <w:rsid w:val="004C25AA"/>
    <w:rsid w:val="004C2976"/>
    <w:rsid w:val="004D2120"/>
    <w:rsid w:val="004D36AC"/>
    <w:rsid w:val="004D3D59"/>
    <w:rsid w:val="004D5BD7"/>
    <w:rsid w:val="004E5EEF"/>
    <w:rsid w:val="004F5BDE"/>
    <w:rsid w:val="004F5E6D"/>
    <w:rsid w:val="004F7024"/>
    <w:rsid w:val="00500820"/>
    <w:rsid w:val="00505F74"/>
    <w:rsid w:val="00507695"/>
    <w:rsid w:val="00512FC7"/>
    <w:rsid w:val="005226B9"/>
    <w:rsid w:val="00524871"/>
    <w:rsid w:val="0052611F"/>
    <w:rsid w:val="00526FCF"/>
    <w:rsid w:val="0053129C"/>
    <w:rsid w:val="00531E8C"/>
    <w:rsid w:val="00532FCA"/>
    <w:rsid w:val="005422A9"/>
    <w:rsid w:val="005676A9"/>
    <w:rsid w:val="0058233A"/>
    <w:rsid w:val="005874E6"/>
    <w:rsid w:val="005953C4"/>
    <w:rsid w:val="00596D18"/>
    <w:rsid w:val="005A1258"/>
    <w:rsid w:val="005B18F4"/>
    <w:rsid w:val="005B23D7"/>
    <w:rsid w:val="005B336B"/>
    <w:rsid w:val="005C168A"/>
    <w:rsid w:val="005C21A6"/>
    <w:rsid w:val="005C33EF"/>
    <w:rsid w:val="005C4916"/>
    <w:rsid w:val="005C4ADF"/>
    <w:rsid w:val="005C6E64"/>
    <w:rsid w:val="005D798D"/>
    <w:rsid w:val="005E13AE"/>
    <w:rsid w:val="005E3035"/>
    <w:rsid w:val="005F5477"/>
    <w:rsid w:val="005F7B5E"/>
    <w:rsid w:val="006059FD"/>
    <w:rsid w:val="00607A6F"/>
    <w:rsid w:val="00607B3A"/>
    <w:rsid w:val="0061135E"/>
    <w:rsid w:val="006115AE"/>
    <w:rsid w:val="006201EF"/>
    <w:rsid w:val="00622188"/>
    <w:rsid w:val="00622279"/>
    <w:rsid w:val="0062606E"/>
    <w:rsid w:val="00635328"/>
    <w:rsid w:val="006364A5"/>
    <w:rsid w:val="00644EBB"/>
    <w:rsid w:val="0067018F"/>
    <w:rsid w:val="0067688B"/>
    <w:rsid w:val="00680E2F"/>
    <w:rsid w:val="00690687"/>
    <w:rsid w:val="006A3018"/>
    <w:rsid w:val="006B0417"/>
    <w:rsid w:val="006D4141"/>
    <w:rsid w:val="006D6759"/>
    <w:rsid w:val="006F0441"/>
    <w:rsid w:val="006F17A8"/>
    <w:rsid w:val="00700127"/>
    <w:rsid w:val="00703081"/>
    <w:rsid w:val="007046D9"/>
    <w:rsid w:val="007120DA"/>
    <w:rsid w:val="007135FA"/>
    <w:rsid w:val="0072052A"/>
    <w:rsid w:val="00723A0D"/>
    <w:rsid w:val="00726E51"/>
    <w:rsid w:val="007354CB"/>
    <w:rsid w:val="00742756"/>
    <w:rsid w:val="00745E43"/>
    <w:rsid w:val="00747677"/>
    <w:rsid w:val="00747C08"/>
    <w:rsid w:val="00751ADD"/>
    <w:rsid w:val="007532CB"/>
    <w:rsid w:val="00760639"/>
    <w:rsid w:val="00764104"/>
    <w:rsid w:val="00765D0F"/>
    <w:rsid w:val="00771094"/>
    <w:rsid w:val="00771A0E"/>
    <w:rsid w:val="00774949"/>
    <w:rsid w:val="00777894"/>
    <w:rsid w:val="0079043C"/>
    <w:rsid w:val="00792102"/>
    <w:rsid w:val="007C06D2"/>
    <w:rsid w:val="007C2D31"/>
    <w:rsid w:val="007D03B1"/>
    <w:rsid w:val="007D0BC1"/>
    <w:rsid w:val="007D288B"/>
    <w:rsid w:val="007E0CA2"/>
    <w:rsid w:val="007E6459"/>
    <w:rsid w:val="007E6D96"/>
    <w:rsid w:val="00801A05"/>
    <w:rsid w:val="00813DDB"/>
    <w:rsid w:val="00816BB7"/>
    <w:rsid w:val="00822888"/>
    <w:rsid w:val="00827855"/>
    <w:rsid w:val="00831E8A"/>
    <w:rsid w:val="00846067"/>
    <w:rsid w:val="008526F7"/>
    <w:rsid w:val="00856332"/>
    <w:rsid w:val="00857DA1"/>
    <w:rsid w:val="00870A45"/>
    <w:rsid w:val="00885C8B"/>
    <w:rsid w:val="00890F3D"/>
    <w:rsid w:val="0089591E"/>
    <w:rsid w:val="008972DE"/>
    <w:rsid w:val="008A57FC"/>
    <w:rsid w:val="008A7AA1"/>
    <w:rsid w:val="008B2402"/>
    <w:rsid w:val="008B3E20"/>
    <w:rsid w:val="008B602B"/>
    <w:rsid w:val="008C15F2"/>
    <w:rsid w:val="008D36BD"/>
    <w:rsid w:val="008D451F"/>
    <w:rsid w:val="008D6BEB"/>
    <w:rsid w:val="008D6C81"/>
    <w:rsid w:val="008F2F06"/>
    <w:rsid w:val="008F4433"/>
    <w:rsid w:val="00904B46"/>
    <w:rsid w:val="009353DB"/>
    <w:rsid w:val="00943202"/>
    <w:rsid w:val="00951C1D"/>
    <w:rsid w:val="009615C9"/>
    <w:rsid w:val="009643EF"/>
    <w:rsid w:val="00966524"/>
    <w:rsid w:val="00966CC3"/>
    <w:rsid w:val="009848F1"/>
    <w:rsid w:val="00991B51"/>
    <w:rsid w:val="009A58B7"/>
    <w:rsid w:val="009B1A00"/>
    <w:rsid w:val="009B2B7A"/>
    <w:rsid w:val="009C0C4E"/>
    <w:rsid w:val="009C141E"/>
    <w:rsid w:val="009D1E9A"/>
    <w:rsid w:val="009D5BA7"/>
    <w:rsid w:val="00A174AB"/>
    <w:rsid w:val="00A23CCB"/>
    <w:rsid w:val="00A255EA"/>
    <w:rsid w:val="00A411F3"/>
    <w:rsid w:val="00A45EFE"/>
    <w:rsid w:val="00A50025"/>
    <w:rsid w:val="00A56DB0"/>
    <w:rsid w:val="00A70940"/>
    <w:rsid w:val="00A72960"/>
    <w:rsid w:val="00A94604"/>
    <w:rsid w:val="00A9594B"/>
    <w:rsid w:val="00AA4937"/>
    <w:rsid w:val="00AA536A"/>
    <w:rsid w:val="00AA657D"/>
    <w:rsid w:val="00AA6C18"/>
    <w:rsid w:val="00AB1511"/>
    <w:rsid w:val="00AB1E83"/>
    <w:rsid w:val="00AB693D"/>
    <w:rsid w:val="00AC7925"/>
    <w:rsid w:val="00AD6A64"/>
    <w:rsid w:val="00AE2A44"/>
    <w:rsid w:val="00B006FF"/>
    <w:rsid w:val="00B010AD"/>
    <w:rsid w:val="00B02DC5"/>
    <w:rsid w:val="00B07598"/>
    <w:rsid w:val="00B23615"/>
    <w:rsid w:val="00B263D2"/>
    <w:rsid w:val="00B31D59"/>
    <w:rsid w:val="00B37F86"/>
    <w:rsid w:val="00B443E6"/>
    <w:rsid w:val="00B52E64"/>
    <w:rsid w:val="00B64CD8"/>
    <w:rsid w:val="00B66FAF"/>
    <w:rsid w:val="00B71E3F"/>
    <w:rsid w:val="00B7516C"/>
    <w:rsid w:val="00B8704F"/>
    <w:rsid w:val="00B929D6"/>
    <w:rsid w:val="00B93FDE"/>
    <w:rsid w:val="00B97E54"/>
    <w:rsid w:val="00BA3C94"/>
    <w:rsid w:val="00BA57DA"/>
    <w:rsid w:val="00BB2D0E"/>
    <w:rsid w:val="00BB5CF1"/>
    <w:rsid w:val="00BB6074"/>
    <w:rsid w:val="00BC16CD"/>
    <w:rsid w:val="00BC5048"/>
    <w:rsid w:val="00BC56E2"/>
    <w:rsid w:val="00BD191D"/>
    <w:rsid w:val="00BD48BD"/>
    <w:rsid w:val="00BD4CD2"/>
    <w:rsid w:val="00BE1B60"/>
    <w:rsid w:val="00BE25E7"/>
    <w:rsid w:val="00BE50E1"/>
    <w:rsid w:val="00BE578B"/>
    <w:rsid w:val="00C00CD3"/>
    <w:rsid w:val="00C201B3"/>
    <w:rsid w:val="00C316A4"/>
    <w:rsid w:val="00C32B3D"/>
    <w:rsid w:val="00C5054A"/>
    <w:rsid w:val="00C61912"/>
    <w:rsid w:val="00C61F7A"/>
    <w:rsid w:val="00C7272D"/>
    <w:rsid w:val="00C74DA8"/>
    <w:rsid w:val="00C767B6"/>
    <w:rsid w:val="00C80215"/>
    <w:rsid w:val="00C814EB"/>
    <w:rsid w:val="00C81B70"/>
    <w:rsid w:val="00C81B99"/>
    <w:rsid w:val="00C858B3"/>
    <w:rsid w:val="00C910DB"/>
    <w:rsid w:val="00C93399"/>
    <w:rsid w:val="00CA4E04"/>
    <w:rsid w:val="00CA7CC0"/>
    <w:rsid w:val="00CC4EBD"/>
    <w:rsid w:val="00CC5D06"/>
    <w:rsid w:val="00CD4AC3"/>
    <w:rsid w:val="00CD59F4"/>
    <w:rsid w:val="00CE0C7A"/>
    <w:rsid w:val="00CE75AF"/>
    <w:rsid w:val="00CF1BBC"/>
    <w:rsid w:val="00CF391F"/>
    <w:rsid w:val="00D11C3D"/>
    <w:rsid w:val="00D226FC"/>
    <w:rsid w:val="00D2477C"/>
    <w:rsid w:val="00D314E7"/>
    <w:rsid w:val="00D40845"/>
    <w:rsid w:val="00D568CC"/>
    <w:rsid w:val="00D71155"/>
    <w:rsid w:val="00D74291"/>
    <w:rsid w:val="00D75C5F"/>
    <w:rsid w:val="00D81876"/>
    <w:rsid w:val="00D87F07"/>
    <w:rsid w:val="00D92EB1"/>
    <w:rsid w:val="00D97F6B"/>
    <w:rsid w:val="00DA042D"/>
    <w:rsid w:val="00DB51D1"/>
    <w:rsid w:val="00DB7662"/>
    <w:rsid w:val="00DE4097"/>
    <w:rsid w:val="00DE75C3"/>
    <w:rsid w:val="00DF5415"/>
    <w:rsid w:val="00DF5DB5"/>
    <w:rsid w:val="00DF770E"/>
    <w:rsid w:val="00E149DB"/>
    <w:rsid w:val="00E20D7E"/>
    <w:rsid w:val="00E25DDC"/>
    <w:rsid w:val="00E27F0A"/>
    <w:rsid w:val="00E41A1A"/>
    <w:rsid w:val="00E50ECF"/>
    <w:rsid w:val="00E5346C"/>
    <w:rsid w:val="00E60C17"/>
    <w:rsid w:val="00E7529C"/>
    <w:rsid w:val="00E82049"/>
    <w:rsid w:val="00E82596"/>
    <w:rsid w:val="00E93080"/>
    <w:rsid w:val="00E9519A"/>
    <w:rsid w:val="00E95E6E"/>
    <w:rsid w:val="00EA01EC"/>
    <w:rsid w:val="00EA48EA"/>
    <w:rsid w:val="00EA5556"/>
    <w:rsid w:val="00EB422C"/>
    <w:rsid w:val="00EC1A2A"/>
    <w:rsid w:val="00EC22E9"/>
    <w:rsid w:val="00ED0FC5"/>
    <w:rsid w:val="00ED14C1"/>
    <w:rsid w:val="00ED1C3C"/>
    <w:rsid w:val="00EE0149"/>
    <w:rsid w:val="00EF11E4"/>
    <w:rsid w:val="00EF3EDC"/>
    <w:rsid w:val="00EF488E"/>
    <w:rsid w:val="00F037D6"/>
    <w:rsid w:val="00F200B9"/>
    <w:rsid w:val="00F214EF"/>
    <w:rsid w:val="00F245D7"/>
    <w:rsid w:val="00F325CB"/>
    <w:rsid w:val="00F62D0A"/>
    <w:rsid w:val="00F91447"/>
    <w:rsid w:val="00F93B3F"/>
    <w:rsid w:val="00F9591F"/>
    <w:rsid w:val="00FA4CD3"/>
    <w:rsid w:val="00FA5730"/>
    <w:rsid w:val="00FA758F"/>
    <w:rsid w:val="00FB4085"/>
    <w:rsid w:val="00FC2C68"/>
    <w:rsid w:val="00FD46D6"/>
    <w:rsid w:val="00FD6182"/>
    <w:rsid w:val="00FE250B"/>
    <w:rsid w:val="00FE35DB"/>
    <w:rsid w:val="00FE7EC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uiPriority="99"/>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AERbodytext"/>
    <w:qFormat/>
    <w:rsid w:val="00B37F86"/>
    <w:pPr>
      <w:spacing w:line="288" w:lineRule="auto"/>
      <w:jc w:val="both"/>
    </w:pPr>
    <w:rPr>
      <w:rFonts w:ascii="Gautami" w:eastAsia="Times New Roman" w:hAnsi="Gautami"/>
      <w:szCs w:val="24"/>
    </w:rPr>
  </w:style>
  <w:style w:type="paragraph" w:styleId="Heading1">
    <w:name w:val="heading 1"/>
    <w:basedOn w:val="Normal"/>
    <w:next w:val="Normal"/>
    <w:link w:val="Heading1Char"/>
    <w:uiPriority w:val="9"/>
    <w:qFormat/>
    <w:rsid w:val="00B37F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B37F86"/>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rsid w:val="00B37F86"/>
    <w:pPr>
      <w:numPr>
        <w:ilvl w:val="4"/>
      </w:numPr>
      <w:tabs>
        <w:tab w:val="clear" w:pos="357"/>
        <w:tab w:val="num" w:pos="1440"/>
      </w:tabs>
      <w:ind w:left="1440" w:hanging="1440"/>
    </w:pPr>
  </w:style>
  <w:style w:type="paragraph" w:customStyle="1" w:styleId="AERfigureheading">
    <w:name w:val="AER figure heading"/>
    <w:basedOn w:val="Normal"/>
    <w:next w:val="AERbodytext"/>
    <w:rsid w:val="00B37F86"/>
    <w:pPr>
      <w:keepNext/>
      <w:numPr>
        <w:ilvl w:val="3"/>
        <w:numId w:val="3"/>
      </w:numPr>
      <w:tabs>
        <w:tab w:val="clear" w:pos="357"/>
        <w:tab w:val="num" w:pos="1440"/>
      </w:tabs>
      <w:spacing w:before="240" w:after="120"/>
      <w:ind w:left="1440" w:hanging="1440"/>
      <w:outlineLvl w:val="3"/>
    </w:pPr>
    <w:rPr>
      <w:b/>
      <w:lang w:eastAsia="en-US"/>
    </w:rPr>
  </w:style>
  <w:style w:type="character" w:customStyle="1" w:styleId="AERtextbold">
    <w:name w:val="AER text bold"/>
    <w:qFormat/>
    <w:rsid w:val="00B37F86"/>
    <w:rPr>
      <w:b/>
    </w:rPr>
  </w:style>
  <w:style w:type="paragraph" w:customStyle="1" w:styleId="AERbulletlistfirststyle">
    <w:name w:val="AER bullet list (first style)"/>
    <w:basedOn w:val="AERbodytext"/>
    <w:qFormat/>
    <w:rsid w:val="00B37F86"/>
    <w:pPr>
      <w:numPr>
        <w:numId w:val="1"/>
      </w:numPr>
      <w:spacing w:after="200" w:line="240" w:lineRule="atLeast"/>
    </w:pPr>
  </w:style>
  <w:style w:type="paragraph" w:customStyle="1" w:styleId="AERheading1">
    <w:name w:val="AER heading 1"/>
    <w:basedOn w:val="Heading1"/>
    <w:next w:val="AERbodytext"/>
    <w:rsid w:val="00B37F86"/>
    <w:pPr>
      <w:keepLines w:val="0"/>
      <w:pageBreakBefore/>
      <w:numPr>
        <w:numId w:val="3"/>
      </w:numPr>
      <w:tabs>
        <w:tab w:val="clear" w:pos="-357"/>
        <w:tab w:val="left"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B37F86"/>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B37F86"/>
    <w:pPr>
      <w:numPr>
        <w:ilvl w:val="2"/>
      </w:numPr>
      <w:spacing w:before="120" w:after="240"/>
    </w:pPr>
    <w:rPr>
      <w:sz w:val="24"/>
      <w:szCs w:val="24"/>
    </w:rPr>
  </w:style>
  <w:style w:type="paragraph" w:customStyle="1" w:styleId="AERnumberedlistfirststyle">
    <w:name w:val="AER numbered list (first style)"/>
    <w:basedOn w:val="AERbodytext"/>
    <w:qFormat/>
    <w:rsid w:val="00B37F86"/>
    <w:pPr>
      <w:numPr>
        <w:numId w:val="2"/>
      </w:numPr>
      <w:tabs>
        <w:tab w:val="num" w:pos="360"/>
      </w:tabs>
      <w:spacing w:after="200" w:line="200" w:lineRule="atLeast"/>
      <w:ind w:left="0" w:firstLine="0"/>
    </w:pPr>
  </w:style>
  <w:style w:type="character" w:customStyle="1" w:styleId="AERsuperscript">
    <w:name w:val="AER superscript"/>
    <w:rsid w:val="00B37F86"/>
    <w:rPr>
      <w:rFonts w:ascii="Gautami" w:hAnsi="Gautami"/>
      <w:vertAlign w:val="superscript"/>
    </w:rPr>
  </w:style>
  <w:style w:type="paragraph" w:customStyle="1" w:styleId="AERtablesource">
    <w:name w:val="AER table source"/>
    <w:next w:val="AERbodytext"/>
    <w:qFormat/>
    <w:rsid w:val="00B37F8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B37F86"/>
    <w:pPr>
      <w:widowControl w:val="0"/>
      <w:spacing w:before="120" w:after="80"/>
      <w:jc w:val="left"/>
    </w:pPr>
    <w:rPr>
      <w:sz w:val="16"/>
      <w:lang w:eastAsia="en-US"/>
    </w:rPr>
  </w:style>
  <w:style w:type="paragraph" w:customStyle="1" w:styleId="AERtabletextheading">
    <w:name w:val="AER table text heading"/>
    <w:qFormat/>
    <w:rsid w:val="00B37F86"/>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rsid w:val="00B37F86"/>
    <w:pPr>
      <w:keepNext/>
      <w:spacing w:after="240"/>
    </w:pPr>
    <w:rPr>
      <w:rFonts w:ascii="Gautami" w:eastAsia="Times New Roman" w:hAnsi="Gautami" w:cs="Arial"/>
      <w:b/>
      <w:bCs/>
      <w:kern w:val="32"/>
      <w:sz w:val="22"/>
      <w:szCs w:val="24"/>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nhideWhenUsed/>
    <w:rsid w:val="00B37F86"/>
    <w:rPr>
      <w:vertAlign w:val="superscript"/>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rsid w:val="00B37F86"/>
    <w:pPr>
      <w:tabs>
        <w:tab w:val="left" w:pos="454"/>
      </w:tabs>
      <w:ind w:left="454" w:hanging="454"/>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link w:val="FootnoteText"/>
    <w:uiPriority w:val="99"/>
    <w:rsid w:val="00B37F86"/>
    <w:rPr>
      <w:rFonts w:ascii="Gautami" w:eastAsia="Times New Roman" w:hAnsi="Gautami" w:cs="Times New Roman"/>
      <w:sz w:val="16"/>
      <w:szCs w:val="20"/>
      <w:lang w:eastAsia="en-AU"/>
    </w:rPr>
  </w:style>
  <w:style w:type="character" w:customStyle="1" w:styleId="AERbody">
    <w:name w:val="AER body"/>
    <w:rsid w:val="00B37F86"/>
    <w:rPr>
      <w:rFonts w:ascii="Gautami" w:hAnsi="Gautami"/>
      <w:color w:val="auto"/>
      <w:sz w:val="20"/>
    </w:rPr>
  </w:style>
  <w:style w:type="paragraph" w:customStyle="1" w:styleId="AERtabletext-numbers">
    <w:name w:val="AER table text - numbers"/>
    <w:basedOn w:val="AERtabletext"/>
    <w:uiPriority w:val="99"/>
    <w:qFormat/>
    <w:rsid w:val="00B37F86"/>
    <w:pPr>
      <w:keepNext/>
      <w:jc w:val="right"/>
    </w:pPr>
  </w:style>
  <w:style w:type="character" w:customStyle="1" w:styleId="AERtextitalic">
    <w:name w:val="AER text italic"/>
    <w:qFormat/>
    <w:rsid w:val="00B37F86"/>
    <w:rPr>
      <w:i/>
    </w:rPr>
  </w:style>
  <w:style w:type="character" w:customStyle="1" w:styleId="AERbodytextChar">
    <w:name w:val="AER body text Char"/>
    <w:link w:val="AERbodytext"/>
    <w:rsid w:val="00B37F86"/>
    <w:rPr>
      <w:rFonts w:ascii="Gautami" w:eastAsia="Times New Roman" w:hAnsi="Gautami"/>
      <w:szCs w:val="24"/>
      <w:lang w:val="en-AU" w:eastAsia="en-US" w:bidi="ar-SA"/>
    </w:rPr>
  </w:style>
  <w:style w:type="character" w:customStyle="1" w:styleId="Heading1Char">
    <w:name w:val="Heading 1 Char"/>
    <w:link w:val="Heading1"/>
    <w:uiPriority w:val="9"/>
    <w:rsid w:val="00B37F86"/>
    <w:rPr>
      <w:rFonts w:ascii="Cambria" w:eastAsia="Times New Roman" w:hAnsi="Cambria" w:cs="Times New Roman"/>
      <w:b/>
      <w:bCs/>
      <w:color w:val="365F91"/>
      <w:sz w:val="28"/>
      <w:szCs w:val="28"/>
      <w:lang w:eastAsia="en-AU"/>
    </w:rPr>
  </w:style>
  <w:style w:type="paragraph" w:styleId="BalloonText">
    <w:name w:val="Balloon Text"/>
    <w:basedOn w:val="Normal"/>
    <w:link w:val="BalloonTextChar"/>
    <w:uiPriority w:val="99"/>
    <w:semiHidden/>
    <w:unhideWhenUsed/>
    <w:rsid w:val="00B37F86"/>
    <w:pPr>
      <w:spacing w:line="240" w:lineRule="auto"/>
    </w:pPr>
    <w:rPr>
      <w:rFonts w:ascii="Tahoma" w:hAnsi="Tahoma"/>
      <w:sz w:val="16"/>
      <w:szCs w:val="16"/>
    </w:rPr>
  </w:style>
  <w:style w:type="character" w:customStyle="1" w:styleId="BalloonTextChar">
    <w:name w:val="Balloon Text Char"/>
    <w:link w:val="BalloonText"/>
    <w:uiPriority w:val="99"/>
    <w:semiHidden/>
    <w:rsid w:val="00B37F86"/>
    <w:rPr>
      <w:rFonts w:ascii="Tahoma" w:eastAsia="Times New Roman" w:hAnsi="Tahoma" w:cs="Tahoma"/>
      <w:sz w:val="16"/>
      <w:szCs w:val="16"/>
      <w:lang w:eastAsia="en-AU"/>
    </w:rPr>
  </w:style>
  <w:style w:type="paragraph" w:styleId="EndnoteText">
    <w:name w:val="endnote text"/>
    <w:basedOn w:val="Normal"/>
    <w:link w:val="EndnoteTextChar"/>
    <w:uiPriority w:val="99"/>
    <w:semiHidden/>
    <w:unhideWhenUsed/>
    <w:rsid w:val="002102A0"/>
    <w:rPr>
      <w:szCs w:val="20"/>
    </w:rPr>
  </w:style>
  <w:style w:type="character" w:customStyle="1" w:styleId="EndnoteTextChar">
    <w:name w:val="Endnote Text Char"/>
    <w:link w:val="EndnoteText"/>
    <w:uiPriority w:val="99"/>
    <w:semiHidden/>
    <w:rsid w:val="002102A0"/>
    <w:rPr>
      <w:rFonts w:ascii="Gautami" w:eastAsia="Times New Roman" w:hAnsi="Gautami"/>
    </w:rPr>
  </w:style>
  <w:style w:type="character" w:styleId="EndnoteReference">
    <w:name w:val="endnote reference"/>
    <w:uiPriority w:val="99"/>
    <w:semiHidden/>
    <w:unhideWhenUsed/>
    <w:rsid w:val="002102A0"/>
    <w:rPr>
      <w:vertAlign w:val="superscript"/>
    </w:rPr>
  </w:style>
  <w:style w:type="paragraph" w:customStyle="1" w:styleId="AERquote">
    <w:name w:val="AER quote"/>
    <w:basedOn w:val="Normal"/>
    <w:next w:val="AERbodytext"/>
    <w:rsid w:val="00094D39"/>
    <w:pPr>
      <w:spacing w:after="160"/>
      <w:ind w:left="900" w:right="1077"/>
    </w:pPr>
    <w:rPr>
      <w:color w:val="000000"/>
      <w:sz w:val="16"/>
      <w:lang w:eastAsia="en-US"/>
    </w:rPr>
  </w:style>
  <w:style w:type="paragraph" w:customStyle="1" w:styleId="AERbullettwo">
    <w:name w:val="AER bullet two"/>
    <w:basedOn w:val="AERbodytext"/>
    <w:rsid w:val="00895CD6"/>
    <w:pPr>
      <w:numPr>
        <w:numId w:val="4"/>
      </w:numPr>
      <w:spacing w:line="240" w:lineRule="auto"/>
      <w:jc w:val="left"/>
    </w:pPr>
    <w:rPr>
      <w:rFonts w:ascii="Times New Roman" w:hAnsi="Times New Roman"/>
      <w:sz w:val="24"/>
      <w:lang w:eastAsia="en-AU"/>
    </w:rPr>
  </w:style>
  <w:style w:type="paragraph" w:customStyle="1" w:styleId="BodyText-Letter">
    <w:name w:val="Body Text - Letter"/>
    <w:basedOn w:val="Normal"/>
    <w:qFormat/>
    <w:rsid w:val="003B059C"/>
    <w:pPr>
      <w:spacing w:after="120" w:line="240" w:lineRule="auto"/>
    </w:pPr>
    <w:rPr>
      <w:rFonts w:ascii="Arial" w:hAnsi="Arial"/>
      <w:sz w:val="22"/>
      <w:lang w:val="en-US" w:eastAsia="en-US"/>
    </w:rPr>
  </w:style>
  <w:style w:type="character" w:styleId="CommentReference">
    <w:name w:val="annotation reference"/>
    <w:semiHidden/>
    <w:unhideWhenUsed/>
    <w:rsid w:val="00442C9B"/>
    <w:rPr>
      <w:sz w:val="16"/>
      <w:szCs w:val="16"/>
    </w:rPr>
  </w:style>
  <w:style w:type="paragraph" w:styleId="CommentText">
    <w:name w:val="annotation text"/>
    <w:basedOn w:val="Normal"/>
    <w:link w:val="CommentTextChar"/>
    <w:uiPriority w:val="99"/>
    <w:unhideWhenUsed/>
    <w:rsid w:val="00442C9B"/>
    <w:rPr>
      <w:szCs w:val="20"/>
    </w:rPr>
  </w:style>
  <w:style w:type="character" w:customStyle="1" w:styleId="CommentTextChar">
    <w:name w:val="Comment Text Char"/>
    <w:link w:val="CommentText"/>
    <w:uiPriority w:val="99"/>
    <w:rsid w:val="00442C9B"/>
    <w:rPr>
      <w:rFonts w:ascii="Gautami" w:eastAsia="Times New Roman" w:hAnsi="Gautami"/>
    </w:rPr>
  </w:style>
  <w:style w:type="paragraph" w:styleId="CommentSubject">
    <w:name w:val="annotation subject"/>
    <w:basedOn w:val="CommentText"/>
    <w:next w:val="CommentText"/>
    <w:link w:val="CommentSubjectChar"/>
    <w:uiPriority w:val="99"/>
    <w:semiHidden/>
    <w:unhideWhenUsed/>
    <w:rsid w:val="00442C9B"/>
    <w:rPr>
      <w:b/>
      <w:bCs/>
    </w:rPr>
  </w:style>
  <w:style w:type="character" w:customStyle="1" w:styleId="CommentSubjectChar">
    <w:name w:val="Comment Subject Char"/>
    <w:link w:val="CommentSubject"/>
    <w:uiPriority w:val="99"/>
    <w:semiHidden/>
    <w:rsid w:val="00442C9B"/>
    <w:rPr>
      <w:rFonts w:ascii="Gautami" w:eastAsia="Times New Roman" w:hAnsi="Gautami"/>
      <w:b/>
      <w:bCs/>
    </w:rPr>
  </w:style>
  <w:style w:type="paragraph" w:customStyle="1" w:styleId="AERbulletlistthirdstyle">
    <w:name w:val="AER bullet list (third style)"/>
    <w:basedOn w:val="AERbodytext"/>
    <w:rsid w:val="00670622"/>
    <w:pPr>
      <w:numPr>
        <w:numId w:val="5"/>
      </w:numPr>
      <w:tabs>
        <w:tab w:val="clear" w:pos="870"/>
        <w:tab w:val="left" w:pos="1077"/>
      </w:tabs>
      <w:spacing w:after="200"/>
      <w:ind w:left="1077" w:hanging="357"/>
    </w:pPr>
  </w:style>
  <w:style w:type="character" w:styleId="Hyperlink">
    <w:name w:val="Hyperlink"/>
    <w:uiPriority w:val="99"/>
    <w:unhideWhenUsed/>
    <w:rsid w:val="00CD2AE9"/>
    <w:rPr>
      <w:color w:val="0000FF"/>
      <w:u w:val="single"/>
    </w:rPr>
  </w:style>
  <w:style w:type="table" w:styleId="TableGrid">
    <w:name w:val="Table Grid"/>
    <w:basedOn w:val="TableNormal"/>
    <w:uiPriority w:val="59"/>
    <w:rsid w:val="00A23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rsid w:val="00036410"/>
    <w:rPr>
      <w:rFonts w:ascii="Gautami" w:eastAsia="Times New Roman" w:hAnsi="Gautami"/>
      <w:szCs w:val="24"/>
    </w:rPr>
  </w:style>
  <w:style w:type="paragraph" w:styleId="Header">
    <w:name w:val="header"/>
    <w:basedOn w:val="Normal"/>
    <w:link w:val="HeaderChar"/>
    <w:rsid w:val="007B056E"/>
    <w:pPr>
      <w:tabs>
        <w:tab w:val="center" w:pos="4513"/>
        <w:tab w:val="right" w:pos="9026"/>
      </w:tabs>
    </w:pPr>
  </w:style>
  <w:style w:type="character" w:customStyle="1" w:styleId="HeaderChar">
    <w:name w:val="Header Char"/>
    <w:basedOn w:val="DefaultParagraphFont"/>
    <w:link w:val="Header"/>
    <w:rsid w:val="007B056E"/>
    <w:rPr>
      <w:rFonts w:ascii="Gautami" w:eastAsia="Times New Roman" w:hAnsi="Gautami"/>
      <w:szCs w:val="24"/>
    </w:rPr>
  </w:style>
  <w:style w:type="paragraph" w:styleId="Footer">
    <w:name w:val="footer"/>
    <w:basedOn w:val="Normal"/>
    <w:link w:val="FooterChar"/>
    <w:rsid w:val="007B056E"/>
    <w:pPr>
      <w:tabs>
        <w:tab w:val="center" w:pos="4513"/>
        <w:tab w:val="right" w:pos="9026"/>
      </w:tabs>
    </w:pPr>
  </w:style>
  <w:style w:type="character" w:customStyle="1" w:styleId="FooterChar">
    <w:name w:val="Footer Char"/>
    <w:basedOn w:val="DefaultParagraphFont"/>
    <w:link w:val="Footer"/>
    <w:rsid w:val="007B056E"/>
    <w:rPr>
      <w:rFonts w:ascii="Gautami" w:eastAsia="Times New Roman" w:hAnsi="Gautami"/>
      <w:szCs w:val="24"/>
    </w:rPr>
  </w:style>
  <w:style w:type="paragraph" w:customStyle="1" w:styleId="AERcopyrighttext">
    <w:name w:val="AER copyright text"/>
    <w:basedOn w:val="Normal"/>
    <w:rsid w:val="00A03737"/>
    <w:pPr>
      <w:spacing w:before="240" w:after="240" w:line="240" w:lineRule="auto"/>
      <w:jc w:val="left"/>
    </w:pPr>
    <w:rPr>
      <w:rFonts w:ascii="Times New Roman" w:hAnsi="Times New Roman"/>
      <w:lang w:eastAsia="en-US"/>
    </w:rPr>
  </w:style>
  <w:style w:type="paragraph" w:customStyle="1" w:styleId="AERdraftfinalminortitle">
    <w:name w:val="AER 'draft/final' minor title"/>
    <w:next w:val="Title"/>
    <w:rsid w:val="00A03737"/>
    <w:pPr>
      <w:spacing w:before="3600" w:after="600"/>
      <w:jc w:val="center"/>
      <w:outlineLvl w:val="1"/>
    </w:pPr>
    <w:rPr>
      <w:rFonts w:ascii="Arial" w:eastAsia="Times New Roman" w:hAnsi="Arial"/>
      <w:sz w:val="32"/>
      <w:lang w:eastAsia="en-US"/>
    </w:rPr>
  </w:style>
  <w:style w:type="paragraph" w:styleId="Title">
    <w:name w:val="Title"/>
    <w:next w:val="Subtitle"/>
    <w:link w:val="TitleChar"/>
    <w:qFormat/>
    <w:rsid w:val="00A03737"/>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rsid w:val="00A03737"/>
    <w:rPr>
      <w:rFonts w:ascii="Arial" w:eastAsia="Times New Roman" w:hAnsi="Arial" w:cs="Arial"/>
      <w:b/>
      <w:bCs/>
      <w:kern w:val="28"/>
      <w:sz w:val="36"/>
      <w:szCs w:val="32"/>
      <w:lang w:val="en-AU" w:eastAsia="en-US" w:bidi="ar-SA"/>
    </w:rPr>
  </w:style>
  <w:style w:type="paragraph" w:styleId="Subtitle">
    <w:name w:val="Subtitle"/>
    <w:link w:val="SubtitleChar"/>
    <w:qFormat/>
    <w:rsid w:val="00A03737"/>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rsid w:val="00A03737"/>
    <w:rPr>
      <w:rFonts w:ascii="Arial" w:eastAsia="Times New Roman" w:hAnsi="Arial" w:cs="Arial"/>
      <w:sz w:val="28"/>
      <w:szCs w:val="24"/>
      <w:lang w:val="en-AU" w:eastAsia="en-US" w:bidi="ar-SA"/>
    </w:rPr>
  </w:style>
  <w:style w:type="paragraph" w:styleId="TOC1">
    <w:name w:val="toc 1"/>
    <w:basedOn w:val="Normal"/>
    <w:next w:val="Normal"/>
    <w:uiPriority w:val="39"/>
    <w:rsid w:val="003E4404"/>
    <w:pPr>
      <w:tabs>
        <w:tab w:val="left" w:pos="567"/>
        <w:tab w:val="right" w:leader="dot" w:pos="8307"/>
      </w:tabs>
      <w:spacing w:before="120" w:after="120"/>
    </w:pPr>
    <w:rPr>
      <w:b/>
      <w:lang w:eastAsia="en-US"/>
    </w:rPr>
  </w:style>
  <w:style w:type="paragraph" w:styleId="TOC2">
    <w:name w:val="toc 2"/>
    <w:basedOn w:val="Normal"/>
    <w:next w:val="Normal"/>
    <w:autoRedefine/>
    <w:uiPriority w:val="39"/>
    <w:unhideWhenUsed/>
    <w:rsid w:val="001D1FCA"/>
    <w:pPr>
      <w:tabs>
        <w:tab w:val="left" w:pos="880"/>
        <w:tab w:val="right" w:leader="dot" w:pos="8931"/>
      </w:tabs>
      <w:ind w:left="200"/>
    </w:pPr>
  </w:style>
  <w:style w:type="character" w:styleId="PageNumber">
    <w:name w:val="page number"/>
    <w:basedOn w:val="DefaultParagraphFont"/>
    <w:rsid w:val="003E4404"/>
    <w:rPr>
      <w:rFonts w:ascii="Gautami" w:hAnsi="Gautami"/>
      <w:sz w:val="18"/>
    </w:rPr>
  </w:style>
  <w:style w:type="paragraph" w:customStyle="1" w:styleId="AERunnumberedheading">
    <w:name w:val="AER unnumbered heading"/>
    <w:basedOn w:val="AERheading1"/>
    <w:rsid w:val="003E4404"/>
    <w:pPr>
      <w:numPr>
        <w:numId w:val="0"/>
      </w:numPr>
      <w:tabs>
        <w:tab w:val="clear" w:pos="0"/>
      </w:tabs>
      <w:spacing w:after="120"/>
    </w:pPr>
  </w:style>
  <w:style w:type="paragraph" w:customStyle="1" w:styleId="ner-rc-list-1-mnum">
    <w:name w:val="ner-rc-list-1-mnum"/>
    <w:basedOn w:val="Normal"/>
    <w:rsid w:val="005844DD"/>
    <w:pPr>
      <w:spacing w:before="100" w:beforeAutospacing="1" w:after="100" w:afterAutospacing="1" w:line="240" w:lineRule="auto"/>
      <w:jc w:val="left"/>
    </w:pPr>
    <w:rPr>
      <w:rFonts w:ascii="Times New Roman" w:hAnsi="Times New Roman"/>
      <w:sz w:val="24"/>
    </w:rPr>
  </w:style>
  <w:style w:type="paragraph" w:customStyle="1" w:styleId="AERbulletlistsecondstyle">
    <w:name w:val="AER bullet list (second style)"/>
    <w:basedOn w:val="AERbodytext"/>
    <w:rsid w:val="00C836C1"/>
    <w:pPr>
      <w:numPr>
        <w:numId w:val="7"/>
      </w:numPr>
      <w:tabs>
        <w:tab w:val="left" w:pos="851"/>
      </w:tabs>
      <w:spacing w:line="240" w:lineRule="auto"/>
      <w:jc w:val="left"/>
    </w:pPr>
    <w:rPr>
      <w:rFonts w:ascii="Times New Roman" w:hAnsi="Times New Roman"/>
      <w:sz w:val="24"/>
    </w:rPr>
  </w:style>
  <w:style w:type="paragraph" w:customStyle="1" w:styleId="AERnumberedlistsecondstyle">
    <w:name w:val="AER numbered list (second style)"/>
    <w:basedOn w:val="AERnumberedlistfirststyle"/>
    <w:rsid w:val="00C836C1"/>
    <w:pPr>
      <w:numPr>
        <w:numId w:val="0"/>
      </w:numPr>
      <w:tabs>
        <w:tab w:val="num" w:pos="720"/>
      </w:tabs>
      <w:spacing w:before="120" w:after="120" w:line="240" w:lineRule="atLeast"/>
      <w:ind w:left="720" w:hanging="360"/>
      <w:jc w:val="left"/>
    </w:pPr>
    <w:rPr>
      <w:rFonts w:ascii="Times New Roman" w:hAnsi="Times New Roman"/>
      <w:sz w:val="24"/>
    </w:rPr>
  </w:style>
  <w:style w:type="paragraph" w:customStyle="1" w:styleId="AERnumberedlistthirdstyle">
    <w:name w:val="AER numbered list (third style)"/>
    <w:basedOn w:val="AERnumberedlistsecondstyle"/>
    <w:next w:val="AERbodytext"/>
    <w:rsid w:val="00C836C1"/>
    <w:pPr>
      <w:tabs>
        <w:tab w:val="clear" w:pos="720"/>
        <w:tab w:val="num" w:pos="1440"/>
        <w:tab w:val="left" w:pos="1814"/>
      </w:tabs>
      <w:ind w:left="1440"/>
    </w:pPr>
  </w:style>
  <w:style w:type="table" w:customStyle="1" w:styleId="AERtable">
    <w:name w:val="AER table"/>
    <w:basedOn w:val="TableNormal"/>
    <w:rsid w:val="00C836C1"/>
    <w:pPr>
      <w:keepNext/>
      <w:spacing w:before="40" w:after="40"/>
      <w:jc w:val="right"/>
    </w:pPr>
    <w:rPr>
      <w:rFonts w:ascii="Times New Roman" w:eastAsia="Times New Roman" w:hAnsi="Times New Roman"/>
      <w:sz w:val="22"/>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vAlign w:val="cente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paragraph" w:styleId="Revision">
    <w:name w:val="Revision"/>
    <w:hidden/>
    <w:rsid w:val="004C25AA"/>
    <w:rPr>
      <w:rFonts w:ascii="Gautami" w:eastAsia="Times New Roman" w:hAnsi="Gautami"/>
      <w:szCs w:val="24"/>
    </w:rPr>
  </w:style>
  <w:style w:type="paragraph" w:styleId="NormalWeb">
    <w:name w:val="Normal (Web)"/>
    <w:basedOn w:val="Normal"/>
    <w:uiPriority w:val="99"/>
    <w:unhideWhenUsed/>
    <w:rsid w:val="001D2C08"/>
    <w:pPr>
      <w:spacing w:after="240" w:line="240" w:lineRule="auto"/>
      <w:jc w:val="left"/>
    </w:pPr>
    <w:rPr>
      <w:rFonts w:ascii="Times New Roman" w:hAnsi="Times New Roman"/>
      <w:sz w:val="24"/>
    </w:rPr>
  </w:style>
  <w:style w:type="character" w:styleId="HTMLDefinition">
    <w:name w:val="HTML Definition"/>
    <w:basedOn w:val="DefaultParagraphFont"/>
    <w:uiPriority w:val="99"/>
    <w:unhideWhenUsed/>
    <w:rsid w:val="001D2C08"/>
    <w:rPr>
      <w:i/>
      <w:iCs/>
    </w:rPr>
  </w:style>
  <w:style w:type="paragraph" w:customStyle="1" w:styleId="Default">
    <w:name w:val="Default"/>
    <w:rsid w:val="00DB51D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996029">
      <w:bodyDiv w:val="1"/>
      <w:marLeft w:val="0"/>
      <w:marRight w:val="0"/>
      <w:marTop w:val="0"/>
      <w:marBottom w:val="0"/>
      <w:divBdr>
        <w:top w:val="none" w:sz="0" w:space="0" w:color="auto"/>
        <w:left w:val="none" w:sz="0" w:space="0" w:color="auto"/>
        <w:bottom w:val="none" w:sz="0" w:space="0" w:color="auto"/>
        <w:right w:val="none" w:sz="0" w:space="0" w:color="auto"/>
      </w:divBdr>
    </w:div>
    <w:div w:id="85617536">
      <w:bodyDiv w:val="1"/>
      <w:marLeft w:val="0"/>
      <w:marRight w:val="0"/>
      <w:marTop w:val="0"/>
      <w:marBottom w:val="0"/>
      <w:divBdr>
        <w:top w:val="none" w:sz="0" w:space="0" w:color="auto"/>
        <w:left w:val="none" w:sz="0" w:space="0" w:color="auto"/>
        <w:bottom w:val="none" w:sz="0" w:space="0" w:color="auto"/>
        <w:right w:val="none" w:sz="0" w:space="0" w:color="auto"/>
      </w:divBdr>
      <w:divsChild>
        <w:div w:id="1603297253">
          <w:marLeft w:val="0"/>
          <w:marRight w:val="0"/>
          <w:marTop w:val="0"/>
          <w:marBottom w:val="0"/>
          <w:divBdr>
            <w:top w:val="none" w:sz="0" w:space="0" w:color="auto"/>
            <w:left w:val="none" w:sz="0" w:space="0" w:color="auto"/>
            <w:bottom w:val="none" w:sz="0" w:space="0" w:color="auto"/>
            <w:right w:val="none" w:sz="0" w:space="0" w:color="auto"/>
          </w:divBdr>
        </w:div>
      </w:divsChild>
    </w:div>
    <w:div w:id="101535503">
      <w:bodyDiv w:val="1"/>
      <w:marLeft w:val="0"/>
      <w:marRight w:val="0"/>
      <w:marTop w:val="0"/>
      <w:marBottom w:val="0"/>
      <w:divBdr>
        <w:top w:val="none" w:sz="0" w:space="0" w:color="auto"/>
        <w:left w:val="none" w:sz="0" w:space="0" w:color="auto"/>
        <w:bottom w:val="none" w:sz="0" w:space="0" w:color="auto"/>
        <w:right w:val="none" w:sz="0" w:space="0" w:color="auto"/>
      </w:divBdr>
      <w:divsChild>
        <w:div w:id="226570667">
          <w:marLeft w:val="0"/>
          <w:marRight w:val="0"/>
          <w:marTop w:val="0"/>
          <w:marBottom w:val="0"/>
          <w:divBdr>
            <w:top w:val="none" w:sz="0" w:space="0" w:color="auto"/>
            <w:left w:val="none" w:sz="0" w:space="0" w:color="auto"/>
            <w:bottom w:val="none" w:sz="0" w:space="0" w:color="auto"/>
            <w:right w:val="none" w:sz="0" w:space="0" w:color="auto"/>
          </w:divBdr>
          <w:divsChild>
            <w:div w:id="1396121462">
              <w:marLeft w:val="0"/>
              <w:marRight w:val="0"/>
              <w:marTop w:val="0"/>
              <w:marBottom w:val="0"/>
              <w:divBdr>
                <w:top w:val="none" w:sz="0" w:space="0" w:color="auto"/>
                <w:left w:val="none" w:sz="0" w:space="0" w:color="auto"/>
                <w:bottom w:val="none" w:sz="0" w:space="0" w:color="auto"/>
                <w:right w:val="none" w:sz="0" w:space="0" w:color="auto"/>
              </w:divBdr>
              <w:divsChild>
                <w:div w:id="878276511">
                  <w:marLeft w:val="0"/>
                  <w:marRight w:val="0"/>
                  <w:marTop w:val="0"/>
                  <w:marBottom w:val="0"/>
                  <w:divBdr>
                    <w:top w:val="none" w:sz="0" w:space="0" w:color="auto"/>
                    <w:left w:val="none" w:sz="0" w:space="0" w:color="auto"/>
                    <w:bottom w:val="none" w:sz="0" w:space="0" w:color="auto"/>
                    <w:right w:val="none" w:sz="0" w:space="0" w:color="auto"/>
                  </w:divBdr>
                  <w:divsChild>
                    <w:div w:id="463698971">
                      <w:marLeft w:val="0"/>
                      <w:marRight w:val="0"/>
                      <w:marTop w:val="0"/>
                      <w:marBottom w:val="0"/>
                      <w:divBdr>
                        <w:top w:val="none" w:sz="0" w:space="0" w:color="auto"/>
                        <w:left w:val="none" w:sz="0" w:space="0" w:color="auto"/>
                        <w:bottom w:val="none" w:sz="0" w:space="0" w:color="auto"/>
                        <w:right w:val="none" w:sz="0" w:space="0" w:color="auto"/>
                      </w:divBdr>
                      <w:divsChild>
                        <w:div w:id="96291372">
                          <w:marLeft w:val="0"/>
                          <w:marRight w:val="0"/>
                          <w:marTop w:val="0"/>
                          <w:marBottom w:val="0"/>
                          <w:divBdr>
                            <w:top w:val="none" w:sz="0" w:space="0" w:color="auto"/>
                            <w:left w:val="none" w:sz="0" w:space="0" w:color="auto"/>
                            <w:bottom w:val="none" w:sz="0" w:space="0" w:color="auto"/>
                            <w:right w:val="none" w:sz="0" w:space="0" w:color="auto"/>
                          </w:divBdr>
                          <w:divsChild>
                            <w:div w:id="1745486411">
                              <w:marLeft w:val="0"/>
                              <w:marRight w:val="0"/>
                              <w:marTop w:val="0"/>
                              <w:marBottom w:val="0"/>
                              <w:divBdr>
                                <w:top w:val="none" w:sz="0" w:space="0" w:color="auto"/>
                                <w:left w:val="none" w:sz="0" w:space="0" w:color="auto"/>
                                <w:bottom w:val="none" w:sz="0" w:space="0" w:color="auto"/>
                                <w:right w:val="none" w:sz="0" w:space="0" w:color="auto"/>
                              </w:divBdr>
                              <w:divsChild>
                                <w:div w:id="1809009312">
                                  <w:marLeft w:val="0"/>
                                  <w:marRight w:val="0"/>
                                  <w:marTop w:val="0"/>
                                  <w:marBottom w:val="0"/>
                                  <w:divBdr>
                                    <w:top w:val="none" w:sz="0" w:space="0" w:color="auto"/>
                                    <w:left w:val="none" w:sz="0" w:space="0" w:color="auto"/>
                                    <w:bottom w:val="none" w:sz="0" w:space="0" w:color="auto"/>
                                    <w:right w:val="none" w:sz="0" w:space="0" w:color="auto"/>
                                  </w:divBdr>
                                  <w:divsChild>
                                    <w:div w:id="1000112056">
                                      <w:marLeft w:val="240"/>
                                      <w:marRight w:val="240"/>
                                      <w:marTop w:val="240"/>
                                      <w:marBottom w:val="0"/>
                                      <w:divBdr>
                                        <w:top w:val="none" w:sz="0" w:space="0" w:color="auto"/>
                                        <w:left w:val="none" w:sz="0" w:space="0" w:color="auto"/>
                                        <w:bottom w:val="none" w:sz="0" w:space="0" w:color="auto"/>
                                        <w:right w:val="none" w:sz="0" w:space="0" w:color="auto"/>
                                      </w:divBdr>
                                      <w:divsChild>
                                        <w:div w:id="1485584226">
                                          <w:marLeft w:val="0"/>
                                          <w:marRight w:val="0"/>
                                          <w:marTop w:val="0"/>
                                          <w:marBottom w:val="0"/>
                                          <w:divBdr>
                                            <w:top w:val="none" w:sz="0" w:space="0" w:color="auto"/>
                                            <w:left w:val="none" w:sz="0" w:space="0" w:color="auto"/>
                                            <w:bottom w:val="none" w:sz="0" w:space="0" w:color="auto"/>
                                            <w:right w:val="none" w:sz="0" w:space="0" w:color="auto"/>
                                          </w:divBdr>
                                          <w:divsChild>
                                            <w:div w:id="121314265">
                                              <w:marLeft w:val="0"/>
                                              <w:marRight w:val="0"/>
                                              <w:marTop w:val="0"/>
                                              <w:marBottom w:val="0"/>
                                              <w:divBdr>
                                                <w:top w:val="none" w:sz="0" w:space="0" w:color="auto"/>
                                                <w:left w:val="none" w:sz="0" w:space="0" w:color="auto"/>
                                                <w:bottom w:val="none" w:sz="0" w:space="0" w:color="auto"/>
                                                <w:right w:val="none" w:sz="0" w:space="0" w:color="auto"/>
                                              </w:divBdr>
                                              <w:divsChild>
                                                <w:div w:id="9903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854541">
      <w:bodyDiv w:val="1"/>
      <w:marLeft w:val="0"/>
      <w:marRight w:val="0"/>
      <w:marTop w:val="0"/>
      <w:marBottom w:val="0"/>
      <w:divBdr>
        <w:top w:val="none" w:sz="0" w:space="0" w:color="auto"/>
        <w:left w:val="none" w:sz="0" w:space="0" w:color="auto"/>
        <w:bottom w:val="none" w:sz="0" w:space="0" w:color="auto"/>
        <w:right w:val="none" w:sz="0" w:space="0" w:color="auto"/>
      </w:divBdr>
    </w:div>
    <w:div w:id="781144072">
      <w:bodyDiv w:val="1"/>
      <w:marLeft w:val="0"/>
      <w:marRight w:val="0"/>
      <w:marTop w:val="0"/>
      <w:marBottom w:val="0"/>
      <w:divBdr>
        <w:top w:val="none" w:sz="0" w:space="0" w:color="auto"/>
        <w:left w:val="none" w:sz="0" w:space="0" w:color="auto"/>
        <w:bottom w:val="none" w:sz="0" w:space="0" w:color="auto"/>
        <w:right w:val="none" w:sz="0" w:space="0" w:color="auto"/>
      </w:divBdr>
    </w:div>
    <w:div w:id="797451738">
      <w:bodyDiv w:val="1"/>
      <w:marLeft w:val="0"/>
      <w:marRight w:val="0"/>
      <w:marTop w:val="0"/>
      <w:marBottom w:val="0"/>
      <w:divBdr>
        <w:top w:val="none" w:sz="0" w:space="0" w:color="auto"/>
        <w:left w:val="none" w:sz="0" w:space="0" w:color="auto"/>
        <w:bottom w:val="none" w:sz="0" w:space="0" w:color="auto"/>
        <w:right w:val="none" w:sz="0" w:space="0" w:color="auto"/>
      </w:divBdr>
      <w:divsChild>
        <w:div w:id="21565112">
          <w:marLeft w:val="0"/>
          <w:marRight w:val="0"/>
          <w:marTop w:val="0"/>
          <w:marBottom w:val="0"/>
          <w:divBdr>
            <w:top w:val="none" w:sz="0" w:space="0" w:color="auto"/>
            <w:left w:val="none" w:sz="0" w:space="0" w:color="auto"/>
            <w:bottom w:val="none" w:sz="0" w:space="0" w:color="auto"/>
            <w:right w:val="none" w:sz="0" w:space="0" w:color="auto"/>
          </w:divBdr>
        </w:div>
      </w:divsChild>
    </w:div>
    <w:div w:id="946237107">
      <w:bodyDiv w:val="1"/>
      <w:marLeft w:val="0"/>
      <w:marRight w:val="0"/>
      <w:marTop w:val="0"/>
      <w:marBottom w:val="0"/>
      <w:divBdr>
        <w:top w:val="none" w:sz="0" w:space="0" w:color="auto"/>
        <w:left w:val="none" w:sz="0" w:space="0" w:color="auto"/>
        <w:bottom w:val="none" w:sz="0" w:space="0" w:color="auto"/>
        <w:right w:val="none" w:sz="0" w:space="0" w:color="auto"/>
      </w:divBdr>
    </w:div>
    <w:div w:id="1145463178">
      <w:bodyDiv w:val="1"/>
      <w:marLeft w:val="0"/>
      <w:marRight w:val="0"/>
      <w:marTop w:val="0"/>
      <w:marBottom w:val="0"/>
      <w:divBdr>
        <w:top w:val="none" w:sz="0" w:space="0" w:color="auto"/>
        <w:left w:val="none" w:sz="0" w:space="0" w:color="auto"/>
        <w:bottom w:val="none" w:sz="0" w:space="0" w:color="auto"/>
        <w:right w:val="none" w:sz="0" w:space="0" w:color="auto"/>
      </w:divBdr>
      <w:divsChild>
        <w:div w:id="396243793">
          <w:marLeft w:val="0"/>
          <w:marRight w:val="0"/>
          <w:marTop w:val="0"/>
          <w:marBottom w:val="0"/>
          <w:divBdr>
            <w:top w:val="none" w:sz="0" w:space="0" w:color="auto"/>
            <w:left w:val="none" w:sz="0" w:space="0" w:color="auto"/>
            <w:bottom w:val="none" w:sz="0" w:space="0" w:color="auto"/>
            <w:right w:val="none" w:sz="0" w:space="0" w:color="auto"/>
          </w:divBdr>
        </w:div>
      </w:divsChild>
    </w:div>
    <w:div w:id="1164971795">
      <w:bodyDiv w:val="1"/>
      <w:marLeft w:val="0"/>
      <w:marRight w:val="0"/>
      <w:marTop w:val="0"/>
      <w:marBottom w:val="0"/>
      <w:divBdr>
        <w:top w:val="none" w:sz="0" w:space="0" w:color="auto"/>
        <w:left w:val="none" w:sz="0" w:space="0" w:color="auto"/>
        <w:bottom w:val="none" w:sz="0" w:space="0" w:color="auto"/>
        <w:right w:val="none" w:sz="0" w:space="0" w:color="auto"/>
      </w:divBdr>
      <w:divsChild>
        <w:div w:id="2140679820">
          <w:marLeft w:val="0"/>
          <w:marRight w:val="0"/>
          <w:marTop w:val="0"/>
          <w:marBottom w:val="0"/>
          <w:divBdr>
            <w:top w:val="none" w:sz="0" w:space="0" w:color="auto"/>
            <w:left w:val="none" w:sz="0" w:space="0" w:color="auto"/>
            <w:bottom w:val="none" w:sz="0" w:space="0" w:color="auto"/>
            <w:right w:val="none" w:sz="0" w:space="0" w:color="auto"/>
          </w:divBdr>
        </w:div>
      </w:divsChild>
    </w:div>
    <w:div w:id="1646204994">
      <w:bodyDiv w:val="1"/>
      <w:marLeft w:val="0"/>
      <w:marRight w:val="0"/>
      <w:marTop w:val="0"/>
      <w:marBottom w:val="0"/>
      <w:divBdr>
        <w:top w:val="none" w:sz="0" w:space="0" w:color="auto"/>
        <w:left w:val="none" w:sz="0" w:space="0" w:color="auto"/>
        <w:bottom w:val="none" w:sz="0" w:space="0" w:color="auto"/>
        <w:right w:val="none" w:sz="0" w:space="0" w:color="auto"/>
      </w:divBdr>
      <w:divsChild>
        <w:div w:id="519316041">
          <w:marLeft w:val="0"/>
          <w:marRight w:val="0"/>
          <w:marTop w:val="0"/>
          <w:marBottom w:val="0"/>
          <w:divBdr>
            <w:top w:val="none" w:sz="0" w:space="0" w:color="auto"/>
            <w:left w:val="none" w:sz="0" w:space="0" w:color="auto"/>
            <w:bottom w:val="none" w:sz="0" w:space="0" w:color="auto"/>
            <w:right w:val="none" w:sz="0" w:space="0" w:color="auto"/>
          </w:divBdr>
        </w:div>
      </w:divsChild>
    </w:div>
    <w:div w:id="1807551473">
      <w:bodyDiv w:val="1"/>
      <w:marLeft w:val="0"/>
      <w:marRight w:val="0"/>
      <w:marTop w:val="0"/>
      <w:marBottom w:val="0"/>
      <w:divBdr>
        <w:top w:val="none" w:sz="0" w:space="0" w:color="auto"/>
        <w:left w:val="none" w:sz="0" w:space="0" w:color="auto"/>
        <w:bottom w:val="none" w:sz="0" w:space="0" w:color="auto"/>
        <w:right w:val="none" w:sz="0" w:space="0" w:color="auto"/>
      </w:divBdr>
    </w:div>
    <w:div w:id="1845632864">
      <w:bodyDiv w:val="1"/>
      <w:marLeft w:val="0"/>
      <w:marRight w:val="0"/>
      <w:marTop w:val="0"/>
      <w:marBottom w:val="0"/>
      <w:divBdr>
        <w:top w:val="none" w:sz="0" w:space="0" w:color="auto"/>
        <w:left w:val="none" w:sz="0" w:space="0" w:color="auto"/>
        <w:bottom w:val="none" w:sz="0" w:space="0" w:color="auto"/>
        <w:right w:val="none" w:sz="0" w:space="0" w:color="auto"/>
      </w:divBdr>
    </w:div>
    <w:div w:id="1901670160">
      <w:bodyDiv w:val="1"/>
      <w:marLeft w:val="0"/>
      <w:marRight w:val="0"/>
      <w:marTop w:val="0"/>
      <w:marBottom w:val="0"/>
      <w:divBdr>
        <w:top w:val="none" w:sz="0" w:space="0" w:color="auto"/>
        <w:left w:val="none" w:sz="0" w:space="0" w:color="auto"/>
        <w:bottom w:val="none" w:sz="0" w:space="0" w:color="auto"/>
        <w:right w:val="none" w:sz="0" w:space="0" w:color="auto"/>
      </w:divBdr>
    </w:div>
    <w:div w:id="2013609262">
      <w:bodyDiv w:val="1"/>
      <w:marLeft w:val="0"/>
      <w:marRight w:val="0"/>
      <w:marTop w:val="0"/>
      <w:marBottom w:val="0"/>
      <w:divBdr>
        <w:top w:val="none" w:sz="0" w:space="0" w:color="auto"/>
        <w:left w:val="none" w:sz="0" w:space="0" w:color="auto"/>
        <w:bottom w:val="none" w:sz="0" w:space="0" w:color="auto"/>
        <w:right w:val="none" w:sz="0" w:space="0" w:color="auto"/>
      </w:divBdr>
      <w:divsChild>
        <w:div w:id="463440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5BD87-F3E2-4EEC-8BD1-4246E930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4672</TotalTime>
  <Pages>12</Pages>
  <Words>3442</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22720</CharactersWithSpaces>
  <SharedDoc>false</SharedDoc>
  <HLinks>
    <vt:vector size="30" baseType="variant">
      <vt:variant>
        <vt:i4>2031673</vt:i4>
      </vt:variant>
      <vt:variant>
        <vt:i4>32</vt:i4>
      </vt:variant>
      <vt:variant>
        <vt:i4>0</vt:i4>
      </vt:variant>
      <vt:variant>
        <vt:i4>5</vt:i4>
      </vt:variant>
      <vt:variant>
        <vt:lpwstr/>
      </vt:variant>
      <vt:variant>
        <vt:lpwstr>_Toc332993119</vt:lpwstr>
      </vt:variant>
      <vt:variant>
        <vt:i4>2031673</vt:i4>
      </vt:variant>
      <vt:variant>
        <vt:i4>26</vt:i4>
      </vt:variant>
      <vt:variant>
        <vt:i4>0</vt:i4>
      </vt:variant>
      <vt:variant>
        <vt:i4>5</vt:i4>
      </vt:variant>
      <vt:variant>
        <vt:lpwstr/>
      </vt:variant>
      <vt:variant>
        <vt:lpwstr>_Toc332993118</vt:lpwstr>
      </vt:variant>
      <vt:variant>
        <vt:i4>2031673</vt:i4>
      </vt:variant>
      <vt:variant>
        <vt:i4>20</vt:i4>
      </vt:variant>
      <vt:variant>
        <vt:i4>0</vt:i4>
      </vt:variant>
      <vt:variant>
        <vt:i4>5</vt:i4>
      </vt:variant>
      <vt:variant>
        <vt:lpwstr/>
      </vt:variant>
      <vt:variant>
        <vt:lpwstr>_Toc332993117</vt:lpwstr>
      </vt:variant>
      <vt:variant>
        <vt:i4>2031673</vt:i4>
      </vt:variant>
      <vt:variant>
        <vt:i4>14</vt:i4>
      </vt:variant>
      <vt:variant>
        <vt:i4>0</vt:i4>
      </vt:variant>
      <vt:variant>
        <vt:i4>5</vt:i4>
      </vt:variant>
      <vt:variant>
        <vt:lpwstr/>
      </vt:variant>
      <vt:variant>
        <vt:lpwstr>_Toc332993116</vt:lpwstr>
      </vt:variant>
      <vt:variant>
        <vt:i4>2031673</vt:i4>
      </vt:variant>
      <vt:variant>
        <vt:i4>8</vt:i4>
      </vt:variant>
      <vt:variant>
        <vt:i4>0</vt:i4>
      </vt:variant>
      <vt:variant>
        <vt:i4>5</vt:i4>
      </vt:variant>
      <vt:variant>
        <vt:lpwstr/>
      </vt:variant>
      <vt:variant>
        <vt:lpwstr>_Toc332993115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bburk</dc:creator>
  <cp:keywords/>
  <dc:description/>
  <cp:lastModifiedBy>bburk</cp:lastModifiedBy>
  <cp:revision>7</cp:revision>
  <cp:lastPrinted>2013-04-18T00:49:00Z</cp:lastPrinted>
  <dcterms:created xsi:type="dcterms:W3CDTF">2013-04-18T00:53:00Z</dcterms:created>
  <dcterms:modified xsi:type="dcterms:W3CDTF">2013-04-18T22:50:00Z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7965938</vt:lpwstr>
  </property>
  <property fmtid="{D5CDD505-2E9C-101B-9397-08002B2CF9AE}" pid="3" name="currfile">
    <vt:lpwstr>\\cbrvpwxfs01\home$\bburk\aer final decision - sp ausnet (D2013-00049704).docx</vt:lpwstr>
  </property>
</Properties>
</file>