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00FD" w:rsidRPr="00753DF7" w:rsidRDefault="00DC00FD" w:rsidP="00DC00FD">
      <w:pPr>
        <w:pStyle w:val="AERfactsheetsubtitle"/>
        <w:rPr>
          <w:sz w:val="12"/>
        </w:rPr>
      </w:pPr>
      <w:r w:rsidRPr="00CD74B2">
        <w:rPr>
          <w:noProof/>
          <w:lang w:eastAsia="en-AU"/>
        </w:rPr>
        <mc:AlternateContent>
          <mc:Choice Requires="wpg">
            <w:drawing>
              <wp:anchor distT="0" distB="0" distL="114300" distR="114300" simplePos="0" relativeHeight="251659264" behindDoc="0" locked="0" layoutInCell="1" allowOverlap="1" wp14:anchorId="569CC85A" wp14:editId="57BF0AD2">
                <wp:simplePos x="0" y="0"/>
                <wp:positionH relativeFrom="column">
                  <wp:posOffset>-457200</wp:posOffset>
                </wp:positionH>
                <wp:positionV relativeFrom="paragraph">
                  <wp:posOffset>172720</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EA1" w:rsidRPr="0008782C" w:rsidRDefault="00802EA1" w:rsidP="00DC00FD">
                              <w:pPr>
                                <w:ind w:left="567"/>
                                <w:rPr>
                                  <w:rFonts w:cs="Calibri"/>
                                  <w:color w:val="FFFFFF"/>
                                  <w:sz w:val="32"/>
                                </w:rPr>
                              </w:pPr>
                            </w:p>
                            <w:p w:rsidR="00802EA1" w:rsidRPr="00640782" w:rsidRDefault="00802EA1" w:rsidP="00DC00FD">
                              <w:pPr>
                                <w:ind w:left="567"/>
                                <w:rPr>
                                  <w:rFonts w:ascii="MS Reference Sans Serif" w:hAnsi="MS Reference Sans Serif" w:cs="Tunga"/>
                                  <w:color w:val="FFFFFF"/>
                                  <w:spacing w:val="10"/>
                                  <w:w w:val="99"/>
                                  <w:kern w:val="44"/>
                                  <w:sz w:val="48"/>
                                  <w:szCs w:val="48"/>
                                </w:rPr>
                              </w:pPr>
                              <w:r w:rsidRPr="00640782">
                                <w:rPr>
                                  <w:rFonts w:ascii="MS Reference Sans Serif" w:hAnsi="MS Reference Sans Serif" w:cs="Tunga"/>
                                  <w:color w:val="FFFFFF"/>
                                  <w:spacing w:val="10"/>
                                  <w:w w:val="99"/>
                                  <w:kern w:val="44"/>
                                  <w:sz w:val="48"/>
                                  <w:szCs w:val="48"/>
                                </w:rPr>
                                <w:t>Better Regu</w:t>
                              </w:r>
                              <w:r w:rsidRPr="00640782">
                                <w:rPr>
                                  <w:rFonts w:ascii="Trebuchet MS" w:hAnsi="Trebuchet MS" w:cs="Tunga"/>
                                  <w:color w:val="FFFFFF"/>
                                  <w:spacing w:val="10"/>
                                  <w:w w:val="99"/>
                                  <w:kern w:val="44"/>
                                  <w:sz w:val="48"/>
                                  <w:szCs w:val="48"/>
                                </w:rPr>
                                <w:t>l</w:t>
                              </w:r>
                              <w:r w:rsidRPr="00640782">
                                <w:rPr>
                                  <w:rFonts w:ascii="MS Reference Sans Serif" w:hAnsi="MS Reference Sans Serif" w:cs="Tunga"/>
                                  <w:color w:val="FFFFFF"/>
                                  <w:spacing w:val="10"/>
                                  <w:w w:val="99"/>
                                  <w:kern w:val="44"/>
                                  <w:sz w:val="48"/>
                                  <w:szCs w:val="48"/>
                                </w:rPr>
                                <w:t>ation:</w:t>
                              </w:r>
                            </w:p>
                            <w:p w:rsidR="00802EA1" w:rsidRPr="00640782" w:rsidRDefault="00802EA1" w:rsidP="00DC00FD">
                              <w:pPr>
                                <w:ind w:left="567"/>
                                <w:rPr>
                                  <w:rFonts w:ascii="MS Reference Sans Serif" w:hAnsi="MS Reference Sans Serif" w:cs="Tunga"/>
                                  <w:color w:val="FFFFFF"/>
                                  <w:spacing w:val="10"/>
                                  <w:w w:val="99"/>
                                  <w:kern w:val="44"/>
                                  <w:sz w:val="48"/>
                                  <w:szCs w:val="48"/>
                                </w:rPr>
                              </w:pPr>
                              <w:r>
                                <w:rPr>
                                  <w:rFonts w:ascii="MS Reference Sans Serif" w:hAnsi="MS Reference Sans Serif" w:cs="Tunga"/>
                                  <w:color w:val="FFFFFF"/>
                                  <w:spacing w:val="10"/>
                                  <w:w w:val="99"/>
                                  <w:kern w:val="44"/>
                                  <w:sz w:val="48"/>
                                  <w:szCs w:val="48"/>
                                </w:rPr>
                                <w:t>Shared asset guideline</w:t>
                              </w:r>
                            </w:p>
                            <w:p w:rsidR="00802EA1" w:rsidRDefault="00802EA1" w:rsidP="00DC00FD">
                              <w:pPr>
                                <w:ind w:left="567" w:right="681"/>
                                <w:jc w:val="right"/>
                                <w:rPr>
                                  <w:rFonts w:ascii="MS Reference Sans Serif" w:hAnsi="MS Reference Sans Serif" w:cs="Tunga"/>
                                  <w:b/>
                                  <w:color w:val="FFFFFF"/>
                                  <w:w w:val="95"/>
                                  <w:kern w:val="44"/>
                                </w:rPr>
                              </w:pPr>
                            </w:p>
                            <w:p w:rsidR="00802EA1" w:rsidRPr="00E83166" w:rsidRDefault="00802EA1" w:rsidP="00DC00FD">
                              <w:pPr>
                                <w:ind w:left="567" w:right="681"/>
                                <w:jc w:val="right"/>
                                <w:rPr>
                                  <w:rFonts w:ascii="MS Reference Sans Serif" w:hAnsi="MS Reference Sans Serif" w:cs="Tunga"/>
                                  <w:color w:val="FFFFFF"/>
                                </w:rPr>
                              </w:pPr>
                            </w:p>
                            <w:p w:rsidR="00802EA1" w:rsidRPr="00390BEB" w:rsidRDefault="00802EA1" w:rsidP="00DC00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13.6pt;width:601.65pt;height:167.15pt;z-index:251659264"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AKDtfi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802EA1" w:rsidRPr="0008782C" w:rsidRDefault="00802EA1" w:rsidP="00DC00FD">
                        <w:pPr>
                          <w:ind w:left="567"/>
                          <w:rPr>
                            <w:rFonts w:cs="Calibri"/>
                            <w:color w:val="FFFFFF"/>
                            <w:sz w:val="32"/>
                          </w:rPr>
                        </w:pPr>
                      </w:p>
                      <w:p w:rsidR="00802EA1" w:rsidRPr="00640782" w:rsidRDefault="00802EA1" w:rsidP="00DC00FD">
                        <w:pPr>
                          <w:ind w:left="567"/>
                          <w:rPr>
                            <w:rFonts w:ascii="MS Reference Sans Serif" w:hAnsi="MS Reference Sans Serif" w:cs="Tunga"/>
                            <w:color w:val="FFFFFF"/>
                            <w:spacing w:val="10"/>
                            <w:w w:val="99"/>
                            <w:kern w:val="44"/>
                            <w:sz w:val="48"/>
                            <w:szCs w:val="48"/>
                          </w:rPr>
                        </w:pPr>
                        <w:r w:rsidRPr="00640782">
                          <w:rPr>
                            <w:rFonts w:ascii="MS Reference Sans Serif" w:hAnsi="MS Reference Sans Serif" w:cs="Tunga"/>
                            <w:color w:val="FFFFFF"/>
                            <w:spacing w:val="10"/>
                            <w:w w:val="99"/>
                            <w:kern w:val="44"/>
                            <w:sz w:val="48"/>
                            <w:szCs w:val="48"/>
                          </w:rPr>
                          <w:t>Better Regu</w:t>
                        </w:r>
                        <w:r w:rsidRPr="00640782">
                          <w:rPr>
                            <w:rFonts w:ascii="Trebuchet MS" w:hAnsi="Trebuchet MS" w:cs="Tunga"/>
                            <w:color w:val="FFFFFF"/>
                            <w:spacing w:val="10"/>
                            <w:w w:val="99"/>
                            <w:kern w:val="44"/>
                            <w:sz w:val="48"/>
                            <w:szCs w:val="48"/>
                          </w:rPr>
                          <w:t>l</w:t>
                        </w:r>
                        <w:r w:rsidRPr="00640782">
                          <w:rPr>
                            <w:rFonts w:ascii="MS Reference Sans Serif" w:hAnsi="MS Reference Sans Serif" w:cs="Tunga"/>
                            <w:color w:val="FFFFFF"/>
                            <w:spacing w:val="10"/>
                            <w:w w:val="99"/>
                            <w:kern w:val="44"/>
                            <w:sz w:val="48"/>
                            <w:szCs w:val="48"/>
                          </w:rPr>
                          <w:t>ation:</w:t>
                        </w:r>
                      </w:p>
                      <w:p w:rsidR="00802EA1" w:rsidRPr="00640782" w:rsidRDefault="00802EA1" w:rsidP="00DC00FD">
                        <w:pPr>
                          <w:ind w:left="567"/>
                          <w:rPr>
                            <w:rFonts w:ascii="MS Reference Sans Serif" w:hAnsi="MS Reference Sans Serif" w:cs="Tunga"/>
                            <w:color w:val="FFFFFF"/>
                            <w:spacing w:val="10"/>
                            <w:w w:val="99"/>
                            <w:kern w:val="44"/>
                            <w:sz w:val="48"/>
                            <w:szCs w:val="48"/>
                          </w:rPr>
                        </w:pPr>
                        <w:r>
                          <w:rPr>
                            <w:rFonts w:ascii="MS Reference Sans Serif" w:hAnsi="MS Reference Sans Serif" w:cs="Tunga"/>
                            <w:color w:val="FFFFFF"/>
                            <w:spacing w:val="10"/>
                            <w:w w:val="99"/>
                            <w:kern w:val="44"/>
                            <w:sz w:val="48"/>
                            <w:szCs w:val="48"/>
                          </w:rPr>
                          <w:t>Shared asset guideline</w:t>
                        </w:r>
                      </w:p>
                      <w:p w:rsidR="00802EA1" w:rsidRDefault="00802EA1" w:rsidP="00DC00FD">
                        <w:pPr>
                          <w:ind w:left="567" w:right="681"/>
                          <w:jc w:val="right"/>
                          <w:rPr>
                            <w:rFonts w:ascii="MS Reference Sans Serif" w:hAnsi="MS Reference Sans Serif" w:cs="Tunga"/>
                            <w:b/>
                            <w:color w:val="FFFFFF"/>
                            <w:w w:val="95"/>
                            <w:kern w:val="44"/>
                          </w:rPr>
                        </w:pPr>
                      </w:p>
                      <w:p w:rsidR="00802EA1" w:rsidRPr="00E83166" w:rsidRDefault="00802EA1" w:rsidP="00DC00FD">
                        <w:pPr>
                          <w:ind w:left="567" w:right="681"/>
                          <w:jc w:val="right"/>
                          <w:rPr>
                            <w:rFonts w:ascii="MS Reference Sans Serif" w:hAnsi="MS Reference Sans Serif" w:cs="Tunga"/>
                            <w:color w:val="FFFFFF"/>
                          </w:rPr>
                        </w:pPr>
                      </w:p>
                      <w:p w:rsidR="00802EA1" w:rsidRPr="00390BEB" w:rsidRDefault="00802EA1" w:rsidP="00DC00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7" o:title=""/>
                  <v:path arrowok="t"/>
                </v:shape>
                <w10:wrap type="topAndBottom"/>
              </v:group>
            </w:pict>
          </mc:Fallback>
        </mc:AlternateContent>
      </w:r>
    </w:p>
    <w:p w:rsidR="00DC00FD" w:rsidRDefault="00DC00FD" w:rsidP="00DC00FD">
      <w:pPr>
        <w:pStyle w:val="AERfactsheetsubtitle"/>
      </w:pPr>
    </w:p>
    <w:p w:rsidR="00802EA1" w:rsidRDefault="006A4619" w:rsidP="00802EA1">
      <w:pPr>
        <w:pStyle w:val="AERfactsheetsubtitle"/>
        <w:ind w:right="-24"/>
      </w:pPr>
      <w:r w:rsidRPr="006A4619">
        <w:t xml:space="preserve">Our shared asset guideline </w:t>
      </w:r>
      <w:r w:rsidR="00A622E0">
        <w:t xml:space="preserve">outlines </w:t>
      </w:r>
      <w:r w:rsidRPr="006A4619">
        <w:t xml:space="preserve">how consumers will benefit from the other services </w:t>
      </w:r>
      <w:r w:rsidR="00A622E0">
        <w:t xml:space="preserve">electricity </w:t>
      </w:r>
      <w:r w:rsidRPr="006A4619">
        <w:t xml:space="preserve">network businesses may provide using the assets consumers </w:t>
      </w:r>
    </w:p>
    <w:p w:rsidR="00DC00FD" w:rsidRPr="00E528FC" w:rsidRDefault="006A4619" w:rsidP="00802EA1">
      <w:pPr>
        <w:pStyle w:val="AERfactsheetsubtitle"/>
        <w:ind w:right="-24"/>
        <w:rPr>
          <w:sz w:val="10"/>
        </w:rPr>
      </w:pPr>
      <w:proofErr w:type="gramStart"/>
      <w:r w:rsidRPr="006A4619">
        <w:t>pay</w:t>
      </w:r>
      <w:proofErr w:type="gramEnd"/>
      <w:r w:rsidRPr="006A4619">
        <w:t xml:space="preserve"> for.</w:t>
      </w:r>
      <w:r w:rsidR="00DC00FD">
        <w:t xml:space="preserve"> </w:t>
      </w:r>
    </w:p>
    <w:p w:rsidR="00E528FC" w:rsidRPr="002F6565" w:rsidRDefault="00E528FC" w:rsidP="00DC00FD">
      <w:pPr>
        <w:pStyle w:val="AERfactsheetbodytext"/>
        <w:rPr>
          <w:sz w:val="16"/>
        </w:rPr>
      </w:pPr>
    </w:p>
    <w:p w:rsidR="00DC00FD" w:rsidRPr="00241B78" w:rsidRDefault="00DC00FD" w:rsidP="00DC00FD">
      <w:pPr>
        <w:pStyle w:val="AERfactsheetbodytext"/>
        <w:rPr>
          <w:sz w:val="22"/>
        </w:rPr>
        <w:sectPr w:rsidR="00DC00FD" w:rsidRPr="00241B78" w:rsidSect="00A622E0">
          <w:pgSz w:w="11906" w:h="16838"/>
          <w:pgMar w:top="720" w:right="720" w:bottom="720" w:left="720" w:header="708" w:footer="708" w:gutter="0"/>
          <w:cols w:space="284"/>
          <w:docGrid w:linePitch="360"/>
        </w:sectPr>
      </w:pPr>
    </w:p>
    <w:p w:rsidR="00DC00FD" w:rsidRPr="00697FF1" w:rsidRDefault="00DC00FD" w:rsidP="00DC00FD">
      <w:pPr>
        <w:pStyle w:val="AERFactsheetHeading1"/>
      </w:pPr>
      <w:r>
        <w:lastRenderedPageBreak/>
        <w:t xml:space="preserve">What is </w:t>
      </w:r>
      <w:r w:rsidR="006A4619">
        <w:t xml:space="preserve">a shared asset? </w:t>
      </w:r>
    </w:p>
    <w:p w:rsidR="00E528FC" w:rsidRDefault="00A622E0" w:rsidP="00A622E0">
      <w:pPr>
        <w:pStyle w:val="AERfactsheetbodytext"/>
      </w:pPr>
      <w:r>
        <w:t xml:space="preserve">Electricity network businesses may use assets to provide both electricity services we regulate and other services we do not regulate. These assets are called 'shared assets'.  </w:t>
      </w:r>
    </w:p>
    <w:p w:rsidR="00E528FC" w:rsidRDefault="00E528FC" w:rsidP="00A622E0">
      <w:pPr>
        <w:pStyle w:val="AERfactsheetbodytext"/>
      </w:pPr>
      <w:r>
        <w:rPr>
          <w:noProof/>
          <w:lang w:eastAsia="en-AU"/>
        </w:rPr>
        <mc:AlternateContent>
          <mc:Choice Requires="wps">
            <w:drawing>
              <wp:inline distT="0" distB="0" distL="0" distR="0" wp14:anchorId="570F0A3B" wp14:editId="77086182">
                <wp:extent cx="3060065" cy="880281"/>
                <wp:effectExtent l="0" t="0" r="26035" b="1524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80281"/>
                        </a:xfrm>
                        <a:prstGeom prst="rect">
                          <a:avLst/>
                        </a:prstGeom>
                        <a:solidFill>
                          <a:srgbClr val="DBE5F1"/>
                        </a:solidFill>
                        <a:ln w="9525">
                          <a:solidFill>
                            <a:srgbClr val="006A99"/>
                          </a:solidFill>
                          <a:miter lim="800000"/>
                          <a:headEnd/>
                          <a:tailEnd/>
                        </a:ln>
                      </wps:spPr>
                      <wps:txbx>
                        <w:txbxContent>
                          <w:p w:rsidR="00802EA1" w:rsidRDefault="00802EA1" w:rsidP="00E528FC">
                            <w:pPr>
                              <w:pStyle w:val="AERfactsheetbodytext"/>
                            </w:pPr>
                            <w:r>
                              <w:t>An example of a shared asset is a power pole, paid for by electricity consumers, which also supports a fibre optic cable for communications services. We regulate electricity supply but not communications services. So the power pole is a shared asset.</w:t>
                            </w:r>
                          </w:p>
                          <w:p w:rsidR="00802EA1" w:rsidRPr="00697FF1" w:rsidRDefault="00802EA1" w:rsidP="00E528FC">
                            <w:pPr>
                              <w:pStyle w:val="AERfactsheetbodytext"/>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30" type="#_x0000_t202" style="width:240.95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" fillcolor="#dbe5f1" strokecolor="#006a99">
                <v:textbox>
                  <w:txbxContent>
                    <w:p w:rsidR="00802EA1" w:rsidRDefault="00802EA1" w:rsidP="00E528FC">
                      <w:pPr>
                        <w:pStyle w:val="AERfactsheetbodytext"/>
                      </w:pPr>
                      <w:r>
                        <w:t>An example of a shared asset is a power pole, paid for by electricity consumers, which also supports a fibre optic cable for communications services. We regulate electricity supply but not communications services. So the power pole is a shared asset.</w:t>
                      </w:r>
                    </w:p>
                    <w:p w:rsidR="00802EA1" w:rsidRPr="00697FF1" w:rsidRDefault="00802EA1" w:rsidP="00E528FC">
                      <w:pPr>
                        <w:pStyle w:val="AERfactsheetbodytext"/>
                      </w:pPr>
                    </w:p>
                  </w:txbxContent>
                </v:textbox>
                <w10:anchorlock/>
              </v:shape>
            </w:pict>
          </mc:Fallback>
        </mc:AlternateContent>
      </w:r>
    </w:p>
    <w:p w:rsidR="00E528FC" w:rsidRDefault="00E528FC" w:rsidP="00E528FC">
      <w:pPr>
        <w:pStyle w:val="AERfactsheetbodytext"/>
      </w:pPr>
      <w:r>
        <w:t xml:space="preserve">When an electricity network company invests in a new asset, like a power pole, its cost is added to the business’ regulatory asset base. The return that the network business earns on the asset base is recovered from customers. </w:t>
      </w:r>
    </w:p>
    <w:p w:rsidR="00E528FC" w:rsidRDefault="00E528FC" w:rsidP="00E528FC">
      <w:pPr>
        <w:pStyle w:val="AERfactsheetbodytext"/>
      </w:pPr>
      <w:r>
        <w:t xml:space="preserve">If a business is also paid for providing unregulated services, like carrying the communications cable on the power pole, they are essentially being paid twice for the same asset.  </w:t>
      </w:r>
    </w:p>
    <w:p w:rsidR="00A622E0" w:rsidRDefault="00A622E0" w:rsidP="00A622E0">
      <w:pPr>
        <w:pStyle w:val="AERFactsheetHeading1"/>
      </w:pPr>
      <w:r>
        <w:t>What</w:t>
      </w:r>
      <w:r w:rsidR="00E15218">
        <w:t xml:space="preserve"> is </w:t>
      </w:r>
      <w:r>
        <w:t>the shared asset guideline?</w:t>
      </w:r>
    </w:p>
    <w:p w:rsidR="00E15218" w:rsidRDefault="00E84C2B" w:rsidP="00364375">
      <w:pPr>
        <w:pStyle w:val="AERfactsheetbodytext"/>
      </w:pPr>
      <w:r>
        <w:t xml:space="preserve">The shared asset guideline sets out our approach to </w:t>
      </w:r>
      <w:r w:rsidR="00E528FC">
        <w:t xml:space="preserve">sharing the benefits with consumers when a network business is </w:t>
      </w:r>
      <w:r w:rsidR="00E528FC" w:rsidRPr="00E528FC">
        <w:t>paid for providing unregulated services</w:t>
      </w:r>
      <w:r w:rsidR="00E528FC">
        <w:t>.</w:t>
      </w:r>
      <w:r w:rsidR="00E528FC" w:rsidRPr="00E528FC">
        <w:t xml:space="preserve"> </w:t>
      </w:r>
      <w:r w:rsidR="00E528FC">
        <w:t xml:space="preserve">We will </w:t>
      </w:r>
      <w:r>
        <w:t>reduc</w:t>
      </w:r>
      <w:r w:rsidR="00E528FC">
        <w:t>e</w:t>
      </w:r>
      <w:r>
        <w:t xml:space="preserve"> the amount </w:t>
      </w:r>
      <w:r w:rsidR="00E528FC">
        <w:t xml:space="preserve">that business can </w:t>
      </w:r>
      <w:r>
        <w:t>recover from</w:t>
      </w:r>
      <w:r w:rsidR="009117B9">
        <w:t xml:space="preserve"> electricity </w:t>
      </w:r>
      <w:r w:rsidR="00E528FC">
        <w:t xml:space="preserve">consumers </w:t>
      </w:r>
      <w:r w:rsidR="00A622E0">
        <w:t>to reflect the unregulated revenues.</w:t>
      </w:r>
      <w:r w:rsidR="00673C5D">
        <w:t xml:space="preserve"> </w:t>
      </w:r>
    </w:p>
    <w:p w:rsidR="00673C5D" w:rsidRDefault="00673C5D" w:rsidP="00364375">
      <w:pPr>
        <w:pStyle w:val="AERfactsheetbodytext"/>
      </w:pPr>
      <w:r>
        <w:t>Network businesses have the opportunity to propose alternative approaches. However, we will be unlikely to accept alternatives if they leave consumers worse off than under our approach</w:t>
      </w:r>
      <w:r w:rsidR="00DD7C18">
        <w:t xml:space="preserve"> </w:t>
      </w:r>
      <w:r w:rsidR="00E15218">
        <w:t>in the guideline</w:t>
      </w:r>
      <w:r>
        <w:t xml:space="preserve">. </w:t>
      </w:r>
    </w:p>
    <w:p w:rsidR="00802EA1" w:rsidRDefault="00802EA1" w:rsidP="00364375">
      <w:pPr>
        <w:pStyle w:val="AERfactsheetbodytext"/>
      </w:pPr>
      <w:r>
        <w:rPr>
          <w:noProof/>
          <w:lang w:eastAsia="en-AU"/>
        </w:rPr>
        <mc:AlternateContent>
          <mc:Choice Requires="wps">
            <w:drawing>
              <wp:inline distT="0" distB="0" distL="0" distR="0" wp14:anchorId="17919D88" wp14:editId="48553410">
                <wp:extent cx="3214370" cy="525439"/>
                <wp:effectExtent l="0" t="0" r="24130" b="2730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25439"/>
                        </a:xfrm>
                        <a:prstGeom prst="rect">
                          <a:avLst/>
                        </a:prstGeom>
                        <a:solidFill>
                          <a:srgbClr val="DBE5F1"/>
                        </a:solidFill>
                        <a:ln w="9525">
                          <a:solidFill>
                            <a:srgbClr val="006A99"/>
                          </a:solidFill>
                          <a:miter lim="800000"/>
                          <a:headEnd/>
                          <a:tailEnd/>
                        </a:ln>
                      </wps:spPr>
                      <wps:txbx>
                        <w:txbxContent>
                          <w:p w:rsidR="00802EA1" w:rsidRPr="00697FF1" w:rsidRDefault="00802EA1" w:rsidP="00802EA1">
                            <w:pPr>
                              <w:pStyle w:val="AERfactsheetbodytext"/>
                            </w:pPr>
                            <w:r w:rsidRPr="006A4619">
                              <w:t>Consumers pay for regulated electricity supply assets. They will now share in the benefits when businesses use these regulated assets for unregulated purposes.</w:t>
                            </w: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253.1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" fillcolor="#dbe5f1" strokecolor="#006a99">
                <v:textbox>
                  <w:txbxContent>
                    <w:p w:rsidR="00802EA1" w:rsidRPr="00697FF1" w:rsidRDefault="00802EA1" w:rsidP="00802EA1">
                      <w:pPr>
                        <w:pStyle w:val="AERfactsheetbodytext"/>
                      </w:pPr>
                      <w:r w:rsidRPr="006A4619">
                        <w:t>Consumers pay for regulated electricity supply assets. They will now share in the benefits when businesses use these regulated assets for unregulated purposes.</w:t>
                      </w:r>
                    </w:p>
                  </w:txbxContent>
                </v:textbox>
                <w10:anchorlock/>
              </v:shape>
            </w:pict>
          </mc:Fallback>
        </mc:AlternateContent>
      </w:r>
    </w:p>
    <w:p w:rsidR="00E15218" w:rsidRDefault="00802EA1" w:rsidP="00FB509B">
      <w:pPr>
        <w:pStyle w:val="AERFactsheetHeading1"/>
      </w:pPr>
      <w:r>
        <w:rPr>
          <w:noProof/>
          <w:lang w:eastAsia="en-AU"/>
        </w:rPr>
        <w:drawing>
          <wp:anchor distT="0" distB="0" distL="114300" distR="114300" simplePos="0" relativeHeight="251665408" behindDoc="0" locked="0" layoutInCell="1" allowOverlap="1" wp14:anchorId="07BB127F" wp14:editId="2EC14CF5">
            <wp:simplePos x="0" y="0"/>
            <wp:positionH relativeFrom="column">
              <wp:posOffset>-537845</wp:posOffset>
            </wp:positionH>
            <wp:positionV relativeFrom="page">
              <wp:posOffset>10196830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br w:type="column"/>
      </w:r>
      <w:r>
        <w:lastRenderedPageBreak/>
        <w:t>What’</w:t>
      </w:r>
      <w:r w:rsidR="00E15218">
        <w:t xml:space="preserve">s </w:t>
      </w:r>
      <w:r>
        <w:t xml:space="preserve">in the </w:t>
      </w:r>
      <w:r w:rsidR="00E15218">
        <w:t>shared assets guideline?</w:t>
      </w:r>
    </w:p>
    <w:p w:rsidR="009117B9" w:rsidRPr="006A4619" w:rsidRDefault="00E15218" w:rsidP="009117B9">
      <w:pPr>
        <w:pStyle w:val="AERfactsheetbodytext"/>
      </w:pPr>
      <w:r>
        <w:t xml:space="preserve">The </w:t>
      </w:r>
      <w:r w:rsidRPr="00E15218">
        <w:t>guideline</w:t>
      </w:r>
      <w:r>
        <w:t xml:space="preserve"> </w:t>
      </w:r>
      <w:r w:rsidRPr="00E15218">
        <w:t>sets out how we reduce c</w:t>
      </w:r>
      <w:r>
        <w:t>onsumer costs for shared assets:</w:t>
      </w:r>
    </w:p>
    <w:p w:rsidR="009117B9" w:rsidRDefault="009117B9" w:rsidP="00E15218">
      <w:pPr>
        <w:pStyle w:val="AERfactsheetbulletlist"/>
      </w:pPr>
      <w:r w:rsidRPr="00E15218">
        <w:t xml:space="preserve">Materiality: we will take action when the unregulated revenues from shared assets are more than 1 per cent of a service </w:t>
      </w:r>
      <w:r w:rsidR="00A64734" w:rsidRPr="00E15218">
        <w:t>provider’s total annual revenue</w:t>
      </w:r>
    </w:p>
    <w:p w:rsidR="009117B9" w:rsidRPr="00E15218" w:rsidRDefault="009117B9" w:rsidP="00E15218">
      <w:pPr>
        <w:pStyle w:val="AERfactsheetbulletlist"/>
      </w:pPr>
      <w:r w:rsidRPr="00E15218">
        <w:t>Method: we will reduce a service provider's regulated revenues by around 10% of the value of unregulated rev</w:t>
      </w:r>
      <w:r w:rsidR="00A64734" w:rsidRPr="00E15218">
        <w:t>enues earned from shared assets</w:t>
      </w:r>
    </w:p>
    <w:p w:rsidR="009117B9" w:rsidRDefault="009117B9" w:rsidP="00E15218">
      <w:pPr>
        <w:pStyle w:val="AERfactsheetbulletlist"/>
      </w:pPr>
      <w:r w:rsidRPr="006A4619">
        <w:t>Information reporting: what we’ll require from service providers to determine shared asset cost reductions.</w:t>
      </w:r>
    </w:p>
    <w:p w:rsidR="00802EA1" w:rsidRDefault="0039113E" w:rsidP="00E655F6">
      <w:pPr>
        <w:pStyle w:val="AERfactsheetbodytext"/>
      </w:pPr>
      <w:r>
        <w:t xml:space="preserve">Our shared asset mechanism forecasts the annual </w:t>
      </w:r>
      <w:r w:rsidR="0067341D">
        <w:t xml:space="preserve">unregulated </w:t>
      </w:r>
      <w:r>
        <w:t xml:space="preserve">revenue </w:t>
      </w:r>
      <w:r w:rsidR="00614073">
        <w:t xml:space="preserve">that </w:t>
      </w:r>
      <w:r w:rsidR="00593A3E">
        <w:t>a</w:t>
      </w:r>
      <w:r w:rsidR="00614073">
        <w:t xml:space="preserve"> network business is expected to earn </w:t>
      </w:r>
      <w:r w:rsidR="00593A3E">
        <w:t>from</w:t>
      </w:r>
      <w:r w:rsidR="00614073">
        <w:t xml:space="preserve"> shared assets. </w:t>
      </w:r>
    </w:p>
    <w:p w:rsidR="00802EA1" w:rsidRDefault="00614073" w:rsidP="00E655F6">
      <w:pPr>
        <w:pStyle w:val="AERfactsheetbodytext"/>
      </w:pPr>
      <w:r>
        <w:t xml:space="preserve">This forecast is then compared to the </w:t>
      </w:r>
      <w:r w:rsidR="00593A3E">
        <w:t xml:space="preserve">revenue that is required to provide regulated services. </w:t>
      </w:r>
      <w:r w:rsidR="0039113E">
        <w:t>If the total unregulated revenue is expected</w:t>
      </w:r>
      <w:r w:rsidR="00DD7C18">
        <w:t xml:space="preserve"> to be greater than 1 per cent of the regulated revenue, we’ll apply a </w:t>
      </w:r>
      <w:r w:rsidR="00E655F6">
        <w:t xml:space="preserve">cost </w:t>
      </w:r>
      <w:r w:rsidR="00DD7C18">
        <w:t>reduction</w:t>
      </w:r>
      <w:r w:rsidR="00E655F6">
        <w:t xml:space="preserve">. </w:t>
      </w:r>
      <w:r>
        <w:t xml:space="preserve"> </w:t>
      </w:r>
    </w:p>
    <w:p w:rsidR="00784E27" w:rsidRDefault="00593A3E" w:rsidP="00E655F6">
      <w:pPr>
        <w:pStyle w:val="AERfactsheetbodytext"/>
      </w:pPr>
      <w:r>
        <w:t xml:space="preserve">This </w:t>
      </w:r>
      <w:r w:rsidR="00614073">
        <w:t>clear and transparent materiality threshold balance</w:t>
      </w:r>
      <w:r>
        <w:t>s</w:t>
      </w:r>
      <w:r w:rsidR="00614073">
        <w:t xml:space="preserve"> administrative effort with potential consumer benefits.</w:t>
      </w:r>
    </w:p>
    <w:p w:rsidR="003362D0" w:rsidRDefault="00E655F6" w:rsidP="00614073">
      <w:pPr>
        <w:pStyle w:val="AERfactsheetbodytext"/>
      </w:pPr>
      <w:r>
        <w:t xml:space="preserve">The cost reduction </w:t>
      </w:r>
      <w:r w:rsidR="00635D18" w:rsidRPr="00635D18">
        <w:t xml:space="preserve">will reduce a </w:t>
      </w:r>
      <w:r>
        <w:t>network business’ regulated</w:t>
      </w:r>
      <w:r w:rsidR="00635D18" w:rsidRPr="00635D18">
        <w:t xml:space="preserve"> revenue by 10 per cent of the value </w:t>
      </w:r>
      <w:r w:rsidR="00673C42">
        <w:t xml:space="preserve">of its </w:t>
      </w:r>
      <w:r w:rsidR="00635D18" w:rsidRPr="00635D18">
        <w:t>expected total unregulated revenues from shared assets in that year.</w:t>
      </w:r>
      <w:r>
        <w:t xml:space="preserve"> </w:t>
      </w:r>
      <w:r w:rsidR="003362D0" w:rsidRPr="003362D0">
        <w:t xml:space="preserve">This reduces the amount to be recovered from consumers and consequently electricity prices.  </w:t>
      </w:r>
    </w:p>
    <w:p w:rsidR="00614073" w:rsidRDefault="00E655F6" w:rsidP="00614073">
      <w:pPr>
        <w:pStyle w:val="AERfactsheetbodytext"/>
      </w:pPr>
      <w:r>
        <w:t>Th</w:t>
      </w:r>
      <w:r w:rsidR="003362D0">
        <w:t xml:space="preserve">e potential value of </w:t>
      </w:r>
      <w:r w:rsidR="00AF4A1E">
        <w:t>the</w:t>
      </w:r>
      <w:r w:rsidR="003362D0">
        <w:t xml:space="preserve"> </w:t>
      </w:r>
      <w:r>
        <w:t>cost reduction is capped</w:t>
      </w:r>
      <w:r w:rsidR="00673C42">
        <w:t xml:space="preserve"> by the electricity rules</w:t>
      </w:r>
      <w:r>
        <w:t xml:space="preserve">, so that the reduction cannot exceed the regulated revenue from those assets. </w:t>
      </w:r>
    </w:p>
    <w:p w:rsidR="00802EA1" w:rsidRDefault="00802EA1" w:rsidP="004B513B">
      <w:pPr>
        <w:pStyle w:val="AERFactsheetHeading1"/>
      </w:pPr>
      <w:r>
        <w:rPr>
          <w:noProof/>
          <w:lang w:eastAsia="en-AU"/>
        </w:rPr>
        <w:lastRenderedPageBreak/>
        <mc:AlternateContent>
          <mc:Choice Requires="wpg">
            <w:drawing>
              <wp:anchor distT="0" distB="0" distL="114300" distR="114300" simplePos="0" relativeHeight="251669504" behindDoc="0" locked="0" layoutInCell="1" allowOverlap="1" wp14:anchorId="48B21D08" wp14:editId="7410A76D">
                <wp:simplePos x="0" y="0"/>
                <wp:positionH relativeFrom="column">
                  <wp:posOffset>-527050</wp:posOffset>
                </wp:positionH>
                <wp:positionV relativeFrom="page">
                  <wp:posOffset>518160</wp:posOffset>
                </wp:positionV>
                <wp:extent cx="7646400" cy="324000"/>
                <wp:effectExtent l="0" t="0" r="12065" b="38100"/>
                <wp:wrapNone/>
                <wp:docPr id="13" name="Group 13"/>
                <wp:cNvGraphicFramePr/>
                <a:graphic xmlns:a="http://schemas.openxmlformats.org/drawingml/2006/main">
                  <a:graphicData uri="http://schemas.microsoft.com/office/word/2010/wordprocessingGroup">
                    <wpg:wgp>
                      <wpg:cNvGrpSpPr/>
                      <wpg:grpSpPr>
                        <a:xfrm>
                          <a:off x="0" y="0"/>
                          <a:ext cx="7646400" cy="324000"/>
                          <a:chOff x="0" y="0"/>
                          <a:chExt cx="7644765" cy="323850"/>
                        </a:xfrm>
                      </wpg:grpSpPr>
                      <wps:wsp>
                        <wps:cNvPr id="11" name="Text Box 2"/>
                        <wps:cNvSpPr txBox="1">
                          <a:spLocks noChangeArrowheads="1"/>
                        </wps:cNvSpPr>
                        <wps:spPr bwMode="auto">
                          <a:xfrm>
                            <a:off x="0" y="0"/>
                            <a:ext cx="7635240"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EA1" w:rsidRPr="006B1EE6" w:rsidRDefault="00802EA1" w:rsidP="004B513B">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BETTER REGULATION: SHARED ASSET GUIDELINE</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33" style="position:absolute;margin-left:-41.5pt;margin-top:40.8pt;width:602.1pt;height:25.5pt;z-index:251669504;mso-position-horizontal-relative:text;mso-position-vertical-relative:page;mso-width-relative:margin;mso-height-relative:margin" coordsize="7644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">
                <v:shape id="Text Box 2" o:spid="_x0000_s1034" type="#_x0000_t202" style="position:absolute;width:76352;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802EA1" w:rsidRPr="006B1EE6" w:rsidRDefault="00802EA1" w:rsidP="004B513B">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BETTER REGULATION: SHARED ASSET GUIDELINE</w:t>
                        </w:r>
                      </w:p>
                    </w:txbxContent>
                  </v:textbox>
                </v:shape>
                <v:line id="Straight Connector 6" o:spid="_x0000_s1035" style="position:absolute;visibility:visible;mso-wrap-style:square" from="0,3238" to="76447,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anchory="page"/>
              </v:group>
            </w:pict>
          </mc:Fallback>
        </mc:AlternateContent>
      </w:r>
    </w:p>
    <w:p w:rsidR="00802EA1" w:rsidRDefault="00802EA1" w:rsidP="004B513B">
      <w:pPr>
        <w:pStyle w:val="AERFactsheetHeading1"/>
      </w:pPr>
    </w:p>
    <w:p w:rsidR="00802EA1" w:rsidRDefault="00802EA1" w:rsidP="004B513B">
      <w:pPr>
        <w:pStyle w:val="AERFactsheetHeading1"/>
      </w:pPr>
      <w:r>
        <w:rPr>
          <w:noProof/>
          <w:lang w:eastAsia="en-AU"/>
        </w:rPr>
        <mc:AlternateContent>
          <mc:Choice Requires="wpc">
            <w:drawing>
              <wp:anchor distT="0" distB="0" distL="114300" distR="114300" simplePos="0" relativeHeight="251671552" behindDoc="0" locked="0" layoutInCell="1" allowOverlap="1" wp14:anchorId="3DF3F38A" wp14:editId="52D2C12F">
                <wp:simplePos x="0" y="0"/>
                <wp:positionH relativeFrom="column">
                  <wp:posOffset>-153707</wp:posOffset>
                </wp:positionH>
                <wp:positionV relativeFrom="page">
                  <wp:posOffset>1008380</wp:posOffset>
                </wp:positionV>
                <wp:extent cx="6638400" cy="3157200"/>
                <wp:effectExtent l="0" t="0" r="0" b="0"/>
                <wp:wrapNone/>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 name="Rectangle 14"/>
                        <wps:cNvSpPr>
                          <a:spLocks noChangeArrowheads="1"/>
                        </wps:cNvSpPr>
                        <wps:spPr bwMode="auto">
                          <a:xfrm>
                            <a:off x="505460" y="390470"/>
                            <a:ext cx="2329815" cy="613410"/>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802EA1" w:rsidRPr="00AE5960" w:rsidRDefault="00802EA1" w:rsidP="00802EA1">
                              <w:pPr>
                                <w:pStyle w:val="NormalWeb"/>
                                <w:spacing w:before="0" w:beforeAutospacing="0" w:after="0" w:afterAutospacing="0" w:line="276" w:lineRule="auto"/>
                                <w:rPr>
                                  <w:rFonts w:ascii="Tunga" w:eastAsia="Calibri" w:hAnsi="Tunga" w:cs="Tunga"/>
                                  <w:b/>
                                  <w:color w:val="FFFFFF"/>
                                  <w:sz w:val="16"/>
                                  <w:szCs w:val="16"/>
                                </w:rPr>
                              </w:pPr>
                              <w:r w:rsidRPr="00AE5960">
                                <w:rPr>
                                  <w:rFonts w:ascii="Tunga" w:eastAsia="Calibri" w:hAnsi="Tunga" w:cs="Tunga"/>
                                  <w:b/>
                                  <w:color w:val="FFFFFF"/>
                                  <w:sz w:val="16"/>
                                  <w:szCs w:val="16"/>
                                </w:rPr>
                                <w:t xml:space="preserve">Are there any shared asset revenues? </w:t>
                              </w:r>
                            </w:p>
                            <w:p w:rsidR="00802EA1" w:rsidRPr="00AE5960" w:rsidRDefault="00802EA1" w:rsidP="00802EA1">
                              <w:pPr>
                                <w:pStyle w:val="NormalWeb"/>
                                <w:spacing w:before="0" w:beforeAutospacing="0" w:after="0" w:afterAutospacing="0" w:line="276" w:lineRule="auto"/>
                                <w:rPr>
                                  <w:rFonts w:ascii="Tunga" w:hAnsi="Tunga" w:cs="Tunga"/>
                                  <w:sz w:val="16"/>
                                  <w:szCs w:val="16"/>
                                </w:rPr>
                              </w:pPr>
                              <w:r w:rsidRPr="00AE5960">
                                <w:rPr>
                                  <w:rFonts w:ascii="Tunga" w:eastAsia="Calibri" w:hAnsi="Tunga" w:cs="Tunga"/>
                                  <w:color w:val="FFFFFF"/>
                                  <w:sz w:val="16"/>
                                  <w:szCs w:val="16"/>
                                </w:rPr>
                                <w:t>Does the service provider expect to earn any additional</w:t>
                              </w:r>
                              <w:r>
                                <w:rPr>
                                  <w:rFonts w:ascii="Tunga" w:eastAsia="Calibri" w:hAnsi="Tunga" w:cs="Tunga"/>
                                  <w:color w:val="FFFFFF"/>
                                  <w:sz w:val="16"/>
                                  <w:szCs w:val="16"/>
                                </w:rPr>
                                <w:t xml:space="preserve"> revenue from its shared assets in the next regulatory period?</w:t>
                              </w:r>
                            </w:p>
                          </w:txbxContent>
                        </wps:txbx>
                        <wps:bodyPr rot="0" vert="horz" wrap="square" lIns="91440" tIns="36000" rIns="91440" bIns="36000" anchor="ctr" anchorCtr="0" upright="1">
                          <a:noAutofit/>
                        </wps:bodyPr>
                      </wps:wsp>
                      <wps:wsp>
                        <wps:cNvPr id="16" name="Rectangle 15"/>
                        <wps:cNvSpPr>
                          <a:spLocks noChangeArrowheads="1"/>
                        </wps:cNvSpPr>
                        <wps:spPr bwMode="auto">
                          <a:xfrm>
                            <a:off x="505460" y="1220470"/>
                            <a:ext cx="2364740" cy="683895"/>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802EA1" w:rsidRPr="00D75A1F" w:rsidRDefault="00802EA1" w:rsidP="00802EA1">
                              <w:pPr>
                                <w:pStyle w:val="NormalWeb"/>
                                <w:spacing w:before="0" w:beforeAutospacing="0" w:after="0" w:afterAutospacing="0" w:line="276" w:lineRule="auto"/>
                                <w:rPr>
                                  <w:rFonts w:ascii="Tunga" w:eastAsia="Calibri" w:hAnsi="Tunga" w:cs="Tunga"/>
                                  <w:b/>
                                  <w:color w:val="FFFFFF"/>
                                  <w:sz w:val="16"/>
                                  <w:szCs w:val="16"/>
                                </w:rPr>
                              </w:pPr>
                              <w:r w:rsidRPr="00D75A1F">
                                <w:rPr>
                                  <w:rFonts w:ascii="Tunga" w:eastAsia="Calibri" w:hAnsi="Tunga" w:cs="Tunga"/>
                                  <w:b/>
                                  <w:color w:val="FFFFFF"/>
                                  <w:sz w:val="16"/>
                                  <w:szCs w:val="16"/>
                                </w:rPr>
                                <w:t>Will the revenues be significant?</w:t>
                              </w:r>
                            </w:p>
                            <w:p w:rsidR="00802EA1" w:rsidRPr="00AE5960" w:rsidRDefault="00802EA1" w:rsidP="00802EA1">
                              <w:pPr>
                                <w:pStyle w:val="NormalWeb"/>
                                <w:spacing w:before="0" w:beforeAutospacing="0" w:after="0" w:afterAutospacing="0" w:line="276" w:lineRule="auto"/>
                                <w:rPr>
                                  <w:rFonts w:ascii="Tunga" w:hAnsi="Tunga" w:cs="Tunga"/>
                                  <w:sz w:val="16"/>
                                  <w:szCs w:val="16"/>
                                </w:rPr>
                              </w:pPr>
                              <w:r w:rsidRPr="00AE5960">
                                <w:rPr>
                                  <w:rFonts w:ascii="Tunga" w:eastAsia="Calibri" w:hAnsi="Tunga" w:cs="Tunga"/>
                                  <w:color w:val="FFFFFF"/>
                                  <w:sz w:val="16"/>
                                  <w:szCs w:val="16"/>
                                </w:rPr>
                                <w:t xml:space="preserve">Is the amount of expected additional revenue </w:t>
                              </w:r>
                              <w:r>
                                <w:rPr>
                                  <w:rFonts w:ascii="Tunga" w:eastAsia="Calibri" w:hAnsi="Tunga" w:cs="Tunga"/>
                                  <w:color w:val="FFFFFF"/>
                                  <w:sz w:val="16"/>
                                  <w:szCs w:val="16"/>
                                </w:rPr>
                                <w:t>material</w:t>
                              </w:r>
                              <w:r w:rsidRPr="00AE5960">
                                <w:rPr>
                                  <w:rFonts w:ascii="Tunga" w:eastAsia="Calibri" w:hAnsi="Tunga" w:cs="Tunga"/>
                                  <w:color w:val="FFFFFF"/>
                                  <w:sz w:val="16"/>
                                  <w:szCs w:val="16"/>
                                </w:rPr>
                                <w:t>? That is, greater than 1% of the</w:t>
                              </w:r>
                              <w:r>
                                <w:rPr>
                                  <w:rFonts w:ascii="Tunga" w:eastAsia="Calibri" w:hAnsi="Tunga" w:cs="Tunga"/>
                                  <w:color w:val="FFFFFF"/>
                                  <w:sz w:val="16"/>
                                  <w:szCs w:val="16"/>
                                </w:rPr>
                                <w:t xml:space="preserve"> </w:t>
                              </w:r>
                              <w:r w:rsidRPr="00AE5960">
                                <w:rPr>
                                  <w:rFonts w:ascii="Tunga" w:eastAsia="Calibri" w:hAnsi="Tunga" w:cs="Tunga"/>
                                  <w:color w:val="FFFFFF"/>
                                  <w:sz w:val="16"/>
                                  <w:szCs w:val="16"/>
                                </w:rPr>
                                <w:t>annual revenue the service provider requires?</w:t>
                              </w:r>
                            </w:p>
                          </w:txbxContent>
                        </wps:txbx>
                        <wps:bodyPr rot="0" vert="horz" wrap="square" lIns="91440" tIns="36000" rIns="91440" bIns="36000" anchor="ctr" anchorCtr="0" upright="1">
                          <a:noAutofit/>
                        </wps:bodyPr>
                      </wps:wsp>
                      <wps:wsp>
                        <wps:cNvPr id="17" name="Rounded Rectangle 16"/>
                        <wps:cNvSpPr>
                          <a:spLocks noChangeArrowheads="1"/>
                        </wps:cNvSpPr>
                        <wps:spPr bwMode="auto">
                          <a:xfrm>
                            <a:off x="3223887" y="1398067"/>
                            <a:ext cx="464193" cy="257175"/>
                          </a:xfrm>
                          <a:prstGeom prst="roundRect">
                            <a:avLst>
                              <a:gd name="adj" fmla="val 16667"/>
                            </a:avLst>
                          </a:prstGeom>
                          <a:solidFill>
                            <a:srgbClr val="006A99"/>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802EA1" w:rsidRPr="00AE5960" w:rsidRDefault="00802EA1" w:rsidP="00802EA1">
                              <w:pPr>
                                <w:pStyle w:val="NormalWeb"/>
                                <w:spacing w:before="0" w:beforeAutospacing="0" w:after="0" w:afterAutospacing="0" w:line="276" w:lineRule="auto"/>
                                <w:jc w:val="center"/>
                                <w:rPr>
                                  <w:rFonts w:ascii="Tunga" w:hAnsi="Tunga" w:cs="Tunga"/>
                                  <w:sz w:val="16"/>
                                  <w:szCs w:val="16"/>
                                </w:rPr>
                              </w:pPr>
                              <w:r w:rsidRPr="00AE5960">
                                <w:rPr>
                                  <w:rFonts w:ascii="Tunga" w:eastAsia="Calibri" w:hAnsi="Tunga" w:cs="Tunga"/>
                                  <w:color w:val="FFFFFF"/>
                                  <w:sz w:val="16"/>
                                  <w:szCs w:val="16"/>
                                </w:rPr>
                                <w:t>Yes</w:t>
                              </w:r>
                            </w:p>
                          </w:txbxContent>
                        </wps:txbx>
                        <wps:bodyPr rot="0" vert="horz" wrap="square" lIns="91440" tIns="45720" rIns="91440" bIns="45720" anchor="ctr" anchorCtr="0" upright="1">
                          <a:noAutofit/>
                        </wps:bodyPr>
                      </wps:wsp>
                      <wps:wsp>
                        <wps:cNvPr id="18" name="Rectangle 17"/>
                        <wps:cNvSpPr>
                          <a:spLocks noChangeArrowheads="1"/>
                        </wps:cNvSpPr>
                        <wps:spPr bwMode="auto">
                          <a:xfrm>
                            <a:off x="3940810" y="748665"/>
                            <a:ext cx="2483485" cy="659765"/>
                          </a:xfrm>
                          <a:prstGeom prst="rect">
                            <a:avLst/>
                          </a:prstGeom>
                          <a:solidFill>
                            <a:srgbClr val="006A99"/>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802EA1" w:rsidRPr="000E6C02" w:rsidRDefault="00802EA1" w:rsidP="00802EA1">
                              <w:pPr>
                                <w:pStyle w:val="NormalWeb"/>
                                <w:spacing w:before="0" w:beforeAutospacing="0" w:after="0" w:afterAutospacing="0" w:line="276" w:lineRule="auto"/>
                                <w:rPr>
                                  <w:rFonts w:ascii="Tunga" w:eastAsia="Calibri" w:hAnsi="Tunga" w:cs="Tunga"/>
                                  <w:b/>
                                  <w:color w:val="FFFFFF"/>
                                  <w:sz w:val="16"/>
                                  <w:szCs w:val="16"/>
                                </w:rPr>
                              </w:pPr>
                              <w:r w:rsidRPr="000E6C02">
                                <w:rPr>
                                  <w:rFonts w:ascii="Tunga" w:eastAsia="Calibri" w:hAnsi="Tunga" w:cs="Tunga"/>
                                  <w:b/>
                                  <w:color w:val="FFFFFF"/>
                                  <w:sz w:val="16"/>
                                  <w:szCs w:val="16"/>
                                </w:rPr>
                                <w:t xml:space="preserve">AER determines </w:t>
                              </w:r>
                              <w:r>
                                <w:rPr>
                                  <w:rFonts w:ascii="Tunga" w:eastAsia="Calibri" w:hAnsi="Tunga" w:cs="Tunga"/>
                                  <w:b/>
                                  <w:color w:val="FFFFFF"/>
                                  <w:sz w:val="16"/>
                                  <w:szCs w:val="16"/>
                                </w:rPr>
                                <w:t>cost reductions</w:t>
                              </w:r>
                            </w:p>
                            <w:p w:rsidR="00802EA1" w:rsidRDefault="00802EA1" w:rsidP="00802EA1">
                              <w:pPr>
                                <w:pStyle w:val="NormalWeb"/>
                                <w:spacing w:before="0" w:beforeAutospacing="0" w:after="0" w:afterAutospacing="0" w:line="276" w:lineRule="auto"/>
                                <w:rPr>
                                  <w:rFonts w:ascii="Tunga" w:eastAsia="Calibri" w:hAnsi="Tunga" w:cs="Tunga"/>
                                  <w:color w:val="FFFFFF"/>
                                  <w:sz w:val="16"/>
                                  <w:szCs w:val="16"/>
                                </w:rPr>
                              </w:pPr>
                              <w:r>
                                <w:rPr>
                                  <w:rFonts w:ascii="Tunga" w:eastAsia="Calibri" w:hAnsi="Tunga" w:cs="Tunga"/>
                                  <w:color w:val="FFFFFF"/>
                                  <w:sz w:val="16"/>
                                  <w:szCs w:val="16"/>
                                </w:rPr>
                                <w:t>W</w:t>
                              </w:r>
                              <w:r w:rsidRPr="007B28D5">
                                <w:rPr>
                                  <w:rFonts w:ascii="Tunga" w:eastAsia="Calibri" w:hAnsi="Tunga" w:cs="Tunga"/>
                                  <w:color w:val="FFFFFF"/>
                                  <w:sz w:val="16"/>
                                  <w:szCs w:val="16"/>
                                </w:rPr>
                                <w:t xml:space="preserve">e will reduce a service provider's regulated revenues by </w:t>
                              </w:r>
                              <w:r>
                                <w:rPr>
                                  <w:rFonts w:ascii="Tunga" w:eastAsia="Calibri" w:hAnsi="Tunga" w:cs="Tunga"/>
                                  <w:color w:val="FFFFFF"/>
                                  <w:sz w:val="16"/>
                                  <w:szCs w:val="16"/>
                                </w:rPr>
                                <w:t>10%</w:t>
                              </w:r>
                              <w:r w:rsidRPr="007B28D5">
                                <w:rPr>
                                  <w:rFonts w:ascii="Tunga" w:eastAsia="Calibri" w:hAnsi="Tunga" w:cs="Tunga"/>
                                  <w:color w:val="FFFFFF"/>
                                  <w:sz w:val="16"/>
                                  <w:szCs w:val="16"/>
                                </w:rPr>
                                <w:t xml:space="preserve"> of the value of unregulated revenues earned </w:t>
                              </w:r>
                              <w:r>
                                <w:rPr>
                                  <w:rFonts w:ascii="Tunga" w:eastAsia="Calibri" w:hAnsi="Tunga" w:cs="Tunga"/>
                                  <w:color w:val="FFFFFF"/>
                                  <w:sz w:val="16"/>
                                  <w:szCs w:val="16"/>
                                </w:rPr>
                                <w:t>from</w:t>
                              </w:r>
                              <w:r w:rsidRPr="007B28D5">
                                <w:rPr>
                                  <w:rFonts w:ascii="Tunga" w:eastAsia="Calibri" w:hAnsi="Tunga" w:cs="Tunga"/>
                                  <w:color w:val="FFFFFF"/>
                                  <w:sz w:val="16"/>
                                  <w:szCs w:val="16"/>
                                </w:rPr>
                                <w:t xml:space="preserve"> shared assets.</w:t>
                              </w:r>
                            </w:p>
                            <w:p w:rsidR="00802EA1" w:rsidRPr="00AE5960" w:rsidRDefault="00802EA1" w:rsidP="00802EA1">
                              <w:pPr>
                                <w:pStyle w:val="NormalWeb"/>
                                <w:spacing w:before="0" w:beforeAutospacing="0" w:after="0" w:afterAutospacing="0" w:line="276" w:lineRule="auto"/>
                                <w:rPr>
                                  <w:rFonts w:ascii="Tunga" w:hAnsi="Tunga" w:cs="Tunga"/>
                                  <w:sz w:val="16"/>
                                  <w:szCs w:val="16"/>
                                </w:rPr>
                              </w:pPr>
                            </w:p>
                          </w:txbxContent>
                        </wps:txbx>
                        <wps:bodyPr rot="0" vert="horz" wrap="square" lIns="91440" tIns="36000" rIns="91440" bIns="36000" anchor="ctr" anchorCtr="0" upright="1">
                          <a:noAutofit/>
                        </wps:bodyPr>
                      </wps:wsp>
                      <wps:wsp>
                        <wps:cNvPr id="19" name="Rectangle 19"/>
                        <wps:cNvSpPr>
                          <a:spLocks noChangeArrowheads="1"/>
                        </wps:cNvSpPr>
                        <wps:spPr bwMode="auto">
                          <a:xfrm>
                            <a:off x="3811887" y="2162817"/>
                            <a:ext cx="2743835" cy="535542"/>
                          </a:xfrm>
                          <a:prstGeom prst="rect">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802EA1" w:rsidRPr="00BE4E13" w:rsidRDefault="00802EA1" w:rsidP="00802EA1">
                              <w:pPr>
                                <w:pStyle w:val="NormalWeb"/>
                                <w:spacing w:before="0" w:beforeAutospacing="0" w:after="0" w:afterAutospacing="0" w:line="276" w:lineRule="auto"/>
                                <w:rPr>
                                  <w:rFonts w:ascii="Tunga" w:eastAsia="Calibri" w:hAnsi="Tunga" w:cs="Tunga"/>
                                  <w:b/>
                                  <w:color w:val="000000"/>
                                  <w:sz w:val="16"/>
                                  <w:szCs w:val="16"/>
                                </w:rPr>
                              </w:pPr>
                              <w:r w:rsidRPr="00BE4E13">
                                <w:rPr>
                                  <w:rFonts w:ascii="Tunga" w:eastAsia="Calibri" w:hAnsi="Tunga" w:cs="Tunga"/>
                                  <w:b/>
                                  <w:color w:val="000000"/>
                                  <w:sz w:val="16"/>
                                  <w:szCs w:val="16"/>
                                </w:rPr>
                                <w:t>Consumers share benefits with the service provider</w:t>
                              </w:r>
                            </w:p>
                            <w:p w:rsidR="00802EA1" w:rsidRPr="00AE5960" w:rsidRDefault="00802EA1" w:rsidP="00802EA1">
                              <w:pPr>
                                <w:pStyle w:val="NormalWeb"/>
                                <w:spacing w:before="0" w:beforeAutospacing="0" w:after="0" w:afterAutospacing="0" w:line="276" w:lineRule="auto"/>
                                <w:rPr>
                                  <w:rFonts w:ascii="Tunga" w:eastAsia="Calibri" w:hAnsi="Tunga" w:cs="Tunga"/>
                                  <w:color w:val="000000"/>
                                  <w:sz w:val="16"/>
                                  <w:szCs w:val="16"/>
                                </w:rPr>
                              </w:pPr>
                              <w:r w:rsidRPr="00AE5960">
                                <w:rPr>
                                  <w:rFonts w:ascii="Tunga" w:eastAsia="Calibri" w:hAnsi="Tunga" w:cs="Tunga"/>
                                  <w:color w:val="000000"/>
                                  <w:sz w:val="16"/>
                                  <w:szCs w:val="16"/>
                                </w:rPr>
                                <w:t xml:space="preserve">The AER reduces the annual revenue the service provider requires. </w:t>
                              </w:r>
                            </w:p>
                          </w:txbxContent>
                        </wps:txbx>
                        <wps:bodyPr rot="0" vert="horz" wrap="square" lIns="91440" tIns="36000" rIns="91440" bIns="36000" anchor="ctr" anchorCtr="0" upright="1">
                          <a:noAutofit/>
                        </wps:bodyPr>
                      </wps:wsp>
                      <wps:wsp>
                        <wps:cNvPr id="20" name="Elbow Connector 20"/>
                        <wps:cNvCnPr>
                          <a:cxnSpLocks noChangeShapeType="1"/>
                          <a:stCxn id="15" idx="2"/>
                        </wps:cNvCnPr>
                        <wps:spPr bwMode="auto">
                          <a:xfrm rot="5400000">
                            <a:off x="1562161" y="1112085"/>
                            <a:ext cx="216413" cy="3"/>
                          </a:xfrm>
                          <a:prstGeom prst="bentConnector3">
                            <a:avLst>
                              <a:gd name="adj1" fmla="val 50000"/>
                            </a:avLst>
                          </a:prstGeom>
                          <a:noFill/>
                          <a:ln w="12700" algn="ctr">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22"/>
                        <wps:cNvCnPr>
                          <a:cxnSpLocks noChangeShapeType="1"/>
                          <a:stCxn id="17" idx="0"/>
                          <a:endCxn id="18" idx="1"/>
                        </wps:cNvCnPr>
                        <wps:spPr bwMode="auto">
                          <a:xfrm rot="5400000" flipH="1" flipV="1">
                            <a:off x="3538638" y="995895"/>
                            <a:ext cx="319519" cy="484826"/>
                          </a:xfrm>
                          <a:prstGeom prst="bentConnector2">
                            <a:avLst/>
                          </a:prstGeom>
                          <a:noFill/>
                          <a:ln w="12700" algn="ctr">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2" name="Elbow Connector 24"/>
                        <wps:cNvCnPr>
                          <a:cxnSpLocks noChangeShapeType="1"/>
                          <a:stCxn id="18" idx="2"/>
                          <a:endCxn id="19" idx="0"/>
                        </wps:cNvCnPr>
                        <wps:spPr bwMode="auto">
                          <a:xfrm rot="16200000" flipH="1">
                            <a:off x="4805984" y="1784999"/>
                            <a:ext cx="754387" cy="1248"/>
                          </a:xfrm>
                          <a:prstGeom prst="bentConnector3">
                            <a:avLst>
                              <a:gd name="adj1" fmla="val 50000"/>
                            </a:avLst>
                          </a:prstGeom>
                          <a:noFill/>
                          <a:ln w="12700" algn="ctr">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3" name="Elbow Connector 25"/>
                        <wps:cNvCnPr>
                          <a:cxnSpLocks noChangeShapeType="1"/>
                          <a:stCxn id="16" idx="2"/>
                          <a:endCxn id="17" idx="2"/>
                        </wps:cNvCnPr>
                        <wps:spPr bwMode="auto">
                          <a:xfrm rot="5400000" flipH="1" flipV="1">
                            <a:off x="2447327" y="895708"/>
                            <a:ext cx="249160" cy="1768154"/>
                          </a:xfrm>
                          <a:prstGeom prst="bentConnector3">
                            <a:avLst>
                              <a:gd name="adj1" fmla="val -91748"/>
                            </a:avLst>
                          </a:prstGeom>
                          <a:noFill/>
                          <a:ln w="12700" algn="ctr">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4" name="Rectangle 14"/>
                        <wps:cNvSpPr>
                          <a:spLocks noChangeArrowheads="1"/>
                        </wps:cNvSpPr>
                        <wps:spPr bwMode="auto">
                          <a:xfrm>
                            <a:off x="243205" y="0"/>
                            <a:ext cx="6181090" cy="375920"/>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802EA1" w:rsidRPr="004B513B" w:rsidRDefault="00802EA1" w:rsidP="00802EA1">
                              <w:pPr>
                                <w:pStyle w:val="AERFactsheetHeading1"/>
                                <w:rPr>
                                  <w:rStyle w:val="AERtextbold"/>
                                  <w:b/>
                                </w:rPr>
                              </w:pPr>
                              <w:r w:rsidRPr="004B513B">
                                <w:rPr>
                                  <w:rStyle w:val="AERtextbold"/>
                                  <w:b/>
                                </w:rPr>
                                <w:t>How consumers and service providers will benefit from shared assets</w:t>
                              </w:r>
                            </w:p>
                          </w:txbxContent>
                        </wps:txbx>
                        <wps:bodyPr rot="0" vert="horz" wrap="square" lIns="91440" tIns="36000" rIns="91440" bIns="36000" anchor="ctr" anchorCtr="0" upright="1">
                          <a:noAutofit/>
                        </wps:bodyPr>
                      </wps:wsp>
                      <wps:wsp>
                        <wps:cNvPr id="25" name="Rounded Rectangle 16"/>
                        <wps:cNvSpPr>
                          <a:spLocks noChangeArrowheads="1"/>
                        </wps:cNvSpPr>
                        <wps:spPr bwMode="auto">
                          <a:xfrm>
                            <a:off x="403860" y="2449195"/>
                            <a:ext cx="378460" cy="249555"/>
                          </a:xfrm>
                          <a:prstGeom prst="roundRect">
                            <a:avLst>
                              <a:gd name="adj" fmla="val 16667"/>
                            </a:avLst>
                          </a:prstGeom>
                          <a:solidFill>
                            <a:srgbClr val="006A99"/>
                          </a:solidFill>
                          <a:ln>
                            <a:noFill/>
                          </a:ln>
                          <a:extLst>
                            <a:ext uri="{91240B29-F687-4F45-9708-019B960494DF}">
                              <a14:hiddenLine xmlns:a14="http://schemas.microsoft.com/office/drawing/2010/main" w="25400" algn="ctr">
                                <a:solidFill>
                                  <a:srgbClr val="000000"/>
                                </a:solidFill>
                                <a:round/>
                                <a:headEnd/>
                                <a:tailEnd/>
                              </a14:hiddenLine>
                            </a:ext>
                          </a:extLst>
                        </wps:spPr>
                        <wps:txbx>
                          <w:txbxContent>
                            <w:p w:rsidR="00802EA1" w:rsidRPr="00AE5960" w:rsidRDefault="00802EA1" w:rsidP="00802EA1">
                              <w:pPr>
                                <w:pStyle w:val="Default"/>
                                <w:spacing w:line="276" w:lineRule="auto"/>
                                <w:jc w:val="center"/>
                                <w:rPr>
                                  <w:rFonts w:ascii="Tunga" w:hAnsi="Tunga" w:cs="Tunga"/>
                                  <w:sz w:val="16"/>
                                  <w:szCs w:val="16"/>
                                </w:rPr>
                              </w:pPr>
                              <w:r w:rsidRPr="00AE5960">
                                <w:rPr>
                                  <w:rFonts w:ascii="Tunga" w:eastAsia="Calibri" w:hAnsi="Tunga" w:cs="Tunga"/>
                                  <w:color w:val="FFFFFF"/>
                                  <w:sz w:val="16"/>
                                  <w:szCs w:val="16"/>
                                </w:rPr>
                                <w:t>No</w:t>
                              </w:r>
                            </w:p>
                          </w:txbxContent>
                        </wps:txbx>
                        <wps:bodyPr rot="0" vert="horz" wrap="square" lIns="91440" tIns="45720" rIns="91440" bIns="45720" anchor="ctr" anchorCtr="0" upright="1">
                          <a:noAutofit/>
                        </wps:bodyPr>
                      </wps:wsp>
                      <wps:wsp>
                        <wps:cNvPr id="26" name="Rectangle 15"/>
                        <wps:cNvSpPr>
                          <a:spLocks noChangeArrowheads="1"/>
                        </wps:cNvSpPr>
                        <wps:spPr bwMode="auto">
                          <a:xfrm>
                            <a:off x="1111885" y="2333625"/>
                            <a:ext cx="1457325" cy="483870"/>
                          </a:xfrm>
                          <a:prstGeom prst="rect">
                            <a:avLst/>
                          </a:prstGeom>
                          <a:solidFill>
                            <a:srgbClr val="DBE5F1"/>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802EA1" w:rsidRPr="00BE4E13" w:rsidRDefault="00802EA1" w:rsidP="00802EA1">
                              <w:pPr>
                                <w:pStyle w:val="NormalWeb"/>
                                <w:spacing w:before="0" w:beforeAutospacing="0" w:after="0" w:afterAutospacing="0" w:line="276" w:lineRule="auto"/>
                                <w:rPr>
                                  <w:rFonts w:ascii="Tunga" w:eastAsia="Calibri" w:hAnsi="Tunga" w:cs="Tunga"/>
                                  <w:b/>
                                  <w:color w:val="000000"/>
                                  <w:sz w:val="16"/>
                                  <w:szCs w:val="16"/>
                                </w:rPr>
                              </w:pPr>
                              <w:r w:rsidRPr="00BE4E13">
                                <w:rPr>
                                  <w:rFonts w:ascii="Tunga" w:eastAsia="Calibri" w:hAnsi="Tunga" w:cs="Tunga"/>
                                  <w:b/>
                                  <w:color w:val="000000"/>
                                  <w:sz w:val="16"/>
                                  <w:szCs w:val="16"/>
                                </w:rPr>
                                <w:t xml:space="preserve">No further action </w:t>
                              </w:r>
                              <w:r>
                                <w:rPr>
                                  <w:rFonts w:ascii="Tunga" w:eastAsia="Calibri" w:hAnsi="Tunga" w:cs="Tunga"/>
                                  <w:b/>
                                  <w:color w:val="000000"/>
                                  <w:sz w:val="16"/>
                                  <w:szCs w:val="16"/>
                                </w:rPr>
                                <w:t>needed</w:t>
                              </w:r>
                              <w:r w:rsidRPr="00BE4E13">
                                <w:rPr>
                                  <w:rFonts w:ascii="Tunga" w:eastAsia="Calibri" w:hAnsi="Tunga" w:cs="Tunga"/>
                                  <w:b/>
                                  <w:color w:val="000000"/>
                                  <w:sz w:val="16"/>
                                  <w:szCs w:val="16"/>
                                </w:rPr>
                                <w:t xml:space="preserve">. </w:t>
                              </w:r>
                            </w:p>
                            <w:p w:rsidR="00802EA1" w:rsidRPr="00AE5960" w:rsidRDefault="00802EA1" w:rsidP="00802EA1">
                              <w:pPr>
                                <w:pStyle w:val="NormalWeb"/>
                                <w:spacing w:before="0" w:beforeAutospacing="0" w:after="0" w:afterAutospacing="0" w:line="276" w:lineRule="auto"/>
                                <w:rPr>
                                  <w:rFonts w:ascii="Tunga" w:eastAsia="Calibri" w:hAnsi="Tunga" w:cs="Tunga"/>
                                  <w:color w:val="000000"/>
                                  <w:sz w:val="16"/>
                                  <w:szCs w:val="16"/>
                                </w:rPr>
                              </w:pPr>
                              <w:r w:rsidRPr="00AE5960">
                                <w:rPr>
                                  <w:rFonts w:ascii="Tunga" w:eastAsia="Calibri" w:hAnsi="Tunga" w:cs="Tunga"/>
                                  <w:color w:val="000000"/>
                                  <w:sz w:val="16"/>
                                  <w:szCs w:val="16"/>
                                </w:rPr>
                                <w:t>The benefit</w:t>
                              </w:r>
                              <w:r>
                                <w:rPr>
                                  <w:rFonts w:ascii="Tunga" w:eastAsia="Calibri" w:hAnsi="Tunga" w:cs="Tunga"/>
                                  <w:color w:val="000000"/>
                                  <w:sz w:val="16"/>
                                  <w:szCs w:val="16"/>
                                </w:rPr>
                                <w:t xml:space="preserve"> from the shared assets is </w:t>
                              </w:r>
                              <w:r w:rsidRPr="00AE5960">
                                <w:rPr>
                                  <w:rFonts w:ascii="Tunga" w:eastAsia="Calibri" w:hAnsi="Tunga" w:cs="Tunga"/>
                                  <w:color w:val="000000"/>
                                  <w:sz w:val="16"/>
                                  <w:szCs w:val="16"/>
                                </w:rPr>
                                <w:t xml:space="preserve">not significant. </w:t>
                              </w:r>
                            </w:p>
                            <w:p w:rsidR="00802EA1" w:rsidRPr="00AE5960" w:rsidRDefault="00802EA1" w:rsidP="00802EA1">
                              <w:pPr>
                                <w:pStyle w:val="Default"/>
                                <w:spacing w:line="276" w:lineRule="auto"/>
                                <w:rPr>
                                  <w:rFonts w:ascii="Tunga" w:hAnsi="Tunga" w:cs="Tunga"/>
                                  <w:sz w:val="16"/>
                                  <w:szCs w:val="16"/>
                                </w:rPr>
                              </w:pPr>
                            </w:p>
                          </w:txbxContent>
                        </wps:txbx>
                        <wps:bodyPr rot="0" vert="horz" wrap="square" lIns="91440" tIns="36000" rIns="91440" bIns="36000" anchor="ctr" anchorCtr="0" upright="1">
                          <a:noAutofit/>
                        </wps:bodyPr>
                      </wps:wsp>
                      <wps:wsp>
                        <wps:cNvPr id="27" name="AutoShape 28"/>
                        <wps:cNvCnPr>
                          <a:cxnSpLocks noChangeShapeType="1"/>
                          <a:stCxn id="16" idx="1"/>
                          <a:endCxn id="25" idx="1"/>
                        </wps:cNvCnPr>
                        <wps:spPr bwMode="auto">
                          <a:xfrm rot="10800000" flipV="1">
                            <a:off x="403860" y="1562735"/>
                            <a:ext cx="101600" cy="1011555"/>
                          </a:xfrm>
                          <a:prstGeom prst="bentConnector3">
                            <a:avLst>
                              <a:gd name="adj1" fmla="val 325000"/>
                            </a:avLst>
                          </a:prstGeom>
                          <a:noFill/>
                          <a:ln w="12700">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29"/>
                        <wps:cNvCnPr>
                          <a:cxnSpLocks noChangeShapeType="1"/>
                          <a:stCxn id="25" idx="3"/>
                          <a:endCxn id="26" idx="1"/>
                        </wps:cNvCnPr>
                        <wps:spPr bwMode="auto">
                          <a:xfrm>
                            <a:off x="782320" y="2574290"/>
                            <a:ext cx="329565" cy="1270"/>
                          </a:xfrm>
                          <a:prstGeom prst="bentConnector3">
                            <a:avLst>
                              <a:gd name="adj1" fmla="val 49903"/>
                            </a:avLst>
                          </a:prstGeom>
                          <a:noFill/>
                          <a:ln w="12700">
                            <a:solidFill>
                              <a:srgbClr val="006A99"/>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29" o:spid="_x0000_s1035" editas="canvas" style="position:absolute;margin-left:-12.1pt;margin-top:79.4pt;width:522.7pt;height:248.6pt;z-index:251671552;mso-position-horizontal-relative:text;mso-position-vertical-relative:page" coordsize="66382,3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6382;height:31565;visibility:visible;mso-wrap-style:square">
                  <v:fill o:detectmouseclick="t"/>
                  <v:path o:connecttype="none"/>
                </v:shape>
                <v:rect id="Rectangle 14" o:spid="_x0000_s1037" style="position:absolute;left:5054;top:3904;width:23298;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3xMIA&#10;AADbAAAADwAAAGRycy9kb3ducmV2LnhtbERP32vCMBB+F/wfwg1803SC4mpTGcrYGAy3VoaPR3Nr&#10;i82lJFG7/34ZCL7dx/fzss1gOnEh51vLCh5nCQjiyuqWawWH8mW6AuEDssbOMin4JQ+bfDzKMNX2&#10;yl90KUItYgj7FBU0IfSplL5qyKCf2Z44cj/WGQwRulpqh9cYbjo5T5KlNNhybGiwp21D1ak4GwXf&#10;r0/L2hZ7XS7ek+Pp4+A+d6VTavIwPK9BBBrCXXxzv+k4fwH/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7fEwgAAANsAAAAPAAAAAAAAAAAAAAAAAJgCAABkcnMvZG93&#10;bnJldi54bWxQSwUGAAAAAAQABAD1AAAAhwMAAAAA&#10;" fillcolor="#006a99" stroked="f" strokeweight="2pt">
                  <v:textbox inset=",1mm,,1mm">
                    <w:txbxContent>
                      <w:p w:rsidR="00802EA1" w:rsidRPr="00AE5960" w:rsidRDefault="00802EA1" w:rsidP="00802EA1">
                        <w:pPr>
                          <w:pStyle w:val="NormalWeb"/>
                          <w:spacing w:before="0" w:beforeAutospacing="0" w:after="0" w:afterAutospacing="0" w:line="276" w:lineRule="auto"/>
                          <w:rPr>
                            <w:rFonts w:ascii="Tunga" w:eastAsia="Calibri" w:hAnsi="Tunga" w:cs="Tunga"/>
                            <w:b/>
                            <w:color w:val="FFFFFF"/>
                            <w:sz w:val="16"/>
                            <w:szCs w:val="16"/>
                          </w:rPr>
                        </w:pPr>
                        <w:r w:rsidRPr="00AE5960">
                          <w:rPr>
                            <w:rFonts w:ascii="Tunga" w:eastAsia="Calibri" w:hAnsi="Tunga" w:cs="Tunga"/>
                            <w:b/>
                            <w:color w:val="FFFFFF"/>
                            <w:sz w:val="16"/>
                            <w:szCs w:val="16"/>
                          </w:rPr>
                          <w:t xml:space="preserve">Are there any shared asset revenues? </w:t>
                        </w:r>
                      </w:p>
                      <w:p w:rsidR="00802EA1" w:rsidRPr="00AE5960" w:rsidRDefault="00802EA1" w:rsidP="00802EA1">
                        <w:pPr>
                          <w:pStyle w:val="NormalWeb"/>
                          <w:spacing w:before="0" w:beforeAutospacing="0" w:after="0" w:afterAutospacing="0" w:line="276" w:lineRule="auto"/>
                          <w:rPr>
                            <w:rFonts w:ascii="Tunga" w:hAnsi="Tunga" w:cs="Tunga"/>
                            <w:sz w:val="16"/>
                            <w:szCs w:val="16"/>
                          </w:rPr>
                        </w:pPr>
                        <w:r w:rsidRPr="00AE5960">
                          <w:rPr>
                            <w:rFonts w:ascii="Tunga" w:eastAsia="Calibri" w:hAnsi="Tunga" w:cs="Tunga"/>
                            <w:color w:val="FFFFFF"/>
                            <w:sz w:val="16"/>
                            <w:szCs w:val="16"/>
                          </w:rPr>
                          <w:t>Does the service provider expect to earn any additional</w:t>
                        </w:r>
                        <w:r>
                          <w:rPr>
                            <w:rFonts w:ascii="Tunga" w:eastAsia="Calibri" w:hAnsi="Tunga" w:cs="Tunga"/>
                            <w:color w:val="FFFFFF"/>
                            <w:sz w:val="16"/>
                            <w:szCs w:val="16"/>
                          </w:rPr>
                          <w:t xml:space="preserve"> revenue from its shared assets in the next regulatory period?</w:t>
                        </w:r>
                      </w:p>
                    </w:txbxContent>
                  </v:textbox>
                </v:rect>
                <v:rect id="Rectangle 15" o:spid="_x0000_s1038" style="position:absolute;left:5054;top:12204;width:23648;height:6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ps8IA&#10;AADbAAAADwAAAGRycy9kb3ducmV2LnhtbERP32vCMBB+H+x/CDfwTdMJlq0aZWyIIoy5VsTHoznb&#10;YnMpSdT635uBsLf7+H7ebNGbVlzI+caygtdRAoK4tLrhSsGuWA7fQPiArLG1TApu5GExf36aYabt&#10;lX/pkodKxBD2GSqoQ+gyKX1Zk0E/sh1x5I7WGQwRukpqh9cYblo5TpJUGmw4NtTY0WdN5Sk/GwX7&#10;1Xta2fxHF5NNcjh979z2q3BKDV76jymIQH34Fz/cax3np/D3Sz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6SmzwgAAANsAAAAPAAAAAAAAAAAAAAAAAJgCAABkcnMvZG93&#10;bnJldi54bWxQSwUGAAAAAAQABAD1AAAAhwMAAAAA&#10;" fillcolor="#006a99" stroked="f" strokeweight="2pt">
                  <v:textbox inset=",1mm,,1mm">
                    <w:txbxContent>
                      <w:p w:rsidR="00802EA1" w:rsidRPr="00D75A1F" w:rsidRDefault="00802EA1" w:rsidP="00802EA1">
                        <w:pPr>
                          <w:pStyle w:val="NormalWeb"/>
                          <w:spacing w:before="0" w:beforeAutospacing="0" w:after="0" w:afterAutospacing="0" w:line="276" w:lineRule="auto"/>
                          <w:rPr>
                            <w:rFonts w:ascii="Tunga" w:eastAsia="Calibri" w:hAnsi="Tunga" w:cs="Tunga"/>
                            <w:b/>
                            <w:color w:val="FFFFFF"/>
                            <w:sz w:val="16"/>
                            <w:szCs w:val="16"/>
                          </w:rPr>
                        </w:pPr>
                        <w:r w:rsidRPr="00D75A1F">
                          <w:rPr>
                            <w:rFonts w:ascii="Tunga" w:eastAsia="Calibri" w:hAnsi="Tunga" w:cs="Tunga"/>
                            <w:b/>
                            <w:color w:val="FFFFFF"/>
                            <w:sz w:val="16"/>
                            <w:szCs w:val="16"/>
                          </w:rPr>
                          <w:t>Will the revenues be significant?</w:t>
                        </w:r>
                      </w:p>
                      <w:p w:rsidR="00802EA1" w:rsidRPr="00AE5960" w:rsidRDefault="00802EA1" w:rsidP="00802EA1">
                        <w:pPr>
                          <w:pStyle w:val="NormalWeb"/>
                          <w:spacing w:before="0" w:beforeAutospacing="0" w:after="0" w:afterAutospacing="0" w:line="276" w:lineRule="auto"/>
                          <w:rPr>
                            <w:rFonts w:ascii="Tunga" w:hAnsi="Tunga" w:cs="Tunga"/>
                            <w:sz w:val="16"/>
                            <w:szCs w:val="16"/>
                          </w:rPr>
                        </w:pPr>
                        <w:r w:rsidRPr="00AE5960">
                          <w:rPr>
                            <w:rFonts w:ascii="Tunga" w:eastAsia="Calibri" w:hAnsi="Tunga" w:cs="Tunga"/>
                            <w:color w:val="FFFFFF"/>
                            <w:sz w:val="16"/>
                            <w:szCs w:val="16"/>
                          </w:rPr>
                          <w:t xml:space="preserve">Is the amount of expected additional revenue </w:t>
                        </w:r>
                        <w:r>
                          <w:rPr>
                            <w:rFonts w:ascii="Tunga" w:eastAsia="Calibri" w:hAnsi="Tunga" w:cs="Tunga"/>
                            <w:color w:val="FFFFFF"/>
                            <w:sz w:val="16"/>
                            <w:szCs w:val="16"/>
                          </w:rPr>
                          <w:t>material</w:t>
                        </w:r>
                        <w:r w:rsidRPr="00AE5960">
                          <w:rPr>
                            <w:rFonts w:ascii="Tunga" w:eastAsia="Calibri" w:hAnsi="Tunga" w:cs="Tunga"/>
                            <w:color w:val="FFFFFF"/>
                            <w:sz w:val="16"/>
                            <w:szCs w:val="16"/>
                          </w:rPr>
                          <w:t>? That is, greater than 1% of the</w:t>
                        </w:r>
                        <w:r>
                          <w:rPr>
                            <w:rFonts w:ascii="Tunga" w:eastAsia="Calibri" w:hAnsi="Tunga" w:cs="Tunga"/>
                            <w:color w:val="FFFFFF"/>
                            <w:sz w:val="16"/>
                            <w:szCs w:val="16"/>
                          </w:rPr>
                          <w:t xml:space="preserve"> </w:t>
                        </w:r>
                        <w:r w:rsidRPr="00AE5960">
                          <w:rPr>
                            <w:rFonts w:ascii="Tunga" w:eastAsia="Calibri" w:hAnsi="Tunga" w:cs="Tunga"/>
                            <w:color w:val="FFFFFF"/>
                            <w:sz w:val="16"/>
                            <w:szCs w:val="16"/>
                          </w:rPr>
                          <w:t>annual revenue the service provider requires?</w:t>
                        </w:r>
                      </w:p>
                    </w:txbxContent>
                  </v:textbox>
                </v:rect>
                <v:roundrect id="Rounded Rectangle 16" o:spid="_x0000_s1039" style="position:absolute;left:32238;top:13980;width:4642;height:2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gWsEA&#10;AADbAAAADwAAAGRycy9kb3ducmV2LnhtbERP32vCMBB+H/g/hBN8m6kbbFJNiwzH3MtgVXw+m7Mp&#10;NpeSZFr965fBwLf7+H7eshxsJ87kQ+tYwWyagSCunW65UbDbvj/OQYSIrLFzTAquFKAsRg9LzLW7&#10;8Dedq9iIFMIhRwUmxj6XMtSGLIap64kTd3TeYkzQN1J7vKRw28mnLHuRFltODQZ7ejNUn6ofq2DY&#10;m3X7Of/4qp2vbmsp+XC0z0pNxsNqASLSEO/if/dGp/mv8PdLOk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j4FrBAAAA2wAAAA8AAAAAAAAAAAAAAAAAmAIAAGRycy9kb3du&#10;cmV2LnhtbFBLBQYAAAAABAAEAPUAAACGAwAAAAA=&#10;" fillcolor="#006a99" stroked="f" strokeweight="2pt">
                  <v:textbox>
                    <w:txbxContent>
                      <w:p w:rsidR="00802EA1" w:rsidRPr="00AE5960" w:rsidRDefault="00802EA1" w:rsidP="00802EA1">
                        <w:pPr>
                          <w:pStyle w:val="NormalWeb"/>
                          <w:spacing w:before="0" w:beforeAutospacing="0" w:after="0" w:afterAutospacing="0" w:line="276" w:lineRule="auto"/>
                          <w:jc w:val="center"/>
                          <w:rPr>
                            <w:rFonts w:ascii="Tunga" w:hAnsi="Tunga" w:cs="Tunga"/>
                            <w:sz w:val="16"/>
                            <w:szCs w:val="16"/>
                          </w:rPr>
                        </w:pPr>
                        <w:r w:rsidRPr="00AE5960">
                          <w:rPr>
                            <w:rFonts w:ascii="Tunga" w:eastAsia="Calibri" w:hAnsi="Tunga" w:cs="Tunga"/>
                            <w:color w:val="FFFFFF"/>
                            <w:sz w:val="16"/>
                            <w:szCs w:val="16"/>
                          </w:rPr>
                          <w:t>Yes</w:t>
                        </w:r>
                      </w:p>
                    </w:txbxContent>
                  </v:textbox>
                </v:roundrect>
                <v:rect id="Rectangle 17" o:spid="_x0000_s1040" style="position:absolute;left:39408;top:7486;width:24834;height:6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YWsUA&#10;AADbAAAADwAAAGRycy9kb3ducmV2LnhtbESPQUvDQBCF74L/YZmCN7OpYNHYTSiKKIJUkyIeh+w0&#10;Cc3Oht21jf/eORS8zfDevPfNuprdqI4U4uDZwDLLQRG33g7cGdg1z9d3oGJCtjh6JgO/FKEqLy/W&#10;WFh/4k861qlTEsKxQAN9SlOhdWx7chgzPxGLtvfBYZI1dNoGPEm4G/VNnq+0w4GloceJHntqD/WP&#10;M/D1cr/qfL21ze1b/n1434WPpyYYc7WYNw+gEs3p33y+frWCL7Dyiwy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haxQAAANsAAAAPAAAAAAAAAAAAAAAAAJgCAABkcnMv&#10;ZG93bnJldi54bWxQSwUGAAAAAAQABAD1AAAAigMAAAAA&#10;" fillcolor="#006a99" stroked="f" strokeweight="2pt">
                  <v:textbox inset=",1mm,,1mm">
                    <w:txbxContent>
                      <w:p w:rsidR="00802EA1" w:rsidRPr="000E6C02" w:rsidRDefault="00802EA1" w:rsidP="00802EA1">
                        <w:pPr>
                          <w:pStyle w:val="NormalWeb"/>
                          <w:spacing w:before="0" w:beforeAutospacing="0" w:after="0" w:afterAutospacing="0" w:line="276" w:lineRule="auto"/>
                          <w:rPr>
                            <w:rFonts w:ascii="Tunga" w:eastAsia="Calibri" w:hAnsi="Tunga" w:cs="Tunga"/>
                            <w:b/>
                            <w:color w:val="FFFFFF"/>
                            <w:sz w:val="16"/>
                            <w:szCs w:val="16"/>
                          </w:rPr>
                        </w:pPr>
                        <w:r w:rsidRPr="000E6C02">
                          <w:rPr>
                            <w:rFonts w:ascii="Tunga" w:eastAsia="Calibri" w:hAnsi="Tunga" w:cs="Tunga"/>
                            <w:b/>
                            <w:color w:val="FFFFFF"/>
                            <w:sz w:val="16"/>
                            <w:szCs w:val="16"/>
                          </w:rPr>
                          <w:t xml:space="preserve">AER determines </w:t>
                        </w:r>
                        <w:r>
                          <w:rPr>
                            <w:rFonts w:ascii="Tunga" w:eastAsia="Calibri" w:hAnsi="Tunga" w:cs="Tunga"/>
                            <w:b/>
                            <w:color w:val="FFFFFF"/>
                            <w:sz w:val="16"/>
                            <w:szCs w:val="16"/>
                          </w:rPr>
                          <w:t>cost reductions</w:t>
                        </w:r>
                      </w:p>
                      <w:p w:rsidR="00802EA1" w:rsidRDefault="00802EA1" w:rsidP="00802EA1">
                        <w:pPr>
                          <w:pStyle w:val="NormalWeb"/>
                          <w:spacing w:before="0" w:beforeAutospacing="0" w:after="0" w:afterAutospacing="0" w:line="276" w:lineRule="auto"/>
                          <w:rPr>
                            <w:rFonts w:ascii="Tunga" w:eastAsia="Calibri" w:hAnsi="Tunga" w:cs="Tunga"/>
                            <w:color w:val="FFFFFF"/>
                            <w:sz w:val="16"/>
                            <w:szCs w:val="16"/>
                          </w:rPr>
                        </w:pPr>
                        <w:r>
                          <w:rPr>
                            <w:rFonts w:ascii="Tunga" w:eastAsia="Calibri" w:hAnsi="Tunga" w:cs="Tunga"/>
                            <w:color w:val="FFFFFF"/>
                            <w:sz w:val="16"/>
                            <w:szCs w:val="16"/>
                          </w:rPr>
                          <w:t>W</w:t>
                        </w:r>
                        <w:r w:rsidRPr="007B28D5">
                          <w:rPr>
                            <w:rFonts w:ascii="Tunga" w:eastAsia="Calibri" w:hAnsi="Tunga" w:cs="Tunga"/>
                            <w:color w:val="FFFFFF"/>
                            <w:sz w:val="16"/>
                            <w:szCs w:val="16"/>
                          </w:rPr>
                          <w:t xml:space="preserve">e will reduce a service provider's regulated revenues by </w:t>
                        </w:r>
                        <w:r>
                          <w:rPr>
                            <w:rFonts w:ascii="Tunga" w:eastAsia="Calibri" w:hAnsi="Tunga" w:cs="Tunga"/>
                            <w:color w:val="FFFFFF"/>
                            <w:sz w:val="16"/>
                            <w:szCs w:val="16"/>
                          </w:rPr>
                          <w:t>10%</w:t>
                        </w:r>
                        <w:r w:rsidRPr="007B28D5">
                          <w:rPr>
                            <w:rFonts w:ascii="Tunga" w:eastAsia="Calibri" w:hAnsi="Tunga" w:cs="Tunga"/>
                            <w:color w:val="FFFFFF"/>
                            <w:sz w:val="16"/>
                            <w:szCs w:val="16"/>
                          </w:rPr>
                          <w:t xml:space="preserve"> of the value of unregulated revenues earned </w:t>
                        </w:r>
                        <w:r>
                          <w:rPr>
                            <w:rFonts w:ascii="Tunga" w:eastAsia="Calibri" w:hAnsi="Tunga" w:cs="Tunga"/>
                            <w:color w:val="FFFFFF"/>
                            <w:sz w:val="16"/>
                            <w:szCs w:val="16"/>
                          </w:rPr>
                          <w:t>from</w:t>
                        </w:r>
                        <w:r w:rsidRPr="007B28D5">
                          <w:rPr>
                            <w:rFonts w:ascii="Tunga" w:eastAsia="Calibri" w:hAnsi="Tunga" w:cs="Tunga"/>
                            <w:color w:val="FFFFFF"/>
                            <w:sz w:val="16"/>
                            <w:szCs w:val="16"/>
                          </w:rPr>
                          <w:t xml:space="preserve"> shared assets.</w:t>
                        </w:r>
                      </w:p>
                      <w:p w:rsidR="00802EA1" w:rsidRPr="00AE5960" w:rsidRDefault="00802EA1" w:rsidP="00802EA1">
                        <w:pPr>
                          <w:pStyle w:val="NormalWeb"/>
                          <w:spacing w:before="0" w:beforeAutospacing="0" w:after="0" w:afterAutospacing="0" w:line="276" w:lineRule="auto"/>
                          <w:rPr>
                            <w:rFonts w:ascii="Tunga" w:hAnsi="Tunga" w:cs="Tunga"/>
                            <w:sz w:val="16"/>
                            <w:szCs w:val="16"/>
                          </w:rPr>
                        </w:pPr>
                      </w:p>
                    </w:txbxContent>
                  </v:textbox>
                </v:rect>
                <v:rect id="Rectangle 19" o:spid="_x0000_s1041" style="position:absolute;left:38118;top:21628;width:27439;height:5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5sX8IA&#10;AADbAAAADwAAAGRycy9kb3ducmV2LnhtbERPS2vCQBC+C/0PyxS86cYWraau0hYEEaX4OOQ4ZKdJ&#10;MDubZjcx/ntXELzNx/ec+bIzpWipdoVlBaNhBII4tbrgTMHpuBpMQTiPrLG0TAqu5GC5eOnNMdb2&#10;wntqDz4TIYRdjApy76tYSpfmZNANbUUcuD9bG/QB1pnUNV5CuCnlWxRNpMGCQ0OOFf3klJ4PjVHQ&#10;Jk2y+y90sv0drz+2zfve0eZbqf5r9/UJwlPnn+KHe63D/Bncfw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xfwgAAANsAAAAPAAAAAAAAAAAAAAAAAJgCAABkcnMvZG93&#10;bnJldi54bWxQSwUGAAAAAAQABAD1AAAAhwMAAAAA&#10;" fillcolor="#dbe5f1" stroked="f" strokeweight="2pt">
                  <v:textbox inset=",1mm,,1mm">
                    <w:txbxContent>
                      <w:p w:rsidR="00802EA1" w:rsidRPr="00BE4E13" w:rsidRDefault="00802EA1" w:rsidP="00802EA1">
                        <w:pPr>
                          <w:pStyle w:val="NormalWeb"/>
                          <w:spacing w:before="0" w:beforeAutospacing="0" w:after="0" w:afterAutospacing="0" w:line="276" w:lineRule="auto"/>
                          <w:rPr>
                            <w:rFonts w:ascii="Tunga" w:eastAsia="Calibri" w:hAnsi="Tunga" w:cs="Tunga"/>
                            <w:b/>
                            <w:color w:val="000000"/>
                            <w:sz w:val="16"/>
                            <w:szCs w:val="16"/>
                          </w:rPr>
                        </w:pPr>
                        <w:r w:rsidRPr="00BE4E13">
                          <w:rPr>
                            <w:rFonts w:ascii="Tunga" w:eastAsia="Calibri" w:hAnsi="Tunga" w:cs="Tunga"/>
                            <w:b/>
                            <w:color w:val="000000"/>
                            <w:sz w:val="16"/>
                            <w:szCs w:val="16"/>
                          </w:rPr>
                          <w:t>Consumers share benefits with the service provider</w:t>
                        </w:r>
                      </w:p>
                      <w:p w:rsidR="00802EA1" w:rsidRPr="00AE5960" w:rsidRDefault="00802EA1" w:rsidP="00802EA1">
                        <w:pPr>
                          <w:pStyle w:val="NormalWeb"/>
                          <w:spacing w:before="0" w:beforeAutospacing="0" w:after="0" w:afterAutospacing="0" w:line="276" w:lineRule="auto"/>
                          <w:rPr>
                            <w:rFonts w:ascii="Tunga" w:eastAsia="Calibri" w:hAnsi="Tunga" w:cs="Tunga"/>
                            <w:color w:val="000000"/>
                            <w:sz w:val="16"/>
                            <w:szCs w:val="16"/>
                          </w:rPr>
                        </w:pPr>
                        <w:r w:rsidRPr="00AE5960">
                          <w:rPr>
                            <w:rFonts w:ascii="Tunga" w:eastAsia="Calibri" w:hAnsi="Tunga" w:cs="Tunga"/>
                            <w:color w:val="000000"/>
                            <w:sz w:val="16"/>
                            <w:szCs w:val="16"/>
                          </w:rPr>
                          <w:t xml:space="preserve">The AER reduces the annual revenue the service provider requires.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42" type="#_x0000_t34" style="position:absolute;left:15621;top:11120;width:2164;height: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Y7MEAAADbAAAADwAAAGRycy9kb3ducmV2LnhtbERPTYvCMBC9C/sfwix4EZtaQaQaRQRB&#10;3ZPVPextaGabrs2kNFHrvzeHBY+P971c97YRd+p87VjBJElBEJdO11wpuJx34zkIH5A1No5JwZM8&#10;rFcfgyXm2j34RPciVCKGsM9RgQmhzaX0pSGLPnEtceR+XWcxRNhVUnf4iOG2kVmazqTFmmODwZa2&#10;hsprcbMKfr6fh2P2N7VmU1/TY/E1ClM9Umr42W8WIAL14S3+d++1giyuj1/iD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SdjswQAAANsAAAAPAAAAAAAAAAAAAAAA&#10;AKECAABkcnMvZG93bnJldi54bWxQSwUGAAAAAAQABAD5AAAAjwMAAAAA&#10;" strokecolor="#006a99" strokeweight="1pt">
                  <v:stroke endarrow="block"/>
                </v:shape>
                <v:shapetype id="_x0000_t33" coordsize="21600,21600" o:spt="33" o:oned="t" path="m,l21600,r,21600e" filled="f">
                  <v:stroke joinstyle="miter"/>
                  <v:path arrowok="t" fillok="f" o:connecttype="none"/>
                  <o:lock v:ext="edit" shapetype="t"/>
                </v:shapetype>
                <v:shape id="Straight Arrow Connector 22" o:spid="_x0000_s1043" type="#_x0000_t33" style="position:absolute;left:35386;top:9958;width:3195;height:484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VKu8IAAADbAAAADwAAAGRycy9kb3ducmV2LnhtbESPQYvCMBSE7wv+h/AEb2taD1KqUUTU&#10;Ffakqwdvj+bZFJuX0GRr/febhYU9DjPzDbNcD7YVPXWhcawgn2YgiCunG64VXL727wWIEJE1to5J&#10;wYsCrFejtyWW2j35RP051iJBOJSowMToSylDZchimDpPnLy76yzGJLta6g6fCW5bOcuyubTYcFow&#10;6GlrqHqcv62CU/S77c1/YF6Yz+LQD7a/uoNSk/GwWYCINMT/8F/7qBXMcvj9kn6A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VKu8IAAADbAAAADwAAAAAAAAAAAAAA&#10;AAChAgAAZHJzL2Rvd25yZXYueG1sUEsFBgAAAAAEAAQA+QAAAJADAAAAAA==&#10;" strokecolor="#006a99" strokeweight="1pt">
                  <v:stroke endarrow="block"/>
                </v:shape>
                <v:shape id="Elbow Connector 24" o:spid="_x0000_s1044" type="#_x0000_t34" style="position:absolute;left:48060;top:17849;width:7544;height:1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whMMAAADbAAAADwAAAGRycy9kb3ducmV2LnhtbESPwWrDMBBE74X8g9hAbrUcp5TgWgkh&#10;EAiBYuo29LpYW9vUWhlJsZ2/rwqFHoeZecMU+9n0YiTnO8sK1kkKgri2uuNGwcf76XELwgdkjb1l&#10;UnAnD/vd4qHAXNuJ32isQiMihH2OCtoQhlxKX7dk0Cd2II7el3UGQ5SukdrhFOGml1maPkuDHceF&#10;Fgc6tlR/VzejwGh3vpWb8Zp+Pr1WjrzXl7JWarWcDy8gAs3hP/zXPmsFWQa/X+IP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sITDAAAA2wAAAA8AAAAAAAAAAAAA&#10;AAAAoQIAAGRycy9kb3ducmV2LnhtbFBLBQYAAAAABAAEAPkAAACRAwAAAAA=&#10;" strokecolor="#006a99" strokeweight="1pt">
                  <v:stroke endarrow="block"/>
                </v:shape>
                <v:shape id="Elbow Connector 25" o:spid="_x0000_s1045" type="#_x0000_t34" style="position:absolute;left:24473;top:8957;width:2491;height:1768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3IZMQAAADbAAAADwAAAGRycy9kb3ducmV2LnhtbESPQWvCQBSE74X+h+UVvNWNiqWN2UgV&#10;RI+temhur9lnEpp9G7JPjf++Wyh4HGbmGyZbDq5VF+pD49nAZJyAIi69bbgycDxsnl9BBUG22Hom&#10;AzcKsMwfHzJMrb/yJ132UqkI4ZCigVqkS7UOZU0Ow9h3xNE7+d6hRNlX2vZ4jXDX6mmSvGiHDceF&#10;Gjta11T+7M/OwKoptm+b7ccZJ1+770LcXMpjYczoaXhfgBIa5B7+b++sgekM/r7EH6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chkxAAAANsAAAAPAAAAAAAAAAAA&#10;AAAAAKECAABkcnMvZG93bnJldi54bWxQSwUGAAAAAAQABAD5AAAAkgMAAAAA&#10;" adj="-19818" strokecolor="#006a99" strokeweight="1pt">
                  <v:stroke endarrow="block"/>
                </v:shape>
                <v:rect id="Rectangle 14" o:spid="_x0000_s1046" style="position:absolute;left:2432;width:61810;height:3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IOcIA&#10;AADbAAAADwAAAGRycy9kb3ducmV2LnhtbESPQYvCMBSE74L/ITxhb5paFpFqFFEEpXiwLqzHR/Ns&#10;i81LSaJ2//1mYcHjMDPfMMt1b1rxJOcbywqmkwQEcWl1w5WCr8t+PAfhA7LG1jIp+CEP69VwsMRM&#10;2xef6VmESkQI+wwV1CF0mZS+rMmgn9iOOHo36wyGKF0ltcNXhJtWpkkykwYbjgs1drStqbwXD6Mg&#10;d4U8Hk6N6657P/8uKU+rXa7Ux6jfLEAE6sM7/N8+aAXpJ/x9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kg5wgAAANsAAAAPAAAAAAAAAAAAAAAAAJgCAABkcnMvZG93&#10;bnJldi54bWxQSwUGAAAAAAQABAD1AAAAhwMAAAAA&#10;" filled="f" fillcolor="#006a99" stroked="f" strokeweight="2pt">
                  <v:textbox inset=",1mm,,1mm">
                    <w:txbxContent>
                      <w:p w:rsidR="00802EA1" w:rsidRPr="004B513B" w:rsidRDefault="00802EA1" w:rsidP="00802EA1">
                        <w:pPr>
                          <w:pStyle w:val="AERFactsheetHeading1"/>
                          <w:rPr>
                            <w:rStyle w:val="AERtextbold"/>
                            <w:b/>
                          </w:rPr>
                        </w:pPr>
                        <w:r w:rsidRPr="004B513B">
                          <w:rPr>
                            <w:rStyle w:val="AERtextbold"/>
                            <w:b/>
                          </w:rPr>
                          <w:t>How consumers and service providers will benefit from shared assets</w:t>
                        </w:r>
                      </w:p>
                    </w:txbxContent>
                  </v:textbox>
                </v:rect>
                <v:roundrect id="Rounded Rectangle 16" o:spid="_x0000_s1047" style="position:absolute;left:4038;top:24491;width:3785;height:24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RC8IA&#10;AADbAAAADwAAAGRycy9kb3ducmV2LnhtbESPQWsCMRSE70L/Q3gFb5qtYpHVKKUo6kXoWnp+bp6b&#10;pZuXJYm6+utNoeBxmJlvmPmys424kA+1YwVvwwwEcel0zZWC78N6MAURIrLGxjEpuFGA5eKlN8dc&#10;uyt/0aWIlUgQDjkqMDG2uZShNGQxDF1LnLyT8xZjkr6S2uM1wW0jR1n2Li3WnBYMtvRpqPwtzlZB&#10;92NW9W662ZfOF/eVlHw82bFS/dfuYwYiUhef4f/2VisYTeDvS/o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RELwgAAANsAAAAPAAAAAAAAAAAAAAAAAJgCAABkcnMvZG93&#10;bnJldi54bWxQSwUGAAAAAAQABAD1AAAAhwMAAAAA&#10;" fillcolor="#006a99" stroked="f" strokeweight="2pt">
                  <v:textbox>
                    <w:txbxContent>
                      <w:p w:rsidR="00802EA1" w:rsidRPr="00AE5960" w:rsidRDefault="00802EA1" w:rsidP="00802EA1">
                        <w:pPr>
                          <w:pStyle w:val="Default"/>
                          <w:spacing w:line="276" w:lineRule="auto"/>
                          <w:jc w:val="center"/>
                          <w:rPr>
                            <w:rFonts w:ascii="Tunga" w:hAnsi="Tunga" w:cs="Tunga"/>
                            <w:sz w:val="16"/>
                            <w:szCs w:val="16"/>
                          </w:rPr>
                        </w:pPr>
                        <w:r w:rsidRPr="00AE5960">
                          <w:rPr>
                            <w:rFonts w:ascii="Tunga" w:eastAsia="Calibri" w:hAnsi="Tunga" w:cs="Tunga"/>
                            <w:color w:val="FFFFFF"/>
                            <w:sz w:val="16"/>
                            <w:szCs w:val="16"/>
                          </w:rPr>
                          <w:t>No</w:t>
                        </w:r>
                      </w:p>
                    </w:txbxContent>
                  </v:textbox>
                </v:roundrect>
                <v:rect id="Rectangle 15" o:spid="_x0000_s1048" style="position:absolute;left:11118;top:23336;width:14574;height:4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0ykMQA&#10;AADbAAAADwAAAGRycy9kb3ducmV2LnhtbESPQWvCQBSE70L/w/IK3nRTpVqiq9RCQYoisR5yfGRf&#10;k9Ds25jdxPjvXUHwOMzMN8xy3ZtKdNS40rKCt3EEgjizuuRcwen3e/QBwnlkjZVlUnAlB+vVy2CJ&#10;sbYXTqg7+lwECLsYFRTe17GULivIoBvbmjh4f7Yx6INscqkbvAS4qeQkimbSYMlhocCavgrK/o+t&#10;UdClbbo/lzrdHd638107TRz9bJQavvafCxCeev8MP9pbrWAyg/uX8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tMpDEAAAA2wAAAA8AAAAAAAAAAAAAAAAAmAIAAGRycy9k&#10;b3ducmV2LnhtbFBLBQYAAAAABAAEAPUAAACJAwAAAAA=&#10;" fillcolor="#dbe5f1" stroked="f" strokeweight="2pt">
                  <v:textbox inset=",1mm,,1mm">
                    <w:txbxContent>
                      <w:p w:rsidR="00802EA1" w:rsidRPr="00BE4E13" w:rsidRDefault="00802EA1" w:rsidP="00802EA1">
                        <w:pPr>
                          <w:pStyle w:val="NormalWeb"/>
                          <w:spacing w:before="0" w:beforeAutospacing="0" w:after="0" w:afterAutospacing="0" w:line="276" w:lineRule="auto"/>
                          <w:rPr>
                            <w:rFonts w:ascii="Tunga" w:eastAsia="Calibri" w:hAnsi="Tunga" w:cs="Tunga"/>
                            <w:b/>
                            <w:color w:val="000000"/>
                            <w:sz w:val="16"/>
                            <w:szCs w:val="16"/>
                          </w:rPr>
                        </w:pPr>
                        <w:r w:rsidRPr="00BE4E13">
                          <w:rPr>
                            <w:rFonts w:ascii="Tunga" w:eastAsia="Calibri" w:hAnsi="Tunga" w:cs="Tunga"/>
                            <w:b/>
                            <w:color w:val="000000"/>
                            <w:sz w:val="16"/>
                            <w:szCs w:val="16"/>
                          </w:rPr>
                          <w:t xml:space="preserve">No further action </w:t>
                        </w:r>
                        <w:r>
                          <w:rPr>
                            <w:rFonts w:ascii="Tunga" w:eastAsia="Calibri" w:hAnsi="Tunga" w:cs="Tunga"/>
                            <w:b/>
                            <w:color w:val="000000"/>
                            <w:sz w:val="16"/>
                            <w:szCs w:val="16"/>
                          </w:rPr>
                          <w:t>needed</w:t>
                        </w:r>
                        <w:r w:rsidRPr="00BE4E13">
                          <w:rPr>
                            <w:rFonts w:ascii="Tunga" w:eastAsia="Calibri" w:hAnsi="Tunga" w:cs="Tunga"/>
                            <w:b/>
                            <w:color w:val="000000"/>
                            <w:sz w:val="16"/>
                            <w:szCs w:val="16"/>
                          </w:rPr>
                          <w:t xml:space="preserve">. </w:t>
                        </w:r>
                      </w:p>
                      <w:p w:rsidR="00802EA1" w:rsidRPr="00AE5960" w:rsidRDefault="00802EA1" w:rsidP="00802EA1">
                        <w:pPr>
                          <w:pStyle w:val="NormalWeb"/>
                          <w:spacing w:before="0" w:beforeAutospacing="0" w:after="0" w:afterAutospacing="0" w:line="276" w:lineRule="auto"/>
                          <w:rPr>
                            <w:rFonts w:ascii="Tunga" w:eastAsia="Calibri" w:hAnsi="Tunga" w:cs="Tunga"/>
                            <w:color w:val="000000"/>
                            <w:sz w:val="16"/>
                            <w:szCs w:val="16"/>
                          </w:rPr>
                        </w:pPr>
                        <w:r w:rsidRPr="00AE5960">
                          <w:rPr>
                            <w:rFonts w:ascii="Tunga" w:eastAsia="Calibri" w:hAnsi="Tunga" w:cs="Tunga"/>
                            <w:color w:val="000000"/>
                            <w:sz w:val="16"/>
                            <w:szCs w:val="16"/>
                          </w:rPr>
                          <w:t>The benefit</w:t>
                        </w:r>
                        <w:r>
                          <w:rPr>
                            <w:rFonts w:ascii="Tunga" w:eastAsia="Calibri" w:hAnsi="Tunga" w:cs="Tunga"/>
                            <w:color w:val="000000"/>
                            <w:sz w:val="16"/>
                            <w:szCs w:val="16"/>
                          </w:rPr>
                          <w:t xml:space="preserve"> from the shared assets is </w:t>
                        </w:r>
                        <w:r w:rsidRPr="00AE5960">
                          <w:rPr>
                            <w:rFonts w:ascii="Tunga" w:eastAsia="Calibri" w:hAnsi="Tunga" w:cs="Tunga"/>
                            <w:color w:val="000000"/>
                            <w:sz w:val="16"/>
                            <w:szCs w:val="16"/>
                          </w:rPr>
                          <w:t xml:space="preserve">not significant. </w:t>
                        </w:r>
                      </w:p>
                      <w:p w:rsidR="00802EA1" w:rsidRPr="00AE5960" w:rsidRDefault="00802EA1" w:rsidP="00802EA1">
                        <w:pPr>
                          <w:pStyle w:val="Default"/>
                          <w:spacing w:line="276" w:lineRule="auto"/>
                          <w:rPr>
                            <w:rFonts w:ascii="Tunga" w:hAnsi="Tunga" w:cs="Tunga"/>
                            <w:sz w:val="16"/>
                            <w:szCs w:val="16"/>
                          </w:rPr>
                        </w:pPr>
                      </w:p>
                    </w:txbxContent>
                  </v:textbox>
                </v:rect>
                <v:shape id="AutoShape 28" o:spid="_x0000_s1049" type="#_x0000_t34" style="position:absolute;left:4038;top:15627;width:1016;height:1011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teYMAAAADbAAAADwAAAGRycy9kb3ducmV2LnhtbESPQYvCMBSE74L/IbwFL2JTPah0jbII&#10;gke1HvT2aJ5t2ealJLHWf28EweMwM98wq01vGtGR87VlBdMkBUFcWF1zqeCc7yZLED4ga2wsk4In&#10;edish4MVZto++EjdKZQiQthnqKAKoc2k9EVFBn1iW+Lo3awzGKJ0pdQOHxFuGjlL07k0WHNcqLCl&#10;bUXF/+luFOyLi5vecnx29uAPV2/GeXkmpUY//d8viEB9+IY/7b1WMFvA+0v8AX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6bXmDAAAAA2wAAAA8AAAAAAAAAAAAAAAAA&#10;oQIAAGRycy9kb3ducmV2LnhtbFBLBQYAAAAABAAEAPkAAACOAwAAAAA=&#10;" adj="70200" strokecolor="#006a99" strokeweight="1pt">
                  <v:stroke endarrow="block"/>
                </v:shape>
                <v:shape id="AutoShape 29" o:spid="_x0000_s1050" type="#_x0000_t34" style="position:absolute;left:7823;top:25742;width:3295;height:1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hhMAAAADbAAAADwAAAGRycy9kb3ducmV2LnhtbERP3WrCMBS+H+wdwhnsbqYT1FKNMjYU&#10;GYJofYBDc0yKzUlpYu18+uVC8PLj+1+sBteInrpQe1bwOcpAEFde12wUnMr1Rw4iRGSNjWdS8EcB&#10;VsvXlwUW2t/4QP0xGpFCOBSowMbYFlKGypLDMPItceLOvnMYE+yM1B3eUrhr5DjLptJhzanBYkvf&#10;lqrL8eoU7CaTzX5TBt/ff6nMZsbmP2ZQ6v1t+JqDiDTEp/jh3moF4zQ2fUk/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l4YTAAAAA2wAAAA8AAAAAAAAAAAAAAAAA&#10;oQIAAGRycy9kb3ducmV2LnhtbFBLBQYAAAAABAAEAPkAAACOAwAAAAA=&#10;" adj="10779" strokecolor="#006a99" strokeweight="1pt">
                  <v:stroke endarrow="block"/>
                </v:shape>
                <w10:wrap anchory="page"/>
              </v:group>
            </w:pict>
          </mc:Fallback>
        </mc:AlternateContent>
      </w: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802EA1" w:rsidRDefault="00802EA1" w:rsidP="004B513B">
      <w:pPr>
        <w:pStyle w:val="AERFactsheetHeading1"/>
      </w:pPr>
    </w:p>
    <w:p w:rsidR="0036626C" w:rsidRDefault="004B513B" w:rsidP="004B513B">
      <w:pPr>
        <w:pStyle w:val="AERFactsheetHeading1"/>
      </w:pPr>
      <w:r>
        <w:t xml:space="preserve">What information </w:t>
      </w:r>
      <w:r w:rsidR="00802EA1">
        <w:t xml:space="preserve">do we </w:t>
      </w:r>
      <w:r>
        <w:t xml:space="preserve">need </w:t>
      </w:r>
      <w:r w:rsidR="00802EA1">
        <w:t>from businesses</w:t>
      </w:r>
      <w:r>
        <w:t>?</w:t>
      </w:r>
    </w:p>
    <w:p w:rsidR="004B513B" w:rsidRDefault="00FB509B" w:rsidP="00673C5D">
      <w:pPr>
        <w:pStyle w:val="AERfactsheetbodytext"/>
      </w:pPr>
      <w:r>
        <w:t>We’ll collect from businesses a</w:t>
      </w:r>
      <w:r w:rsidR="004B513B">
        <w:t>nnually:</w:t>
      </w:r>
    </w:p>
    <w:p w:rsidR="004B513B" w:rsidRDefault="004B513B" w:rsidP="00E15218">
      <w:pPr>
        <w:pStyle w:val="AERfactsheetbulletlist"/>
      </w:pPr>
      <w:r>
        <w:t xml:space="preserve">a list of </w:t>
      </w:r>
      <w:r w:rsidR="00FB509B">
        <w:t xml:space="preserve">the </w:t>
      </w:r>
      <w:r>
        <w:t xml:space="preserve">unregulated services </w:t>
      </w:r>
      <w:r w:rsidR="00FB509B">
        <w:t>they provide</w:t>
      </w:r>
      <w:r>
        <w:t xml:space="preserve"> with shared assets</w:t>
      </w:r>
    </w:p>
    <w:p w:rsidR="004B513B" w:rsidRDefault="00FB509B" w:rsidP="00FB509B">
      <w:pPr>
        <w:pStyle w:val="AERfactsheetbulletlist"/>
      </w:pPr>
      <w:proofErr w:type="gramStart"/>
      <w:r>
        <w:t>the</w:t>
      </w:r>
      <w:proofErr w:type="gramEnd"/>
      <w:r>
        <w:t xml:space="preserve"> </w:t>
      </w:r>
      <w:r w:rsidR="004B513B">
        <w:t>total unregulated revenue</w:t>
      </w:r>
      <w:r>
        <w:t xml:space="preserve"> from shared assets</w:t>
      </w:r>
      <w:r w:rsidR="004B513B">
        <w:t>.</w:t>
      </w:r>
    </w:p>
    <w:p w:rsidR="004B513B" w:rsidRDefault="00FB509B" w:rsidP="004B513B">
      <w:pPr>
        <w:pStyle w:val="AERfactsheetbodytext"/>
      </w:pPr>
      <w:r>
        <w:t xml:space="preserve">As part of our revenue determination for a business </w:t>
      </w:r>
      <w:r w:rsidR="004B513B">
        <w:t xml:space="preserve">we’ll collect descriptions of the shared assets </w:t>
      </w:r>
      <w:r>
        <w:t xml:space="preserve">it </w:t>
      </w:r>
      <w:r w:rsidR="004B513B">
        <w:t>used to provide unregulated services</w:t>
      </w:r>
      <w:r>
        <w:t>,</w:t>
      </w:r>
      <w:r w:rsidR="00673C42">
        <w:t xml:space="preserve"> and </w:t>
      </w:r>
      <w:r>
        <w:t xml:space="preserve">the </w:t>
      </w:r>
      <w:r w:rsidR="00673C42">
        <w:t>services</w:t>
      </w:r>
      <w:r>
        <w:t xml:space="preserve"> it</w:t>
      </w:r>
      <w:r w:rsidR="00673C42">
        <w:t xml:space="preserve"> forecast</w:t>
      </w:r>
      <w:r>
        <w:t>s</w:t>
      </w:r>
      <w:r w:rsidR="00673C42">
        <w:t xml:space="preserve"> to be provided</w:t>
      </w:r>
      <w:r w:rsidR="004B513B">
        <w:t>.</w:t>
      </w:r>
    </w:p>
    <w:p w:rsidR="00E655F6" w:rsidRDefault="004B513B" w:rsidP="004B513B">
      <w:pPr>
        <w:pStyle w:val="AERfactsheetbodytext"/>
      </w:pPr>
      <w:r>
        <w:t xml:space="preserve">We may also seek an overview of </w:t>
      </w:r>
      <w:r w:rsidR="00FB509B">
        <w:t xml:space="preserve">the </w:t>
      </w:r>
      <w:r>
        <w:t xml:space="preserve">contracts under which the </w:t>
      </w:r>
      <w:r w:rsidR="00FB509B">
        <w:t xml:space="preserve">business </w:t>
      </w:r>
      <w:r>
        <w:t>earns shared asset unregulated revenues</w:t>
      </w:r>
      <w:r w:rsidR="00E655F6">
        <w:t>.</w:t>
      </w:r>
    </w:p>
    <w:p w:rsidR="00802EA1" w:rsidRDefault="00802EA1" w:rsidP="00802EA1">
      <w:pPr>
        <w:pStyle w:val="AERFactsheetHeading1"/>
      </w:pPr>
      <w:r>
        <w:rPr>
          <w:noProof/>
          <w:lang w:eastAsia="en-AU"/>
        </w:rPr>
        <w:drawing>
          <wp:anchor distT="0" distB="0" distL="114300" distR="114300" simplePos="0" relativeHeight="251672576" behindDoc="0" locked="0" layoutInCell="1" allowOverlap="1" wp14:anchorId="7A4A0FEC" wp14:editId="0651C780">
            <wp:simplePos x="0" y="0"/>
            <wp:positionH relativeFrom="column">
              <wp:posOffset>-528320</wp:posOffset>
            </wp:positionH>
            <wp:positionV relativeFrom="page">
              <wp:posOffset>10220325</wp:posOffset>
            </wp:positionV>
            <wp:extent cx="8827135" cy="492760"/>
            <wp:effectExtent l="0" t="0" r="0" b="2540"/>
            <wp:wrapNone/>
            <wp:docPr id="6" name="Picture 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br w:type="column"/>
      </w: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Default="00802EA1" w:rsidP="00802EA1">
      <w:pPr>
        <w:pStyle w:val="AERFactsheetHeading1"/>
      </w:pPr>
    </w:p>
    <w:p w:rsidR="00802EA1" w:rsidRPr="00697FF1" w:rsidRDefault="00802EA1" w:rsidP="00802EA1">
      <w:pPr>
        <w:pStyle w:val="AERFactsheetHeading1"/>
      </w:pPr>
      <w:r>
        <w:t>M</w:t>
      </w:r>
      <w:r w:rsidRPr="00697FF1">
        <w:t>ore information</w:t>
      </w:r>
    </w:p>
    <w:p w:rsidR="00802EA1" w:rsidRDefault="00802EA1" w:rsidP="00802EA1">
      <w:pPr>
        <w:pStyle w:val="AERfactsheetbodytext"/>
      </w:pPr>
      <w:r w:rsidRPr="006A4619">
        <w:t xml:space="preserve">The shared asset guideline is available on our website at </w:t>
      </w:r>
      <w:hyperlink r:id="rId9" w:history="1">
        <w:r w:rsidRPr="00000E98">
          <w:rPr>
            <w:rStyle w:val="Hyperlink"/>
          </w:rPr>
          <w:t>http://www.aer.gov.au/node/18878</w:t>
        </w:r>
      </w:hyperlink>
      <w:r>
        <w:t>.</w:t>
      </w:r>
    </w:p>
    <w:p w:rsidR="00802EA1" w:rsidRDefault="00802EA1" w:rsidP="00802EA1">
      <w:pPr>
        <w:pStyle w:val="AERfactsheetbodytext"/>
      </w:pPr>
      <w:r w:rsidRPr="006A4619">
        <w:t xml:space="preserve">This guideline forms part of the Better Regulation program. We initiated this program following changes to the regulatory framework in late 2012. The program includes seven new guidelines that outline our revised approach to determining electricity network revenues and prices, and our establishment of the Consumer Challenge Panel. For more information on the Better Regulation program please visit our website </w:t>
      </w:r>
      <w:hyperlink r:id="rId10" w:history="1">
        <w:r w:rsidRPr="00000E98">
          <w:rPr>
            <w:rStyle w:val="Hyperlink"/>
          </w:rPr>
          <w:t>www.aer.gov.au/better-regulation-reform-program</w:t>
        </w:r>
      </w:hyperlink>
      <w:r>
        <w:t>.</w:t>
      </w:r>
      <w:r w:rsidRPr="006A4619">
        <w:rPr>
          <w:noProof/>
          <w:lang w:eastAsia="en-AU"/>
        </w:rPr>
        <w:t xml:space="preserve"> </w:t>
      </w:r>
    </w:p>
    <w:p w:rsidR="00A622E0" w:rsidRPr="00802EA1" w:rsidRDefault="00A622E0" w:rsidP="00802EA1">
      <w:pPr>
        <w:spacing w:after="200" w:line="276" w:lineRule="auto"/>
        <w:rPr>
          <w:rFonts w:ascii="MS Reference Sans Serif" w:hAnsi="MS Reference Sans Serif" w:cs="Shruti"/>
          <w:spacing w:val="-10"/>
          <w:sz w:val="18"/>
          <w:szCs w:val="22"/>
        </w:rPr>
      </w:pPr>
    </w:p>
    <w:p w:rsidR="00802EA1" w:rsidRDefault="00802EA1">
      <w:pPr>
        <w:pStyle w:val="AERfactsheetbodytext"/>
      </w:pPr>
    </w:p>
    <w:sectPr w:rsidR="00802EA1" w:rsidSect="00802EA1">
      <w:type w:val="continuous"/>
      <w:pgSz w:w="11906" w:h="16838"/>
      <w:pgMar w:top="709" w:right="707" w:bottom="851" w:left="709" w:header="709" w:footer="709" w:gutter="0"/>
      <w:cols w:num="2" w:space="5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unga">
    <w:panose1 w:val="00000400000000000000"/>
    <w:charset w:val="00"/>
    <w:family w:val="auto"/>
    <w:pitch w:val="variable"/>
    <w:sig w:usb0="004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2CE"/>
    <w:multiLevelType w:val="hybridMultilevel"/>
    <w:tmpl w:val="7CCC3BD6"/>
    <w:lvl w:ilvl="0" w:tplc="D6EEF314">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mleco\Local Settings\Temporary Internet Files\Content.Outlook\ZAHXWB49\Factsheet - shared assets - Better Regulation - Final.DOCX"/>
  </w:docVars>
  <w:rsids>
    <w:rsidRoot w:val="00DC00FD"/>
    <w:rsid w:val="00020200"/>
    <w:rsid w:val="0002382E"/>
    <w:rsid w:val="000C4DFC"/>
    <w:rsid w:val="00284B1D"/>
    <w:rsid w:val="003362D0"/>
    <w:rsid w:val="00364375"/>
    <w:rsid w:val="0036626C"/>
    <w:rsid w:val="0039113E"/>
    <w:rsid w:val="004019D1"/>
    <w:rsid w:val="004B513B"/>
    <w:rsid w:val="005632C7"/>
    <w:rsid w:val="00593A3E"/>
    <w:rsid w:val="00612B59"/>
    <w:rsid w:val="00614073"/>
    <w:rsid w:val="00635D18"/>
    <w:rsid w:val="00647310"/>
    <w:rsid w:val="0065171B"/>
    <w:rsid w:val="0067341D"/>
    <w:rsid w:val="00673C42"/>
    <w:rsid w:val="00673C5D"/>
    <w:rsid w:val="006A4619"/>
    <w:rsid w:val="006B497C"/>
    <w:rsid w:val="00784E27"/>
    <w:rsid w:val="00802EA1"/>
    <w:rsid w:val="009117B9"/>
    <w:rsid w:val="00A44A8B"/>
    <w:rsid w:val="00A50A1D"/>
    <w:rsid w:val="00A622E0"/>
    <w:rsid w:val="00A64734"/>
    <w:rsid w:val="00AB7F92"/>
    <w:rsid w:val="00AF4A1E"/>
    <w:rsid w:val="00C73422"/>
    <w:rsid w:val="00CA1915"/>
    <w:rsid w:val="00CD2B5E"/>
    <w:rsid w:val="00D57D27"/>
    <w:rsid w:val="00DC00FD"/>
    <w:rsid w:val="00DD7C18"/>
    <w:rsid w:val="00E15218"/>
    <w:rsid w:val="00E528FC"/>
    <w:rsid w:val="00E655F6"/>
    <w:rsid w:val="00E84C2B"/>
    <w:rsid w:val="00F75D23"/>
    <w:rsid w:val="00FA3085"/>
    <w:rsid w:val="00FB5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0FD"/>
    <w:pPr>
      <w:spacing w:after="0" w:line="240" w:lineRule="auto"/>
    </w:pPr>
    <w:rPr>
      <w:rFonts w:ascii="Calibri" w:eastAsia="Calibri" w:hAnsi="Calibri" w:cs="Times New Roman"/>
      <w:sz w:val="20"/>
      <w:szCs w:val="20"/>
    </w:rPr>
  </w:style>
  <w:style w:type="paragraph" w:styleId="Heading4">
    <w:name w:val="heading 4"/>
    <w:basedOn w:val="Normal"/>
    <w:next w:val="Normal"/>
    <w:link w:val="Heading4Char"/>
    <w:uiPriority w:val="9"/>
    <w:semiHidden/>
    <w:unhideWhenUsed/>
    <w:qFormat/>
    <w:rsid w:val="00DC00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F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DC00FD"/>
    <w:rPr>
      <w:color w:val="0000FF"/>
      <w:u w:val="single"/>
    </w:rPr>
  </w:style>
  <w:style w:type="paragraph" w:customStyle="1" w:styleId="AERfactsheetsubtitle">
    <w:name w:val="AER factsheet subtitle"/>
    <w:basedOn w:val="Subtitle"/>
    <w:next w:val="Normal"/>
    <w:qFormat/>
    <w:rsid w:val="00DC00FD"/>
    <w:pPr>
      <w:spacing w:line="276" w:lineRule="auto"/>
    </w:pPr>
    <w:rPr>
      <w:rFonts w:ascii="Tunga" w:eastAsia="Times New Roman" w:hAnsi="Tunga" w:cs="Tunga"/>
      <w:i w:val="0"/>
      <w:color w:val="000000"/>
      <w:spacing w:val="16"/>
      <w:kern w:val="20"/>
      <w:szCs w:val="28"/>
    </w:rPr>
  </w:style>
  <w:style w:type="paragraph" w:customStyle="1" w:styleId="AERFactsheetHeading1">
    <w:name w:val="AER Factsheet Heading 1"/>
    <w:basedOn w:val="Heading4"/>
    <w:qFormat/>
    <w:rsid w:val="00DC00FD"/>
    <w:pPr>
      <w:keepLines w:val="0"/>
      <w:spacing w:before="120" w:after="120"/>
    </w:pPr>
    <w:rPr>
      <w:rFonts w:ascii="Tunga" w:eastAsia="Times New Roman" w:hAnsi="Tunga" w:cs="Tunga"/>
      <w:bCs w:val="0"/>
      <w:i w:val="0"/>
      <w:color w:val="006A99"/>
      <w:kern w:val="24"/>
      <w:sz w:val="24"/>
      <w:szCs w:val="24"/>
    </w:rPr>
  </w:style>
  <w:style w:type="paragraph" w:customStyle="1" w:styleId="AERfactsheetbodytext">
    <w:name w:val="AER factsheet body text"/>
    <w:basedOn w:val="Normal"/>
    <w:qFormat/>
    <w:rsid w:val="00DC00FD"/>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Normal"/>
    <w:qFormat/>
    <w:rsid w:val="00E15218"/>
    <w:pPr>
      <w:numPr>
        <w:numId w:val="1"/>
      </w:numPr>
      <w:spacing w:after="120" w:line="252" w:lineRule="auto"/>
      <w:ind w:left="284" w:hanging="284"/>
    </w:pPr>
    <w:rPr>
      <w:rFonts w:ascii="MS Reference Sans Serif" w:eastAsia="Times New Roman" w:hAnsi="MS Reference Sans Serif" w:cs="Shruti"/>
      <w:spacing w:val="-10"/>
      <w:sz w:val="18"/>
      <w:szCs w:val="24"/>
    </w:rPr>
  </w:style>
  <w:style w:type="paragraph" w:styleId="Subtitle">
    <w:name w:val="Subtitle"/>
    <w:basedOn w:val="Normal"/>
    <w:next w:val="Normal"/>
    <w:link w:val="SubtitleChar"/>
    <w:uiPriority w:val="11"/>
    <w:qFormat/>
    <w:rsid w:val="00DC00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0F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DC00FD"/>
    <w:rPr>
      <w:rFonts w:asciiTheme="majorHAnsi" w:eastAsiaTheme="majorEastAsia" w:hAnsiTheme="majorHAnsi" w:cstheme="majorBidi"/>
      <w:b/>
      <w:bCs/>
      <w:i/>
      <w:iCs/>
      <w:color w:val="4F81BD" w:themeColor="accent1"/>
      <w:sz w:val="20"/>
      <w:szCs w:val="20"/>
    </w:rPr>
  </w:style>
  <w:style w:type="character" w:customStyle="1" w:styleId="AERtextbold">
    <w:name w:val="AER text bold"/>
    <w:qFormat/>
    <w:rsid w:val="006A4619"/>
    <w:rPr>
      <w:b/>
    </w:rPr>
  </w:style>
  <w:style w:type="paragraph" w:customStyle="1" w:styleId="Default">
    <w:name w:val="Default"/>
    <w:rsid w:val="006A4619"/>
    <w:pPr>
      <w:autoSpaceDE w:val="0"/>
      <w:autoSpaceDN w:val="0"/>
      <w:adjustRightInd w:val="0"/>
      <w:spacing w:after="0" w:line="240" w:lineRule="auto"/>
    </w:pPr>
    <w:rPr>
      <w:rFonts w:ascii="DINOT-Regular" w:eastAsia="Times New Roman" w:hAnsi="DINOT-Regular" w:cs="DINOT-Regular"/>
      <w:color w:val="000000"/>
      <w:sz w:val="24"/>
      <w:szCs w:val="24"/>
    </w:rPr>
  </w:style>
  <w:style w:type="character" w:customStyle="1" w:styleId="AERtextitalic">
    <w:name w:val="AER text italic"/>
    <w:qFormat/>
    <w:rsid w:val="006A4619"/>
    <w:rPr>
      <w:i/>
    </w:rPr>
  </w:style>
  <w:style w:type="paragraph" w:customStyle="1" w:styleId="AERbodytext">
    <w:name w:val="AER body text"/>
    <w:qFormat/>
    <w:rsid w:val="006A4619"/>
    <w:pPr>
      <w:numPr>
        <w:numId w:val="2"/>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6A4619"/>
    <w:pPr>
      <w:numPr>
        <w:ilvl w:val="1"/>
      </w:numPr>
      <w:spacing w:after="200"/>
    </w:pPr>
  </w:style>
  <w:style w:type="paragraph" w:customStyle="1" w:styleId="AERnumberedlistsecondstyle">
    <w:name w:val="AER numbered list (second style)"/>
    <w:basedOn w:val="AERnumberedlistfirststyle"/>
    <w:qFormat/>
    <w:rsid w:val="006A4619"/>
    <w:pPr>
      <w:numPr>
        <w:ilvl w:val="2"/>
      </w:numPr>
    </w:pPr>
  </w:style>
  <w:style w:type="paragraph" w:customStyle="1" w:styleId="AERnumberedlistthirdstyle">
    <w:name w:val="AER numbered list (third style)"/>
    <w:basedOn w:val="AERnumberedlistsecondstyle"/>
    <w:qFormat/>
    <w:rsid w:val="006A4619"/>
    <w:pPr>
      <w:numPr>
        <w:ilvl w:val="3"/>
      </w:numPr>
    </w:pPr>
  </w:style>
  <w:style w:type="paragraph" w:customStyle="1" w:styleId="AERbodytextnospace">
    <w:name w:val="AER body text no space"/>
    <w:basedOn w:val="Normal"/>
    <w:qFormat/>
    <w:rsid w:val="006A4619"/>
    <w:pPr>
      <w:spacing w:line="288" w:lineRule="auto"/>
      <w:jc w:val="both"/>
    </w:pPr>
    <w:rPr>
      <w:rFonts w:ascii="Gautami" w:eastAsia="Times New Roman" w:hAnsi="Gautami"/>
      <w:szCs w:val="24"/>
    </w:rPr>
  </w:style>
  <w:style w:type="character" w:customStyle="1" w:styleId="AERbody">
    <w:name w:val="AER body"/>
    <w:basedOn w:val="DefaultParagraphFont"/>
    <w:qFormat/>
    <w:rsid w:val="00635D18"/>
    <w:rPr>
      <w:rFonts w:ascii="Gautami" w:hAnsi="Gautami"/>
      <w:color w:val="auto"/>
      <w:sz w:val="20"/>
    </w:rPr>
  </w:style>
  <w:style w:type="numbering" w:customStyle="1" w:styleId="AERnumberedlist">
    <w:name w:val="AER numbered list"/>
    <w:uiPriority w:val="99"/>
    <w:rsid w:val="00635D18"/>
  </w:style>
  <w:style w:type="paragraph" w:customStyle="1" w:styleId="AERnumberedlist2first">
    <w:name w:val="AER numbered list 2 first"/>
    <w:basedOn w:val="AERbodytext"/>
    <w:qFormat/>
    <w:rsid w:val="00635D18"/>
    <w:pPr>
      <w:numPr>
        <w:numId w:val="0"/>
      </w:numPr>
      <w:tabs>
        <w:tab w:val="num" w:pos="454"/>
      </w:tabs>
      <w:ind w:left="454" w:hanging="454"/>
    </w:pPr>
  </w:style>
  <w:style w:type="paragraph" w:customStyle="1" w:styleId="AERnumberedlist2second">
    <w:name w:val="AER numbered list 2 second"/>
    <w:basedOn w:val="AERnumberedlist2first"/>
    <w:qFormat/>
    <w:rsid w:val="00635D18"/>
    <w:pPr>
      <w:tabs>
        <w:tab w:val="clear" w:pos="454"/>
        <w:tab w:val="num" w:pos="811"/>
      </w:tabs>
      <w:ind w:left="811" w:hanging="357"/>
    </w:pPr>
  </w:style>
  <w:style w:type="paragraph" w:customStyle="1" w:styleId="AERnumberedlist2third">
    <w:name w:val="AER numbered list 2 third"/>
    <w:basedOn w:val="AERnumberedlist2second"/>
    <w:qFormat/>
    <w:rsid w:val="00635D18"/>
    <w:pPr>
      <w:tabs>
        <w:tab w:val="clear" w:pos="811"/>
        <w:tab w:val="num" w:pos="1446"/>
      </w:tabs>
      <w:ind w:left="1446" w:hanging="635"/>
    </w:pPr>
  </w:style>
  <w:style w:type="character" w:styleId="CommentReference">
    <w:name w:val="annotation reference"/>
    <w:basedOn w:val="DefaultParagraphFont"/>
    <w:uiPriority w:val="99"/>
    <w:semiHidden/>
    <w:unhideWhenUsed/>
    <w:rsid w:val="00A50A1D"/>
    <w:rPr>
      <w:sz w:val="16"/>
      <w:szCs w:val="16"/>
    </w:rPr>
  </w:style>
  <w:style w:type="paragraph" w:styleId="CommentText">
    <w:name w:val="annotation text"/>
    <w:basedOn w:val="Normal"/>
    <w:link w:val="CommentTextChar"/>
    <w:uiPriority w:val="99"/>
    <w:semiHidden/>
    <w:unhideWhenUsed/>
    <w:rsid w:val="00A50A1D"/>
  </w:style>
  <w:style w:type="character" w:customStyle="1" w:styleId="CommentTextChar">
    <w:name w:val="Comment Text Char"/>
    <w:basedOn w:val="DefaultParagraphFont"/>
    <w:link w:val="CommentText"/>
    <w:uiPriority w:val="99"/>
    <w:semiHidden/>
    <w:rsid w:val="00A50A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0A1D"/>
    <w:rPr>
      <w:b/>
      <w:bCs/>
    </w:rPr>
  </w:style>
  <w:style w:type="character" w:customStyle="1" w:styleId="CommentSubjectChar">
    <w:name w:val="Comment Subject Char"/>
    <w:basedOn w:val="CommentTextChar"/>
    <w:link w:val="CommentSubject"/>
    <w:uiPriority w:val="99"/>
    <w:semiHidden/>
    <w:rsid w:val="00A50A1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50A1D"/>
    <w:rPr>
      <w:rFonts w:ascii="Tahoma" w:hAnsi="Tahoma" w:cs="Tahoma"/>
      <w:sz w:val="16"/>
      <w:szCs w:val="16"/>
    </w:rPr>
  </w:style>
  <w:style w:type="character" w:customStyle="1" w:styleId="BalloonTextChar">
    <w:name w:val="Balloon Text Char"/>
    <w:basedOn w:val="DefaultParagraphFont"/>
    <w:link w:val="BalloonText"/>
    <w:uiPriority w:val="99"/>
    <w:semiHidden/>
    <w:rsid w:val="00A50A1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0FD"/>
    <w:pPr>
      <w:spacing w:after="0" w:line="240" w:lineRule="auto"/>
    </w:pPr>
    <w:rPr>
      <w:rFonts w:ascii="Calibri" w:eastAsia="Calibri" w:hAnsi="Calibri" w:cs="Times New Roman"/>
      <w:sz w:val="20"/>
      <w:szCs w:val="20"/>
    </w:rPr>
  </w:style>
  <w:style w:type="paragraph" w:styleId="Heading4">
    <w:name w:val="heading 4"/>
    <w:basedOn w:val="Normal"/>
    <w:next w:val="Normal"/>
    <w:link w:val="Heading4Char"/>
    <w:uiPriority w:val="9"/>
    <w:semiHidden/>
    <w:unhideWhenUsed/>
    <w:qFormat/>
    <w:rsid w:val="00DC00F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0F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DC00FD"/>
    <w:rPr>
      <w:color w:val="0000FF"/>
      <w:u w:val="single"/>
    </w:rPr>
  </w:style>
  <w:style w:type="paragraph" w:customStyle="1" w:styleId="AERfactsheetsubtitle">
    <w:name w:val="AER factsheet subtitle"/>
    <w:basedOn w:val="Subtitle"/>
    <w:next w:val="Normal"/>
    <w:qFormat/>
    <w:rsid w:val="00DC00FD"/>
    <w:pPr>
      <w:spacing w:line="276" w:lineRule="auto"/>
    </w:pPr>
    <w:rPr>
      <w:rFonts w:ascii="Tunga" w:eastAsia="Times New Roman" w:hAnsi="Tunga" w:cs="Tunga"/>
      <w:i w:val="0"/>
      <w:color w:val="000000"/>
      <w:spacing w:val="16"/>
      <w:kern w:val="20"/>
      <w:szCs w:val="28"/>
    </w:rPr>
  </w:style>
  <w:style w:type="paragraph" w:customStyle="1" w:styleId="AERFactsheetHeading1">
    <w:name w:val="AER Factsheet Heading 1"/>
    <w:basedOn w:val="Heading4"/>
    <w:qFormat/>
    <w:rsid w:val="00DC00FD"/>
    <w:pPr>
      <w:keepLines w:val="0"/>
      <w:spacing w:before="120" w:after="120"/>
    </w:pPr>
    <w:rPr>
      <w:rFonts w:ascii="Tunga" w:eastAsia="Times New Roman" w:hAnsi="Tunga" w:cs="Tunga"/>
      <w:bCs w:val="0"/>
      <w:i w:val="0"/>
      <w:color w:val="006A99"/>
      <w:kern w:val="24"/>
      <w:sz w:val="24"/>
      <w:szCs w:val="24"/>
    </w:rPr>
  </w:style>
  <w:style w:type="paragraph" w:customStyle="1" w:styleId="AERfactsheetbodytext">
    <w:name w:val="AER factsheet body text"/>
    <w:basedOn w:val="Normal"/>
    <w:qFormat/>
    <w:rsid w:val="00DC00FD"/>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Normal"/>
    <w:qFormat/>
    <w:rsid w:val="00E15218"/>
    <w:pPr>
      <w:numPr>
        <w:numId w:val="1"/>
      </w:numPr>
      <w:spacing w:after="120" w:line="252" w:lineRule="auto"/>
      <w:ind w:left="284" w:hanging="284"/>
    </w:pPr>
    <w:rPr>
      <w:rFonts w:ascii="MS Reference Sans Serif" w:eastAsia="Times New Roman" w:hAnsi="MS Reference Sans Serif" w:cs="Shruti"/>
      <w:spacing w:val="-10"/>
      <w:sz w:val="18"/>
      <w:szCs w:val="24"/>
    </w:rPr>
  </w:style>
  <w:style w:type="paragraph" w:styleId="Subtitle">
    <w:name w:val="Subtitle"/>
    <w:basedOn w:val="Normal"/>
    <w:next w:val="Normal"/>
    <w:link w:val="SubtitleChar"/>
    <w:uiPriority w:val="11"/>
    <w:qFormat/>
    <w:rsid w:val="00DC00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00FD"/>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DC00FD"/>
    <w:rPr>
      <w:rFonts w:asciiTheme="majorHAnsi" w:eastAsiaTheme="majorEastAsia" w:hAnsiTheme="majorHAnsi" w:cstheme="majorBidi"/>
      <w:b/>
      <w:bCs/>
      <w:i/>
      <w:iCs/>
      <w:color w:val="4F81BD" w:themeColor="accent1"/>
      <w:sz w:val="20"/>
      <w:szCs w:val="20"/>
    </w:rPr>
  </w:style>
  <w:style w:type="character" w:customStyle="1" w:styleId="AERtextbold">
    <w:name w:val="AER text bold"/>
    <w:qFormat/>
    <w:rsid w:val="006A4619"/>
    <w:rPr>
      <w:b/>
    </w:rPr>
  </w:style>
  <w:style w:type="paragraph" w:customStyle="1" w:styleId="Default">
    <w:name w:val="Default"/>
    <w:rsid w:val="006A4619"/>
    <w:pPr>
      <w:autoSpaceDE w:val="0"/>
      <w:autoSpaceDN w:val="0"/>
      <w:adjustRightInd w:val="0"/>
      <w:spacing w:after="0" w:line="240" w:lineRule="auto"/>
    </w:pPr>
    <w:rPr>
      <w:rFonts w:ascii="DINOT-Regular" w:eastAsia="Times New Roman" w:hAnsi="DINOT-Regular" w:cs="DINOT-Regular"/>
      <w:color w:val="000000"/>
      <w:sz w:val="24"/>
      <w:szCs w:val="24"/>
    </w:rPr>
  </w:style>
  <w:style w:type="character" w:customStyle="1" w:styleId="AERtextitalic">
    <w:name w:val="AER text italic"/>
    <w:qFormat/>
    <w:rsid w:val="006A4619"/>
    <w:rPr>
      <w:i/>
    </w:rPr>
  </w:style>
  <w:style w:type="paragraph" w:customStyle="1" w:styleId="AERbodytext">
    <w:name w:val="AER body text"/>
    <w:qFormat/>
    <w:rsid w:val="006A4619"/>
    <w:pPr>
      <w:numPr>
        <w:numId w:val="2"/>
      </w:numPr>
      <w:spacing w:after="240" w:line="288" w:lineRule="auto"/>
      <w:jc w:val="both"/>
    </w:pPr>
    <w:rPr>
      <w:rFonts w:ascii="Gautami" w:eastAsia="Times New Roman" w:hAnsi="Gautami" w:cs="Times New Roman"/>
      <w:sz w:val="20"/>
      <w:szCs w:val="24"/>
    </w:rPr>
  </w:style>
  <w:style w:type="paragraph" w:customStyle="1" w:styleId="AERnumberedlistfirststyle">
    <w:name w:val="AER numbered list (first style)"/>
    <w:basedOn w:val="AERbodytext"/>
    <w:qFormat/>
    <w:rsid w:val="006A4619"/>
    <w:pPr>
      <w:numPr>
        <w:ilvl w:val="1"/>
      </w:numPr>
      <w:spacing w:after="200"/>
    </w:pPr>
  </w:style>
  <w:style w:type="paragraph" w:customStyle="1" w:styleId="AERnumberedlistsecondstyle">
    <w:name w:val="AER numbered list (second style)"/>
    <w:basedOn w:val="AERnumberedlistfirststyle"/>
    <w:qFormat/>
    <w:rsid w:val="006A4619"/>
    <w:pPr>
      <w:numPr>
        <w:ilvl w:val="2"/>
      </w:numPr>
    </w:pPr>
  </w:style>
  <w:style w:type="paragraph" w:customStyle="1" w:styleId="AERnumberedlistthirdstyle">
    <w:name w:val="AER numbered list (third style)"/>
    <w:basedOn w:val="AERnumberedlistsecondstyle"/>
    <w:qFormat/>
    <w:rsid w:val="006A4619"/>
    <w:pPr>
      <w:numPr>
        <w:ilvl w:val="3"/>
      </w:numPr>
    </w:pPr>
  </w:style>
  <w:style w:type="paragraph" w:customStyle="1" w:styleId="AERbodytextnospace">
    <w:name w:val="AER body text no space"/>
    <w:basedOn w:val="Normal"/>
    <w:qFormat/>
    <w:rsid w:val="006A4619"/>
    <w:pPr>
      <w:spacing w:line="288" w:lineRule="auto"/>
      <w:jc w:val="both"/>
    </w:pPr>
    <w:rPr>
      <w:rFonts w:ascii="Gautami" w:eastAsia="Times New Roman" w:hAnsi="Gautami"/>
      <w:szCs w:val="24"/>
    </w:rPr>
  </w:style>
  <w:style w:type="character" w:customStyle="1" w:styleId="AERbody">
    <w:name w:val="AER body"/>
    <w:basedOn w:val="DefaultParagraphFont"/>
    <w:qFormat/>
    <w:rsid w:val="00635D18"/>
    <w:rPr>
      <w:rFonts w:ascii="Gautami" w:hAnsi="Gautami"/>
      <w:color w:val="auto"/>
      <w:sz w:val="20"/>
    </w:rPr>
  </w:style>
  <w:style w:type="numbering" w:customStyle="1" w:styleId="AERnumberedlist">
    <w:name w:val="AER numbered list"/>
    <w:uiPriority w:val="99"/>
    <w:rsid w:val="00635D18"/>
  </w:style>
  <w:style w:type="paragraph" w:customStyle="1" w:styleId="AERnumberedlist2first">
    <w:name w:val="AER numbered list 2 first"/>
    <w:basedOn w:val="AERbodytext"/>
    <w:qFormat/>
    <w:rsid w:val="00635D18"/>
    <w:pPr>
      <w:numPr>
        <w:numId w:val="0"/>
      </w:numPr>
      <w:tabs>
        <w:tab w:val="num" w:pos="454"/>
      </w:tabs>
      <w:ind w:left="454" w:hanging="454"/>
    </w:pPr>
  </w:style>
  <w:style w:type="paragraph" w:customStyle="1" w:styleId="AERnumberedlist2second">
    <w:name w:val="AER numbered list 2 second"/>
    <w:basedOn w:val="AERnumberedlist2first"/>
    <w:qFormat/>
    <w:rsid w:val="00635D18"/>
    <w:pPr>
      <w:tabs>
        <w:tab w:val="clear" w:pos="454"/>
        <w:tab w:val="num" w:pos="811"/>
      </w:tabs>
      <w:ind w:left="811" w:hanging="357"/>
    </w:pPr>
  </w:style>
  <w:style w:type="paragraph" w:customStyle="1" w:styleId="AERnumberedlist2third">
    <w:name w:val="AER numbered list 2 third"/>
    <w:basedOn w:val="AERnumberedlist2second"/>
    <w:qFormat/>
    <w:rsid w:val="00635D18"/>
    <w:pPr>
      <w:tabs>
        <w:tab w:val="clear" w:pos="811"/>
        <w:tab w:val="num" w:pos="1446"/>
      </w:tabs>
      <w:ind w:left="1446" w:hanging="635"/>
    </w:pPr>
  </w:style>
  <w:style w:type="character" w:styleId="CommentReference">
    <w:name w:val="annotation reference"/>
    <w:basedOn w:val="DefaultParagraphFont"/>
    <w:uiPriority w:val="99"/>
    <w:semiHidden/>
    <w:unhideWhenUsed/>
    <w:rsid w:val="00A50A1D"/>
    <w:rPr>
      <w:sz w:val="16"/>
      <w:szCs w:val="16"/>
    </w:rPr>
  </w:style>
  <w:style w:type="paragraph" w:styleId="CommentText">
    <w:name w:val="annotation text"/>
    <w:basedOn w:val="Normal"/>
    <w:link w:val="CommentTextChar"/>
    <w:uiPriority w:val="99"/>
    <w:semiHidden/>
    <w:unhideWhenUsed/>
    <w:rsid w:val="00A50A1D"/>
  </w:style>
  <w:style w:type="character" w:customStyle="1" w:styleId="CommentTextChar">
    <w:name w:val="Comment Text Char"/>
    <w:basedOn w:val="DefaultParagraphFont"/>
    <w:link w:val="CommentText"/>
    <w:uiPriority w:val="99"/>
    <w:semiHidden/>
    <w:rsid w:val="00A50A1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0A1D"/>
    <w:rPr>
      <w:b/>
      <w:bCs/>
    </w:rPr>
  </w:style>
  <w:style w:type="character" w:customStyle="1" w:styleId="CommentSubjectChar">
    <w:name w:val="Comment Subject Char"/>
    <w:basedOn w:val="CommentTextChar"/>
    <w:link w:val="CommentSubject"/>
    <w:uiPriority w:val="99"/>
    <w:semiHidden/>
    <w:rsid w:val="00A50A1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50A1D"/>
    <w:rPr>
      <w:rFonts w:ascii="Tahoma" w:hAnsi="Tahoma" w:cs="Tahoma"/>
      <w:sz w:val="16"/>
      <w:szCs w:val="16"/>
    </w:rPr>
  </w:style>
  <w:style w:type="character" w:customStyle="1" w:styleId="BalloonTextChar">
    <w:name w:val="Balloon Text Char"/>
    <w:basedOn w:val="DefaultParagraphFont"/>
    <w:link w:val="BalloonText"/>
    <w:uiPriority w:val="99"/>
    <w:semiHidden/>
    <w:rsid w:val="00A50A1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er.gov.au/better-regulation-reform-program" TargetMode="External"/><Relationship Id="rId4" Type="http://schemas.openxmlformats.org/officeDocument/2006/relationships/settings" Target="settings.xml"/><Relationship Id="rId9" Type="http://schemas.openxmlformats.org/officeDocument/2006/relationships/hyperlink" Target="http://www.aer.gov.au/node/18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factsheet - shared asset guideline</dc:title>
  <dc:subject/>
  <dc:creator>AER</dc:creator>
  <cp:keywords/>
  <dc:description/>
  <cp:lastModifiedBy>mleco</cp:lastModifiedBy>
  <cp:revision>2</cp:revision>
  <dcterms:created xsi:type="dcterms:W3CDTF">2013-11-28T04:45:00Z</dcterms:created>
  <dcterms:modified xsi:type="dcterms:W3CDTF">2013-11-28T04:45:00Z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C:\Documents and Settings\mleco\Local Settings\Temporary Internet Files\Content.Outlook\ZAHXWB49\Factsheet - shared assets - Better Regulation - Final.DOCX</vt:lpwstr>
  </property>
</Properties>
</file>