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38" w:rsidRPr="002A4EF8" w:rsidRDefault="00792938" w:rsidP="0079293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59264" behindDoc="1" locked="0" layoutInCell="1" allowOverlap="1" wp14:anchorId="05F188C5" wp14:editId="1E189D39">
            <wp:simplePos x="0" y="0"/>
            <wp:positionH relativeFrom="column">
              <wp:posOffset>0</wp:posOffset>
            </wp:positionH>
            <wp:positionV relativeFrom="paragraph">
              <wp:posOffset>7800</wp:posOffset>
            </wp:positionV>
            <wp:extent cx="5693434" cy="923502"/>
            <wp:effectExtent l="0" t="0" r="2540" b="0"/>
            <wp:wrapNone/>
            <wp:docPr id="24" name="Picture 24"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792938" w:rsidRDefault="00792938" w:rsidP="00792938"/>
    <w:p w:rsidR="00792938" w:rsidRDefault="00792938" w:rsidP="00792938"/>
    <w:p w:rsidR="00792938" w:rsidRPr="002A4EF8" w:rsidRDefault="000A1017" w:rsidP="00792938">
      <w:pPr>
        <w:rPr>
          <w:b/>
          <w:sz w:val="36"/>
          <w:szCs w:val="36"/>
        </w:rPr>
      </w:pPr>
      <w:r>
        <w:rPr>
          <w:b/>
          <w:sz w:val="36"/>
          <w:szCs w:val="36"/>
        </w:rPr>
        <w:t>20 – 26</w:t>
      </w:r>
      <w:r w:rsidR="00792938" w:rsidRPr="002A4EF8">
        <w:rPr>
          <w:b/>
          <w:sz w:val="36"/>
          <w:szCs w:val="36"/>
        </w:rPr>
        <w:t xml:space="preserve"> </w:t>
      </w:r>
      <w:r w:rsidR="00792938">
        <w:rPr>
          <w:b/>
          <w:sz w:val="36"/>
          <w:szCs w:val="36"/>
        </w:rPr>
        <w:t>Sept</w:t>
      </w:r>
      <w:r w:rsidR="00792938" w:rsidRPr="002A4EF8">
        <w:rPr>
          <w:b/>
          <w:sz w:val="36"/>
          <w:szCs w:val="36"/>
        </w:rPr>
        <w:t>ember 2015</w:t>
      </w:r>
    </w:p>
    <w:p w:rsidR="00792938" w:rsidRPr="000E2946" w:rsidRDefault="00792938" w:rsidP="00792938">
      <w:pPr>
        <w:pStyle w:val="AERHeading1"/>
      </w:pPr>
      <w:r w:rsidRPr="000E2946">
        <w:t>Introduction</w:t>
      </w:r>
    </w:p>
    <w:p w:rsidR="00792938" w:rsidRPr="00215E19" w:rsidRDefault="00792938" w:rsidP="00792938">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5D22D7" w:rsidRDefault="001D0CE3" w:rsidP="000A1017">
      <w:pPr>
        <w:jc w:val="both"/>
        <w:rPr>
          <w:rFonts w:cs="Arial"/>
        </w:rPr>
      </w:pPr>
      <w:r>
        <w:rPr>
          <w:rFonts w:cs="Arial"/>
        </w:rPr>
        <w:fldChar w:fldCharType="begin"/>
      </w:r>
      <w:r>
        <w:rPr>
          <w:rFonts w:cs="Arial"/>
        </w:rPr>
        <w:instrText xml:space="preserve"> REF _Ref410382491 \h </w:instrText>
      </w:r>
      <w:r w:rsidR="000A1017">
        <w:rPr>
          <w:rFonts w:cs="Arial"/>
        </w:rPr>
        <w:instrText xml:space="preserve"> \* MERGEFORMAT </w:instrText>
      </w:r>
      <w:r>
        <w:rPr>
          <w:rFonts w:cs="Arial"/>
        </w:rPr>
      </w:r>
      <w:r>
        <w:rPr>
          <w:rFonts w:cs="Arial"/>
        </w:rPr>
        <w:fldChar w:fldCharType="separate"/>
      </w:r>
      <w:r w:rsidR="00535DD4" w:rsidRPr="000E2946">
        <w:t xml:space="preserve">Figure </w:t>
      </w:r>
      <w:r w:rsidR="00535DD4">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5C532D">
        <w:rPr>
          <w:rFonts w:cs="Arial"/>
        </w:rPr>
        <w:t>20</w:t>
      </w:r>
      <w:r w:rsidR="00760FD8">
        <w:rPr>
          <w:rFonts w:cs="Arial"/>
        </w:rPr>
        <w:t xml:space="preserve"> </w:t>
      </w:r>
      <w:r w:rsidR="005C532D">
        <w:rPr>
          <w:rFonts w:cs="Arial"/>
        </w:rPr>
        <w:t>to 26</w:t>
      </w:r>
      <w:r w:rsidR="00EF5AFC">
        <w:rPr>
          <w:rFonts w:cs="Arial"/>
        </w:rPr>
        <w:t xml:space="preserve"> September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here w</w:t>
      </w:r>
      <w:r w:rsidR="00764C7F">
        <w:rPr>
          <w:rFonts w:cs="Arial"/>
        </w:rPr>
        <w:t xml:space="preserve">ere </w:t>
      </w:r>
      <w:r w:rsidR="0005282C">
        <w:rPr>
          <w:rFonts w:cs="Arial"/>
        </w:rPr>
        <w:t xml:space="preserve">six </w:t>
      </w:r>
      <w:r w:rsidR="007D53A8">
        <w:rPr>
          <w:rFonts w:cs="Arial"/>
        </w:rPr>
        <w:t>occasion</w:t>
      </w:r>
      <w:r w:rsidR="00764C7F">
        <w:rPr>
          <w:rFonts w:cs="Arial"/>
        </w:rPr>
        <w:t>s</w:t>
      </w:r>
      <w:r w:rsidR="00627B2D">
        <w:rPr>
          <w:rFonts w:cs="Arial"/>
        </w:rPr>
        <w:t xml:space="preserve"> where the </w:t>
      </w:r>
      <w:r w:rsidR="00100142" w:rsidRPr="00100142">
        <w:rPr>
          <w:rFonts w:cs="Arial"/>
        </w:rPr>
        <w:t>spot price exceeded the AER reporting threshold</w:t>
      </w:r>
      <w:r w:rsidR="00942DD0">
        <w:rPr>
          <w:rFonts w:cs="Arial"/>
        </w:rPr>
        <w:t>, two in</w:t>
      </w:r>
      <w:r w:rsidR="00BA4E5E">
        <w:rPr>
          <w:rFonts w:cs="Arial"/>
        </w:rPr>
        <w:t xml:space="preserve"> </w:t>
      </w:r>
      <w:r w:rsidR="00942DD0">
        <w:rPr>
          <w:rFonts w:cs="Arial"/>
        </w:rPr>
        <w:t>Tasmania, and one in</w:t>
      </w:r>
      <w:r w:rsidR="00BA4E5E">
        <w:rPr>
          <w:rFonts w:cs="Arial"/>
        </w:rPr>
        <w:t xml:space="preserve"> each of</w:t>
      </w:r>
      <w:r w:rsidR="00942DD0">
        <w:rPr>
          <w:rFonts w:cs="Arial"/>
        </w:rPr>
        <w:t xml:space="preserve"> Victoria and South Australia</w:t>
      </w:r>
      <w:r w:rsidR="00764C7F">
        <w:rPr>
          <w:rFonts w:cs="Arial"/>
        </w:rPr>
        <w:t>. These are</w:t>
      </w:r>
      <w:r w:rsidR="007D53A8">
        <w:rPr>
          <w:rFonts w:cs="Arial"/>
        </w:rPr>
        <w:t xml:space="preserve"> </w:t>
      </w:r>
      <w:r w:rsidR="00086CF3" w:rsidRPr="003061FA">
        <w:rPr>
          <w:rFonts w:cs="Arial"/>
        </w:rPr>
        <w:t>discussed later in this report.</w:t>
      </w:r>
      <w:r w:rsidR="00003169">
        <w:rPr>
          <w:rFonts w:cs="Arial"/>
        </w:rPr>
        <w:t xml:space="preserve"> </w:t>
      </w:r>
      <w:r w:rsidR="005D22D7">
        <w:rPr>
          <w:rFonts w:cs="Arial"/>
        </w:rPr>
        <w:t>On 23 September t</w:t>
      </w:r>
      <w:r w:rsidR="005D22D7" w:rsidRPr="00A52C4E">
        <w:rPr>
          <w:rFonts w:cs="Arial"/>
        </w:rPr>
        <w:t>here were</w:t>
      </w:r>
      <w:r w:rsidR="005D22D7">
        <w:rPr>
          <w:rFonts w:cs="Arial"/>
        </w:rPr>
        <w:t xml:space="preserve"> also</w:t>
      </w:r>
      <w:r w:rsidR="005D22D7" w:rsidRPr="00A52C4E">
        <w:rPr>
          <w:rFonts w:cs="Arial"/>
        </w:rPr>
        <w:t xml:space="preserve"> t</w:t>
      </w:r>
      <w:r w:rsidR="005D22D7">
        <w:rPr>
          <w:rFonts w:cs="Arial"/>
        </w:rPr>
        <w:t>wo</w:t>
      </w:r>
      <w:r w:rsidR="005D22D7" w:rsidRPr="00A52C4E">
        <w:rPr>
          <w:rFonts w:cs="Arial"/>
        </w:rPr>
        <w:t xml:space="preserve"> spot prices</w:t>
      </w:r>
      <w:r w:rsidR="005D22D7">
        <w:rPr>
          <w:rFonts w:cs="Arial"/>
        </w:rPr>
        <w:t xml:space="preserve"> in New South Wales</w:t>
      </w:r>
      <w:r w:rsidR="005D22D7" w:rsidRPr="00A52C4E">
        <w:rPr>
          <w:rFonts w:cs="Arial"/>
        </w:rPr>
        <w:t xml:space="preserve"> w</w:t>
      </w:r>
      <w:r w:rsidR="005D22D7">
        <w:rPr>
          <w:rFonts w:cs="Arial"/>
        </w:rPr>
        <w:t>hich were above $5000/MWh</w:t>
      </w:r>
      <w:r w:rsidR="005D22D7" w:rsidRPr="00A52C4E">
        <w:rPr>
          <w:rFonts w:cs="Arial"/>
        </w:rPr>
        <w:t>. As required under clause 3.8.17 of the National Electricity Rules, the AER will publish a separate report into the events on that day.</w:t>
      </w:r>
    </w:p>
    <w:p w:rsidR="005C3DEC" w:rsidRDefault="00275002" w:rsidP="00405B42">
      <w:pPr>
        <w:pStyle w:val="Caption"/>
      </w:pPr>
      <w:bookmarkStart w:id="7" w:name="_Ref410382491"/>
      <w:bookmarkStart w:id="8" w:name="OLE_LINK28"/>
      <w:bookmarkStart w:id="9" w:name="OLE_LINK29"/>
      <w:r w:rsidRPr="000E2946">
        <w:t xml:space="preserve">Figure </w:t>
      </w:r>
      <w:r w:rsidR="00535DD4">
        <w:fldChar w:fldCharType="begin"/>
      </w:r>
      <w:r w:rsidR="00535DD4">
        <w:instrText xml:space="preserve"> SEQ Figure \* ARABIC </w:instrText>
      </w:r>
      <w:r w:rsidR="00535DD4">
        <w:fldChar w:fldCharType="separate"/>
      </w:r>
      <w:r w:rsidR="00535DD4">
        <w:rPr>
          <w:noProof/>
        </w:rPr>
        <w:t>1</w:t>
      </w:r>
      <w:r w:rsidR="00535DD4">
        <w:rPr>
          <w:noProof/>
        </w:rPr>
        <w:fldChar w:fldCharType="end"/>
      </w:r>
      <w:bookmarkEnd w:id="7"/>
      <w:r w:rsidRPr="000E2946">
        <w:t>: Spot price by region ($/MWh)</w:t>
      </w:r>
      <w:r w:rsidR="005C3DEC" w:rsidRPr="005C3DEC">
        <w:rPr>
          <w:noProof/>
          <w:lang w:eastAsia="en-AU"/>
        </w:rPr>
        <w:t xml:space="preserve"> </w:t>
      </w:r>
    </w:p>
    <w:p w:rsidR="00405B42" w:rsidRDefault="00A03C9E" w:rsidP="00405B42">
      <w:pPr>
        <w:pStyle w:val="Caption"/>
      </w:pPr>
      <w:r>
        <w:rPr>
          <w:noProof/>
          <w:lang w:eastAsia="en-AU"/>
        </w:rPr>
        <mc:AlternateContent>
          <mc:Choice Requires="wps">
            <w:drawing>
              <wp:anchor distT="0" distB="0" distL="114300" distR="114300" simplePos="0" relativeHeight="251662336" behindDoc="0" locked="0" layoutInCell="1" allowOverlap="1" wp14:anchorId="31545B44" wp14:editId="0C3E0517">
                <wp:simplePos x="0" y="0"/>
                <wp:positionH relativeFrom="column">
                  <wp:posOffset>438785</wp:posOffset>
                </wp:positionH>
                <wp:positionV relativeFrom="paragraph">
                  <wp:posOffset>1516380</wp:posOffset>
                </wp:positionV>
                <wp:extent cx="151765" cy="85725"/>
                <wp:effectExtent l="0" t="0" r="19685" b="28575"/>
                <wp:wrapNone/>
                <wp:docPr id="9" name="Straight Connector 9"/>
                <wp:cNvGraphicFramePr/>
                <a:graphic xmlns:a="http://schemas.openxmlformats.org/drawingml/2006/main">
                  <a:graphicData uri="http://schemas.microsoft.com/office/word/2010/wordprocessingShape">
                    <wps:wsp>
                      <wps:cNvCnPr/>
                      <wps:spPr>
                        <a:xfrm flipH="1">
                          <a:off x="0" y="0"/>
                          <a:ext cx="151765" cy="85725"/>
                        </a:xfrm>
                        <a:prstGeom prst="line">
                          <a:avLst/>
                        </a:prstGeom>
                        <a:noFill/>
                        <a:ln w="9525" cap="flat" cmpd="sng" algn="ctr">
                          <a:solidFill>
                            <a:srgbClr val="51626F">
                              <a:shade val="48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119.4pt" to="46.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qy3QEAAKMDAAAOAAAAZHJzL2Uyb0RvYy54bWysU8uO0zAU3SPxD5b3NElFOjNR01m0Kix4&#10;VBr4gFs/Ekt+yTZN+/dcO6EaYIfYWPfl43tOTrbPV6PJRYSonO1ps6opEZY5ruzQ0+/fju8eKYkJ&#10;LAftrOjpTUT6vHv7Zjv5Tqzd6DQXgSCIjd3kezqm5LuqimwUBuLKeWGxKV0wkDANQ8UDTIhudLWu&#10;6001ucB9cEzEiNXD3KS7gi+lYOmrlFEkonuKu6VyhnKe81ntttANAfyo2LIG/MMWBpTFR+9QB0hA&#10;fgT1F5RRLLjoZFoxZyonpWKicEA2Tf0Hm5cRvChcUJzo7zLF/wfLvlxOgSje0ydKLBj8RC8pgBrG&#10;RPbOWhTQBfKUdZp87HB8b09hyaI/hUz6KoMhUiv/ES1QZEBi5FpUvt1VFtdEGBabtnnYtJQwbD22&#10;D+s2g1czSkbzIaYPwhmSg55qZbMG0MHlU0zz6K+RXLbuqLTGOnTakgmJtAhJGKCbpIaEofHIL9qB&#10;EtAD2pSlUBCj04rn2/lyDMN5rwO5AFqlbTbrzXEeGoGLufr+sa4Xy0RInx2fy02D5VJHFgtMYfQb&#10;ft75AHGc75TWQlzb/L4obl0oZq1ndXN0dvxWRK9yhk4o6Itrs9Ve5xi//rd2PwEAAP//AwBQSwME&#10;FAAGAAgAAAAhAHv8mT/eAAAACQEAAA8AAABkcnMvZG93bnJldi54bWxMj8FOwzAMhu9IvENkJG4s&#10;XcumrTSdAK0nLjC4cMsa01RtnNJkXXl7zIkdbX/6/f3Fbna9mHAMrScFy0UCAqn2pqVGwcd7dbcB&#10;EaImo3tPqOAHA+zK66tC58af6Q2nQ2wEh1DItQIb45BLGWqLToeFH5D49uVHpyOPYyPNqM8c7nqZ&#10;JslaOt0Sf7B6wGeLdXc4OQVPs7uv9vuuTnRXTfbzdfXdvgxK3d7Mjw8gIs7xH4Y/fVaHkp2O/kQm&#10;iF7BertkUkGabbgCA9uMux15sUozkGUhLxuUvwAAAP//AwBQSwECLQAUAAYACAAAACEAtoM4kv4A&#10;AADhAQAAEwAAAAAAAAAAAAAAAAAAAAAAW0NvbnRlbnRfVHlwZXNdLnhtbFBLAQItABQABgAIAAAA&#10;IQA4/SH/1gAAAJQBAAALAAAAAAAAAAAAAAAAAC8BAABfcmVscy8ucmVsc1BLAQItABQABgAIAAAA&#10;IQAJnoqy3QEAAKMDAAAOAAAAAAAAAAAAAAAAAC4CAABkcnMvZTJvRG9jLnhtbFBLAQItABQABgAI&#10;AAAAIQB7/Jk/3gAAAAkBAAAPAAAAAAAAAAAAAAAAADcEAABkcnMvZG93bnJldi54bWxQSwUGAAAA&#10;AAQABADzAAAAQgUAAAAA&#10;" strokecolor="#37454f"/>
            </w:pict>
          </mc:Fallback>
        </mc:AlternateContent>
      </w:r>
      <w:r>
        <w:rPr>
          <w:noProof/>
          <w:lang w:eastAsia="en-AU"/>
        </w:rPr>
        <mc:AlternateContent>
          <mc:Choice Requires="wps">
            <w:drawing>
              <wp:anchor distT="0" distB="0" distL="114300" distR="114300" simplePos="0" relativeHeight="251660288" behindDoc="0" locked="0" layoutInCell="1" allowOverlap="1" wp14:anchorId="4255FE79" wp14:editId="78104DDB">
                <wp:simplePos x="0" y="0"/>
                <wp:positionH relativeFrom="column">
                  <wp:posOffset>438150</wp:posOffset>
                </wp:positionH>
                <wp:positionV relativeFrom="paragraph">
                  <wp:posOffset>1336040</wp:posOffset>
                </wp:positionV>
                <wp:extent cx="152399" cy="85725"/>
                <wp:effectExtent l="0" t="0" r="19685" b="28575"/>
                <wp:wrapNone/>
                <wp:docPr id="8" name="Straight Connector 8"/>
                <wp:cNvGraphicFramePr/>
                <a:graphic xmlns:a="http://schemas.openxmlformats.org/drawingml/2006/main">
                  <a:graphicData uri="http://schemas.microsoft.com/office/word/2010/wordprocessingShape">
                    <wps:wsp>
                      <wps:cNvCnPr/>
                      <wps:spPr>
                        <a:xfrm flipH="1">
                          <a:off x="0" y="0"/>
                          <a:ext cx="152399"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5.2pt" to="46.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L/wgEAANADAAAOAAAAZHJzL2Uyb0RvYy54bWysU02v0zAQvCPxHyzfadKiQl/U9B36BBwQ&#10;VDz4AX7OurHkL61Nk/571k4aECAhEBcrtmdmd8ab/f1oDbsARu1dy9ermjNw0nfanVv+5fObFzvO&#10;YhKuE8Y7aPkVIr8/PH+2H0IDG9970wEyEnGxGULL+5RCU1VR9mBFXPkAji6VRysSbfFcdSgGUrem&#10;2tT1q2rw2AX0EmKk04fpkh+KvlIg00elIiRmWk69pbJiWZ/yWh32ojmjCL2WcxviH7qwQjsqukg9&#10;iCTYV9S/SFkt0Uev0kp6W3mltITigdys65/cPPYiQPFC4cSwxBT/n6z8cDkh013L6aGcsPREjwmF&#10;PveJHb1zFKBHtss5DSE2BD+6E867GE6YTY8KLVNGh3c0AiUGMsbGkvJ1SRnGxCQdrrebl3d3nEm6&#10;2m1fb7ZZvJpUslrAmN6Ctyx/tNxolzMQjbi8j2mC3iDEy11NfZSvdDWQwcZ9AkW+cr3CLhMFR4Ps&#10;ImgWhJTg0nouXdCZprQxC7H+M3HGZyqUafsb8sIolb1LC9lq5/F31dN4a1lN+FsCk+8cwZPvruWF&#10;SjQ0NiXcecTzXP64L/TvP+LhGwAAAP//AwBQSwMEFAAGAAgAAAAhADFipYfiAAAACQEAAA8AAABk&#10;cnMvZG93bnJldi54bWxMj19LwzAUxd8Fv0O4gm8uWSfD1qbDOgfKhrA/MHzLmmtTbJLSZGv99l6f&#10;9PGeezjnd/LFaFt2wT403kmYTgQwdJXXjaslHParuwdgISqnVesdSvjGAIvi+ipXmfaD2+JlF2tG&#10;IS5kSoKJscs4D5VBq8LEd+jo9+l7qyKdfc11rwYKty1PhJhzqxpHDUZ1+Gyw+tqdrYT343L5NmzU&#10;ulwdXtqt2ZSvH6KU8vZmfHoEFnGMf2b4xSd0KIjp5M9OB9ZKmKc0JUpIpuIeGBnSGQknEpJZCrzI&#10;+f8FxQ8AAAD//wMAUEsBAi0AFAAGAAgAAAAhALaDOJL+AAAA4QEAABMAAAAAAAAAAAAAAAAAAAAA&#10;AFtDb250ZW50X1R5cGVzXS54bWxQSwECLQAUAAYACAAAACEAOP0h/9YAAACUAQAACwAAAAAAAAAA&#10;AAAAAAAvAQAAX3JlbHMvLnJlbHNQSwECLQAUAAYACAAAACEAqdTy/8IBAADQAwAADgAAAAAAAAAA&#10;AAAAAAAuAgAAZHJzL2Uyb0RvYy54bWxQSwECLQAUAAYACAAAACEAMWKlh+IAAAAJAQAADwAAAAAA&#10;AAAAAAAAAAAcBAAAZHJzL2Rvd25yZXYueG1sUEsFBgAAAAAEAAQA8wAAACsFAAAAAA==&#10;" strokecolor="#262e34 [1540]"/>
            </w:pict>
          </mc:Fallback>
        </mc:AlternateContent>
      </w:r>
      <w:r w:rsidR="00E5183B" w:rsidRPr="00E5183B">
        <w:rPr>
          <w:noProof/>
          <w:lang w:eastAsia="en-AU"/>
        </w:rPr>
        <w:drawing>
          <wp:inline distT="0" distB="0" distL="0" distR="0" wp14:anchorId="2487CBF6" wp14:editId="08A86A85">
            <wp:extent cx="5106390" cy="3633746"/>
            <wp:effectExtent l="0" t="0" r="0" b="5080"/>
            <wp:docPr id="1" name="Picture 1"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91"/>
                    <a:stretch/>
                  </pic:blipFill>
                  <pic:spPr bwMode="auto">
                    <a:xfrm>
                      <a:off x="0" y="0"/>
                      <a:ext cx="5106533" cy="3633848"/>
                    </a:xfrm>
                    <a:prstGeom prst="rect">
                      <a:avLst/>
                    </a:prstGeom>
                    <a:noFill/>
                    <a:ln>
                      <a:noFill/>
                    </a:ln>
                    <a:extLst>
                      <a:ext uri="{53640926-AAD7-44D8-BBD7-CCE9431645EC}">
                        <a14:shadowObscured xmlns:a14="http://schemas.microsoft.com/office/drawing/2010/main"/>
                      </a:ext>
                    </a:extLst>
                  </pic:spPr>
                </pic:pic>
              </a:graphicData>
            </a:graphic>
          </wp:inline>
        </w:drawing>
      </w:r>
    </w:p>
    <w:p w:rsidR="008426FD" w:rsidRPr="0031019A" w:rsidRDefault="008426FD" w:rsidP="00275002"/>
    <w:p w:rsidR="00275002" w:rsidRPr="0031019A" w:rsidRDefault="00275002" w:rsidP="009A3D22">
      <w:pPr>
        <w:jc w:val="both"/>
      </w:pPr>
      <w:r>
        <w:lastRenderedPageBreak/>
        <w:fldChar w:fldCharType="begin"/>
      </w:r>
      <w:r>
        <w:instrText xml:space="preserve"> REF _Ref410382517 \h </w:instrText>
      </w:r>
      <w:r w:rsidR="009A3D22">
        <w:instrText xml:space="preserve"> \* MERGEFORMAT </w:instrText>
      </w:r>
      <w:r>
        <w:fldChar w:fldCharType="separate"/>
      </w:r>
      <w:r w:rsidR="00535DD4">
        <w:t xml:space="preserve">Figure </w:t>
      </w:r>
      <w:r w:rsidR="00535DD4">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535DD4">
        <w:t>Table</w:t>
      </w:r>
      <w:r w:rsidR="00535DD4">
        <w:rPr>
          <w:noProof/>
        </w:rPr>
        <w:t xml:space="preserve"> 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t xml:space="preserve">Figure </w:t>
      </w:r>
      <w:r w:rsidR="00535DD4">
        <w:fldChar w:fldCharType="begin"/>
      </w:r>
      <w:r w:rsidR="00535DD4">
        <w:instrText xml:space="preserve"> SEQ Figure \* ARABIC </w:instrText>
      </w:r>
      <w:r w:rsidR="00535DD4">
        <w:fldChar w:fldCharType="separate"/>
      </w:r>
      <w:r w:rsidR="00535DD4">
        <w:rPr>
          <w:noProof/>
        </w:rPr>
        <w:t>2</w:t>
      </w:r>
      <w:r w:rsidR="00535DD4">
        <w:rPr>
          <w:noProof/>
        </w:rPr>
        <w:fldChar w:fldCharType="end"/>
      </w:r>
      <w:bookmarkEnd w:id="10"/>
      <w:r>
        <w:t>:</w:t>
      </w:r>
      <w:r w:rsidRPr="00037176">
        <w:t xml:space="preserve"> Volume weighted average spot price by region ($/MWh)</w:t>
      </w:r>
    </w:p>
    <w:p w:rsidR="00275002" w:rsidRPr="0031019A" w:rsidRDefault="008426FD" w:rsidP="00275002">
      <w:r w:rsidRPr="008426FD">
        <w:rPr>
          <w:noProof/>
          <w:lang w:eastAsia="en-AU"/>
        </w:rPr>
        <w:drawing>
          <wp:inline distT="0" distB="0" distL="0" distR="0" wp14:anchorId="400B351A" wp14:editId="0900F68C">
            <wp:extent cx="5731510" cy="2859551"/>
            <wp:effectExtent l="0" t="0" r="2540" b="0"/>
            <wp:docPr id="2" name="Picture 2"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535DD4">
        <w:fldChar w:fldCharType="begin"/>
      </w:r>
      <w:r w:rsidR="00535DD4">
        <w:instrText xml:space="preserve"> SEQ Table \* ARABIC </w:instrText>
      </w:r>
      <w:r w:rsidR="00535DD4">
        <w:fldChar w:fldCharType="separate"/>
      </w:r>
      <w:r w:rsidR="00535DD4">
        <w:rPr>
          <w:noProof/>
        </w:rPr>
        <w:t>1</w:t>
      </w:r>
      <w:r w:rsidR="00535DD4">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8426FD" w:rsidRPr="00E35AE8" w:rsidTr="00A03C9E">
        <w:trPr>
          <w:trHeight w:hRule="exact" w:val="340"/>
        </w:trPr>
        <w:tc>
          <w:tcPr>
            <w:tcW w:w="1357" w:type="pct"/>
            <w:noWrap/>
            <w:vAlign w:val="center"/>
            <w:hideMark/>
          </w:tcPr>
          <w:p w:rsidR="008426FD" w:rsidRPr="009B21F2" w:rsidRDefault="008426FD"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8426FD" w:rsidRDefault="008426FD" w:rsidP="00A03C9E">
            <w:pPr>
              <w:spacing w:before="0" w:after="0" w:line="240" w:lineRule="auto"/>
              <w:jc w:val="center"/>
              <w:rPr>
                <w:rFonts w:cs="Arial"/>
                <w:sz w:val="20"/>
                <w:szCs w:val="20"/>
              </w:rPr>
            </w:pPr>
            <w:r>
              <w:rPr>
                <w:rFonts w:cs="Arial"/>
                <w:sz w:val="20"/>
                <w:szCs w:val="20"/>
              </w:rPr>
              <w:t>52</w:t>
            </w:r>
          </w:p>
        </w:tc>
        <w:tc>
          <w:tcPr>
            <w:tcW w:w="729" w:type="pct"/>
            <w:noWrap/>
            <w:vAlign w:val="center"/>
          </w:tcPr>
          <w:p w:rsidR="008426FD" w:rsidRDefault="008426FD" w:rsidP="00A03C9E">
            <w:pPr>
              <w:spacing w:before="0" w:after="0" w:line="240" w:lineRule="auto"/>
              <w:jc w:val="center"/>
              <w:rPr>
                <w:rFonts w:cs="Arial"/>
                <w:sz w:val="20"/>
                <w:szCs w:val="20"/>
              </w:rPr>
            </w:pPr>
            <w:r>
              <w:rPr>
                <w:rFonts w:cs="Arial"/>
                <w:sz w:val="20"/>
                <w:szCs w:val="20"/>
              </w:rPr>
              <w:t>128</w:t>
            </w:r>
          </w:p>
        </w:tc>
        <w:tc>
          <w:tcPr>
            <w:tcW w:w="728" w:type="pct"/>
            <w:noWrap/>
            <w:vAlign w:val="center"/>
          </w:tcPr>
          <w:p w:rsidR="008426FD" w:rsidRDefault="008426FD" w:rsidP="00A03C9E">
            <w:pPr>
              <w:spacing w:before="0" w:after="0" w:line="240" w:lineRule="auto"/>
              <w:jc w:val="center"/>
              <w:rPr>
                <w:rFonts w:cs="Arial"/>
                <w:sz w:val="20"/>
                <w:szCs w:val="20"/>
              </w:rPr>
            </w:pPr>
            <w:r>
              <w:rPr>
                <w:rFonts w:cs="Arial"/>
                <w:sz w:val="20"/>
                <w:szCs w:val="20"/>
              </w:rPr>
              <w:t>55</w:t>
            </w:r>
          </w:p>
        </w:tc>
        <w:tc>
          <w:tcPr>
            <w:tcW w:w="729" w:type="pct"/>
            <w:noWrap/>
            <w:vAlign w:val="center"/>
          </w:tcPr>
          <w:p w:rsidR="008426FD" w:rsidRDefault="008426FD" w:rsidP="00A03C9E">
            <w:pPr>
              <w:spacing w:before="0" w:after="0" w:line="240" w:lineRule="auto"/>
              <w:jc w:val="center"/>
              <w:rPr>
                <w:rFonts w:cs="Arial"/>
                <w:sz w:val="20"/>
                <w:szCs w:val="20"/>
              </w:rPr>
            </w:pPr>
            <w:r>
              <w:rPr>
                <w:rFonts w:cs="Arial"/>
                <w:sz w:val="20"/>
                <w:szCs w:val="20"/>
              </w:rPr>
              <w:t>61</w:t>
            </w:r>
          </w:p>
        </w:tc>
        <w:tc>
          <w:tcPr>
            <w:tcW w:w="729" w:type="pct"/>
            <w:noWrap/>
            <w:vAlign w:val="center"/>
          </w:tcPr>
          <w:p w:rsidR="008426FD" w:rsidRDefault="008426FD" w:rsidP="00A03C9E">
            <w:pPr>
              <w:spacing w:before="0" w:after="0" w:line="240" w:lineRule="auto"/>
              <w:jc w:val="center"/>
              <w:rPr>
                <w:rFonts w:cs="Arial"/>
                <w:sz w:val="20"/>
                <w:szCs w:val="20"/>
              </w:rPr>
            </w:pPr>
            <w:r>
              <w:rPr>
                <w:rFonts w:cs="Arial"/>
                <w:sz w:val="20"/>
                <w:szCs w:val="20"/>
              </w:rPr>
              <w:t>58</w:t>
            </w:r>
          </w:p>
        </w:tc>
      </w:tr>
      <w:tr w:rsidR="008426FD" w:rsidRPr="00E35AE8" w:rsidTr="00A03C9E">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8426FD" w:rsidRPr="00B65CAC" w:rsidRDefault="008426FD"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8426FD" w:rsidRDefault="008426FD" w:rsidP="00A03C9E">
            <w:pPr>
              <w:spacing w:before="0" w:after="0" w:line="240" w:lineRule="auto"/>
              <w:jc w:val="center"/>
              <w:rPr>
                <w:rFonts w:cs="Arial"/>
                <w:szCs w:val="20"/>
              </w:rPr>
            </w:pPr>
            <w:r>
              <w:rPr>
                <w:rFonts w:cs="Arial"/>
                <w:szCs w:val="20"/>
              </w:rPr>
              <w:t>32</w:t>
            </w:r>
          </w:p>
        </w:tc>
        <w:tc>
          <w:tcPr>
            <w:tcW w:w="729" w:type="pct"/>
            <w:noWrap/>
            <w:vAlign w:val="center"/>
          </w:tcPr>
          <w:p w:rsidR="008426FD" w:rsidRDefault="008426FD" w:rsidP="00A03C9E">
            <w:pPr>
              <w:spacing w:before="0" w:after="0" w:line="240" w:lineRule="auto"/>
              <w:jc w:val="center"/>
              <w:rPr>
                <w:rFonts w:cs="Arial"/>
                <w:szCs w:val="20"/>
              </w:rPr>
            </w:pPr>
            <w:r>
              <w:rPr>
                <w:rFonts w:cs="Arial"/>
                <w:szCs w:val="20"/>
              </w:rPr>
              <w:t>40</w:t>
            </w:r>
          </w:p>
        </w:tc>
        <w:tc>
          <w:tcPr>
            <w:tcW w:w="728" w:type="pct"/>
            <w:noWrap/>
            <w:vAlign w:val="center"/>
          </w:tcPr>
          <w:p w:rsidR="008426FD" w:rsidRDefault="008426FD" w:rsidP="00A03C9E">
            <w:pPr>
              <w:spacing w:before="0" w:after="0" w:line="240" w:lineRule="auto"/>
              <w:jc w:val="center"/>
              <w:rPr>
                <w:rFonts w:cs="Arial"/>
                <w:szCs w:val="20"/>
              </w:rPr>
            </w:pPr>
            <w:r>
              <w:rPr>
                <w:rFonts w:cs="Arial"/>
                <w:szCs w:val="20"/>
              </w:rPr>
              <w:t>38</w:t>
            </w:r>
          </w:p>
        </w:tc>
        <w:tc>
          <w:tcPr>
            <w:tcW w:w="729" w:type="pct"/>
            <w:noWrap/>
            <w:vAlign w:val="center"/>
          </w:tcPr>
          <w:p w:rsidR="008426FD" w:rsidRDefault="008426FD" w:rsidP="00A03C9E">
            <w:pPr>
              <w:spacing w:before="0" w:after="0" w:line="240" w:lineRule="auto"/>
              <w:jc w:val="center"/>
              <w:rPr>
                <w:rFonts w:cs="Arial"/>
                <w:szCs w:val="20"/>
              </w:rPr>
            </w:pPr>
            <w:r>
              <w:rPr>
                <w:rFonts w:cs="Arial"/>
                <w:szCs w:val="20"/>
              </w:rPr>
              <w:t>49</w:t>
            </w:r>
          </w:p>
        </w:tc>
        <w:tc>
          <w:tcPr>
            <w:tcW w:w="729" w:type="pct"/>
            <w:noWrap/>
            <w:vAlign w:val="center"/>
          </w:tcPr>
          <w:p w:rsidR="008426FD" w:rsidRDefault="008426FD" w:rsidP="00A03C9E">
            <w:pPr>
              <w:spacing w:before="0" w:after="0" w:line="240" w:lineRule="auto"/>
              <w:jc w:val="center"/>
              <w:rPr>
                <w:rFonts w:cs="Arial"/>
                <w:szCs w:val="20"/>
              </w:rPr>
            </w:pPr>
            <w:r>
              <w:rPr>
                <w:rFonts w:cs="Arial"/>
                <w:szCs w:val="20"/>
              </w:rPr>
              <w:t>37</w:t>
            </w:r>
          </w:p>
        </w:tc>
      </w:tr>
      <w:tr w:rsidR="008426FD" w:rsidRPr="00E35AE8" w:rsidTr="00A03C9E">
        <w:trPr>
          <w:trHeight w:hRule="exact" w:val="340"/>
        </w:trPr>
        <w:tc>
          <w:tcPr>
            <w:tcW w:w="1357" w:type="pct"/>
            <w:noWrap/>
            <w:vAlign w:val="center"/>
            <w:hideMark/>
          </w:tcPr>
          <w:p w:rsidR="008426FD" w:rsidRPr="00B65CAC" w:rsidRDefault="008426FD"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8426FD" w:rsidRDefault="008426FD" w:rsidP="00A03C9E">
            <w:pPr>
              <w:spacing w:before="0" w:after="0" w:line="240" w:lineRule="auto"/>
              <w:jc w:val="center"/>
              <w:rPr>
                <w:rFonts w:cs="Arial"/>
                <w:sz w:val="20"/>
                <w:szCs w:val="20"/>
              </w:rPr>
            </w:pPr>
            <w:r>
              <w:rPr>
                <w:rFonts w:cs="Arial"/>
                <w:sz w:val="20"/>
                <w:szCs w:val="20"/>
              </w:rPr>
              <w:t>46</w:t>
            </w:r>
          </w:p>
        </w:tc>
        <w:tc>
          <w:tcPr>
            <w:tcW w:w="729" w:type="pct"/>
            <w:noWrap/>
            <w:vAlign w:val="center"/>
          </w:tcPr>
          <w:p w:rsidR="008426FD" w:rsidRDefault="008426FD" w:rsidP="00A03C9E">
            <w:pPr>
              <w:spacing w:before="0" w:after="0" w:line="240" w:lineRule="auto"/>
              <w:jc w:val="center"/>
              <w:rPr>
                <w:rFonts w:cs="Arial"/>
                <w:sz w:val="20"/>
                <w:szCs w:val="20"/>
              </w:rPr>
            </w:pPr>
            <w:r>
              <w:rPr>
                <w:rFonts w:cs="Arial"/>
                <w:sz w:val="20"/>
                <w:szCs w:val="20"/>
              </w:rPr>
              <w:t>46</w:t>
            </w:r>
          </w:p>
        </w:tc>
        <w:tc>
          <w:tcPr>
            <w:tcW w:w="728" w:type="pct"/>
            <w:noWrap/>
            <w:vAlign w:val="center"/>
          </w:tcPr>
          <w:p w:rsidR="008426FD" w:rsidRDefault="008426FD" w:rsidP="00A03C9E">
            <w:pPr>
              <w:spacing w:before="0" w:after="0" w:line="240" w:lineRule="auto"/>
              <w:jc w:val="center"/>
              <w:rPr>
                <w:rFonts w:cs="Arial"/>
                <w:sz w:val="20"/>
                <w:szCs w:val="20"/>
              </w:rPr>
            </w:pPr>
            <w:r>
              <w:rPr>
                <w:rFonts w:cs="Arial"/>
                <w:sz w:val="20"/>
                <w:szCs w:val="20"/>
              </w:rPr>
              <w:t>39</w:t>
            </w:r>
          </w:p>
        </w:tc>
        <w:tc>
          <w:tcPr>
            <w:tcW w:w="729" w:type="pct"/>
            <w:noWrap/>
            <w:vAlign w:val="center"/>
          </w:tcPr>
          <w:p w:rsidR="008426FD" w:rsidRDefault="008426FD" w:rsidP="00A03C9E">
            <w:pPr>
              <w:spacing w:before="0" w:after="0" w:line="240" w:lineRule="auto"/>
              <w:jc w:val="center"/>
              <w:rPr>
                <w:rFonts w:cs="Arial"/>
                <w:sz w:val="20"/>
                <w:szCs w:val="20"/>
              </w:rPr>
            </w:pPr>
            <w:r>
              <w:rPr>
                <w:rFonts w:cs="Arial"/>
                <w:sz w:val="20"/>
                <w:szCs w:val="20"/>
              </w:rPr>
              <w:t>70</w:t>
            </w:r>
          </w:p>
        </w:tc>
        <w:tc>
          <w:tcPr>
            <w:tcW w:w="729" w:type="pct"/>
            <w:noWrap/>
            <w:vAlign w:val="center"/>
          </w:tcPr>
          <w:p w:rsidR="008426FD" w:rsidRDefault="008426FD" w:rsidP="00A03C9E">
            <w:pPr>
              <w:spacing w:before="0" w:after="0" w:line="240" w:lineRule="auto"/>
              <w:jc w:val="center"/>
              <w:rPr>
                <w:rFonts w:cs="Arial"/>
                <w:sz w:val="20"/>
                <w:szCs w:val="20"/>
              </w:rPr>
            </w:pPr>
            <w:r>
              <w:rPr>
                <w:rFonts w:cs="Arial"/>
                <w:sz w:val="20"/>
                <w:szCs w:val="20"/>
              </w:rPr>
              <w:t>38</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8"/>
    <w:bookmarkEnd w:id="9"/>
    <w:p w:rsidR="008426FD" w:rsidRDefault="008426FD" w:rsidP="000E2946">
      <w:pPr>
        <w:pStyle w:val="AERHeading1"/>
      </w:pPr>
    </w:p>
    <w:p w:rsidR="00275002" w:rsidRPr="0031019A" w:rsidRDefault="00275002" w:rsidP="000E2946">
      <w:pPr>
        <w:pStyle w:val="AERHeading1"/>
      </w:pPr>
      <w:r w:rsidRPr="0031019A">
        <w:t>Spot market price forecast variations</w:t>
      </w:r>
    </w:p>
    <w:p w:rsidR="00275002"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8426FD">
        <w:t>139</w:t>
      </w:r>
      <w:r w:rsidR="0003564D">
        <w:t xml:space="preserve">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535DD4">
        <w:t xml:space="preserve">Table </w:t>
      </w:r>
      <w:r w:rsidR="00535DD4">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w:t>
      </w:r>
      <w:r w:rsidR="00275002" w:rsidRPr="0031019A">
        <w:lastRenderedPageBreak/>
        <w:t xml:space="preserve">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535DD4">
        <w:fldChar w:fldCharType="begin"/>
      </w:r>
      <w:r w:rsidR="00535DD4">
        <w:instrText xml:space="preserve"> SEQ Table \* ARABIC </w:instrText>
      </w:r>
      <w:r w:rsidR="00535DD4">
        <w:fldChar w:fldCharType="separate"/>
      </w:r>
      <w:r w:rsidR="00535DD4">
        <w:rPr>
          <w:noProof/>
        </w:rPr>
        <w:t>2</w:t>
      </w:r>
      <w:r w:rsidR="00535DD4">
        <w:rPr>
          <w:noProof/>
        </w:rPr>
        <w:fldChar w:fldCharType="end"/>
      </w:r>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9856DF" w:rsidRPr="00003169" w:rsidTr="009856DF">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9856DF" w:rsidRPr="00E35AE8" w:rsidRDefault="009856DF"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9856DF" w:rsidRPr="009856DF" w:rsidRDefault="009856DF" w:rsidP="009856DF">
            <w:pPr>
              <w:spacing w:after="0" w:line="240" w:lineRule="auto"/>
              <w:jc w:val="center"/>
              <w:rPr>
                <w:sz w:val="20"/>
                <w:szCs w:val="20"/>
              </w:rPr>
            </w:pPr>
            <w:r w:rsidRPr="009856DF">
              <w:rPr>
                <w:sz w:val="20"/>
                <w:szCs w:val="20"/>
              </w:rPr>
              <w:t>6</w:t>
            </w:r>
          </w:p>
        </w:tc>
        <w:tc>
          <w:tcPr>
            <w:tcW w:w="1572" w:type="dxa"/>
            <w:noWrap/>
            <w:vAlign w:val="center"/>
          </w:tcPr>
          <w:p w:rsidR="009856DF" w:rsidRPr="009856DF" w:rsidRDefault="009856DF" w:rsidP="009856DF">
            <w:pPr>
              <w:spacing w:after="0" w:line="240" w:lineRule="auto"/>
              <w:jc w:val="center"/>
              <w:rPr>
                <w:sz w:val="20"/>
                <w:szCs w:val="20"/>
              </w:rPr>
            </w:pPr>
            <w:r w:rsidRPr="009856DF">
              <w:rPr>
                <w:sz w:val="20"/>
                <w:szCs w:val="20"/>
              </w:rPr>
              <w:t>29</w:t>
            </w:r>
          </w:p>
        </w:tc>
        <w:tc>
          <w:tcPr>
            <w:tcW w:w="1572" w:type="dxa"/>
            <w:noWrap/>
            <w:vAlign w:val="center"/>
          </w:tcPr>
          <w:p w:rsidR="009856DF" w:rsidRPr="009856DF" w:rsidRDefault="009856DF" w:rsidP="009856DF">
            <w:pPr>
              <w:spacing w:after="0" w:line="240" w:lineRule="auto"/>
              <w:jc w:val="center"/>
              <w:rPr>
                <w:sz w:val="20"/>
                <w:szCs w:val="20"/>
              </w:rPr>
            </w:pPr>
            <w:r w:rsidRPr="009856DF">
              <w:rPr>
                <w:sz w:val="20"/>
                <w:szCs w:val="20"/>
              </w:rPr>
              <w:t>1</w:t>
            </w:r>
          </w:p>
        </w:tc>
        <w:tc>
          <w:tcPr>
            <w:tcW w:w="1572" w:type="dxa"/>
            <w:vAlign w:val="center"/>
          </w:tcPr>
          <w:p w:rsidR="009856DF" w:rsidRPr="009856DF" w:rsidRDefault="009856DF" w:rsidP="009856DF">
            <w:pPr>
              <w:spacing w:after="0" w:line="240" w:lineRule="auto"/>
              <w:jc w:val="center"/>
              <w:rPr>
                <w:sz w:val="20"/>
                <w:szCs w:val="20"/>
              </w:rPr>
            </w:pPr>
            <w:r w:rsidRPr="009856DF">
              <w:rPr>
                <w:sz w:val="20"/>
                <w:szCs w:val="20"/>
              </w:rPr>
              <w:t>3</w:t>
            </w:r>
          </w:p>
        </w:tc>
      </w:tr>
      <w:tr w:rsidR="009856DF" w:rsidRPr="00003169" w:rsidTr="009856DF">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9856DF" w:rsidRPr="00E35AE8" w:rsidRDefault="009856DF"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9856DF" w:rsidRPr="009856DF" w:rsidRDefault="009856DF" w:rsidP="009856DF">
            <w:pPr>
              <w:spacing w:after="0" w:line="240" w:lineRule="auto"/>
              <w:jc w:val="center"/>
              <w:rPr>
                <w:sz w:val="20"/>
                <w:szCs w:val="20"/>
              </w:rPr>
            </w:pPr>
            <w:r w:rsidRPr="009856DF">
              <w:rPr>
                <w:sz w:val="20"/>
                <w:szCs w:val="20"/>
              </w:rPr>
              <w:t>53</w:t>
            </w:r>
          </w:p>
        </w:tc>
        <w:tc>
          <w:tcPr>
            <w:tcW w:w="1572" w:type="dxa"/>
            <w:noWrap/>
            <w:vAlign w:val="center"/>
          </w:tcPr>
          <w:p w:rsidR="009856DF" w:rsidRPr="009856DF" w:rsidRDefault="009856DF" w:rsidP="009856DF">
            <w:pPr>
              <w:spacing w:after="0" w:line="240" w:lineRule="auto"/>
              <w:jc w:val="center"/>
              <w:rPr>
                <w:sz w:val="20"/>
                <w:szCs w:val="20"/>
              </w:rPr>
            </w:pPr>
            <w:r w:rsidRPr="009856DF">
              <w:rPr>
                <w:sz w:val="20"/>
                <w:szCs w:val="20"/>
              </w:rPr>
              <w:t>5</w:t>
            </w:r>
          </w:p>
        </w:tc>
        <w:tc>
          <w:tcPr>
            <w:tcW w:w="1572" w:type="dxa"/>
            <w:noWrap/>
            <w:vAlign w:val="center"/>
          </w:tcPr>
          <w:p w:rsidR="009856DF" w:rsidRPr="009856DF" w:rsidRDefault="009856DF" w:rsidP="009856DF">
            <w:pPr>
              <w:spacing w:after="0" w:line="240" w:lineRule="auto"/>
              <w:jc w:val="center"/>
              <w:rPr>
                <w:sz w:val="20"/>
                <w:szCs w:val="20"/>
              </w:rPr>
            </w:pPr>
            <w:r w:rsidRPr="009856DF">
              <w:rPr>
                <w:sz w:val="20"/>
                <w:szCs w:val="20"/>
              </w:rPr>
              <w:t>0</w:t>
            </w:r>
          </w:p>
        </w:tc>
        <w:tc>
          <w:tcPr>
            <w:tcW w:w="1572" w:type="dxa"/>
            <w:vAlign w:val="center"/>
          </w:tcPr>
          <w:p w:rsidR="009856DF" w:rsidRPr="009856DF" w:rsidRDefault="009856DF" w:rsidP="009856DF">
            <w:pPr>
              <w:spacing w:after="0" w:line="240" w:lineRule="auto"/>
              <w:jc w:val="center"/>
              <w:rPr>
                <w:sz w:val="20"/>
                <w:szCs w:val="20"/>
              </w:rPr>
            </w:pPr>
            <w:r w:rsidRPr="009856DF">
              <w:rPr>
                <w:sz w:val="20"/>
                <w:szCs w:val="20"/>
              </w:rPr>
              <w:t>4</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535DD4" w:rsidRDefault="00275002" w:rsidP="00535DD4">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535DD4">
        <w:t xml:space="preserve">Figure </w:t>
      </w:r>
      <w:r w:rsidR="00535DD4">
        <w:rPr>
          <w:noProof/>
        </w:rPr>
        <w:t>3</w:t>
      </w:r>
      <w:r>
        <w:fldChar w:fldCharType="end"/>
      </w:r>
      <w:r w:rsidRPr="0031019A">
        <w:t xml:space="preserve"> to</w:t>
      </w:r>
      <w:r>
        <w:fldChar w:fldCharType="begin"/>
      </w:r>
      <w:r>
        <w:instrText xml:space="preserve"> REF _Ref410383520 \h </w:instrText>
      </w:r>
      <w:r w:rsidR="009A3D22">
        <w:instrText xml:space="preserve"> \* MERGEFORMAT </w:instrText>
      </w:r>
      <w:r>
        <w:fldChar w:fldCharType="separate"/>
      </w:r>
    </w:p>
    <w:p w:rsidR="003A0810" w:rsidRDefault="00535DD4" w:rsidP="009A3D22">
      <w:pPr>
        <w:jc w:val="both"/>
      </w:pPr>
      <w:r>
        <w:rPr>
          <w:noProof/>
        </w:rPr>
        <w:t xml:space="preserve">Figure </w:t>
      </w:r>
      <w:proofErr w:type="gramStart"/>
      <w:r>
        <w:rPr>
          <w:noProof/>
        </w:rPr>
        <w:t>7</w:t>
      </w:r>
      <w:r w:rsidR="00275002">
        <w:fldChar w:fldCharType="end"/>
      </w:r>
      <w:r w:rsidR="00275002" w:rsidRPr="0031019A">
        <w:t xml:space="preserve"> show</w:t>
      </w:r>
      <w:proofErr w:type="gramEnd"/>
      <w:r w:rsidR="00275002" w:rsidRPr="0031019A">
        <w:t xml:space="preserve">,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535DD4">
        <w:fldChar w:fldCharType="begin"/>
      </w:r>
      <w:r w:rsidR="00535DD4">
        <w:instrText xml:space="preserve"> SEQ Figure \* ARABIC </w:instrText>
      </w:r>
      <w:r w:rsidR="00535DD4">
        <w:fldChar w:fldCharType="separate"/>
      </w:r>
      <w:r w:rsidR="00535DD4">
        <w:rPr>
          <w:noProof/>
        </w:rPr>
        <w:t>3</w:t>
      </w:r>
      <w:r w:rsidR="00535DD4">
        <w:rPr>
          <w:noProof/>
        </w:rPr>
        <w:fldChar w:fldCharType="end"/>
      </w:r>
      <w:bookmarkEnd w:id="14"/>
      <w:r>
        <w:t xml:space="preserve">: Queensland </w:t>
      </w:r>
      <w:r w:rsidRPr="00690328">
        <w:t>generation and bidding patterns</w:t>
      </w:r>
    </w:p>
    <w:p w:rsidR="00275002" w:rsidRDefault="008426FD" w:rsidP="00275002">
      <w:r w:rsidRPr="008426FD">
        <w:rPr>
          <w:noProof/>
          <w:lang w:eastAsia="en-AU"/>
        </w:rPr>
        <w:drawing>
          <wp:inline distT="0" distB="0" distL="0" distR="0" wp14:anchorId="04FF1302" wp14:editId="4888E567">
            <wp:extent cx="5731510" cy="4118724"/>
            <wp:effectExtent l="0" t="0" r="2540" b="0"/>
            <wp:docPr id="3" name="Picture 3"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5" w:name="_Ref428273135"/>
      <w:r>
        <w:lastRenderedPageBreak/>
        <w:t xml:space="preserve">Figure </w:t>
      </w:r>
      <w:r w:rsidR="00535DD4">
        <w:fldChar w:fldCharType="begin"/>
      </w:r>
      <w:r w:rsidR="00535DD4">
        <w:instrText xml:space="preserve"> SEQ Figure \* ARABIC </w:instrText>
      </w:r>
      <w:r w:rsidR="00535DD4">
        <w:fldChar w:fldCharType="separate"/>
      </w:r>
      <w:r w:rsidR="00535DD4">
        <w:rPr>
          <w:noProof/>
        </w:rPr>
        <w:t>4</w:t>
      </w:r>
      <w:r w:rsidR="00535DD4">
        <w:rPr>
          <w:noProof/>
        </w:rPr>
        <w:fldChar w:fldCharType="end"/>
      </w:r>
      <w:bookmarkEnd w:id="15"/>
      <w:r>
        <w:t xml:space="preserve">: </w:t>
      </w:r>
      <w:r w:rsidRPr="00CC5077">
        <w:t>New South Wales generation and bidding patterns</w:t>
      </w:r>
    </w:p>
    <w:p w:rsidR="00181C46" w:rsidRPr="00181C46" w:rsidRDefault="008426FD" w:rsidP="00181C46">
      <w:r w:rsidRPr="008426FD">
        <w:rPr>
          <w:noProof/>
          <w:lang w:eastAsia="en-AU"/>
        </w:rPr>
        <w:drawing>
          <wp:inline distT="0" distB="0" distL="0" distR="0" wp14:anchorId="46D58AAB" wp14:editId="09358B54">
            <wp:extent cx="5731510" cy="4125116"/>
            <wp:effectExtent l="0" t="0" r="2540" b="8890"/>
            <wp:docPr id="4" name="Picture 4"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5116"/>
                    </a:xfrm>
                    <a:prstGeom prst="rect">
                      <a:avLst/>
                    </a:prstGeom>
                    <a:noFill/>
                    <a:ln>
                      <a:noFill/>
                    </a:ln>
                  </pic:spPr>
                </pic:pic>
              </a:graphicData>
            </a:graphic>
          </wp:inline>
        </w:drawing>
      </w:r>
    </w:p>
    <w:p w:rsidR="00275002" w:rsidRDefault="00275002" w:rsidP="000E2946">
      <w:pPr>
        <w:pStyle w:val="Caption"/>
      </w:pPr>
      <w:r>
        <w:t xml:space="preserve">Figure </w:t>
      </w:r>
      <w:r w:rsidR="00535DD4">
        <w:fldChar w:fldCharType="begin"/>
      </w:r>
      <w:r w:rsidR="00535DD4">
        <w:instrText xml:space="preserve"> SEQ Figure \* ARABIC </w:instrText>
      </w:r>
      <w:r w:rsidR="00535DD4">
        <w:fldChar w:fldCharType="separate"/>
      </w:r>
      <w:r w:rsidR="00535DD4">
        <w:rPr>
          <w:noProof/>
        </w:rPr>
        <w:t>5</w:t>
      </w:r>
      <w:r w:rsidR="00535DD4">
        <w:rPr>
          <w:noProof/>
        </w:rPr>
        <w:fldChar w:fldCharType="end"/>
      </w:r>
      <w:r w:rsidRPr="0003635A">
        <w:t>: Victoria generation and bidding patterns</w:t>
      </w:r>
    </w:p>
    <w:p w:rsidR="00181C46" w:rsidRPr="00181C46" w:rsidRDefault="008426FD" w:rsidP="00181C46">
      <w:r w:rsidRPr="008426FD">
        <w:rPr>
          <w:noProof/>
          <w:lang w:eastAsia="en-AU"/>
        </w:rPr>
        <w:drawing>
          <wp:inline distT="0" distB="0" distL="0" distR="0" wp14:anchorId="662EDABF" wp14:editId="2E8ACB4C">
            <wp:extent cx="5731510" cy="4118724"/>
            <wp:effectExtent l="0" t="0" r="2540" b="0"/>
            <wp:docPr id="5" name="Picture 5"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6" w:name="_Ref423965683"/>
      <w:r>
        <w:lastRenderedPageBreak/>
        <w:t xml:space="preserve">Figure </w:t>
      </w:r>
      <w:r w:rsidR="00535DD4">
        <w:fldChar w:fldCharType="begin"/>
      </w:r>
      <w:r w:rsidR="00535DD4">
        <w:instrText xml:space="preserve"> SEQ Figure \* ARABIC </w:instrText>
      </w:r>
      <w:r w:rsidR="00535DD4">
        <w:fldChar w:fldCharType="separate"/>
      </w:r>
      <w:r w:rsidR="00535DD4">
        <w:rPr>
          <w:noProof/>
        </w:rPr>
        <w:t>6</w:t>
      </w:r>
      <w:r w:rsidR="00535DD4">
        <w:rPr>
          <w:noProof/>
        </w:rPr>
        <w:fldChar w:fldCharType="end"/>
      </w:r>
      <w:bookmarkEnd w:id="16"/>
      <w:r>
        <w:t>:</w:t>
      </w:r>
      <w:r w:rsidRPr="00BD00EB">
        <w:t xml:space="preserve"> South Australia generation and bidding patterns</w:t>
      </w:r>
    </w:p>
    <w:p w:rsidR="00440D85" w:rsidRDefault="008426FD" w:rsidP="00977521">
      <w:r w:rsidRPr="008426FD">
        <w:rPr>
          <w:noProof/>
          <w:lang w:eastAsia="en-AU"/>
        </w:rPr>
        <w:drawing>
          <wp:inline distT="0" distB="0" distL="0" distR="0" wp14:anchorId="1DA5EA65" wp14:editId="011DD89F">
            <wp:extent cx="5731510" cy="4118724"/>
            <wp:effectExtent l="0" t="0" r="2540" b="0"/>
            <wp:docPr id="6" name="Picture 6"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bookmarkStart w:id="17" w:name="_Ref410383520"/>
    </w:p>
    <w:p w:rsidR="00275002" w:rsidRDefault="00275002" w:rsidP="000E2946">
      <w:pPr>
        <w:pStyle w:val="Caption"/>
      </w:pPr>
      <w:r>
        <w:t xml:space="preserve">Figure </w:t>
      </w:r>
      <w:r w:rsidR="00535DD4">
        <w:fldChar w:fldCharType="begin"/>
      </w:r>
      <w:r w:rsidR="00535DD4">
        <w:instrText xml:space="preserve"> SEQ Figure \* ARABIC </w:instrText>
      </w:r>
      <w:r w:rsidR="00535DD4">
        <w:fldChar w:fldCharType="separate"/>
      </w:r>
      <w:r w:rsidR="00535DD4">
        <w:rPr>
          <w:noProof/>
        </w:rPr>
        <w:t>7</w:t>
      </w:r>
      <w:r w:rsidR="00535DD4">
        <w:rPr>
          <w:noProof/>
        </w:rPr>
        <w:fldChar w:fldCharType="end"/>
      </w:r>
      <w:bookmarkEnd w:id="17"/>
      <w:r>
        <w:t xml:space="preserve">: </w:t>
      </w:r>
      <w:r w:rsidRPr="008837C4">
        <w:t>Tasmania generation and bidding patterns</w:t>
      </w:r>
    </w:p>
    <w:p w:rsidR="00983EEC" w:rsidRDefault="008426FD" w:rsidP="00275002">
      <w:r w:rsidRPr="008426FD">
        <w:rPr>
          <w:noProof/>
          <w:lang w:eastAsia="en-AU"/>
        </w:rPr>
        <w:drawing>
          <wp:inline distT="0" distB="0" distL="0" distR="0" wp14:anchorId="710BFA84" wp14:editId="739680FA">
            <wp:extent cx="5731510" cy="4118724"/>
            <wp:effectExtent l="0" t="0" r="2540" b="0"/>
            <wp:docPr id="7" name="Picture 7"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Pr="0031019A" w:rsidRDefault="00275002" w:rsidP="00914A87">
      <w:pPr>
        <w:pStyle w:val="AERHeading1"/>
      </w:pPr>
      <w:r w:rsidRPr="0031019A">
        <w:lastRenderedPageBreak/>
        <w:t>Frequency control ancillary services markets</w:t>
      </w:r>
    </w:p>
    <w:p w:rsidR="00275002" w:rsidRPr="0031019A" w:rsidRDefault="00275002" w:rsidP="00B52A51">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B52A51">
      <w:pPr>
        <w:pStyle w:val="Bulletpoint"/>
        <w:jc w:val="both"/>
      </w:pPr>
      <w:r w:rsidRPr="0031019A">
        <w:t>fast services, which arrest a frequency deviation within the first 6 seconds of a contingent event (raise and lower 6 second)</w:t>
      </w:r>
    </w:p>
    <w:p w:rsidR="00275002" w:rsidRPr="0031019A" w:rsidRDefault="00275002" w:rsidP="00B52A51">
      <w:pPr>
        <w:pStyle w:val="Bulletpoint"/>
        <w:jc w:val="both"/>
      </w:pPr>
      <w:r w:rsidRPr="0031019A">
        <w:t>slow services, which stabilise frequency deviations within 60 seconds of the event (raise and lower 60 second)</w:t>
      </w:r>
    </w:p>
    <w:p w:rsidR="00275002" w:rsidRPr="0031019A" w:rsidRDefault="00275002" w:rsidP="00B52A51">
      <w:pPr>
        <w:pStyle w:val="Bulletpoint"/>
        <w:jc w:val="both"/>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B52A51">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B52A51">
      <w:pPr>
        <w:pStyle w:val="AERbodytext"/>
        <w:spacing w:before="120" w:after="120"/>
        <w:rPr>
          <w:b/>
          <w:bCs/>
        </w:rPr>
      </w:pPr>
      <w:bookmarkStart w:id="18" w:name="_Ref410383413"/>
      <w:r w:rsidRPr="00857917">
        <w:t>The total cost of FCAS on the mainland for the</w:t>
      </w:r>
      <w:r w:rsidR="005F7247">
        <w:t xml:space="preserve"> week was $</w:t>
      </w:r>
      <w:r w:rsidR="007E3318">
        <w:t>1 </w:t>
      </w:r>
      <w:r w:rsidR="00942DD0">
        <w:t>87</w:t>
      </w:r>
      <w:r w:rsidR="00977521">
        <w:t>5</w:t>
      </w:r>
      <w:r w:rsidR="00B109DD">
        <w:t> </w:t>
      </w:r>
      <w:r w:rsidR="005707D4">
        <w:t>0</w:t>
      </w:r>
      <w:r>
        <w:t xml:space="preserve">00 or less than </w:t>
      </w:r>
      <w:r w:rsidR="00613DEC">
        <w:t>1</w:t>
      </w:r>
      <w:r w:rsidRPr="00857917">
        <w:t xml:space="preserve"> per cent of energy turnover on the mainland.</w:t>
      </w:r>
    </w:p>
    <w:p w:rsidR="00411897" w:rsidRDefault="00857917" w:rsidP="00B52A51">
      <w:pPr>
        <w:pStyle w:val="AERbodytext"/>
        <w:rPr>
          <w:b/>
          <w:bCs/>
        </w:rPr>
      </w:pPr>
      <w:r w:rsidRPr="00857917">
        <w:t>The total cost of FCAS in Tasmania for the week was $</w:t>
      </w:r>
      <w:r w:rsidR="00942DD0">
        <w:t>153</w:t>
      </w:r>
      <w:r w:rsidR="0079277A">
        <w:t> </w:t>
      </w:r>
      <w:r w:rsidR="00977521">
        <w:t>0</w:t>
      </w:r>
      <w:r w:rsidR="00613DEC">
        <w:t xml:space="preserve">00 or </w:t>
      </w:r>
      <w:r w:rsidR="00837F64">
        <w:t>around</w:t>
      </w:r>
      <w:r w:rsidR="00942DD0">
        <w:t xml:space="preserve"> </w:t>
      </w:r>
      <w:r w:rsidR="009569F4">
        <w:t>1.5</w:t>
      </w:r>
      <w:r w:rsidR="00852B3D">
        <w:t xml:space="preserve"> </w:t>
      </w:r>
      <w:r w:rsidRPr="00857917">
        <w:t>per cent of energy turnover in Tasmania.</w:t>
      </w:r>
    </w:p>
    <w:p w:rsidR="00F3590E" w:rsidRDefault="00F3590E" w:rsidP="00B52A51">
      <w:pPr>
        <w:jc w:val="both"/>
        <w:rPr>
          <w:rFonts w:cs="Arial"/>
        </w:rPr>
      </w:pPr>
      <w:r>
        <w:fldChar w:fldCharType="begin"/>
      </w:r>
      <w:r>
        <w:instrText xml:space="preserve"> REF _Ref418082853 \h </w:instrText>
      </w:r>
      <w:r w:rsidR="00B52A51">
        <w:instrText xml:space="preserve"> \* MERGEFORMAT </w:instrText>
      </w:r>
      <w:r>
        <w:fldChar w:fldCharType="separate"/>
      </w:r>
      <w:r w:rsidR="00535DD4">
        <w:t xml:space="preserve">Figure </w:t>
      </w:r>
      <w:r w:rsidR="00535DD4">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9" w:name="_Ref418082853"/>
      <w:r>
        <w:t xml:space="preserve">Figure </w:t>
      </w:r>
      <w:r w:rsidR="00535DD4">
        <w:fldChar w:fldCharType="begin"/>
      </w:r>
      <w:r w:rsidR="00535DD4">
        <w:instrText xml:space="preserve"> SEQ Figure \* ARABIC </w:instrText>
      </w:r>
      <w:r w:rsidR="00535DD4">
        <w:fldChar w:fldCharType="separate"/>
      </w:r>
      <w:r w:rsidR="00535DD4">
        <w:rPr>
          <w:noProof/>
        </w:rPr>
        <w:t>8</w:t>
      </w:r>
      <w:r w:rsidR="00535DD4">
        <w:rPr>
          <w:noProof/>
        </w:rPr>
        <w:fldChar w:fldCharType="end"/>
      </w:r>
      <w:bookmarkEnd w:id="18"/>
      <w:bookmarkEnd w:id="19"/>
      <w:r w:rsidRPr="007707C6">
        <w:t>: Daily frequency control ancillary service cost</w:t>
      </w:r>
    </w:p>
    <w:p w:rsidR="005707D4" w:rsidRDefault="00996B87" w:rsidP="005707D4">
      <w:r w:rsidRPr="00996B87">
        <w:rPr>
          <w:noProof/>
          <w:lang w:eastAsia="en-AU"/>
        </w:rPr>
        <w:drawing>
          <wp:inline distT="0" distB="0" distL="0" distR="0" wp14:anchorId="6FDEF91E" wp14:editId="5807EF4E">
            <wp:extent cx="5731510" cy="3441864"/>
            <wp:effectExtent l="0" t="0" r="2540" b="6350"/>
            <wp:docPr id="22" name="Picture 22"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441864"/>
                    </a:xfrm>
                    <a:prstGeom prst="rect">
                      <a:avLst/>
                    </a:prstGeom>
                    <a:noFill/>
                    <a:ln>
                      <a:noFill/>
                    </a:ln>
                  </pic:spPr>
                </pic:pic>
              </a:graphicData>
            </a:graphic>
          </wp:inline>
        </w:drawing>
      </w:r>
    </w:p>
    <w:p w:rsidR="00D66943" w:rsidRDefault="00D66943" w:rsidP="005707D4"/>
    <w:p w:rsidR="000377F7" w:rsidRDefault="00690B70" w:rsidP="00B52A51">
      <w:pPr>
        <w:jc w:val="both"/>
      </w:pPr>
      <w:r>
        <w:lastRenderedPageBreak/>
        <w:t>In Tasmania o</w:t>
      </w:r>
      <w:r w:rsidR="006146F0">
        <w:t>n Monday 21 September</w:t>
      </w:r>
      <w:r w:rsidR="000377F7" w:rsidRPr="000377F7">
        <w:t xml:space="preserve"> </w:t>
      </w:r>
      <w:r w:rsidR="000377F7">
        <w:t xml:space="preserve">at 11.35 am </w:t>
      </w:r>
      <w:r w:rsidR="000377F7" w:rsidRPr="000377F7">
        <w:t xml:space="preserve">a system normal constraint which manages the raise 6 second FCAS requirement in Tasmania for the loss of a Smithton to Woolnorth 110 kV line, or Norwood to </w:t>
      </w:r>
      <w:proofErr w:type="spellStart"/>
      <w:r w:rsidR="000377F7" w:rsidRPr="000377F7">
        <w:t>Scotsdale</w:t>
      </w:r>
      <w:proofErr w:type="spellEnd"/>
      <w:r w:rsidR="000377F7" w:rsidRPr="000377F7">
        <w:t xml:space="preserve"> to Derby 110 kV lines</w:t>
      </w:r>
      <w:r w:rsidR="000377F7">
        <w:t xml:space="preserve"> violated</w:t>
      </w:r>
      <w:r w:rsidR="000377F7" w:rsidRPr="000377F7">
        <w:t xml:space="preserve">. While the constraint was </w:t>
      </w:r>
      <w:r w:rsidR="00837F64">
        <w:t xml:space="preserve">binding or </w:t>
      </w:r>
      <w:r w:rsidR="000377F7">
        <w:t>violating</w:t>
      </w:r>
      <w:r w:rsidR="000377F7" w:rsidRPr="000377F7">
        <w:t xml:space="preserve"> </w:t>
      </w:r>
      <w:proofErr w:type="spellStart"/>
      <w:r w:rsidR="000377F7" w:rsidRPr="000377F7">
        <w:t>Basslink</w:t>
      </w:r>
      <w:proofErr w:type="spellEnd"/>
      <w:r w:rsidR="000377F7" w:rsidRPr="000377F7">
        <w:t xml:space="preserve"> was unable to transfer FCAS and the region had to source the service locally. Increased raise 6 second requirements saw the price spike to </w:t>
      </w:r>
      <w:r w:rsidR="000377F7">
        <w:t>$7390/MW</w:t>
      </w:r>
      <w:r w:rsidR="000377F7" w:rsidRPr="000377F7">
        <w:t>.</w:t>
      </w:r>
    </w:p>
    <w:p w:rsidR="007E1BD5" w:rsidRDefault="00690B70" w:rsidP="007E1BD5">
      <w:pPr>
        <w:jc w:val="both"/>
        <w:rPr>
          <w:rFonts w:cs="Arial"/>
        </w:rPr>
      </w:pPr>
      <w:r>
        <w:t>In Queensland o</w:t>
      </w:r>
      <w:r w:rsidR="007E796F">
        <w:t>n Wednesday 23 September</w:t>
      </w:r>
      <w:r w:rsidR="000377F7" w:rsidRPr="000377F7">
        <w:rPr>
          <w:rFonts w:cs="Arial"/>
        </w:rPr>
        <w:t xml:space="preserve"> </w:t>
      </w:r>
      <w:r w:rsidR="000377F7">
        <w:rPr>
          <w:rFonts w:cs="Arial"/>
        </w:rPr>
        <w:t>Lower 6 second service price</w:t>
      </w:r>
      <w:r>
        <w:rPr>
          <w:rFonts w:cs="Arial"/>
        </w:rPr>
        <w:t>s</w:t>
      </w:r>
      <w:r w:rsidR="000377F7">
        <w:rPr>
          <w:rFonts w:cs="Arial"/>
        </w:rPr>
        <w:t xml:space="preserve"> exce</w:t>
      </w:r>
      <w:r>
        <w:rPr>
          <w:rFonts w:cs="Arial"/>
        </w:rPr>
        <w:t>eded</w:t>
      </w:r>
      <w:r w:rsidR="000377F7">
        <w:rPr>
          <w:rFonts w:cs="Arial"/>
        </w:rPr>
        <w:t xml:space="preserve"> $13 200/MW from 6.05 pm to 6.45 pm at a cost of around $1.5 million</w:t>
      </w:r>
      <w:r w:rsidR="007E796F">
        <w:t xml:space="preserve">. </w:t>
      </w:r>
      <w:r>
        <w:t>A line outage in Northern New South Wales which affected QNI resulted in the requirement for local lower 6 second services in Queensland</w:t>
      </w:r>
      <w:r w:rsidR="007E796F">
        <w:t xml:space="preserve">. </w:t>
      </w:r>
      <w:r w:rsidR="007E796F" w:rsidRPr="004C515B">
        <w:rPr>
          <w:rFonts w:cs="Arial"/>
        </w:rPr>
        <w:t xml:space="preserve">Events of 23 September 2015 will be discussed in the relevant </w:t>
      </w:r>
      <w:r w:rsidR="007E796F" w:rsidRPr="004C515B">
        <w:rPr>
          <w:rFonts w:cs="Arial"/>
          <w:i/>
        </w:rPr>
        <w:t>Spot prices above $5000/MWh</w:t>
      </w:r>
      <w:r w:rsidR="007E796F">
        <w:rPr>
          <w:rFonts w:cs="Arial"/>
        </w:rPr>
        <w:t xml:space="preserve"> report which will be available on the </w:t>
      </w:r>
      <w:hyperlink r:id="rId19" w:history="1">
        <w:r w:rsidR="007E796F" w:rsidRPr="003D2093">
          <w:rPr>
            <w:rStyle w:val="Hyperlink"/>
            <w:rFonts w:cs="Arial"/>
          </w:rPr>
          <w:t>AER website</w:t>
        </w:r>
      </w:hyperlink>
      <w:r w:rsidR="007E796F">
        <w:rPr>
          <w:rFonts w:cs="Arial"/>
        </w:rPr>
        <w:t>.</w:t>
      </w:r>
      <w:bookmarkEnd w:id="0"/>
      <w:bookmarkEnd w:id="1"/>
      <w:bookmarkEnd w:id="2"/>
      <w:bookmarkEnd w:id="3"/>
      <w:bookmarkEnd w:id="4"/>
      <w:bookmarkEnd w:id="5"/>
    </w:p>
    <w:p w:rsidR="005F7247" w:rsidRPr="00405CDE" w:rsidRDefault="005F7247" w:rsidP="00627B2D">
      <w:pPr>
        <w:pStyle w:val="AERHeading1"/>
        <w:keepNext/>
        <w:rPr>
          <w:rFonts w:cs="Arial"/>
        </w:rPr>
      </w:pPr>
      <w:r w:rsidRPr="00405CDE">
        <w:rPr>
          <w:rFonts w:cs="Arial"/>
        </w:rPr>
        <w:t>Detailed market analysis of significant price events</w:t>
      </w:r>
    </w:p>
    <w:p w:rsidR="007F54CC" w:rsidRDefault="005F7247" w:rsidP="00C3711F">
      <w:pPr>
        <w:jc w:val="both"/>
      </w:pPr>
      <w:r w:rsidRPr="00405CDE">
        <w:rPr>
          <w:rFonts w:cs="Arial"/>
        </w:rPr>
        <w:t>We provide more detailed analysis of events where the spot price was greater than three times the weekly average price in a region and above $</w:t>
      </w:r>
      <w:r w:rsidR="00A67D14">
        <w:rPr>
          <w:rFonts w:cs="Arial"/>
        </w:rPr>
        <w:t xml:space="preserve">250/MWh or was below </w:t>
      </w:r>
      <w:r w:rsidR="00A67D14">
        <w:rPr>
          <w:rFonts w:cs="Arial"/>
        </w:rPr>
        <w:noBreakHyphen/>
        <w:t>$100/MWh.</w:t>
      </w:r>
      <w:r w:rsidR="00551D05">
        <w:t xml:space="preserve"> </w:t>
      </w:r>
      <w:r w:rsidR="00BA4E5E">
        <w:t>There was one occasion</w:t>
      </w:r>
      <w:r w:rsidR="00977521" w:rsidRPr="00977521">
        <w:t xml:space="preserve"> in South Australia</w:t>
      </w:r>
      <w:r w:rsidR="00551D05">
        <w:t xml:space="preserve"> and Victoria</w:t>
      </w:r>
      <w:r w:rsidR="007146A5">
        <w:t>,</w:t>
      </w:r>
      <w:r w:rsidR="00551D05">
        <w:t xml:space="preserve"> and two occasions in Tasmania and New South Wales that exceeded this threshold.</w:t>
      </w:r>
    </w:p>
    <w:p w:rsidR="003E5574" w:rsidRDefault="003E5574" w:rsidP="003E5574">
      <w:pPr>
        <w:pStyle w:val="AERHeading3"/>
      </w:pPr>
      <w:r>
        <w:t>Tasmania</w:t>
      </w:r>
      <w:r w:rsidRPr="00002B2F">
        <w:t xml:space="preserve"> </w:t>
      </w:r>
    </w:p>
    <w:p w:rsidR="00A22BEE" w:rsidRDefault="00A22BEE" w:rsidP="00A22BEE">
      <w:pPr>
        <w:pStyle w:val="AERHeading3"/>
      </w:pPr>
      <w:r>
        <w:t xml:space="preserve">Monday, 21 September </w:t>
      </w:r>
    </w:p>
    <w:p w:rsidR="00A22BEE" w:rsidRPr="005D2FBD" w:rsidRDefault="00A22BEE" w:rsidP="00A22BEE">
      <w:pPr>
        <w:pStyle w:val="Caption"/>
      </w:pPr>
      <w:r>
        <w:t xml:space="preserve">Table </w:t>
      </w:r>
      <w:r w:rsidR="00535DD4">
        <w:fldChar w:fldCharType="begin"/>
      </w:r>
      <w:r w:rsidR="00535DD4">
        <w:instrText xml:space="preserve"> SEQ Table \* ARABIC </w:instrText>
      </w:r>
      <w:r w:rsidR="00535DD4">
        <w:fldChar w:fldCharType="separate"/>
      </w:r>
      <w:r w:rsidR="00535DD4">
        <w:rPr>
          <w:noProof/>
        </w:rPr>
        <w:t>3</w:t>
      </w:r>
      <w:r w:rsidR="00535DD4">
        <w:rPr>
          <w:noProof/>
        </w:rPr>
        <w:fldChar w:fldCharType="end"/>
      </w:r>
      <w:r>
        <w:t>:</w:t>
      </w:r>
      <w:r w:rsidRPr="00431FC4">
        <w:t xml:space="preserve"> </w:t>
      </w:r>
      <w:r>
        <w:t xml:space="preserve">Midday </w:t>
      </w:r>
      <w:r w:rsidRPr="00431FC4">
        <w:t>Price, Demand and Availability</w:t>
      </w:r>
    </w:p>
    <w:tbl>
      <w:tblPr>
        <w:tblStyle w:val="AERTable-Text"/>
        <w:tblW w:w="0" w:type="auto"/>
        <w:tblLook w:val="04A0" w:firstRow="1" w:lastRow="0" w:firstColumn="1" w:lastColumn="0" w:noHBand="0" w:noVBand="1"/>
      </w:tblPr>
      <w:tblGrid>
        <w:gridCol w:w="797"/>
        <w:gridCol w:w="772"/>
        <w:gridCol w:w="1010"/>
        <w:gridCol w:w="1033"/>
        <w:gridCol w:w="772"/>
        <w:gridCol w:w="1010"/>
        <w:gridCol w:w="1033"/>
        <w:gridCol w:w="772"/>
        <w:gridCol w:w="1010"/>
        <w:gridCol w:w="1033"/>
      </w:tblGrid>
      <w:tr w:rsidR="00B15121" w:rsidRPr="00405CDE" w:rsidTr="00B15121">
        <w:trPr>
          <w:cnfStyle w:val="100000000000" w:firstRow="1" w:lastRow="0" w:firstColumn="0" w:lastColumn="0" w:oddVBand="0" w:evenVBand="0" w:oddHBand="0" w:evenHBand="0" w:firstRowFirstColumn="0" w:firstRowLastColumn="0" w:lastRowFirstColumn="0" w:lastRowLastColumn="0"/>
          <w:tblHeader/>
        </w:trPr>
        <w:tc>
          <w:tcPr>
            <w:tcW w:w="0" w:type="auto"/>
          </w:tcPr>
          <w:p w:rsidR="00B15121" w:rsidRPr="00DC24BF" w:rsidRDefault="00B15121" w:rsidP="00F77F21">
            <w:pPr>
              <w:pStyle w:val="TableHeading"/>
              <w:jc w:val="center"/>
              <w:rPr>
                <w:rFonts w:cs="Arial"/>
                <w:sz w:val="20"/>
                <w:szCs w:val="20"/>
              </w:rPr>
            </w:pPr>
            <w:r>
              <w:rPr>
                <w:rFonts w:cs="Arial"/>
                <w:sz w:val="20"/>
                <w:szCs w:val="20"/>
              </w:rPr>
              <w:t>Time</w:t>
            </w:r>
          </w:p>
        </w:tc>
        <w:tc>
          <w:tcPr>
            <w:tcW w:w="0" w:type="auto"/>
            <w:gridSpan w:val="3"/>
            <w:hideMark/>
          </w:tcPr>
          <w:p w:rsidR="00B15121" w:rsidRPr="00DC24BF" w:rsidRDefault="00B15121" w:rsidP="00F77F21">
            <w:pPr>
              <w:pStyle w:val="TableHeading"/>
              <w:jc w:val="center"/>
              <w:rPr>
                <w:rFonts w:cs="Arial"/>
                <w:sz w:val="20"/>
                <w:szCs w:val="20"/>
              </w:rPr>
            </w:pPr>
            <w:r w:rsidRPr="00DC24BF">
              <w:rPr>
                <w:rFonts w:cs="Arial"/>
                <w:sz w:val="20"/>
                <w:szCs w:val="20"/>
              </w:rPr>
              <w:t>Price ($/MWh)</w:t>
            </w:r>
          </w:p>
        </w:tc>
        <w:tc>
          <w:tcPr>
            <w:tcW w:w="0" w:type="auto"/>
            <w:gridSpan w:val="3"/>
            <w:hideMark/>
          </w:tcPr>
          <w:p w:rsidR="00B15121" w:rsidRPr="00DC24BF" w:rsidRDefault="00B15121" w:rsidP="00F77F21">
            <w:pPr>
              <w:pStyle w:val="TableHeading"/>
              <w:jc w:val="center"/>
              <w:rPr>
                <w:rFonts w:cs="Arial"/>
                <w:sz w:val="20"/>
                <w:szCs w:val="20"/>
              </w:rPr>
            </w:pPr>
            <w:r w:rsidRPr="00DC24BF">
              <w:rPr>
                <w:rFonts w:cs="Arial"/>
                <w:sz w:val="20"/>
                <w:szCs w:val="20"/>
              </w:rPr>
              <w:t>Demand (MW)</w:t>
            </w:r>
          </w:p>
        </w:tc>
        <w:tc>
          <w:tcPr>
            <w:tcW w:w="0" w:type="auto"/>
            <w:gridSpan w:val="3"/>
            <w:hideMark/>
          </w:tcPr>
          <w:p w:rsidR="00B15121" w:rsidRPr="00DC24BF" w:rsidRDefault="00B15121" w:rsidP="00F77F21">
            <w:pPr>
              <w:pStyle w:val="TableHeading"/>
              <w:jc w:val="center"/>
              <w:rPr>
                <w:rFonts w:cs="Arial"/>
                <w:sz w:val="20"/>
                <w:szCs w:val="20"/>
              </w:rPr>
            </w:pPr>
            <w:r w:rsidRPr="00DC24BF">
              <w:rPr>
                <w:rFonts w:cs="Arial"/>
                <w:sz w:val="20"/>
                <w:szCs w:val="20"/>
              </w:rPr>
              <w:t>Availability (MW)</w:t>
            </w:r>
          </w:p>
        </w:tc>
      </w:tr>
      <w:tr w:rsidR="00B15121" w:rsidRPr="00405CDE" w:rsidTr="00B151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7192" w:themeFill="accent3" w:themeFillShade="BF"/>
          </w:tcPr>
          <w:p w:rsidR="00B15121" w:rsidRPr="00DC24BF" w:rsidRDefault="00B15121" w:rsidP="00F77F21">
            <w:pPr>
              <w:pStyle w:val="tableheadingline2"/>
              <w:rPr>
                <w:rFonts w:cs="Arial"/>
                <w:sz w:val="20"/>
                <w:szCs w:val="20"/>
              </w:rPr>
            </w:pP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12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12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Actual</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4 hr forecast</w:t>
            </w:r>
          </w:p>
        </w:tc>
        <w:tc>
          <w:tcPr>
            <w:tcW w:w="0" w:type="auto"/>
            <w:shd w:val="clear" w:color="auto" w:fill="007192" w:themeFill="accent3" w:themeFillShade="BF"/>
            <w:hideMark/>
          </w:tcPr>
          <w:p w:rsidR="00B15121" w:rsidRPr="00DC24BF" w:rsidRDefault="00B15121" w:rsidP="00F77F21">
            <w:pPr>
              <w:pStyle w:val="tableheadingline2"/>
              <w:rPr>
                <w:rFonts w:cs="Arial"/>
                <w:sz w:val="20"/>
                <w:szCs w:val="20"/>
              </w:rPr>
            </w:pPr>
            <w:r w:rsidRPr="00DC24BF">
              <w:rPr>
                <w:rFonts w:cs="Arial"/>
                <w:sz w:val="20"/>
                <w:szCs w:val="20"/>
              </w:rPr>
              <w:t>12 hr forecast</w:t>
            </w:r>
          </w:p>
        </w:tc>
      </w:tr>
      <w:tr w:rsidR="00B15121" w:rsidRPr="00405CDE" w:rsidTr="00B15121">
        <w:trPr>
          <w:trHeight w:val="510"/>
        </w:trPr>
        <w:tc>
          <w:tcPr>
            <w:tcW w:w="0" w:type="auto"/>
            <w:vAlign w:val="center"/>
          </w:tcPr>
          <w:p w:rsidR="00B15121" w:rsidRPr="00BA4E5E" w:rsidRDefault="00B15121" w:rsidP="00B15121">
            <w:pPr>
              <w:pStyle w:val="NormalWeb"/>
              <w:jc w:val="center"/>
              <w:rPr>
                <w:rFonts w:asciiTheme="minorHAnsi" w:hAnsiTheme="minorHAnsi" w:cstheme="minorHAnsi"/>
                <w:sz w:val="18"/>
                <w:szCs w:val="16"/>
              </w:rPr>
            </w:pPr>
            <w:r>
              <w:rPr>
                <w:rFonts w:asciiTheme="minorHAnsi" w:hAnsiTheme="minorHAnsi" w:cstheme="minorHAnsi"/>
                <w:sz w:val="18"/>
                <w:szCs w:val="16"/>
              </w:rPr>
              <w:t>Midday</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356</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3</w:t>
            </w:r>
            <w:r w:rsidR="003754D0">
              <w:rPr>
                <w:rFonts w:asciiTheme="minorHAnsi" w:hAnsiTheme="minorHAnsi" w:cstheme="minorHAnsi"/>
                <w:sz w:val="18"/>
                <w:szCs w:val="16"/>
              </w:rPr>
              <w:t>8</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3</w:t>
            </w:r>
            <w:r w:rsidR="003754D0">
              <w:rPr>
                <w:rFonts w:asciiTheme="minorHAnsi" w:hAnsiTheme="minorHAnsi" w:cstheme="minorHAnsi"/>
                <w:sz w:val="18"/>
                <w:szCs w:val="16"/>
              </w:rPr>
              <w:t>8</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1020</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1094</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1057</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2067</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1996</w:t>
            </w:r>
          </w:p>
        </w:tc>
        <w:tc>
          <w:tcPr>
            <w:tcW w:w="0" w:type="auto"/>
            <w:vAlign w:val="center"/>
          </w:tcPr>
          <w:p w:rsidR="00B15121" w:rsidRPr="00BA4E5E" w:rsidRDefault="00B15121"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1997</w:t>
            </w:r>
          </w:p>
        </w:tc>
      </w:tr>
    </w:tbl>
    <w:p w:rsidR="00A22BEE" w:rsidRDefault="00E93909" w:rsidP="00B52A51">
      <w:pPr>
        <w:pStyle w:val="AERHeading3"/>
        <w:jc w:val="both"/>
        <w:rPr>
          <w:b w:val="0"/>
          <w:color w:val="000000" w:themeColor="text1"/>
          <w:sz w:val="22"/>
        </w:rPr>
      </w:pPr>
      <w:r>
        <w:rPr>
          <w:b w:val="0"/>
          <w:color w:val="000000" w:themeColor="text1"/>
          <w:sz w:val="22"/>
        </w:rPr>
        <w:t>Conditions at the time saw d</w:t>
      </w:r>
      <w:r w:rsidR="00A22BEE">
        <w:rPr>
          <w:b w:val="0"/>
          <w:color w:val="000000" w:themeColor="text1"/>
          <w:sz w:val="22"/>
        </w:rPr>
        <w:t xml:space="preserve">emand and available capacity close to forecast. </w:t>
      </w:r>
    </w:p>
    <w:p w:rsidR="00A22BEE" w:rsidRDefault="00A22BEE" w:rsidP="00B52A51">
      <w:pPr>
        <w:pStyle w:val="AERHeading3"/>
        <w:jc w:val="both"/>
        <w:rPr>
          <w:b w:val="0"/>
          <w:color w:val="000000" w:themeColor="text1"/>
          <w:sz w:val="22"/>
        </w:rPr>
      </w:pPr>
      <w:r>
        <w:rPr>
          <w:b w:val="0"/>
          <w:color w:val="000000" w:themeColor="text1"/>
          <w:sz w:val="22"/>
        </w:rPr>
        <w:t>At 11.</w:t>
      </w:r>
      <w:r w:rsidR="0049744A">
        <w:rPr>
          <w:b w:val="0"/>
          <w:color w:val="000000" w:themeColor="text1"/>
          <w:sz w:val="22"/>
        </w:rPr>
        <w:t>35 </w:t>
      </w:r>
      <w:r>
        <w:rPr>
          <w:b w:val="0"/>
          <w:color w:val="000000" w:themeColor="text1"/>
          <w:sz w:val="22"/>
        </w:rPr>
        <w:t xml:space="preserve">am the dispatch price rose to $1803/MWh </w:t>
      </w:r>
      <w:r w:rsidR="00551D05">
        <w:rPr>
          <w:b w:val="0"/>
          <w:color w:val="000000" w:themeColor="text1"/>
          <w:sz w:val="22"/>
        </w:rPr>
        <w:t xml:space="preserve">as a result of the co-optimisation of energy and FCAS </w:t>
      </w:r>
      <w:r>
        <w:rPr>
          <w:b w:val="0"/>
          <w:color w:val="000000" w:themeColor="text1"/>
          <w:sz w:val="22"/>
        </w:rPr>
        <w:t>before falling to $4</w:t>
      </w:r>
      <w:r w:rsidR="0049744A">
        <w:rPr>
          <w:b w:val="0"/>
          <w:color w:val="000000" w:themeColor="text1"/>
          <w:sz w:val="22"/>
        </w:rPr>
        <w:t>6</w:t>
      </w:r>
      <w:r>
        <w:rPr>
          <w:b w:val="0"/>
          <w:color w:val="000000" w:themeColor="text1"/>
          <w:sz w:val="22"/>
        </w:rPr>
        <w:t xml:space="preserve">/MWh at 11.40 am. This was related to the raise 6 second FCAS requirement in </w:t>
      </w:r>
      <w:r w:rsidR="00B47411">
        <w:rPr>
          <w:b w:val="0"/>
          <w:color w:val="000000" w:themeColor="text1"/>
          <w:sz w:val="22"/>
        </w:rPr>
        <w:t>Tasmania</w:t>
      </w:r>
      <w:r>
        <w:rPr>
          <w:b w:val="0"/>
          <w:color w:val="000000" w:themeColor="text1"/>
          <w:sz w:val="22"/>
        </w:rPr>
        <w:t xml:space="preserve">, explained in more detail in the </w:t>
      </w:r>
      <w:r w:rsidRPr="00C434B1">
        <w:rPr>
          <w:b w:val="0"/>
          <w:i/>
          <w:color w:val="000000" w:themeColor="text1"/>
          <w:sz w:val="22"/>
        </w:rPr>
        <w:t>Frequ</w:t>
      </w:r>
      <w:r>
        <w:rPr>
          <w:b w:val="0"/>
          <w:i/>
          <w:color w:val="000000" w:themeColor="text1"/>
          <w:sz w:val="22"/>
        </w:rPr>
        <w:t>ency contr</w:t>
      </w:r>
      <w:r w:rsidRPr="00C434B1">
        <w:rPr>
          <w:b w:val="0"/>
          <w:i/>
          <w:color w:val="000000" w:themeColor="text1"/>
          <w:sz w:val="22"/>
        </w:rPr>
        <w:t xml:space="preserve">ol and ancillary services </w:t>
      </w:r>
      <w:r w:rsidRPr="00C434B1">
        <w:rPr>
          <w:b w:val="0"/>
          <w:color w:val="000000" w:themeColor="text1"/>
          <w:sz w:val="22"/>
        </w:rPr>
        <w:t>section</w:t>
      </w:r>
      <w:r w:rsidR="00F45618">
        <w:rPr>
          <w:b w:val="0"/>
          <w:color w:val="000000" w:themeColor="text1"/>
          <w:sz w:val="22"/>
        </w:rPr>
        <w:t xml:space="preserve"> of this</w:t>
      </w:r>
      <w:r>
        <w:rPr>
          <w:b w:val="0"/>
          <w:color w:val="000000" w:themeColor="text1"/>
          <w:sz w:val="22"/>
        </w:rPr>
        <w:t xml:space="preserve"> report.</w:t>
      </w:r>
    </w:p>
    <w:p w:rsidR="003E5574" w:rsidRPr="00002B2F" w:rsidRDefault="003E5574" w:rsidP="003E5574">
      <w:pPr>
        <w:pStyle w:val="AERHeading3"/>
      </w:pPr>
      <w:r w:rsidRPr="00002B2F">
        <w:t>South Australia</w:t>
      </w:r>
      <w:r>
        <w:t>, Victoria, Tasmania</w:t>
      </w:r>
      <w:r w:rsidRPr="00002B2F">
        <w:t xml:space="preserve"> </w:t>
      </w:r>
    </w:p>
    <w:p w:rsidR="0052344A" w:rsidRDefault="0052344A" w:rsidP="0052344A">
      <w:pPr>
        <w:pStyle w:val="AERHeading3"/>
      </w:pPr>
      <w:r>
        <w:t xml:space="preserve">Tuesday, 22 September </w:t>
      </w:r>
    </w:p>
    <w:p w:rsidR="0052344A" w:rsidRPr="005D2FBD" w:rsidRDefault="0052344A" w:rsidP="0052344A">
      <w:pPr>
        <w:pStyle w:val="Caption"/>
      </w:pPr>
      <w:r>
        <w:t xml:space="preserve">Table </w:t>
      </w:r>
      <w:r w:rsidR="00535DD4">
        <w:fldChar w:fldCharType="begin"/>
      </w:r>
      <w:r w:rsidR="00535DD4">
        <w:instrText xml:space="preserve"> SEQ Table \* ARABIC </w:instrText>
      </w:r>
      <w:r w:rsidR="00535DD4">
        <w:fldChar w:fldCharType="separate"/>
      </w:r>
      <w:r w:rsidR="00535DD4">
        <w:rPr>
          <w:noProof/>
        </w:rPr>
        <w:t>4</w:t>
      </w:r>
      <w:r w:rsidR="00535DD4">
        <w:rPr>
          <w:noProof/>
        </w:rPr>
        <w:fldChar w:fldCharType="end"/>
      </w:r>
      <w:r>
        <w:t>:</w:t>
      </w:r>
      <w:r w:rsidRPr="00431FC4">
        <w:t xml:space="preserve"> </w:t>
      </w:r>
      <w:r w:rsidR="00DE4F3A">
        <w:t>7 </w:t>
      </w:r>
      <w:r>
        <w:t xml:space="preserve">pm </w:t>
      </w:r>
      <w:r w:rsidRPr="00431FC4">
        <w:t>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52344A" w:rsidRPr="00405CDE" w:rsidTr="00F77F21">
        <w:trPr>
          <w:cnfStyle w:val="100000000000" w:firstRow="1" w:lastRow="0" w:firstColumn="0" w:lastColumn="0" w:oddVBand="0" w:evenVBand="0" w:oddHBand="0" w:evenHBand="0" w:firstRowFirstColumn="0" w:firstRowLastColumn="0" w:lastRowFirstColumn="0" w:lastRowLastColumn="0"/>
          <w:tblHeader/>
        </w:trPr>
        <w:tc>
          <w:tcPr>
            <w:tcW w:w="506" w:type="pct"/>
            <w:hideMark/>
          </w:tcPr>
          <w:p w:rsidR="0052344A" w:rsidRPr="00DC24BF" w:rsidRDefault="0052344A" w:rsidP="00F77F21">
            <w:pPr>
              <w:pStyle w:val="TableHeading"/>
              <w:jc w:val="center"/>
              <w:rPr>
                <w:rFonts w:cs="Arial"/>
                <w:sz w:val="20"/>
                <w:szCs w:val="20"/>
              </w:rPr>
            </w:pPr>
            <w:r>
              <w:rPr>
                <w:rFonts w:cs="Arial"/>
                <w:sz w:val="20"/>
                <w:szCs w:val="20"/>
              </w:rPr>
              <w:t>Region</w:t>
            </w:r>
          </w:p>
        </w:tc>
        <w:tc>
          <w:tcPr>
            <w:tcW w:w="1624" w:type="pct"/>
            <w:gridSpan w:val="3"/>
            <w:hideMark/>
          </w:tcPr>
          <w:p w:rsidR="0052344A" w:rsidRPr="00DC24BF" w:rsidRDefault="0052344A" w:rsidP="00F77F21">
            <w:pPr>
              <w:pStyle w:val="TableHeading"/>
              <w:jc w:val="center"/>
              <w:rPr>
                <w:rFonts w:cs="Arial"/>
                <w:sz w:val="20"/>
                <w:szCs w:val="20"/>
              </w:rPr>
            </w:pPr>
            <w:r w:rsidRPr="00DC24BF">
              <w:rPr>
                <w:rFonts w:cs="Arial"/>
                <w:sz w:val="20"/>
                <w:szCs w:val="20"/>
              </w:rPr>
              <w:t>Price ($/MWh)</w:t>
            </w:r>
          </w:p>
        </w:tc>
        <w:tc>
          <w:tcPr>
            <w:tcW w:w="1422" w:type="pct"/>
            <w:gridSpan w:val="3"/>
            <w:hideMark/>
          </w:tcPr>
          <w:p w:rsidR="0052344A" w:rsidRPr="00DC24BF" w:rsidRDefault="0052344A" w:rsidP="00F77F21">
            <w:pPr>
              <w:pStyle w:val="TableHeading"/>
              <w:jc w:val="center"/>
              <w:rPr>
                <w:rFonts w:cs="Arial"/>
                <w:sz w:val="20"/>
                <w:szCs w:val="20"/>
              </w:rPr>
            </w:pPr>
            <w:r w:rsidRPr="00DC24BF">
              <w:rPr>
                <w:rFonts w:cs="Arial"/>
                <w:sz w:val="20"/>
                <w:szCs w:val="20"/>
              </w:rPr>
              <w:t>Demand (MW)</w:t>
            </w:r>
          </w:p>
        </w:tc>
        <w:tc>
          <w:tcPr>
            <w:tcW w:w="1447" w:type="pct"/>
            <w:gridSpan w:val="3"/>
            <w:hideMark/>
          </w:tcPr>
          <w:p w:rsidR="0052344A" w:rsidRPr="00DC24BF" w:rsidRDefault="0052344A" w:rsidP="00F77F21">
            <w:pPr>
              <w:pStyle w:val="TableHeading"/>
              <w:jc w:val="center"/>
              <w:rPr>
                <w:rFonts w:cs="Arial"/>
                <w:sz w:val="20"/>
                <w:szCs w:val="20"/>
              </w:rPr>
            </w:pPr>
            <w:r w:rsidRPr="00DC24BF">
              <w:rPr>
                <w:rFonts w:cs="Arial"/>
                <w:sz w:val="20"/>
                <w:szCs w:val="20"/>
              </w:rPr>
              <w:t>Availability (MW)</w:t>
            </w:r>
          </w:p>
        </w:tc>
      </w:tr>
      <w:tr w:rsidR="0052344A" w:rsidRPr="00405CDE" w:rsidTr="00F77F21">
        <w:trPr>
          <w:cnfStyle w:val="100000000000" w:firstRow="1" w:lastRow="0" w:firstColumn="0" w:lastColumn="0" w:oddVBand="0" w:evenVBand="0" w:oddHBand="0" w:evenHBand="0" w:firstRowFirstColumn="0" w:firstRowLastColumn="0" w:lastRowFirstColumn="0" w:lastRowLastColumn="0"/>
          <w:tblHeader/>
        </w:trPr>
        <w:tc>
          <w:tcPr>
            <w:tcW w:w="506"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 </w:t>
            </w:r>
          </w:p>
        </w:tc>
        <w:tc>
          <w:tcPr>
            <w:tcW w:w="620"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12 hr forecast</w:t>
            </w:r>
          </w:p>
        </w:tc>
        <w:tc>
          <w:tcPr>
            <w:tcW w:w="418"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12 hr forecast</w:t>
            </w:r>
          </w:p>
        </w:tc>
        <w:tc>
          <w:tcPr>
            <w:tcW w:w="443"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Actual</w:t>
            </w:r>
          </w:p>
        </w:tc>
        <w:tc>
          <w:tcPr>
            <w:tcW w:w="502"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4 hr forecast</w:t>
            </w:r>
          </w:p>
        </w:tc>
        <w:tc>
          <w:tcPr>
            <w:tcW w:w="502" w:type="pct"/>
            <w:shd w:val="clear" w:color="auto" w:fill="007192" w:themeFill="accent3" w:themeFillShade="BF"/>
            <w:hideMark/>
          </w:tcPr>
          <w:p w:rsidR="0052344A" w:rsidRPr="00DC24BF" w:rsidRDefault="0052344A" w:rsidP="00F77F21">
            <w:pPr>
              <w:pStyle w:val="tableheadingline2"/>
              <w:rPr>
                <w:rFonts w:cs="Arial"/>
                <w:sz w:val="20"/>
                <w:szCs w:val="20"/>
              </w:rPr>
            </w:pPr>
            <w:r w:rsidRPr="00DC24BF">
              <w:rPr>
                <w:rFonts w:cs="Arial"/>
                <w:sz w:val="20"/>
                <w:szCs w:val="20"/>
              </w:rPr>
              <w:t>12 hr forecast</w:t>
            </w:r>
          </w:p>
        </w:tc>
      </w:tr>
      <w:tr w:rsidR="0052344A" w:rsidRPr="00405CDE" w:rsidTr="00F77F21">
        <w:trPr>
          <w:trHeight w:val="510"/>
        </w:trPr>
        <w:tc>
          <w:tcPr>
            <w:tcW w:w="506" w:type="pct"/>
            <w:vAlign w:val="center"/>
          </w:tcPr>
          <w:p w:rsidR="0052344A" w:rsidRPr="00BA4E5E" w:rsidRDefault="0052344A" w:rsidP="00F77F21">
            <w:pPr>
              <w:pStyle w:val="NormalWeb"/>
              <w:jc w:val="center"/>
              <w:rPr>
                <w:rFonts w:asciiTheme="minorHAnsi" w:hAnsiTheme="minorHAnsi" w:cstheme="minorHAnsi"/>
                <w:sz w:val="18"/>
              </w:rPr>
            </w:pPr>
            <w:r>
              <w:rPr>
                <w:rFonts w:asciiTheme="minorHAnsi" w:hAnsiTheme="minorHAnsi" w:cstheme="minorHAnsi"/>
                <w:b/>
                <w:bCs/>
                <w:sz w:val="18"/>
                <w:szCs w:val="16"/>
              </w:rPr>
              <w:t>SA</w:t>
            </w:r>
          </w:p>
        </w:tc>
        <w:tc>
          <w:tcPr>
            <w:tcW w:w="620"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232</w:t>
            </w:r>
            <w:r w:rsidR="003754D0">
              <w:rPr>
                <w:rFonts w:asciiTheme="minorHAnsi" w:hAnsiTheme="minorHAnsi" w:cstheme="minorHAnsi"/>
                <w:sz w:val="18"/>
                <w:szCs w:val="16"/>
              </w:rPr>
              <w:t>9</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5</w:t>
            </w:r>
            <w:r w:rsidR="003754D0">
              <w:rPr>
                <w:rFonts w:asciiTheme="minorHAnsi" w:hAnsiTheme="minorHAnsi" w:cstheme="minorHAnsi"/>
                <w:sz w:val="18"/>
                <w:szCs w:val="16"/>
              </w:rPr>
              <w:t>5</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65</w:t>
            </w:r>
          </w:p>
        </w:tc>
        <w:tc>
          <w:tcPr>
            <w:tcW w:w="418"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1785</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1771</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1791</w:t>
            </w:r>
          </w:p>
        </w:tc>
        <w:tc>
          <w:tcPr>
            <w:tcW w:w="443"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2375</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2407</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2476</w:t>
            </w:r>
          </w:p>
        </w:tc>
      </w:tr>
      <w:tr w:rsidR="0052344A" w:rsidRPr="00405CDE" w:rsidTr="00F77F21">
        <w:trPr>
          <w:cnfStyle w:val="000000010000" w:firstRow="0" w:lastRow="0" w:firstColumn="0" w:lastColumn="0" w:oddVBand="0" w:evenVBand="0" w:oddHBand="0" w:evenHBand="1" w:firstRowFirstColumn="0" w:firstRowLastColumn="0" w:lastRowFirstColumn="0" w:lastRowLastColumn="0"/>
          <w:trHeight w:val="510"/>
        </w:trPr>
        <w:tc>
          <w:tcPr>
            <w:tcW w:w="506" w:type="pct"/>
            <w:vAlign w:val="center"/>
          </w:tcPr>
          <w:p w:rsidR="0052344A" w:rsidRPr="00BA4E5E" w:rsidRDefault="0052344A" w:rsidP="00F77F21">
            <w:pPr>
              <w:pStyle w:val="NormalWeb"/>
              <w:jc w:val="center"/>
              <w:rPr>
                <w:rFonts w:asciiTheme="minorHAnsi" w:hAnsiTheme="minorHAnsi" w:cstheme="minorHAnsi"/>
                <w:b/>
                <w:bCs/>
                <w:sz w:val="18"/>
                <w:szCs w:val="16"/>
              </w:rPr>
            </w:pPr>
            <w:r>
              <w:rPr>
                <w:rFonts w:asciiTheme="minorHAnsi" w:hAnsiTheme="minorHAnsi" w:cstheme="minorHAnsi"/>
                <w:b/>
                <w:bCs/>
                <w:sz w:val="18"/>
                <w:szCs w:val="16"/>
              </w:rPr>
              <w:t>VIC</w:t>
            </w:r>
          </w:p>
        </w:tc>
        <w:tc>
          <w:tcPr>
            <w:tcW w:w="620"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217</w:t>
            </w:r>
            <w:r w:rsidR="003754D0">
              <w:rPr>
                <w:rFonts w:asciiTheme="minorHAnsi" w:hAnsiTheme="minorHAnsi" w:cstheme="minorHAnsi"/>
                <w:sz w:val="18"/>
                <w:szCs w:val="16"/>
              </w:rPr>
              <w:t>3</w:t>
            </w:r>
          </w:p>
        </w:tc>
        <w:tc>
          <w:tcPr>
            <w:tcW w:w="502" w:type="pct"/>
            <w:vAlign w:val="center"/>
          </w:tcPr>
          <w:p w:rsidR="0052344A" w:rsidRPr="00BA4E5E" w:rsidRDefault="003754D0" w:rsidP="00F77F21">
            <w:pPr>
              <w:pStyle w:val="NormalWeb"/>
              <w:jc w:val="center"/>
              <w:rPr>
                <w:rFonts w:asciiTheme="minorHAnsi" w:hAnsiTheme="minorHAnsi" w:cstheme="minorHAnsi"/>
                <w:sz w:val="18"/>
              </w:rPr>
            </w:pPr>
            <w:r>
              <w:rPr>
                <w:rFonts w:asciiTheme="minorHAnsi" w:hAnsiTheme="minorHAnsi" w:cstheme="minorHAnsi"/>
                <w:sz w:val="18"/>
                <w:szCs w:val="16"/>
              </w:rPr>
              <w:t>50</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61</w:t>
            </w:r>
          </w:p>
        </w:tc>
        <w:tc>
          <w:tcPr>
            <w:tcW w:w="418"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6518</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6360</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6384</w:t>
            </w:r>
          </w:p>
        </w:tc>
        <w:tc>
          <w:tcPr>
            <w:tcW w:w="443"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9552</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9706</w:t>
            </w:r>
          </w:p>
        </w:tc>
        <w:tc>
          <w:tcPr>
            <w:tcW w:w="502" w:type="pct"/>
            <w:vAlign w:val="center"/>
          </w:tcPr>
          <w:p w:rsidR="0052344A" w:rsidRPr="00BA4E5E" w:rsidRDefault="0052344A" w:rsidP="00F77F21">
            <w:pPr>
              <w:pStyle w:val="NormalWeb"/>
              <w:jc w:val="center"/>
              <w:rPr>
                <w:rFonts w:asciiTheme="minorHAnsi" w:hAnsiTheme="minorHAnsi" w:cstheme="minorHAnsi"/>
                <w:sz w:val="18"/>
              </w:rPr>
            </w:pPr>
            <w:r w:rsidRPr="00BA4E5E">
              <w:rPr>
                <w:rFonts w:asciiTheme="minorHAnsi" w:hAnsiTheme="minorHAnsi" w:cstheme="minorHAnsi"/>
                <w:sz w:val="18"/>
                <w:szCs w:val="16"/>
              </w:rPr>
              <w:t>9695</w:t>
            </w:r>
          </w:p>
        </w:tc>
      </w:tr>
      <w:tr w:rsidR="0052344A" w:rsidRPr="0052344A" w:rsidTr="00F77F21">
        <w:trPr>
          <w:trHeight w:val="510"/>
        </w:trPr>
        <w:tc>
          <w:tcPr>
            <w:tcW w:w="506" w:type="pct"/>
            <w:vAlign w:val="center"/>
          </w:tcPr>
          <w:p w:rsidR="0052344A" w:rsidRPr="00F45618" w:rsidRDefault="0052344A" w:rsidP="00F45618">
            <w:pPr>
              <w:pStyle w:val="NormalWeb"/>
              <w:jc w:val="center"/>
              <w:rPr>
                <w:rFonts w:asciiTheme="minorHAnsi" w:hAnsiTheme="minorHAnsi" w:cstheme="minorHAnsi"/>
                <w:b/>
                <w:bCs/>
                <w:color w:val="000000" w:themeColor="text1"/>
                <w:sz w:val="18"/>
                <w:szCs w:val="18"/>
              </w:rPr>
            </w:pPr>
            <w:r w:rsidRPr="00F45618">
              <w:rPr>
                <w:rFonts w:asciiTheme="minorHAnsi" w:hAnsiTheme="minorHAnsi" w:cstheme="minorHAnsi"/>
                <w:b/>
                <w:bCs/>
                <w:color w:val="000000" w:themeColor="text1"/>
                <w:sz w:val="18"/>
                <w:szCs w:val="18"/>
              </w:rPr>
              <w:lastRenderedPageBreak/>
              <w:t>TAS</w:t>
            </w:r>
          </w:p>
        </w:tc>
        <w:tc>
          <w:tcPr>
            <w:tcW w:w="620"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2036</w:t>
            </w:r>
          </w:p>
        </w:tc>
        <w:tc>
          <w:tcPr>
            <w:tcW w:w="502"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47</w:t>
            </w:r>
          </w:p>
        </w:tc>
        <w:tc>
          <w:tcPr>
            <w:tcW w:w="502"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5</w:t>
            </w:r>
            <w:r w:rsidR="003754D0">
              <w:rPr>
                <w:rFonts w:asciiTheme="minorHAnsi" w:hAnsiTheme="minorHAnsi" w:cstheme="minorHAnsi"/>
                <w:color w:val="000000" w:themeColor="text1"/>
                <w:sz w:val="18"/>
                <w:szCs w:val="18"/>
              </w:rPr>
              <w:t>7</w:t>
            </w:r>
          </w:p>
        </w:tc>
        <w:tc>
          <w:tcPr>
            <w:tcW w:w="418"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1522</w:t>
            </w:r>
          </w:p>
        </w:tc>
        <w:tc>
          <w:tcPr>
            <w:tcW w:w="502"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1413</w:t>
            </w:r>
          </w:p>
        </w:tc>
        <w:tc>
          <w:tcPr>
            <w:tcW w:w="502"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1402</w:t>
            </w:r>
          </w:p>
        </w:tc>
        <w:tc>
          <w:tcPr>
            <w:tcW w:w="443"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2036</w:t>
            </w:r>
          </w:p>
        </w:tc>
        <w:tc>
          <w:tcPr>
            <w:tcW w:w="502"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2021</w:t>
            </w:r>
          </w:p>
        </w:tc>
        <w:tc>
          <w:tcPr>
            <w:tcW w:w="502" w:type="pct"/>
            <w:vAlign w:val="center"/>
          </w:tcPr>
          <w:p w:rsidR="0052344A" w:rsidRPr="00F45618" w:rsidRDefault="0052344A" w:rsidP="00F45618">
            <w:pPr>
              <w:pStyle w:val="NormalWeb"/>
              <w:jc w:val="center"/>
              <w:rPr>
                <w:rFonts w:asciiTheme="minorHAnsi" w:hAnsiTheme="minorHAnsi" w:cstheme="minorHAnsi"/>
                <w:color w:val="000000" w:themeColor="text1"/>
                <w:sz w:val="18"/>
                <w:szCs w:val="18"/>
              </w:rPr>
            </w:pPr>
            <w:r w:rsidRPr="00F45618">
              <w:rPr>
                <w:rFonts w:asciiTheme="minorHAnsi" w:hAnsiTheme="minorHAnsi" w:cstheme="minorHAnsi"/>
                <w:color w:val="000000" w:themeColor="text1"/>
                <w:sz w:val="18"/>
                <w:szCs w:val="18"/>
              </w:rPr>
              <w:t>2007</w:t>
            </w:r>
          </w:p>
        </w:tc>
      </w:tr>
    </w:tbl>
    <w:p w:rsidR="0052344A" w:rsidRPr="0052344A" w:rsidRDefault="0052344A" w:rsidP="00B52A51">
      <w:pPr>
        <w:pStyle w:val="Heading4notnumbered"/>
        <w:jc w:val="both"/>
        <w:rPr>
          <w:b w:val="0"/>
          <w:color w:val="000000" w:themeColor="text1"/>
          <w:sz w:val="22"/>
          <w:szCs w:val="22"/>
        </w:rPr>
      </w:pPr>
      <w:r w:rsidRPr="0052344A">
        <w:rPr>
          <w:b w:val="0"/>
          <w:color w:val="000000" w:themeColor="text1"/>
          <w:sz w:val="22"/>
          <w:szCs w:val="22"/>
        </w:rPr>
        <w:t>Conditions at the time saw demand</w:t>
      </w:r>
      <w:r w:rsidR="007C7E9F">
        <w:rPr>
          <w:b w:val="0"/>
          <w:color w:val="000000" w:themeColor="text1"/>
          <w:sz w:val="22"/>
          <w:szCs w:val="22"/>
        </w:rPr>
        <w:t xml:space="preserve"> in Victoria and Tasmania around 267 MW higher than forecast </w:t>
      </w:r>
      <w:r w:rsidRPr="0052344A">
        <w:rPr>
          <w:b w:val="0"/>
          <w:color w:val="000000" w:themeColor="text1"/>
          <w:sz w:val="22"/>
          <w:szCs w:val="22"/>
        </w:rPr>
        <w:t>4 hours ahead. Available capacity</w:t>
      </w:r>
      <w:r w:rsidR="007C7E9F">
        <w:rPr>
          <w:b w:val="0"/>
          <w:color w:val="000000" w:themeColor="text1"/>
          <w:sz w:val="22"/>
          <w:szCs w:val="22"/>
        </w:rPr>
        <w:t xml:space="preserve"> in Victoria</w:t>
      </w:r>
      <w:r w:rsidRPr="0052344A">
        <w:rPr>
          <w:b w:val="0"/>
          <w:color w:val="000000" w:themeColor="text1"/>
          <w:sz w:val="22"/>
          <w:szCs w:val="22"/>
        </w:rPr>
        <w:t xml:space="preserve"> was </w:t>
      </w:r>
      <w:r w:rsidR="007C7E9F">
        <w:rPr>
          <w:b w:val="0"/>
          <w:color w:val="000000" w:themeColor="text1"/>
          <w:sz w:val="22"/>
          <w:szCs w:val="22"/>
        </w:rPr>
        <w:t>154 MW</w:t>
      </w:r>
      <w:r w:rsidRPr="0052344A">
        <w:rPr>
          <w:b w:val="0"/>
          <w:color w:val="000000" w:themeColor="text1"/>
          <w:sz w:val="22"/>
          <w:szCs w:val="22"/>
        </w:rPr>
        <w:t xml:space="preserve"> lower than forecast</w:t>
      </w:r>
      <w:r w:rsidR="007C7E9F">
        <w:rPr>
          <w:b w:val="0"/>
          <w:color w:val="000000" w:themeColor="text1"/>
          <w:sz w:val="22"/>
          <w:szCs w:val="22"/>
        </w:rPr>
        <w:t xml:space="preserve"> four hours earlier</w:t>
      </w:r>
      <w:r w:rsidRPr="0052344A">
        <w:rPr>
          <w:b w:val="0"/>
          <w:color w:val="000000" w:themeColor="text1"/>
          <w:sz w:val="22"/>
          <w:szCs w:val="22"/>
        </w:rPr>
        <w:t>.</w:t>
      </w:r>
    </w:p>
    <w:p w:rsidR="0052344A" w:rsidRPr="0052344A" w:rsidRDefault="006F7EB4" w:rsidP="00B52A51">
      <w:pPr>
        <w:pStyle w:val="Heading4notnumbered"/>
        <w:jc w:val="both"/>
        <w:rPr>
          <w:b w:val="0"/>
          <w:color w:val="000000" w:themeColor="text1"/>
          <w:sz w:val="22"/>
          <w:szCs w:val="22"/>
        </w:rPr>
      </w:pPr>
      <w:r>
        <w:rPr>
          <w:b w:val="0"/>
          <w:color w:val="000000" w:themeColor="text1"/>
          <w:sz w:val="22"/>
          <w:szCs w:val="22"/>
        </w:rPr>
        <w:t>A</w:t>
      </w:r>
      <w:r w:rsidR="00B47411" w:rsidRPr="0052344A">
        <w:rPr>
          <w:b w:val="0"/>
          <w:color w:val="000000" w:themeColor="text1"/>
          <w:sz w:val="22"/>
          <w:szCs w:val="22"/>
        </w:rPr>
        <w:t xml:space="preserve"> planned outage </w:t>
      </w:r>
      <w:r>
        <w:rPr>
          <w:b w:val="0"/>
          <w:color w:val="000000" w:themeColor="text1"/>
          <w:sz w:val="22"/>
          <w:szCs w:val="22"/>
        </w:rPr>
        <w:t>of</w:t>
      </w:r>
      <w:r w:rsidR="00B47411" w:rsidRPr="0052344A">
        <w:rPr>
          <w:b w:val="0"/>
          <w:color w:val="000000" w:themeColor="text1"/>
          <w:sz w:val="22"/>
          <w:szCs w:val="22"/>
        </w:rPr>
        <w:t xml:space="preserve"> the Upper Tumut to Canberra No.1 330</w:t>
      </w:r>
      <w:r>
        <w:rPr>
          <w:b w:val="0"/>
          <w:color w:val="000000" w:themeColor="text1"/>
          <w:sz w:val="22"/>
          <w:szCs w:val="22"/>
        </w:rPr>
        <w:t> </w:t>
      </w:r>
      <w:r w:rsidR="00B47411" w:rsidRPr="0052344A">
        <w:rPr>
          <w:b w:val="0"/>
          <w:color w:val="000000" w:themeColor="text1"/>
          <w:sz w:val="22"/>
          <w:szCs w:val="22"/>
        </w:rPr>
        <w:t>kV line</w:t>
      </w:r>
      <w:r w:rsidRPr="006F7EB4">
        <w:rPr>
          <w:b w:val="0"/>
          <w:color w:val="000000" w:themeColor="text1"/>
          <w:sz w:val="22"/>
          <w:szCs w:val="22"/>
        </w:rPr>
        <w:t xml:space="preserve"> </w:t>
      </w:r>
      <w:r>
        <w:rPr>
          <w:b w:val="0"/>
          <w:color w:val="000000" w:themeColor="text1"/>
          <w:sz w:val="22"/>
          <w:szCs w:val="22"/>
        </w:rPr>
        <w:t>saw flows forced into Victoria across t</w:t>
      </w:r>
      <w:r w:rsidRPr="0052344A">
        <w:rPr>
          <w:b w:val="0"/>
          <w:color w:val="000000" w:themeColor="text1"/>
          <w:sz w:val="22"/>
          <w:szCs w:val="22"/>
        </w:rPr>
        <w:t>he VIC-NSW interconnector</w:t>
      </w:r>
      <w:r>
        <w:rPr>
          <w:b w:val="0"/>
          <w:color w:val="000000" w:themeColor="text1"/>
          <w:sz w:val="22"/>
          <w:szCs w:val="22"/>
        </w:rPr>
        <w:t xml:space="preserve"> (at times counter-price). </w:t>
      </w:r>
      <w:r w:rsidR="00741763">
        <w:rPr>
          <w:b w:val="0"/>
          <w:color w:val="000000" w:themeColor="text1"/>
          <w:sz w:val="22"/>
          <w:szCs w:val="22"/>
        </w:rPr>
        <w:t xml:space="preserve">This separated South Australia, Victoria and Tasmania from the rest of the market, aligning their prices. </w:t>
      </w:r>
      <w:r>
        <w:rPr>
          <w:b w:val="0"/>
          <w:color w:val="000000" w:themeColor="text1"/>
          <w:sz w:val="22"/>
          <w:szCs w:val="22"/>
        </w:rPr>
        <w:t>A constraint used to manage counter-prices flows reduced flow into Victoria to 18 MW at 7 pm.</w:t>
      </w:r>
      <w:r w:rsidR="00741763">
        <w:rPr>
          <w:b w:val="0"/>
          <w:color w:val="000000" w:themeColor="text1"/>
          <w:sz w:val="22"/>
          <w:szCs w:val="22"/>
        </w:rPr>
        <w:t xml:space="preserve"> </w:t>
      </w:r>
    </w:p>
    <w:p w:rsidR="0052344A" w:rsidRPr="00C22E0E" w:rsidRDefault="00C22E0E" w:rsidP="00C22E0E">
      <w:pPr>
        <w:pStyle w:val="Caption"/>
      </w:pPr>
      <w:r>
        <w:t xml:space="preserve">Table </w:t>
      </w:r>
      <w:r w:rsidR="00535DD4">
        <w:fldChar w:fldCharType="begin"/>
      </w:r>
      <w:r w:rsidR="00535DD4">
        <w:instrText xml:space="preserve"> SEQ Table \* ARABIC </w:instrText>
      </w:r>
      <w:r w:rsidR="00535DD4">
        <w:fldChar w:fldCharType="separate"/>
      </w:r>
      <w:r w:rsidR="00535DD4">
        <w:rPr>
          <w:noProof/>
        </w:rPr>
        <w:t>5</w:t>
      </w:r>
      <w:r w:rsidR="00535DD4">
        <w:rPr>
          <w:noProof/>
        </w:rPr>
        <w:fldChar w:fldCharType="end"/>
      </w:r>
      <w:r>
        <w:t xml:space="preserve">: </w:t>
      </w:r>
      <w:r w:rsidR="00DE4F3A">
        <w:rPr>
          <w:rFonts w:eastAsia="Times New Roman" w:cs="Arial"/>
          <w:color w:val="076A92"/>
          <w:szCs w:val="24"/>
          <w:lang w:eastAsia="en-AU"/>
        </w:rPr>
        <w:t>Rebids the</w:t>
      </w:r>
      <w:r w:rsidR="0052344A" w:rsidRPr="00E73868">
        <w:rPr>
          <w:rFonts w:eastAsia="Times New Roman" w:cs="Arial"/>
          <w:color w:val="076A92"/>
          <w:szCs w:val="24"/>
          <w:lang w:eastAsia="en-AU"/>
        </w:rPr>
        <w:t xml:space="preserve"> 7 pm</w:t>
      </w:r>
      <w:r w:rsidR="00DE4F3A">
        <w:rPr>
          <w:rFonts w:eastAsia="Times New Roman" w:cs="Arial"/>
          <w:color w:val="076A92"/>
          <w:szCs w:val="24"/>
          <w:lang w:eastAsia="en-AU"/>
        </w:rPr>
        <w:t xml:space="preserve"> trading interval</w:t>
      </w: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960"/>
        <w:gridCol w:w="811"/>
        <w:gridCol w:w="1210"/>
        <w:gridCol w:w="984"/>
        <w:gridCol w:w="843"/>
        <w:gridCol w:w="789"/>
        <w:gridCol w:w="793"/>
        <w:gridCol w:w="1787"/>
        <w:gridCol w:w="889"/>
      </w:tblGrid>
      <w:tr w:rsidR="0052344A" w:rsidRPr="00E73868" w:rsidTr="00DF6187">
        <w:trPr>
          <w:trHeight w:val="208"/>
        </w:trPr>
        <w:tc>
          <w:tcPr>
            <w:tcW w:w="960"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ascii="Times New Roman" w:eastAsia="Times New Roman" w:hAnsi="Times New Roman" w:cs="Times New Roman"/>
                <w:b/>
                <w:sz w:val="2"/>
                <w:szCs w:val="2"/>
                <w:lang w:eastAsia="en-AU"/>
              </w:rPr>
            </w:pPr>
            <w:r w:rsidRPr="00C22E0E">
              <w:rPr>
                <w:rFonts w:eastAsia="Times New Roman" w:cs="Arial"/>
                <w:b/>
                <w:color w:val="FFFFFF"/>
                <w:sz w:val="18"/>
                <w:szCs w:val="18"/>
                <w:lang w:eastAsia="en-AU"/>
              </w:rPr>
              <w:t>Submitted</w:t>
            </w:r>
            <w:r w:rsidRPr="00C22E0E">
              <w:rPr>
                <w:rFonts w:eastAsia="Times New Roman" w:cs="Arial"/>
                <w:b/>
                <w:color w:val="FFFFFF"/>
                <w:sz w:val="18"/>
                <w:szCs w:val="18"/>
                <w:lang w:eastAsia="en-AU"/>
              </w:rPr>
              <w:br/>
              <w:t>time</w:t>
            </w:r>
          </w:p>
        </w:tc>
        <w:tc>
          <w:tcPr>
            <w:tcW w:w="811"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ascii="Times New Roman" w:eastAsia="Times New Roman" w:hAnsi="Times New Roman" w:cs="Times New Roman"/>
                <w:b/>
                <w:sz w:val="2"/>
                <w:szCs w:val="2"/>
                <w:lang w:eastAsia="en-AU"/>
              </w:rPr>
            </w:pPr>
            <w:r w:rsidRPr="00C22E0E">
              <w:rPr>
                <w:rFonts w:eastAsia="Times New Roman" w:cs="Arial"/>
                <w:b/>
                <w:color w:val="FFFFFF"/>
                <w:sz w:val="18"/>
                <w:szCs w:val="18"/>
                <w:lang w:eastAsia="en-AU"/>
              </w:rPr>
              <w:t>Time</w:t>
            </w:r>
            <w:r w:rsidRPr="00C22E0E">
              <w:rPr>
                <w:rFonts w:eastAsia="Times New Roman" w:cs="Arial"/>
                <w:b/>
                <w:color w:val="FFFFFF"/>
                <w:sz w:val="18"/>
                <w:szCs w:val="18"/>
                <w:lang w:eastAsia="en-AU"/>
              </w:rPr>
              <w:br/>
              <w:t>effective</w:t>
            </w:r>
          </w:p>
        </w:tc>
        <w:tc>
          <w:tcPr>
            <w:tcW w:w="1210"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eastAsia="Times New Roman" w:cs="Arial"/>
                <w:b/>
                <w:color w:val="FFFFFF"/>
                <w:sz w:val="18"/>
                <w:szCs w:val="18"/>
                <w:lang w:eastAsia="en-AU"/>
              </w:rPr>
            </w:pPr>
            <w:r w:rsidRPr="00C22E0E">
              <w:rPr>
                <w:rFonts w:eastAsia="Times New Roman" w:cs="Arial"/>
                <w:b/>
                <w:color w:val="FFFFFF"/>
                <w:sz w:val="18"/>
                <w:szCs w:val="18"/>
                <w:lang w:eastAsia="en-AU"/>
              </w:rPr>
              <w:t>Participant</w:t>
            </w:r>
          </w:p>
        </w:tc>
        <w:tc>
          <w:tcPr>
            <w:tcW w:w="984"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eastAsia="Times New Roman" w:cs="Arial"/>
                <w:b/>
                <w:color w:val="FFFFFF"/>
                <w:sz w:val="18"/>
                <w:szCs w:val="18"/>
                <w:lang w:eastAsia="en-AU"/>
              </w:rPr>
            </w:pPr>
            <w:r w:rsidRPr="00C22E0E">
              <w:rPr>
                <w:rFonts w:eastAsia="Times New Roman" w:cs="Arial"/>
                <w:b/>
                <w:color w:val="FFFFFF"/>
                <w:sz w:val="18"/>
                <w:szCs w:val="18"/>
                <w:lang w:eastAsia="en-AU"/>
              </w:rPr>
              <w:t>Station</w:t>
            </w:r>
          </w:p>
        </w:tc>
        <w:tc>
          <w:tcPr>
            <w:tcW w:w="843"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ascii="Times New Roman" w:eastAsia="Times New Roman" w:hAnsi="Times New Roman" w:cs="Times New Roman"/>
                <w:b/>
                <w:sz w:val="2"/>
                <w:szCs w:val="2"/>
                <w:lang w:eastAsia="en-AU"/>
              </w:rPr>
            </w:pPr>
            <w:r w:rsidRPr="00C22E0E">
              <w:rPr>
                <w:rFonts w:eastAsia="Times New Roman" w:cs="Arial"/>
                <w:b/>
                <w:color w:val="FFFFFF"/>
                <w:sz w:val="18"/>
                <w:szCs w:val="18"/>
                <w:lang w:eastAsia="en-AU"/>
              </w:rPr>
              <w:t>Capacity rebid</w:t>
            </w:r>
            <w:r w:rsidRPr="00C22E0E">
              <w:rPr>
                <w:rFonts w:eastAsia="Times New Roman" w:cs="Arial"/>
                <w:b/>
                <w:color w:val="FFFFFF"/>
                <w:sz w:val="18"/>
                <w:szCs w:val="18"/>
                <w:lang w:eastAsia="en-AU"/>
              </w:rPr>
              <w:br/>
              <w:t>(MW)</w:t>
            </w:r>
          </w:p>
        </w:tc>
        <w:tc>
          <w:tcPr>
            <w:tcW w:w="789"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ascii="Times New Roman" w:eastAsia="Times New Roman" w:hAnsi="Times New Roman" w:cs="Times New Roman"/>
                <w:b/>
                <w:sz w:val="2"/>
                <w:szCs w:val="2"/>
                <w:lang w:eastAsia="en-AU"/>
              </w:rPr>
            </w:pPr>
            <w:r w:rsidRPr="00C22E0E">
              <w:rPr>
                <w:rFonts w:eastAsia="Times New Roman" w:cs="Arial"/>
                <w:b/>
                <w:color w:val="FFFFFF"/>
                <w:sz w:val="18"/>
                <w:szCs w:val="18"/>
                <w:lang w:eastAsia="en-AU"/>
              </w:rPr>
              <w:t>Price from</w:t>
            </w:r>
            <w:r w:rsidRPr="00C22E0E">
              <w:rPr>
                <w:rFonts w:eastAsia="Times New Roman" w:cs="Arial"/>
                <w:b/>
                <w:color w:val="FFFFFF"/>
                <w:sz w:val="18"/>
                <w:szCs w:val="18"/>
                <w:lang w:eastAsia="en-AU"/>
              </w:rPr>
              <w:br/>
              <w:t>($/MWh)</w:t>
            </w:r>
          </w:p>
        </w:tc>
        <w:tc>
          <w:tcPr>
            <w:tcW w:w="793"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ascii="Times New Roman" w:eastAsia="Times New Roman" w:hAnsi="Times New Roman" w:cs="Times New Roman"/>
                <w:b/>
                <w:sz w:val="2"/>
                <w:szCs w:val="2"/>
                <w:lang w:eastAsia="en-AU"/>
              </w:rPr>
            </w:pPr>
            <w:r w:rsidRPr="00C22E0E">
              <w:rPr>
                <w:rFonts w:eastAsia="Times New Roman" w:cs="Arial"/>
                <w:b/>
                <w:color w:val="FFFFFF"/>
                <w:sz w:val="18"/>
                <w:szCs w:val="18"/>
                <w:lang w:eastAsia="en-AU"/>
              </w:rPr>
              <w:t>Price to</w:t>
            </w:r>
            <w:r w:rsidRPr="00C22E0E">
              <w:rPr>
                <w:rFonts w:eastAsia="Times New Roman" w:cs="Arial"/>
                <w:b/>
                <w:color w:val="FFFFFF"/>
                <w:sz w:val="18"/>
                <w:szCs w:val="18"/>
                <w:lang w:eastAsia="en-AU"/>
              </w:rPr>
              <w:br/>
              <w:t>($/MWh)</w:t>
            </w:r>
          </w:p>
        </w:tc>
        <w:tc>
          <w:tcPr>
            <w:tcW w:w="1787" w:type="dxa"/>
            <w:shd w:val="clear" w:color="auto" w:fill="076A92"/>
            <w:tcMar>
              <w:top w:w="40" w:type="dxa"/>
              <w:left w:w="40" w:type="dxa"/>
              <w:bottom w:w="40" w:type="dxa"/>
              <w:right w:w="40" w:type="dxa"/>
            </w:tcMar>
            <w:hideMark/>
          </w:tcPr>
          <w:p w:rsidR="0052344A" w:rsidRPr="00C22E0E" w:rsidRDefault="0052344A" w:rsidP="00F77F21">
            <w:pPr>
              <w:spacing w:before="0" w:line="240" w:lineRule="auto"/>
              <w:jc w:val="center"/>
              <w:textAlignment w:val="top"/>
              <w:rPr>
                <w:rFonts w:eastAsia="Times New Roman" w:cs="Arial"/>
                <w:b/>
                <w:color w:val="FFFFFF"/>
                <w:sz w:val="18"/>
                <w:szCs w:val="18"/>
                <w:lang w:eastAsia="en-AU"/>
              </w:rPr>
            </w:pPr>
            <w:r w:rsidRPr="00C22E0E">
              <w:rPr>
                <w:rFonts w:eastAsia="Times New Roman" w:cs="Arial"/>
                <w:b/>
                <w:color w:val="FFFFFF"/>
                <w:sz w:val="18"/>
                <w:szCs w:val="18"/>
                <w:lang w:eastAsia="en-AU"/>
              </w:rPr>
              <w:t>Rebid reason</w:t>
            </w:r>
          </w:p>
        </w:tc>
        <w:tc>
          <w:tcPr>
            <w:tcW w:w="889" w:type="dxa"/>
            <w:shd w:val="clear" w:color="auto" w:fill="076A92"/>
          </w:tcPr>
          <w:p w:rsidR="0052344A" w:rsidRPr="00C22E0E" w:rsidRDefault="0052344A" w:rsidP="00F77F21">
            <w:pPr>
              <w:spacing w:before="0" w:line="240" w:lineRule="auto"/>
              <w:textAlignment w:val="top"/>
              <w:rPr>
                <w:rFonts w:eastAsia="Times New Roman" w:cs="Arial"/>
                <w:b/>
                <w:color w:val="FFFFFF"/>
                <w:sz w:val="18"/>
                <w:szCs w:val="18"/>
                <w:lang w:eastAsia="en-AU"/>
              </w:rPr>
            </w:pPr>
            <w:r w:rsidRPr="00C22E0E">
              <w:rPr>
                <w:rFonts w:eastAsia="Times New Roman" w:cs="Arial"/>
                <w:b/>
                <w:color w:val="FFFFFF"/>
                <w:sz w:val="18"/>
                <w:szCs w:val="18"/>
                <w:lang w:eastAsia="en-AU"/>
              </w:rPr>
              <w:t>Region</w:t>
            </w:r>
          </w:p>
        </w:tc>
      </w:tr>
      <w:tr w:rsidR="00DF6187" w:rsidRPr="00E73868" w:rsidTr="00DF6187">
        <w:trPr>
          <w:trHeight w:val="577"/>
        </w:trPr>
        <w:tc>
          <w:tcPr>
            <w:tcW w:w="960" w:type="dxa"/>
            <w:tcBorders>
              <w:bottom w:val="nil"/>
            </w:tcBorders>
            <w:shd w:val="clear" w:color="auto" w:fill="auto"/>
            <w:tcMar>
              <w:top w:w="40" w:type="dxa"/>
              <w:left w:w="40" w:type="dxa"/>
              <w:bottom w:w="40" w:type="dxa"/>
              <w:right w:w="40" w:type="dxa"/>
            </w:tcMar>
            <w:vAlign w:val="center"/>
          </w:tcPr>
          <w:p w:rsidR="00DF6187" w:rsidRPr="00C22E0E" w:rsidRDefault="00DF6187" w:rsidP="00C22E0E">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6.41 pm</w:t>
            </w:r>
          </w:p>
        </w:tc>
        <w:tc>
          <w:tcPr>
            <w:tcW w:w="811" w:type="dxa"/>
            <w:tcBorders>
              <w:bottom w:val="nil"/>
            </w:tcBorders>
            <w:shd w:val="clear" w:color="auto" w:fill="auto"/>
            <w:tcMar>
              <w:top w:w="40" w:type="dxa"/>
              <w:left w:w="40" w:type="dxa"/>
              <w:bottom w:w="40" w:type="dxa"/>
              <w:right w:w="40" w:type="dxa"/>
            </w:tcMar>
            <w:vAlign w:val="center"/>
          </w:tcPr>
          <w:p w:rsidR="00DF6187" w:rsidRDefault="00DF6187" w:rsidP="00B6084D">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6.50 pm</w:t>
            </w:r>
          </w:p>
        </w:tc>
        <w:tc>
          <w:tcPr>
            <w:tcW w:w="1210" w:type="dxa"/>
            <w:tcBorders>
              <w:bottom w:val="nil"/>
            </w:tcBorders>
            <w:shd w:val="clear" w:color="auto" w:fill="auto"/>
            <w:tcMar>
              <w:top w:w="40" w:type="dxa"/>
              <w:left w:w="40" w:type="dxa"/>
              <w:bottom w:w="40" w:type="dxa"/>
              <w:right w:w="40" w:type="dxa"/>
            </w:tcMar>
            <w:vAlign w:val="center"/>
          </w:tcPr>
          <w:p w:rsidR="00DF6187" w:rsidRPr="00C05504" w:rsidRDefault="00DF6187" w:rsidP="00C05504">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Origin Energy</w:t>
            </w:r>
          </w:p>
        </w:tc>
        <w:tc>
          <w:tcPr>
            <w:tcW w:w="984" w:type="dxa"/>
            <w:tcBorders>
              <w:bottom w:val="nil"/>
            </w:tcBorders>
            <w:shd w:val="clear" w:color="auto" w:fill="auto"/>
            <w:tcMar>
              <w:top w:w="40" w:type="dxa"/>
              <w:left w:w="40" w:type="dxa"/>
              <w:bottom w:w="40" w:type="dxa"/>
              <w:right w:w="40" w:type="dxa"/>
            </w:tcMar>
            <w:vAlign w:val="center"/>
          </w:tcPr>
          <w:p w:rsidR="00DF6187" w:rsidRDefault="00DF6187" w:rsidP="00F77F21">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Mortlake</w:t>
            </w:r>
          </w:p>
        </w:tc>
        <w:tc>
          <w:tcPr>
            <w:tcW w:w="843" w:type="dxa"/>
            <w:tcBorders>
              <w:bottom w:val="nil"/>
            </w:tcBorders>
            <w:shd w:val="clear" w:color="auto" w:fill="auto"/>
            <w:tcMar>
              <w:top w:w="40" w:type="dxa"/>
              <w:left w:w="40" w:type="dxa"/>
              <w:bottom w:w="40" w:type="dxa"/>
              <w:right w:w="40" w:type="dxa"/>
            </w:tcMar>
            <w:vAlign w:val="center"/>
          </w:tcPr>
          <w:p w:rsidR="00DF6187" w:rsidRDefault="00DF6187"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270</w:t>
            </w:r>
          </w:p>
        </w:tc>
        <w:tc>
          <w:tcPr>
            <w:tcW w:w="789" w:type="dxa"/>
            <w:tcBorders>
              <w:bottom w:val="nil"/>
            </w:tcBorders>
            <w:shd w:val="clear" w:color="auto" w:fill="auto"/>
            <w:tcMar>
              <w:top w:w="40" w:type="dxa"/>
              <w:left w:w="40" w:type="dxa"/>
              <w:bottom w:w="40" w:type="dxa"/>
              <w:right w:w="40" w:type="dxa"/>
            </w:tcMar>
            <w:vAlign w:val="center"/>
          </w:tcPr>
          <w:p w:rsidR="00DF6187" w:rsidRDefault="00DF6187" w:rsidP="00F77F21">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75</w:t>
            </w:r>
          </w:p>
        </w:tc>
        <w:tc>
          <w:tcPr>
            <w:tcW w:w="793" w:type="dxa"/>
            <w:tcBorders>
              <w:bottom w:val="nil"/>
            </w:tcBorders>
            <w:shd w:val="clear" w:color="auto" w:fill="auto"/>
            <w:tcMar>
              <w:top w:w="40" w:type="dxa"/>
              <w:left w:w="40" w:type="dxa"/>
              <w:bottom w:w="40" w:type="dxa"/>
              <w:right w:w="40" w:type="dxa"/>
            </w:tcMar>
            <w:vAlign w:val="center"/>
          </w:tcPr>
          <w:p w:rsidR="00DF6187" w:rsidRDefault="00DF6187"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N/A</w:t>
            </w:r>
          </w:p>
        </w:tc>
        <w:tc>
          <w:tcPr>
            <w:tcW w:w="1787" w:type="dxa"/>
            <w:tcBorders>
              <w:bottom w:val="nil"/>
            </w:tcBorders>
            <w:shd w:val="clear" w:color="auto" w:fill="auto"/>
            <w:tcMar>
              <w:top w:w="40" w:type="dxa"/>
              <w:left w:w="40" w:type="dxa"/>
              <w:bottom w:w="40" w:type="dxa"/>
              <w:right w:w="40" w:type="dxa"/>
            </w:tcMar>
            <w:vAlign w:val="center"/>
          </w:tcPr>
          <w:p w:rsidR="00DF6187" w:rsidRPr="00C05504" w:rsidRDefault="00DF6187">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18</w:t>
            </w:r>
            <w:r>
              <w:rPr>
                <w:rFonts w:eastAsia="Times New Roman" w:cs="Arial"/>
                <w:color w:val="000000"/>
                <w:sz w:val="18"/>
                <w:szCs w:val="18"/>
                <w:lang w:eastAsia="en-AU"/>
              </w:rPr>
              <w:t>35</w:t>
            </w:r>
            <w:r w:rsidRPr="00E73868">
              <w:rPr>
                <w:rFonts w:eastAsia="Times New Roman" w:cs="Arial"/>
                <w:color w:val="000000"/>
                <w:sz w:val="18"/>
                <w:szCs w:val="18"/>
                <w:lang w:eastAsia="en-AU"/>
              </w:rPr>
              <w:t>A AVOID UNECONOMIC START - AVOID SHORT RUN SL</w:t>
            </w:r>
          </w:p>
        </w:tc>
        <w:tc>
          <w:tcPr>
            <w:tcW w:w="889" w:type="dxa"/>
            <w:tcBorders>
              <w:bottom w:val="nil"/>
            </w:tcBorders>
            <w:shd w:val="clear" w:color="auto" w:fill="auto"/>
            <w:vAlign w:val="center"/>
          </w:tcPr>
          <w:p w:rsidR="00DF6187" w:rsidRDefault="00DF6187" w:rsidP="003D2093">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VIC</w:t>
            </w:r>
          </w:p>
        </w:tc>
      </w:tr>
      <w:tr w:rsidR="00C22E0E" w:rsidRPr="00E73868" w:rsidTr="00DF6187">
        <w:trPr>
          <w:trHeight w:val="577"/>
        </w:trPr>
        <w:tc>
          <w:tcPr>
            <w:tcW w:w="960" w:type="dxa"/>
            <w:tcBorders>
              <w:bottom w:val="nil"/>
            </w:tcBorders>
            <w:shd w:val="clear" w:color="auto" w:fill="auto"/>
            <w:tcMar>
              <w:top w:w="40" w:type="dxa"/>
              <w:left w:w="40" w:type="dxa"/>
              <w:bottom w:w="40" w:type="dxa"/>
              <w:right w:w="40" w:type="dxa"/>
            </w:tcMar>
            <w:vAlign w:val="center"/>
          </w:tcPr>
          <w:p w:rsidR="0052344A" w:rsidRPr="00C22E0E" w:rsidRDefault="00C05504" w:rsidP="00C22E0E">
            <w:pPr>
              <w:spacing w:before="0" w:line="240" w:lineRule="auto"/>
              <w:textAlignment w:val="center"/>
              <w:rPr>
                <w:rFonts w:eastAsia="Times New Roman" w:cs="Arial"/>
                <w:color w:val="000000"/>
                <w:sz w:val="18"/>
                <w:szCs w:val="18"/>
                <w:lang w:eastAsia="en-AU"/>
              </w:rPr>
            </w:pPr>
            <w:r w:rsidRPr="00C22E0E">
              <w:rPr>
                <w:rFonts w:eastAsia="Times New Roman" w:cs="Arial"/>
                <w:color w:val="000000"/>
                <w:sz w:val="18"/>
                <w:szCs w:val="18"/>
                <w:lang w:eastAsia="en-AU"/>
              </w:rPr>
              <w:t>6.52 pm</w:t>
            </w:r>
          </w:p>
        </w:tc>
        <w:tc>
          <w:tcPr>
            <w:tcW w:w="811" w:type="dxa"/>
            <w:tcBorders>
              <w:bottom w:val="nil"/>
            </w:tcBorders>
            <w:shd w:val="clear" w:color="auto" w:fill="auto"/>
            <w:tcMar>
              <w:top w:w="40" w:type="dxa"/>
              <w:left w:w="40" w:type="dxa"/>
              <w:bottom w:w="40" w:type="dxa"/>
              <w:right w:w="40" w:type="dxa"/>
            </w:tcMar>
            <w:vAlign w:val="center"/>
          </w:tcPr>
          <w:p w:rsidR="0052344A" w:rsidRPr="00E73868" w:rsidRDefault="00C05504">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7 pm</w:t>
            </w:r>
          </w:p>
        </w:tc>
        <w:tc>
          <w:tcPr>
            <w:tcW w:w="1210" w:type="dxa"/>
            <w:tcBorders>
              <w:bottom w:val="nil"/>
            </w:tcBorders>
            <w:shd w:val="clear" w:color="auto" w:fill="auto"/>
            <w:tcMar>
              <w:top w:w="40" w:type="dxa"/>
              <w:left w:w="40" w:type="dxa"/>
              <w:bottom w:w="40" w:type="dxa"/>
              <w:right w:w="40" w:type="dxa"/>
            </w:tcMar>
            <w:vAlign w:val="center"/>
          </w:tcPr>
          <w:p w:rsidR="0052344A" w:rsidRPr="00E73868" w:rsidRDefault="00C05504" w:rsidP="00C05504">
            <w:pPr>
              <w:spacing w:before="0" w:line="240" w:lineRule="auto"/>
              <w:textAlignment w:val="center"/>
              <w:rPr>
                <w:rFonts w:eastAsia="Times New Roman" w:cs="Arial"/>
                <w:color w:val="000000"/>
                <w:sz w:val="18"/>
                <w:szCs w:val="18"/>
                <w:lang w:eastAsia="en-AU"/>
              </w:rPr>
            </w:pPr>
            <w:proofErr w:type="spellStart"/>
            <w:r w:rsidRPr="00C05504">
              <w:rPr>
                <w:rFonts w:eastAsia="Times New Roman" w:cs="Arial"/>
                <w:color w:val="000000"/>
                <w:sz w:val="18"/>
                <w:szCs w:val="18"/>
                <w:lang w:eastAsia="en-AU"/>
              </w:rPr>
              <w:t>Alinta</w:t>
            </w:r>
            <w:proofErr w:type="spellEnd"/>
            <w:r w:rsidRPr="00C05504">
              <w:rPr>
                <w:rFonts w:eastAsia="Times New Roman" w:cs="Arial"/>
                <w:color w:val="000000"/>
                <w:sz w:val="18"/>
                <w:szCs w:val="18"/>
                <w:lang w:eastAsia="en-AU"/>
              </w:rPr>
              <w:t xml:space="preserve"> Energy</w:t>
            </w:r>
          </w:p>
        </w:tc>
        <w:tc>
          <w:tcPr>
            <w:tcW w:w="984" w:type="dxa"/>
            <w:tcBorders>
              <w:bottom w:val="nil"/>
            </w:tcBorders>
            <w:shd w:val="clear" w:color="auto" w:fill="auto"/>
            <w:tcMar>
              <w:top w:w="40" w:type="dxa"/>
              <w:left w:w="40" w:type="dxa"/>
              <w:bottom w:w="40" w:type="dxa"/>
              <w:right w:w="40" w:type="dxa"/>
            </w:tcMar>
            <w:vAlign w:val="center"/>
          </w:tcPr>
          <w:p w:rsidR="0052344A" w:rsidRPr="00E73868" w:rsidRDefault="00C05504" w:rsidP="00F77F21">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Northern</w:t>
            </w:r>
          </w:p>
        </w:tc>
        <w:tc>
          <w:tcPr>
            <w:tcW w:w="843" w:type="dxa"/>
            <w:tcBorders>
              <w:bottom w:val="nil"/>
            </w:tcBorders>
            <w:shd w:val="clear" w:color="auto" w:fill="auto"/>
            <w:tcMar>
              <w:top w:w="40" w:type="dxa"/>
              <w:left w:w="40" w:type="dxa"/>
              <w:bottom w:w="40" w:type="dxa"/>
              <w:right w:w="40" w:type="dxa"/>
            </w:tcMar>
            <w:vAlign w:val="center"/>
          </w:tcPr>
          <w:p w:rsidR="0052344A" w:rsidRPr="00E73868" w:rsidRDefault="00C05504" w:rsidP="00F77F21">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33</w:t>
            </w:r>
          </w:p>
        </w:tc>
        <w:tc>
          <w:tcPr>
            <w:tcW w:w="789" w:type="dxa"/>
            <w:tcBorders>
              <w:bottom w:val="nil"/>
            </w:tcBorders>
            <w:shd w:val="clear" w:color="auto" w:fill="auto"/>
            <w:tcMar>
              <w:top w:w="40" w:type="dxa"/>
              <w:left w:w="40" w:type="dxa"/>
              <w:bottom w:w="40" w:type="dxa"/>
              <w:right w:w="40" w:type="dxa"/>
            </w:tcMar>
            <w:vAlign w:val="center"/>
          </w:tcPr>
          <w:p w:rsidR="0052344A" w:rsidRPr="00E73868" w:rsidRDefault="00C05504" w:rsidP="00F77F21">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46</w:t>
            </w:r>
          </w:p>
        </w:tc>
        <w:tc>
          <w:tcPr>
            <w:tcW w:w="793" w:type="dxa"/>
            <w:tcBorders>
              <w:bottom w:val="nil"/>
            </w:tcBorders>
            <w:shd w:val="clear" w:color="auto" w:fill="auto"/>
            <w:tcMar>
              <w:top w:w="40" w:type="dxa"/>
              <w:left w:w="40" w:type="dxa"/>
              <w:bottom w:w="40" w:type="dxa"/>
              <w:right w:w="40" w:type="dxa"/>
            </w:tcMar>
            <w:vAlign w:val="center"/>
          </w:tcPr>
          <w:p w:rsidR="0052344A" w:rsidRPr="00E73868" w:rsidRDefault="00C05504" w:rsidP="00F77F21">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13 330</w:t>
            </w:r>
          </w:p>
        </w:tc>
        <w:tc>
          <w:tcPr>
            <w:tcW w:w="1787" w:type="dxa"/>
            <w:tcBorders>
              <w:bottom w:val="nil"/>
            </w:tcBorders>
            <w:shd w:val="clear" w:color="auto" w:fill="auto"/>
            <w:tcMar>
              <w:top w:w="40" w:type="dxa"/>
              <w:left w:w="40" w:type="dxa"/>
              <w:bottom w:w="40" w:type="dxa"/>
              <w:right w:w="40" w:type="dxa"/>
            </w:tcMar>
            <w:vAlign w:val="center"/>
          </w:tcPr>
          <w:p w:rsidR="0052344A" w:rsidRPr="00E73868" w:rsidRDefault="00C05504" w:rsidP="00F77F21">
            <w:pPr>
              <w:spacing w:before="0" w:line="240" w:lineRule="auto"/>
              <w:textAlignment w:val="center"/>
              <w:rPr>
                <w:rFonts w:eastAsia="Times New Roman" w:cs="Arial"/>
                <w:color w:val="000000"/>
                <w:sz w:val="18"/>
                <w:szCs w:val="18"/>
                <w:lang w:eastAsia="en-AU"/>
              </w:rPr>
            </w:pPr>
            <w:r w:rsidRPr="00C05504">
              <w:rPr>
                <w:rFonts w:eastAsia="Times New Roman" w:cs="Arial"/>
                <w:color w:val="000000"/>
                <w:sz w:val="18"/>
                <w:szCs w:val="18"/>
                <w:lang w:eastAsia="en-AU"/>
              </w:rPr>
              <w:t>1850~A~DISPATCH $319.93 V 5PD $66.99~</w:t>
            </w:r>
          </w:p>
        </w:tc>
        <w:tc>
          <w:tcPr>
            <w:tcW w:w="889" w:type="dxa"/>
            <w:tcBorders>
              <w:bottom w:val="nil"/>
            </w:tcBorders>
            <w:shd w:val="clear" w:color="auto" w:fill="auto"/>
            <w:vAlign w:val="center"/>
          </w:tcPr>
          <w:p w:rsidR="0052344A" w:rsidRPr="00E73868" w:rsidRDefault="00C05504" w:rsidP="003D2093">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SA</w:t>
            </w:r>
          </w:p>
        </w:tc>
      </w:tr>
      <w:tr w:rsidR="00C22E0E" w:rsidRPr="00E73868" w:rsidTr="00DF6187">
        <w:trPr>
          <w:trHeight w:val="577"/>
        </w:trPr>
        <w:tc>
          <w:tcPr>
            <w:tcW w:w="960" w:type="dxa"/>
            <w:shd w:val="clear" w:color="auto" w:fill="DBE5F1"/>
            <w:tcMar>
              <w:top w:w="40" w:type="dxa"/>
              <w:left w:w="40" w:type="dxa"/>
              <w:bottom w:w="40" w:type="dxa"/>
              <w:right w:w="40" w:type="dxa"/>
            </w:tcMar>
            <w:vAlign w:val="center"/>
            <w:hideMark/>
          </w:tcPr>
          <w:p w:rsidR="00C05504" w:rsidRPr="00C22E0E" w:rsidRDefault="00C05504" w:rsidP="00C22E0E">
            <w:pPr>
              <w:spacing w:before="0" w:line="240" w:lineRule="auto"/>
              <w:textAlignment w:val="center"/>
              <w:rPr>
                <w:rFonts w:eastAsia="Times New Roman" w:cs="Arial"/>
                <w:color w:val="000000"/>
                <w:sz w:val="18"/>
                <w:szCs w:val="18"/>
                <w:lang w:eastAsia="en-AU"/>
              </w:rPr>
            </w:pPr>
            <w:r w:rsidRPr="00C22E0E">
              <w:rPr>
                <w:rFonts w:eastAsia="Times New Roman" w:cs="Arial"/>
                <w:color w:val="000000"/>
                <w:sz w:val="18"/>
                <w:szCs w:val="18"/>
                <w:lang w:eastAsia="en-AU"/>
              </w:rPr>
              <w:t>6.53 pm</w:t>
            </w:r>
          </w:p>
        </w:tc>
        <w:tc>
          <w:tcPr>
            <w:tcW w:w="811" w:type="dxa"/>
            <w:shd w:val="clear" w:color="auto" w:fill="DBE5F1"/>
            <w:tcMar>
              <w:top w:w="40" w:type="dxa"/>
              <w:left w:w="40" w:type="dxa"/>
              <w:bottom w:w="40" w:type="dxa"/>
              <w:right w:w="40" w:type="dxa"/>
            </w:tcMar>
            <w:vAlign w:val="center"/>
            <w:hideMark/>
          </w:tcPr>
          <w:p w:rsidR="00C05504" w:rsidRPr="00E73868" w:rsidRDefault="00C05504">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7 pm</w:t>
            </w:r>
          </w:p>
        </w:tc>
        <w:tc>
          <w:tcPr>
            <w:tcW w:w="1210" w:type="dxa"/>
            <w:shd w:val="clear" w:color="auto" w:fill="DBE5F1"/>
            <w:tcMar>
              <w:top w:w="40" w:type="dxa"/>
              <w:left w:w="40" w:type="dxa"/>
              <w:bottom w:w="40" w:type="dxa"/>
              <w:right w:w="40" w:type="dxa"/>
            </w:tcMar>
            <w:vAlign w:val="center"/>
            <w:hideMark/>
          </w:tcPr>
          <w:p w:rsidR="00C05504" w:rsidRPr="00E73868" w:rsidRDefault="00C05504" w:rsidP="00F77F21">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Origin Energy</w:t>
            </w:r>
          </w:p>
        </w:tc>
        <w:tc>
          <w:tcPr>
            <w:tcW w:w="984" w:type="dxa"/>
            <w:shd w:val="clear" w:color="auto" w:fill="DBE5F1"/>
            <w:tcMar>
              <w:top w:w="40" w:type="dxa"/>
              <w:left w:w="40" w:type="dxa"/>
              <w:bottom w:w="40" w:type="dxa"/>
              <w:right w:w="40" w:type="dxa"/>
            </w:tcMar>
            <w:vAlign w:val="center"/>
            <w:hideMark/>
          </w:tcPr>
          <w:p w:rsidR="00C05504" w:rsidRPr="00E73868" w:rsidRDefault="00C05504" w:rsidP="00F77F21">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Mortlake</w:t>
            </w:r>
          </w:p>
        </w:tc>
        <w:tc>
          <w:tcPr>
            <w:tcW w:w="843" w:type="dxa"/>
            <w:shd w:val="clear" w:color="auto" w:fill="DBE5F1"/>
            <w:tcMar>
              <w:top w:w="40" w:type="dxa"/>
              <w:left w:w="40" w:type="dxa"/>
              <w:bottom w:w="40" w:type="dxa"/>
              <w:right w:w="40" w:type="dxa"/>
            </w:tcMar>
            <w:vAlign w:val="center"/>
            <w:hideMark/>
          </w:tcPr>
          <w:p w:rsidR="00C05504" w:rsidRPr="00E73868" w:rsidRDefault="00C05504"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270</w:t>
            </w:r>
          </w:p>
        </w:tc>
        <w:tc>
          <w:tcPr>
            <w:tcW w:w="789" w:type="dxa"/>
            <w:shd w:val="clear" w:color="auto" w:fill="DBE5F1"/>
            <w:tcMar>
              <w:top w:w="40" w:type="dxa"/>
              <w:left w:w="40" w:type="dxa"/>
              <w:bottom w:w="40" w:type="dxa"/>
              <w:right w:w="40" w:type="dxa"/>
            </w:tcMar>
            <w:vAlign w:val="center"/>
            <w:hideMark/>
          </w:tcPr>
          <w:p w:rsidR="00C05504" w:rsidRPr="00E73868" w:rsidRDefault="00C05504"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98</w:t>
            </w:r>
          </w:p>
        </w:tc>
        <w:tc>
          <w:tcPr>
            <w:tcW w:w="793" w:type="dxa"/>
            <w:shd w:val="clear" w:color="auto" w:fill="DBE5F1"/>
            <w:tcMar>
              <w:top w:w="40" w:type="dxa"/>
              <w:left w:w="40" w:type="dxa"/>
              <w:bottom w:w="40" w:type="dxa"/>
              <w:right w:w="40" w:type="dxa"/>
            </w:tcMar>
            <w:vAlign w:val="center"/>
            <w:hideMark/>
          </w:tcPr>
          <w:p w:rsidR="00C05504" w:rsidRPr="00E73868" w:rsidRDefault="00C05504"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N/A</w:t>
            </w:r>
          </w:p>
        </w:tc>
        <w:tc>
          <w:tcPr>
            <w:tcW w:w="1787" w:type="dxa"/>
            <w:shd w:val="clear" w:color="auto" w:fill="DBE5F1"/>
            <w:tcMar>
              <w:top w:w="40" w:type="dxa"/>
              <w:left w:w="40" w:type="dxa"/>
              <w:bottom w:w="40" w:type="dxa"/>
              <w:right w:w="40" w:type="dxa"/>
            </w:tcMar>
            <w:vAlign w:val="center"/>
            <w:hideMark/>
          </w:tcPr>
          <w:p w:rsidR="00C05504" w:rsidRPr="00E73868" w:rsidRDefault="00C05504" w:rsidP="00F77F21">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1851A AVOID UNECONOMIC START - AVOID SHORT RUN SL</w:t>
            </w:r>
          </w:p>
        </w:tc>
        <w:tc>
          <w:tcPr>
            <w:tcW w:w="889" w:type="dxa"/>
            <w:shd w:val="clear" w:color="auto" w:fill="DBE5F1"/>
            <w:vAlign w:val="center"/>
          </w:tcPr>
          <w:p w:rsidR="00C05504" w:rsidRPr="00E73868" w:rsidRDefault="00C05504" w:rsidP="003D2093">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VIC</w:t>
            </w:r>
          </w:p>
        </w:tc>
      </w:tr>
      <w:tr w:rsidR="00B0517B" w:rsidRPr="00E73868" w:rsidTr="00DF6187">
        <w:trPr>
          <w:trHeight w:val="577"/>
        </w:trPr>
        <w:tc>
          <w:tcPr>
            <w:tcW w:w="960" w:type="dxa"/>
            <w:tcBorders>
              <w:bottom w:val="single" w:sz="4" w:space="0" w:color="auto"/>
            </w:tcBorders>
            <w:shd w:val="clear" w:color="auto" w:fill="auto"/>
            <w:tcMar>
              <w:top w:w="40" w:type="dxa"/>
              <w:left w:w="40" w:type="dxa"/>
              <w:bottom w:w="40" w:type="dxa"/>
              <w:right w:w="40" w:type="dxa"/>
            </w:tcMar>
            <w:vAlign w:val="center"/>
          </w:tcPr>
          <w:p w:rsidR="00B0517B" w:rsidRPr="00C22E0E" w:rsidRDefault="00B0517B" w:rsidP="00C22E0E">
            <w:pPr>
              <w:spacing w:before="0" w:line="240" w:lineRule="auto"/>
              <w:textAlignment w:val="center"/>
              <w:rPr>
                <w:rFonts w:eastAsia="Times New Roman" w:cs="Arial"/>
                <w:color w:val="000000"/>
                <w:sz w:val="18"/>
                <w:szCs w:val="18"/>
                <w:lang w:eastAsia="en-AU"/>
              </w:rPr>
            </w:pPr>
            <w:r w:rsidRPr="00C22E0E">
              <w:rPr>
                <w:rFonts w:eastAsia="Times New Roman" w:cs="Arial"/>
                <w:color w:val="000000"/>
                <w:sz w:val="18"/>
                <w:szCs w:val="18"/>
                <w:lang w:eastAsia="en-AU"/>
              </w:rPr>
              <w:t>6.53 pm</w:t>
            </w:r>
          </w:p>
        </w:tc>
        <w:tc>
          <w:tcPr>
            <w:tcW w:w="811" w:type="dxa"/>
            <w:tcBorders>
              <w:bottom w:val="single" w:sz="4" w:space="0" w:color="auto"/>
            </w:tcBorders>
            <w:shd w:val="clear" w:color="auto" w:fill="auto"/>
            <w:tcMar>
              <w:top w:w="40" w:type="dxa"/>
              <w:left w:w="40" w:type="dxa"/>
              <w:bottom w:w="40" w:type="dxa"/>
              <w:right w:w="40" w:type="dxa"/>
            </w:tcMar>
            <w:vAlign w:val="center"/>
          </w:tcPr>
          <w:p w:rsidR="00B0517B" w:rsidRPr="00E73868" w:rsidRDefault="00B0517B">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7 pm</w:t>
            </w:r>
          </w:p>
        </w:tc>
        <w:tc>
          <w:tcPr>
            <w:tcW w:w="1210" w:type="dxa"/>
            <w:tcBorders>
              <w:bottom w:val="single" w:sz="4" w:space="0" w:color="auto"/>
            </w:tcBorders>
            <w:shd w:val="clear" w:color="auto" w:fill="auto"/>
            <w:tcMar>
              <w:top w:w="40" w:type="dxa"/>
              <w:left w:w="40" w:type="dxa"/>
              <w:bottom w:w="40" w:type="dxa"/>
              <w:right w:w="40" w:type="dxa"/>
            </w:tcMar>
            <w:vAlign w:val="center"/>
          </w:tcPr>
          <w:p w:rsidR="00B0517B" w:rsidRPr="00E73868" w:rsidRDefault="00B0517B" w:rsidP="00F77F21">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Origin Energy</w:t>
            </w:r>
          </w:p>
        </w:tc>
        <w:tc>
          <w:tcPr>
            <w:tcW w:w="984" w:type="dxa"/>
            <w:tcBorders>
              <w:bottom w:val="single" w:sz="4" w:space="0" w:color="auto"/>
            </w:tcBorders>
            <w:shd w:val="clear" w:color="auto" w:fill="auto"/>
            <w:tcMar>
              <w:top w:w="40" w:type="dxa"/>
              <w:left w:w="40" w:type="dxa"/>
              <w:bottom w:w="40" w:type="dxa"/>
              <w:right w:w="40" w:type="dxa"/>
            </w:tcMar>
            <w:vAlign w:val="center"/>
          </w:tcPr>
          <w:p w:rsidR="00B0517B" w:rsidRPr="00E73868" w:rsidRDefault="00B0517B" w:rsidP="00F77F21">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Quarantine</w:t>
            </w:r>
          </w:p>
        </w:tc>
        <w:tc>
          <w:tcPr>
            <w:tcW w:w="843" w:type="dxa"/>
            <w:tcBorders>
              <w:bottom w:val="single" w:sz="4" w:space="0" w:color="auto"/>
            </w:tcBorders>
            <w:shd w:val="clear" w:color="auto" w:fill="auto"/>
            <w:tcMar>
              <w:top w:w="40" w:type="dxa"/>
              <w:left w:w="40" w:type="dxa"/>
              <w:bottom w:w="40" w:type="dxa"/>
              <w:right w:w="40" w:type="dxa"/>
            </w:tcMar>
            <w:vAlign w:val="center"/>
          </w:tcPr>
          <w:p w:rsidR="00B0517B" w:rsidRPr="00E73868" w:rsidRDefault="00B0517B"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48</w:t>
            </w:r>
          </w:p>
        </w:tc>
        <w:tc>
          <w:tcPr>
            <w:tcW w:w="789" w:type="dxa"/>
            <w:tcBorders>
              <w:bottom w:val="single" w:sz="4" w:space="0" w:color="auto"/>
            </w:tcBorders>
            <w:shd w:val="clear" w:color="auto" w:fill="auto"/>
            <w:tcMar>
              <w:top w:w="40" w:type="dxa"/>
              <w:left w:w="40" w:type="dxa"/>
              <w:bottom w:w="40" w:type="dxa"/>
              <w:right w:w="40" w:type="dxa"/>
            </w:tcMar>
            <w:vAlign w:val="center"/>
          </w:tcPr>
          <w:p w:rsidR="00B0517B" w:rsidRPr="00E73868" w:rsidRDefault="00B0517B"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95</w:t>
            </w:r>
          </w:p>
        </w:tc>
        <w:tc>
          <w:tcPr>
            <w:tcW w:w="793" w:type="dxa"/>
            <w:tcBorders>
              <w:bottom w:val="single" w:sz="4" w:space="0" w:color="auto"/>
            </w:tcBorders>
            <w:shd w:val="clear" w:color="auto" w:fill="auto"/>
            <w:tcMar>
              <w:top w:w="40" w:type="dxa"/>
              <w:left w:w="40" w:type="dxa"/>
              <w:bottom w:w="40" w:type="dxa"/>
              <w:right w:w="40" w:type="dxa"/>
            </w:tcMar>
            <w:vAlign w:val="center"/>
          </w:tcPr>
          <w:p w:rsidR="00B0517B" w:rsidRPr="00E73868" w:rsidRDefault="00B0517B" w:rsidP="00F77F21">
            <w:pPr>
              <w:spacing w:before="0" w:line="240" w:lineRule="auto"/>
              <w:jc w:val="center"/>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N/A</w:t>
            </w:r>
          </w:p>
        </w:tc>
        <w:tc>
          <w:tcPr>
            <w:tcW w:w="1787" w:type="dxa"/>
            <w:tcBorders>
              <w:bottom w:val="single" w:sz="4" w:space="0" w:color="auto"/>
            </w:tcBorders>
            <w:shd w:val="clear" w:color="auto" w:fill="auto"/>
            <w:tcMar>
              <w:top w:w="40" w:type="dxa"/>
              <w:left w:w="40" w:type="dxa"/>
              <w:bottom w:w="40" w:type="dxa"/>
              <w:right w:w="40" w:type="dxa"/>
            </w:tcMar>
            <w:vAlign w:val="center"/>
          </w:tcPr>
          <w:p w:rsidR="00B0517B" w:rsidRPr="00E73868" w:rsidRDefault="00B0517B" w:rsidP="00F77F21">
            <w:pPr>
              <w:spacing w:before="0" w:line="240" w:lineRule="auto"/>
              <w:textAlignment w:val="center"/>
              <w:rPr>
                <w:rFonts w:eastAsia="Times New Roman" w:cs="Arial"/>
                <w:color w:val="000000"/>
                <w:sz w:val="18"/>
                <w:szCs w:val="18"/>
                <w:lang w:eastAsia="en-AU"/>
              </w:rPr>
            </w:pPr>
            <w:r w:rsidRPr="00E73868">
              <w:rPr>
                <w:rFonts w:eastAsia="Times New Roman" w:cs="Arial"/>
                <w:color w:val="000000"/>
                <w:sz w:val="18"/>
                <w:szCs w:val="18"/>
                <w:lang w:eastAsia="en-AU"/>
              </w:rPr>
              <w:t>1851A AVOID UNECONOMIC START - AVOID SHORT RUN SL</w:t>
            </w:r>
          </w:p>
        </w:tc>
        <w:tc>
          <w:tcPr>
            <w:tcW w:w="889" w:type="dxa"/>
            <w:tcBorders>
              <w:bottom w:val="single" w:sz="4" w:space="0" w:color="auto"/>
            </w:tcBorders>
            <w:shd w:val="clear" w:color="auto" w:fill="auto"/>
            <w:vAlign w:val="center"/>
          </w:tcPr>
          <w:p w:rsidR="00B0517B" w:rsidRPr="00E73868" w:rsidRDefault="00B0517B" w:rsidP="003D2093">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SA</w:t>
            </w:r>
          </w:p>
        </w:tc>
      </w:tr>
    </w:tbl>
    <w:p w:rsidR="0052344A" w:rsidRDefault="0052344A" w:rsidP="0052344A">
      <w:pPr>
        <w:pStyle w:val="AERbodytext"/>
      </w:pPr>
    </w:p>
    <w:p w:rsidR="006F7EB4" w:rsidRDefault="0052344A" w:rsidP="006F7EB4">
      <w:pPr>
        <w:pStyle w:val="Heading4notnumbered"/>
        <w:jc w:val="both"/>
        <w:rPr>
          <w:b w:val="0"/>
          <w:color w:val="000000" w:themeColor="text1"/>
          <w:sz w:val="22"/>
          <w:szCs w:val="22"/>
        </w:rPr>
      </w:pPr>
      <w:r w:rsidRPr="00E97390">
        <w:rPr>
          <w:b w:val="0"/>
          <w:color w:val="000000" w:themeColor="text1"/>
          <w:sz w:val="22"/>
          <w:szCs w:val="22"/>
        </w:rPr>
        <w:t xml:space="preserve">The </w:t>
      </w:r>
      <w:r w:rsidR="00DF6187">
        <w:rPr>
          <w:b w:val="0"/>
          <w:color w:val="000000" w:themeColor="text1"/>
          <w:sz w:val="22"/>
          <w:szCs w:val="22"/>
        </w:rPr>
        <w:t>above rebids</w:t>
      </w:r>
      <w:r w:rsidRPr="00E97390">
        <w:rPr>
          <w:b w:val="0"/>
          <w:color w:val="000000" w:themeColor="text1"/>
          <w:sz w:val="22"/>
          <w:szCs w:val="22"/>
        </w:rPr>
        <w:t xml:space="preserve"> collectively removed </w:t>
      </w:r>
      <w:r w:rsidR="00DF6187">
        <w:rPr>
          <w:b w:val="0"/>
          <w:color w:val="000000" w:themeColor="text1"/>
          <w:sz w:val="22"/>
          <w:szCs w:val="22"/>
        </w:rPr>
        <w:t>62</w:t>
      </w:r>
      <w:r w:rsidR="00DF6187" w:rsidRPr="00E97390">
        <w:rPr>
          <w:b w:val="0"/>
          <w:color w:val="000000" w:themeColor="text1"/>
          <w:sz w:val="22"/>
          <w:szCs w:val="22"/>
        </w:rPr>
        <w:t>1 </w:t>
      </w:r>
      <w:r w:rsidRPr="00E97390">
        <w:rPr>
          <w:b w:val="0"/>
          <w:color w:val="000000" w:themeColor="text1"/>
          <w:sz w:val="22"/>
          <w:szCs w:val="22"/>
        </w:rPr>
        <w:t xml:space="preserve">MW of low priced generation within the southern states. Additionally, every dispatched generator in Tasmania was either fully dispatched or trapped/stranded in FCAS. Together these factors saw the </w:t>
      </w:r>
      <w:r w:rsidR="00741763">
        <w:rPr>
          <w:b w:val="0"/>
          <w:color w:val="000000" w:themeColor="text1"/>
          <w:sz w:val="22"/>
          <w:szCs w:val="22"/>
        </w:rPr>
        <w:t xml:space="preserve">dispatch </w:t>
      </w:r>
      <w:r w:rsidRPr="00E97390">
        <w:rPr>
          <w:b w:val="0"/>
          <w:color w:val="000000" w:themeColor="text1"/>
          <w:sz w:val="22"/>
          <w:szCs w:val="22"/>
        </w:rPr>
        <w:t xml:space="preserve">price </w:t>
      </w:r>
      <w:r w:rsidR="00741763">
        <w:rPr>
          <w:b w:val="0"/>
          <w:color w:val="000000" w:themeColor="text1"/>
          <w:sz w:val="22"/>
          <w:szCs w:val="22"/>
        </w:rPr>
        <w:t>increase at</w:t>
      </w:r>
      <w:r w:rsidRPr="00E97390">
        <w:rPr>
          <w:b w:val="0"/>
          <w:color w:val="000000" w:themeColor="text1"/>
          <w:sz w:val="22"/>
          <w:szCs w:val="22"/>
        </w:rPr>
        <w:t xml:space="preserve"> 7 pm </w:t>
      </w:r>
      <w:r w:rsidR="00741763">
        <w:rPr>
          <w:b w:val="0"/>
          <w:color w:val="000000" w:themeColor="text1"/>
          <w:sz w:val="22"/>
          <w:szCs w:val="22"/>
        </w:rPr>
        <w:t>to $12 438/MWh in Victoria, $</w:t>
      </w:r>
      <w:r w:rsidR="00DF6187">
        <w:rPr>
          <w:b w:val="0"/>
          <w:color w:val="000000" w:themeColor="text1"/>
          <w:sz w:val="22"/>
          <w:szCs w:val="22"/>
        </w:rPr>
        <w:t>13 330/MWh in South Australia and $11 656/MWh in Tasmania, set by Northern power station.</w:t>
      </w:r>
      <w:r w:rsidRPr="00E97390">
        <w:rPr>
          <w:b w:val="0"/>
          <w:color w:val="000000" w:themeColor="text1"/>
          <w:sz w:val="22"/>
          <w:szCs w:val="22"/>
        </w:rPr>
        <w:t xml:space="preserve"> Decreases of demand </w:t>
      </w:r>
      <w:r w:rsidR="00F77F21">
        <w:rPr>
          <w:b w:val="0"/>
          <w:color w:val="000000" w:themeColor="text1"/>
          <w:sz w:val="22"/>
          <w:szCs w:val="22"/>
        </w:rPr>
        <w:t>(</w:t>
      </w:r>
      <w:r w:rsidR="00F77F21" w:rsidRPr="0052344A">
        <w:rPr>
          <w:rFonts w:cs="Arial"/>
          <w:b w:val="0"/>
          <w:color w:val="000000" w:themeColor="text1"/>
          <w:sz w:val="22"/>
          <w:szCs w:val="22"/>
          <w:lang w:eastAsia="en-AU"/>
        </w:rPr>
        <w:t>non-scheduled generation coming online</w:t>
      </w:r>
      <w:r w:rsidR="00F77F21">
        <w:rPr>
          <w:rFonts w:cs="Arial"/>
          <w:b w:val="0"/>
          <w:color w:val="000000" w:themeColor="text1"/>
          <w:sz w:val="22"/>
          <w:szCs w:val="22"/>
          <w:lang w:eastAsia="en-AU"/>
        </w:rPr>
        <w:t xml:space="preserve"> and </w:t>
      </w:r>
      <w:r w:rsidR="00F77F21" w:rsidRPr="0052344A">
        <w:rPr>
          <w:rFonts w:cs="Arial"/>
          <w:b w:val="0"/>
          <w:color w:val="000000" w:themeColor="text1"/>
          <w:sz w:val="22"/>
          <w:szCs w:val="22"/>
          <w:lang w:eastAsia="en-AU"/>
        </w:rPr>
        <w:t>apparent demand side response</w:t>
      </w:r>
      <w:r w:rsidR="00F77F21">
        <w:rPr>
          <w:rFonts w:cs="Arial"/>
          <w:b w:val="0"/>
          <w:color w:val="000000" w:themeColor="text1"/>
          <w:sz w:val="22"/>
          <w:szCs w:val="22"/>
          <w:lang w:eastAsia="en-AU"/>
        </w:rPr>
        <w:t>)</w:t>
      </w:r>
      <w:r w:rsidR="00F77F21" w:rsidRPr="00B6084D">
        <w:rPr>
          <w:b w:val="0"/>
          <w:color w:val="000000" w:themeColor="text1"/>
          <w:sz w:val="22"/>
          <w:szCs w:val="22"/>
        </w:rPr>
        <w:t xml:space="preserve"> </w:t>
      </w:r>
      <w:r w:rsidR="00F77F21">
        <w:rPr>
          <w:b w:val="0"/>
          <w:color w:val="000000" w:themeColor="text1"/>
          <w:sz w:val="22"/>
          <w:szCs w:val="22"/>
        </w:rPr>
        <w:t xml:space="preserve">in </w:t>
      </w:r>
      <w:r w:rsidRPr="00E97390">
        <w:rPr>
          <w:b w:val="0"/>
          <w:color w:val="000000" w:themeColor="text1"/>
          <w:sz w:val="22"/>
          <w:szCs w:val="22"/>
        </w:rPr>
        <w:t xml:space="preserve">all three regions </w:t>
      </w:r>
      <w:r w:rsidR="00F77F21">
        <w:rPr>
          <w:b w:val="0"/>
          <w:color w:val="000000" w:themeColor="text1"/>
          <w:sz w:val="22"/>
          <w:szCs w:val="22"/>
        </w:rPr>
        <w:t xml:space="preserve">and rebidding of capacity to low prices </w:t>
      </w:r>
      <w:r w:rsidRPr="00E97390">
        <w:rPr>
          <w:b w:val="0"/>
          <w:color w:val="000000" w:themeColor="text1"/>
          <w:sz w:val="22"/>
          <w:szCs w:val="22"/>
        </w:rPr>
        <w:t>saw the price fall in</w:t>
      </w:r>
      <w:r w:rsidR="00A47A82" w:rsidRPr="00E97390">
        <w:rPr>
          <w:b w:val="0"/>
          <w:color w:val="000000" w:themeColor="text1"/>
          <w:sz w:val="22"/>
          <w:szCs w:val="22"/>
        </w:rPr>
        <w:t xml:space="preserve"> all three regions for the 7.05 </w:t>
      </w:r>
      <w:r w:rsidRPr="00E97390">
        <w:rPr>
          <w:b w:val="0"/>
          <w:color w:val="000000" w:themeColor="text1"/>
          <w:sz w:val="22"/>
          <w:szCs w:val="22"/>
        </w:rPr>
        <w:t>pm dispatch interval.</w:t>
      </w:r>
      <w:r w:rsidR="006F7EB4" w:rsidRPr="006F7EB4">
        <w:rPr>
          <w:b w:val="0"/>
          <w:color w:val="000000" w:themeColor="text1"/>
          <w:sz w:val="22"/>
          <w:szCs w:val="22"/>
        </w:rPr>
        <w:t xml:space="preserve"> </w:t>
      </w:r>
    </w:p>
    <w:p w:rsidR="00837F64" w:rsidRDefault="00837F64" w:rsidP="00E97390">
      <w:pPr>
        <w:pStyle w:val="Heading4notnumbered"/>
      </w:pPr>
    </w:p>
    <w:p w:rsidR="00837F64" w:rsidRDefault="00837F64" w:rsidP="00E97390">
      <w:pPr>
        <w:pStyle w:val="Heading4notnumbered"/>
      </w:pPr>
    </w:p>
    <w:p w:rsidR="00837F64" w:rsidRDefault="00837F64" w:rsidP="00E97390">
      <w:pPr>
        <w:pStyle w:val="Heading4notnumbered"/>
      </w:pPr>
    </w:p>
    <w:p w:rsidR="00837F64" w:rsidRDefault="00837F64" w:rsidP="00E97390">
      <w:pPr>
        <w:pStyle w:val="Heading4notnumbered"/>
      </w:pPr>
    </w:p>
    <w:p w:rsidR="00837F64" w:rsidRDefault="00837F64" w:rsidP="00E97390">
      <w:pPr>
        <w:pStyle w:val="Heading4notnumbered"/>
      </w:pPr>
    </w:p>
    <w:p w:rsidR="00BA4E5E" w:rsidRPr="00002B2F" w:rsidRDefault="00BA4E5E" w:rsidP="00E97390">
      <w:pPr>
        <w:pStyle w:val="Heading4notnumbered"/>
      </w:pPr>
      <w:r>
        <w:lastRenderedPageBreak/>
        <w:t>New South Wales</w:t>
      </w:r>
    </w:p>
    <w:p w:rsidR="001066F1" w:rsidRDefault="001066F1" w:rsidP="00E97390">
      <w:pPr>
        <w:pStyle w:val="AERHeading3"/>
      </w:pPr>
      <w:r w:rsidRPr="00E97390">
        <w:t>Wednesday, 23 September</w:t>
      </w:r>
    </w:p>
    <w:p w:rsidR="00F77F21" w:rsidRPr="00E97390" w:rsidRDefault="00F77F21" w:rsidP="00E97390">
      <w:pPr>
        <w:pStyle w:val="Caption"/>
        <w:rPr>
          <w:b w:val="0"/>
          <w:bCs w:val="0"/>
        </w:rPr>
      </w:pPr>
      <w:r>
        <w:t xml:space="preserve">Table </w:t>
      </w:r>
      <w:fldSimple w:instr=" SEQ Table \* ARABIC ">
        <w:r w:rsidR="00535DD4">
          <w:rPr>
            <w:noProof/>
          </w:rPr>
          <w:t>6</w:t>
        </w:r>
      </w:fldSimple>
      <w:r>
        <w:t>:</w:t>
      </w:r>
      <w:r w:rsidRPr="00431FC4">
        <w:t xml:space="preserve"> </w:t>
      </w:r>
      <w:r w:rsidR="00B6084D">
        <w:t xml:space="preserve">6.30 pm and </w:t>
      </w:r>
      <w:r>
        <w:t xml:space="preserve">7 pm </w:t>
      </w:r>
      <w:r w:rsidRPr="00431FC4">
        <w:t>Price, Demand and Availability</w:t>
      </w:r>
    </w:p>
    <w:tbl>
      <w:tblPr>
        <w:tblStyle w:val="AERTable-Text"/>
        <w:tblW w:w="0" w:type="auto"/>
        <w:tblLayout w:type="fixed"/>
        <w:tblLook w:val="04A0" w:firstRow="1" w:lastRow="0" w:firstColumn="1" w:lastColumn="0" w:noHBand="0" w:noVBand="1"/>
      </w:tblPr>
      <w:tblGrid>
        <w:gridCol w:w="892"/>
        <w:gridCol w:w="1022"/>
        <w:gridCol w:w="938"/>
        <w:gridCol w:w="942"/>
        <w:gridCol w:w="850"/>
        <w:gridCol w:w="952"/>
        <w:gridCol w:w="937"/>
        <w:gridCol w:w="805"/>
        <w:gridCol w:w="973"/>
        <w:gridCol w:w="931"/>
      </w:tblGrid>
      <w:tr w:rsidR="00F77F21" w:rsidRPr="00405CDE" w:rsidTr="00E97390">
        <w:trPr>
          <w:cnfStyle w:val="100000000000" w:firstRow="1" w:lastRow="0" w:firstColumn="0" w:lastColumn="0" w:oddVBand="0" w:evenVBand="0" w:oddHBand="0" w:evenHBand="0" w:firstRowFirstColumn="0" w:firstRowLastColumn="0" w:lastRowFirstColumn="0" w:lastRowLastColumn="0"/>
          <w:tblHeader/>
        </w:trPr>
        <w:tc>
          <w:tcPr>
            <w:tcW w:w="892" w:type="dxa"/>
          </w:tcPr>
          <w:p w:rsidR="00F77F21" w:rsidRPr="00DC24BF" w:rsidRDefault="00F77F21" w:rsidP="00F77F21">
            <w:pPr>
              <w:pStyle w:val="TableHeading"/>
              <w:jc w:val="center"/>
              <w:rPr>
                <w:rFonts w:cs="Arial"/>
                <w:sz w:val="20"/>
                <w:szCs w:val="20"/>
              </w:rPr>
            </w:pPr>
            <w:r>
              <w:rPr>
                <w:rFonts w:cs="Arial"/>
                <w:sz w:val="20"/>
                <w:szCs w:val="20"/>
              </w:rPr>
              <w:t>Time</w:t>
            </w:r>
          </w:p>
        </w:tc>
        <w:tc>
          <w:tcPr>
            <w:tcW w:w="2902" w:type="dxa"/>
            <w:gridSpan w:val="3"/>
            <w:hideMark/>
          </w:tcPr>
          <w:p w:rsidR="00F77F21" w:rsidRPr="00DC24BF" w:rsidRDefault="00F77F21" w:rsidP="00F77F21">
            <w:pPr>
              <w:pStyle w:val="TableHeading"/>
              <w:jc w:val="center"/>
              <w:rPr>
                <w:rFonts w:cs="Arial"/>
                <w:sz w:val="20"/>
                <w:szCs w:val="20"/>
              </w:rPr>
            </w:pPr>
            <w:r w:rsidRPr="00DC24BF">
              <w:rPr>
                <w:rFonts w:cs="Arial"/>
                <w:sz w:val="20"/>
                <w:szCs w:val="20"/>
              </w:rPr>
              <w:t>Price ($/MWh)</w:t>
            </w:r>
          </w:p>
        </w:tc>
        <w:tc>
          <w:tcPr>
            <w:tcW w:w="2739" w:type="dxa"/>
            <w:gridSpan w:val="3"/>
            <w:hideMark/>
          </w:tcPr>
          <w:p w:rsidR="00F77F21" w:rsidRPr="00DC24BF" w:rsidRDefault="00F77F21" w:rsidP="00F77F21">
            <w:pPr>
              <w:pStyle w:val="TableHeading"/>
              <w:jc w:val="center"/>
              <w:rPr>
                <w:rFonts w:cs="Arial"/>
                <w:sz w:val="20"/>
                <w:szCs w:val="20"/>
              </w:rPr>
            </w:pPr>
            <w:r w:rsidRPr="00DC24BF">
              <w:rPr>
                <w:rFonts w:cs="Arial"/>
                <w:sz w:val="20"/>
                <w:szCs w:val="20"/>
              </w:rPr>
              <w:t>Demand (MW)</w:t>
            </w:r>
          </w:p>
        </w:tc>
        <w:tc>
          <w:tcPr>
            <w:tcW w:w="2709" w:type="dxa"/>
            <w:gridSpan w:val="3"/>
            <w:hideMark/>
          </w:tcPr>
          <w:p w:rsidR="00F77F21" w:rsidRPr="00DC24BF" w:rsidRDefault="00F77F21" w:rsidP="00F77F21">
            <w:pPr>
              <w:pStyle w:val="TableHeading"/>
              <w:jc w:val="center"/>
              <w:rPr>
                <w:rFonts w:cs="Arial"/>
                <w:sz w:val="20"/>
                <w:szCs w:val="20"/>
              </w:rPr>
            </w:pPr>
            <w:r w:rsidRPr="00DC24BF">
              <w:rPr>
                <w:rFonts w:cs="Arial"/>
                <w:sz w:val="20"/>
                <w:szCs w:val="20"/>
              </w:rPr>
              <w:t>Availability (MW)</w:t>
            </w:r>
          </w:p>
        </w:tc>
      </w:tr>
      <w:tr w:rsidR="00A03C9E" w:rsidRPr="00405CDE" w:rsidTr="00B6084D">
        <w:trPr>
          <w:cnfStyle w:val="100000000000" w:firstRow="1" w:lastRow="0" w:firstColumn="0" w:lastColumn="0" w:oddVBand="0" w:evenVBand="0" w:oddHBand="0" w:evenHBand="0" w:firstRowFirstColumn="0" w:firstRowLastColumn="0" w:lastRowFirstColumn="0" w:lastRowLastColumn="0"/>
          <w:tblHeader/>
        </w:trPr>
        <w:tc>
          <w:tcPr>
            <w:tcW w:w="892" w:type="dxa"/>
            <w:shd w:val="clear" w:color="auto" w:fill="007192" w:themeFill="accent3" w:themeFillShade="BF"/>
          </w:tcPr>
          <w:p w:rsidR="00F77F21" w:rsidRPr="00DC24BF" w:rsidRDefault="00F77F21" w:rsidP="00F77F21">
            <w:pPr>
              <w:pStyle w:val="tableheadingline2"/>
              <w:rPr>
                <w:rFonts w:cs="Arial"/>
                <w:sz w:val="20"/>
                <w:szCs w:val="20"/>
              </w:rPr>
            </w:pPr>
          </w:p>
        </w:tc>
        <w:tc>
          <w:tcPr>
            <w:tcW w:w="1022"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Actual</w:t>
            </w:r>
          </w:p>
        </w:tc>
        <w:tc>
          <w:tcPr>
            <w:tcW w:w="938"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4 hr forecast</w:t>
            </w:r>
          </w:p>
        </w:tc>
        <w:tc>
          <w:tcPr>
            <w:tcW w:w="942"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12 hr forecast</w:t>
            </w:r>
          </w:p>
        </w:tc>
        <w:tc>
          <w:tcPr>
            <w:tcW w:w="850"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Actual</w:t>
            </w:r>
          </w:p>
        </w:tc>
        <w:tc>
          <w:tcPr>
            <w:tcW w:w="952"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4 hr forecast</w:t>
            </w:r>
          </w:p>
        </w:tc>
        <w:tc>
          <w:tcPr>
            <w:tcW w:w="937"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12 hr forecast</w:t>
            </w:r>
          </w:p>
        </w:tc>
        <w:tc>
          <w:tcPr>
            <w:tcW w:w="805"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Actual</w:t>
            </w:r>
          </w:p>
        </w:tc>
        <w:tc>
          <w:tcPr>
            <w:tcW w:w="973"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4 hr forecast</w:t>
            </w:r>
          </w:p>
        </w:tc>
        <w:tc>
          <w:tcPr>
            <w:tcW w:w="931" w:type="dxa"/>
            <w:shd w:val="clear" w:color="auto" w:fill="007192" w:themeFill="accent3" w:themeFillShade="BF"/>
            <w:hideMark/>
          </w:tcPr>
          <w:p w:rsidR="00F77F21" w:rsidRPr="00DC24BF" w:rsidRDefault="00F77F21" w:rsidP="00F77F21">
            <w:pPr>
              <w:pStyle w:val="tableheadingline2"/>
              <w:rPr>
                <w:rFonts w:cs="Arial"/>
                <w:sz w:val="20"/>
                <w:szCs w:val="20"/>
              </w:rPr>
            </w:pPr>
            <w:r w:rsidRPr="00DC24BF">
              <w:rPr>
                <w:rFonts w:cs="Arial"/>
                <w:sz w:val="20"/>
                <w:szCs w:val="20"/>
              </w:rPr>
              <w:t>12 hr forecast</w:t>
            </w:r>
          </w:p>
        </w:tc>
      </w:tr>
      <w:tr w:rsidR="00F77F21" w:rsidRPr="00405CDE" w:rsidTr="00E97390">
        <w:trPr>
          <w:trHeight w:val="510"/>
        </w:trPr>
        <w:tc>
          <w:tcPr>
            <w:tcW w:w="892" w:type="dxa"/>
            <w:vAlign w:val="center"/>
          </w:tcPr>
          <w:p w:rsidR="00F77F21" w:rsidRPr="00E97390" w:rsidRDefault="00F77F21">
            <w:pPr>
              <w:pStyle w:val="NormalWeb"/>
              <w:jc w:val="center"/>
              <w:rPr>
                <w:rFonts w:ascii="Arial" w:hAnsi="Arial" w:cs="Arial"/>
                <w:sz w:val="18"/>
                <w:szCs w:val="18"/>
              </w:rPr>
            </w:pPr>
            <w:r w:rsidRPr="00E97390">
              <w:rPr>
                <w:rFonts w:ascii="Arial" w:hAnsi="Arial" w:cs="Arial"/>
                <w:bCs/>
                <w:sz w:val="18"/>
                <w:szCs w:val="18"/>
              </w:rPr>
              <w:t xml:space="preserve">6:30 </w:t>
            </w:r>
            <w:r>
              <w:rPr>
                <w:rFonts w:ascii="Arial" w:hAnsi="Arial" w:cs="Arial"/>
                <w:bCs/>
                <w:sz w:val="18"/>
                <w:szCs w:val="18"/>
              </w:rPr>
              <w:t>pm</w:t>
            </w:r>
          </w:p>
        </w:tc>
        <w:tc>
          <w:tcPr>
            <w:tcW w:w="1022"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13 4</w:t>
            </w:r>
            <w:r w:rsidR="00E97390">
              <w:rPr>
                <w:rFonts w:ascii="Arial" w:hAnsi="Arial" w:cs="Arial"/>
                <w:sz w:val="18"/>
                <w:szCs w:val="18"/>
              </w:rPr>
              <w:t>20</w:t>
            </w:r>
          </w:p>
        </w:tc>
        <w:tc>
          <w:tcPr>
            <w:tcW w:w="938"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31</w:t>
            </w:r>
            <w:r w:rsidR="00E97390">
              <w:rPr>
                <w:rFonts w:ascii="Arial" w:hAnsi="Arial" w:cs="Arial"/>
                <w:sz w:val="18"/>
                <w:szCs w:val="18"/>
              </w:rPr>
              <w:t>7</w:t>
            </w:r>
          </w:p>
        </w:tc>
        <w:tc>
          <w:tcPr>
            <w:tcW w:w="942"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314</w:t>
            </w:r>
          </w:p>
        </w:tc>
        <w:tc>
          <w:tcPr>
            <w:tcW w:w="850"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9963</w:t>
            </w:r>
          </w:p>
        </w:tc>
        <w:tc>
          <w:tcPr>
            <w:tcW w:w="952"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9736</w:t>
            </w:r>
          </w:p>
        </w:tc>
        <w:tc>
          <w:tcPr>
            <w:tcW w:w="937"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9723</w:t>
            </w:r>
          </w:p>
        </w:tc>
        <w:tc>
          <w:tcPr>
            <w:tcW w:w="805"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11 956</w:t>
            </w:r>
          </w:p>
        </w:tc>
        <w:tc>
          <w:tcPr>
            <w:tcW w:w="973"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11 960</w:t>
            </w:r>
          </w:p>
        </w:tc>
        <w:tc>
          <w:tcPr>
            <w:tcW w:w="931"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12 010</w:t>
            </w:r>
          </w:p>
        </w:tc>
      </w:tr>
      <w:tr w:rsidR="00F77F21" w:rsidRPr="00405CDE" w:rsidTr="00E97390">
        <w:trPr>
          <w:cnfStyle w:val="000000010000" w:firstRow="0" w:lastRow="0" w:firstColumn="0" w:lastColumn="0" w:oddVBand="0" w:evenVBand="0" w:oddHBand="0" w:evenHBand="1" w:firstRowFirstColumn="0" w:firstRowLastColumn="0" w:lastRowFirstColumn="0" w:lastRowLastColumn="0"/>
          <w:trHeight w:val="510"/>
        </w:trPr>
        <w:tc>
          <w:tcPr>
            <w:tcW w:w="892" w:type="dxa"/>
            <w:vAlign w:val="center"/>
          </w:tcPr>
          <w:p w:rsidR="00F77F21" w:rsidRPr="00E97390" w:rsidRDefault="00F77F21">
            <w:pPr>
              <w:pStyle w:val="NormalWeb"/>
              <w:jc w:val="center"/>
              <w:rPr>
                <w:rFonts w:ascii="Arial" w:hAnsi="Arial" w:cs="Arial"/>
                <w:sz w:val="18"/>
                <w:szCs w:val="18"/>
              </w:rPr>
            </w:pPr>
            <w:r w:rsidRPr="00E97390">
              <w:rPr>
                <w:rFonts w:ascii="Arial" w:hAnsi="Arial" w:cs="Arial"/>
                <w:bCs/>
                <w:sz w:val="18"/>
                <w:szCs w:val="18"/>
              </w:rPr>
              <w:t>7</w:t>
            </w:r>
            <w:r>
              <w:rPr>
                <w:rFonts w:ascii="Arial" w:hAnsi="Arial" w:cs="Arial"/>
                <w:bCs/>
                <w:sz w:val="18"/>
                <w:szCs w:val="18"/>
              </w:rPr>
              <w:t xml:space="preserve"> pm</w:t>
            </w:r>
          </w:p>
        </w:tc>
        <w:tc>
          <w:tcPr>
            <w:tcW w:w="1022"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6717</w:t>
            </w:r>
          </w:p>
        </w:tc>
        <w:tc>
          <w:tcPr>
            <w:tcW w:w="938"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33</w:t>
            </w:r>
            <w:r w:rsidR="00E97390">
              <w:rPr>
                <w:rFonts w:ascii="Arial" w:hAnsi="Arial" w:cs="Arial"/>
                <w:sz w:val="18"/>
                <w:szCs w:val="18"/>
              </w:rPr>
              <w:t>8</w:t>
            </w:r>
          </w:p>
        </w:tc>
        <w:tc>
          <w:tcPr>
            <w:tcW w:w="942"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321</w:t>
            </w:r>
          </w:p>
        </w:tc>
        <w:tc>
          <w:tcPr>
            <w:tcW w:w="850"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10 169</w:t>
            </w:r>
          </w:p>
        </w:tc>
        <w:tc>
          <w:tcPr>
            <w:tcW w:w="952"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9885</w:t>
            </w:r>
          </w:p>
        </w:tc>
        <w:tc>
          <w:tcPr>
            <w:tcW w:w="937"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9861</w:t>
            </w:r>
          </w:p>
        </w:tc>
        <w:tc>
          <w:tcPr>
            <w:tcW w:w="805"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11 952</w:t>
            </w:r>
          </w:p>
        </w:tc>
        <w:tc>
          <w:tcPr>
            <w:tcW w:w="973"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11 948</w:t>
            </w:r>
          </w:p>
        </w:tc>
        <w:tc>
          <w:tcPr>
            <w:tcW w:w="931" w:type="dxa"/>
            <w:vAlign w:val="center"/>
          </w:tcPr>
          <w:p w:rsidR="00F77F21" w:rsidRPr="00E97390" w:rsidRDefault="00F77F21" w:rsidP="00F77F21">
            <w:pPr>
              <w:pStyle w:val="NormalWeb"/>
              <w:jc w:val="center"/>
              <w:rPr>
                <w:rFonts w:ascii="Arial" w:hAnsi="Arial" w:cs="Arial"/>
                <w:sz w:val="18"/>
                <w:szCs w:val="18"/>
              </w:rPr>
            </w:pPr>
            <w:r w:rsidRPr="00E97390">
              <w:rPr>
                <w:rFonts w:ascii="Arial" w:hAnsi="Arial" w:cs="Arial"/>
                <w:sz w:val="18"/>
                <w:szCs w:val="18"/>
              </w:rPr>
              <w:t>11 993</w:t>
            </w:r>
          </w:p>
        </w:tc>
      </w:tr>
    </w:tbl>
    <w:p w:rsidR="001066F1" w:rsidRDefault="001066F1" w:rsidP="00E97390">
      <w:pPr>
        <w:pStyle w:val="AERbodytext"/>
      </w:pPr>
    </w:p>
    <w:p w:rsidR="003D2093" w:rsidRPr="003D2093" w:rsidRDefault="003D2093" w:rsidP="00E97390">
      <w:pPr>
        <w:pStyle w:val="AERbodytext"/>
      </w:pPr>
      <w:r w:rsidRPr="00317182">
        <w:t>Events of 23 September 2015 wil</w:t>
      </w:r>
      <w:r>
        <w:t>l be discussed in the relevant s</w:t>
      </w:r>
      <w:r w:rsidRPr="00317182">
        <w:t>po</w:t>
      </w:r>
      <w:r>
        <w:t xml:space="preserve">t prices above $5000/MWh report which will be available on the </w:t>
      </w:r>
      <w:hyperlink r:id="rId20" w:history="1">
        <w:r w:rsidRPr="003D2093">
          <w:rPr>
            <w:rStyle w:val="Hyperlink"/>
          </w:rPr>
          <w:t>AER website</w:t>
        </w:r>
      </w:hyperlink>
      <w:r>
        <w:t>.</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535DD4">
        <w:t xml:space="preserve">Figure </w:t>
      </w:r>
      <w:r w:rsidR="00535DD4">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A64EBB">
      <w:pPr>
        <w:pStyle w:val="Caption"/>
        <w:rPr>
          <w:b w:val="0"/>
          <w:bCs w:val="0"/>
          <w:noProof/>
          <w:lang w:eastAsia="en-AU"/>
        </w:rPr>
      </w:pPr>
      <w:bookmarkStart w:id="20" w:name="_Ref410386540"/>
      <w:r>
        <w:t xml:space="preserve">Figure </w:t>
      </w:r>
      <w:r w:rsidR="00535DD4">
        <w:fldChar w:fldCharType="begin"/>
      </w:r>
      <w:r w:rsidR="00535DD4">
        <w:instrText xml:space="preserve"> SEQ Figure \* ARABIC </w:instrText>
      </w:r>
      <w:r w:rsidR="00535DD4">
        <w:fldChar w:fldCharType="separate"/>
      </w:r>
      <w:r w:rsidR="00535DD4">
        <w:rPr>
          <w:noProof/>
        </w:rPr>
        <w:t>9</w:t>
      </w:r>
      <w:r w:rsidR="00535DD4">
        <w:rPr>
          <w:noProof/>
        </w:rPr>
        <w:fldChar w:fldCharType="end"/>
      </w:r>
      <w:bookmarkEnd w:id="20"/>
      <w:r w:rsidR="002515C3">
        <w:t>:</w:t>
      </w:r>
      <w:r>
        <w:t xml:space="preserve"> </w:t>
      </w:r>
      <w:r w:rsidRPr="007A6ACB">
        <w:t>Quarterly base future prices Q</w:t>
      </w:r>
      <w:r w:rsidR="00017DD0">
        <w:t>3</w:t>
      </w:r>
      <w:r w:rsidRPr="007A6ACB">
        <w:t xml:space="preserve"> 2015 – Q</w:t>
      </w:r>
      <w:r w:rsidR="006569A5">
        <w:t>2</w:t>
      </w:r>
      <w:r w:rsidRPr="007A6ACB">
        <w:t xml:space="preserve"> 201</w:t>
      </w:r>
      <w:r w:rsidR="00F87EBA">
        <w:t>9</w:t>
      </w:r>
      <w:r w:rsidR="00E47EAD" w:rsidRPr="00E47EAD">
        <w:rPr>
          <w:b w:val="0"/>
          <w:bCs w:val="0"/>
          <w:noProof/>
          <w:lang w:eastAsia="en-AU"/>
        </w:rPr>
        <w:t xml:space="preserve"> </w:t>
      </w:r>
    </w:p>
    <w:p w:rsidR="00D73D17" w:rsidRPr="00D73D17" w:rsidRDefault="00942DD0" w:rsidP="00D73D17">
      <w:pPr>
        <w:rPr>
          <w:lang w:eastAsia="en-AU"/>
        </w:rPr>
      </w:pPr>
      <w:r w:rsidRPr="00942DD0">
        <w:rPr>
          <w:noProof/>
          <w:lang w:eastAsia="en-AU"/>
        </w:rPr>
        <w:drawing>
          <wp:inline distT="0" distB="0" distL="0" distR="0" wp14:anchorId="30227223" wp14:editId="348165A2">
            <wp:extent cx="5731510" cy="2887610"/>
            <wp:effectExtent l="0" t="0" r="2540" b="8255"/>
            <wp:docPr id="10" name="Picture 10"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87610"/>
                    </a:xfrm>
                    <a:prstGeom prst="rect">
                      <a:avLst/>
                    </a:prstGeom>
                    <a:noFill/>
                    <a:ln>
                      <a:noFill/>
                    </a:ln>
                  </pic:spPr>
                </pic:pic>
              </a:graphicData>
            </a:graphic>
          </wp:inline>
        </w:drawing>
      </w:r>
    </w:p>
    <w:p w:rsidR="00275002" w:rsidRPr="00A64EBB" w:rsidRDefault="00275002" w:rsidP="00CA51FE">
      <w:pPr>
        <w:pStyle w:val="Caption"/>
        <w:keepNext w:val="0"/>
        <w:rPr>
          <w:b w:val="0"/>
          <w:bCs w:val="0"/>
          <w:color w:val="auto"/>
        </w:rPr>
      </w:pPr>
      <w:proofErr w:type="gramStart"/>
      <w:r w:rsidRPr="00A64EBB">
        <w:rPr>
          <w:b w:val="0"/>
          <w:bCs w:val="0"/>
          <w:color w:val="auto"/>
          <w:sz w:val="16"/>
          <w:szCs w:val="16"/>
        </w:rPr>
        <w:t>Source</w:t>
      </w:r>
      <w:r w:rsidR="00F72F41">
        <w:rPr>
          <w:b w:val="0"/>
          <w:bCs w:val="0"/>
          <w:color w:val="auto"/>
          <w:sz w:val="16"/>
          <w:szCs w:val="16"/>
        </w:rPr>
        <w:t>.</w:t>
      </w:r>
      <w:proofErr w:type="gramEnd"/>
      <w:r w:rsidRPr="00A64EBB">
        <w:rPr>
          <w:b w:val="0"/>
          <w:bCs w:val="0"/>
          <w:color w:val="auto"/>
          <w:sz w:val="16"/>
          <w:szCs w:val="16"/>
        </w:rPr>
        <w:t xml:space="preserve"> </w:t>
      </w:r>
      <w:hyperlink r:id="rId22"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535DD4">
        <w:t xml:space="preserve">Figure </w:t>
      </w:r>
      <w:r w:rsidR="00535DD4">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w:t>
      </w:r>
      <w:r w:rsidR="00837F64">
        <w:t xml:space="preserve"> but this week there were trades in South Australian contracts</w:t>
      </w:r>
      <w:r w:rsidRPr="0031019A">
        <w:t xml:space="preserve">. </w:t>
      </w:r>
    </w:p>
    <w:p w:rsidR="00275002" w:rsidRDefault="00275002" w:rsidP="000E2946">
      <w:pPr>
        <w:pStyle w:val="Caption"/>
      </w:pPr>
      <w:bookmarkStart w:id="21" w:name="_Ref410380382"/>
      <w:r>
        <w:lastRenderedPageBreak/>
        <w:t xml:space="preserve">Figure </w:t>
      </w:r>
      <w:r w:rsidR="00535DD4">
        <w:fldChar w:fldCharType="begin"/>
      </w:r>
      <w:r w:rsidR="00535DD4">
        <w:instrText xml:space="preserve"> SEQ Figure \* ARABIC </w:instrText>
      </w:r>
      <w:r w:rsidR="00535DD4">
        <w:fldChar w:fldCharType="separate"/>
      </w:r>
      <w:r w:rsidR="00535DD4">
        <w:rPr>
          <w:noProof/>
        </w:rPr>
        <w:t>10</w:t>
      </w:r>
      <w:r w:rsidR="00535DD4">
        <w:rPr>
          <w:noProof/>
        </w:rPr>
        <w:fldChar w:fldCharType="end"/>
      </w:r>
      <w:bookmarkEnd w:id="21"/>
      <w:r w:rsidR="002515C3">
        <w:t>:</w:t>
      </w:r>
      <w:r w:rsidRPr="00DF093A">
        <w:t xml:space="preserve"> Price of Q1 201</w:t>
      </w:r>
      <w:r w:rsidR="00F87EBA">
        <w:t>6</w:t>
      </w:r>
      <w:r w:rsidRPr="00DF093A">
        <w:t xml:space="preserve"> base contracts over the past 10 weeks (and the past 2 years)</w:t>
      </w:r>
    </w:p>
    <w:p w:rsidR="00275002" w:rsidRPr="0031019A" w:rsidRDefault="00942DD0" w:rsidP="00544C6F">
      <w:pPr>
        <w:spacing w:before="120" w:line="240" w:lineRule="auto"/>
      </w:pPr>
      <w:r w:rsidRPr="00942DD0">
        <w:rPr>
          <w:noProof/>
          <w:lang w:eastAsia="en-AU"/>
        </w:rPr>
        <w:drawing>
          <wp:inline distT="0" distB="0" distL="0" distR="0" wp14:anchorId="2B0F6BB0" wp14:editId="09A30F1D">
            <wp:extent cx="5731510" cy="2900182"/>
            <wp:effectExtent l="0" t="0" r="2540" b="0"/>
            <wp:docPr id="12" name="Picture 12"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900182"/>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4"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5" w:history="1">
        <w:r w:rsidRPr="0031019A">
          <w:rPr>
            <w:rStyle w:val="Hyperlink"/>
          </w:rPr>
          <w:t>Performance of the Energy Sector</w:t>
        </w:r>
      </w:hyperlink>
      <w:r w:rsidR="00D615F9">
        <w:t xml:space="preserve"> s</w:t>
      </w:r>
      <w:r w:rsidRPr="0031019A">
        <w:t>ection of our website.</w:t>
      </w:r>
    </w:p>
    <w:p w:rsidR="00275002" w:rsidRDefault="008C094A" w:rsidP="009A3D22">
      <w:pPr>
        <w:jc w:val="both"/>
      </w:pPr>
      <w:r>
        <w:fldChar w:fldCharType="begin"/>
      </w:r>
      <w:r>
        <w:instrText xml:space="preserve"> REF _Ref428276233 \h </w:instrText>
      </w:r>
      <w:r>
        <w:fldChar w:fldCharType="separate"/>
      </w:r>
      <w:r w:rsidR="00535DD4">
        <w:t xml:space="preserve">Figure </w:t>
      </w:r>
      <w:r w:rsidR="00535DD4">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2" w:name="_Ref428276233"/>
      <w:bookmarkStart w:id="23" w:name="_Ref410744936"/>
      <w:r>
        <w:t xml:space="preserve">Figure </w:t>
      </w:r>
      <w:r w:rsidR="00535DD4">
        <w:fldChar w:fldCharType="begin"/>
      </w:r>
      <w:r w:rsidR="00535DD4">
        <w:instrText xml:space="preserve"> SEQ Figure \* ARABIC </w:instrText>
      </w:r>
      <w:r w:rsidR="00535DD4">
        <w:fldChar w:fldCharType="separate"/>
      </w:r>
      <w:r w:rsidR="00535DD4">
        <w:rPr>
          <w:noProof/>
        </w:rPr>
        <w:t>11</w:t>
      </w:r>
      <w:r w:rsidR="00535DD4">
        <w:rPr>
          <w:noProof/>
        </w:rPr>
        <w:fldChar w:fldCharType="end"/>
      </w:r>
      <w:bookmarkEnd w:id="22"/>
      <w:r w:rsidR="002515C3">
        <w:t>:</w:t>
      </w:r>
      <w:r w:rsidRPr="0074419D">
        <w:t xml:space="preserve"> Price of Q1 201</w:t>
      </w:r>
      <w:r w:rsidR="00F87EBA">
        <w:t>6</w:t>
      </w:r>
      <w:r w:rsidRPr="0074419D">
        <w:t xml:space="preserve"> cap contracts over the past 10 weeks (and the past 2 years)</w:t>
      </w:r>
      <w:bookmarkEnd w:id="23"/>
    </w:p>
    <w:p w:rsidR="00275002" w:rsidRPr="0031019A" w:rsidRDefault="00942DD0" w:rsidP="00544C6F">
      <w:pPr>
        <w:spacing w:before="120" w:line="240" w:lineRule="auto"/>
      </w:pPr>
      <w:r w:rsidRPr="00942DD0">
        <w:rPr>
          <w:noProof/>
          <w:lang w:eastAsia="en-AU"/>
        </w:rPr>
        <w:drawing>
          <wp:inline distT="0" distB="0" distL="0" distR="0" wp14:anchorId="4F878CA6" wp14:editId="1E2B903A">
            <wp:extent cx="5731510" cy="2874917"/>
            <wp:effectExtent l="0" t="0" r="2540" b="1905"/>
            <wp:docPr id="19" name="Picture 19"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874917"/>
                    </a:xfrm>
                    <a:prstGeom prst="rect">
                      <a:avLst/>
                    </a:prstGeom>
                    <a:noFill/>
                    <a:ln>
                      <a:noFill/>
                    </a:ln>
                  </pic:spPr>
                </pic:pic>
              </a:graphicData>
            </a:graphic>
          </wp:inline>
        </w:drawing>
      </w:r>
    </w:p>
    <w:p w:rsidR="00275002" w:rsidRPr="002A7439" w:rsidRDefault="00275002" w:rsidP="00544C6F">
      <w:pPr>
        <w:pStyle w:val="Source"/>
        <w:spacing w:before="120" w:after="0" w:line="240" w:lineRule="auto"/>
      </w:pPr>
      <w:proofErr w:type="gramStart"/>
      <w:r w:rsidRPr="002A7439">
        <w:t>Source</w:t>
      </w:r>
      <w:r w:rsidR="00F72F41">
        <w:t>.</w:t>
      </w:r>
      <w:proofErr w:type="gramEnd"/>
      <w:r w:rsidRPr="002A7439">
        <w:t xml:space="preserve"> </w:t>
      </w:r>
      <w:hyperlink r:id="rId27" w:history="1">
        <w:r w:rsidRPr="002A7439">
          <w:rPr>
            <w:rStyle w:val="Hyperlink"/>
            <w:color w:val="auto"/>
            <w:sz w:val="16"/>
            <w:u w:val="none"/>
          </w:rPr>
          <w:t>ASXEnergy.com.au</w:t>
        </w:r>
      </w:hyperlink>
    </w:p>
    <w:p w:rsidR="0052344A" w:rsidRPr="00B52A51" w:rsidRDefault="00275002" w:rsidP="0052344A">
      <w:pPr>
        <w:pStyle w:val="Heading4notnumbered"/>
      </w:pPr>
      <w:r w:rsidRPr="0031019A">
        <w:t>Australian Energy Regulator</w:t>
      </w:r>
      <w:r w:rsidR="005B0EF5">
        <w:br/>
      </w:r>
      <w:r w:rsidR="00564507">
        <w:t>October</w:t>
      </w:r>
      <w:r w:rsidR="004D5447" w:rsidRPr="0031019A">
        <w:t xml:space="preserve"> </w:t>
      </w:r>
      <w:r w:rsidRPr="0031019A">
        <w:t>2015</w:t>
      </w:r>
    </w:p>
    <w:sectPr w:rsidR="0052344A" w:rsidRPr="00B52A51" w:rsidSect="001B4E02">
      <w:footerReference w:type="even" r:id="rId28"/>
      <w:footerReference w:type="default" r:id="rId29"/>
      <w:footerReference w:type="first" r:id="rId30"/>
      <w:pgSz w:w="11906" w:h="16838"/>
      <w:pgMar w:top="993" w:right="1440" w:bottom="1134"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21" w:rsidRDefault="00F77F21" w:rsidP="004B4412">
      <w:pPr>
        <w:spacing w:before="0"/>
      </w:pPr>
      <w:r>
        <w:separator/>
      </w:r>
    </w:p>
  </w:endnote>
  <w:endnote w:type="continuationSeparator" w:id="0">
    <w:p w:rsidR="00F77F21" w:rsidRDefault="00F77F2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21" w:rsidRPr="00A91A9E" w:rsidRDefault="00F77F21"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77F21" w:rsidRDefault="00F77F21"/>
  <w:p w:rsidR="00F77F21" w:rsidRDefault="00F77F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21" w:rsidRPr="00A94D89" w:rsidRDefault="00F77F21" w:rsidP="009E1AF6">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35DD4">
      <w:rPr>
        <w:rFonts w:cs="Arial"/>
        <w:i/>
        <w:noProof/>
      </w:rPr>
      <w:t>10</w:t>
    </w:r>
    <w:r w:rsidRPr="001F1B78">
      <w:rPr>
        <w:rFonts w:cs="Arial"/>
        <w:i/>
        <w:noProof/>
      </w:rPr>
      <w:fldChar w:fldCharType="end"/>
    </w:r>
    <w:r w:rsidRPr="00F52F00">
      <w:rPr>
        <w:rFonts w:cs="Arial"/>
        <w:i/>
      </w:rPr>
      <w:tab/>
    </w:r>
  </w:p>
  <w:p w:rsidR="00F77F21" w:rsidRPr="009E1AF6" w:rsidRDefault="00F77F21" w:rsidP="009E1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21" w:rsidRPr="00A94D89" w:rsidRDefault="00F77F21" w:rsidP="001B4E02">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35DD4">
      <w:rPr>
        <w:rFonts w:cs="Arial"/>
        <w:i/>
        <w:noProof/>
      </w:rPr>
      <w:t>1</w:t>
    </w:r>
    <w:r w:rsidRPr="001F1B78">
      <w:rPr>
        <w:rFonts w:cs="Arial"/>
        <w:i/>
        <w:noProof/>
      </w:rPr>
      <w:fldChar w:fldCharType="end"/>
    </w:r>
    <w:r w:rsidRPr="00F52F00">
      <w:rPr>
        <w:rFonts w:cs="Arial"/>
        <w:i/>
      </w:rPr>
      <w:tab/>
      <w:t xml:space="preserve">AER reference: 39220 – </w:t>
    </w:r>
    <w:r w:rsidRPr="001B4E02">
      <w:rPr>
        <w:rFonts w:cs="Arial"/>
        <w:i/>
        <w:szCs w:val="18"/>
      </w:rPr>
      <w:t>D15/150508</w:t>
    </w:r>
  </w:p>
  <w:p w:rsidR="00F77F21" w:rsidRDefault="00F77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21" w:rsidRDefault="00F77F21" w:rsidP="004B4412">
      <w:pPr>
        <w:spacing w:before="0"/>
      </w:pPr>
      <w:r>
        <w:separator/>
      </w:r>
    </w:p>
  </w:footnote>
  <w:footnote w:type="continuationSeparator" w:id="0">
    <w:p w:rsidR="00F77F21" w:rsidRDefault="00F77F21"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2A03C1F"/>
    <w:multiLevelType w:val="hybridMultilevel"/>
    <w:tmpl w:val="58F0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5C1D16B2"/>
    <w:multiLevelType w:val="hybridMultilevel"/>
    <w:tmpl w:val="E2880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9"/>
  </w:num>
  <w:num w:numId="15">
    <w:abstractNumId w:val="13"/>
  </w:num>
  <w:num w:numId="16">
    <w:abstractNumId w:val="17"/>
  </w:num>
  <w:num w:numId="17">
    <w:abstractNumId w:val="15"/>
  </w:num>
  <w:num w:numId="18">
    <w:abstractNumId w:val="18"/>
  </w:num>
  <w:num w:numId="19">
    <w:abstractNumId w:val="22"/>
  </w:num>
  <w:num w:numId="20">
    <w:abstractNumId w:val="19"/>
  </w:num>
  <w:num w:numId="21">
    <w:abstractNumId w:val="12"/>
  </w:num>
  <w:num w:numId="22">
    <w:abstractNumId w:val="14"/>
  </w:num>
  <w:num w:numId="23">
    <w:abstractNumId w:val="10"/>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AER electricity weekly report 20 - 26 September 2015.DOCX"/>
  </w:docVars>
  <w:rsids>
    <w:rsidRoot w:val="00275002"/>
    <w:rsid w:val="00003169"/>
    <w:rsid w:val="00007624"/>
    <w:rsid w:val="0001415C"/>
    <w:rsid w:val="000147C1"/>
    <w:rsid w:val="00017DD0"/>
    <w:rsid w:val="00021202"/>
    <w:rsid w:val="00022F09"/>
    <w:rsid w:val="000242E7"/>
    <w:rsid w:val="00024C84"/>
    <w:rsid w:val="00027E26"/>
    <w:rsid w:val="00030794"/>
    <w:rsid w:val="0003093C"/>
    <w:rsid w:val="000316E7"/>
    <w:rsid w:val="00033902"/>
    <w:rsid w:val="0003564D"/>
    <w:rsid w:val="0003578C"/>
    <w:rsid w:val="000377F7"/>
    <w:rsid w:val="00040E4C"/>
    <w:rsid w:val="00043FA7"/>
    <w:rsid w:val="000442BA"/>
    <w:rsid w:val="000452BA"/>
    <w:rsid w:val="00051880"/>
    <w:rsid w:val="0005282C"/>
    <w:rsid w:val="000528FD"/>
    <w:rsid w:val="00061869"/>
    <w:rsid w:val="00061CE2"/>
    <w:rsid w:val="00063247"/>
    <w:rsid w:val="00066157"/>
    <w:rsid w:val="00070F9F"/>
    <w:rsid w:val="0007137B"/>
    <w:rsid w:val="000717BC"/>
    <w:rsid w:val="00074A4E"/>
    <w:rsid w:val="000766E2"/>
    <w:rsid w:val="00077616"/>
    <w:rsid w:val="00085663"/>
    <w:rsid w:val="00085EBF"/>
    <w:rsid w:val="00086CF3"/>
    <w:rsid w:val="00087C4A"/>
    <w:rsid w:val="0009584C"/>
    <w:rsid w:val="000A1017"/>
    <w:rsid w:val="000A29ED"/>
    <w:rsid w:val="000A62D6"/>
    <w:rsid w:val="000A6F14"/>
    <w:rsid w:val="000B0149"/>
    <w:rsid w:val="000B0311"/>
    <w:rsid w:val="000B3C8A"/>
    <w:rsid w:val="000D122C"/>
    <w:rsid w:val="000D3C77"/>
    <w:rsid w:val="000D68C5"/>
    <w:rsid w:val="000E1819"/>
    <w:rsid w:val="000E1A1B"/>
    <w:rsid w:val="000E2946"/>
    <w:rsid w:val="000E4F81"/>
    <w:rsid w:val="000E6C72"/>
    <w:rsid w:val="000E77BB"/>
    <w:rsid w:val="000E7E24"/>
    <w:rsid w:val="000F1D61"/>
    <w:rsid w:val="000F56F6"/>
    <w:rsid w:val="000F5855"/>
    <w:rsid w:val="000F6FA7"/>
    <w:rsid w:val="00100142"/>
    <w:rsid w:val="00105CDA"/>
    <w:rsid w:val="001066F1"/>
    <w:rsid w:val="001158FE"/>
    <w:rsid w:val="00116EB2"/>
    <w:rsid w:val="00117741"/>
    <w:rsid w:val="00124609"/>
    <w:rsid w:val="00125F4F"/>
    <w:rsid w:val="00127CAB"/>
    <w:rsid w:val="001337EF"/>
    <w:rsid w:val="00133FC8"/>
    <w:rsid w:val="00136716"/>
    <w:rsid w:val="00136A08"/>
    <w:rsid w:val="001373F1"/>
    <w:rsid w:val="0014511E"/>
    <w:rsid w:val="00145982"/>
    <w:rsid w:val="001472B8"/>
    <w:rsid w:val="00151F61"/>
    <w:rsid w:val="0015451B"/>
    <w:rsid w:val="00155113"/>
    <w:rsid w:val="001566F6"/>
    <w:rsid w:val="001573E4"/>
    <w:rsid w:val="00160756"/>
    <w:rsid w:val="00163E4E"/>
    <w:rsid w:val="00164FB1"/>
    <w:rsid w:val="001654FA"/>
    <w:rsid w:val="001711CC"/>
    <w:rsid w:val="0017232E"/>
    <w:rsid w:val="00174102"/>
    <w:rsid w:val="00180157"/>
    <w:rsid w:val="00181AB6"/>
    <w:rsid w:val="00181C46"/>
    <w:rsid w:val="001832C7"/>
    <w:rsid w:val="00186F77"/>
    <w:rsid w:val="001901A4"/>
    <w:rsid w:val="00191C6F"/>
    <w:rsid w:val="00192441"/>
    <w:rsid w:val="001926A4"/>
    <w:rsid w:val="00193ED7"/>
    <w:rsid w:val="001B0C3B"/>
    <w:rsid w:val="001B45A0"/>
    <w:rsid w:val="001B4E02"/>
    <w:rsid w:val="001B6C15"/>
    <w:rsid w:val="001C027D"/>
    <w:rsid w:val="001C17B3"/>
    <w:rsid w:val="001C1BC0"/>
    <w:rsid w:val="001C2EE8"/>
    <w:rsid w:val="001C72F8"/>
    <w:rsid w:val="001C792A"/>
    <w:rsid w:val="001D055E"/>
    <w:rsid w:val="001D0CE3"/>
    <w:rsid w:val="001E01B4"/>
    <w:rsid w:val="001E14C2"/>
    <w:rsid w:val="001E4665"/>
    <w:rsid w:val="001E48B3"/>
    <w:rsid w:val="001E5AEE"/>
    <w:rsid w:val="001F03EF"/>
    <w:rsid w:val="001F0EC9"/>
    <w:rsid w:val="001F1B78"/>
    <w:rsid w:val="001F492E"/>
    <w:rsid w:val="001F6DA3"/>
    <w:rsid w:val="001F7575"/>
    <w:rsid w:val="00201136"/>
    <w:rsid w:val="00203300"/>
    <w:rsid w:val="0020376D"/>
    <w:rsid w:val="0020489F"/>
    <w:rsid w:val="002050F5"/>
    <w:rsid w:val="002072A2"/>
    <w:rsid w:val="00212D2F"/>
    <w:rsid w:val="00213CF6"/>
    <w:rsid w:val="00214FBA"/>
    <w:rsid w:val="00216865"/>
    <w:rsid w:val="00216A93"/>
    <w:rsid w:val="00224DB9"/>
    <w:rsid w:val="002276F0"/>
    <w:rsid w:val="00227C97"/>
    <w:rsid w:val="00232A71"/>
    <w:rsid w:val="0023776A"/>
    <w:rsid w:val="002515C3"/>
    <w:rsid w:val="00251745"/>
    <w:rsid w:val="00251C37"/>
    <w:rsid w:val="00262F65"/>
    <w:rsid w:val="00263AC0"/>
    <w:rsid w:val="002649D2"/>
    <w:rsid w:val="002649D8"/>
    <w:rsid w:val="00265486"/>
    <w:rsid w:val="0026772D"/>
    <w:rsid w:val="00270A51"/>
    <w:rsid w:val="00270DD5"/>
    <w:rsid w:val="00275002"/>
    <w:rsid w:val="00275927"/>
    <w:rsid w:val="0028440E"/>
    <w:rsid w:val="00286874"/>
    <w:rsid w:val="0029246F"/>
    <w:rsid w:val="00294838"/>
    <w:rsid w:val="00296B65"/>
    <w:rsid w:val="002A3CF2"/>
    <w:rsid w:val="002A7439"/>
    <w:rsid w:val="002A7DEF"/>
    <w:rsid w:val="002B0DAE"/>
    <w:rsid w:val="002C581B"/>
    <w:rsid w:val="002C6DD3"/>
    <w:rsid w:val="002D1734"/>
    <w:rsid w:val="002D37FB"/>
    <w:rsid w:val="002D484E"/>
    <w:rsid w:val="002D4A1F"/>
    <w:rsid w:val="002E4587"/>
    <w:rsid w:val="002E6254"/>
    <w:rsid w:val="002F2675"/>
    <w:rsid w:val="002F7986"/>
    <w:rsid w:val="003061FA"/>
    <w:rsid w:val="00307F6D"/>
    <w:rsid w:val="003153EB"/>
    <w:rsid w:val="00317182"/>
    <w:rsid w:val="003177A2"/>
    <w:rsid w:val="00321853"/>
    <w:rsid w:val="003271B5"/>
    <w:rsid w:val="00331264"/>
    <w:rsid w:val="00332F5D"/>
    <w:rsid w:val="00334C8D"/>
    <w:rsid w:val="00336149"/>
    <w:rsid w:val="00336D50"/>
    <w:rsid w:val="003401B9"/>
    <w:rsid w:val="00341169"/>
    <w:rsid w:val="00342870"/>
    <w:rsid w:val="003518B3"/>
    <w:rsid w:val="00352DA8"/>
    <w:rsid w:val="00354887"/>
    <w:rsid w:val="00360D41"/>
    <w:rsid w:val="00363FB3"/>
    <w:rsid w:val="00366515"/>
    <w:rsid w:val="003714C6"/>
    <w:rsid w:val="00371F3A"/>
    <w:rsid w:val="003754D0"/>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D2093"/>
    <w:rsid w:val="003E1341"/>
    <w:rsid w:val="003E47DC"/>
    <w:rsid w:val="003E5574"/>
    <w:rsid w:val="003E78A9"/>
    <w:rsid w:val="003F0289"/>
    <w:rsid w:val="003F54CB"/>
    <w:rsid w:val="003F57F1"/>
    <w:rsid w:val="003F75C8"/>
    <w:rsid w:val="00402142"/>
    <w:rsid w:val="00403473"/>
    <w:rsid w:val="00405B42"/>
    <w:rsid w:val="00411897"/>
    <w:rsid w:val="00412176"/>
    <w:rsid w:val="00414488"/>
    <w:rsid w:val="00415788"/>
    <w:rsid w:val="004157C0"/>
    <w:rsid w:val="00416641"/>
    <w:rsid w:val="00440D85"/>
    <w:rsid w:val="00456C20"/>
    <w:rsid w:val="00462CFF"/>
    <w:rsid w:val="00471E68"/>
    <w:rsid w:val="00480B4B"/>
    <w:rsid w:val="004831F8"/>
    <w:rsid w:val="00485752"/>
    <w:rsid w:val="00485DC4"/>
    <w:rsid w:val="00492A06"/>
    <w:rsid w:val="00493B02"/>
    <w:rsid w:val="00493B74"/>
    <w:rsid w:val="0049744A"/>
    <w:rsid w:val="00497975"/>
    <w:rsid w:val="004B104F"/>
    <w:rsid w:val="004B4412"/>
    <w:rsid w:val="004B4786"/>
    <w:rsid w:val="004C348C"/>
    <w:rsid w:val="004C515B"/>
    <w:rsid w:val="004C63B9"/>
    <w:rsid w:val="004C6C5B"/>
    <w:rsid w:val="004C7FC1"/>
    <w:rsid w:val="004D5447"/>
    <w:rsid w:val="004D55BA"/>
    <w:rsid w:val="004E1E95"/>
    <w:rsid w:val="004E34E7"/>
    <w:rsid w:val="004E7D10"/>
    <w:rsid w:val="004F18F3"/>
    <w:rsid w:val="004F2E2D"/>
    <w:rsid w:val="004F4B4B"/>
    <w:rsid w:val="004F6ED0"/>
    <w:rsid w:val="004F74D0"/>
    <w:rsid w:val="00502843"/>
    <w:rsid w:val="005177C0"/>
    <w:rsid w:val="00522486"/>
    <w:rsid w:val="00522668"/>
    <w:rsid w:val="0052344A"/>
    <w:rsid w:val="005279B6"/>
    <w:rsid w:val="00530128"/>
    <w:rsid w:val="00532467"/>
    <w:rsid w:val="0053491C"/>
    <w:rsid w:val="00535DD4"/>
    <w:rsid w:val="00543945"/>
    <w:rsid w:val="00543BEC"/>
    <w:rsid w:val="00544C6F"/>
    <w:rsid w:val="00547DC4"/>
    <w:rsid w:val="005502E7"/>
    <w:rsid w:val="00551D05"/>
    <w:rsid w:val="00555667"/>
    <w:rsid w:val="00556B64"/>
    <w:rsid w:val="005575B9"/>
    <w:rsid w:val="00562CEE"/>
    <w:rsid w:val="00564507"/>
    <w:rsid w:val="00564A4D"/>
    <w:rsid w:val="005656E2"/>
    <w:rsid w:val="005707D4"/>
    <w:rsid w:val="00571680"/>
    <w:rsid w:val="00571B35"/>
    <w:rsid w:val="00572D20"/>
    <w:rsid w:val="00574241"/>
    <w:rsid w:val="00575C43"/>
    <w:rsid w:val="005772D2"/>
    <w:rsid w:val="00577A09"/>
    <w:rsid w:val="00577F68"/>
    <w:rsid w:val="005819F3"/>
    <w:rsid w:val="00582446"/>
    <w:rsid w:val="00584D8F"/>
    <w:rsid w:val="00595ED0"/>
    <w:rsid w:val="005A1339"/>
    <w:rsid w:val="005A404D"/>
    <w:rsid w:val="005B0461"/>
    <w:rsid w:val="005B0EF5"/>
    <w:rsid w:val="005B1E3C"/>
    <w:rsid w:val="005B7F8F"/>
    <w:rsid w:val="005C26CC"/>
    <w:rsid w:val="005C3411"/>
    <w:rsid w:val="005C3D54"/>
    <w:rsid w:val="005C3DEC"/>
    <w:rsid w:val="005C532D"/>
    <w:rsid w:val="005C546A"/>
    <w:rsid w:val="005C592F"/>
    <w:rsid w:val="005C5E72"/>
    <w:rsid w:val="005D22D7"/>
    <w:rsid w:val="005D2FBD"/>
    <w:rsid w:val="005D69AF"/>
    <w:rsid w:val="005E0B7E"/>
    <w:rsid w:val="005E6B50"/>
    <w:rsid w:val="005E6FFA"/>
    <w:rsid w:val="005F6ADE"/>
    <w:rsid w:val="005F7247"/>
    <w:rsid w:val="00603914"/>
    <w:rsid w:val="00604DB6"/>
    <w:rsid w:val="00607BA0"/>
    <w:rsid w:val="00612006"/>
    <w:rsid w:val="00613324"/>
    <w:rsid w:val="00613DEC"/>
    <w:rsid w:val="006146F0"/>
    <w:rsid w:val="00615619"/>
    <w:rsid w:val="00615C6B"/>
    <w:rsid w:val="00616CEC"/>
    <w:rsid w:val="00620B1B"/>
    <w:rsid w:val="00621545"/>
    <w:rsid w:val="0062525D"/>
    <w:rsid w:val="00627B2D"/>
    <w:rsid w:val="0063066D"/>
    <w:rsid w:val="00630A15"/>
    <w:rsid w:val="00631560"/>
    <w:rsid w:val="006319C1"/>
    <w:rsid w:val="00632D6D"/>
    <w:rsid w:val="0063567F"/>
    <w:rsid w:val="00636936"/>
    <w:rsid w:val="00642C3E"/>
    <w:rsid w:val="006471D4"/>
    <w:rsid w:val="00647804"/>
    <w:rsid w:val="0065049E"/>
    <w:rsid w:val="00651005"/>
    <w:rsid w:val="0065226B"/>
    <w:rsid w:val="006569A5"/>
    <w:rsid w:val="00661F88"/>
    <w:rsid w:val="00663DAD"/>
    <w:rsid w:val="00673D15"/>
    <w:rsid w:val="00676679"/>
    <w:rsid w:val="00676EA4"/>
    <w:rsid w:val="006777D7"/>
    <w:rsid w:val="00687AA8"/>
    <w:rsid w:val="00690B70"/>
    <w:rsid w:val="00694FD6"/>
    <w:rsid w:val="006A6EDD"/>
    <w:rsid w:val="006B0C7B"/>
    <w:rsid w:val="006B4CF9"/>
    <w:rsid w:val="006B7AC8"/>
    <w:rsid w:val="006C196C"/>
    <w:rsid w:val="006C1E8B"/>
    <w:rsid w:val="006C447D"/>
    <w:rsid w:val="006D3561"/>
    <w:rsid w:val="006D550F"/>
    <w:rsid w:val="006D5B9F"/>
    <w:rsid w:val="006D7923"/>
    <w:rsid w:val="006E1E7D"/>
    <w:rsid w:val="006F3750"/>
    <w:rsid w:val="006F393C"/>
    <w:rsid w:val="006F3FCB"/>
    <w:rsid w:val="006F4C38"/>
    <w:rsid w:val="006F7EB4"/>
    <w:rsid w:val="00700DAB"/>
    <w:rsid w:val="00701CAB"/>
    <w:rsid w:val="00707011"/>
    <w:rsid w:val="00707563"/>
    <w:rsid w:val="00710BEE"/>
    <w:rsid w:val="00712D03"/>
    <w:rsid w:val="007146A5"/>
    <w:rsid w:val="00720AB2"/>
    <w:rsid w:val="0072348C"/>
    <w:rsid w:val="007247EC"/>
    <w:rsid w:val="00724827"/>
    <w:rsid w:val="00724A37"/>
    <w:rsid w:val="00724BF3"/>
    <w:rsid w:val="007303C3"/>
    <w:rsid w:val="00731F13"/>
    <w:rsid w:val="00733680"/>
    <w:rsid w:val="00740D11"/>
    <w:rsid w:val="00741763"/>
    <w:rsid w:val="00741D03"/>
    <w:rsid w:val="00743223"/>
    <w:rsid w:val="00746063"/>
    <w:rsid w:val="00746E01"/>
    <w:rsid w:val="00747D2F"/>
    <w:rsid w:val="00751821"/>
    <w:rsid w:val="00751869"/>
    <w:rsid w:val="007532DD"/>
    <w:rsid w:val="00753ADA"/>
    <w:rsid w:val="0075453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92938"/>
    <w:rsid w:val="007A1428"/>
    <w:rsid w:val="007A1AB0"/>
    <w:rsid w:val="007A33E8"/>
    <w:rsid w:val="007B1732"/>
    <w:rsid w:val="007B2C72"/>
    <w:rsid w:val="007B3F68"/>
    <w:rsid w:val="007C1C53"/>
    <w:rsid w:val="007C2EE8"/>
    <w:rsid w:val="007C62FE"/>
    <w:rsid w:val="007C7E9F"/>
    <w:rsid w:val="007D2028"/>
    <w:rsid w:val="007D53A8"/>
    <w:rsid w:val="007D6FC9"/>
    <w:rsid w:val="007E1516"/>
    <w:rsid w:val="007E1BD5"/>
    <w:rsid w:val="007E3318"/>
    <w:rsid w:val="007E4904"/>
    <w:rsid w:val="007E4CB5"/>
    <w:rsid w:val="007E5597"/>
    <w:rsid w:val="007E796F"/>
    <w:rsid w:val="007F066B"/>
    <w:rsid w:val="007F0AB6"/>
    <w:rsid w:val="007F0F77"/>
    <w:rsid w:val="007F2BBD"/>
    <w:rsid w:val="007F475F"/>
    <w:rsid w:val="007F54CC"/>
    <w:rsid w:val="008033C4"/>
    <w:rsid w:val="00806C88"/>
    <w:rsid w:val="00807A5C"/>
    <w:rsid w:val="0081034E"/>
    <w:rsid w:val="0081253D"/>
    <w:rsid w:val="00812E7B"/>
    <w:rsid w:val="00813CE4"/>
    <w:rsid w:val="008238B2"/>
    <w:rsid w:val="008344B4"/>
    <w:rsid w:val="008344F6"/>
    <w:rsid w:val="0083510F"/>
    <w:rsid w:val="008366CD"/>
    <w:rsid w:val="00837F64"/>
    <w:rsid w:val="00840C6C"/>
    <w:rsid w:val="008426FD"/>
    <w:rsid w:val="00847ED9"/>
    <w:rsid w:val="00851209"/>
    <w:rsid w:val="0085188E"/>
    <w:rsid w:val="00852B3D"/>
    <w:rsid w:val="00857917"/>
    <w:rsid w:val="008606A6"/>
    <w:rsid w:val="00861AED"/>
    <w:rsid w:val="00867506"/>
    <w:rsid w:val="00867F2A"/>
    <w:rsid w:val="00870903"/>
    <w:rsid w:val="0087280A"/>
    <w:rsid w:val="00873B1F"/>
    <w:rsid w:val="008837AC"/>
    <w:rsid w:val="00884D30"/>
    <w:rsid w:val="00886BAB"/>
    <w:rsid w:val="00886CEC"/>
    <w:rsid w:val="00887EBF"/>
    <w:rsid w:val="008A4DB6"/>
    <w:rsid w:val="008A587D"/>
    <w:rsid w:val="008A6198"/>
    <w:rsid w:val="008A7580"/>
    <w:rsid w:val="008B416B"/>
    <w:rsid w:val="008B6DA5"/>
    <w:rsid w:val="008C094A"/>
    <w:rsid w:val="008C1D7C"/>
    <w:rsid w:val="008C1FE0"/>
    <w:rsid w:val="008C5486"/>
    <w:rsid w:val="008C6B16"/>
    <w:rsid w:val="008E1E8E"/>
    <w:rsid w:val="008E535A"/>
    <w:rsid w:val="008E6CAE"/>
    <w:rsid w:val="008E7031"/>
    <w:rsid w:val="008F6FC7"/>
    <w:rsid w:val="008F781F"/>
    <w:rsid w:val="0090239D"/>
    <w:rsid w:val="009057E0"/>
    <w:rsid w:val="009130D3"/>
    <w:rsid w:val="00914975"/>
    <w:rsid w:val="00914A87"/>
    <w:rsid w:val="00915BFF"/>
    <w:rsid w:val="00922ACF"/>
    <w:rsid w:val="009233EE"/>
    <w:rsid w:val="0092422F"/>
    <w:rsid w:val="009335AE"/>
    <w:rsid w:val="00933B55"/>
    <w:rsid w:val="009377D8"/>
    <w:rsid w:val="00942DD0"/>
    <w:rsid w:val="00952CF7"/>
    <w:rsid w:val="009569F4"/>
    <w:rsid w:val="00956C19"/>
    <w:rsid w:val="00957591"/>
    <w:rsid w:val="0095772E"/>
    <w:rsid w:val="00960AC5"/>
    <w:rsid w:val="009661DE"/>
    <w:rsid w:val="009729F8"/>
    <w:rsid w:val="00972A40"/>
    <w:rsid w:val="00977521"/>
    <w:rsid w:val="00981578"/>
    <w:rsid w:val="00982FEB"/>
    <w:rsid w:val="009837D1"/>
    <w:rsid w:val="00983EEC"/>
    <w:rsid w:val="009856B7"/>
    <w:rsid w:val="009856DF"/>
    <w:rsid w:val="00985A66"/>
    <w:rsid w:val="009928BC"/>
    <w:rsid w:val="00996A78"/>
    <w:rsid w:val="00996B87"/>
    <w:rsid w:val="009A3D22"/>
    <w:rsid w:val="009A6D69"/>
    <w:rsid w:val="009B0884"/>
    <w:rsid w:val="009B21F2"/>
    <w:rsid w:val="009B4E65"/>
    <w:rsid w:val="009B533B"/>
    <w:rsid w:val="009B6644"/>
    <w:rsid w:val="009B69AA"/>
    <w:rsid w:val="009B74B0"/>
    <w:rsid w:val="009B7A3C"/>
    <w:rsid w:val="009C6A83"/>
    <w:rsid w:val="009D3016"/>
    <w:rsid w:val="009D3151"/>
    <w:rsid w:val="009D6B46"/>
    <w:rsid w:val="009E1AF6"/>
    <w:rsid w:val="009E6668"/>
    <w:rsid w:val="009E7749"/>
    <w:rsid w:val="009E7AC6"/>
    <w:rsid w:val="009E7D2D"/>
    <w:rsid w:val="009F1B45"/>
    <w:rsid w:val="009F1D03"/>
    <w:rsid w:val="009F1E42"/>
    <w:rsid w:val="009F4806"/>
    <w:rsid w:val="009F4940"/>
    <w:rsid w:val="00A03C9E"/>
    <w:rsid w:val="00A041F4"/>
    <w:rsid w:val="00A04F9F"/>
    <w:rsid w:val="00A10939"/>
    <w:rsid w:val="00A159BF"/>
    <w:rsid w:val="00A22BEE"/>
    <w:rsid w:val="00A2302C"/>
    <w:rsid w:val="00A3632A"/>
    <w:rsid w:val="00A4478A"/>
    <w:rsid w:val="00A44852"/>
    <w:rsid w:val="00A47A82"/>
    <w:rsid w:val="00A52A18"/>
    <w:rsid w:val="00A57D04"/>
    <w:rsid w:val="00A57D69"/>
    <w:rsid w:val="00A60A26"/>
    <w:rsid w:val="00A61598"/>
    <w:rsid w:val="00A64EBB"/>
    <w:rsid w:val="00A67D14"/>
    <w:rsid w:val="00A700B5"/>
    <w:rsid w:val="00A71AA6"/>
    <w:rsid w:val="00A75AAA"/>
    <w:rsid w:val="00A81EF8"/>
    <w:rsid w:val="00A84E2D"/>
    <w:rsid w:val="00A84F46"/>
    <w:rsid w:val="00A871F4"/>
    <w:rsid w:val="00A91A4B"/>
    <w:rsid w:val="00A923DD"/>
    <w:rsid w:val="00A94D89"/>
    <w:rsid w:val="00AA0CEB"/>
    <w:rsid w:val="00AA476F"/>
    <w:rsid w:val="00AA649A"/>
    <w:rsid w:val="00AB6478"/>
    <w:rsid w:val="00AC0FE9"/>
    <w:rsid w:val="00AC1B2C"/>
    <w:rsid w:val="00AC1CF3"/>
    <w:rsid w:val="00AC3264"/>
    <w:rsid w:val="00AC79B7"/>
    <w:rsid w:val="00AD592F"/>
    <w:rsid w:val="00AE0399"/>
    <w:rsid w:val="00AE1BF1"/>
    <w:rsid w:val="00AF0DD2"/>
    <w:rsid w:val="00AF46F3"/>
    <w:rsid w:val="00AF66A7"/>
    <w:rsid w:val="00AF7058"/>
    <w:rsid w:val="00B0517B"/>
    <w:rsid w:val="00B057C8"/>
    <w:rsid w:val="00B109DD"/>
    <w:rsid w:val="00B11C09"/>
    <w:rsid w:val="00B1285B"/>
    <w:rsid w:val="00B13048"/>
    <w:rsid w:val="00B14CE4"/>
    <w:rsid w:val="00B15121"/>
    <w:rsid w:val="00B1716D"/>
    <w:rsid w:val="00B17A1D"/>
    <w:rsid w:val="00B207A0"/>
    <w:rsid w:val="00B26AAA"/>
    <w:rsid w:val="00B31071"/>
    <w:rsid w:val="00B35810"/>
    <w:rsid w:val="00B4128D"/>
    <w:rsid w:val="00B41686"/>
    <w:rsid w:val="00B44E99"/>
    <w:rsid w:val="00B47411"/>
    <w:rsid w:val="00B52A51"/>
    <w:rsid w:val="00B56E03"/>
    <w:rsid w:val="00B6084D"/>
    <w:rsid w:val="00B63E2C"/>
    <w:rsid w:val="00B65CAC"/>
    <w:rsid w:val="00B674DC"/>
    <w:rsid w:val="00B70CA5"/>
    <w:rsid w:val="00B752C5"/>
    <w:rsid w:val="00B8080B"/>
    <w:rsid w:val="00B85D8A"/>
    <w:rsid w:val="00B87C39"/>
    <w:rsid w:val="00B87DD6"/>
    <w:rsid w:val="00B904FF"/>
    <w:rsid w:val="00B92CD5"/>
    <w:rsid w:val="00B956D7"/>
    <w:rsid w:val="00BA0D4A"/>
    <w:rsid w:val="00BA1F27"/>
    <w:rsid w:val="00BA390A"/>
    <w:rsid w:val="00BA3992"/>
    <w:rsid w:val="00BA4665"/>
    <w:rsid w:val="00BA47CB"/>
    <w:rsid w:val="00BA4E5E"/>
    <w:rsid w:val="00BB2FB2"/>
    <w:rsid w:val="00BB3304"/>
    <w:rsid w:val="00BB4732"/>
    <w:rsid w:val="00BB7780"/>
    <w:rsid w:val="00BC675F"/>
    <w:rsid w:val="00BD0BD0"/>
    <w:rsid w:val="00BD3446"/>
    <w:rsid w:val="00BD5467"/>
    <w:rsid w:val="00BD71BD"/>
    <w:rsid w:val="00BE1F1B"/>
    <w:rsid w:val="00BE47B5"/>
    <w:rsid w:val="00BF65C1"/>
    <w:rsid w:val="00BF771C"/>
    <w:rsid w:val="00C008FE"/>
    <w:rsid w:val="00C01734"/>
    <w:rsid w:val="00C05504"/>
    <w:rsid w:val="00C05C48"/>
    <w:rsid w:val="00C064A7"/>
    <w:rsid w:val="00C07A89"/>
    <w:rsid w:val="00C154C0"/>
    <w:rsid w:val="00C16B2C"/>
    <w:rsid w:val="00C22E0E"/>
    <w:rsid w:val="00C30BBE"/>
    <w:rsid w:val="00C34065"/>
    <w:rsid w:val="00C3711F"/>
    <w:rsid w:val="00C433A5"/>
    <w:rsid w:val="00C434B1"/>
    <w:rsid w:val="00C4709E"/>
    <w:rsid w:val="00C50EC2"/>
    <w:rsid w:val="00C538A9"/>
    <w:rsid w:val="00C53B5A"/>
    <w:rsid w:val="00C54F5A"/>
    <w:rsid w:val="00C56506"/>
    <w:rsid w:val="00C565C5"/>
    <w:rsid w:val="00C62797"/>
    <w:rsid w:val="00C6290C"/>
    <w:rsid w:val="00C672E0"/>
    <w:rsid w:val="00C729B4"/>
    <w:rsid w:val="00C73A47"/>
    <w:rsid w:val="00C73C83"/>
    <w:rsid w:val="00C74A11"/>
    <w:rsid w:val="00C75BD1"/>
    <w:rsid w:val="00C75BEE"/>
    <w:rsid w:val="00C8473D"/>
    <w:rsid w:val="00C86679"/>
    <w:rsid w:val="00C86919"/>
    <w:rsid w:val="00C872DB"/>
    <w:rsid w:val="00C950AF"/>
    <w:rsid w:val="00C96A92"/>
    <w:rsid w:val="00CA04F2"/>
    <w:rsid w:val="00CA51FE"/>
    <w:rsid w:val="00CB666B"/>
    <w:rsid w:val="00CB695E"/>
    <w:rsid w:val="00CC1D64"/>
    <w:rsid w:val="00CC2C03"/>
    <w:rsid w:val="00CD40AD"/>
    <w:rsid w:val="00CD4E7F"/>
    <w:rsid w:val="00CE1831"/>
    <w:rsid w:val="00CE7926"/>
    <w:rsid w:val="00CF0E01"/>
    <w:rsid w:val="00CF1908"/>
    <w:rsid w:val="00CF455C"/>
    <w:rsid w:val="00CF5382"/>
    <w:rsid w:val="00D01CF0"/>
    <w:rsid w:val="00D0442A"/>
    <w:rsid w:val="00D05FA8"/>
    <w:rsid w:val="00D07128"/>
    <w:rsid w:val="00D22BD4"/>
    <w:rsid w:val="00D2306D"/>
    <w:rsid w:val="00D270E1"/>
    <w:rsid w:val="00D323D0"/>
    <w:rsid w:val="00D32767"/>
    <w:rsid w:val="00D44037"/>
    <w:rsid w:val="00D4681D"/>
    <w:rsid w:val="00D46DDB"/>
    <w:rsid w:val="00D5111E"/>
    <w:rsid w:val="00D61388"/>
    <w:rsid w:val="00D615F9"/>
    <w:rsid w:val="00D61A54"/>
    <w:rsid w:val="00D63E96"/>
    <w:rsid w:val="00D64DEA"/>
    <w:rsid w:val="00D66943"/>
    <w:rsid w:val="00D67D07"/>
    <w:rsid w:val="00D71771"/>
    <w:rsid w:val="00D73D17"/>
    <w:rsid w:val="00D74261"/>
    <w:rsid w:val="00D74971"/>
    <w:rsid w:val="00D80893"/>
    <w:rsid w:val="00D834A9"/>
    <w:rsid w:val="00D86899"/>
    <w:rsid w:val="00D87097"/>
    <w:rsid w:val="00D92CF1"/>
    <w:rsid w:val="00D92D38"/>
    <w:rsid w:val="00D936B6"/>
    <w:rsid w:val="00D950F5"/>
    <w:rsid w:val="00DB0F93"/>
    <w:rsid w:val="00DB16A7"/>
    <w:rsid w:val="00DB196A"/>
    <w:rsid w:val="00DB20BF"/>
    <w:rsid w:val="00DB4CC4"/>
    <w:rsid w:val="00DB779A"/>
    <w:rsid w:val="00DC153A"/>
    <w:rsid w:val="00DC24BF"/>
    <w:rsid w:val="00DC2907"/>
    <w:rsid w:val="00DC4787"/>
    <w:rsid w:val="00DC5E54"/>
    <w:rsid w:val="00DC7981"/>
    <w:rsid w:val="00DD15C2"/>
    <w:rsid w:val="00DE4EFA"/>
    <w:rsid w:val="00DE4F3A"/>
    <w:rsid w:val="00DE5520"/>
    <w:rsid w:val="00DE7345"/>
    <w:rsid w:val="00DF3D54"/>
    <w:rsid w:val="00DF6187"/>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183B"/>
    <w:rsid w:val="00E52A27"/>
    <w:rsid w:val="00E65C85"/>
    <w:rsid w:val="00E65CF4"/>
    <w:rsid w:val="00E66199"/>
    <w:rsid w:val="00E715D5"/>
    <w:rsid w:val="00E737E3"/>
    <w:rsid w:val="00E73868"/>
    <w:rsid w:val="00E7472E"/>
    <w:rsid w:val="00E755EC"/>
    <w:rsid w:val="00E7624D"/>
    <w:rsid w:val="00E823D9"/>
    <w:rsid w:val="00E838D3"/>
    <w:rsid w:val="00E8569F"/>
    <w:rsid w:val="00E86851"/>
    <w:rsid w:val="00E93909"/>
    <w:rsid w:val="00E9533D"/>
    <w:rsid w:val="00E97390"/>
    <w:rsid w:val="00EA3D42"/>
    <w:rsid w:val="00EA6B1B"/>
    <w:rsid w:val="00EB049F"/>
    <w:rsid w:val="00EB540F"/>
    <w:rsid w:val="00EB7D7F"/>
    <w:rsid w:val="00EC317E"/>
    <w:rsid w:val="00EC67D4"/>
    <w:rsid w:val="00ED3C5B"/>
    <w:rsid w:val="00ED4A25"/>
    <w:rsid w:val="00ED6CA7"/>
    <w:rsid w:val="00ED6E24"/>
    <w:rsid w:val="00EE164B"/>
    <w:rsid w:val="00EE28F3"/>
    <w:rsid w:val="00EE347F"/>
    <w:rsid w:val="00EF013A"/>
    <w:rsid w:val="00EF3FB8"/>
    <w:rsid w:val="00EF5110"/>
    <w:rsid w:val="00EF5AFC"/>
    <w:rsid w:val="00F02D9B"/>
    <w:rsid w:val="00F031FE"/>
    <w:rsid w:val="00F06B5B"/>
    <w:rsid w:val="00F07106"/>
    <w:rsid w:val="00F113FD"/>
    <w:rsid w:val="00F13EAA"/>
    <w:rsid w:val="00F15882"/>
    <w:rsid w:val="00F1785E"/>
    <w:rsid w:val="00F20BD3"/>
    <w:rsid w:val="00F244A0"/>
    <w:rsid w:val="00F32D35"/>
    <w:rsid w:val="00F3431A"/>
    <w:rsid w:val="00F3590E"/>
    <w:rsid w:val="00F373A5"/>
    <w:rsid w:val="00F45618"/>
    <w:rsid w:val="00F45B2F"/>
    <w:rsid w:val="00F46AB5"/>
    <w:rsid w:val="00F47559"/>
    <w:rsid w:val="00F55548"/>
    <w:rsid w:val="00F61AA8"/>
    <w:rsid w:val="00F64C7B"/>
    <w:rsid w:val="00F64F82"/>
    <w:rsid w:val="00F662F1"/>
    <w:rsid w:val="00F66967"/>
    <w:rsid w:val="00F676DD"/>
    <w:rsid w:val="00F70811"/>
    <w:rsid w:val="00F71486"/>
    <w:rsid w:val="00F72F41"/>
    <w:rsid w:val="00F75A26"/>
    <w:rsid w:val="00F77D49"/>
    <w:rsid w:val="00F77F21"/>
    <w:rsid w:val="00F83FAD"/>
    <w:rsid w:val="00F87EBA"/>
    <w:rsid w:val="00F952A0"/>
    <w:rsid w:val="00F965FC"/>
    <w:rsid w:val="00FA3830"/>
    <w:rsid w:val="00FA3C7F"/>
    <w:rsid w:val="00FB153F"/>
    <w:rsid w:val="00FB411D"/>
    <w:rsid w:val="00FB41E6"/>
    <w:rsid w:val="00FB74E2"/>
    <w:rsid w:val="00FC191B"/>
    <w:rsid w:val="00FC447B"/>
    <w:rsid w:val="00FD0763"/>
    <w:rsid w:val="00FD166D"/>
    <w:rsid w:val="00FD1D8E"/>
    <w:rsid w:val="00FD2F97"/>
    <w:rsid w:val="00FD5316"/>
    <w:rsid w:val="00FD5614"/>
    <w:rsid w:val="00FD72DC"/>
    <w:rsid w:val="00FE0BE1"/>
    <w:rsid w:val="00FE1DE9"/>
    <w:rsid w:val="00FE39C2"/>
    <w:rsid w:val="00FE3E67"/>
    <w:rsid w:val="00FE64AE"/>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9463">
      <w:bodyDiv w:val="1"/>
      <w:marLeft w:val="0"/>
      <w:marRight w:val="0"/>
      <w:marTop w:val="0"/>
      <w:marBottom w:val="0"/>
      <w:divBdr>
        <w:top w:val="none" w:sz="0" w:space="0" w:color="auto"/>
        <w:left w:val="none" w:sz="0" w:space="0" w:color="auto"/>
        <w:bottom w:val="none" w:sz="0" w:space="0" w:color="auto"/>
        <w:right w:val="none" w:sz="0" w:space="0" w:color="auto"/>
      </w:divBdr>
      <w:divsChild>
        <w:div w:id="597057229">
          <w:marLeft w:val="0"/>
          <w:marRight w:val="0"/>
          <w:marTop w:val="0"/>
          <w:marBottom w:val="0"/>
          <w:divBdr>
            <w:top w:val="none" w:sz="0" w:space="0" w:color="auto"/>
            <w:left w:val="none" w:sz="0" w:space="0" w:color="auto"/>
            <w:bottom w:val="none" w:sz="0" w:space="0" w:color="auto"/>
            <w:right w:val="none" w:sz="0" w:space="0" w:color="auto"/>
          </w:divBdr>
          <w:divsChild>
            <w:div w:id="533344921">
              <w:marLeft w:val="0"/>
              <w:marRight w:val="0"/>
              <w:marTop w:val="0"/>
              <w:marBottom w:val="0"/>
              <w:divBdr>
                <w:top w:val="none" w:sz="0" w:space="0" w:color="auto"/>
                <w:left w:val="none" w:sz="0" w:space="0" w:color="auto"/>
                <w:bottom w:val="none" w:sz="0" w:space="0" w:color="auto"/>
                <w:right w:val="none" w:sz="0" w:space="0" w:color="auto"/>
              </w:divBdr>
              <w:divsChild>
                <w:div w:id="807207367">
                  <w:marLeft w:val="0"/>
                  <w:marRight w:val="0"/>
                  <w:marTop w:val="0"/>
                  <w:marBottom w:val="0"/>
                  <w:divBdr>
                    <w:top w:val="none" w:sz="0" w:space="0" w:color="auto"/>
                    <w:left w:val="none" w:sz="0" w:space="0" w:color="auto"/>
                    <w:bottom w:val="none" w:sz="0" w:space="0" w:color="auto"/>
                    <w:right w:val="none" w:sz="0" w:space="0" w:color="auto"/>
                  </w:divBdr>
                  <w:divsChild>
                    <w:div w:id="2087023497">
                      <w:marLeft w:val="0"/>
                      <w:marRight w:val="0"/>
                      <w:marTop w:val="0"/>
                      <w:marBottom w:val="0"/>
                      <w:divBdr>
                        <w:top w:val="none" w:sz="0" w:space="0" w:color="auto"/>
                        <w:left w:val="none" w:sz="0" w:space="0" w:color="auto"/>
                        <w:bottom w:val="none" w:sz="0" w:space="0" w:color="auto"/>
                        <w:right w:val="none" w:sz="0" w:space="0" w:color="auto"/>
                      </w:divBdr>
                      <w:divsChild>
                        <w:div w:id="1522429696">
                          <w:marLeft w:val="0"/>
                          <w:marRight w:val="0"/>
                          <w:marTop w:val="0"/>
                          <w:marBottom w:val="0"/>
                          <w:divBdr>
                            <w:top w:val="none" w:sz="0" w:space="0" w:color="auto"/>
                            <w:left w:val="none" w:sz="0" w:space="0" w:color="auto"/>
                            <w:bottom w:val="none" w:sz="0" w:space="0" w:color="auto"/>
                            <w:right w:val="none" w:sz="0" w:space="0" w:color="auto"/>
                          </w:divBdr>
                        </w:div>
                      </w:divsChild>
                    </w:div>
                    <w:div w:id="1972518105">
                      <w:marLeft w:val="0"/>
                      <w:marRight w:val="0"/>
                      <w:marTop w:val="0"/>
                      <w:marBottom w:val="0"/>
                      <w:divBdr>
                        <w:top w:val="none" w:sz="0" w:space="0" w:color="auto"/>
                        <w:left w:val="none" w:sz="0" w:space="0" w:color="auto"/>
                        <w:bottom w:val="none" w:sz="0" w:space="0" w:color="auto"/>
                        <w:right w:val="none" w:sz="0" w:space="0" w:color="auto"/>
                      </w:divBdr>
                      <w:divsChild>
                        <w:div w:id="2018578800">
                          <w:marLeft w:val="0"/>
                          <w:marRight w:val="0"/>
                          <w:marTop w:val="0"/>
                          <w:marBottom w:val="0"/>
                          <w:divBdr>
                            <w:top w:val="none" w:sz="0" w:space="0" w:color="auto"/>
                            <w:left w:val="none" w:sz="0" w:space="0" w:color="auto"/>
                            <w:bottom w:val="none" w:sz="0" w:space="0" w:color="auto"/>
                            <w:right w:val="none" w:sz="0" w:space="0" w:color="auto"/>
                          </w:divBdr>
                        </w:div>
                      </w:divsChild>
                    </w:div>
                    <w:div w:id="1669556795">
                      <w:marLeft w:val="0"/>
                      <w:marRight w:val="0"/>
                      <w:marTop w:val="0"/>
                      <w:marBottom w:val="0"/>
                      <w:divBdr>
                        <w:top w:val="none" w:sz="0" w:space="0" w:color="auto"/>
                        <w:left w:val="none" w:sz="0" w:space="0" w:color="auto"/>
                        <w:bottom w:val="none" w:sz="0" w:space="0" w:color="auto"/>
                        <w:right w:val="none" w:sz="0" w:space="0" w:color="auto"/>
                      </w:divBdr>
                      <w:divsChild>
                        <w:div w:id="1515068761">
                          <w:marLeft w:val="0"/>
                          <w:marRight w:val="0"/>
                          <w:marTop w:val="0"/>
                          <w:marBottom w:val="0"/>
                          <w:divBdr>
                            <w:top w:val="none" w:sz="0" w:space="0" w:color="auto"/>
                            <w:left w:val="none" w:sz="0" w:space="0" w:color="auto"/>
                            <w:bottom w:val="none" w:sz="0" w:space="0" w:color="auto"/>
                            <w:right w:val="none" w:sz="0" w:space="0" w:color="auto"/>
                          </w:divBdr>
                        </w:div>
                      </w:divsChild>
                    </w:div>
                    <w:div w:id="1286738585">
                      <w:marLeft w:val="0"/>
                      <w:marRight w:val="0"/>
                      <w:marTop w:val="0"/>
                      <w:marBottom w:val="0"/>
                      <w:divBdr>
                        <w:top w:val="none" w:sz="0" w:space="0" w:color="auto"/>
                        <w:left w:val="none" w:sz="0" w:space="0" w:color="auto"/>
                        <w:bottom w:val="none" w:sz="0" w:space="0" w:color="auto"/>
                        <w:right w:val="none" w:sz="0" w:space="0" w:color="auto"/>
                      </w:divBdr>
                      <w:divsChild>
                        <w:div w:id="1863744282">
                          <w:marLeft w:val="0"/>
                          <w:marRight w:val="0"/>
                          <w:marTop w:val="0"/>
                          <w:marBottom w:val="0"/>
                          <w:divBdr>
                            <w:top w:val="none" w:sz="0" w:space="0" w:color="auto"/>
                            <w:left w:val="none" w:sz="0" w:space="0" w:color="auto"/>
                            <w:bottom w:val="none" w:sz="0" w:space="0" w:color="auto"/>
                            <w:right w:val="none" w:sz="0" w:space="0" w:color="auto"/>
                          </w:divBdr>
                        </w:div>
                      </w:divsChild>
                    </w:div>
                    <w:div w:id="191964704">
                      <w:marLeft w:val="0"/>
                      <w:marRight w:val="0"/>
                      <w:marTop w:val="0"/>
                      <w:marBottom w:val="0"/>
                      <w:divBdr>
                        <w:top w:val="none" w:sz="0" w:space="0" w:color="auto"/>
                        <w:left w:val="none" w:sz="0" w:space="0" w:color="auto"/>
                        <w:bottom w:val="none" w:sz="0" w:space="0" w:color="auto"/>
                        <w:right w:val="none" w:sz="0" w:space="0" w:color="auto"/>
                      </w:divBdr>
                      <w:divsChild>
                        <w:div w:id="19380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61225259">
      <w:bodyDiv w:val="1"/>
      <w:marLeft w:val="0"/>
      <w:marRight w:val="0"/>
      <w:marTop w:val="0"/>
      <w:marBottom w:val="0"/>
      <w:divBdr>
        <w:top w:val="none" w:sz="0" w:space="0" w:color="auto"/>
        <w:left w:val="none" w:sz="0" w:space="0" w:color="auto"/>
        <w:bottom w:val="none" w:sz="0" w:space="0" w:color="auto"/>
        <w:right w:val="none" w:sz="0" w:space="0" w:color="auto"/>
      </w:divBdr>
      <w:divsChild>
        <w:div w:id="1227884906">
          <w:marLeft w:val="0"/>
          <w:marRight w:val="0"/>
          <w:marTop w:val="0"/>
          <w:marBottom w:val="0"/>
          <w:divBdr>
            <w:top w:val="none" w:sz="0" w:space="0" w:color="auto"/>
            <w:left w:val="none" w:sz="0" w:space="0" w:color="auto"/>
            <w:bottom w:val="none" w:sz="0" w:space="0" w:color="auto"/>
            <w:right w:val="none" w:sz="0" w:space="0" w:color="auto"/>
          </w:divBdr>
          <w:divsChild>
            <w:div w:id="611984945">
              <w:marLeft w:val="0"/>
              <w:marRight w:val="0"/>
              <w:marTop w:val="0"/>
              <w:marBottom w:val="0"/>
              <w:divBdr>
                <w:top w:val="none" w:sz="0" w:space="0" w:color="auto"/>
                <w:left w:val="none" w:sz="0" w:space="0" w:color="auto"/>
                <w:bottom w:val="none" w:sz="0" w:space="0" w:color="auto"/>
                <w:right w:val="none" w:sz="0" w:space="0" w:color="auto"/>
              </w:divBdr>
              <w:divsChild>
                <w:div w:id="1805150296">
                  <w:marLeft w:val="0"/>
                  <w:marRight w:val="0"/>
                  <w:marTop w:val="0"/>
                  <w:marBottom w:val="0"/>
                  <w:divBdr>
                    <w:top w:val="none" w:sz="0" w:space="0" w:color="auto"/>
                    <w:left w:val="none" w:sz="0" w:space="0" w:color="auto"/>
                    <w:bottom w:val="none" w:sz="0" w:space="0" w:color="auto"/>
                    <w:right w:val="none" w:sz="0" w:space="0" w:color="auto"/>
                  </w:divBdr>
                  <w:divsChild>
                    <w:div w:id="1506364540">
                      <w:marLeft w:val="0"/>
                      <w:marRight w:val="0"/>
                      <w:marTop w:val="0"/>
                      <w:marBottom w:val="0"/>
                      <w:divBdr>
                        <w:top w:val="none" w:sz="0" w:space="0" w:color="auto"/>
                        <w:left w:val="none" w:sz="0" w:space="0" w:color="auto"/>
                        <w:bottom w:val="none" w:sz="0" w:space="0" w:color="auto"/>
                        <w:right w:val="none" w:sz="0" w:space="0" w:color="auto"/>
                      </w:divBdr>
                      <w:divsChild>
                        <w:div w:id="1704868420">
                          <w:marLeft w:val="0"/>
                          <w:marRight w:val="0"/>
                          <w:marTop w:val="0"/>
                          <w:marBottom w:val="0"/>
                          <w:divBdr>
                            <w:top w:val="none" w:sz="0" w:space="0" w:color="auto"/>
                            <w:left w:val="none" w:sz="0" w:space="0" w:color="auto"/>
                            <w:bottom w:val="none" w:sz="0" w:space="0" w:color="auto"/>
                            <w:right w:val="none" w:sz="0" w:space="0" w:color="auto"/>
                          </w:divBdr>
                        </w:div>
                      </w:divsChild>
                    </w:div>
                    <w:div w:id="1049381367">
                      <w:marLeft w:val="0"/>
                      <w:marRight w:val="0"/>
                      <w:marTop w:val="0"/>
                      <w:marBottom w:val="0"/>
                      <w:divBdr>
                        <w:top w:val="none" w:sz="0" w:space="0" w:color="auto"/>
                        <w:left w:val="none" w:sz="0" w:space="0" w:color="auto"/>
                        <w:bottom w:val="none" w:sz="0" w:space="0" w:color="auto"/>
                        <w:right w:val="none" w:sz="0" w:space="0" w:color="auto"/>
                      </w:divBdr>
                      <w:divsChild>
                        <w:div w:id="1492941427">
                          <w:marLeft w:val="0"/>
                          <w:marRight w:val="0"/>
                          <w:marTop w:val="0"/>
                          <w:marBottom w:val="0"/>
                          <w:divBdr>
                            <w:top w:val="none" w:sz="0" w:space="0" w:color="auto"/>
                            <w:left w:val="none" w:sz="0" w:space="0" w:color="auto"/>
                            <w:bottom w:val="none" w:sz="0" w:space="0" w:color="auto"/>
                            <w:right w:val="none" w:sz="0" w:space="0" w:color="auto"/>
                          </w:divBdr>
                        </w:div>
                      </w:divsChild>
                    </w:div>
                    <w:div w:id="680281476">
                      <w:marLeft w:val="0"/>
                      <w:marRight w:val="0"/>
                      <w:marTop w:val="0"/>
                      <w:marBottom w:val="0"/>
                      <w:divBdr>
                        <w:top w:val="none" w:sz="0" w:space="0" w:color="auto"/>
                        <w:left w:val="none" w:sz="0" w:space="0" w:color="auto"/>
                        <w:bottom w:val="none" w:sz="0" w:space="0" w:color="auto"/>
                        <w:right w:val="none" w:sz="0" w:space="0" w:color="auto"/>
                      </w:divBdr>
                      <w:divsChild>
                        <w:div w:id="846020563">
                          <w:marLeft w:val="0"/>
                          <w:marRight w:val="0"/>
                          <w:marTop w:val="0"/>
                          <w:marBottom w:val="0"/>
                          <w:divBdr>
                            <w:top w:val="none" w:sz="0" w:space="0" w:color="auto"/>
                            <w:left w:val="none" w:sz="0" w:space="0" w:color="auto"/>
                            <w:bottom w:val="none" w:sz="0" w:space="0" w:color="auto"/>
                            <w:right w:val="none" w:sz="0" w:space="0" w:color="auto"/>
                          </w:divBdr>
                        </w:div>
                      </w:divsChild>
                    </w:div>
                    <w:div w:id="1023048190">
                      <w:marLeft w:val="0"/>
                      <w:marRight w:val="0"/>
                      <w:marTop w:val="0"/>
                      <w:marBottom w:val="0"/>
                      <w:divBdr>
                        <w:top w:val="none" w:sz="0" w:space="0" w:color="auto"/>
                        <w:left w:val="none" w:sz="0" w:space="0" w:color="auto"/>
                        <w:bottom w:val="none" w:sz="0" w:space="0" w:color="auto"/>
                        <w:right w:val="none" w:sz="0" w:space="0" w:color="auto"/>
                      </w:divBdr>
                      <w:divsChild>
                        <w:div w:id="112872268">
                          <w:marLeft w:val="0"/>
                          <w:marRight w:val="0"/>
                          <w:marTop w:val="0"/>
                          <w:marBottom w:val="0"/>
                          <w:divBdr>
                            <w:top w:val="none" w:sz="0" w:space="0" w:color="auto"/>
                            <w:left w:val="none" w:sz="0" w:space="0" w:color="auto"/>
                            <w:bottom w:val="none" w:sz="0" w:space="0" w:color="auto"/>
                            <w:right w:val="none" w:sz="0" w:space="0" w:color="auto"/>
                          </w:divBdr>
                        </w:div>
                      </w:divsChild>
                    </w:div>
                    <w:div w:id="1901674387">
                      <w:marLeft w:val="0"/>
                      <w:marRight w:val="0"/>
                      <w:marTop w:val="0"/>
                      <w:marBottom w:val="0"/>
                      <w:divBdr>
                        <w:top w:val="none" w:sz="0" w:space="0" w:color="auto"/>
                        <w:left w:val="none" w:sz="0" w:space="0" w:color="auto"/>
                        <w:bottom w:val="none" w:sz="0" w:space="0" w:color="auto"/>
                        <w:right w:val="none" w:sz="0" w:space="0" w:color="auto"/>
                      </w:divBdr>
                      <w:divsChild>
                        <w:div w:id="10389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98492220">
      <w:bodyDiv w:val="1"/>
      <w:marLeft w:val="0"/>
      <w:marRight w:val="0"/>
      <w:marTop w:val="0"/>
      <w:marBottom w:val="0"/>
      <w:divBdr>
        <w:top w:val="none" w:sz="0" w:space="0" w:color="auto"/>
        <w:left w:val="none" w:sz="0" w:space="0" w:color="auto"/>
        <w:bottom w:val="none" w:sz="0" w:space="0" w:color="auto"/>
        <w:right w:val="none" w:sz="0" w:space="0" w:color="auto"/>
      </w:divBdr>
      <w:divsChild>
        <w:div w:id="162939627">
          <w:marLeft w:val="0"/>
          <w:marRight w:val="0"/>
          <w:marTop w:val="0"/>
          <w:marBottom w:val="0"/>
          <w:divBdr>
            <w:top w:val="none" w:sz="0" w:space="0" w:color="auto"/>
            <w:left w:val="none" w:sz="0" w:space="0" w:color="auto"/>
            <w:bottom w:val="none" w:sz="0" w:space="0" w:color="auto"/>
            <w:right w:val="none" w:sz="0" w:space="0" w:color="auto"/>
          </w:divBdr>
          <w:divsChild>
            <w:div w:id="2007897687">
              <w:marLeft w:val="0"/>
              <w:marRight w:val="0"/>
              <w:marTop w:val="0"/>
              <w:marBottom w:val="0"/>
              <w:divBdr>
                <w:top w:val="none" w:sz="0" w:space="0" w:color="auto"/>
                <w:left w:val="none" w:sz="0" w:space="0" w:color="auto"/>
                <w:bottom w:val="none" w:sz="0" w:space="0" w:color="auto"/>
                <w:right w:val="none" w:sz="0" w:space="0" w:color="auto"/>
              </w:divBdr>
              <w:divsChild>
                <w:div w:id="879824818">
                  <w:marLeft w:val="0"/>
                  <w:marRight w:val="0"/>
                  <w:marTop w:val="0"/>
                  <w:marBottom w:val="0"/>
                  <w:divBdr>
                    <w:top w:val="none" w:sz="0" w:space="0" w:color="auto"/>
                    <w:left w:val="none" w:sz="0" w:space="0" w:color="auto"/>
                    <w:bottom w:val="none" w:sz="0" w:space="0" w:color="auto"/>
                    <w:right w:val="none" w:sz="0" w:space="0" w:color="auto"/>
                  </w:divBdr>
                  <w:divsChild>
                    <w:div w:id="381095377">
                      <w:marLeft w:val="0"/>
                      <w:marRight w:val="0"/>
                      <w:marTop w:val="0"/>
                      <w:marBottom w:val="0"/>
                      <w:divBdr>
                        <w:top w:val="none" w:sz="0" w:space="0" w:color="auto"/>
                        <w:left w:val="none" w:sz="0" w:space="0" w:color="auto"/>
                        <w:bottom w:val="none" w:sz="0" w:space="0" w:color="auto"/>
                        <w:right w:val="none" w:sz="0" w:space="0" w:color="auto"/>
                      </w:divBdr>
                      <w:divsChild>
                        <w:div w:id="1406489900">
                          <w:marLeft w:val="0"/>
                          <w:marRight w:val="0"/>
                          <w:marTop w:val="0"/>
                          <w:marBottom w:val="0"/>
                          <w:divBdr>
                            <w:top w:val="none" w:sz="0" w:space="0" w:color="auto"/>
                            <w:left w:val="none" w:sz="0" w:space="0" w:color="auto"/>
                            <w:bottom w:val="none" w:sz="0" w:space="0" w:color="auto"/>
                            <w:right w:val="none" w:sz="0" w:space="0" w:color="auto"/>
                          </w:divBdr>
                        </w:div>
                      </w:divsChild>
                    </w:div>
                    <w:div w:id="1692225694">
                      <w:marLeft w:val="0"/>
                      <w:marRight w:val="0"/>
                      <w:marTop w:val="0"/>
                      <w:marBottom w:val="0"/>
                      <w:divBdr>
                        <w:top w:val="none" w:sz="0" w:space="0" w:color="auto"/>
                        <w:left w:val="none" w:sz="0" w:space="0" w:color="auto"/>
                        <w:bottom w:val="none" w:sz="0" w:space="0" w:color="auto"/>
                        <w:right w:val="none" w:sz="0" w:space="0" w:color="auto"/>
                      </w:divBdr>
                      <w:divsChild>
                        <w:div w:id="529224155">
                          <w:marLeft w:val="0"/>
                          <w:marRight w:val="0"/>
                          <w:marTop w:val="0"/>
                          <w:marBottom w:val="0"/>
                          <w:divBdr>
                            <w:top w:val="none" w:sz="0" w:space="0" w:color="auto"/>
                            <w:left w:val="none" w:sz="0" w:space="0" w:color="auto"/>
                            <w:bottom w:val="none" w:sz="0" w:space="0" w:color="auto"/>
                            <w:right w:val="none" w:sz="0" w:space="0" w:color="auto"/>
                          </w:divBdr>
                        </w:div>
                      </w:divsChild>
                    </w:div>
                    <w:div w:id="1708261902">
                      <w:marLeft w:val="0"/>
                      <w:marRight w:val="0"/>
                      <w:marTop w:val="0"/>
                      <w:marBottom w:val="0"/>
                      <w:divBdr>
                        <w:top w:val="none" w:sz="0" w:space="0" w:color="auto"/>
                        <w:left w:val="none" w:sz="0" w:space="0" w:color="auto"/>
                        <w:bottom w:val="none" w:sz="0" w:space="0" w:color="auto"/>
                        <w:right w:val="none" w:sz="0" w:space="0" w:color="auto"/>
                      </w:divBdr>
                      <w:divsChild>
                        <w:div w:id="1560048994">
                          <w:marLeft w:val="0"/>
                          <w:marRight w:val="0"/>
                          <w:marTop w:val="0"/>
                          <w:marBottom w:val="0"/>
                          <w:divBdr>
                            <w:top w:val="none" w:sz="0" w:space="0" w:color="auto"/>
                            <w:left w:val="none" w:sz="0" w:space="0" w:color="auto"/>
                            <w:bottom w:val="none" w:sz="0" w:space="0" w:color="auto"/>
                            <w:right w:val="none" w:sz="0" w:space="0" w:color="auto"/>
                          </w:divBdr>
                        </w:div>
                      </w:divsChild>
                    </w:div>
                    <w:div w:id="11540161">
                      <w:marLeft w:val="0"/>
                      <w:marRight w:val="0"/>
                      <w:marTop w:val="0"/>
                      <w:marBottom w:val="0"/>
                      <w:divBdr>
                        <w:top w:val="none" w:sz="0" w:space="0" w:color="auto"/>
                        <w:left w:val="none" w:sz="0" w:space="0" w:color="auto"/>
                        <w:bottom w:val="none" w:sz="0" w:space="0" w:color="auto"/>
                        <w:right w:val="none" w:sz="0" w:space="0" w:color="auto"/>
                      </w:divBdr>
                      <w:divsChild>
                        <w:div w:id="1216236889">
                          <w:marLeft w:val="0"/>
                          <w:marRight w:val="0"/>
                          <w:marTop w:val="0"/>
                          <w:marBottom w:val="0"/>
                          <w:divBdr>
                            <w:top w:val="none" w:sz="0" w:space="0" w:color="auto"/>
                            <w:left w:val="none" w:sz="0" w:space="0" w:color="auto"/>
                            <w:bottom w:val="none" w:sz="0" w:space="0" w:color="auto"/>
                            <w:right w:val="none" w:sz="0" w:space="0" w:color="auto"/>
                          </w:divBdr>
                        </w:div>
                      </w:divsChild>
                    </w:div>
                    <w:div w:id="1713842414">
                      <w:marLeft w:val="0"/>
                      <w:marRight w:val="0"/>
                      <w:marTop w:val="0"/>
                      <w:marBottom w:val="0"/>
                      <w:divBdr>
                        <w:top w:val="none" w:sz="0" w:space="0" w:color="auto"/>
                        <w:left w:val="none" w:sz="0" w:space="0" w:color="auto"/>
                        <w:bottom w:val="none" w:sz="0" w:space="0" w:color="auto"/>
                        <w:right w:val="none" w:sz="0" w:space="0" w:color="auto"/>
                      </w:divBdr>
                      <w:divsChild>
                        <w:div w:id="20284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www.aer.gov.au/australian-energy-industry/performance-of-the-energy-sector"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www.aer.gov.au/wholesale-markets/market-performance?f%5b0%5d=field_accc_aer_report_type%3A31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asxenergy.com.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aer.gov.au/wholesale-markets/market-performance?f%5b0%5d=field_accc_aer_report_type%3A31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hyperlink" Target="https://asxenergy.com.au/"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47092F3E</Template>
  <TotalTime>0</TotalTime>
  <Pages>10</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2015-10-06T05:28:00Z</dcterms:created>
  <dcterms:modified xsi:type="dcterms:W3CDTF">2015-10-14T06:32:00Z</dcterms:modified>
</cp:coreProperties>
</file>