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2A4EF8"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2A4EF8">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517593DB" wp14:editId="26B61CF7">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2A4EF8">
        <w:rPr>
          <w:rFonts w:asciiTheme="minorHAnsi" w:hAnsiTheme="minorHAnsi" w:cstheme="minorHAnsi"/>
          <w:b/>
          <w:color w:val="FFFFFF" w:themeColor="background1"/>
          <w:sz w:val="36"/>
          <w:szCs w:val="36"/>
        </w:rPr>
        <w:t>Electricity Report</w:t>
      </w:r>
    </w:p>
    <w:p w:rsidR="002A4EF8" w:rsidRDefault="002A4EF8" w:rsidP="002A4EF8"/>
    <w:p w:rsidR="002A4EF8" w:rsidRDefault="002A4EF8" w:rsidP="002A4EF8"/>
    <w:p w:rsidR="002A4EF8" w:rsidRPr="002A4EF8" w:rsidRDefault="002A4EF8" w:rsidP="002A4EF8">
      <w:pPr>
        <w:rPr>
          <w:b/>
          <w:sz w:val="36"/>
          <w:szCs w:val="36"/>
        </w:rPr>
      </w:pPr>
      <w:r w:rsidRPr="002A4EF8">
        <w:rPr>
          <w:b/>
          <w:sz w:val="36"/>
          <w:szCs w:val="36"/>
        </w:rPr>
        <w:t xml:space="preserve">13 – 19 </w:t>
      </w:r>
      <w:r>
        <w:rPr>
          <w:b/>
          <w:sz w:val="36"/>
          <w:szCs w:val="36"/>
        </w:rPr>
        <w:t>Sept</w:t>
      </w:r>
      <w:r w:rsidRPr="002A4EF8">
        <w:rPr>
          <w:b/>
          <w:sz w:val="36"/>
          <w:szCs w:val="36"/>
        </w:rPr>
        <w:t>ember 2015</w:t>
      </w:r>
    </w:p>
    <w:p w:rsidR="00275002" w:rsidRPr="000E2946" w:rsidRDefault="00275002" w:rsidP="000E2946">
      <w:pPr>
        <w:pStyle w:val="AERHeading1"/>
      </w:pPr>
      <w:r w:rsidRPr="000E2946">
        <w:t>Introduction</w:t>
      </w:r>
    </w:p>
    <w:p w:rsidR="00275002" w:rsidRPr="00215E19" w:rsidRDefault="00275002" w:rsidP="00215E19">
      <w:pPr>
        <w:pStyle w:val="AERbodytext"/>
        <w:spacing w:before="120" w:after="120"/>
        <w:rPr>
          <w:bCs/>
          <w:lang w:eastAsia="en-AU"/>
        </w:rPr>
      </w:pPr>
      <w:r w:rsidRPr="00215E19">
        <w:rPr>
          <w:bCs/>
          <w:lang w:eastAsia="en-AU"/>
        </w:rPr>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215E19" w:rsidRDefault="001D0CE3"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_Ref410382491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1</w:t>
      </w:r>
      <w:r w:rsidRPr="00215E19">
        <w:rPr>
          <w:bCs/>
          <w:lang w:eastAsia="en-AU"/>
        </w:rPr>
        <w:fldChar w:fldCharType="end"/>
      </w:r>
      <w:r w:rsidRPr="00215E19">
        <w:rPr>
          <w:bCs/>
          <w:lang w:eastAsia="en-AU"/>
        </w:rPr>
        <w:t xml:space="preserve"> </w:t>
      </w:r>
      <w:r w:rsidR="00AF7058" w:rsidRPr="00215E19">
        <w:rPr>
          <w:bCs/>
          <w:lang w:eastAsia="en-AU"/>
        </w:rPr>
        <w:t xml:space="preserve">shows the spot prices that occurred in each region during the week </w:t>
      </w:r>
      <w:r w:rsidR="00DB7FD1" w:rsidRPr="00215E19">
        <w:rPr>
          <w:bCs/>
          <w:lang w:eastAsia="en-AU"/>
        </w:rPr>
        <w:t>13 to 1</w:t>
      </w:r>
      <w:r w:rsidR="007D53A8" w:rsidRPr="00215E19">
        <w:rPr>
          <w:bCs/>
          <w:lang w:eastAsia="en-AU"/>
        </w:rPr>
        <w:t>9</w:t>
      </w:r>
      <w:r w:rsidR="00EC67D4" w:rsidRPr="00215E19">
        <w:rPr>
          <w:bCs/>
          <w:lang w:eastAsia="en-AU"/>
        </w:rPr>
        <w:t xml:space="preserve"> </w:t>
      </w:r>
      <w:r w:rsidR="00DB7FD1" w:rsidRPr="00215E19">
        <w:rPr>
          <w:bCs/>
          <w:lang w:eastAsia="en-AU"/>
        </w:rPr>
        <w:t>September</w:t>
      </w:r>
      <w:r w:rsidR="00760FD8" w:rsidRPr="00215E19">
        <w:rPr>
          <w:bCs/>
          <w:lang w:eastAsia="en-AU"/>
        </w:rPr>
        <w:t xml:space="preserve"> </w:t>
      </w:r>
      <w:r w:rsidR="00AF7058" w:rsidRPr="00215E19">
        <w:rPr>
          <w:bCs/>
          <w:lang w:eastAsia="en-AU"/>
        </w:rPr>
        <w:t xml:space="preserve">2015. </w:t>
      </w:r>
      <w:r w:rsidR="00B4128D" w:rsidRPr="00215E19">
        <w:rPr>
          <w:bCs/>
          <w:lang w:eastAsia="en-AU"/>
        </w:rPr>
        <w:t>T</w:t>
      </w:r>
      <w:r w:rsidR="003061FA" w:rsidRPr="00215E19">
        <w:rPr>
          <w:bCs/>
          <w:lang w:eastAsia="en-AU"/>
        </w:rPr>
        <w:t>here w</w:t>
      </w:r>
      <w:r w:rsidR="00D11721" w:rsidRPr="00215E19">
        <w:rPr>
          <w:bCs/>
          <w:lang w:eastAsia="en-AU"/>
        </w:rPr>
        <w:t>as one</w:t>
      </w:r>
      <w:r w:rsidR="007D53A8" w:rsidRPr="00215E19">
        <w:rPr>
          <w:bCs/>
          <w:lang w:eastAsia="en-AU"/>
        </w:rPr>
        <w:t xml:space="preserve"> occasion</w:t>
      </w:r>
      <w:r w:rsidR="00627B2D" w:rsidRPr="00215E19">
        <w:rPr>
          <w:bCs/>
          <w:lang w:eastAsia="en-AU"/>
        </w:rPr>
        <w:t xml:space="preserve"> in South</w:t>
      </w:r>
      <w:bookmarkStart w:id="6" w:name="_GoBack"/>
      <w:bookmarkEnd w:id="6"/>
      <w:r w:rsidR="00627B2D" w:rsidRPr="00215E19">
        <w:rPr>
          <w:bCs/>
          <w:lang w:eastAsia="en-AU"/>
        </w:rPr>
        <w:t xml:space="preserve"> Australia where the </w:t>
      </w:r>
      <w:r w:rsidR="00100142" w:rsidRPr="00215E19">
        <w:rPr>
          <w:bCs/>
          <w:lang w:eastAsia="en-AU"/>
        </w:rPr>
        <w:t>spot price exceeded the AER reporting threshold</w:t>
      </w:r>
      <w:r w:rsidR="00764C7F" w:rsidRPr="00215E19">
        <w:rPr>
          <w:bCs/>
          <w:lang w:eastAsia="en-AU"/>
        </w:rPr>
        <w:t xml:space="preserve"> in South Australia.</w:t>
      </w:r>
      <w:r w:rsidR="00D11721" w:rsidRPr="00215E19">
        <w:rPr>
          <w:bCs/>
          <w:lang w:eastAsia="en-AU"/>
        </w:rPr>
        <w:t xml:space="preserve"> This is</w:t>
      </w:r>
      <w:r w:rsidR="007D53A8" w:rsidRPr="00215E19">
        <w:rPr>
          <w:bCs/>
          <w:lang w:eastAsia="en-AU"/>
        </w:rPr>
        <w:t xml:space="preserve"> </w:t>
      </w:r>
      <w:r w:rsidR="00086CF3" w:rsidRPr="00215E19">
        <w:rPr>
          <w:bCs/>
          <w:lang w:eastAsia="en-AU"/>
        </w:rPr>
        <w:t>discussed later in this report.</w:t>
      </w:r>
      <w:r w:rsidR="00003169" w:rsidRPr="00215E19">
        <w:rPr>
          <w:bCs/>
          <w:lang w:eastAsia="en-AU"/>
        </w:rPr>
        <w:t xml:space="preserve"> </w:t>
      </w:r>
    </w:p>
    <w:p w:rsidR="00BF4639" w:rsidRDefault="00275002" w:rsidP="00405B42">
      <w:pPr>
        <w:pStyle w:val="Caption"/>
      </w:pPr>
      <w:bookmarkStart w:id="7" w:name="_Ref410382491"/>
      <w:bookmarkStart w:id="8" w:name="OLE_LINK28"/>
      <w:bookmarkStart w:id="9" w:name="OLE_LINK29"/>
      <w:r w:rsidRPr="000E2946">
        <w:t xml:space="preserve">Figure </w:t>
      </w:r>
      <w:r w:rsidR="006411E6">
        <w:fldChar w:fldCharType="begin"/>
      </w:r>
      <w:r w:rsidR="006411E6">
        <w:instrText xml:space="preserve"> SEQ Figure \* ARABIC </w:instrText>
      </w:r>
      <w:r w:rsidR="006411E6">
        <w:fldChar w:fldCharType="separate"/>
      </w:r>
      <w:r w:rsidR="00230D26">
        <w:rPr>
          <w:noProof/>
        </w:rPr>
        <w:t>1</w:t>
      </w:r>
      <w:r w:rsidR="006411E6">
        <w:rPr>
          <w:noProof/>
        </w:rPr>
        <w:fldChar w:fldCharType="end"/>
      </w:r>
      <w:bookmarkEnd w:id="7"/>
      <w:r w:rsidRPr="000E2946">
        <w:t>: Spot price by region ($/MWh)</w:t>
      </w:r>
    </w:p>
    <w:p w:rsidR="00275002" w:rsidRPr="00215E19" w:rsidRDefault="00D11721" w:rsidP="00215E19">
      <w:pPr>
        <w:pStyle w:val="Caption"/>
        <w:rPr>
          <w:bCs w:val="0"/>
          <w:lang w:eastAsia="en-AU"/>
        </w:rPr>
      </w:pPr>
      <w:r>
        <w:rPr>
          <w:noProof/>
          <w:lang w:eastAsia="en-AU"/>
        </w:rPr>
        <mc:AlternateContent>
          <mc:Choice Requires="wps">
            <w:drawing>
              <wp:anchor distT="0" distB="0" distL="114300" distR="114300" simplePos="0" relativeHeight="251663360" behindDoc="0" locked="0" layoutInCell="1" allowOverlap="1" wp14:anchorId="250B6588" wp14:editId="4142E008">
                <wp:simplePos x="0" y="0"/>
                <wp:positionH relativeFrom="column">
                  <wp:posOffset>522605</wp:posOffset>
                </wp:positionH>
                <wp:positionV relativeFrom="paragraph">
                  <wp:posOffset>995991</wp:posOffset>
                </wp:positionV>
                <wp:extent cx="111760" cy="120015"/>
                <wp:effectExtent l="0" t="0" r="21590" b="32385"/>
                <wp:wrapNone/>
                <wp:docPr id="5" name="Straight Connector 5"/>
                <wp:cNvGraphicFramePr/>
                <a:graphic xmlns:a="http://schemas.openxmlformats.org/drawingml/2006/main">
                  <a:graphicData uri="http://schemas.microsoft.com/office/word/2010/wordprocessingShape">
                    <wps:wsp>
                      <wps:cNvCnPr/>
                      <wps:spPr>
                        <a:xfrm flipV="1">
                          <a:off x="0" y="0"/>
                          <a:ext cx="111760" cy="120015"/>
                        </a:xfrm>
                        <a:prstGeom prst="line">
                          <a:avLst/>
                        </a:prstGeom>
                        <a:noFill/>
                        <a:ln w="9525" cap="flat" cmpd="sng" algn="ctr">
                          <a:solidFill>
                            <a:srgbClr val="51626F">
                              <a:shade val="48000"/>
                              <a:satMod val="11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78.4pt" to="49.9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" strokecolor="#37454f"/>
            </w:pict>
          </mc:Fallback>
        </mc:AlternateContent>
      </w:r>
      <w:r>
        <w:rPr>
          <w:noProof/>
          <w:lang w:eastAsia="en-AU"/>
        </w:rPr>
        <mc:AlternateContent>
          <mc:Choice Requires="wps">
            <w:drawing>
              <wp:anchor distT="0" distB="0" distL="114300" distR="114300" simplePos="0" relativeHeight="251661312" behindDoc="0" locked="0" layoutInCell="1" allowOverlap="1" wp14:anchorId="3D9973A4" wp14:editId="42F62129">
                <wp:simplePos x="0" y="0"/>
                <wp:positionH relativeFrom="column">
                  <wp:posOffset>525876</wp:posOffset>
                </wp:positionH>
                <wp:positionV relativeFrom="paragraph">
                  <wp:posOffset>1171095</wp:posOffset>
                </wp:positionV>
                <wp:extent cx="111760" cy="120015"/>
                <wp:effectExtent l="0" t="0" r="21590" b="32385"/>
                <wp:wrapNone/>
                <wp:docPr id="12" name="Straight Connector 12"/>
                <wp:cNvGraphicFramePr/>
                <a:graphic xmlns:a="http://schemas.openxmlformats.org/drawingml/2006/main">
                  <a:graphicData uri="http://schemas.microsoft.com/office/word/2010/wordprocessingShape">
                    <wps:wsp>
                      <wps:cNvCnPr/>
                      <wps:spPr>
                        <a:xfrm flipV="1">
                          <a:off x="0" y="0"/>
                          <a:ext cx="111760" cy="120015"/>
                        </a:xfrm>
                        <a:prstGeom prst="line">
                          <a:avLst/>
                        </a:prstGeom>
                        <a:noFill/>
                        <a:ln w="9525" cap="flat" cmpd="sng" algn="ctr">
                          <a:solidFill>
                            <a:srgbClr val="51626F">
                              <a:shade val="48000"/>
                              <a:satMod val="11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92.2pt" to="50.2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" strokecolor="#37454f"/>
            </w:pict>
          </mc:Fallback>
        </mc:AlternateContent>
      </w:r>
      <w:r w:rsidRPr="00D11721">
        <w:rPr>
          <w:noProof/>
          <w:lang w:eastAsia="en-AU"/>
        </w:rPr>
        <w:drawing>
          <wp:inline distT="0" distB="0" distL="0" distR="0" wp14:anchorId="7762FFC7" wp14:editId="2BFB65FD">
            <wp:extent cx="5730657" cy="3528204"/>
            <wp:effectExtent l="0" t="0" r="3810" b="0"/>
            <wp:docPr id="4" name="Picture 4" descr="Figure 1 shows the spot prices for this week in each region. The markers indicate the daily maximum and minimum spot prices in each region." title="Figure 1: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657" cy="3528204"/>
                    </a:xfrm>
                    <a:prstGeom prst="rect">
                      <a:avLst/>
                    </a:prstGeom>
                    <a:noFill/>
                    <a:ln>
                      <a:noFill/>
                    </a:ln>
                  </pic:spPr>
                </pic:pic>
              </a:graphicData>
            </a:graphic>
          </wp:inline>
        </w:drawing>
      </w:r>
    </w:p>
    <w:p w:rsidR="00215E19" w:rsidRDefault="00215E19">
      <w:pPr>
        <w:spacing w:line="240" w:lineRule="auto"/>
      </w:pPr>
      <w:r>
        <w:br w:type="page"/>
      </w:r>
    </w:p>
    <w:p w:rsidR="00275002" w:rsidRPr="00215E19" w:rsidRDefault="00275002" w:rsidP="00215E19">
      <w:pPr>
        <w:pStyle w:val="AERbodytext"/>
        <w:spacing w:before="120" w:after="120"/>
        <w:rPr>
          <w:bCs/>
          <w:lang w:eastAsia="en-AU"/>
        </w:rPr>
      </w:pPr>
      <w:r w:rsidRPr="00215E19">
        <w:rPr>
          <w:bCs/>
          <w:lang w:eastAsia="en-AU"/>
        </w:rPr>
        <w:lastRenderedPageBreak/>
        <w:fldChar w:fldCharType="begin"/>
      </w:r>
      <w:r w:rsidRPr="00215E19">
        <w:rPr>
          <w:bCs/>
          <w:lang w:eastAsia="en-AU"/>
        </w:rPr>
        <w:instrText xml:space="preserve"> REF _Ref410382517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2</w:t>
      </w:r>
      <w:r w:rsidRPr="00215E19">
        <w:rPr>
          <w:bCs/>
          <w:lang w:eastAsia="en-AU"/>
        </w:rPr>
        <w:fldChar w:fldCharType="end"/>
      </w:r>
      <w:r w:rsidRPr="00215E19">
        <w:rPr>
          <w:bCs/>
          <w:lang w:eastAsia="en-AU"/>
        </w:rPr>
        <w:t xml:space="preserve"> shows the volume weighted average (VWA) prices for the current week (with prices shown in </w:t>
      </w:r>
      <w:r w:rsidRPr="00215E19">
        <w:rPr>
          <w:bCs/>
          <w:lang w:eastAsia="en-AU"/>
        </w:rPr>
        <w:fldChar w:fldCharType="begin"/>
      </w:r>
      <w:r w:rsidRPr="00215E19">
        <w:rPr>
          <w:bCs/>
          <w:lang w:eastAsia="en-AU"/>
        </w:rPr>
        <w:instrText xml:space="preserve"> REF _Ref410382587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Table 1</w:t>
      </w:r>
      <w:r w:rsidRPr="00215E19">
        <w:rPr>
          <w:bCs/>
          <w:lang w:eastAsia="en-AU"/>
        </w:rPr>
        <w:fldChar w:fldCharType="end"/>
      </w:r>
      <w:r w:rsidRPr="00215E19">
        <w:rPr>
          <w:bCs/>
          <w:lang w:eastAsia="en-AU"/>
        </w:rPr>
        <w:t>) and the preceding 12 weeks, as well as the VWA price over the previous 3 financial years</w:t>
      </w:r>
      <w:r w:rsidR="00762D41" w:rsidRPr="00215E19">
        <w:rPr>
          <w:bCs/>
          <w:lang w:eastAsia="en-AU"/>
        </w:rPr>
        <w:t>.</w:t>
      </w:r>
    </w:p>
    <w:p w:rsidR="00275002" w:rsidRDefault="00275002" w:rsidP="000E2946">
      <w:pPr>
        <w:pStyle w:val="Caption"/>
      </w:pPr>
      <w:bookmarkStart w:id="10" w:name="_Ref410382517"/>
      <w:r>
        <w:t xml:space="preserve">Figure </w:t>
      </w:r>
      <w:r w:rsidR="006411E6">
        <w:fldChar w:fldCharType="begin"/>
      </w:r>
      <w:r w:rsidR="006411E6">
        <w:instrText xml:space="preserve"> SEQ Figure \* ARABIC </w:instrText>
      </w:r>
      <w:r w:rsidR="006411E6">
        <w:fldChar w:fldCharType="separate"/>
      </w:r>
      <w:r w:rsidR="00230D26">
        <w:rPr>
          <w:noProof/>
        </w:rPr>
        <w:t>2</w:t>
      </w:r>
      <w:r w:rsidR="006411E6">
        <w:rPr>
          <w:noProof/>
        </w:rPr>
        <w:fldChar w:fldCharType="end"/>
      </w:r>
      <w:bookmarkEnd w:id="10"/>
      <w:r>
        <w:t>:</w:t>
      </w:r>
      <w:r w:rsidRPr="00037176">
        <w:t xml:space="preserve"> Volume weighted average spot price by region ($/MWh)</w:t>
      </w:r>
    </w:p>
    <w:p w:rsidR="00275002" w:rsidRPr="0031019A" w:rsidRDefault="00D11721" w:rsidP="00275002">
      <w:r w:rsidRPr="00D11721">
        <w:rPr>
          <w:noProof/>
          <w:lang w:eastAsia="en-AU"/>
        </w:rPr>
        <w:drawing>
          <wp:inline distT="0" distB="0" distL="0" distR="0" wp14:anchorId="66845594" wp14:editId="7DD3F138">
            <wp:extent cx="5731510" cy="2859551"/>
            <wp:effectExtent l="0" t="0" r="2540" b="0"/>
            <wp:docPr id="6" name="Picture 6" descr="Figure 2 shows the volume weighted average (VWA) prices for this week (with prices shown in Table 1) and the preceding 12 weeks, as well as the VWA price over the previous 3 financial years."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551"/>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r w:rsidR="006411E6">
        <w:fldChar w:fldCharType="begin"/>
      </w:r>
      <w:r w:rsidR="006411E6">
        <w:instrText xml:space="preserve"> SEQ Table \* ARABIC </w:instrText>
      </w:r>
      <w:r w:rsidR="006411E6">
        <w:fldChar w:fldCharType="separate"/>
      </w:r>
      <w:r w:rsidR="00230D26">
        <w:rPr>
          <w:noProof/>
        </w:rPr>
        <w:t>1</w:t>
      </w:r>
      <w:r w:rsidR="006411E6">
        <w:rPr>
          <w:noProof/>
        </w:rPr>
        <w:fldChar w:fldCharType="end"/>
      </w:r>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r w:rsidRPr="00B92CD5">
              <w:rPr>
                <w:sz w:val="20"/>
              </w:rPr>
              <w:t>Tas</w:t>
            </w:r>
          </w:p>
        </w:tc>
      </w:tr>
      <w:tr w:rsidR="00EE46CE" w:rsidRPr="00E35AE8" w:rsidTr="00EE46CE">
        <w:trPr>
          <w:trHeight w:hRule="exact" w:val="340"/>
        </w:trPr>
        <w:tc>
          <w:tcPr>
            <w:tcW w:w="1357" w:type="pct"/>
            <w:noWrap/>
            <w:vAlign w:val="center"/>
            <w:hideMark/>
          </w:tcPr>
          <w:p w:rsidR="00EE46CE" w:rsidRPr="009B21F2" w:rsidRDefault="00EE46CE"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EE46CE" w:rsidRDefault="00EE46CE" w:rsidP="00EE46CE">
            <w:pPr>
              <w:spacing w:before="100" w:beforeAutospacing="1" w:after="100" w:afterAutospacing="1" w:line="240" w:lineRule="auto"/>
              <w:jc w:val="center"/>
              <w:rPr>
                <w:rFonts w:cs="Arial"/>
                <w:sz w:val="20"/>
                <w:szCs w:val="20"/>
              </w:rPr>
            </w:pPr>
            <w:r>
              <w:rPr>
                <w:rFonts w:cs="Arial"/>
                <w:sz w:val="20"/>
                <w:szCs w:val="20"/>
              </w:rPr>
              <w:t>4</w:t>
            </w:r>
            <w:r w:rsidR="00242C25">
              <w:rPr>
                <w:rFonts w:cs="Arial"/>
                <w:sz w:val="20"/>
                <w:szCs w:val="20"/>
              </w:rPr>
              <w:t>1</w:t>
            </w:r>
          </w:p>
        </w:tc>
        <w:tc>
          <w:tcPr>
            <w:tcW w:w="729" w:type="pct"/>
            <w:noWrap/>
            <w:vAlign w:val="center"/>
          </w:tcPr>
          <w:p w:rsidR="00EE46CE" w:rsidRDefault="00EE46CE" w:rsidP="00EE46CE">
            <w:pPr>
              <w:spacing w:before="100" w:beforeAutospacing="1" w:after="100" w:afterAutospacing="1" w:line="240" w:lineRule="auto"/>
              <w:jc w:val="center"/>
              <w:rPr>
                <w:rFonts w:cs="Arial"/>
                <w:sz w:val="20"/>
                <w:szCs w:val="20"/>
              </w:rPr>
            </w:pPr>
            <w:r>
              <w:rPr>
                <w:rFonts w:cs="Arial"/>
                <w:sz w:val="20"/>
                <w:szCs w:val="20"/>
              </w:rPr>
              <w:t>41</w:t>
            </w:r>
          </w:p>
        </w:tc>
        <w:tc>
          <w:tcPr>
            <w:tcW w:w="728" w:type="pct"/>
            <w:noWrap/>
            <w:vAlign w:val="center"/>
          </w:tcPr>
          <w:p w:rsidR="00EE46CE" w:rsidRDefault="00242C25" w:rsidP="00EE46CE">
            <w:pPr>
              <w:spacing w:before="100" w:beforeAutospacing="1" w:after="100" w:afterAutospacing="1" w:line="240" w:lineRule="auto"/>
              <w:jc w:val="center"/>
              <w:rPr>
                <w:rFonts w:cs="Arial"/>
                <w:sz w:val="20"/>
                <w:szCs w:val="20"/>
              </w:rPr>
            </w:pPr>
            <w:r>
              <w:rPr>
                <w:rFonts w:cs="Arial"/>
                <w:sz w:val="20"/>
                <w:szCs w:val="20"/>
              </w:rPr>
              <w:t>38</w:t>
            </w:r>
          </w:p>
        </w:tc>
        <w:tc>
          <w:tcPr>
            <w:tcW w:w="729" w:type="pct"/>
            <w:noWrap/>
            <w:vAlign w:val="center"/>
          </w:tcPr>
          <w:p w:rsidR="00EE46CE" w:rsidRDefault="00242C25" w:rsidP="00EE46CE">
            <w:pPr>
              <w:spacing w:before="100" w:beforeAutospacing="1" w:after="100" w:afterAutospacing="1" w:line="240" w:lineRule="auto"/>
              <w:jc w:val="center"/>
              <w:rPr>
                <w:rFonts w:cs="Arial"/>
                <w:sz w:val="20"/>
                <w:szCs w:val="20"/>
              </w:rPr>
            </w:pPr>
            <w:r>
              <w:rPr>
                <w:rFonts w:cs="Arial"/>
                <w:sz w:val="20"/>
                <w:szCs w:val="20"/>
              </w:rPr>
              <w:t>53</w:t>
            </w:r>
          </w:p>
        </w:tc>
        <w:tc>
          <w:tcPr>
            <w:tcW w:w="729" w:type="pct"/>
            <w:noWrap/>
            <w:vAlign w:val="center"/>
          </w:tcPr>
          <w:p w:rsidR="00EE46CE" w:rsidRDefault="00EE46CE" w:rsidP="00EE46CE">
            <w:pPr>
              <w:spacing w:before="100" w:beforeAutospacing="1" w:after="100" w:afterAutospacing="1" w:line="240" w:lineRule="auto"/>
              <w:jc w:val="center"/>
              <w:rPr>
                <w:rFonts w:cs="Arial"/>
                <w:sz w:val="20"/>
                <w:szCs w:val="20"/>
              </w:rPr>
            </w:pPr>
            <w:r>
              <w:rPr>
                <w:rFonts w:cs="Arial"/>
                <w:sz w:val="20"/>
                <w:szCs w:val="20"/>
              </w:rPr>
              <w:t>4</w:t>
            </w:r>
            <w:r w:rsidR="00242C25">
              <w:rPr>
                <w:rFonts w:cs="Arial"/>
                <w:sz w:val="20"/>
                <w:szCs w:val="20"/>
              </w:rPr>
              <w:t>2</w:t>
            </w:r>
          </w:p>
        </w:tc>
      </w:tr>
      <w:tr w:rsidR="00EE46CE" w:rsidRPr="00E35AE8" w:rsidTr="00EE46CE">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EE46CE" w:rsidRPr="00B65CAC" w:rsidRDefault="00EE46CE"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EE46CE" w:rsidRDefault="00EE46CE" w:rsidP="00EE46CE">
            <w:pPr>
              <w:spacing w:before="100" w:beforeAutospacing="1" w:after="100" w:afterAutospacing="1" w:line="240" w:lineRule="auto"/>
              <w:jc w:val="center"/>
              <w:rPr>
                <w:rFonts w:cs="Arial"/>
                <w:szCs w:val="20"/>
              </w:rPr>
            </w:pPr>
            <w:r>
              <w:rPr>
                <w:rFonts w:cs="Arial"/>
                <w:szCs w:val="20"/>
              </w:rPr>
              <w:t>3</w:t>
            </w:r>
            <w:r w:rsidR="00242C25">
              <w:rPr>
                <w:rFonts w:cs="Arial"/>
                <w:szCs w:val="20"/>
              </w:rPr>
              <w:t>3</w:t>
            </w:r>
          </w:p>
        </w:tc>
        <w:tc>
          <w:tcPr>
            <w:tcW w:w="729" w:type="pct"/>
            <w:noWrap/>
            <w:vAlign w:val="center"/>
          </w:tcPr>
          <w:p w:rsidR="00EE46CE" w:rsidRDefault="00EE46CE" w:rsidP="00EE46CE">
            <w:pPr>
              <w:spacing w:before="100" w:beforeAutospacing="1" w:after="100" w:afterAutospacing="1" w:line="240" w:lineRule="auto"/>
              <w:jc w:val="center"/>
              <w:rPr>
                <w:rFonts w:cs="Arial"/>
                <w:szCs w:val="20"/>
              </w:rPr>
            </w:pPr>
            <w:r>
              <w:rPr>
                <w:rFonts w:cs="Arial"/>
                <w:szCs w:val="20"/>
              </w:rPr>
              <w:t>41</w:t>
            </w:r>
          </w:p>
        </w:tc>
        <w:tc>
          <w:tcPr>
            <w:tcW w:w="728" w:type="pct"/>
            <w:noWrap/>
            <w:vAlign w:val="center"/>
          </w:tcPr>
          <w:p w:rsidR="00EE46CE" w:rsidRDefault="00EE46CE" w:rsidP="00EE46CE">
            <w:pPr>
              <w:spacing w:before="100" w:beforeAutospacing="1" w:after="100" w:afterAutospacing="1" w:line="240" w:lineRule="auto"/>
              <w:jc w:val="center"/>
              <w:rPr>
                <w:rFonts w:cs="Arial"/>
                <w:szCs w:val="20"/>
              </w:rPr>
            </w:pPr>
            <w:r>
              <w:rPr>
                <w:rFonts w:cs="Arial"/>
                <w:szCs w:val="20"/>
              </w:rPr>
              <w:t>3</w:t>
            </w:r>
            <w:r w:rsidR="00242C25">
              <w:rPr>
                <w:rFonts w:cs="Arial"/>
                <w:szCs w:val="20"/>
              </w:rPr>
              <w:t>9</w:t>
            </w:r>
          </w:p>
        </w:tc>
        <w:tc>
          <w:tcPr>
            <w:tcW w:w="729" w:type="pct"/>
            <w:noWrap/>
            <w:vAlign w:val="center"/>
          </w:tcPr>
          <w:p w:rsidR="00EE46CE" w:rsidRDefault="00EE46CE" w:rsidP="00EE46CE">
            <w:pPr>
              <w:spacing w:before="100" w:beforeAutospacing="1" w:after="100" w:afterAutospacing="1" w:line="240" w:lineRule="auto"/>
              <w:jc w:val="center"/>
              <w:rPr>
                <w:rFonts w:cs="Arial"/>
                <w:szCs w:val="20"/>
              </w:rPr>
            </w:pPr>
            <w:r>
              <w:rPr>
                <w:rFonts w:cs="Arial"/>
                <w:szCs w:val="20"/>
              </w:rPr>
              <w:t>50</w:t>
            </w:r>
          </w:p>
        </w:tc>
        <w:tc>
          <w:tcPr>
            <w:tcW w:w="729" w:type="pct"/>
            <w:noWrap/>
            <w:vAlign w:val="center"/>
          </w:tcPr>
          <w:p w:rsidR="00EE46CE" w:rsidRDefault="00EE46CE" w:rsidP="00EE46CE">
            <w:pPr>
              <w:spacing w:before="100" w:beforeAutospacing="1" w:after="100" w:afterAutospacing="1" w:line="240" w:lineRule="auto"/>
              <w:jc w:val="center"/>
              <w:rPr>
                <w:rFonts w:cs="Arial"/>
                <w:szCs w:val="20"/>
              </w:rPr>
            </w:pPr>
            <w:r>
              <w:rPr>
                <w:rFonts w:cs="Arial"/>
                <w:szCs w:val="20"/>
              </w:rPr>
              <w:t>37</w:t>
            </w:r>
          </w:p>
        </w:tc>
      </w:tr>
      <w:tr w:rsidR="00EE46CE" w:rsidRPr="00E35AE8" w:rsidTr="00EE46CE">
        <w:trPr>
          <w:trHeight w:hRule="exact" w:val="340"/>
        </w:trPr>
        <w:tc>
          <w:tcPr>
            <w:tcW w:w="1357" w:type="pct"/>
            <w:noWrap/>
            <w:vAlign w:val="center"/>
            <w:hideMark/>
          </w:tcPr>
          <w:p w:rsidR="00EE46CE" w:rsidRPr="00B65CAC" w:rsidRDefault="00EE46CE"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EE46CE" w:rsidRDefault="00EE46CE" w:rsidP="00EE46CE">
            <w:pPr>
              <w:spacing w:before="100" w:beforeAutospacing="1" w:after="100" w:afterAutospacing="1" w:line="240" w:lineRule="auto"/>
              <w:jc w:val="center"/>
              <w:rPr>
                <w:rFonts w:cs="Arial"/>
                <w:sz w:val="20"/>
                <w:szCs w:val="20"/>
              </w:rPr>
            </w:pPr>
            <w:r>
              <w:rPr>
                <w:rFonts w:cs="Arial"/>
                <w:sz w:val="20"/>
                <w:szCs w:val="20"/>
              </w:rPr>
              <w:t>45</w:t>
            </w:r>
          </w:p>
        </w:tc>
        <w:tc>
          <w:tcPr>
            <w:tcW w:w="729" w:type="pct"/>
            <w:noWrap/>
            <w:vAlign w:val="center"/>
          </w:tcPr>
          <w:p w:rsidR="00EE46CE" w:rsidRDefault="00EE46CE" w:rsidP="00EE46CE">
            <w:pPr>
              <w:spacing w:before="100" w:beforeAutospacing="1" w:after="100" w:afterAutospacing="1" w:line="240" w:lineRule="auto"/>
              <w:jc w:val="center"/>
              <w:rPr>
                <w:rFonts w:cs="Arial"/>
                <w:sz w:val="20"/>
                <w:szCs w:val="20"/>
              </w:rPr>
            </w:pPr>
            <w:r>
              <w:rPr>
                <w:rFonts w:cs="Arial"/>
                <w:sz w:val="20"/>
                <w:szCs w:val="20"/>
              </w:rPr>
              <w:t>40</w:t>
            </w:r>
          </w:p>
        </w:tc>
        <w:tc>
          <w:tcPr>
            <w:tcW w:w="728" w:type="pct"/>
            <w:noWrap/>
            <w:vAlign w:val="center"/>
          </w:tcPr>
          <w:p w:rsidR="00EE46CE" w:rsidRDefault="00EE46CE" w:rsidP="00EE46CE">
            <w:pPr>
              <w:spacing w:before="100" w:beforeAutospacing="1" w:after="100" w:afterAutospacing="1" w:line="240" w:lineRule="auto"/>
              <w:jc w:val="center"/>
              <w:rPr>
                <w:rFonts w:cs="Arial"/>
                <w:sz w:val="20"/>
                <w:szCs w:val="20"/>
              </w:rPr>
            </w:pPr>
            <w:r>
              <w:rPr>
                <w:rFonts w:cs="Arial"/>
                <w:sz w:val="20"/>
                <w:szCs w:val="20"/>
              </w:rPr>
              <w:t>38</w:t>
            </w:r>
          </w:p>
        </w:tc>
        <w:tc>
          <w:tcPr>
            <w:tcW w:w="729" w:type="pct"/>
            <w:noWrap/>
            <w:vAlign w:val="center"/>
          </w:tcPr>
          <w:p w:rsidR="00EE46CE" w:rsidRDefault="00EE46CE" w:rsidP="00EE46CE">
            <w:pPr>
              <w:spacing w:before="100" w:beforeAutospacing="1" w:after="100" w:afterAutospacing="1" w:line="240" w:lineRule="auto"/>
              <w:jc w:val="center"/>
              <w:rPr>
                <w:rFonts w:cs="Arial"/>
                <w:sz w:val="20"/>
                <w:szCs w:val="20"/>
              </w:rPr>
            </w:pPr>
            <w:r>
              <w:rPr>
                <w:rFonts w:cs="Arial"/>
                <w:sz w:val="20"/>
                <w:szCs w:val="20"/>
              </w:rPr>
              <w:t>7</w:t>
            </w:r>
            <w:r w:rsidR="00242C25">
              <w:rPr>
                <w:rFonts w:cs="Arial"/>
                <w:sz w:val="20"/>
                <w:szCs w:val="20"/>
              </w:rPr>
              <w:t>0</w:t>
            </w:r>
          </w:p>
        </w:tc>
        <w:tc>
          <w:tcPr>
            <w:tcW w:w="729" w:type="pct"/>
            <w:noWrap/>
            <w:vAlign w:val="center"/>
          </w:tcPr>
          <w:p w:rsidR="00EE46CE" w:rsidRDefault="00EE46CE" w:rsidP="00EE46CE">
            <w:pPr>
              <w:spacing w:before="100" w:beforeAutospacing="1" w:after="100" w:afterAutospacing="1" w:line="240" w:lineRule="auto"/>
              <w:jc w:val="center"/>
              <w:rPr>
                <w:rFonts w:cs="Arial"/>
                <w:sz w:val="20"/>
                <w:szCs w:val="20"/>
              </w:rPr>
            </w:pPr>
            <w:r>
              <w:rPr>
                <w:rFonts w:cs="Arial"/>
                <w:sz w:val="20"/>
                <w:szCs w:val="20"/>
              </w:rPr>
              <w:t>3</w:t>
            </w:r>
            <w:r w:rsidR="00242C25">
              <w:rPr>
                <w:rFonts w:cs="Arial"/>
                <w:sz w:val="20"/>
                <w:szCs w:val="20"/>
              </w:rPr>
              <w:t>6</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2"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215E19" w:rsidRDefault="00275002" w:rsidP="00215E19">
      <w:pPr>
        <w:pStyle w:val="AERbodytext"/>
        <w:spacing w:before="120" w:after="120"/>
        <w:rPr>
          <w:bCs/>
          <w:lang w:eastAsia="en-AU"/>
        </w:rPr>
      </w:pPr>
      <w:r w:rsidRPr="00215E19">
        <w:rPr>
          <w:bCs/>
          <w:lang w:eastAsia="en-AU"/>
        </w:rPr>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215E19" w:rsidRDefault="00E91BED" w:rsidP="00215E19">
      <w:pPr>
        <w:pStyle w:val="AERbodytext"/>
        <w:spacing w:before="120" w:after="120"/>
        <w:rPr>
          <w:bCs/>
          <w:lang w:eastAsia="en-AU"/>
        </w:rPr>
      </w:pPr>
      <w:r w:rsidRPr="00215E19">
        <w:rPr>
          <w:bCs/>
          <w:lang w:eastAsia="en-AU"/>
        </w:rPr>
        <w:t>There were 62</w:t>
      </w:r>
      <w:r w:rsidR="00EE46CE" w:rsidRPr="00215E19">
        <w:rPr>
          <w:bCs/>
          <w:lang w:eastAsia="en-AU"/>
        </w:rPr>
        <w:t xml:space="preserve"> trading intervals throughout the week where actual prices varied significantly from forecasts. This compares to the weekly average in 2014 of 71 counts and the average in 2013 of 97. </w:t>
      </w:r>
      <w:r w:rsidR="00275002" w:rsidRPr="00215E19">
        <w:rPr>
          <w:bCs/>
          <w:lang w:eastAsia="en-AU"/>
        </w:rPr>
        <w:t xml:space="preserve">Reasons for the variations for this week are summarised in </w:t>
      </w:r>
      <w:r w:rsidR="00E7472E" w:rsidRPr="00215E19">
        <w:rPr>
          <w:bCs/>
          <w:lang w:eastAsia="en-AU"/>
        </w:rPr>
        <w:fldChar w:fldCharType="begin"/>
      </w:r>
      <w:r w:rsidR="00E7472E" w:rsidRPr="00215E19">
        <w:rPr>
          <w:bCs/>
          <w:lang w:eastAsia="en-AU"/>
        </w:rPr>
        <w:instrText xml:space="preserve"> REF _Ref410993002 \h </w:instrText>
      </w:r>
      <w:r w:rsidR="00215E19">
        <w:rPr>
          <w:bCs/>
          <w:lang w:eastAsia="en-AU"/>
        </w:rPr>
        <w:instrText xml:space="preserve"> \* MERGEFORMAT </w:instrText>
      </w:r>
      <w:r w:rsidR="00E7472E" w:rsidRPr="00215E19">
        <w:rPr>
          <w:bCs/>
          <w:lang w:eastAsia="en-AU"/>
        </w:rPr>
      </w:r>
      <w:r w:rsidR="00E7472E" w:rsidRPr="00215E19">
        <w:rPr>
          <w:bCs/>
          <w:lang w:eastAsia="en-AU"/>
        </w:rPr>
        <w:fldChar w:fldCharType="separate"/>
      </w:r>
      <w:r w:rsidR="00230D26" w:rsidRPr="00230D26">
        <w:rPr>
          <w:bCs/>
          <w:lang w:eastAsia="en-AU"/>
        </w:rPr>
        <w:t>Table 2</w:t>
      </w:r>
      <w:r w:rsidR="00E7472E" w:rsidRPr="00215E19">
        <w:rPr>
          <w:bCs/>
          <w:lang w:eastAsia="en-AU"/>
        </w:rPr>
        <w:fldChar w:fldCharType="end"/>
      </w:r>
      <w:r w:rsidR="00275002" w:rsidRPr="00215E19">
        <w:rPr>
          <w:bCs/>
          <w:lang w:eastAsia="en-AU"/>
        </w:rPr>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w:t>
      </w:r>
      <w:r w:rsidR="00275002" w:rsidRPr="00215E19">
        <w:rPr>
          <w:bCs/>
          <w:lang w:eastAsia="en-AU"/>
        </w:rPr>
        <w:lastRenderedPageBreak/>
        <w:t>changes to network capability or as a combination of factors (when there is not one dominant reason). An instance where both four and 12 hour ahead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r w:rsidR="006411E6">
        <w:fldChar w:fldCharType="begin"/>
      </w:r>
      <w:r w:rsidR="006411E6">
        <w:instrText xml:space="preserve"> SEQ Table \* ARABIC </w:instrText>
      </w:r>
      <w:r w:rsidR="006411E6">
        <w:fldChar w:fldCharType="separate"/>
      </w:r>
      <w:r w:rsidR="00230D26">
        <w:rPr>
          <w:noProof/>
        </w:rPr>
        <w:t>2</w:t>
      </w:r>
      <w:r w:rsidR="006411E6">
        <w:rPr>
          <w:noProof/>
        </w:rPr>
        <w:fldChar w:fldCharType="end"/>
      </w:r>
      <w:bookmarkEnd w:id="12"/>
      <w:r w:rsidRPr="00BC7912">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EE46CE" w:rsidRPr="00003169" w:rsidTr="009E6668">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EE46CE" w:rsidRPr="00E35AE8" w:rsidRDefault="00EE46CE" w:rsidP="00B65CAC">
            <w:pPr>
              <w:spacing w:after="0" w:line="240" w:lineRule="auto"/>
              <w:jc w:val="center"/>
              <w:rPr>
                <w:sz w:val="20"/>
                <w:szCs w:val="20"/>
              </w:rPr>
            </w:pPr>
            <w:r w:rsidRPr="00E35AE8">
              <w:rPr>
                <w:sz w:val="20"/>
                <w:szCs w:val="20"/>
              </w:rPr>
              <w:t>% of total above forecast</w:t>
            </w:r>
          </w:p>
        </w:tc>
        <w:tc>
          <w:tcPr>
            <w:tcW w:w="1571" w:type="dxa"/>
            <w:noWrap/>
            <w:vAlign w:val="center"/>
          </w:tcPr>
          <w:p w:rsidR="00EE46CE" w:rsidRDefault="00E91BED" w:rsidP="002F02A4">
            <w:pPr>
              <w:spacing w:after="0" w:line="240" w:lineRule="auto"/>
              <w:jc w:val="center"/>
              <w:rPr>
                <w:rFonts w:cs="Arial"/>
                <w:sz w:val="20"/>
                <w:szCs w:val="20"/>
              </w:rPr>
            </w:pPr>
            <w:r>
              <w:rPr>
                <w:rFonts w:cs="Arial"/>
                <w:sz w:val="20"/>
                <w:szCs w:val="20"/>
              </w:rPr>
              <w:t>2</w:t>
            </w:r>
          </w:p>
        </w:tc>
        <w:tc>
          <w:tcPr>
            <w:tcW w:w="1572" w:type="dxa"/>
            <w:noWrap/>
            <w:vAlign w:val="center"/>
          </w:tcPr>
          <w:p w:rsidR="00EE46CE" w:rsidRDefault="00EE46CE" w:rsidP="002F02A4">
            <w:pPr>
              <w:spacing w:after="0" w:line="240" w:lineRule="auto"/>
              <w:jc w:val="center"/>
              <w:rPr>
                <w:rFonts w:cs="Arial"/>
                <w:sz w:val="20"/>
                <w:szCs w:val="20"/>
              </w:rPr>
            </w:pPr>
            <w:r>
              <w:rPr>
                <w:rFonts w:cs="Arial"/>
                <w:sz w:val="20"/>
                <w:szCs w:val="20"/>
              </w:rPr>
              <w:t>3</w:t>
            </w:r>
            <w:r w:rsidR="00E91BED">
              <w:rPr>
                <w:rFonts w:cs="Arial"/>
                <w:sz w:val="20"/>
                <w:szCs w:val="20"/>
              </w:rPr>
              <w:t>7</w:t>
            </w:r>
          </w:p>
        </w:tc>
        <w:tc>
          <w:tcPr>
            <w:tcW w:w="1572" w:type="dxa"/>
            <w:noWrap/>
            <w:vAlign w:val="center"/>
          </w:tcPr>
          <w:p w:rsidR="00EE46CE" w:rsidRDefault="001F2577" w:rsidP="002F02A4">
            <w:pPr>
              <w:spacing w:after="0" w:line="240" w:lineRule="auto"/>
              <w:jc w:val="center"/>
              <w:rPr>
                <w:rFonts w:cs="Arial"/>
                <w:sz w:val="20"/>
                <w:szCs w:val="20"/>
              </w:rPr>
            </w:pPr>
            <w:r>
              <w:rPr>
                <w:rFonts w:cs="Arial"/>
                <w:sz w:val="20"/>
                <w:szCs w:val="20"/>
              </w:rPr>
              <w:t>2</w:t>
            </w:r>
          </w:p>
        </w:tc>
        <w:tc>
          <w:tcPr>
            <w:tcW w:w="1572" w:type="dxa"/>
            <w:vAlign w:val="center"/>
          </w:tcPr>
          <w:p w:rsidR="00EE46CE" w:rsidRDefault="001F2577" w:rsidP="002F02A4">
            <w:pPr>
              <w:spacing w:after="0" w:line="240" w:lineRule="auto"/>
              <w:jc w:val="center"/>
              <w:rPr>
                <w:rFonts w:cs="Arial"/>
                <w:sz w:val="20"/>
                <w:szCs w:val="20"/>
              </w:rPr>
            </w:pPr>
            <w:r>
              <w:rPr>
                <w:rFonts w:cs="Arial"/>
                <w:sz w:val="20"/>
                <w:szCs w:val="20"/>
              </w:rPr>
              <w:t>3</w:t>
            </w:r>
          </w:p>
        </w:tc>
      </w:tr>
      <w:tr w:rsidR="00EE46CE" w:rsidRPr="00003169" w:rsidTr="009E6668">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EE46CE" w:rsidRPr="00E35AE8" w:rsidRDefault="00EE46CE" w:rsidP="00B65CAC">
            <w:pPr>
              <w:spacing w:after="0" w:line="240" w:lineRule="auto"/>
              <w:jc w:val="center"/>
              <w:rPr>
                <w:sz w:val="20"/>
                <w:szCs w:val="20"/>
              </w:rPr>
            </w:pPr>
            <w:r w:rsidRPr="00E35AE8">
              <w:rPr>
                <w:sz w:val="20"/>
                <w:szCs w:val="20"/>
              </w:rPr>
              <w:t>% of total below forecast</w:t>
            </w:r>
          </w:p>
        </w:tc>
        <w:tc>
          <w:tcPr>
            <w:tcW w:w="1571" w:type="dxa"/>
            <w:noWrap/>
            <w:vAlign w:val="center"/>
          </w:tcPr>
          <w:p w:rsidR="00EE46CE" w:rsidRDefault="00E91BED" w:rsidP="002F02A4">
            <w:pPr>
              <w:spacing w:after="0" w:line="240" w:lineRule="auto"/>
              <w:jc w:val="center"/>
              <w:rPr>
                <w:rFonts w:cs="Arial"/>
                <w:sz w:val="20"/>
                <w:szCs w:val="20"/>
              </w:rPr>
            </w:pPr>
            <w:r>
              <w:rPr>
                <w:rFonts w:cs="Arial"/>
                <w:sz w:val="20"/>
                <w:szCs w:val="20"/>
              </w:rPr>
              <w:t>46</w:t>
            </w:r>
          </w:p>
        </w:tc>
        <w:tc>
          <w:tcPr>
            <w:tcW w:w="1572" w:type="dxa"/>
            <w:noWrap/>
            <w:vAlign w:val="center"/>
          </w:tcPr>
          <w:p w:rsidR="00EE46CE" w:rsidRDefault="00E91BED" w:rsidP="002F02A4">
            <w:pPr>
              <w:spacing w:after="0" w:line="240" w:lineRule="auto"/>
              <w:jc w:val="center"/>
              <w:rPr>
                <w:rFonts w:cs="Arial"/>
                <w:sz w:val="20"/>
                <w:szCs w:val="20"/>
              </w:rPr>
            </w:pPr>
            <w:r>
              <w:rPr>
                <w:rFonts w:cs="Arial"/>
                <w:sz w:val="20"/>
                <w:szCs w:val="20"/>
              </w:rPr>
              <w:t>7</w:t>
            </w:r>
          </w:p>
        </w:tc>
        <w:tc>
          <w:tcPr>
            <w:tcW w:w="1572" w:type="dxa"/>
            <w:noWrap/>
            <w:vAlign w:val="center"/>
          </w:tcPr>
          <w:p w:rsidR="00EE46CE" w:rsidRDefault="00EE46CE" w:rsidP="002F02A4">
            <w:pPr>
              <w:spacing w:after="0" w:line="240" w:lineRule="auto"/>
              <w:jc w:val="center"/>
              <w:rPr>
                <w:rFonts w:cs="Arial"/>
                <w:sz w:val="20"/>
                <w:szCs w:val="20"/>
              </w:rPr>
            </w:pPr>
            <w:r>
              <w:rPr>
                <w:rFonts w:cs="Arial"/>
                <w:sz w:val="20"/>
                <w:szCs w:val="20"/>
              </w:rPr>
              <w:t>0</w:t>
            </w:r>
          </w:p>
        </w:tc>
        <w:tc>
          <w:tcPr>
            <w:tcW w:w="1572" w:type="dxa"/>
            <w:vAlign w:val="center"/>
          </w:tcPr>
          <w:p w:rsidR="00EE46CE" w:rsidRDefault="00E91BED" w:rsidP="002F02A4">
            <w:pPr>
              <w:spacing w:after="0" w:line="240" w:lineRule="auto"/>
              <w:jc w:val="center"/>
              <w:rPr>
                <w:rFonts w:cs="Arial"/>
                <w:sz w:val="20"/>
                <w:szCs w:val="20"/>
              </w:rPr>
            </w:pPr>
            <w:r>
              <w:rPr>
                <w:rFonts w:cs="Arial"/>
                <w:sz w:val="20"/>
                <w:szCs w:val="20"/>
              </w:rPr>
              <w:t>3</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230D26" w:rsidRPr="00230D26" w:rsidRDefault="00275002" w:rsidP="00230D26">
      <w:pPr>
        <w:pStyle w:val="AERbodytext"/>
        <w:spacing w:before="120" w:after="120"/>
        <w:rPr>
          <w:bCs/>
          <w:lang w:eastAsia="en-AU"/>
        </w:rPr>
      </w:pPr>
      <w:r w:rsidRPr="00215E19">
        <w:rPr>
          <w:bCs/>
          <w:lang w:eastAsia="en-AU"/>
        </w:rPr>
        <w:t xml:space="preserve">The AER reviews generator bidding as part of its market monitoring to better understand the drivers behind price variations. </w:t>
      </w:r>
      <w:r w:rsidRPr="00215E19">
        <w:rPr>
          <w:bCs/>
          <w:lang w:eastAsia="en-AU"/>
        </w:rPr>
        <w:fldChar w:fldCharType="begin"/>
      </w:r>
      <w:r w:rsidRPr="00215E19">
        <w:rPr>
          <w:bCs/>
          <w:lang w:eastAsia="en-AU"/>
        </w:rPr>
        <w:instrText xml:space="preserve"> REF _Ref410383507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3</w:t>
      </w:r>
      <w:r w:rsidRPr="00215E19">
        <w:rPr>
          <w:bCs/>
          <w:lang w:eastAsia="en-AU"/>
        </w:rPr>
        <w:fldChar w:fldCharType="end"/>
      </w:r>
      <w:r w:rsidRPr="00215E19">
        <w:rPr>
          <w:bCs/>
          <w:lang w:eastAsia="en-AU"/>
        </w:rPr>
        <w:t xml:space="preserve"> to </w:t>
      </w:r>
      <w:r w:rsidRPr="00215E19">
        <w:rPr>
          <w:bCs/>
          <w:lang w:eastAsia="en-AU"/>
        </w:rPr>
        <w:fldChar w:fldCharType="begin"/>
      </w:r>
      <w:r w:rsidRPr="00215E19">
        <w:rPr>
          <w:bCs/>
          <w:lang w:eastAsia="en-AU"/>
        </w:rPr>
        <w:instrText xml:space="preserve"> REF _Ref410383520 \h </w:instrText>
      </w:r>
      <w:r w:rsidR="009A3D22" w:rsidRPr="00215E19">
        <w:rPr>
          <w:bCs/>
          <w:lang w:eastAsia="en-AU"/>
        </w:rPr>
        <w:instrText xml:space="preserve"> \* MERGEFORMAT </w:instrText>
      </w:r>
      <w:r w:rsidRPr="00215E19">
        <w:rPr>
          <w:bCs/>
          <w:lang w:eastAsia="en-AU"/>
        </w:rPr>
      </w:r>
      <w:r w:rsidRPr="00215E19">
        <w:rPr>
          <w:bCs/>
          <w:lang w:eastAsia="en-AU"/>
        </w:rPr>
        <w:fldChar w:fldCharType="separate"/>
      </w:r>
    </w:p>
    <w:p w:rsidR="003A0810" w:rsidRPr="00215E19" w:rsidRDefault="00230D26" w:rsidP="00215E19">
      <w:pPr>
        <w:pStyle w:val="AERbodytext"/>
        <w:spacing w:before="120" w:after="120"/>
        <w:rPr>
          <w:bCs/>
          <w:lang w:eastAsia="en-AU"/>
        </w:rPr>
      </w:pPr>
      <w:r w:rsidRPr="00230D26">
        <w:rPr>
          <w:bCs/>
          <w:lang w:eastAsia="en-AU"/>
        </w:rPr>
        <w:t xml:space="preserve">Figure </w:t>
      </w:r>
      <w:r>
        <w:rPr>
          <w:noProof/>
        </w:rPr>
        <w:t>7</w:t>
      </w:r>
      <w:r w:rsidR="00275002" w:rsidRPr="00215E19">
        <w:rPr>
          <w:bCs/>
          <w:lang w:eastAsia="en-AU"/>
        </w:rPr>
        <w:fldChar w:fldCharType="end"/>
      </w:r>
      <w:r w:rsidR="00275002" w:rsidRPr="00215E19">
        <w:rPr>
          <w:bCs/>
          <w:lang w:eastAsia="en-AU"/>
        </w:rPr>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r w:rsidR="006411E6">
        <w:fldChar w:fldCharType="begin"/>
      </w:r>
      <w:r w:rsidR="006411E6">
        <w:instrText xml:space="preserve"> SEQ Figure \* ARABIC </w:instrText>
      </w:r>
      <w:r w:rsidR="006411E6">
        <w:fldChar w:fldCharType="separate"/>
      </w:r>
      <w:r w:rsidR="00230D26">
        <w:rPr>
          <w:noProof/>
        </w:rPr>
        <w:t>3</w:t>
      </w:r>
      <w:r w:rsidR="006411E6">
        <w:rPr>
          <w:noProof/>
        </w:rPr>
        <w:fldChar w:fldCharType="end"/>
      </w:r>
      <w:bookmarkEnd w:id="14"/>
      <w:r>
        <w:t xml:space="preserve">: Queensland </w:t>
      </w:r>
      <w:r w:rsidRPr="00690328">
        <w:t>generation and bidding patterns</w:t>
      </w:r>
    </w:p>
    <w:p w:rsidR="00E91BED" w:rsidRPr="00E91BED" w:rsidRDefault="00E91BED" w:rsidP="00E91BED">
      <w:r w:rsidRPr="00E91BED">
        <w:rPr>
          <w:noProof/>
          <w:lang w:eastAsia="en-AU"/>
        </w:rPr>
        <w:drawing>
          <wp:inline distT="0" distB="0" distL="0" distR="0" wp14:anchorId="3F0E455A" wp14:editId="21875840">
            <wp:extent cx="5731510" cy="4118724"/>
            <wp:effectExtent l="0" t="0" r="2540" b="0"/>
            <wp:docPr id="7" name="Picture 7"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275002"/>
    <w:p w:rsidR="00275002" w:rsidRDefault="00275002" w:rsidP="000E2946">
      <w:pPr>
        <w:pStyle w:val="Caption"/>
      </w:pPr>
      <w:bookmarkStart w:id="15" w:name="_Ref428273135"/>
      <w:r>
        <w:lastRenderedPageBreak/>
        <w:t xml:space="preserve">Figure </w:t>
      </w:r>
      <w:r w:rsidR="006411E6">
        <w:fldChar w:fldCharType="begin"/>
      </w:r>
      <w:r w:rsidR="006411E6">
        <w:instrText xml:space="preserve"> SEQ Figure \* ARABIC </w:instrText>
      </w:r>
      <w:r w:rsidR="006411E6">
        <w:fldChar w:fldCharType="separate"/>
      </w:r>
      <w:r w:rsidR="00230D26">
        <w:rPr>
          <w:noProof/>
        </w:rPr>
        <w:t>4</w:t>
      </w:r>
      <w:r w:rsidR="006411E6">
        <w:rPr>
          <w:noProof/>
        </w:rPr>
        <w:fldChar w:fldCharType="end"/>
      </w:r>
      <w:bookmarkEnd w:id="15"/>
      <w:r>
        <w:t xml:space="preserve">: </w:t>
      </w:r>
      <w:r w:rsidRPr="00CC5077">
        <w:t>New South Wales generation and bidding patterns</w:t>
      </w:r>
    </w:p>
    <w:p w:rsidR="00181C46" w:rsidRPr="00181C46" w:rsidRDefault="00E91BED" w:rsidP="00181C46">
      <w:r w:rsidRPr="00E91BED">
        <w:rPr>
          <w:noProof/>
          <w:lang w:eastAsia="en-AU"/>
        </w:rPr>
        <w:drawing>
          <wp:inline distT="0" distB="0" distL="0" distR="0" wp14:anchorId="58CBA57E" wp14:editId="1798B23C">
            <wp:extent cx="5731510" cy="4125116"/>
            <wp:effectExtent l="0" t="0" r="2540" b="8890"/>
            <wp:docPr id="8" name="Picture 8"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5116"/>
                    </a:xfrm>
                    <a:prstGeom prst="rect">
                      <a:avLst/>
                    </a:prstGeom>
                    <a:noFill/>
                    <a:ln>
                      <a:noFill/>
                    </a:ln>
                  </pic:spPr>
                </pic:pic>
              </a:graphicData>
            </a:graphic>
          </wp:inline>
        </w:drawing>
      </w:r>
    </w:p>
    <w:p w:rsidR="00275002" w:rsidRDefault="00275002" w:rsidP="000E2946">
      <w:pPr>
        <w:pStyle w:val="Caption"/>
      </w:pPr>
      <w:r>
        <w:t xml:space="preserve">Figure </w:t>
      </w:r>
      <w:r w:rsidR="006411E6">
        <w:fldChar w:fldCharType="begin"/>
      </w:r>
      <w:r w:rsidR="006411E6">
        <w:instrText xml:space="preserve"> SEQ Figure \* ARABIC </w:instrText>
      </w:r>
      <w:r w:rsidR="006411E6">
        <w:fldChar w:fldCharType="separate"/>
      </w:r>
      <w:r w:rsidR="00230D26">
        <w:rPr>
          <w:noProof/>
        </w:rPr>
        <w:t>5</w:t>
      </w:r>
      <w:r w:rsidR="006411E6">
        <w:rPr>
          <w:noProof/>
        </w:rPr>
        <w:fldChar w:fldCharType="end"/>
      </w:r>
      <w:r w:rsidRPr="0003635A">
        <w:t>: Victoria generation and bidding patterns</w:t>
      </w:r>
    </w:p>
    <w:p w:rsidR="00181C46" w:rsidRPr="00181C46" w:rsidRDefault="00A057D1" w:rsidP="00181C46">
      <w:r w:rsidRPr="00A057D1">
        <w:rPr>
          <w:noProof/>
          <w:lang w:eastAsia="en-AU"/>
        </w:rPr>
        <w:drawing>
          <wp:inline distT="0" distB="0" distL="0" distR="0" wp14:anchorId="469F4E97" wp14:editId="6896D8C9">
            <wp:extent cx="5731510" cy="4118724"/>
            <wp:effectExtent l="0" t="0" r="2540" b="0"/>
            <wp:docPr id="9" name="Picture 9"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title="Figure 5: Victorian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bookmarkStart w:id="16" w:name="_Ref423965683"/>
      <w:r>
        <w:lastRenderedPageBreak/>
        <w:t xml:space="preserve">Figure </w:t>
      </w:r>
      <w:r w:rsidR="006411E6">
        <w:fldChar w:fldCharType="begin"/>
      </w:r>
      <w:r w:rsidR="006411E6">
        <w:instrText xml:space="preserve"> SEQ Figure \* ARABIC </w:instrText>
      </w:r>
      <w:r w:rsidR="006411E6">
        <w:fldChar w:fldCharType="separate"/>
      </w:r>
      <w:r w:rsidR="00230D26">
        <w:rPr>
          <w:noProof/>
        </w:rPr>
        <w:t>6</w:t>
      </w:r>
      <w:r w:rsidR="006411E6">
        <w:rPr>
          <w:noProof/>
        </w:rPr>
        <w:fldChar w:fldCharType="end"/>
      </w:r>
      <w:bookmarkEnd w:id="16"/>
      <w:r>
        <w:t>:</w:t>
      </w:r>
      <w:r w:rsidRPr="00BD00EB">
        <w:t xml:space="preserve"> South Australia generation and bidding patterns</w:t>
      </w:r>
    </w:p>
    <w:p w:rsidR="00F019C5" w:rsidRDefault="00444A48" w:rsidP="00F019C5">
      <w:r w:rsidRPr="00444A48">
        <w:rPr>
          <w:noProof/>
          <w:lang w:eastAsia="en-AU"/>
        </w:rPr>
        <w:drawing>
          <wp:inline distT="0" distB="0" distL="0" distR="0" wp14:anchorId="1F69DCDA" wp14:editId="3B4A6B91">
            <wp:extent cx="5726050" cy="3864634"/>
            <wp:effectExtent l="0" t="0" r="8255" b="2540"/>
            <wp:docPr id="10" name="Picture 10"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868319"/>
                    </a:xfrm>
                    <a:prstGeom prst="rect">
                      <a:avLst/>
                    </a:prstGeom>
                    <a:noFill/>
                    <a:ln>
                      <a:noFill/>
                    </a:ln>
                  </pic:spPr>
                </pic:pic>
              </a:graphicData>
            </a:graphic>
          </wp:inline>
        </w:drawing>
      </w:r>
      <w:bookmarkStart w:id="17" w:name="_Ref410383520"/>
    </w:p>
    <w:p w:rsidR="00275002" w:rsidRDefault="00275002" w:rsidP="000E2946">
      <w:pPr>
        <w:pStyle w:val="Caption"/>
      </w:pPr>
      <w:r>
        <w:t xml:space="preserve">Figure </w:t>
      </w:r>
      <w:r w:rsidR="006411E6">
        <w:fldChar w:fldCharType="begin"/>
      </w:r>
      <w:r w:rsidR="006411E6">
        <w:instrText xml:space="preserve"> SEQ Figure \* ARABIC </w:instrText>
      </w:r>
      <w:r w:rsidR="006411E6">
        <w:fldChar w:fldCharType="separate"/>
      </w:r>
      <w:r w:rsidR="00230D26">
        <w:rPr>
          <w:noProof/>
        </w:rPr>
        <w:t>7</w:t>
      </w:r>
      <w:r w:rsidR="006411E6">
        <w:rPr>
          <w:noProof/>
        </w:rPr>
        <w:fldChar w:fldCharType="end"/>
      </w:r>
      <w:bookmarkEnd w:id="17"/>
      <w:r>
        <w:t xml:space="preserve">: </w:t>
      </w:r>
      <w:r w:rsidRPr="008837C4">
        <w:t>Tasmania generation and bidding patterns</w:t>
      </w:r>
    </w:p>
    <w:p w:rsidR="00181C46" w:rsidRPr="00181C46" w:rsidRDefault="00444A48" w:rsidP="00181C46">
      <w:r w:rsidRPr="00444A48">
        <w:rPr>
          <w:noProof/>
          <w:lang w:eastAsia="en-AU"/>
        </w:rPr>
        <w:drawing>
          <wp:inline distT="0" distB="0" distL="0" distR="0" wp14:anchorId="3E70388E" wp14:editId="72367D2B">
            <wp:extent cx="5726050" cy="3795623"/>
            <wp:effectExtent l="0" t="0" r="8255" b="0"/>
            <wp:docPr id="19" name="Picture 19"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799243"/>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215E19" w:rsidRDefault="00275002" w:rsidP="00215E19">
      <w:pPr>
        <w:pStyle w:val="AERbodytext"/>
        <w:spacing w:before="120" w:after="120"/>
        <w:rPr>
          <w:bCs/>
          <w:lang w:eastAsia="en-AU"/>
        </w:rPr>
      </w:pPr>
      <w:r w:rsidRPr="00215E19">
        <w:rPr>
          <w:bCs/>
          <w:lang w:eastAsia="en-AU"/>
        </w:rPr>
        <w:t xml:space="preserve">Frequency control ancillary services (FCAS) are required to maintain the frequency of the power system within the frequency operating standards. Raise and lower regulation services </w:t>
      </w:r>
      <w:r w:rsidRPr="00215E19">
        <w:rPr>
          <w:bCs/>
          <w:lang w:eastAsia="en-AU"/>
        </w:rPr>
        <w:lastRenderedPageBreak/>
        <w:t xml:space="preserve">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r w:rsidRPr="0031019A">
        <w:t>delayed services, which return the frequency to the normal operating band within 5 minutes (raise and lower 5 minute) at which time the five minute dispatch process will take effect.</w:t>
      </w:r>
    </w:p>
    <w:p w:rsidR="00275002" w:rsidRPr="00215E19" w:rsidRDefault="00275002" w:rsidP="00215E19">
      <w:pPr>
        <w:pStyle w:val="AERbodytext"/>
        <w:spacing w:before="120" w:after="120"/>
        <w:rPr>
          <w:bCs/>
          <w:lang w:eastAsia="en-AU"/>
        </w:rPr>
      </w:pPr>
      <w:r w:rsidRPr="00215E19">
        <w:rPr>
          <w:bCs/>
          <w:lang w:eastAsia="en-AU"/>
        </w:rPr>
        <w:t>The Electricity Rules stipulate that generators pay for raise contingency services and customers pay for lower contingency services. Regulation services are paid for on a “causer pays” basis determined every four weeks by AEMO.</w:t>
      </w:r>
    </w:p>
    <w:p w:rsidR="00EE46CE" w:rsidRPr="00215E19" w:rsidRDefault="00EE46CE" w:rsidP="00215E19">
      <w:pPr>
        <w:pStyle w:val="AERbodytext"/>
        <w:spacing w:before="120" w:after="120"/>
        <w:rPr>
          <w:bCs/>
          <w:lang w:eastAsia="en-AU"/>
        </w:rPr>
      </w:pPr>
      <w:bookmarkStart w:id="18" w:name="_Ref410383413"/>
      <w:r w:rsidRPr="00215E19">
        <w:rPr>
          <w:bCs/>
          <w:lang w:eastAsia="en-AU"/>
        </w:rPr>
        <w:t>The total cost of FCAS on th</w:t>
      </w:r>
      <w:r w:rsidR="008B0D4C" w:rsidRPr="00215E19">
        <w:rPr>
          <w:bCs/>
          <w:lang w:eastAsia="en-AU"/>
        </w:rPr>
        <w:t>e mainland for the week was $329</w:t>
      </w:r>
      <w:r w:rsidR="003F5F74" w:rsidRPr="00215E19">
        <w:rPr>
          <w:bCs/>
          <w:lang w:eastAsia="en-AU"/>
        </w:rPr>
        <w:t> </w:t>
      </w:r>
      <w:r w:rsidRPr="00215E19">
        <w:rPr>
          <w:bCs/>
          <w:lang w:eastAsia="en-AU"/>
        </w:rPr>
        <w:t>500 or less than 1 per cent of energy turnover on the mainland.</w:t>
      </w:r>
    </w:p>
    <w:p w:rsidR="00411897" w:rsidRPr="00215E19" w:rsidRDefault="00EE46CE" w:rsidP="00215E19">
      <w:pPr>
        <w:pStyle w:val="AERbodytext"/>
        <w:spacing w:before="120" w:after="120"/>
        <w:rPr>
          <w:bCs/>
          <w:lang w:eastAsia="en-AU"/>
        </w:rPr>
      </w:pPr>
      <w:r w:rsidRPr="00215E19">
        <w:rPr>
          <w:bCs/>
          <w:lang w:eastAsia="en-AU"/>
        </w:rPr>
        <w:t>The total cost of FCAS in Tasmania for the</w:t>
      </w:r>
      <w:r w:rsidR="008B0D4C" w:rsidRPr="00215E19">
        <w:rPr>
          <w:bCs/>
          <w:lang w:eastAsia="en-AU"/>
        </w:rPr>
        <w:t xml:space="preserve"> week was $77</w:t>
      </w:r>
      <w:r w:rsidR="003F5F74" w:rsidRPr="00215E19">
        <w:rPr>
          <w:bCs/>
          <w:lang w:eastAsia="en-AU"/>
        </w:rPr>
        <w:t> </w:t>
      </w:r>
      <w:r w:rsidRPr="00215E19">
        <w:rPr>
          <w:bCs/>
          <w:lang w:eastAsia="en-AU"/>
        </w:rPr>
        <w:t>000 or less than 1 per cent of energy turnover in Tasmania.</w:t>
      </w:r>
    </w:p>
    <w:p w:rsidR="00F3590E" w:rsidRPr="00215E19" w:rsidRDefault="00F3590E" w:rsidP="00215E19">
      <w:pPr>
        <w:pStyle w:val="AERbodytext"/>
        <w:spacing w:before="120" w:after="120"/>
        <w:rPr>
          <w:bCs/>
          <w:lang w:eastAsia="en-AU"/>
        </w:rPr>
      </w:pPr>
      <w:r w:rsidRPr="00215E19">
        <w:rPr>
          <w:bCs/>
          <w:lang w:eastAsia="en-AU"/>
        </w:rPr>
        <w:fldChar w:fldCharType="begin"/>
      </w:r>
      <w:r w:rsidRPr="00215E19">
        <w:rPr>
          <w:bCs/>
          <w:lang w:eastAsia="en-AU"/>
        </w:rPr>
        <w:instrText xml:space="preserve"> REF _Ref418082853 \h </w:instrText>
      </w:r>
      <w:r w:rsidR="00215E19">
        <w:rPr>
          <w:bCs/>
          <w:lang w:eastAsia="en-AU"/>
        </w:rPr>
        <w:instrText xml:space="preserve"> \* MERGEFORMAT </w:instrText>
      </w:r>
      <w:r w:rsidRPr="00215E19">
        <w:rPr>
          <w:bCs/>
          <w:lang w:eastAsia="en-AU"/>
        </w:rPr>
      </w:r>
      <w:r w:rsidRPr="00215E19">
        <w:rPr>
          <w:bCs/>
          <w:lang w:eastAsia="en-AU"/>
        </w:rPr>
        <w:fldChar w:fldCharType="separate"/>
      </w:r>
      <w:r w:rsidR="00230D26" w:rsidRPr="00230D26">
        <w:rPr>
          <w:bCs/>
          <w:lang w:eastAsia="en-AU"/>
        </w:rPr>
        <w:t>Figure 8</w:t>
      </w:r>
      <w:r w:rsidRPr="00215E19">
        <w:rPr>
          <w:bCs/>
          <w:lang w:eastAsia="en-AU"/>
        </w:rPr>
        <w:fldChar w:fldCharType="end"/>
      </w:r>
      <w:r w:rsidRPr="00215E19">
        <w:rPr>
          <w:bCs/>
          <w:lang w:eastAsia="en-AU"/>
        </w:rPr>
        <w:t xml:space="preserve"> shows the daily breakdown of cost for each FCAS for the NEM, as well as the average cost since the beginning of the previous financial year. </w:t>
      </w:r>
    </w:p>
    <w:p w:rsidR="00275002" w:rsidRDefault="00275002" w:rsidP="000E2946">
      <w:pPr>
        <w:pStyle w:val="Caption"/>
      </w:pPr>
      <w:bookmarkStart w:id="19" w:name="_Ref418082853"/>
      <w:r>
        <w:t xml:space="preserve">Figure </w:t>
      </w:r>
      <w:r w:rsidR="006411E6">
        <w:fldChar w:fldCharType="begin"/>
      </w:r>
      <w:r w:rsidR="006411E6">
        <w:instrText xml:space="preserve"> SEQ Figure \* ARA</w:instrText>
      </w:r>
      <w:r w:rsidR="006411E6">
        <w:instrText xml:space="preserve">BIC </w:instrText>
      </w:r>
      <w:r w:rsidR="006411E6">
        <w:fldChar w:fldCharType="separate"/>
      </w:r>
      <w:r w:rsidR="00230D26">
        <w:rPr>
          <w:noProof/>
        </w:rPr>
        <w:t>8</w:t>
      </w:r>
      <w:r w:rsidR="006411E6">
        <w:rPr>
          <w:noProof/>
        </w:rPr>
        <w:fldChar w:fldCharType="end"/>
      </w:r>
      <w:bookmarkEnd w:id="18"/>
      <w:bookmarkEnd w:id="19"/>
      <w:r w:rsidRPr="007707C6">
        <w:t>: Daily frequency control ancillary service cost</w:t>
      </w:r>
    </w:p>
    <w:p w:rsidR="00444A48" w:rsidRPr="00444A48" w:rsidRDefault="00444A48" w:rsidP="00444A48">
      <w:r w:rsidRPr="00444A48">
        <w:rPr>
          <w:noProof/>
          <w:lang w:eastAsia="en-AU"/>
        </w:rPr>
        <w:drawing>
          <wp:inline distT="0" distB="0" distL="0" distR="0" wp14:anchorId="32183DA3" wp14:editId="670157DA">
            <wp:extent cx="5731510" cy="2894051"/>
            <wp:effectExtent l="0" t="0" r="2540" b="1905"/>
            <wp:docPr id="20" name="Picture 20" descr="&quot;Figure 8 shows the daily breakdown of cost for each FCAS for the NEM, as well as the average cost since the beginning of the previous financial year.&#10;Should you require a description of the data for the week under review, please email us at  AERInquiry@aer.gov.au.&quot;"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4051"/>
                    </a:xfrm>
                    <a:prstGeom prst="rect">
                      <a:avLst/>
                    </a:prstGeom>
                    <a:noFill/>
                    <a:ln>
                      <a:noFill/>
                    </a:ln>
                  </pic:spPr>
                </pic:pic>
              </a:graphicData>
            </a:graphic>
          </wp:inline>
        </w:drawing>
      </w:r>
    </w:p>
    <w:p w:rsidR="005707D4" w:rsidRPr="005707D4" w:rsidRDefault="005707D4" w:rsidP="005707D4"/>
    <w:bookmarkEnd w:id="0"/>
    <w:bookmarkEnd w:id="1"/>
    <w:bookmarkEnd w:id="2"/>
    <w:bookmarkEnd w:id="3"/>
    <w:bookmarkEnd w:id="4"/>
    <w:bookmarkEnd w:id="5"/>
    <w:p w:rsidR="005F7247" w:rsidRPr="00405CDE" w:rsidRDefault="005F7247" w:rsidP="00627B2D">
      <w:pPr>
        <w:pStyle w:val="AERHeading1"/>
        <w:keepNext/>
        <w:rPr>
          <w:rFonts w:cs="Arial"/>
        </w:rPr>
      </w:pPr>
      <w:r w:rsidRPr="00405CDE">
        <w:rPr>
          <w:rFonts w:cs="Arial"/>
        </w:rPr>
        <w:t>Detailed market analysis of significant price events</w:t>
      </w:r>
    </w:p>
    <w:p w:rsidR="00201136" w:rsidRPr="00215E19" w:rsidRDefault="005F7247" w:rsidP="00215E19">
      <w:pPr>
        <w:pStyle w:val="AERbodytext"/>
        <w:spacing w:before="120" w:after="120"/>
        <w:rPr>
          <w:bCs/>
          <w:lang w:eastAsia="en-AU"/>
        </w:rPr>
      </w:pPr>
      <w:r w:rsidRPr="00215E19">
        <w:rPr>
          <w:bCs/>
          <w:lang w:eastAsia="en-AU"/>
        </w:rPr>
        <w:t xml:space="preserve">We provide more detailed analysis of events where the spot price was greater than three times the weekly average price in a region and above $250/MWh or was below </w:t>
      </w:r>
      <w:r w:rsidRPr="00215E19">
        <w:rPr>
          <w:bCs/>
          <w:lang w:eastAsia="en-AU"/>
        </w:rPr>
        <w:noBreakHyphen/>
        <w:t xml:space="preserve">$100/MWh. </w:t>
      </w:r>
    </w:p>
    <w:p w:rsidR="005F7247" w:rsidRPr="00002B2F" w:rsidRDefault="005F7247" w:rsidP="005F7247">
      <w:pPr>
        <w:pStyle w:val="AERHeading3"/>
      </w:pPr>
      <w:r w:rsidRPr="00002B2F">
        <w:t xml:space="preserve">South Australia </w:t>
      </w:r>
    </w:p>
    <w:p w:rsidR="00700DAB" w:rsidRPr="00215E19" w:rsidRDefault="00700DAB" w:rsidP="00215E19">
      <w:pPr>
        <w:pStyle w:val="AERbodytext"/>
        <w:spacing w:before="120" w:after="120"/>
        <w:rPr>
          <w:bCs/>
          <w:lang w:eastAsia="en-AU"/>
        </w:rPr>
      </w:pPr>
      <w:r w:rsidRPr="00215E19">
        <w:rPr>
          <w:bCs/>
          <w:lang w:eastAsia="en-AU"/>
        </w:rPr>
        <w:lastRenderedPageBreak/>
        <w:t>There w</w:t>
      </w:r>
      <w:r w:rsidR="00091FB4" w:rsidRPr="00215E19">
        <w:rPr>
          <w:bCs/>
          <w:lang w:eastAsia="en-AU"/>
        </w:rPr>
        <w:t>as</w:t>
      </w:r>
      <w:r w:rsidRPr="00215E19">
        <w:rPr>
          <w:bCs/>
          <w:lang w:eastAsia="en-AU"/>
        </w:rPr>
        <w:t xml:space="preserve"> </w:t>
      </w:r>
      <w:r w:rsidR="00091FB4" w:rsidRPr="00215E19">
        <w:rPr>
          <w:bCs/>
          <w:lang w:eastAsia="en-AU"/>
        </w:rPr>
        <w:t>one</w:t>
      </w:r>
      <w:r w:rsidR="00543BEC" w:rsidRPr="00215E19">
        <w:rPr>
          <w:bCs/>
          <w:lang w:eastAsia="en-AU"/>
        </w:rPr>
        <w:t xml:space="preserve"> </w:t>
      </w:r>
      <w:r w:rsidR="00091FB4" w:rsidRPr="00215E19">
        <w:rPr>
          <w:bCs/>
          <w:lang w:eastAsia="en-AU"/>
        </w:rPr>
        <w:t>occasion</w:t>
      </w:r>
      <w:r w:rsidRPr="00215E19">
        <w:rPr>
          <w:bCs/>
          <w:lang w:eastAsia="en-AU"/>
        </w:rPr>
        <w:t xml:space="preserve"> where the spot price in South Australia was greater than three times the South Australia weekly average price of $</w:t>
      </w:r>
      <w:r w:rsidR="00091FB4" w:rsidRPr="00215E19">
        <w:rPr>
          <w:bCs/>
          <w:lang w:eastAsia="en-AU"/>
        </w:rPr>
        <w:t>53</w:t>
      </w:r>
      <w:r w:rsidRPr="00215E19">
        <w:rPr>
          <w:bCs/>
          <w:lang w:eastAsia="en-AU"/>
        </w:rPr>
        <w:t>/MWh and above $250/MWh.</w:t>
      </w:r>
    </w:p>
    <w:p w:rsidR="00091FB4" w:rsidRDefault="00091FB4" w:rsidP="00091FB4">
      <w:pPr>
        <w:pStyle w:val="AERHeading3"/>
      </w:pPr>
      <w:r>
        <w:t xml:space="preserve">Thursday, 17 September </w:t>
      </w:r>
    </w:p>
    <w:p w:rsidR="00091FB4" w:rsidRPr="005D2FBD" w:rsidRDefault="00091FB4" w:rsidP="00091FB4">
      <w:pPr>
        <w:pStyle w:val="Caption"/>
      </w:pPr>
      <w:r>
        <w:t xml:space="preserve">Table </w:t>
      </w:r>
      <w:r w:rsidR="006411E6">
        <w:fldChar w:fldCharType="begin"/>
      </w:r>
      <w:r w:rsidR="006411E6">
        <w:instrText xml:space="preserve"> SEQ Table \* ARABIC </w:instrText>
      </w:r>
      <w:r w:rsidR="006411E6">
        <w:fldChar w:fldCharType="separate"/>
      </w:r>
      <w:r w:rsidR="00230D26">
        <w:rPr>
          <w:noProof/>
        </w:rPr>
        <w:t>3</w:t>
      </w:r>
      <w:r w:rsidR="006411E6">
        <w:rPr>
          <w:noProof/>
        </w:rPr>
        <w:fldChar w:fldCharType="end"/>
      </w:r>
      <w:r>
        <w:t>:</w:t>
      </w:r>
      <w:r w:rsidRPr="00431FC4">
        <w:t xml:space="preserve">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091FB4" w:rsidRPr="00405CDE" w:rsidTr="00C6191E">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hideMark/>
          </w:tcPr>
          <w:p w:rsidR="00091FB4" w:rsidRPr="00DC24BF" w:rsidRDefault="00091FB4" w:rsidP="00C6191E">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091FB4" w:rsidRPr="00DC24BF" w:rsidRDefault="00091FB4" w:rsidP="00C6191E">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091FB4" w:rsidRPr="00DC24BF" w:rsidRDefault="00091FB4" w:rsidP="00C6191E">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091FB4" w:rsidRPr="00DC24BF" w:rsidRDefault="00091FB4" w:rsidP="00C6191E">
            <w:pPr>
              <w:pStyle w:val="TableHeading"/>
              <w:jc w:val="center"/>
              <w:rPr>
                <w:rFonts w:cs="Arial"/>
                <w:sz w:val="20"/>
                <w:szCs w:val="20"/>
              </w:rPr>
            </w:pPr>
            <w:r w:rsidRPr="00DC24BF">
              <w:rPr>
                <w:rFonts w:cs="Arial"/>
                <w:sz w:val="20"/>
                <w:szCs w:val="20"/>
              </w:rPr>
              <w:t>Availability (MW)</w:t>
            </w:r>
          </w:p>
        </w:tc>
      </w:tr>
      <w:tr w:rsidR="00091FB4" w:rsidRPr="00405CDE" w:rsidTr="00C6191E">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shd w:val="clear" w:color="auto" w:fill="007192" w:themeFill="accent3" w:themeFillShade="BF"/>
            <w:hideMark/>
          </w:tcPr>
          <w:p w:rsidR="00091FB4" w:rsidRPr="00DC24BF" w:rsidRDefault="00091FB4" w:rsidP="00C6191E">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091FB4" w:rsidRPr="00DC24BF" w:rsidRDefault="00091FB4" w:rsidP="00C6191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091FB4" w:rsidRPr="00DC24BF" w:rsidRDefault="00091FB4" w:rsidP="00C6191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091FB4" w:rsidRPr="00DC24BF" w:rsidRDefault="00091FB4" w:rsidP="00C6191E">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091FB4" w:rsidRPr="00DC24BF" w:rsidRDefault="00091FB4" w:rsidP="00C6191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091FB4" w:rsidRPr="00DC24BF" w:rsidRDefault="00091FB4" w:rsidP="00C6191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091FB4" w:rsidRPr="00DC24BF" w:rsidRDefault="00091FB4" w:rsidP="00C6191E">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091FB4" w:rsidRPr="00DC24BF" w:rsidRDefault="00091FB4" w:rsidP="00C6191E">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091FB4" w:rsidRPr="00DC24BF" w:rsidRDefault="00091FB4" w:rsidP="00C6191E">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091FB4" w:rsidRPr="00DC24BF" w:rsidRDefault="00091FB4" w:rsidP="00C6191E">
            <w:pPr>
              <w:pStyle w:val="tableheadingline2"/>
              <w:rPr>
                <w:rFonts w:cs="Arial"/>
                <w:sz w:val="20"/>
                <w:szCs w:val="20"/>
              </w:rPr>
            </w:pPr>
            <w:r w:rsidRPr="00DC24BF">
              <w:rPr>
                <w:rFonts w:cs="Arial"/>
                <w:sz w:val="20"/>
                <w:szCs w:val="20"/>
              </w:rPr>
              <w:t>12 hr forecast</w:t>
            </w:r>
          </w:p>
        </w:tc>
      </w:tr>
      <w:tr w:rsidR="00091FB4" w:rsidRPr="00405CDE" w:rsidTr="00C6191E">
        <w:trPr>
          <w:trHeight w:val="510"/>
        </w:trPr>
        <w:tc>
          <w:tcPr>
            <w:tcW w:w="506" w:type="pct"/>
            <w:tcBorders>
              <w:top w:val="nil"/>
              <w:bottom w:val="nil"/>
            </w:tcBorders>
            <w:vAlign w:val="center"/>
          </w:tcPr>
          <w:p w:rsidR="00091FB4" w:rsidRPr="00FD5316" w:rsidRDefault="00091FB4" w:rsidP="00C6191E">
            <w:pPr>
              <w:pStyle w:val="tablenormal0"/>
              <w:jc w:val="center"/>
              <w:rPr>
                <w:rFonts w:asciiTheme="minorHAnsi" w:hAnsiTheme="minorHAnsi" w:cstheme="minorHAnsi"/>
                <w:bCs/>
                <w:szCs w:val="18"/>
              </w:rPr>
            </w:pPr>
            <w:r>
              <w:rPr>
                <w:rFonts w:asciiTheme="minorHAnsi" w:hAnsiTheme="minorHAnsi" w:cstheme="minorHAnsi"/>
                <w:bCs/>
                <w:szCs w:val="18"/>
              </w:rPr>
              <w:t>3.30 pm</w:t>
            </w:r>
          </w:p>
        </w:tc>
        <w:tc>
          <w:tcPr>
            <w:tcW w:w="620" w:type="pct"/>
            <w:tcBorders>
              <w:top w:val="nil"/>
              <w:bottom w:val="nil"/>
            </w:tcBorders>
            <w:vAlign w:val="center"/>
          </w:tcPr>
          <w:p w:rsidR="00091FB4" w:rsidRPr="00613324" w:rsidRDefault="00091FB4" w:rsidP="00C6191E">
            <w:pPr>
              <w:pStyle w:val="NormalWeb"/>
              <w:jc w:val="center"/>
              <w:rPr>
                <w:rFonts w:asciiTheme="minorHAnsi" w:hAnsiTheme="minorHAnsi" w:cstheme="minorHAnsi"/>
                <w:sz w:val="18"/>
                <w:szCs w:val="18"/>
              </w:rPr>
            </w:pPr>
            <w:r>
              <w:rPr>
                <w:rFonts w:asciiTheme="minorHAnsi" w:hAnsiTheme="minorHAnsi" w:cstheme="minorHAnsi"/>
                <w:sz w:val="18"/>
                <w:szCs w:val="18"/>
              </w:rPr>
              <w:t>2080</w:t>
            </w:r>
          </w:p>
        </w:tc>
        <w:tc>
          <w:tcPr>
            <w:tcW w:w="502" w:type="pct"/>
            <w:tcBorders>
              <w:top w:val="nil"/>
              <w:bottom w:val="nil"/>
            </w:tcBorders>
            <w:vAlign w:val="center"/>
          </w:tcPr>
          <w:p w:rsidR="00091FB4" w:rsidRPr="00613324" w:rsidRDefault="00091FB4" w:rsidP="00C6191E">
            <w:pPr>
              <w:pStyle w:val="NormalWeb"/>
              <w:jc w:val="center"/>
              <w:rPr>
                <w:rFonts w:asciiTheme="minorHAnsi" w:hAnsiTheme="minorHAnsi" w:cstheme="minorHAnsi"/>
                <w:sz w:val="18"/>
                <w:szCs w:val="18"/>
              </w:rPr>
            </w:pPr>
            <w:r>
              <w:rPr>
                <w:rFonts w:asciiTheme="minorHAnsi" w:hAnsiTheme="minorHAnsi" w:cstheme="minorHAnsi"/>
                <w:sz w:val="18"/>
                <w:szCs w:val="18"/>
              </w:rPr>
              <w:t>46</w:t>
            </w:r>
          </w:p>
        </w:tc>
        <w:tc>
          <w:tcPr>
            <w:tcW w:w="502" w:type="pct"/>
            <w:tcBorders>
              <w:top w:val="nil"/>
              <w:bottom w:val="nil"/>
            </w:tcBorders>
            <w:vAlign w:val="center"/>
          </w:tcPr>
          <w:p w:rsidR="00091FB4" w:rsidRPr="00613324" w:rsidRDefault="00091FB4" w:rsidP="00C6191E">
            <w:pPr>
              <w:pStyle w:val="NormalWeb"/>
              <w:jc w:val="center"/>
              <w:rPr>
                <w:rFonts w:asciiTheme="minorHAnsi" w:hAnsiTheme="minorHAnsi" w:cstheme="minorHAnsi"/>
                <w:sz w:val="18"/>
                <w:szCs w:val="18"/>
              </w:rPr>
            </w:pPr>
            <w:r>
              <w:rPr>
                <w:rFonts w:asciiTheme="minorHAnsi" w:hAnsiTheme="minorHAnsi" w:cstheme="minorHAnsi"/>
                <w:sz w:val="18"/>
                <w:szCs w:val="18"/>
              </w:rPr>
              <w:t>46</w:t>
            </w:r>
          </w:p>
        </w:tc>
        <w:tc>
          <w:tcPr>
            <w:tcW w:w="418" w:type="pct"/>
            <w:tcBorders>
              <w:top w:val="nil"/>
              <w:bottom w:val="nil"/>
            </w:tcBorders>
            <w:vAlign w:val="center"/>
          </w:tcPr>
          <w:p w:rsidR="00091FB4" w:rsidRPr="00613324" w:rsidRDefault="00091FB4" w:rsidP="00C6191E">
            <w:pPr>
              <w:pStyle w:val="NormalWeb"/>
              <w:jc w:val="center"/>
              <w:rPr>
                <w:rFonts w:asciiTheme="minorHAnsi" w:hAnsiTheme="minorHAnsi" w:cstheme="minorHAnsi"/>
                <w:sz w:val="18"/>
                <w:szCs w:val="18"/>
              </w:rPr>
            </w:pPr>
            <w:r>
              <w:rPr>
                <w:rFonts w:asciiTheme="minorHAnsi" w:hAnsiTheme="minorHAnsi" w:cstheme="minorHAnsi"/>
                <w:sz w:val="18"/>
                <w:szCs w:val="18"/>
              </w:rPr>
              <w:t>1192</w:t>
            </w:r>
          </w:p>
        </w:tc>
        <w:tc>
          <w:tcPr>
            <w:tcW w:w="502" w:type="pct"/>
            <w:tcBorders>
              <w:top w:val="nil"/>
              <w:bottom w:val="nil"/>
            </w:tcBorders>
            <w:vAlign w:val="center"/>
          </w:tcPr>
          <w:p w:rsidR="00091FB4" w:rsidRPr="00613324" w:rsidRDefault="00091FB4" w:rsidP="00C6191E">
            <w:pPr>
              <w:pStyle w:val="NormalWeb"/>
              <w:jc w:val="center"/>
              <w:rPr>
                <w:rFonts w:asciiTheme="minorHAnsi" w:hAnsiTheme="minorHAnsi" w:cstheme="minorHAnsi"/>
                <w:sz w:val="18"/>
                <w:szCs w:val="18"/>
              </w:rPr>
            </w:pPr>
            <w:r>
              <w:rPr>
                <w:rFonts w:asciiTheme="minorHAnsi" w:hAnsiTheme="minorHAnsi" w:cstheme="minorHAnsi"/>
                <w:sz w:val="18"/>
                <w:szCs w:val="18"/>
              </w:rPr>
              <w:t>1284</w:t>
            </w:r>
          </w:p>
        </w:tc>
        <w:tc>
          <w:tcPr>
            <w:tcW w:w="502" w:type="pct"/>
            <w:tcBorders>
              <w:top w:val="nil"/>
              <w:bottom w:val="nil"/>
            </w:tcBorders>
            <w:vAlign w:val="center"/>
          </w:tcPr>
          <w:p w:rsidR="00091FB4" w:rsidRPr="00613324" w:rsidRDefault="00091FB4" w:rsidP="00C6191E">
            <w:pPr>
              <w:pStyle w:val="NormalWeb"/>
              <w:jc w:val="center"/>
              <w:rPr>
                <w:rFonts w:asciiTheme="minorHAnsi" w:hAnsiTheme="minorHAnsi" w:cstheme="minorHAnsi"/>
                <w:sz w:val="18"/>
                <w:szCs w:val="18"/>
              </w:rPr>
            </w:pPr>
            <w:r>
              <w:rPr>
                <w:rFonts w:asciiTheme="minorHAnsi" w:hAnsiTheme="minorHAnsi" w:cstheme="minorHAnsi"/>
                <w:sz w:val="18"/>
                <w:szCs w:val="18"/>
              </w:rPr>
              <w:t>1322</w:t>
            </w:r>
          </w:p>
        </w:tc>
        <w:tc>
          <w:tcPr>
            <w:tcW w:w="443" w:type="pct"/>
            <w:tcBorders>
              <w:top w:val="nil"/>
              <w:bottom w:val="nil"/>
            </w:tcBorders>
            <w:vAlign w:val="center"/>
          </w:tcPr>
          <w:p w:rsidR="00091FB4" w:rsidRPr="00613324" w:rsidRDefault="00091FB4" w:rsidP="00C6191E">
            <w:pPr>
              <w:pStyle w:val="NormalWeb"/>
              <w:jc w:val="center"/>
              <w:rPr>
                <w:rFonts w:asciiTheme="minorHAnsi" w:hAnsiTheme="minorHAnsi" w:cstheme="minorHAnsi"/>
                <w:sz w:val="18"/>
                <w:szCs w:val="18"/>
              </w:rPr>
            </w:pPr>
            <w:r>
              <w:rPr>
                <w:rFonts w:asciiTheme="minorHAnsi" w:hAnsiTheme="minorHAnsi" w:cstheme="minorHAnsi"/>
                <w:sz w:val="18"/>
                <w:szCs w:val="18"/>
              </w:rPr>
              <w:t>2110</w:t>
            </w:r>
          </w:p>
        </w:tc>
        <w:tc>
          <w:tcPr>
            <w:tcW w:w="502" w:type="pct"/>
            <w:tcBorders>
              <w:top w:val="nil"/>
              <w:bottom w:val="nil"/>
            </w:tcBorders>
            <w:vAlign w:val="center"/>
          </w:tcPr>
          <w:p w:rsidR="00091FB4" w:rsidRPr="00613324" w:rsidRDefault="00091FB4" w:rsidP="00C6191E">
            <w:pPr>
              <w:pStyle w:val="NormalWeb"/>
              <w:jc w:val="center"/>
              <w:rPr>
                <w:rFonts w:asciiTheme="minorHAnsi" w:hAnsiTheme="minorHAnsi" w:cstheme="minorHAnsi"/>
                <w:sz w:val="18"/>
                <w:szCs w:val="18"/>
              </w:rPr>
            </w:pPr>
            <w:r>
              <w:rPr>
                <w:rFonts w:asciiTheme="minorHAnsi" w:hAnsiTheme="minorHAnsi" w:cstheme="minorHAnsi"/>
                <w:sz w:val="18"/>
                <w:szCs w:val="18"/>
              </w:rPr>
              <w:t>2071</w:t>
            </w:r>
          </w:p>
        </w:tc>
        <w:tc>
          <w:tcPr>
            <w:tcW w:w="502" w:type="pct"/>
            <w:tcBorders>
              <w:top w:val="nil"/>
              <w:bottom w:val="nil"/>
            </w:tcBorders>
            <w:vAlign w:val="center"/>
          </w:tcPr>
          <w:p w:rsidR="00091FB4" w:rsidRPr="00613324" w:rsidRDefault="00091FB4" w:rsidP="00C6191E">
            <w:pPr>
              <w:pStyle w:val="NormalWeb"/>
              <w:jc w:val="center"/>
              <w:rPr>
                <w:rFonts w:asciiTheme="minorHAnsi" w:hAnsiTheme="minorHAnsi" w:cstheme="minorHAnsi"/>
                <w:sz w:val="18"/>
                <w:szCs w:val="18"/>
              </w:rPr>
            </w:pPr>
            <w:r>
              <w:rPr>
                <w:rFonts w:asciiTheme="minorHAnsi" w:hAnsiTheme="minorHAnsi" w:cstheme="minorHAnsi"/>
                <w:sz w:val="18"/>
                <w:szCs w:val="18"/>
              </w:rPr>
              <w:t>2073</w:t>
            </w:r>
          </w:p>
        </w:tc>
      </w:tr>
    </w:tbl>
    <w:p w:rsidR="002F02A4" w:rsidRDefault="002F02A4" w:rsidP="00091FB4">
      <w:pPr>
        <w:pStyle w:val="AERbodytext"/>
        <w:spacing w:before="120" w:after="120"/>
        <w:rPr>
          <w:bCs/>
          <w:lang w:eastAsia="en-AU"/>
        </w:rPr>
      </w:pPr>
    </w:p>
    <w:p w:rsidR="00711BF6" w:rsidRDefault="00711BF6" w:rsidP="00711BF6">
      <w:pPr>
        <w:pStyle w:val="AERbodytext"/>
        <w:spacing w:before="120" w:after="120"/>
      </w:pPr>
      <w:r>
        <w:t xml:space="preserve">Demand and available capacity were close to forecast four hours ahead. Murraylink was on a planned outage between 5 am and 7.30 pm. </w:t>
      </w:r>
    </w:p>
    <w:p w:rsidR="00711BF6" w:rsidRDefault="00711BF6" w:rsidP="00711BF6">
      <w:pPr>
        <w:pStyle w:val="AERbodytext"/>
        <w:spacing w:before="120" w:after="120"/>
      </w:pPr>
      <w:r>
        <w:t xml:space="preserve">At 3.01 pm there was an unplanned outage of the South East - Tailem Bend No.1 275 kV line and the South East No.1 Static Var Compensator. At 3.10 pm and 3.15 pm AEMO invoked constraints to manage the unplanned outages. These constraints immediately violated and limited exports into South Australia across the Heywood interconnector. </w:t>
      </w:r>
    </w:p>
    <w:p w:rsidR="00711BF6" w:rsidRDefault="00711BF6" w:rsidP="00711BF6">
      <w:pPr>
        <w:pStyle w:val="AERbodytext"/>
        <w:spacing w:before="120" w:after="120"/>
      </w:pPr>
      <w:r>
        <w:t xml:space="preserve">Exports into South Australia reduced from 460 MW at 3.05 pm to 207 MW at 3.10 pm and then to 114 MW at 3.15 pm. With low priced generators ramp rate limited, fully dispatched or unable to start in time, there was insufficient generation to meet demand (there was only 173 MW of wind generation) without having to violate constraints. As a result the dispatch price increased from $46/MWh at 3.10 pm to $12 301/MWh at 3.15 pm. </w:t>
      </w:r>
    </w:p>
    <w:p w:rsidR="00711BF6" w:rsidRDefault="00711BF6" w:rsidP="00711BF6">
      <w:pPr>
        <w:pStyle w:val="AERbodytext"/>
        <w:spacing w:before="120" w:after="120"/>
      </w:pPr>
      <w:r>
        <w:t>At 3.20 pm the dispatch price fell to $33/MWh as a result of a reduction in demand of 105 MW (mostly from an increase in non-scheduled generation) and more ramp rate limited plant becoming available.</w:t>
      </w:r>
    </w:p>
    <w:p w:rsidR="00CB0FA5" w:rsidRDefault="00CB0FA5" w:rsidP="0021147E">
      <w:pPr>
        <w:pStyle w:val="AERbodytext"/>
        <w:rPr>
          <w:rFonts w:eastAsiaTheme="majorEastAsia"/>
        </w:rPr>
      </w:pPr>
    </w:p>
    <w:p w:rsidR="00275002" w:rsidRPr="0031019A" w:rsidRDefault="00275002" w:rsidP="005F6ADE">
      <w:pPr>
        <w:pStyle w:val="Heading2"/>
      </w:pPr>
      <w:r w:rsidRPr="0031019A">
        <w:t>Financial markets</w:t>
      </w:r>
    </w:p>
    <w:p w:rsidR="00275002" w:rsidRPr="0031019A" w:rsidRDefault="00275002" w:rsidP="00FC52AC">
      <w:pPr>
        <w:pStyle w:val="AERbodytext"/>
        <w:spacing w:before="120" w:after="120"/>
      </w:pPr>
      <w:r>
        <w:fldChar w:fldCharType="begin"/>
      </w:r>
      <w:r>
        <w:instrText xml:space="preserve"> REF _Ref410386540 \h </w:instrText>
      </w:r>
      <w:r w:rsidR="009A3D22">
        <w:instrText xml:space="preserve"> \* MERGEFORMAT </w:instrText>
      </w:r>
      <w:r>
        <w:fldChar w:fldCharType="separate"/>
      </w:r>
      <w:r w:rsidR="00230D26">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CA0ECB">
        <w:t xml:space="preserve"> </w:t>
      </w:r>
      <w:r w:rsidR="00FC52AC">
        <w:fldChar w:fldCharType="begin"/>
      </w:r>
      <w:r w:rsidR="00FC52AC">
        <w:instrText xml:space="preserve"> REF _Ref431977654 \h  \* MERGEFORMAT </w:instrText>
      </w:r>
      <w:r w:rsidR="00FC52AC">
        <w:fldChar w:fldCharType="separate"/>
      </w:r>
      <w:r w:rsidR="00230D26">
        <w:t>Figure 10</w:t>
      </w:r>
      <w:r w:rsidR="00FC52AC">
        <w:fldChar w:fldCharType="end"/>
      </w:r>
      <w:r w:rsidR="00FC52AC">
        <w:t xml:space="preserve"> shows the same information as presented in the previous weekly report (September 6 to September 12)</w:t>
      </w:r>
      <w:r w:rsidR="00251D74">
        <w:t xml:space="preserve">. Quarterly base contract prices in South Australia from </w:t>
      </w:r>
      <w:r w:rsidR="006E5F3E">
        <w:t>Q2 2016 to Q4 2018</w:t>
      </w:r>
      <w:r w:rsidR="00251D74">
        <w:t xml:space="preserve"> have increased. An increase</w:t>
      </w:r>
      <w:r w:rsidR="006E5F3E">
        <w:t xml:space="preserve"> </w:t>
      </w:r>
      <w:r w:rsidR="00251D74">
        <w:t xml:space="preserve">in the order of $20/MWh has occurred </w:t>
      </w:r>
      <w:r w:rsidR="006E5F3E">
        <w:t xml:space="preserve">for periods for Q2 and Q3 2018.  These charts are calculated from data </w:t>
      </w:r>
      <w:r w:rsidR="002A1B5C">
        <w:t xml:space="preserve">sourced </w:t>
      </w:r>
      <w:r w:rsidR="00173DC1">
        <w:t>from the ASX</w:t>
      </w:r>
      <w:r w:rsidR="002A1B5C">
        <w:t>.</w:t>
      </w:r>
      <w:r w:rsidR="00173DC1">
        <w:t xml:space="preserve"> </w:t>
      </w:r>
      <w:r w:rsidR="002A1B5C">
        <w:t>The red bars</w:t>
      </w:r>
      <w:r w:rsidR="00FC52AC">
        <w:t xml:space="preserve"> in these charts</w:t>
      </w:r>
      <w:r w:rsidR="009F0A79">
        <w:t>,</w:t>
      </w:r>
      <w:r w:rsidR="002A1B5C">
        <w:t xml:space="preserve"> </w:t>
      </w:r>
      <w:r w:rsidR="009F0A79">
        <w:t xml:space="preserve">that </w:t>
      </w:r>
      <w:r w:rsidR="00BD7176">
        <w:t xml:space="preserve">indicate </w:t>
      </w:r>
      <w:r w:rsidR="002A1B5C">
        <w:t>the number of trades for South Australia</w:t>
      </w:r>
      <w:r w:rsidR="00BD7176">
        <w:t>,</w:t>
      </w:r>
      <w:r w:rsidR="002A1B5C">
        <w:t xml:space="preserve"> </w:t>
      </w:r>
      <w:r w:rsidR="00173DC1">
        <w:t>sh</w:t>
      </w:r>
      <w:r w:rsidR="002A1B5C">
        <w:t>ow</w:t>
      </w:r>
      <w:r w:rsidR="00173DC1">
        <w:t xml:space="preserve"> that there </w:t>
      </w:r>
      <w:r w:rsidR="00251D74">
        <w:t>are</w:t>
      </w:r>
      <w:r w:rsidR="00173DC1">
        <w:t xml:space="preserve"> only a small number of trades </w:t>
      </w:r>
      <w:r w:rsidR="00BD7176">
        <w:t xml:space="preserve">in the state </w:t>
      </w:r>
      <w:r w:rsidR="002A1B5C">
        <w:t>out to 2017</w:t>
      </w:r>
      <w:r w:rsidR="00173DC1">
        <w:t xml:space="preserve">, </w:t>
      </w:r>
      <w:r w:rsidR="002A1B5C">
        <w:t xml:space="preserve">but </w:t>
      </w:r>
      <w:r w:rsidR="00173DC1">
        <w:t xml:space="preserve">no trades </w:t>
      </w:r>
      <w:r w:rsidR="00EF1961">
        <w:t xml:space="preserve">were </w:t>
      </w:r>
      <w:r w:rsidR="002A1B5C">
        <w:t xml:space="preserve">recorded after that. </w:t>
      </w:r>
      <w:r w:rsidR="00BD7176">
        <w:t xml:space="preserve">For </w:t>
      </w:r>
      <w:r w:rsidR="002A1B5C">
        <w:t>periods where there are no trades</w:t>
      </w:r>
      <w:r w:rsidR="00BD7176">
        <w:t>, the price</w:t>
      </w:r>
      <w:r w:rsidR="002A1B5C">
        <w:t xml:space="preserve"> </w:t>
      </w:r>
      <w:r w:rsidR="00173DC1">
        <w:t xml:space="preserve">is calculated from the </w:t>
      </w:r>
      <w:r w:rsidR="00FC52AC">
        <w:t>mid-</w:t>
      </w:r>
      <w:r w:rsidR="00634D01">
        <w:t>point of a valid bid-</w:t>
      </w:r>
      <w:r w:rsidR="00FC52AC">
        <w:t>offer spread</w:t>
      </w:r>
      <w:r w:rsidR="00173DC1">
        <w:t>.</w:t>
      </w:r>
      <w:r w:rsidR="00251D74">
        <w:t xml:space="preserve"> The $20/MWh increase appears to have been driven by an increase in the bid-offer spread</w:t>
      </w:r>
      <w:r w:rsidR="00087CDC">
        <w:t xml:space="preserve"> that </w:t>
      </w:r>
      <w:r w:rsidR="00251D74">
        <w:t>coincides with the announced closure of Alinta’s Northern Power Station.</w:t>
      </w:r>
      <w:r w:rsidR="00173DC1">
        <w:t xml:space="preserve"> </w:t>
      </w:r>
    </w:p>
    <w:p w:rsidR="00D73D17" w:rsidRDefault="00275002" w:rsidP="00A64EBB">
      <w:pPr>
        <w:pStyle w:val="Caption"/>
        <w:rPr>
          <w:b w:val="0"/>
          <w:bCs w:val="0"/>
          <w:noProof/>
          <w:lang w:eastAsia="en-AU"/>
        </w:rPr>
      </w:pPr>
      <w:bookmarkStart w:id="20" w:name="_Ref410386540"/>
      <w:r>
        <w:lastRenderedPageBreak/>
        <w:t xml:space="preserve">Figure </w:t>
      </w:r>
      <w:r w:rsidR="006411E6">
        <w:fldChar w:fldCharType="begin"/>
      </w:r>
      <w:r w:rsidR="006411E6">
        <w:instrText xml:space="preserve"> SEQ Figure \* ARABIC </w:instrText>
      </w:r>
      <w:r w:rsidR="006411E6">
        <w:fldChar w:fldCharType="separate"/>
      </w:r>
      <w:r w:rsidR="00230D26">
        <w:rPr>
          <w:noProof/>
        </w:rPr>
        <w:t>9</w:t>
      </w:r>
      <w:r w:rsidR="006411E6">
        <w:rPr>
          <w:noProof/>
        </w:rPr>
        <w:fldChar w:fldCharType="end"/>
      </w:r>
      <w:bookmarkEnd w:id="20"/>
      <w:r w:rsidR="002515C3">
        <w:t>:</w:t>
      </w:r>
      <w:r>
        <w:t xml:space="preserve"> </w:t>
      </w:r>
      <w:r w:rsidRPr="007A6ACB">
        <w:t>Quarterly base future prices Q</w:t>
      </w:r>
      <w:r w:rsidR="00017DD0">
        <w:t>3</w:t>
      </w:r>
      <w:r w:rsidRPr="007A6ACB">
        <w:t xml:space="preserve"> 2015 – Q</w:t>
      </w:r>
      <w:r w:rsidR="006569A5">
        <w:t>2</w:t>
      </w:r>
      <w:r w:rsidRPr="007A6ACB">
        <w:t xml:space="preserve"> 201</w:t>
      </w:r>
      <w:r w:rsidR="00F87EBA">
        <w:t>9</w:t>
      </w:r>
      <w:r w:rsidR="00E47EAD" w:rsidRPr="00E47EAD">
        <w:rPr>
          <w:b w:val="0"/>
          <w:bCs w:val="0"/>
          <w:noProof/>
          <w:lang w:eastAsia="en-AU"/>
        </w:rPr>
        <w:t xml:space="preserve"> </w:t>
      </w:r>
      <w:r w:rsidR="00CA0ECB">
        <w:rPr>
          <w:b w:val="0"/>
          <w:bCs w:val="0"/>
          <w:noProof/>
          <w:lang w:eastAsia="en-AU"/>
        </w:rPr>
        <w:t>(current week)</w:t>
      </w:r>
    </w:p>
    <w:p w:rsidR="00D73D17" w:rsidRPr="00D73D17" w:rsidRDefault="00091FB4" w:rsidP="00D73D17">
      <w:pPr>
        <w:rPr>
          <w:lang w:eastAsia="en-AU"/>
        </w:rPr>
      </w:pPr>
      <w:r w:rsidRPr="00091FB4">
        <w:rPr>
          <w:noProof/>
          <w:lang w:eastAsia="en-AU"/>
        </w:rPr>
        <w:drawing>
          <wp:inline distT="0" distB="0" distL="0" distR="0" wp14:anchorId="0D9919E7" wp14:editId="45836E09">
            <wp:extent cx="5731510" cy="2887610"/>
            <wp:effectExtent l="0" t="0" r="2540" b="8255"/>
            <wp:docPr id="21" name="Picture 21" descr="Figure 9 shows for all mainland regions the prices for base contracts (and total traded quantities for the week) for each quarter for the next four financial years. " title="Figure 9: Quarterly base future prices Q3 2015 - Q2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7610"/>
                    </a:xfrm>
                    <a:prstGeom prst="rect">
                      <a:avLst/>
                    </a:prstGeom>
                    <a:noFill/>
                    <a:ln>
                      <a:noFill/>
                    </a:ln>
                  </pic:spPr>
                </pic:pic>
              </a:graphicData>
            </a:graphic>
          </wp:inline>
        </w:drawing>
      </w:r>
    </w:p>
    <w:p w:rsidR="00275002" w:rsidRPr="00A64EBB" w:rsidRDefault="00275002" w:rsidP="00CA51FE">
      <w:pPr>
        <w:pStyle w:val="Caption"/>
        <w:keepNext w:val="0"/>
        <w:rPr>
          <w:b w:val="0"/>
          <w:bCs w:val="0"/>
          <w:color w:val="auto"/>
        </w:rPr>
      </w:pPr>
      <w:r w:rsidRPr="00A64EBB">
        <w:rPr>
          <w:b w:val="0"/>
          <w:bCs w:val="0"/>
          <w:color w:val="auto"/>
          <w:sz w:val="16"/>
          <w:szCs w:val="16"/>
        </w:rPr>
        <w:t>Source</w:t>
      </w:r>
      <w:r w:rsidR="00F72F41">
        <w:rPr>
          <w:b w:val="0"/>
          <w:bCs w:val="0"/>
          <w:color w:val="auto"/>
          <w:sz w:val="16"/>
          <w:szCs w:val="16"/>
        </w:rPr>
        <w:t>.</w:t>
      </w:r>
      <w:r w:rsidRPr="00A64EBB">
        <w:rPr>
          <w:b w:val="0"/>
          <w:bCs w:val="0"/>
          <w:color w:val="auto"/>
          <w:sz w:val="16"/>
          <w:szCs w:val="16"/>
        </w:rPr>
        <w:t xml:space="preserve"> </w:t>
      </w:r>
      <w:hyperlink r:id="rId20" w:history="1">
        <w:r w:rsidRPr="00A64EBB">
          <w:rPr>
            <w:b w:val="0"/>
            <w:bCs w:val="0"/>
            <w:color w:val="auto"/>
            <w:sz w:val="16"/>
            <w:szCs w:val="16"/>
          </w:rPr>
          <w:t>ASXEnergy.com.au</w:t>
        </w:r>
      </w:hyperlink>
    </w:p>
    <w:p w:rsidR="00CA0ECB" w:rsidRDefault="00CA0ECB" w:rsidP="00CA0ECB">
      <w:pPr>
        <w:pStyle w:val="Caption"/>
        <w:rPr>
          <w:b w:val="0"/>
          <w:bCs w:val="0"/>
          <w:noProof/>
          <w:lang w:eastAsia="en-AU"/>
        </w:rPr>
      </w:pPr>
      <w:bookmarkStart w:id="21" w:name="_Ref431977654"/>
      <w:r>
        <w:t xml:space="preserve">Figure </w:t>
      </w:r>
      <w:r w:rsidR="006411E6">
        <w:fldChar w:fldCharType="begin"/>
      </w:r>
      <w:r w:rsidR="006411E6">
        <w:instrText xml:space="preserve"> SEQ Figure \* ARABIC </w:instrText>
      </w:r>
      <w:r w:rsidR="006411E6">
        <w:fldChar w:fldCharType="separate"/>
      </w:r>
      <w:r w:rsidR="00230D26">
        <w:rPr>
          <w:noProof/>
        </w:rPr>
        <w:t>10</w:t>
      </w:r>
      <w:r w:rsidR="006411E6">
        <w:rPr>
          <w:noProof/>
        </w:rPr>
        <w:fldChar w:fldCharType="end"/>
      </w:r>
      <w:bookmarkEnd w:id="21"/>
      <w:r>
        <w:t xml:space="preserve">: </w:t>
      </w:r>
      <w:r w:rsidRPr="007A6ACB">
        <w:t>Quarterly base future prices Q</w:t>
      </w:r>
      <w:r>
        <w:t>3</w:t>
      </w:r>
      <w:r w:rsidRPr="007A6ACB">
        <w:t xml:space="preserve"> 2015 – Q</w:t>
      </w:r>
      <w:r>
        <w:t>2</w:t>
      </w:r>
      <w:r w:rsidRPr="007A6ACB">
        <w:t xml:space="preserve"> 201</w:t>
      </w:r>
      <w:r>
        <w:t>9</w:t>
      </w:r>
      <w:r w:rsidRPr="00E47EAD">
        <w:rPr>
          <w:b w:val="0"/>
          <w:bCs w:val="0"/>
          <w:noProof/>
          <w:lang w:eastAsia="en-AU"/>
        </w:rPr>
        <w:t xml:space="preserve"> </w:t>
      </w:r>
      <w:r>
        <w:rPr>
          <w:b w:val="0"/>
          <w:bCs w:val="0"/>
          <w:noProof/>
          <w:lang w:eastAsia="en-AU"/>
        </w:rPr>
        <w:t>(previous week)</w:t>
      </w:r>
    </w:p>
    <w:p w:rsidR="00CA0ECB" w:rsidRDefault="00CA0ECB" w:rsidP="009A3D22">
      <w:pPr>
        <w:jc w:val="both"/>
      </w:pPr>
      <w:r w:rsidRPr="00024369">
        <w:rPr>
          <w:noProof/>
          <w:lang w:eastAsia="en-AU"/>
        </w:rPr>
        <w:drawing>
          <wp:inline distT="0" distB="0" distL="0" distR="0" wp14:anchorId="2BFFB199" wp14:editId="0B4D09EF">
            <wp:extent cx="5736479" cy="3027871"/>
            <wp:effectExtent l="0" t="0" r="0" b="1270"/>
            <wp:docPr id="29" name="Picture 29"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025248"/>
                    </a:xfrm>
                    <a:prstGeom prst="rect">
                      <a:avLst/>
                    </a:prstGeom>
                    <a:noFill/>
                    <a:ln>
                      <a:noFill/>
                    </a:ln>
                  </pic:spPr>
                </pic:pic>
              </a:graphicData>
            </a:graphic>
          </wp:inline>
        </w:drawing>
      </w:r>
    </w:p>
    <w:p w:rsidR="00CA0ECB" w:rsidRDefault="00CA0ECB" w:rsidP="009A3D22">
      <w:pPr>
        <w:jc w:val="both"/>
      </w:pPr>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230D26">
        <w:t xml:space="preserve">Figure </w:t>
      </w:r>
      <w:r w:rsidR="00230D26">
        <w:rPr>
          <w:noProof/>
        </w:rPr>
        <w:t>11</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0E2946">
      <w:pPr>
        <w:pStyle w:val="Caption"/>
      </w:pPr>
      <w:bookmarkStart w:id="22" w:name="_Ref410380382"/>
      <w:r>
        <w:lastRenderedPageBreak/>
        <w:t xml:space="preserve">Figure </w:t>
      </w:r>
      <w:r w:rsidR="006411E6">
        <w:fldChar w:fldCharType="begin"/>
      </w:r>
      <w:r w:rsidR="006411E6">
        <w:instrText xml:space="preserve"> SEQ Figure \* ARABIC </w:instrText>
      </w:r>
      <w:r w:rsidR="006411E6">
        <w:fldChar w:fldCharType="separate"/>
      </w:r>
      <w:r w:rsidR="00230D26">
        <w:rPr>
          <w:noProof/>
        </w:rPr>
        <w:t>11</w:t>
      </w:r>
      <w:r w:rsidR="006411E6">
        <w:rPr>
          <w:noProof/>
        </w:rPr>
        <w:fldChar w:fldCharType="end"/>
      </w:r>
      <w:bookmarkEnd w:id="22"/>
      <w:r w:rsidR="002515C3">
        <w:t>:</w:t>
      </w:r>
      <w:r w:rsidRPr="00DF093A">
        <w:t xml:space="preserve"> Price of Q1 201</w:t>
      </w:r>
      <w:r w:rsidR="00F87EBA">
        <w:t>6</w:t>
      </w:r>
      <w:r w:rsidRPr="00DF093A">
        <w:t xml:space="preserve"> base contracts over the past 10 weeks (and the past 2 years)</w:t>
      </w:r>
    </w:p>
    <w:p w:rsidR="00275002" w:rsidRPr="0031019A" w:rsidRDefault="00091FB4" w:rsidP="00091FB4">
      <w:r w:rsidRPr="00091FB4">
        <w:rPr>
          <w:noProof/>
          <w:lang w:eastAsia="en-AU"/>
        </w:rPr>
        <w:drawing>
          <wp:inline distT="0" distB="0" distL="0" distR="0" wp14:anchorId="6806ED70" wp14:editId="6CCFE350">
            <wp:extent cx="5727940" cy="2881223"/>
            <wp:effectExtent l="0" t="0" r="6350" b="0"/>
            <wp:docPr id="22" name="Picture 22"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title="Figure 10: Price of Q1 2016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83019"/>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r w:rsidRPr="002A7439">
        <w:t>Source</w:t>
      </w:r>
      <w:r w:rsidR="00F72F41">
        <w:t>.</w:t>
      </w:r>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p>
    <w:p w:rsidR="00275002" w:rsidRDefault="008C094A" w:rsidP="00CB0FA5">
      <w:pPr>
        <w:spacing w:before="120"/>
        <w:jc w:val="both"/>
      </w:pPr>
      <w:r>
        <w:fldChar w:fldCharType="begin"/>
      </w:r>
      <w:r>
        <w:instrText xml:space="preserve"> REF _Ref428276233 \h </w:instrText>
      </w:r>
      <w:r>
        <w:fldChar w:fldCharType="separate"/>
      </w:r>
      <w:r w:rsidR="00230D26">
        <w:t xml:space="preserve">Figure </w:t>
      </w:r>
      <w:r w:rsidR="00230D26">
        <w:rPr>
          <w:noProof/>
        </w:rPr>
        <w:t>12</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BD7176" w:rsidRDefault="00BD7176" w:rsidP="00CB0FA5">
      <w:pPr>
        <w:spacing w:before="120"/>
        <w:jc w:val="both"/>
      </w:pPr>
    </w:p>
    <w:p w:rsidR="00275002" w:rsidRDefault="00275002" w:rsidP="00CB0FA5">
      <w:pPr>
        <w:pStyle w:val="Caption"/>
        <w:spacing w:before="0" w:after="0" w:line="240" w:lineRule="auto"/>
      </w:pPr>
      <w:bookmarkStart w:id="23" w:name="_Ref428276233"/>
      <w:bookmarkStart w:id="24" w:name="_Ref410744936"/>
      <w:r>
        <w:t xml:space="preserve">Figure </w:t>
      </w:r>
      <w:r w:rsidR="006411E6">
        <w:fldChar w:fldCharType="begin"/>
      </w:r>
      <w:r w:rsidR="006411E6">
        <w:instrText xml:space="preserve"> SEQ Figure \* ARABIC </w:instrText>
      </w:r>
      <w:r w:rsidR="006411E6">
        <w:fldChar w:fldCharType="separate"/>
      </w:r>
      <w:r w:rsidR="00230D26">
        <w:rPr>
          <w:noProof/>
        </w:rPr>
        <w:t>12</w:t>
      </w:r>
      <w:r w:rsidR="006411E6">
        <w:rPr>
          <w:noProof/>
        </w:rPr>
        <w:fldChar w:fldCharType="end"/>
      </w:r>
      <w:bookmarkEnd w:id="23"/>
      <w:r w:rsidR="002515C3">
        <w:t>:</w:t>
      </w:r>
      <w:r w:rsidRPr="0074419D">
        <w:t xml:space="preserve"> Price of Q1 201</w:t>
      </w:r>
      <w:r w:rsidR="00F87EBA">
        <w:t>6</w:t>
      </w:r>
      <w:r w:rsidRPr="0074419D">
        <w:t xml:space="preserve"> cap contracts over the past 10 weeks (and the past 2 years)</w:t>
      </w:r>
      <w:bookmarkEnd w:id="24"/>
    </w:p>
    <w:p w:rsidR="00275002" w:rsidRPr="0031019A" w:rsidRDefault="00091FB4" w:rsidP="00CB0FA5">
      <w:pPr>
        <w:spacing w:before="0" w:line="240" w:lineRule="auto"/>
      </w:pPr>
      <w:r w:rsidRPr="00091FB4">
        <w:rPr>
          <w:noProof/>
          <w:lang w:eastAsia="en-AU"/>
        </w:rPr>
        <w:drawing>
          <wp:inline distT="0" distB="0" distL="0" distR="0" wp14:anchorId="1C41FB5D" wp14:editId="2A54E718">
            <wp:extent cx="5726880" cy="3001993"/>
            <wp:effectExtent l="0" t="0" r="7620" b="8255"/>
            <wp:docPr id="23" name="Picture 23" descr="Figure 11 shows how the price for each regional Quarter 1 2016 cap contract has changed over the last 10 weeks (as well as the total number of trades each week). The closing quarter 1 2014 and quarter 1 2015 prices are also shown." title="Figure 11: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3004420"/>
                    </a:xfrm>
                    <a:prstGeom prst="rect">
                      <a:avLst/>
                    </a:prstGeom>
                    <a:noFill/>
                    <a:ln>
                      <a:noFill/>
                    </a:ln>
                  </pic:spPr>
                </pic:pic>
              </a:graphicData>
            </a:graphic>
          </wp:inline>
        </w:drawing>
      </w:r>
    </w:p>
    <w:p w:rsidR="00275002" w:rsidRPr="002A7439" w:rsidRDefault="00275002" w:rsidP="00CB0FA5">
      <w:pPr>
        <w:pStyle w:val="Source"/>
        <w:spacing w:before="0" w:after="0" w:line="240" w:lineRule="auto"/>
      </w:pPr>
      <w:r w:rsidRPr="002A7439">
        <w:t>Source</w:t>
      </w:r>
      <w:r w:rsidR="00F72F41">
        <w:t>.</w:t>
      </w:r>
      <w:r w:rsidRPr="002A7439">
        <w:t xml:space="preserv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r w:rsidR="005B0EF5">
        <w:br/>
      </w:r>
      <w:r w:rsidR="00CB0FA5">
        <w:t>October</w:t>
      </w:r>
      <w:r w:rsidR="004D5447" w:rsidRPr="0031019A">
        <w:t xml:space="preserve"> </w:t>
      </w:r>
      <w:r w:rsidRPr="0031019A">
        <w:t>2015</w:t>
      </w:r>
    </w:p>
    <w:sectPr w:rsidR="00275002" w:rsidRPr="0031019A" w:rsidSect="005B0EF5">
      <w:footerReference w:type="even" r:id="rId27"/>
      <w:footerReference w:type="default" r:id="rId28"/>
      <w:footerReference w:type="first" r:id="rId29"/>
      <w:pgSz w:w="11906" w:h="16838"/>
      <w:pgMar w:top="993" w:right="1440" w:bottom="1134"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1E" w:rsidRDefault="00C6191E" w:rsidP="004B4412">
      <w:pPr>
        <w:spacing w:before="0"/>
      </w:pPr>
      <w:r>
        <w:separator/>
      </w:r>
    </w:p>
  </w:endnote>
  <w:endnote w:type="continuationSeparator" w:id="0">
    <w:p w:rsidR="00C6191E" w:rsidRDefault="00C6191E"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1A9E" w:rsidRDefault="00C6191E"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6191E" w:rsidRDefault="00C6191E"/>
  <w:p w:rsidR="00C6191E" w:rsidRDefault="00C619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411E6">
      <w:rPr>
        <w:rFonts w:cs="Arial"/>
        <w:i/>
        <w:noProof/>
      </w:rPr>
      <w:t>7</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E" w:rsidRPr="00A94D89" w:rsidRDefault="00C6191E"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6411E6">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D15</w:t>
    </w:r>
    <w:r w:rsidRPr="00C05C48">
      <w:rPr>
        <w:rFonts w:cs="Arial"/>
        <w:i/>
        <w:szCs w:val="18"/>
      </w:rPr>
      <w:t>/</w:t>
    </w:r>
    <w:r>
      <w:rPr>
        <w:rFonts w:cs="Arial"/>
        <w:i/>
        <w:szCs w:val="18"/>
      </w:rPr>
      <w:t>143875</w:t>
    </w:r>
  </w:p>
  <w:p w:rsidR="00C6191E" w:rsidRDefault="00C619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1E" w:rsidRDefault="00C6191E" w:rsidP="004B4412">
      <w:pPr>
        <w:spacing w:before="0"/>
      </w:pPr>
      <w:r>
        <w:separator/>
      </w:r>
    </w:p>
  </w:footnote>
  <w:footnote w:type="continuationSeparator" w:id="0">
    <w:p w:rsidR="00C6191E" w:rsidRDefault="00C6191E"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20150913 - 20150919 electricity weekly report.DOCX"/>
  </w:docVars>
  <w:rsids>
    <w:rsidRoot w:val="00275002"/>
    <w:rsid w:val="00003169"/>
    <w:rsid w:val="00007624"/>
    <w:rsid w:val="0001415C"/>
    <w:rsid w:val="000147C1"/>
    <w:rsid w:val="00017DD0"/>
    <w:rsid w:val="00021202"/>
    <w:rsid w:val="00022F09"/>
    <w:rsid w:val="000242E7"/>
    <w:rsid w:val="00024369"/>
    <w:rsid w:val="00024C84"/>
    <w:rsid w:val="00030794"/>
    <w:rsid w:val="000316E7"/>
    <w:rsid w:val="00033902"/>
    <w:rsid w:val="0003564D"/>
    <w:rsid w:val="0003578C"/>
    <w:rsid w:val="00040E4C"/>
    <w:rsid w:val="00043FA7"/>
    <w:rsid w:val="000442BA"/>
    <w:rsid w:val="000452BA"/>
    <w:rsid w:val="00051880"/>
    <w:rsid w:val="000528FD"/>
    <w:rsid w:val="00061CE2"/>
    <w:rsid w:val="00063247"/>
    <w:rsid w:val="00066157"/>
    <w:rsid w:val="00070F9F"/>
    <w:rsid w:val="0007137B"/>
    <w:rsid w:val="00074A4E"/>
    <w:rsid w:val="000766E2"/>
    <w:rsid w:val="00077616"/>
    <w:rsid w:val="00085663"/>
    <w:rsid w:val="00085EBF"/>
    <w:rsid w:val="00086CF3"/>
    <w:rsid w:val="00087C4A"/>
    <w:rsid w:val="00087CDC"/>
    <w:rsid w:val="00091FB4"/>
    <w:rsid w:val="0009584C"/>
    <w:rsid w:val="000A29ED"/>
    <w:rsid w:val="000A62D6"/>
    <w:rsid w:val="000A6F14"/>
    <w:rsid w:val="000B0311"/>
    <w:rsid w:val="000B3C8A"/>
    <w:rsid w:val="000D122C"/>
    <w:rsid w:val="000D3C77"/>
    <w:rsid w:val="000D68C5"/>
    <w:rsid w:val="000E1819"/>
    <w:rsid w:val="000E1A1B"/>
    <w:rsid w:val="000E2946"/>
    <w:rsid w:val="000E4F81"/>
    <w:rsid w:val="000E54D6"/>
    <w:rsid w:val="000E6C72"/>
    <w:rsid w:val="000E77BB"/>
    <w:rsid w:val="000E7E24"/>
    <w:rsid w:val="000F1D61"/>
    <w:rsid w:val="000F56F6"/>
    <w:rsid w:val="000F5855"/>
    <w:rsid w:val="000F6FA7"/>
    <w:rsid w:val="00100142"/>
    <w:rsid w:val="001158FE"/>
    <w:rsid w:val="00116EB2"/>
    <w:rsid w:val="00124609"/>
    <w:rsid w:val="00125F4F"/>
    <w:rsid w:val="00127CAB"/>
    <w:rsid w:val="001337EF"/>
    <w:rsid w:val="00133FC8"/>
    <w:rsid w:val="00136716"/>
    <w:rsid w:val="00136A08"/>
    <w:rsid w:val="001373F1"/>
    <w:rsid w:val="0014511E"/>
    <w:rsid w:val="00145982"/>
    <w:rsid w:val="00151F61"/>
    <w:rsid w:val="0015451B"/>
    <w:rsid w:val="00155113"/>
    <w:rsid w:val="001566F6"/>
    <w:rsid w:val="001573E4"/>
    <w:rsid w:val="00160756"/>
    <w:rsid w:val="00164FB1"/>
    <w:rsid w:val="001711CC"/>
    <w:rsid w:val="0017232E"/>
    <w:rsid w:val="00173DC1"/>
    <w:rsid w:val="00174102"/>
    <w:rsid w:val="00180157"/>
    <w:rsid w:val="00181C46"/>
    <w:rsid w:val="001832C7"/>
    <w:rsid w:val="00186F77"/>
    <w:rsid w:val="001901A4"/>
    <w:rsid w:val="00191C6F"/>
    <w:rsid w:val="00192441"/>
    <w:rsid w:val="001926A4"/>
    <w:rsid w:val="00193ED7"/>
    <w:rsid w:val="001B0C3B"/>
    <w:rsid w:val="001B45A0"/>
    <w:rsid w:val="001B6C15"/>
    <w:rsid w:val="001C027D"/>
    <w:rsid w:val="001C17B3"/>
    <w:rsid w:val="001C1BC0"/>
    <w:rsid w:val="001C2EE8"/>
    <w:rsid w:val="001D055E"/>
    <w:rsid w:val="001D0CE3"/>
    <w:rsid w:val="001E01B4"/>
    <w:rsid w:val="001E14C2"/>
    <w:rsid w:val="001E4665"/>
    <w:rsid w:val="001E48B3"/>
    <w:rsid w:val="001E5AEE"/>
    <w:rsid w:val="001F03EF"/>
    <w:rsid w:val="001F0EC9"/>
    <w:rsid w:val="001F1B78"/>
    <w:rsid w:val="001F2577"/>
    <w:rsid w:val="001F492E"/>
    <w:rsid w:val="001F6DA3"/>
    <w:rsid w:val="001F7575"/>
    <w:rsid w:val="00201136"/>
    <w:rsid w:val="00203300"/>
    <w:rsid w:val="0020376D"/>
    <w:rsid w:val="0020489F"/>
    <w:rsid w:val="002050F5"/>
    <w:rsid w:val="002072A2"/>
    <w:rsid w:val="0021147E"/>
    <w:rsid w:val="00212D2F"/>
    <w:rsid w:val="00213CF6"/>
    <w:rsid w:val="00214FBA"/>
    <w:rsid w:val="00215E19"/>
    <w:rsid w:val="00216865"/>
    <w:rsid w:val="00224DB9"/>
    <w:rsid w:val="002276F0"/>
    <w:rsid w:val="00227C97"/>
    <w:rsid w:val="00230D26"/>
    <w:rsid w:val="00232A71"/>
    <w:rsid w:val="00242C25"/>
    <w:rsid w:val="002515C3"/>
    <w:rsid w:val="00251745"/>
    <w:rsid w:val="00251C37"/>
    <w:rsid w:val="00251D74"/>
    <w:rsid w:val="00262F65"/>
    <w:rsid w:val="00263AC0"/>
    <w:rsid w:val="002649D2"/>
    <w:rsid w:val="002649D8"/>
    <w:rsid w:val="00265486"/>
    <w:rsid w:val="0026772D"/>
    <w:rsid w:val="00270A51"/>
    <w:rsid w:val="00275002"/>
    <w:rsid w:val="00275927"/>
    <w:rsid w:val="0028440E"/>
    <w:rsid w:val="00286874"/>
    <w:rsid w:val="0029246F"/>
    <w:rsid w:val="00296B65"/>
    <w:rsid w:val="002A1B5C"/>
    <w:rsid w:val="002A3CF2"/>
    <w:rsid w:val="002A4EF8"/>
    <w:rsid w:val="002A7439"/>
    <w:rsid w:val="002A7DEF"/>
    <w:rsid w:val="002B0DAE"/>
    <w:rsid w:val="002C2278"/>
    <w:rsid w:val="002C581B"/>
    <w:rsid w:val="002C6DD3"/>
    <w:rsid w:val="002D1734"/>
    <w:rsid w:val="002D37FB"/>
    <w:rsid w:val="002D484E"/>
    <w:rsid w:val="002D4A1F"/>
    <w:rsid w:val="002E6254"/>
    <w:rsid w:val="002F02A4"/>
    <w:rsid w:val="002F3D02"/>
    <w:rsid w:val="002F7986"/>
    <w:rsid w:val="003061FA"/>
    <w:rsid w:val="00307F6D"/>
    <w:rsid w:val="003153EB"/>
    <w:rsid w:val="003177A2"/>
    <w:rsid w:val="00321853"/>
    <w:rsid w:val="003243B4"/>
    <w:rsid w:val="003271B5"/>
    <w:rsid w:val="00331264"/>
    <w:rsid w:val="00332F5D"/>
    <w:rsid w:val="00334C8D"/>
    <w:rsid w:val="00336D50"/>
    <w:rsid w:val="003401B9"/>
    <w:rsid w:val="00341169"/>
    <w:rsid w:val="00342870"/>
    <w:rsid w:val="003518B3"/>
    <w:rsid w:val="00352DA8"/>
    <w:rsid w:val="00354887"/>
    <w:rsid w:val="00366515"/>
    <w:rsid w:val="00371F3A"/>
    <w:rsid w:val="003846F1"/>
    <w:rsid w:val="00384A55"/>
    <w:rsid w:val="00384B54"/>
    <w:rsid w:val="00386C86"/>
    <w:rsid w:val="00395B4C"/>
    <w:rsid w:val="003A0810"/>
    <w:rsid w:val="003A3E2D"/>
    <w:rsid w:val="003A41E0"/>
    <w:rsid w:val="003A7DC0"/>
    <w:rsid w:val="003B6F90"/>
    <w:rsid w:val="003C24A9"/>
    <w:rsid w:val="003C2B22"/>
    <w:rsid w:val="003C3C98"/>
    <w:rsid w:val="003C62E9"/>
    <w:rsid w:val="003C7EFA"/>
    <w:rsid w:val="003E1341"/>
    <w:rsid w:val="003E47DC"/>
    <w:rsid w:val="003E78A9"/>
    <w:rsid w:val="003F0289"/>
    <w:rsid w:val="003F54CB"/>
    <w:rsid w:val="003F57F1"/>
    <w:rsid w:val="003F5F74"/>
    <w:rsid w:val="003F75C8"/>
    <w:rsid w:val="00402142"/>
    <w:rsid w:val="00403473"/>
    <w:rsid w:val="00405B42"/>
    <w:rsid w:val="00411897"/>
    <w:rsid w:val="00412176"/>
    <w:rsid w:val="00414488"/>
    <w:rsid w:val="00415788"/>
    <w:rsid w:val="004157C0"/>
    <w:rsid w:val="00416641"/>
    <w:rsid w:val="00440D85"/>
    <w:rsid w:val="00444A48"/>
    <w:rsid w:val="00456C20"/>
    <w:rsid w:val="00462CFF"/>
    <w:rsid w:val="00471E68"/>
    <w:rsid w:val="00480B4B"/>
    <w:rsid w:val="004831F8"/>
    <w:rsid w:val="00485752"/>
    <w:rsid w:val="00485DC4"/>
    <w:rsid w:val="00492A06"/>
    <w:rsid w:val="00493B02"/>
    <w:rsid w:val="004B104F"/>
    <w:rsid w:val="004B4412"/>
    <w:rsid w:val="004C348C"/>
    <w:rsid w:val="004C63B9"/>
    <w:rsid w:val="004C6C5B"/>
    <w:rsid w:val="004D5447"/>
    <w:rsid w:val="004D55BA"/>
    <w:rsid w:val="004E1E95"/>
    <w:rsid w:val="004E34E7"/>
    <w:rsid w:val="004E7D10"/>
    <w:rsid w:val="004F18F3"/>
    <w:rsid w:val="004F6ED0"/>
    <w:rsid w:val="00502843"/>
    <w:rsid w:val="005177C0"/>
    <w:rsid w:val="00522486"/>
    <w:rsid w:val="00522668"/>
    <w:rsid w:val="005279B6"/>
    <w:rsid w:val="00530128"/>
    <w:rsid w:val="00532467"/>
    <w:rsid w:val="0053491C"/>
    <w:rsid w:val="00543945"/>
    <w:rsid w:val="00543BEC"/>
    <w:rsid w:val="00544C6F"/>
    <w:rsid w:val="00547DC4"/>
    <w:rsid w:val="005502E7"/>
    <w:rsid w:val="00555667"/>
    <w:rsid w:val="00556B64"/>
    <w:rsid w:val="005575B9"/>
    <w:rsid w:val="00562CEE"/>
    <w:rsid w:val="00564A4D"/>
    <w:rsid w:val="005656E2"/>
    <w:rsid w:val="005703C9"/>
    <w:rsid w:val="005707D4"/>
    <w:rsid w:val="00571680"/>
    <w:rsid w:val="00571B35"/>
    <w:rsid w:val="00572D20"/>
    <w:rsid w:val="00574241"/>
    <w:rsid w:val="00575C43"/>
    <w:rsid w:val="00577A09"/>
    <w:rsid w:val="00577F68"/>
    <w:rsid w:val="005819F3"/>
    <w:rsid w:val="00582446"/>
    <w:rsid w:val="00584D8F"/>
    <w:rsid w:val="00595ED0"/>
    <w:rsid w:val="005A1339"/>
    <w:rsid w:val="005A3B2C"/>
    <w:rsid w:val="005A404D"/>
    <w:rsid w:val="005B0461"/>
    <w:rsid w:val="005B0EF5"/>
    <w:rsid w:val="005B1E3C"/>
    <w:rsid w:val="005B7F8F"/>
    <w:rsid w:val="005C26CC"/>
    <w:rsid w:val="005C3411"/>
    <w:rsid w:val="005C3D54"/>
    <w:rsid w:val="005C3DEC"/>
    <w:rsid w:val="005C546A"/>
    <w:rsid w:val="005C592F"/>
    <w:rsid w:val="005C5E72"/>
    <w:rsid w:val="005D2FBD"/>
    <w:rsid w:val="005D69AF"/>
    <w:rsid w:val="005E0B7E"/>
    <w:rsid w:val="005E6FFA"/>
    <w:rsid w:val="005F6ADE"/>
    <w:rsid w:val="005F7247"/>
    <w:rsid w:val="00603914"/>
    <w:rsid w:val="00604DB6"/>
    <w:rsid w:val="00607BA0"/>
    <w:rsid w:val="00612006"/>
    <w:rsid w:val="00613324"/>
    <w:rsid w:val="00613DEC"/>
    <w:rsid w:val="00615619"/>
    <w:rsid w:val="00615C6B"/>
    <w:rsid w:val="00616CEC"/>
    <w:rsid w:val="00620B1B"/>
    <w:rsid w:val="00621545"/>
    <w:rsid w:val="0062525D"/>
    <w:rsid w:val="00627B2D"/>
    <w:rsid w:val="0063066D"/>
    <w:rsid w:val="00630A15"/>
    <w:rsid w:val="00631560"/>
    <w:rsid w:val="006319C1"/>
    <w:rsid w:val="00632D6D"/>
    <w:rsid w:val="00634D01"/>
    <w:rsid w:val="0063567F"/>
    <w:rsid w:val="00636936"/>
    <w:rsid w:val="006411E6"/>
    <w:rsid w:val="00642C3E"/>
    <w:rsid w:val="006471D4"/>
    <w:rsid w:val="00647804"/>
    <w:rsid w:val="0065049E"/>
    <w:rsid w:val="00651005"/>
    <w:rsid w:val="0065226B"/>
    <w:rsid w:val="006569A5"/>
    <w:rsid w:val="00661F88"/>
    <w:rsid w:val="00663DAD"/>
    <w:rsid w:val="00673D15"/>
    <w:rsid w:val="00676679"/>
    <w:rsid w:val="006777D7"/>
    <w:rsid w:val="00686411"/>
    <w:rsid w:val="00687AA8"/>
    <w:rsid w:val="00694FD6"/>
    <w:rsid w:val="006A6EDD"/>
    <w:rsid w:val="006B0C7B"/>
    <w:rsid w:val="006B4CF9"/>
    <w:rsid w:val="006B7AC8"/>
    <w:rsid w:val="006C196C"/>
    <w:rsid w:val="006C1E8B"/>
    <w:rsid w:val="006C447D"/>
    <w:rsid w:val="006D3561"/>
    <w:rsid w:val="006D550F"/>
    <w:rsid w:val="006D5B9F"/>
    <w:rsid w:val="006D7923"/>
    <w:rsid w:val="006E1E7D"/>
    <w:rsid w:val="006E5F3E"/>
    <w:rsid w:val="006F3750"/>
    <w:rsid w:val="006F393C"/>
    <w:rsid w:val="006F3FCB"/>
    <w:rsid w:val="006F4C38"/>
    <w:rsid w:val="00700DAB"/>
    <w:rsid w:val="00701CAB"/>
    <w:rsid w:val="00707011"/>
    <w:rsid w:val="00707563"/>
    <w:rsid w:val="00711BF6"/>
    <w:rsid w:val="00712D03"/>
    <w:rsid w:val="00720AB2"/>
    <w:rsid w:val="0072348C"/>
    <w:rsid w:val="007247EC"/>
    <w:rsid w:val="00724827"/>
    <w:rsid w:val="00724A37"/>
    <w:rsid w:val="00724BF3"/>
    <w:rsid w:val="007303C3"/>
    <w:rsid w:val="00731F13"/>
    <w:rsid w:val="00741D03"/>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A1428"/>
    <w:rsid w:val="007A1AB0"/>
    <w:rsid w:val="007A33E8"/>
    <w:rsid w:val="007B1732"/>
    <w:rsid w:val="007B2C72"/>
    <w:rsid w:val="007B3F68"/>
    <w:rsid w:val="007C1C53"/>
    <w:rsid w:val="007C2EE8"/>
    <w:rsid w:val="007C62FE"/>
    <w:rsid w:val="007D2028"/>
    <w:rsid w:val="007D53A8"/>
    <w:rsid w:val="007D6FC9"/>
    <w:rsid w:val="007E1516"/>
    <w:rsid w:val="007E4904"/>
    <w:rsid w:val="007E4CB5"/>
    <w:rsid w:val="007E5597"/>
    <w:rsid w:val="007F066B"/>
    <w:rsid w:val="007F0F77"/>
    <w:rsid w:val="007F2BBD"/>
    <w:rsid w:val="007F475F"/>
    <w:rsid w:val="008033C4"/>
    <w:rsid w:val="00806C88"/>
    <w:rsid w:val="00807A5C"/>
    <w:rsid w:val="0081034E"/>
    <w:rsid w:val="0081253D"/>
    <w:rsid w:val="00812E7B"/>
    <w:rsid w:val="00813CE4"/>
    <w:rsid w:val="008238B2"/>
    <w:rsid w:val="008344B4"/>
    <w:rsid w:val="008344F6"/>
    <w:rsid w:val="0083510F"/>
    <w:rsid w:val="008366CD"/>
    <w:rsid w:val="00840C6C"/>
    <w:rsid w:val="00847ED9"/>
    <w:rsid w:val="00851209"/>
    <w:rsid w:val="0085188E"/>
    <w:rsid w:val="00852B3D"/>
    <w:rsid w:val="00857917"/>
    <w:rsid w:val="00861AED"/>
    <w:rsid w:val="00867506"/>
    <w:rsid w:val="00870903"/>
    <w:rsid w:val="0087280A"/>
    <w:rsid w:val="00873B1F"/>
    <w:rsid w:val="008837AC"/>
    <w:rsid w:val="00884D30"/>
    <w:rsid w:val="00886BAB"/>
    <w:rsid w:val="00886CEC"/>
    <w:rsid w:val="00887EBF"/>
    <w:rsid w:val="008A4DB6"/>
    <w:rsid w:val="008A587D"/>
    <w:rsid w:val="008A6198"/>
    <w:rsid w:val="008A7580"/>
    <w:rsid w:val="008A7E37"/>
    <w:rsid w:val="008B0D4C"/>
    <w:rsid w:val="008B416B"/>
    <w:rsid w:val="008B6DA5"/>
    <w:rsid w:val="008C094A"/>
    <w:rsid w:val="008C1D7C"/>
    <w:rsid w:val="008C1FE0"/>
    <w:rsid w:val="008C5486"/>
    <w:rsid w:val="008C6B16"/>
    <w:rsid w:val="008E1E8E"/>
    <w:rsid w:val="008E535A"/>
    <w:rsid w:val="008E6CAE"/>
    <w:rsid w:val="008E7031"/>
    <w:rsid w:val="008F6FC7"/>
    <w:rsid w:val="0090239D"/>
    <w:rsid w:val="009057E0"/>
    <w:rsid w:val="00914975"/>
    <w:rsid w:val="00914A87"/>
    <w:rsid w:val="00915BFF"/>
    <w:rsid w:val="00922ACF"/>
    <w:rsid w:val="009233EE"/>
    <w:rsid w:val="0092422F"/>
    <w:rsid w:val="009335AE"/>
    <w:rsid w:val="00933B55"/>
    <w:rsid w:val="009377D8"/>
    <w:rsid w:val="00940393"/>
    <w:rsid w:val="00952CF7"/>
    <w:rsid w:val="00956C19"/>
    <w:rsid w:val="00957591"/>
    <w:rsid w:val="0095772E"/>
    <w:rsid w:val="00960AC5"/>
    <w:rsid w:val="009661DE"/>
    <w:rsid w:val="00972A40"/>
    <w:rsid w:val="00981578"/>
    <w:rsid w:val="00982FEB"/>
    <w:rsid w:val="009837D1"/>
    <w:rsid w:val="00983EEC"/>
    <w:rsid w:val="009856B7"/>
    <w:rsid w:val="00985A66"/>
    <w:rsid w:val="009920D2"/>
    <w:rsid w:val="009928BC"/>
    <w:rsid w:val="0099572C"/>
    <w:rsid w:val="009A3D22"/>
    <w:rsid w:val="009A6D69"/>
    <w:rsid w:val="009B0884"/>
    <w:rsid w:val="009B21F2"/>
    <w:rsid w:val="009B4E65"/>
    <w:rsid w:val="009B533B"/>
    <w:rsid w:val="009B5D28"/>
    <w:rsid w:val="009B69AA"/>
    <w:rsid w:val="009B74B0"/>
    <w:rsid w:val="009C6A83"/>
    <w:rsid w:val="009D3016"/>
    <w:rsid w:val="009D6B46"/>
    <w:rsid w:val="009E6668"/>
    <w:rsid w:val="009E7749"/>
    <w:rsid w:val="009E7AC6"/>
    <w:rsid w:val="009E7D2D"/>
    <w:rsid w:val="009F0A79"/>
    <w:rsid w:val="009F1D03"/>
    <w:rsid w:val="009F1E42"/>
    <w:rsid w:val="009F4806"/>
    <w:rsid w:val="009F4940"/>
    <w:rsid w:val="00A041F4"/>
    <w:rsid w:val="00A04F9F"/>
    <w:rsid w:val="00A057D1"/>
    <w:rsid w:val="00A159BF"/>
    <w:rsid w:val="00A2302C"/>
    <w:rsid w:val="00A3632A"/>
    <w:rsid w:val="00A4478A"/>
    <w:rsid w:val="00A44852"/>
    <w:rsid w:val="00A52A18"/>
    <w:rsid w:val="00A57D04"/>
    <w:rsid w:val="00A57D69"/>
    <w:rsid w:val="00A60A26"/>
    <w:rsid w:val="00A61598"/>
    <w:rsid w:val="00A64EBB"/>
    <w:rsid w:val="00A71AA6"/>
    <w:rsid w:val="00A75AAA"/>
    <w:rsid w:val="00A81EF8"/>
    <w:rsid w:val="00A84E2D"/>
    <w:rsid w:val="00A84F46"/>
    <w:rsid w:val="00A871F4"/>
    <w:rsid w:val="00A91A4B"/>
    <w:rsid w:val="00A923DD"/>
    <w:rsid w:val="00A94D89"/>
    <w:rsid w:val="00AA0CEB"/>
    <w:rsid w:val="00AA476F"/>
    <w:rsid w:val="00AA649A"/>
    <w:rsid w:val="00AB6478"/>
    <w:rsid w:val="00AC0FE9"/>
    <w:rsid w:val="00AC1B2C"/>
    <w:rsid w:val="00AC1CF3"/>
    <w:rsid w:val="00AC3264"/>
    <w:rsid w:val="00AD592F"/>
    <w:rsid w:val="00AE0399"/>
    <w:rsid w:val="00AE1BF1"/>
    <w:rsid w:val="00AF0DD2"/>
    <w:rsid w:val="00AF46F3"/>
    <w:rsid w:val="00AF66A7"/>
    <w:rsid w:val="00AF7058"/>
    <w:rsid w:val="00B057C8"/>
    <w:rsid w:val="00B109DD"/>
    <w:rsid w:val="00B11C09"/>
    <w:rsid w:val="00B1285B"/>
    <w:rsid w:val="00B13048"/>
    <w:rsid w:val="00B14CE4"/>
    <w:rsid w:val="00B1716D"/>
    <w:rsid w:val="00B17A1D"/>
    <w:rsid w:val="00B207A0"/>
    <w:rsid w:val="00B26AAA"/>
    <w:rsid w:val="00B30D82"/>
    <w:rsid w:val="00B31071"/>
    <w:rsid w:val="00B35810"/>
    <w:rsid w:val="00B4128D"/>
    <w:rsid w:val="00B41686"/>
    <w:rsid w:val="00B44E99"/>
    <w:rsid w:val="00B56E03"/>
    <w:rsid w:val="00B63E2C"/>
    <w:rsid w:val="00B65CAC"/>
    <w:rsid w:val="00B70CA5"/>
    <w:rsid w:val="00B752C5"/>
    <w:rsid w:val="00B8080B"/>
    <w:rsid w:val="00B85D8A"/>
    <w:rsid w:val="00B87C39"/>
    <w:rsid w:val="00B87DD6"/>
    <w:rsid w:val="00B904FF"/>
    <w:rsid w:val="00B92CD5"/>
    <w:rsid w:val="00B956D7"/>
    <w:rsid w:val="00BA1F27"/>
    <w:rsid w:val="00BA390A"/>
    <w:rsid w:val="00BA3992"/>
    <w:rsid w:val="00BA4665"/>
    <w:rsid w:val="00BB2FB2"/>
    <w:rsid w:val="00BB3304"/>
    <w:rsid w:val="00BB4732"/>
    <w:rsid w:val="00BB7780"/>
    <w:rsid w:val="00BC675F"/>
    <w:rsid w:val="00BD0BD0"/>
    <w:rsid w:val="00BD3446"/>
    <w:rsid w:val="00BD5467"/>
    <w:rsid w:val="00BD7176"/>
    <w:rsid w:val="00BD71BD"/>
    <w:rsid w:val="00BE1F1B"/>
    <w:rsid w:val="00BE47B5"/>
    <w:rsid w:val="00BF4639"/>
    <w:rsid w:val="00BF65C1"/>
    <w:rsid w:val="00BF771C"/>
    <w:rsid w:val="00C008FE"/>
    <w:rsid w:val="00C01734"/>
    <w:rsid w:val="00C05C48"/>
    <w:rsid w:val="00C064A7"/>
    <w:rsid w:val="00C07A89"/>
    <w:rsid w:val="00C154C0"/>
    <w:rsid w:val="00C16B2C"/>
    <w:rsid w:val="00C30BBE"/>
    <w:rsid w:val="00C34065"/>
    <w:rsid w:val="00C4709E"/>
    <w:rsid w:val="00C50EC2"/>
    <w:rsid w:val="00C51484"/>
    <w:rsid w:val="00C538A9"/>
    <w:rsid w:val="00C53B5A"/>
    <w:rsid w:val="00C54F5A"/>
    <w:rsid w:val="00C56506"/>
    <w:rsid w:val="00C565C5"/>
    <w:rsid w:val="00C6191E"/>
    <w:rsid w:val="00C62797"/>
    <w:rsid w:val="00C6290C"/>
    <w:rsid w:val="00C672E0"/>
    <w:rsid w:val="00C729B4"/>
    <w:rsid w:val="00C73A47"/>
    <w:rsid w:val="00C73C83"/>
    <w:rsid w:val="00C74A11"/>
    <w:rsid w:val="00C8473D"/>
    <w:rsid w:val="00C86679"/>
    <w:rsid w:val="00C86919"/>
    <w:rsid w:val="00C872DB"/>
    <w:rsid w:val="00C950AF"/>
    <w:rsid w:val="00C96A92"/>
    <w:rsid w:val="00CA04F2"/>
    <w:rsid w:val="00CA0ECB"/>
    <w:rsid w:val="00CA51FE"/>
    <w:rsid w:val="00CB0FA5"/>
    <w:rsid w:val="00CB666B"/>
    <w:rsid w:val="00CB695E"/>
    <w:rsid w:val="00CC1D64"/>
    <w:rsid w:val="00CC2C03"/>
    <w:rsid w:val="00CD40AD"/>
    <w:rsid w:val="00CD4E7F"/>
    <w:rsid w:val="00CE1831"/>
    <w:rsid w:val="00CF0E01"/>
    <w:rsid w:val="00CF455C"/>
    <w:rsid w:val="00CF5382"/>
    <w:rsid w:val="00D01CF0"/>
    <w:rsid w:val="00D0442A"/>
    <w:rsid w:val="00D07128"/>
    <w:rsid w:val="00D11721"/>
    <w:rsid w:val="00D11CB3"/>
    <w:rsid w:val="00D22BD4"/>
    <w:rsid w:val="00D2306D"/>
    <w:rsid w:val="00D270E1"/>
    <w:rsid w:val="00D323D0"/>
    <w:rsid w:val="00D32767"/>
    <w:rsid w:val="00D44037"/>
    <w:rsid w:val="00D4681D"/>
    <w:rsid w:val="00D5111E"/>
    <w:rsid w:val="00D61388"/>
    <w:rsid w:val="00D615F9"/>
    <w:rsid w:val="00D61A54"/>
    <w:rsid w:val="00D64DEA"/>
    <w:rsid w:val="00D67D07"/>
    <w:rsid w:val="00D71771"/>
    <w:rsid w:val="00D73D17"/>
    <w:rsid w:val="00D74261"/>
    <w:rsid w:val="00D74971"/>
    <w:rsid w:val="00D80893"/>
    <w:rsid w:val="00D86899"/>
    <w:rsid w:val="00D87097"/>
    <w:rsid w:val="00D92CF1"/>
    <w:rsid w:val="00D92D38"/>
    <w:rsid w:val="00D936B6"/>
    <w:rsid w:val="00D950F5"/>
    <w:rsid w:val="00DB0F93"/>
    <w:rsid w:val="00DB16A7"/>
    <w:rsid w:val="00DB196A"/>
    <w:rsid w:val="00DB20BF"/>
    <w:rsid w:val="00DB4CC4"/>
    <w:rsid w:val="00DB7FD1"/>
    <w:rsid w:val="00DC153A"/>
    <w:rsid w:val="00DC24BF"/>
    <w:rsid w:val="00DC2907"/>
    <w:rsid w:val="00DC5E54"/>
    <w:rsid w:val="00DC7981"/>
    <w:rsid w:val="00DD15C2"/>
    <w:rsid w:val="00DE4EFA"/>
    <w:rsid w:val="00DE5520"/>
    <w:rsid w:val="00DE7345"/>
    <w:rsid w:val="00DF7793"/>
    <w:rsid w:val="00E00EC9"/>
    <w:rsid w:val="00E03069"/>
    <w:rsid w:val="00E04818"/>
    <w:rsid w:val="00E06442"/>
    <w:rsid w:val="00E135DB"/>
    <w:rsid w:val="00E13C85"/>
    <w:rsid w:val="00E227A4"/>
    <w:rsid w:val="00E23993"/>
    <w:rsid w:val="00E25B8C"/>
    <w:rsid w:val="00E32A8C"/>
    <w:rsid w:val="00E35AE8"/>
    <w:rsid w:val="00E3678B"/>
    <w:rsid w:val="00E3724C"/>
    <w:rsid w:val="00E37F0B"/>
    <w:rsid w:val="00E40B9C"/>
    <w:rsid w:val="00E4482C"/>
    <w:rsid w:val="00E4680F"/>
    <w:rsid w:val="00E47EAD"/>
    <w:rsid w:val="00E52A27"/>
    <w:rsid w:val="00E65C85"/>
    <w:rsid w:val="00E65CF4"/>
    <w:rsid w:val="00E66199"/>
    <w:rsid w:val="00E715D5"/>
    <w:rsid w:val="00E737E3"/>
    <w:rsid w:val="00E7472E"/>
    <w:rsid w:val="00E755EC"/>
    <w:rsid w:val="00E7624D"/>
    <w:rsid w:val="00E823D9"/>
    <w:rsid w:val="00E8569F"/>
    <w:rsid w:val="00E86851"/>
    <w:rsid w:val="00E91BED"/>
    <w:rsid w:val="00EA3D42"/>
    <w:rsid w:val="00EA6B1B"/>
    <w:rsid w:val="00EB049F"/>
    <w:rsid w:val="00EB540F"/>
    <w:rsid w:val="00EB7D7F"/>
    <w:rsid w:val="00EC317E"/>
    <w:rsid w:val="00EC67D4"/>
    <w:rsid w:val="00ED3C5B"/>
    <w:rsid w:val="00ED4A25"/>
    <w:rsid w:val="00ED6E24"/>
    <w:rsid w:val="00EE164B"/>
    <w:rsid w:val="00EE28F3"/>
    <w:rsid w:val="00EE347F"/>
    <w:rsid w:val="00EE46CE"/>
    <w:rsid w:val="00EF013A"/>
    <w:rsid w:val="00EF1961"/>
    <w:rsid w:val="00EF3FB8"/>
    <w:rsid w:val="00EF5110"/>
    <w:rsid w:val="00F019C5"/>
    <w:rsid w:val="00F02D9B"/>
    <w:rsid w:val="00F031FE"/>
    <w:rsid w:val="00F06B5B"/>
    <w:rsid w:val="00F113FD"/>
    <w:rsid w:val="00F13EAA"/>
    <w:rsid w:val="00F15882"/>
    <w:rsid w:val="00F1785E"/>
    <w:rsid w:val="00F20BD3"/>
    <w:rsid w:val="00F32D35"/>
    <w:rsid w:val="00F3590E"/>
    <w:rsid w:val="00F373A5"/>
    <w:rsid w:val="00F45B2F"/>
    <w:rsid w:val="00F47559"/>
    <w:rsid w:val="00F55548"/>
    <w:rsid w:val="00F61AA8"/>
    <w:rsid w:val="00F64C7B"/>
    <w:rsid w:val="00F64F82"/>
    <w:rsid w:val="00F662F1"/>
    <w:rsid w:val="00F66967"/>
    <w:rsid w:val="00F676DD"/>
    <w:rsid w:val="00F70811"/>
    <w:rsid w:val="00F71486"/>
    <w:rsid w:val="00F72F41"/>
    <w:rsid w:val="00F75A26"/>
    <w:rsid w:val="00F77D49"/>
    <w:rsid w:val="00F83FAD"/>
    <w:rsid w:val="00F87EBA"/>
    <w:rsid w:val="00F952A0"/>
    <w:rsid w:val="00F965FC"/>
    <w:rsid w:val="00FA3830"/>
    <w:rsid w:val="00FA3C7F"/>
    <w:rsid w:val="00FB153F"/>
    <w:rsid w:val="00FB411D"/>
    <w:rsid w:val="00FB41E6"/>
    <w:rsid w:val="00FB74E2"/>
    <w:rsid w:val="00FC447B"/>
    <w:rsid w:val="00FC52AC"/>
    <w:rsid w:val="00FD0763"/>
    <w:rsid w:val="00FD166D"/>
    <w:rsid w:val="00FD2F97"/>
    <w:rsid w:val="00FD5316"/>
    <w:rsid w:val="00FD5614"/>
    <w:rsid w:val="00FD72DC"/>
    <w:rsid w:val="00FE0BE1"/>
    <w:rsid w:val="00FE1DE9"/>
    <w:rsid w:val="00FE39C2"/>
    <w:rsid w:val="00FE3E67"/>
    <w:rsid w:val="00FE64AE"/>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s://asxenergy.com.au/" TargetMode="Externa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www.aer.gov.au/australian-energy-industry/performance-of-the-energy-sector"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F2BCE740</Template>
  <TotalTime>0</TotalTime>
  <Pages>9</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2015-10-07T01:04:00Z</dcterms:created>
  <dcterms:modified xsi:type="dcterms:W3CDTF">2015-10-07T01:04:00Z</dcterms:modified>
</cp:coreProperties>
</file>