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00DFD4F" wp14:editId="03BB88C2">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3E3C33" w:rsidP="002A4EF8">
      <w:pPr>
        <w:rPr>
          <w:b/>
          <w:sz w:val="36"/>
          <w:szCs w:val="36"/>
        </w:rPr>
      </w:pPr>
      <w:r>
        <w:rPr>
          <w:b/>
          <w:sz w:val="36"/>
          <w:szCs w:val="36"/>
        </w:rPr>
        <w:t>7 – 13</w:t>
      </w:r>
      <w:r w:rsidR="00E46D48" w:rsidRPr="00C4712A">
        <w:rPr>
          <w:b/>
          <w:sz w:val="36"/>
          <w:szCs w:val="36"/>
        </w:rPr>
        <w:t xml:space="preserve"> </w:t>
      </w:r>
      <w:r>
        <w:rPr>
          <w:b/>
          <w:sz w:val="36"/>
          <w:szCs w:val="36"/>
        </w:rPr>
        <w:t>February</w:t>
      </w:r>
      <w:r w:rsidR="00FA25D4" w:rsidRPr="00C4712A">
        <w:rPr>
          <w:b/>
          <w:sz w:val="36"/>
          <w:szCs w:val="36"/>
        </w:rPr>
        <w:t xml:space="preserve"> 2016</w:t>
      </w:r>
    </w:p>
    <w:p w:rsidR="00275002" w:rsidRPr="00C4712A" w:rsidRDefault="00275002" w:rsidP="004F6D0A">
      <w:pPr>
        <w:pStyle w:val="AERHeading1"/>
      </w:pPr>
      <w:r w:rsidRPr="00C4712A">
        <w:t>Introduction</w:t>
      </w:r>
    </w:p>
    <w:p w:rsidR="00275002" w:rsidRPr="00C4712A" w:rsidRDefault="00275002" w:rsidP="00AF7C0E">
      <w:pPr>
        <w:pStyle w:val="AERbodytext"/>
      </w:pPr>
      <w:r w:rsidRPr="00C4712A">
        <w:t xml:space="preserve">The AER is required to publish the reasons for significant variations between forecast and actual price and is responsible for monitoring activity and behaviour in the National Electricity Market. The Electricity </w:t>
      </w:r>
      <w:bookmarkStart w:id="6" w:name="_GoBack"/>
      <w:bookmarkEnd w:id="6"/>
      <w:r w:rsidRPr="00C4712A">
        <w:t>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5810AE" w:rsidRPr="001B684F" w:rsidRDefault="001D0CE3" w:rsidP="005810AE">
      <w:pPr>
        <w:pStyle w:val="AERbodytext"/>
        <w:rPr>
          <w:b/>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D12C8D" w:rsidRPr="00C4712A">
        <w:t xml:space="preserve">Figure </w:t>
      </w:r>
      <w:r w:rsidR="00D12C8D">
        <w:t>1</w:t>
      </w:r>
      <w:r w:rsidRPr="00C4712A">
        <w:fldChar w:fldCharType="end"/>
      </w:r>
      <w:r w:rsidRPr="00C4712A">
        <w:t xml:space="preserve"> </w:t>
      </w:r>
      <w:r w:rsidR="00AF7058" w:rsidRPr="00C4712A">
        <w:t xml:space="preserve">shows the spot prices that occurred in each region during the week </w:t>
      </w:r>
      <w:r w:rsidR="003E3C33">
        <w:t>7</w:t>
      </w:r>
      <w:r w:rsidR="000E55C7" w:rsidRPr="00C4712A">
        <w:t xml:space="preserve"> to </w:t>
      </w:r>
      <w:r w:rsidR="003E3C33">
        <w:t>13</w:t>
      </w:r>
      <w:r w:rsidR="009E464D">
        <w:t> </w:t>
      </w:r>
      <w:r w:rsidR="003E3C33">
        <w:t>February</w:t>
      </w:r>
      <w:r w:rsidR="00760FD8" w:rsidRPr="00C4712A">
        <w:t xml:space="preserve"> </w:t>
      </w:r>
      <w:r w:rsidR="00FA25D4" w:rsidRPr="00C4712A">
        <w:t>2016</w:t>
      </w:r>
      <w:r w:rsidR="00AF7058" w:rsidRPr="00C4712A">
        <w:t>.</w:t>
      </w:r>
      <w:r w:rsidR="00E03725">
        <w:t xml:space="preserve"> </w:t>
      </w:r>
      <w:r w:rsidR="005810AE" w:rsidRPr="00E03725">
        <w:t xml:space="preserve">There </w:t>
      </w:r>
      <w:r w:rsidR="005810AE">
        <w:t>were three</w:t>
      </w:r>
      <w:r w:rsidR="005810AE" w:rsidRPr="00E03725">
        <w:t xml:space="preserve"> occasion</w:t>
      </w:r>
      <w:r w:rsidR="005810AE">
        <w:t>s</w:t>
      </w:r>
      <w:r w:rsidR="005810AE" w:rsidRPr="00E03725">
        <w:t xml:space="preserve"> where the spot price in </w:t>
      </w:r>
      <w:r w:rsidR="005810AE">
        <w:t>Queensland</w:t>
      </w:r>
      <w:r w:rsidR="005810AE" w:rsidRPr="00E03725">
        <w:t xml:space="preserve"> was greater than three times </w:t>
      </w:r>
      <w:r w:rsidR="005810AE">
        <w:t>the Queensland</w:t>
      </w:r>
      <w:r w:rsidR="005810AE" w:rsidRPr="00E03725">
        <w:t xml:space="preserve"> weekly </w:t>
      </w:r>
      <w:r w:rsidR="005810AE">
        <w:t>average price of $48</w:t>
      </w:r>
      <w:r w:rsidR="005810AE" w:rsidRPr="00E03725">
        <w:t>/MWh and above $250/MWh.</w:t>
      </w:r>
      <w:r w:rsidR="005810AE">
        <w:t xml:space="preserve"> The spot price in Tasmania reached $278/MWh but it was not greater than three times the weekly average price of </w:t>
      </w:r>
      <w:r w:rsidR="003062C2">
        <w:t>$376/MWh.</w:t>
      </w:r>
    </w:p>
    <w:p w:rsidR="00BF4639" w:rsidRPr="00C4712A" w:rsidRDefault="00275002" w:rsidP="00405B42">
      <w:pPr>
        <w:pStyle w:val="Caption"/>
      </w:pPr>
      <w:bookmarkStart w:id="7" w:name="_Ref410382491"/>
      <w:bookmarkStart w:id="8" w:name="OLE_LINK28"/>
      <w:bookmarkStart w:id="9" w:name="OLE_LINK29"/>
      <w:r w:rsidRPr="00C4712A">
        <w:t xml:space="preserve">Figure </w:t>
      </w:r>
      <w:fldSimple w:instr=" SEQ Figure \* ARABIC ">
        <w:r w:rsidR="00D12C8D">
          <w:rPr>
            <w:noProof/>
          </w:rPr>
          <w:t>1</w:t>
        </w:r>
      </w:fldSimple>
      <w:bookmarkEnd w:id="7"/>
      <w:r w:rsidRPr="00C4712A">
        <w:t>: Spot price by region ($/MWh)</w:t>
      </w:r>
    </w:p>
    <w:p w:rsidR="00EC05BF" w:rsidRDefault="003E3C33" w:rsidP="00C4712A">
      <w:pPr>
        <w:pStyle w:val="Caption"/>
        <w:rPr>
          <w:bCs w:val="0"/>
          <w:lang w:eastAsia="en-AU"/>
        </w:rPr>
      </w:pPr>
      <w:r w:rsidRPr="003E3C33">
        <w:rPr>
          <w:noProof/>
          <w:lang w:eastAsia="en-AU"/>
        </w:rPr>
        <w:drawing>
          <wp:inline distT="0" distB="0" distL="0" distR="0" wp14:anchorId="4C7A31C6" wp14:editId="06D454B8">
            <wp:extent cx="5731510" cy="2860930"/>
            <wp:effectExtent l="0" t="0" r="2540" b="0"/>
            <wp:docPr id="12" name="Picture 1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0930"/>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D12C8D" w:rsidRPr="00C4712A">
        <w:t xml:space="preserve">Figure </w:t>
      </w:r>
      <w:r w:rsidR="00D12C8D">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D12C8D" w:rsidRPr="00C4712A">
        <w:t xml:space="preserve">Table </w:t>
      </w:r>
      <w:r w:rsidR="00D12C8D">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fldSimple w:instr=" SEQ Figure \* ARABIC ">
        <w:r w:rsidR="00D12C8D">
          <w:rPr>
            <w:noProof/>
          </w:rPr>
          <w:t>2</w:t>
        </w:r>
      </w:fldSimple>
      <w:bookmarkEnd w:id="10"/>
      <w:r w:rsidRPr="00C4712A">
        <w:t>: Volume weighted average spot price by region ($/MWh)</w:t>
      </w:r>
    </w:p>
    <w:p w:rsidR="001F22EE" w:rsidRDefault="003E3C33" w:rsidP="00F167CF">
      <w:pPr>
        <w:spacing w:before="0" w:after="120" w:line="240" w:lineRule="auto"/>
      </w:pPr>
      <w:r w:rsidRPr="003E3C33">
        <w:rPr>
          <w:noProof/>
          <w:lang w:eastAsia="en-AU"/>
        </w:rPr>
        <w:drawing>
          <wp:inline distT="0" distB="0" distL="0" distR="0" wp14:anchorId="1AC2DDE1" wp14:editId="40C6BBB5">
            <wp:extent cx="5731510" cy="2860930"/>
            <wp:effectExtent l="0" t="0" r="2540" b="0"/>
            <wp:docPr id="15" name="Picture 15"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930"/>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C4712A">
        <w:t xml:space="preserve">Table </w:t>
      </w:r>
      <w:fldSimple w:instr=" SEQ Table \* ARABIC ">
        <w:r w:rsidR="00D12C8D">
          <w:rPr>
            <w:noProof/>
          </w:rPr>
          <w:t>1</w:t>
        </w:r>
      </w:fldSimple>
      <w:bookmarkEnd w:id="11"/>
      <w:r w:rsidRPr="00C4712A">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3E3C33" w:rsidRPr="00C4712A" w:rsidTr="004A364A">
        <w:trPr>
          <w:trHeight w:hRule="exact" w:val="340"/>
        </w:trPr>
        <w:tc>
          <w:tcPr>
            <w:tcW w:w="1357" w:type="pct"/>
            <w:noWrap/>
            <w:vAlign w:val="center"/>
            <w:hideMark/>
          </w:tcPr>
          <w:p w:rsidR="003E3C33" w:rsidRPr="00C4712A" w:rsidRDefault="003E3C33"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3E3C33" w:rsidRDefault="003E3C33" w:rsidP="003E3C33">
            <w:pPr>
              <w:spacing w:before="0" w:after="0" w:line="240" w:lineRule="auto"/>
              <w:jc w:val="center"/>
              <w:rPr>
                <w:rFonts w:cs="Arial"/>
                <w:sz w:val="20"/>
                <w:szCs w:val="20"/>
              </w:rPr>
            </w:pPr>
            <w:r>
              <w:rPr>
                <w:rFonts w:cs="Arial"/>
                <w:sz w:val="20"/>
                <w:szCs w:val="20"/>
              </w:rPr>
              <w:t>48</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38</w:t>
            </w:r>
          </w:p>
        </w:tc>
        <w:tc>
          <w:tcPr>
            <w:tcW w:w="728" w:type="pct"/>
            <w:noWrap/>
            <w:vAlign w:val="center"/>
          </w:tcPr>
          <w:p w:rsidR="003E3C33" w:rsidRDefault="003E3C33" w:rsidP="003E3C33">
            <w:pPr>
              <w:spacing w:before="0" w:after="0" w:line="240" w:lineRule="auto"/>
              <w:jc w:val="center"/>
              <w:rPr>
                <w:rFonts w:cs="Arial"/>
                <w:sz w:val="20"/>
                <w:szCs w:val="20"/>
              </w:rPr>
            </w:pPr>
            <w:r>
              <w:rPr>
                <w:rFonts w:cs="Arial"/>
                <w:sz w:val="20"/>
                <w:szCs w:val="20"/>
              </w:rPr>
              <w:t>36</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45</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125</w:t>
            </w:r>
          </w:p>
        </w:tc>
      </w:tr>
      <w:tr w:rsidR="003E3C33" w:rsidRPr="00C4712A" w:rsidTr="004A364A">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3E3C33" w:rsidRPr="00C4712A" w:rsidRDefault="003E3C33"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3E3C33" w:rsidRDefault="003E3C33" w:rsidP="003E3C33">
            <w:pPr>
              <w:spacing w:before="0" w:after="0" w:line="240" w:lineRule="auto"/>
              <w:jc w:val="center"/>
              <w:rPr>
                <w:rFonts w:cs="Arial"/>
                <w:szCs w:val="20"/>
              </w:rPr>
            </w:pPr>
            <w:r>
              <w:rPr>
                <w:rFonts w:cs="Arial"/>
                <w:szCs w:val="20"/>
              </w:rPr>
              <w:t>62</w:t>
            </w:r>
          </w:p>
        </w:tc>
        <w:tc>
          <w:tcPr>
            <w:tcW w:w="729" w:type="pct"/>
            <w:noWrap/>
            <w:vAlign w:val="center"/>
          </w:tcPr>
          <w:p w:rsidR="003E3C33" w:rsidRDefault="003E3C33" w:rsidP="003E3C33">
            <w:pPr>
              <w:spacing w:before="0" w:after="0" w:line="240" w:lineRule="auto"/>
              <w:jc w:val="center"/>
              <w:rPr>
                <w:rFonts w:cs="Arial"/>
                <w:szCs w:val="20"/>
              </w:rPr>
            </w:pPr>
            <w:r>
              <w:rPr>
                <w:rFonts w:cs="Arial"/>
                <w:szCs w:val="20"/>
              </w:rPr>
              <w:t>37</w:t>
            </w:r>
          </w:p>
        </w:tc>
        <w:tc>
          <w:tcPr>
            <w:tcW w:w="728" w:type="pct"/>
            <w:noWrap/>
            <w:vAlign w:val="center"/>
          </w:tcPr>
          <w:p w:rsidR="003E3C33" w:rsidRDefault="003E3C33" w:rsidP="003E3C33">
            <w:pPr>
              <w:spacing w:before="0" w:after="0" w:line="240" w:lineRule="auto"/>
              <w:jc w:val="center"/>
              <w:rPr>
                <w:rFonts w:cs="Arial"/>
                <w:szCs w:val="20"/>
              </w:rPr>
            </w:pPr>
            <w:r>
              <w:rPr>
                <w:rFonts w:cs="Arial"/>
                <w:szCs w:val="20"/>
              </w:rPr>
              <w:t>32</w:t>
            </w:r>
          </w:p>
        </w:tc>
        <w:tc>
          <w:tcPr>
            <w:tcW w:w="729" w:type="pct"/>
            <w:noWrap/>
            <w:vAlign w:val="center"/>
          </w:tcPr>
          <w:p w:rsidR="003E3C33" w:rsidRDefault="003E3C33" w:rsidP="003E3C33">
            <w:pPr>
              <w:spacing w:before="0" w:after="0" w:line="240" w:lineRule="auto"/>
              <w:jc w:val="center"/>
              <w:rPr>
                <w:rFonts w:cs="Arial"/>
                <w:szCs w:val="20"/>
              </w:rPr>
            </w:pPr>
            <w:r>
              <w:rPr>
                <w:rFonts w:cs="Arial"/>
                <w:szCs w:val="20"/>
              </w:rPr>
              <w:t>41</w:t>
            </w:r>
          </w:p>
        </w:tc>
        <w:tc>
          <w:tcPr>
            <w:tcW w:w="729" w:type="pct"/>
            <w:noWrap/>
            <w:vAlign w:val="center"/>
          </w:tcPr>
          <w:p w:rsidR="003E3C33" w:rsidRDefault="003E3C33" w:rsidP="003E3C33">
            <w:pPr>
              <w:spacing w:before="0" w:after="0" w:line="240" w:lineRule="auto"/>
              <w:jc w:val="center"/>
              <w:rPr>
                <w:rFonts w:cs="Arial"/>
                <w:szCs w:val="20"/>
              </w:rPr>
            </w:pPr>
            <w:r>
              <w:rPr>
                <w:rFonts w:cs="Arial"/>
                <w:szCs w:val="20"/>
              </w:rPr>
              <w:t>38</w:t>
            </w:r>
          </w:p>
        </w:tc>
      </w:tr>
      <w:tr w:rsidR="003E3C33" w:rsidRPr="00C4712A" w:rsidTr="004A364A">
        <w:trPr>
          <w:trHeight w:hRule="exact" w:val="340"/>
        </w:trPr>
        <w:tc>
          <w:tcPr>
            <w:tcW w:w="1357" w:type="pct"/>
            <w:noWrap/>
            <w:vAlign w:val="center"/>
            <w:hideMark/>
          </w:tcPr>
          <w:p w:rsidR="003E3C33" w:rsidRPr="00C4712A" w:rsidRDefault="003E3C33"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3E3C33" w:rsidRDefault="003E3C33" w:rsidP="003E3C33">
            <w:pPr>
              <w:spacing w:before="0" w:after="0" w:line="240" w:lineRule="auto"/>
              <w:jc w:val="center"/>
              <w:rPr>
                <w:rFonts w:cs="Arial"/>
                <w:sz w:val="20"/>
                <w:szCs w:val="20"/>
              </w:rPr>
            </w:pPr>
            <w:r>
              <w:rPr>
                <w:rFonts w:cs="Arial"/>
                <w:sz w:val="20"/>
                <w:szCs w:val="20"/>
              </w:rPr>
              <w:t>49</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46</w:t>
            </w:r>
          </w:p>
        </w:tc>
        <w:tc>
          <w:tcPr>
            <w:tcW w:w="728" w:type="pct"/>
            <w:noWrap/>
            <w:vAlign w:val="center"/>
          </w:tcPr>
          <w:p w:rsidR="003E3C33" w:rsidRDefault="003E3C33" w:rsidP="003E3C33">
            <w:pPr>
              <w:spacing w:before="0" w:after="0" w:line="240" w:lineRule="auto"/>
              <w:jc w:val="center"/>
              <w:rPr>
                <w:rFonts w:cs="Arial"/>
                <w:sz w:val="20"/>
                <w:szCs w:val="20"/>
              </w:rPr>
            </w:pPr>
            <w:r>
              <w:rPr>
                <w:rFonts w:cs="Arial"/>
                <w:sz w:val="20"/>
                <w:szCs w:val="20"/>
              </w:rPr>
              <w:t>43</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62</w:t>
            </w:r>
          </w:p>
        </w:tc>
        <w:tc>
          <w:tcPr>
            <w:tcW w:w="729" w:type="pct"/>
            <w:noWrap/>
            <w:vAlign w:val="center"/>
          </w:tcPr>
          <w:p w:rsidR="003E3C33" w:rsidRDefault="003E3C33" w:rsidP="003E3C33">
            <w:pPr>
              <w:spacing w:before="0" w:after="0" w:line="240" w:lineRule="auto"/>
              <w:jc w:val="center"/>
              <w:rPr>
                <w:rFonts w:cs="Arial"/>
                <w:sz w:val="20"/>
                <w:szCs w:val="20"/>
              </w:rPr>
            </w:pPr>
            <w:r>
              <w:rPr>
                <w:rFonts w:cs="Arial"/>
                <w:sz w:val="20"/>
                <w:szCs w:val="20"/>
              </w:rPr>
              <w:t>68</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3E3C33" w:rsidP="00AF7C0E">
      <w:pPr>
        <w:pStyle w:val="AERbodytext"/>
      </w:pPr>
      <w:r>
        <w:t>There were 325</w:t>
      </w:r>
      <w:r w:rsidR="00C21CBD" w:rsidRPr="00C21CBD">
        <w:t xml:space="preserve"> trading intervals throughout the week where actual prices varied significantly from forecasts. This compares to the weekly average in 2015 of 133 counts an</w:t>
      </w:r>
      <w:r w:rsidR="00C21CBD">
        <w:t>d the average in 2014 of 71.</w:t>
      </w:r>
      <w:r w:rsidR="00C21CBD">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D12C8D" w:rsidRPr="00C4712A">
        <w:t xml:space="preserve">Table </w:t>
      </w:r>
      <w:r w:rsidR="00D12C8D">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fldSimple w:instr=" SEQ Table \* ARABIC ">
        <w:r w:rsidR="00D12C8D">
          <w:rPr>
            <w:noProof/>
          </w:rPr>
          <w:t>2</w:t>
        </w:r>
      </w:fldSimple>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3E3C33" w:rsidRPr="00C4712A" w:rsidTr="00B73C3A">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3E3C33" w:rsidRPr="00C4712A" w:rsidRDefault="003E3C33" w:rsidP="006C62B7">
            <w:pPr>
              <w:spacing w:after="0" w:line="240" w:lineRule="auto"/>
              <w:rPr>
                <w:sz w:val="20"/>
                <w:szCs w:val="20"/>
              </w:rPr>
            </w:pPr>
            <w:r w:rsidRPr="00C4712A">
              <w:rPr>
                <w:sz w:val="20"/>
                <w:szCs w:val="20"/>
              </w:rPr>
              <w:t>% of total above forecast</w:t>
            </w:r>
          </w:p>
        </w:tc>
        <w:tc>
          <w:tcPr>
            <w:tcW w:w="1571" w:type="dxa"/>
            <w:noWrap/>
            <w:vAlign w:val="center"/>
          </w:tcPr>
          <w:p w:rsidR="003E3C33" w:rsidRDefault="003E3C33" w:rsidP="003E3C33">
            <w:pPr>
              <w:spacing w:after="0" w:line="240" w:lineRule="auto"/>
              <w:jc w:val="center"/>
              <w:rPr>
                <w:rFonts w:cs="Arial"/>
                <w:sz w:val="20"/>
                <w:szCs w:val="20"/>
              </w:rPr>
            </w:pPr>
            <w:r>
              <w:rPr>
                <w:rFonts w:cs="Arial"/>
                <w:sz w:val="20"/>
                <w:szCs w:val="20"/>
              </w:rPr>
              <w:t>1</w:t>
            </w:r>
          </w:p>
        </w:tc>
        <w:tc>
          <w:tcPr>
            <w:tcW w:w="1572" w:type="dxa"/>
            <w:noWrap/>
            <w:vAlign w:val="center"/>
          </w:tcPr>
          <w:p w:rsidR="003E3C33" w:rsidRDefault="003E3C33" w:rsidP="003E3C33">
            <w:pPr>
              <w:spacing w:after="0" w:line="240" w:lineRule="auto"/>
              <w:jc w:val="center"/>
              <w:rPr>
                <w:rFonts w:cs="Arial"/>
                <w:sz w:val="20"/>
                <w:szCs w:val="20"/>
              </w:rPr>
            </w:pPr>
            <w:r>
              <w:rPr>
                <w:rFonts w:cs="Arial"/>
                <w:sz w:val="20"/>
                <w:szCs w:val="20"/>
              </w:rPr>
              <w:t>11</w:t>
            </w:r>
          </w:p>
        </w:tc>
        <w:tc>
          <w:tcPr>
            <w:tcW w:w="1572" w:type="dxa"/>
            <w:noWrap/>
            <w:vAlign w:val="center"/>
          </w:tcPr>
          <w:p w:rsidR="003E3C33" w:rsidRDefault="003E3C33" w:rsidP="003E3C33">
            <w:pPr>
              <w:spacing w:after="0" w:line="240" w:lineRule="auto"/>
              <w:jc w:val="center"/>
              <w:rPr>
                <w:rFonts w:cs="Arial"/>
                <w:sz w:val="20"/>
                <w:szCs w:val="20"/>
              </w:rPr>
            </w:pPr>
            <w:r>
              <w:rPr>
                <w:rFonts w:cs="Arial"/>
                <w:sz w:val="20"/>
                <w:szCs w:val="20"/>
              </w:rPr>
              <w:t>0</w:t>
            </w:r>
          </w:p>
        </w:tc>
        <w:tc>
          <w:tcPr>
            <w:tcW w:w="1572" w:type="dxa"/>
            <w:vAlign w:val="center"/>
          </w:tcPr>
          <w:p w:rsidR="003E3C33" w:rsidRDefault="003E3C33" w:rsidP="003E3C33">
            <w:pPr>
              <w:spacing w:after="0" w:line="240" w:lineRule="auto"/>
              <w:jc w:val="center"/>
              <w:rPr>
                <w:rFonts w:cs="Arial"/>
                <w:sz w:val="20"/>
                <w:szCs w:val="20"/>
              </w:rPr>
            </w:pPr>
            <w:r>
              <w:rPr>
                <w:rFonts w:cs="Arial"/>
                <w:sz w:val="20"/>
                <w:szCs w:val="20"/>
              </w:rPr>
              <w:t>1</w:t>
            </w:r>
          </w:p>
        </w:tc>
      </w:tr>
      <w:tr w:rsidR="003E3C33" w:rsidRPr="00C4712A" w:rsidTr="00B73C3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3E3C33" w:rsidRPr="00C4712A" w:rsidRDefault="003E3C33" w:rsidP="006C62B7">
            <w:pPr>
              <w:spacing w:after="0" w:line="240" w:lineRule="auto"/>
              <w:rPr>
                <w:sz w:val="20"/>
                <w:szCs w:val="20"/>
              </w:rPr>
            </w:pPr>
            <w:r w:rsidRPr="00C4712A">
              <w:rPr>
                <w:sz w:val="20"/>
                <w:szCs w:val="20"/>
              </w:rPr>
              <w:t>% of total below forecast</w:t>
            </w:r>
          </w:p>
        </w:tc>
        <w:tc>
          <w:tcPr>
            <w:tcW w:w="1571" w:type="dxa"/>
            <w:noWrap/>
            <w:vAlign w:val="center"/>
          </w:tcPr>
          <w:p w:rsidR="003E3C33" w:rsidRDefault="003E3C33" w:rsidP="003E3C33">
            <w:pPr>
              <w:spacing w:after="0" w:line="240" w:lineRule="auto"/>
              <w:jc w:val="center"/>
              <w:rPr>
                <w:rFonts w:cs="Arial"/>
                <w:sz w:val="20"/>
                <w:szCs w:val="20"/>
              </w:rPr>
            </w:pPr>
            <w:r>
              <w:rPr>
                <w:rFonts w:cs="Arial"/>
                <w:sz w:val="20"/>
                <w:szCs w:val="20"/>
              </w:rPr>
              <w:t>87</w:t>
            </w:r>
          </w:p>
        </w:tc>
        <w:tc>
          <w:tcPr>
            <w:tcW w:w="1572" w:type="dxa"/>
            <w:noWrap/>
            <w:vAlign w:val="center"/>
          </w:tcPr>
          <w:p w:rsidR="003E3C33" w:rsidRDefault="003E3C33" w:rsidP="003E3C33">
            <w:pPr>
              <w:spacing w:after="0" w:line="240" w:lineRule="auto"/>
              <w:jc w:val="center"/>
              <w:rPr>
                <w:rFonts w:cs="Arial"/>
                <w:sz w:val="20"/>
                <w:szCs w:val="20"/>
              </w:rPr>
            </w:pPr>
            <w:r>
              <w:rPr>
                <w:rFonts w:cs="Arial"/>
                <w:sz w:val="20"/>
                <w:szCs w:val="20"/>
              </w:rPr>
              <w:t>1</w:t>
            </w:r>
          </w:p>
        </w:tc>
        <w:tc>
          <w:tcPr>
            <w:tcW w:w="1572" w:type="dxa"/>
            <w:noWrap/>
            <w:vAlign w:val="center"/>
          </w:tcPr>
          <w:p w:rsidR="003E3C33" w:rsidRDefault="003E3C33" w:rsidP="003E3C33">
            <w:pPr>
              <w:spacing w:after="0" w:line="240" w:lineRule="auto"/>
              <w:jc w:val="center"/>
              <w:rPr>
                <w:rFonts w:cs="Arial"/>
                <w:sz w:val="20"/>
                <w:szCs w:val="20"/>
              </w:rPr>
            </w:pPr>
            <w:r>
              <w:rPr>
                <w:rFonts w:cs="Arial"/>
                <w:sz w:val="20"/>
                <w:szCs w:val="20"/>
              </w:rPr>
              <w:t>0</w:t>
            </w:r>
          </w:p>
        </w:tc>
        <w:tc>
          <w:tcPr>
            <w:tcW w:w="1572" w:type="dxa"/>
            <w:vAlign w:val="center"/>
          </w:tcPr>
          <w:p w:rsidR="003E3C33" w:rsidRDefault="003E3C33" w:rsidP="003E3C33">
            <w:pPr>
              <w:spacing w:after="0" w:line="240" w:lineRule="auto"/>
              <w:jc w:val="center"/>
              <w:rPr>
                <w:rFonts w:cs="Arial"/>
                <w:sz w:val="20"/>
                <w:szCs w:val="20"/>
              </w:rPr>
            </w:pPr>
            <w:r>
              <w:rPr>
                <w:rFonts w:cs="Arial"/>
                <w:sz w:val="20"/>
                <w:szCs w:val="20"/>
              </w:rPr>
              <w:t>0</w:t>
            </w:r>
          </w:p>
        </w:tc>
      </w:tr>
    </w:tbl>
    <w:p w:rsidR="00275002" w:rsidRPr="00C4712A" w:rsidRDefault="00275002" w:rsidP="00544C6F">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D12C8D" w:rsidRPr="00C4712A">
        <w:t xml:space="preserve">Figure </w:t>
      </w:r>
      <w:r w:rsidR="00D12C8D">
        <w:t>3</w:t>
      </w:r>
      <w:r w:rsidRPr="00C4712A">
        <w:fldChar w:fldCharType="end"/>
      </w:r>
      <w:r w:rsidRPr="00C4712A">
        <w:t xml:space="preserve"> to</w:t>
      </w:r>
      <w:r w:rsidR="00056949" w:rsidRPr="00C4712A">
        <w:t xml:space="preserve"> </w:t>
      </w:r>
      <w:r w:rsidR="00056949" w:rsidRPr="00C4712A">
        <w:fldChar w:fldCharType="begin"/>
      </w:r>
      <w:r w:rsidR="00056949" w:rsidRPr="00C4712A">
        <w:instrText xml:space="preserve"> REF _Ref433287168 \h </w:instrText>
      </w:r>
      <w:r w:rsidR="008F4C72" w:rsidRPr="00C4712A">
        <w:instrText xml:space="preserve"> \* MERGEFORMAT </w:instrText>
      </w:r>
      <w:r w:rsidR="00056949" w:rsidRPr="00C4712A">
        <w:fldChar w:fldCharType="separate"/>
      </w:r>
      <w:r w:rsidR="00D12C8D" w:rsidRPr="00C4712A">
        <w:t xml:space="preserve">Figure </w:t>
      </w:r>
      <w:r w:rsidR="00D12C8D">
        <w:rPr>
          <w:noProof/>
        </w:rPr>
        <w:t>7</w:t>
      </w:r>
      <w:r w:rsidR="00056949" w:rsidRPr="00C4712A">
        <w:fldChar w:fldCharType="end"/>
      </w:r>
      <w:r w:rsidRPr="00C4712A">
        <w:t xml:space="preserve"> 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fldSimple w:instr=" SEQ Figure \* ARABIC ">
        <w:r w:rsidR="00D12C8D">
          <w:rPr>
            <w:noProof/>
          </w:rPr>
          <w:t>3</w:t>
        </w:r>
      </w:fldSimple>
      <w:bookmarkEnd w:id="14"/>
      <w:r w:rsidRPr="00C4712A">
        <w:t>: Queensland generation and bidding patterns</w:t>
      </w:r>
    </w:p>
    <w:p w:rsidR="00FB265D" w:rsidRPr="00C4712A" w:rsidRDefault="003E3C33" w:rsidP="00FB265D">
      <w:r w:rsidRPr="003E3C33">
        <w:rPr>
          <w:noProof/>
          <w:lang w:eastAsia="en-AU"/>
        </w:rPr>
        <w:drawing>
          <wp:inline distT="0" distB="0" distL="0" distR="0" wp14:anchorId="231BE6B9" wp14:editId="006F0421">
            <wp:extent cx="5731510" cy="4114216"/>
            <wp:effectExtent l="0" t="0" r="2540" b="635"/>
            <wp:docPr id="17" name="Picture 17"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4216"/>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fldSimple w:instr=" SEQ Figure \* ARABIC ">
        <w:r w:rsidR="00D12C8D">
          <w:rPr>
            <w:noProof/>
          </w:rPr>
          <w:t>4</w:t>
        </w:r>
      </w:fldSimple>
      <w:bookmarkEnd w:id="15"/>
      <w:r w:rsidRPr="00C4712A">
        <w:t>: New South Wales generation and bidding patterns</w:t>
      </w:r>
    </w:p>
    <w:p w:rsidR="00181C46" w:rsidRPr="00C4712A" w:rsidRDefault="003E3C33" w:rsidP="00181C46">
      <w:r w:rsidRPr="003E3C33">
        <w:rPr>
          <w:noProof/>
          <w:lang w:eastAsia="en-AU"/>
        </w:rPr>
        <w:drawing>
          <wp:inline distT="0" distB="0" distL="0" distR="0" wp14:anchorId="3DFE0CF4" wp14:editId="5643B180">
            <wp:extent cx="5731510" cy="4118781"/>
            <wp:effectExtent l="0" t="0" r="2540" b="0"/>
            <wp:docPr id="18" name="Picture 18"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781"/>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D12C8D">
          <w:rPr>
            <w:noProof/>
          </w:rPr>
          <w:t>5</w:t>
        </w:r>
      </w:fldSimple>
      <w:r w:rsidRPr="00C4712A">
        <w:t>: Victoria generation and bidding patterns</w:t>
      </w:r>
    </w:p>
    <w:p w:rsidR="00FB265D" w:rsidRPr="00C4712A" w:rsidRDefault="003E3C33" w:rsidP="00FB265D">
      <w:r w:rsidRPr="003E3C33">
        <w:rPr>
          <w:noProof/>
          <w:lang w:eastAsia="en-AU"/>
        </w:rPr>
        <w:drawing>
          <wp:inline distT="0" distB="0" distL="0" distR="0" wp14:anchorId="7DFD5E07" wp14:editId="7C0D2D46">
            <wp:extent cx="5731510" cy="4114216"/>
            <wp:effectExtent l="0" t="0" r="2540" b="635"/>
            <wp:docPr id="19" name="Picture 19"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4216"/>
                    </a:xfrm>
                    <a:prstGeom prst="rect">
                      <a:avLst/>
                    </a:prstGeom>
                    <a:noFill/>
                    <a:ln>
                      <a:noFill/>
                    </a:ln>
                  </pic:spPr>
                </pic:pic>
              </a:graphicData>
            </a:graphic>
          </wp:inline>
        </w:drawing>
      </w:r>
    </w:p>
    <w:p w:rsidR="00275002" w:rsidRPr="00C4712A" w:rsidRDefault="00275002" w:rsidP="000E2946">
      <w:pPr>
        <w:pStyle w:val="Caption"/>
      </w:pPr>
      <w:bookmarkStart w:id="16" w:name="_Ref423965683"/>
      <w:r w:rsidRPr="00C4712A">
        <w:lastRenderedPageBreak/>
        <w:t xml:space="preserve">Figure </w:t>
      </w:r>
      <w:fldSimple w:instr=" SEQ Figure \* ARABIC ">
        <w:r w:rsidR="00D12C8D">
          <w:rPr>
            <w:noProof/>
          </w:rPr>
          <w:t>6</w:t>
        </w:r>
      </w:fldSimple>
      <w:bookmarkEnd w:id="16"/>
      <w:r w:rsidRPr="00C4712A">
        <w:t>: South Australia generation and bidding patterns</w:t>
      </w:r>
    </w:p>
    <w:p w:rsidR="00F019C5" w:rsidRPr="00C4712A" w:rsidRDefault="00EA4DD9" w:rsidP="00F019C5">
      <w:bookmarkStart w:id="17" w:name="_Ref410383520"/>
      <w:r w:rsidRPr="00EA4DD9">
        <w:rPr>
          <w:noProof/>
          <w:lang w:eastAsia="en-AU"/>
        </w:rPr>
        <w:drawing>
          <wp:inline distT="0" distB="0" distL="0" distR="0" wp14:anchorId="208EC480" wp14:editId="201535E6">
            <wp:extent cx="5731510" cy="4124493"/>
            <wp:effectExtent l="0" t="0" r="2540" b="9525"/>
            <wp:docPr id="3" name="Picture 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275002" w:rsidRPr="00C4712A" w:rsidRDefault="00275002" w:rsidP="000E2946">
      <w:pPr>
        <w:pStyle w:val="Caption"/>
      </w:pPr>
      <w:bookmarkStart w:id="18" w:name="_Ref433287168"/>
      <w:r w:rsidRPr="00C4712A">
        <w:t xml:space="preserve">Figure </w:t>
      </w:r>
      <w:fldSimple w:instr=" SEQ Figure \* ARABIC ">
        <w:r w:rsidR="00D12C8D">
          <w:rPr>
            <w:noProof/>
          </w:rPr>
          <w:t>7</w:t>
        </w:r>
      </w:fldSimple>
      <w:bookmarkEnd w:id="17"/>
      <w:bookmarkEnd w:id="18"/>
      <w:r w:rsidRPr="00C4712A">
        <w:t>: Tasmania generation and bidding patterns</w:t>
      </w:r>
    </w:p>
    <w:p w:rsidR="00181C46" w:rsidRPr="00C4712A" w:rsidRDefault="003E3C33" w:rsidP="00181C46">
      <w:r w:rsidRPr="003E3C33">
        <w:rPr>
          <w:noProof/>
          <w:lang w:eastAsia="en-AU"/>
        </w:rPr>
        <w:drawing>
          <wp:inline distT="0" distB="0" distL="0" distR="0" wp14:anchorId="68C17266" wp14:editId="604E9595">
            <wp:extent cx="5731510" cy="4114216"/>
            <wp:effectExtent l="0" t="0" r="2540" b="635"/>
            <wp:docPr id="22" name="Picture 2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4216"/>
                    </a:xfrm>
                    <a:prstGeom prst="rect">
                      <a:avLst/>
                    </a:prstGeom>
                    <a:noFill/>
                    <a:ln>
                      <a:noFill/>
                    </a:ln>
                  </pic:spPr>
                </pic:pic>
              </a:graphicData>
            </a:graphic>
          </wp:inline>
        </w:drawing>
      </w:r>
    </w:p>
    <w:p w:rsidR="00E43848" w:rsidRPr="00C4712A" w:rsidRDefault="00E43848"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1A3CDA" w:rsidRPr="001A3CDA" w:rsidRDefault="001A3CDA" w:rsidP="001A3CDA">
      <w:pPr>
        <w:spacing w:before="0" w:line="240" w:lineRule="auto"/>
        <w:jc w:val="both"/>
        <w:rPr>
          <w:rFonts w:eastAsia="Times New Roman" w:cs="Arial"/>
          <w:bCs/>
          <w:lang w:eastAsia="en-AU"/>
        </w:rPr>
      </w:pPr>
      <w:r w:rsidRPr="001A3CDA">
        <w:rPr>
          <w:rFonts w:eastAsia="Times New Roman" w:cs="Arial"/>
          <w:bCs/>
          <w:lang w:eastAsia="en-AU"/>
        </w:rPr>
        <w:t>The total cost of FCAS on the mainland for the week was $</w:t>
      </w:r>
      <w:r w:rsidR="00224EE7">
        <w:rPr>
          <w:rFonts w:eastAsia="Times New Roman" w:cs="Arial"/>
          <w:bCs/>
          <w:lang w:eastAsia="en-AU"/>
        </w:rPr>
        <w:t>386 500</w:t>
      </w:r>
      <w:r w:rsidRPr="001A3CDA">
        <w:rPr>
          <w:rFonts w:eastAsia="Times New Roman" w:cs="Arial"/>
          <w:bCs/>
          <w:lang w:eastAsia="en-AU"/>
        </w:rPr>
        <w:t xml:space="preserve"> or less than 1 per cent of energy turnover on the mainland.</w:t>
      </w:r>
    </w:p>
    <w:p w:rsidR="000576CD" w:rsidRPr="00C4712A" w:rsidRDefault="001A3CDA" w:rsidP="00AF7C0E">
      <w:pPr>
        <w:pStyle w:val="AERbodytext"/>
      </w:pPr>
      <w:r w:rsidRPr="001A3CDA">
        <w:t xml:space="preserve">The total cost of FCAS in Tasmania for the </w:t>
      </w:r>
      <w:r>
        <w:t>week was $</w:t>
      </w:r>
      <w:r w:rsidR="00224EE7">
        <w:t>316 </w:t>
      </w:r>
      <w:r w:rsidR="001778E3">
        <w:t>5</w:t>
      </w:r>
      <w:r w:rsidR="00224EE7">
        <w:t>00</w:t>
      </w:r>
      <w:r w:rsidR="0049751C">
        <w:t xml:space="preserve"> </w:t>
      </w:r>
      <w:r>
        <w:t xml:space="preserve">or </w:t>
      </w:r>
      <w:r w:rsidR="004A364A">
        <w:t>around</w:t>
      </w:r>
      <w:r>
        <w:t xml:space="preserve"> </w:t>
      </w:r>
      <w:r w:rsidR="001778E3">
        <w:t>2</w:t>
      </w:r>
      <w:r w:rsidRPr="001A3CDA">
        <w:t xml:space="preserve"> per cent of energy turnover in Tasmania.</w:t>
      </w:r>
      <w:r w:rsidR="000576CD" w:rsidRPr="000576CD">
        <w:tab/>
      </w:r>
    </w:p>
    <w:bookmarkStart w:id="19" w:name="_Ref410383413"/>
    <w:p w:rsidR="00F3590E" w:rsidRPr="00C4712A" w:rsidRDefault="00F3590E" w:rsidP="00AF7C0E">
      <w:pPr>
        <w:pStyle w:val="AERbodytext"/>
      </w:pPr>
      <w:r w:rsidRPr="00C4712A">
        <w:fldChar w:fldCharType="begin"/>
      </w:r>
      <w:r w:rsidRPr="00C4712A">
        <w:instrText xml:space="preserve"> REF _Ref418082853 \h </w:instrText>
      </w:r>
      <w:r w:rsidR="00215E19" w:rsidRPr="00C4712A">
        <w:instrText xml:space="preserve"> \* MERGEFORMAT </w:instrText>
      </w:r>
      <w:r w:rsidRPr="00C4712A">
        <w:fldChar w:fldCharType="separate"/>
      </w:r>
      <w:r w:rsidR="00D12C8D" w:rsidRPr="00C4712A">
        <w:t xml:space="preserve">Figure </w:t>
      </w:r>
      <w:r w:rsidR="00D12C8D">
        <w:t>8</w:t>
      </w:r>
      <w:r w:rsidRPr="00C4712A">
        <w:fldChar w:fldCharType="end"/>
      </w:r>
      <w:r w:rsidRPr="00C4712A">
        <w:t xml:space="preserve"> shows the daily breakdown of cost for each FCAS for the NEM, as well as the average cost since the beginning of the previous financial year. </w:t>
      </w:r>
    </w:p>
    <w:p w:rsidR="00275002" w:rsidRPr="00C4712A" w:rsidRDefault="00275002" w:rsidP="000E2946">
      <w:pPr>
        <w:pStyle w:val="Caption"/>
      </w:pPr>
      <w:bookmarkStart w:id="20" w:name="_Ref418082853"/>
      <w:r w:rsidRPr="00C4712A">
        <w:t xml:space="preserve">Figure </w:t>
      </w:r>
      <w:fldSimple w:instr=" SEQ Figure \* ARABIC ">
        <w:r w:rsidR="00D12C8D">
          <w:rPr>
            <w:noProof/>
          </w:rPr>
          <w:t>8</w:t>
        </w:r>
      </w:fldSimple>
      <w:bookmarkEnd w:id="19"/>
      <w:bookmarkEnd w:id="20"/>
      <w:r w:rsidRPr="00C4712A">
        <w:t>: Daily frequency control ancillary service cost</w:t>
      </w:r>
    </w:p>
    <w:p w:rsidR="005A6CB0" w:rsidRPr="00C4712A" w:rsidRDefault="00224EE7" w:rsidP="005A6CB0">
      <w:r w:rsidRPr="00224EE7">
        <w:rPr>
          <w:noProof/>
          <w:lang w:eastAsia="en-AU"/>
        </w:rPr>
        <w:drawing>
          <wp:inline distT="0" distB="0" distL="0" distR="0" wp14:anchorId="41CD6FDD" wp14:editId="014938FF">
            <wp:extent cx="5731510" cy="2894293"/>
            <wp:effectExtent l="0" t="0" r="2540" b="1905"/>
            <wp:docPr id="25" name="Picture 2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293"/>
                    </a:xfrm>
                    <a:prstGeom prst="rect">
                      <a:avLst/>
                    </a:prstGeom>
                    <a:noFill/>
                    <a:ln>
                      <a:noFill/>
                    </a:ln>
                  </pic:spPr>
                </pic:pic>
              </a:graphicData>
            </a:graphic>
          </wp:inline>
        </w:drawing>
      </w:r>
    </w:p>
    <w:p w:rsidR="00224EE7" w:rsidRDefault="00224EE7" w:rsidP="004F6D0A">
      <w:pPr>
        <w:pStyle w:val="AERHeading1"/>
      </w:pPr>
    </w:p>
    <w:p w:rsidR="00224EE7" w:rsidRDefault="00224EE7" w:rsidP="004F6D0A">
      <w:pPr>
        <w:pStyle w:val="AERHeading1"/>
        <w:sectPr w:rsidR="00224EE7" w:rsidSect="00F167CF">
          <w:footerReference w:type="even" r:id="rId19"/>
          <w:footerReference w:type="default" r:id="rId20"/>
          <w:footerReference w:type="first" r:id="rId21"/>
          <w:pgSz w:w="11906" w:h="16838"/>
          <w:pgMar w:top="993" w:right="1440" w:bottom="851" w:left="1440" w:header="708" w:footer="89" w:gutter="0"/>
          <w:pgNumType w:start="1"/>
          <w:cols w:space="708"/>
          <w:titlePg/>
          <w:docGrid w:linePitch="360"/>
        </w:sectPr>
      </w:pPr>
    </w:p>
    <w:p w:rsidR="00950B15" w:rsidRPr="00C4712A" w:rsidRDefault="00950B15" w:rsidP="004F6D0A">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03725" w:rsidRDefault="005B1402" w:rsidP="00AF7C0E">
      <w:pPr>
        <w:pStyle w:val="AERHeading3"/>
        <w:keepNext/>
      </w:pPr>
      <w:r>
        <w:t>Queensland</w:t>
      </w:r>
    </w:p>
    <w:p w:rsidR="002C341F" w:rsidRPr="001B684F" w:rsidRDefault="00E03725" w:rsidP="00AF7C0E">
      <w:pPr>
        <w:pStyle w:val="AERbodytext"/>
        <w:rPr>
          <w:b/>
        </w:rPr>
      </w:pPr>
      <w:r w:rsidRPr="00E03725">
        <w:t xml:space="preserve">There </w:t>
      </w:r>
      <w:r w:rsidR="003F004E">
        <w:t>were three</w:t>
      </w:r>
      <w:r w:rsidRPr="00E03725">
        <w:t xml:space="preserve"> occasion</w:t>
      </w:r>
      <w:r w:rsidR="003F004E">
        <w:t>s</w:t>
      </w:r>
      <w:r w:rsidRPr="00E03725">
        <w:t xml:space="preserve"> where the spot price in </w:t>
      </w:r>
      <w:r w:rsidR="003F004E">
        <w:t>Queensland</w:t>
      </w:r>
      <w:r w:rsidRPr="00E03725">
        <w:t xml:space="preserve"> was greater than three times </w:t>
      </w:r>
      <w:r w:rsidR="003F004E">
        <w:t>the Queensland</w:t>
      </w:r>
      <w:r w:rsidRPr="00E03725">
        <w:t xml:space="preserve"> weekly </w:t>
      </w:r>
      <w:r w:rsidR="003F004E">
        <w:t>average price of $48</w:t>
      </w:r>
      <w:r w:rsidRPr="00E03725">
        <w:t>/MWh and above $250/MWh.</w:t>
      </w:r>
    </w:p>
    <w:p w:rsidR="002C341F" w:rsidRDefault="005B1402" w:rsidP="002C341F">
      <w:pPr>
        <w:pStyle w:val="Caption"/>
        <w:rPr>
          <w:rFonts w:eastAsia="Times New Roman" w:cs="Times New Roman"/>
          <w:color w:val="51626F"/>
          <w:szCs w:val="20"/>
        </w:rPr>
      </w:pPr>
      <w:r>
        <w:rPr>
          <w:rFonts w:eastAsia="Times New Roman" w:cs="Times New Roman"/>
          <w:color w:val="51626F"/>
          <w:szCs w:val="20"/>
        </w:rPr>
        <w:t>Monday</w:t>
      </w:r>
      <w:r w:rsidR="00E03725">
        <w:rPr>
          <w:rFonts w:eastAsia="Times New Roman" w:cs="Times New Roman"/>
          <w:color w:val="51626F"/>
          <w:szCs w:val="20"/>
        </w:rPr>
        <w:t xml:space="preserve">, </w:t>
      </w:r>
      <w:r>
        <w:rPr>
          <w:rFonts w:eastAsia="Times New Roman" w:cs="Times New Roman"/>
          <w:color w:val="51626F"/>
          <w:szCs w:val="20"/>
        </w:rPr>
        <w:t>8</w:t>
      </w:r>
      <w:r w:rsidR="002C341F">
        <w:rPr>
          <w:rFonts w:eastAsia="Times New Roman" w:cs="Times New Roman"/>
          <w:color w:val="51626F"/>
          <w:szCs w:val="20"/>
        </w:rPr>
        <w:t xml:space="preserve"> </w:t>
      </w:r>
      <w:r>
        <w:rPr>
          <w:rFonts w:eastAsia="Times New Roman" w:cs="Times New Roman"/>
          <w:color w:val="51626F"/>
          <w:szCs w:val="20"/>
        </w:rPr>
        <w:t>February</w:t>
      </w:r>
    </w:p>
    <w:p w:rsidR="002C341F" w:rsidRPr="009C7E88" w:rsidRDefault="002C341F" w:rsidP="002C341F">
      <w:pPr>
        <w:pStyle w:val="Caption"/>
      </w:pPr>
      <w:r>
        <w:t xml:space="preserve">Table </w:t>
      </w:r>
      <w:r w:rsidRPr="002C341F">
        <w:t>3:</w:t>
      </w:r>
      <w:r w:rsidRPr="009C7E88">
        <w:t xml:space="preserve"> Price, Demand and Availability</w:t>
      </w:r>
    </w:p>
    <w:tbl>
      <w:tblPr>
        <w:tblStyle w:val="AERsummarytable2"/>
        <w:tblW w:w="5000" w:type="pct"/>
        <w:tblLayout w:type="fixed"/>
        <w:tblLook w:val="04A0" w:firstRow="1" w:lastRow="0" w:firstColumn="1" w:lastColumn="0" w:noHBand="0" w:noVBand="1"/>
      </w:tblPr>
      <w:tblGrid>
        <w:gridCol w:w="956"/>
        <w:gridCol w:w="920"/>
        <w:gridCol w:w="920"/>
        <w:gridCol w:w="920"/>
        <w:gridCol w:w="921"/>
        <w:gridCol w:w="921"/>
        <w:gridCol w:w="921"/>
        <w:gridCol w:w="921"/>
        <w:gridCol w:w="921"/>
        <w:gridCol w:w="921"/>
      </w:tblGrid>
      <w:tr w:rsidR="004F6D0A" w:rsidRPr="004F6D0A" w:rsidTr="004F6D0A">
        <w:trPr>
          <w:cnfStyle w:val="100000000000" w:firstRow="1" w:lastRow="0" w:firstColumn="0" w:lastColumn="0" w:oddVBand="0" w:evenVBand="0" w:oddHBand="0" w:evenHBand="0" w:firstRowFirstColumn="0" w:firstRowLastColumn="0" w:lastRowFirstColumn="0" w:lastRowLastColumn="0"/>
          <w:tblHeader/>
        </w:trPr>
        <w:tc>
          <w:tcPr>
            <w:tcW w:w="518" w:type="pct"/>
            <w:hideMark/>
          </w:tcPr>
          <w:p w:rsidR="002C341F" w:rsidRPr="004F6D0A" w:rsidRDefault="002C341F" w:rsidP="00C24398">
            <w:pPr>
              <w:pStyle w:val="TableHeading"/>
              <w:jc w:val="center"/>
              <w:rPr>
                <w:rFonts w:cs="Arial"/>
                <w:b w:val="0"/>
                <w:sz w:val="20"/>
                <w:szCs w:val="20"/>
              </w:rPr>
            </w:pPr>
            <w:r w:rsidRPr="004F6D0A">
              <w:rPr>
                <w:rFonts w:cs="Arial"/>
                <w:b w:val="0"/>
                <w:sz w:val="20"/>
                <w:szCs w:val="20"/>
              </w:rPr>
              <w:t xml:space="preserve">Time </w:t>
            </w:r>
          </w:p>
        </w:tc>
        <w:tc>
          <w:tcPr>
            <w:tcW w:w="1494" w:type="pct"/>
            <w:gridSpan w:val="3"/>
            <w:hideMark/>
          </w:tcPr>
          <w:p w:rsidR="002C341F" w:rsidRPr="004F6D0A" w:rsidRDefault="002C341F" w:rsidP="00C24398">
            <w:pPr>
              <w:pStyle w:val="TableHeading"/>
              <w:jc w:val="center"/>
              <w:rPr>
                <w:rFonts w:cs="Arial"/>
                <w:b w:val="0"/>
                <w:sz w:val="20"/>
                <w:szCs w:val="20"/>
              </w:rPr>
            </w:pPr>
            <w:r w:rsidRPr="004F6D0A">
              <w:rPr>
                <w:rFonts w:cs="Arial"/>
                <w:b w:val="0"/>
                <w:sz w:val="20"/>
                <w:szCs w:val="20"/>
              </w:rPr>
              <w:t>Price ($/MWh)</w:t>
            </w:r>
          </w:p>
        </w:tc>
        <w:tc>
          <w:tcPr>
            <w:tcW w:w="1494" w:type="pct"/>
            <w:gridSpan w:val="3"/>
            <w:hideMark/>
          </w:tcPr>
          <w:p w:rsidR="002C341F" w:rsidRPr="004F6D0A" w:rsidRDefault="002C341F" w:rsidP="00C24398">
            <w:pPr>
              <w:pStyle w:val="TableHeading"/>
              <w:jc w:val="center"/>
              <w:rPr>
                <w:rFonts w:cs="Arial"/>
                <w:b w:val="0"/>
                <w:sz w:val="20"/>
                <w:szCs w:val="20"/>
              </w:rPr>
            </w:pPr>
            <w:r w:rsidRPr="004F6D0A">
              <w:rPr>
                <w:rFonts w:cs="Arial"/>
                <w:b w:val="0"/>
                <w:sz w:val="20"/>
                <w:szCs w:val="20"/>
              </w:rPr>
              <w:t>Demand (MW)</w:t>
            </w:r>
          </w:p>
        </w:tc>
        <w:tc>
          <w:tcPr>
            <w:tcW w:w="1494" w:type="pct"/>
            <w:gridSpan w:val="3"/>
            <w:hideMark/>
          </w:tcPr>
          <w:p w:rsidR="002C341F" w:rsidRPr="004F6D0A" w:rsidRDefault="002C341F" w:rsidP="00C24398">
            <w:pPr>
              <w:pStyle w:val="TableHeading"/>
              <w:jc w:val="center"/>
              <w:rPr>
                <w:rFonts w:cs="Arial"/>
                <w:b w:val="0"/>
                <w:sz w:val="20"/>
                <w:szCs w:val="20"/>
              </w:rPr>
            </w:pPr>
            <w:r w:rsidRPr="004F6D0A">
              <w:rPr>
                <w:rFonts w:cs="Arial"/>
                <w:b w:val="0"/>
                <w:sz w:val="20"/>
                <w:szCs w:val="20"/>
              </w:rPr>
              <w:t>Availability (MW)</w:t>
            </w:r>
          </w:p>
        </w:tc>
      </w:tr>
      <w:tr w:rsidR="004F6D0A" w:rsidRPr="004F6D0A" w:rsidTr="004F6D0A">
        <w:trPr>
          <w:cnfStyle w:val="100000000000" w:firstRow="1" w:lastRow="0" w:firstColumn="0" w:lastColumn="0" w:oddVBand="0" w:evenVBand="0" w:oddHBand="0" w:evenHBand="0" w:firstRowFirstColumn="0" w:firstRowLastColumn="0" w:lastRowFirstColumn="0" w:lastRowLastColumn="0"/>
          <w:tblHeader/>
        </w:trPr>
        <w:tc>
          <w:tcPr>
            <w:tcW w:w="51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 </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4 hr forecast</w:t>
            </w:r>
          </w:p>
        </w:tc>
        <w:tc>
          <w:tcPr>
            <w:tcW w:w="497" w:type="pct"/>
            <w:tcMar>
              <w:left w:w="57" w:type="dxa"/>
              <w:right w:w="57" w:type="dxa"/>
            </w:tcMar>
            <w:hideMark/>
          </w:tcPr>
          <w:p w:rsidR="002C341F" w:rsidRPr="004F6D0A" w:rsidRDefault="002C341F" w:rsidP="00C24398">
            <w:pPr>
              <w:pStyle w:val="tableheadingline2"/>
              <w:rPr>
                <w:rFonts w:cs="Arial"/>
                <w:sz w:val="20"/>
                <w:szCs w:val="20"/>
              </w:rPr>
            </w:pPr>
            <w:r w:rsidRPr="004F6D0A">
              <w:rPr>
                <w:rFonts w:cs="Arial"/>
                <w:sz w:val="20"/>
                <w:szCs w:val="20"/>
              </w:rPr>
              <w:t>12 hr forecast</w:t>
            </w:r>
          </w:p>
        </w:tc>
      </w:tr>
      <w:tr w:rsidR="004F6D0A" w:rsidRPr="00E15B15" w:rsidTr="004F6D0A">
        <w:trPr>
          <w:cnfStyle w:val="000000100000" w:firstRow="0" w:lastRow="0" w:firstColumn="0" w:lastColumn="0" w:oddVBand="0" w:evenVBand="0" w:oddHBand="1" w:evenHBand="0" w:firstRowFirstColumn="0" w:firstRowLastColumn="0" w:lastRowFirstColumn="0" w:lastRowLastColumn="0"/>
          <w:trHeight w:val="510"/>
        </w:trPr>
        <w:tc>
          <w:tcPr>
            <w:tcW w:w="518" w:type="pct"/>
            <w:vAlign w:val="center"/>
          </w:tcPr>
          <w:p w:rsidR="005B1402" w:rsidRPr="004F6D0A" w:rsidRDefault="005B1402" w:rsidP="004F6D0A">
            <w:pPr>
              <w:jc w:val="center"/>
              <w:textAlignment w:val="center"/>
              <w:rPr>
                <w:rFonts w:cs="Arial"/>
                <w:b/>
                <w:color w:val="000000"/>
                <w:szCs w:val="18"/>
              </w:rPr>
            </w:pPr>
            <w:r w:rsidRPr="004F6D0A">
              <w:rPr>
                <w:rFonts w:cs="Arial"/>
                <w:b/>
                <w:color w:val="000000"/>
                <w:szCs w:val="18"/>
              </w:rPr>
              <w:t>4.30 PM</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262.11</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99.00</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200.15</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7378</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7490</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7507</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10 471</w:t>
            </w:r>
          </w:p>
        </w:tc>
        <w:tc>
          <w:tcPr>
            <w:tcW w:w="498"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10 489</w:t>
            </w:r>
          </w:p>
        </w:tc>
        <w:tc>
          <w:tcPr>
            <w:tcW w:w="497" w:type="pct"/>
            <w:vAlign w:val="center"/>
          </w:tcPr>
          <w:p w:rsidR="005B1402" w:rsidRPr="005B1402" w:rsidRDefault="005B1402" w:rsidP="004F6D0A">
            <w:pPr>
              <w:jc w:val="center"/>
              <w:textAlignment w:val="center"/>
              <w:rPr>
                <w:rFonts w:cs="Arial"/>
                <w:color w:val="000000"/>
                <w:szCs w:val="18"/>
              </w:rPr>
            </w:pPr>
            <w:r w:rsidRPr="005B1402">
              <w:rPr>
                <w:rFonts w:cs="Arial"/>
                <w:color w:val="000000"/>
                <w:szCs w:val="18"/>
              </w:rPr>
              <w:t>10 489</w:t>
            </w:r>
          </w:p>
        </w:tc>
      </w:tr>
    </w:tbl>
    <w:p w:rsidR="005B1402" w:rsidRDefault="00201C06" w:rsidP="00AF7C0E">
      <w:pPr>
        <w:pStyle w:val="AERbodytext"/>
      </w:pPr>
      <w:r w:rsidRPr="00201C06">
        <w:t>Conditions at the time saw demand and available capacity close to forecast.</w:t>
      </w:r>
    </w:p>
    <w:p w:rsidR="008B22BE" w:rsidRDefault="008B22BE" w:rsidP="008B22BE">
      <w:pPr>
        <w:pStyle w:val="Caption"/>
      </w:pPr>
      <w:r>
        <w:t>Table 4</w:t>
      </w:r>
      <w:r w:rsidRPr="006D1D94">
        <w:t>: Rebids</w:t>
      </w:r>
      <w:r>
        <w:t xml:space="preserve"> for the 4.30 pm trading interval</w:t>
      </w:r>
    </w:p>
    <w:tbl>
      <w:tblPr>
        <w:tblStyle w:val="AERTable-Text"/>
        <w:tblW w:w="9412" w:type="dxa"/>
        <w:tblLayout w:type="fixed"/>
        <w:tblLook w:val="04A0" w:firstRow="1" w:lastRow="0" w:firstColumn="1" w:lastColumn="0" w:noHBand="0" w:noVBand="1"/>
      </w:tblPr>
      <w:tblGrid>
        <w:gridCol w:w="1032"/>
        <w:gridCol w:w="980"/>
        <w:gridCol w:w="1525"/>
        <w:gridCol w:w="1167"/>
        <w:gridCol w:w="949"/>
        <w:gridCol w:w="906"/>
        <w:gridCol w:w="906"/>
        <w:gridCol w:w="1947"/>
      </w:tblGrid>
      <w:tr w:rsidR="008B22BE" w:rsidRPr="006D1D94" w:rsidTr="00AB69B7">
        <w:trPr>
          <w:cnfStyle w:val="100000000000" w:firstRow="1" w:lastRow="0" w:firstColumn="0" w:lastColumn="0" w:oddVBand="0" w:evenVBand="0" w:oddHBand="0" w:evenHBand="0" w:firstRowFirstColumn="0" w:firstRowLastColumn="0" w:lastRowFirstColumn="0" w:lastRowLastColumn="0"/>
          <w:trHeight w:val="210"/>
          <w:tblHeader/>
        </w:trPr>
        <w:tc>
          <w:tcPr>
            <w:tcW w:w="1032" w:type="dxa"/>
            <w:hideMark/>
          </w:tcPr>
          <w:p w:rsidR="008B22BE" w:rsidRPr="00361D84" w:rsidRDefault="008B22BE" w:rsidP="00361D84">
            <w:pPr>
              <w:pStyle w:val="TableHeading"/>
              <w:jc w:val="center"/>
              <w:rPr>
                <w:rFonts w:cs="Arial"/>
                <w:b w:val="0"/>
                <w:szCs w:val="20"/>
              </w:rPr>
            </w:pPr>
            <w:r w:rsidRPr="00361D84">
              <w:rPr>
                <w:rFonts w:cs="Arial"/>
                <w:b w:val="0"/>
                <w:szCs w:val="20"/>
              </w:rPr>
              <w:t>Submitted</w:t>
            </w:r>
            <w:r w:rsidRPr="00361D84">
              <w:rPr>
                <w:rFonts w:cs="Arial"/>
                <w:b w:val="0"/>
                <w:szCs w:val="20"/>
              </w:rPr>
              <w:br/>
              <w:t>time</w:t>
            </w:r>
          </w:p>
        </w:tc>
        <w:tc>
          <w:tcPr>
            <w:tcW w:w="980" w:type="dxa"/>
            <w:hideMark/>
          </w:tcPr>
          <w:p w:rsidR="008B22BE" w:rsidRPr="00361D84" w:rsidRDefault="008B22BE" w:rsidP="00361D84">
            <w:pPr>
              <w:pStyle w:val="TableHeading"/>
              <w:jc w:val="center"/>
              <w:rPr>
                <w:rFonts w:cs="Arial"/>
                <w:b w:val="0"/>
                <w:szCs w:val="20"/>
              </w:rPr>
            </w:pPr>
            <w:r w:rsidRPr="00361D84">
              <w:rPr>
                <w:rFonts w:cs="Arial"/>
                <w:b w:val="0"/>
                <w:szCs w:val="20"/>
              </w:rPr>
              <w:t>Time</w:t>
            </w:r>
            <w:r w:rsidRPr="00361D84">
              <w:rPr>
                <w:rFonts w:cs="Arial"/>
                <w:b w:val="0"/>
                <w:szCs w:val="20"/>
              </w:rPr>
              <w:br/>
              <w:t>effective</w:t>
            </w:r>
          </w:p>
        </w:tc>
        <w:tc>
          <w:tcPr>
            <w:tcW w:w="1525" w:type="dxa"/>
            <w:hideMark/>
          </w:tcPr>
          <w:p w:rsidR="008B22BE" w:rsidRPr="00361D84" w:rsidRDefault="008B22BE" w:rsidP="00361D84">
            <w:pPr>
              <w:pStyle w:val="TableHeading"/>
              <w:jc w:val="center"/>
              <w:rPr>
                <w:rFonts w:cs="Arial"/>
                <w:b w:val="0"/>
                <w:szCs w:val="20"/>
              </w:rPr>
            </w:pPr>
            <w:r w:rsidRPr="00361D84">
              <w:rPr>
                <w:rFonts w:cs="Arial"/>
                <w:b w:val="0"/>
                <w:szCs w:val="20"/>
              </w:rPr>
              <w:t>Participant</w:t>
            </w:r>
          </w:p>
        </w:tc>
        <w:tc>
          <w:tcPr>
            <w:tcW w:w="1167" w:type="dxa"/>
            <w:hideMark/>
          </w:tcPr>
          <w:p w:rsidR="008B22BE" w:rsidRPr="00361D84" w:rsidRDefault="008B22BE" w:rsidP="00361D84">
            <w:pPr>
              <w:pStyle w:val="TableHeading"/>
              <w:jc w:val="center"/>
              <w:rPr>
                <w:rFonts w:cs="Arial"/>
                <w:b w:val="0"/>
                <w:szCs w:val="20"/>
              </w:rPr>
            </w:pPr>
            <w:r w:rsidRPr="00361D84">
              <w:rPr>
                <w:rFonts w:cs="Arial"/>
                <w:b w:val="0"/>
                <w:szCs w:val="20"/>
              </w:rPr>
              <w:t>Station</w:t>
            </w:r>
          </w:p>
        </w:tc>
        <w:tc>
          <w:tcPr>
            <w:tcW w:w="949" w:type="dxa"/>
            <w:hideMark/>
          </w:tcPr>
          <w:p w:rsidR="008B22BE" w:rsidRPr="00361D84" w:rsidRDefault="008B22BE" w:rsidP="00361D84">
            <w:pPr>
              <w:pStyle w:val="TableHeading"/>
              <w:jc w:val="center"/>
              <w:rPr>
                <w:rFonts w:cs="Arial"/>
                <w:b w:val="0"/>
                <w:szCs w:val="20"/>
              </w:rPr>
            </w:pPr>
            <w:r w:rsidRPr="00361D84">
              <w:rPr>
                <w:rFonts w:cs="Arial"/>
                <w:b w:val="0"/>
                <w:szCs w:val="20"/>
              </w:rPr>
              <w:t>Capacity rebid</w:t>
            </w:r>
            <w:r w:rsidRPr="00361D84">
              <w:rPr>
                <w:rFonts w:cs="Arial"/>
                <w:b w:val="0"/>
                <w:szCs w:val="20"/>
              </w:rPr>
              <w:br/>
              <w:t>(MW)</w:t>
            </w:r>
          </w:p>
        </w:tc>
        <w:tc>
          <w:tcPr>
            <w:tcW w:w="906" w:type="dxa"/>
            <w:hideMark/>
          </w:tcPr>
          <w:p w:rsidR="008B22BE" w:rsidRPr="00361D84" w:rsidRDefault="008B22BE" w:rsidP="00361D84">
            <w:pPr>
              <w:pStyle w:val="TableHeading"/>
              <w:jc w:val="center"/>
              <w:rPr>
                <w:rFonts w:cs="Arial"/>
                <w:b w:val="0"/>
                <w:szCs w:val="20"/>
              </w:rPr>
            </w:pPr>
            <w:r w:rsidRPr="00361D84">
              <w:rPr>
                <w:rFonts w:cs="Arial"/>
                <w:b w:val="0"/>
                <w:szCs w:val="20"/>
              </w:rPr>
              <w:t>Price from</w:t>
            </w:r>
            <w:r w:rsidRPr="00361D84">
              <w:rPr>
                <w:rFonts w:cs="Arial"/>
                <w:b w:val="0"/>
                <w:szCs w:val="20"/>
              </w:rPr>
              <w:br/>
              <w:t>($/MWh)</w:t>
            </w:r>
          </w:p>
        </w:tc>
        <w:tc>
          <w:tcPr>
            <w:tcW w:w="906" w:type="dxa"/>
            <w:hideMark/>
          </w:tcPr>
          <w:p w:rsidR="008B22BE" w:rsidRPr="00361D84" w:rsidRDefault="008B22BE" w:rsidP="00361D84">
            <w:pPr>
              <w:pStyle w:val="TableHeading"/>
              <w:jc w:val="center"/>
              <w:rPr>
                <w:rFonts w:cs="Arial"/>
                <w:b w:val="0"/>
                <w:szCs w:val="20"/>
              </w:rPr>
            </w:pPr>
            <w:r w:rsidRPr="00361D84">
              <w:rPr>
                <w:rFonts w:cs="Arial"/>
                <w:b w:val="0"/>
                <w:szCs w:val="20"/>
              </w:rPr>
              <w:t>Price to</w:t>
            </w:r>
            <w:r w:rsidRPr="00361D84">
              <w:rPr>
                <w:rFonts w:cs="Arial"/>
                <w:b w:val="0"/>
                <w:szCs w:val="20"/>
              </w:rPr>
              <w:br/>
              <w:t>($/MWh)</w:t>
            </w:r>
          </w:p>
        </w:tc>
        <w:tc>
          <w:tcPr>
            <w:tcW w:w="1947" w:type="dxa"/>
            <w:hideMark/>
          </w:tcPr>
          <w:p w:rsidR="008B22BE" w:rsidRPr="00361D84" w:rsidRDefault="008B22BE" w:rsidP="00361D84">
            <w:pPr>
              <w:pStyle w:val="TableHeading"/>
              <w:jc w:val="center"/>
              <w:rPr>
                <w:rFonts w:cs="Arial"/>
                <w:b w:val="0"/>
                <w:szCs w:val="20"/>
              </w:rPr>
            </w:pPr>
            <w:r w:rsidRPr="00361D84">
              <w:rPr>
                <w:rFonts w:cs="Arial"/>
                <w:b w:val="0"/>
                <w:szCs w:val="20"/>
              </w:rPr>
              <w:t>Rebid reason</w:t>
            </w:r>
          </w:p>
        </w:tc>
      </w:tr>
      <w:tr w:rsidR="008B22BE" w:rsidRPr="006D1D94" w:rsidTr="00AB69B7">
        <w:trPr>
          <w:trHeight w:val="582"/>
        </w:trPr>
        <w:tc>
          <w:tcPr>
            <w:tcW w:w="1032" w:type="dxa"/>
            <w:vAlign w:val="center"/>
          </w:tcPr>
          <w:p w:rsidR="008B22BE" w:rsidRPr="00727D4D" w:rsidRDefault="008B22BE" w:rsidP="00AB69B7">
            <w:pPr>
              <w:jc w:val="center"/>
              <w:textAlignment w:val="center"/>
              <w:rPr>
                <w:rFonts w:cs="Arial"/>
                <w:color w:val="000000"/>
                <w:szCs w:val="18"/>
              </w:rPr>
            </w:pPr>
            <w:r>
              <w:rPr>
                <w:rFonts w:cs="Arial"/>
                <w:color w:val="000000"/>
                <w:szCs w:val="18"/>
              </w:rPr>
              <w:t>3.29</w:t>
            </w:r>
            <w:r w:rsidRPr="00727D4D">
              <w:rPr>
                <w:rFonts w:cs="Arial"/>
                <w:color w:val="000000"/>
                <w:szCs w:val="18"/>
              </w:rPr>
              <w:t xml:space="preserve"> pm</w:t>
            </w:r>
          </w:p>
        </w:tc>
        <w:tc>
          <w:tcPr>
            <w:tcW w:w="980" w:type="dxa"/>
            <w:vAlign w:val="center"/>
          </w:tcPr>
          <w:p w:rsidR="008B22BE" w:rsidRPr="00727D4D" w:rsidRDefault="008B22BE" w:rsidP="00AB69B7">
            <w:pPr>
              <w:jc w:val="center"/>
              <w:textAlignment w:val="center"/>
              <w:rPr>
                <w:rFonts w:cs="Arial"/>
                <w:color w:val="000000"/>
                <w:szCs w:val="18"/>
              </w:rPr>
            </w:pPr>
          </w:p>
        </w:tc>
        <w:tc>
          <w:tcPr>
            <w:tcW w:w="1525" w:type="dxa"/>
            <w:vAlign w:val="center"/>
          </w:tcPr>
          <w:p w:rsidR="008B22BE" w:rsidRPr="00727D4D" w:rsidRDefault="008B22BE" w:rsidP="00AB69B7">
            <w:pPr>
              <w:textAlignment w:val="center"/>
              <w:rPr>
                <w:rFonts w:cs="Arial"/>
                <w:color w:val="000000"/>
                <w:szCs w:val="18"/>
              </w:rPr>
            </w:pPr>
            <w:r>
              <w:rPr>
                <w:rFonts w:cs="Arial"/>
                <w:color w:val="000000"/>
                <w:szCs w:val="18"/>
              </w:rPr>
              <w:t>Millmerran Energy Trader</w:t>
            </w:r>
          </w:p>
        </w:tc>
        <w:tc>
          <w:tcPr>
            <w:tcW w:w="1167" w:type="dxa"/>
            <w:vAlign w:val="center"/>
          </w:tcPr>
          <w:p w:rsidR="008B22BE" w:rsidRPr="00727D4D" w:rsidRDefault="008B22BE" w:rsidP="00AB69B7">
            <w:pPr>
              <w:textAlignment w:val="center"/>
              <w:rPr>
                <w:rFonts w:cs="Arial"/>
                <w:color w:val="000000"/>
                <w:szCs w:val="18"/>
              </w:rPr>
            </w:pPr>
            <w:r>
              <w:rPr>
                <w:rFonts w:cs="Arial"/>
                <w:color w:val="000000"/>
                <w:szCs w:val="18"/>
              </w:rPr>
              <w:t>Millmerran</w:t>
            </w:r>
          </w:p>
        </w:tc>
        <w:tc>
          <w:tcPr>
            <w:tcW w:w="949" w:type="dxa"/>
            <w:vAlign w:val="center"/>
          </w:tcPr>
          <w:p w:rsidR="008B22BE" w:rsidRPr="00727D4D" w:rsidRDefault="008B22BE" w:rsidP="00AB69B7">
            <w:pPr>
              <w:jc w:val="center"/>
              <w:textAlignment w:val="center"/>
              <w:rPr>
                <w:rFonts w:cs="Arial"/>
                <w:color w:val="000000"/>
                <w:szCs w:val="18"/>
              </w:rPr>
            </w:pPr>
            <w:r>
              <w:rPr>
                <w:rFonts w:cs="Arial"/>
                <w:color w:val="000000"/>
                <w:szCs w:val="18"/>
              </w:rPr>
              <w:t>130</w:t>
            </w:r>
          </w:p>
        </w:tc>
        <w:tc>
          <w:tcPr>
            <w:tcW w:w="906" w:type="dxa"/>
            <w:vAlign w:val="center"/>
          </w:tcPr>
          <w:p w:rsidR="008B22BE" w:rsidRPr="00727D4D" w:rsidRDefault="008B22BE" w:rsidP="00AB69B7">
            <w:pPr>
              <w:jc w:val="center"/>
              <w:textAlignment w:val="center"/>
              <w:rPr>
                <w:rFonts w:cs="Arial"/>
                <w:color w:val="000000"/>
                <w:szCs w:val="18"/>
              </w:rPr>
            </w:pPr>
            <w:r>
              <w:rPr>
                <w:rFonts w:cs="Arial"/>
                <w:color w:val="000000"/>
                <w:szCs w:val="18"/>
              </w:rPr>
              <w:t>7</w:t>
            </w:r>
          </w:p>
        </w:tc>
        <w:tc>
          <w:tcPr>
            <w:tcW w:w="906" w:type="dxa"/>
            <w:vAlign w:val="center"/>
          </w:tcPr>
          <w:p w:rsidR="008B22BE" w:rsidRPr="00727D4D" w:rsidRDefault="008B22BE" w:rsidP="00AB69B7">
            <w:pPr>
              <w:jc w:val="center"/>
              <w:textAlignment w:val="center"/>
              <w:rPr>
                <w:rFonts w:cs="Arial"/>
                <w:color w:val="000000"/>
                <w:szCs w:val="18"/>
              </w:rPr>
            </w:pPr>
            <w:r w:rsidRPr="00727D4D">
              <w:rPr>
                <w:rFonts w:cs="Arial"/>
                <w:color w:val="000000"/>
                <w:szCs w:val="18"/>
              </w:rPr>
              <w:t>13 800</w:t>
            </w:r>
          </w:p>
        </w:tc>
        <w:tc>
          <w:tcPr>
            <w:tcW w:w="1947" w:type="dxa"/>
            <w:vAlign w:val="center"/>
          </w:tcPr>
          <w:p w:rsidR="008B22BE" w:rsidRPr="00727D4D" w:rsidRDefault="008B22BE" w:rsidP="00AB69B7">
            <w:pPr>
              <w:textAlignment w:val="center"/>
              <w:rPr>
                <w:rFonts w:cs="Arial"/>
                <w:color w:val="000000"/>
                <w:szCs w:val="18"/>
              </w:rPr>
            </w:pPr>
            <w:r w:rsidRPr="008B22BE">
              <w:rPr>
                <w:rFonts w:cs="Arial"/>
                <w:szCs w:val="18"/>
              </w:rPr>
              <w:t>15:27 A: CHANGE IN 5MIN PD RRP - SL</w:t>
            </w:r>
          </w:p>
        </w:tc>
      </w:tr>
      <w:tr w:rsidR="008B22BE" w:rsidRPr="006D1D94" w:rsidTr="00AB69B7">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8B22BE" w:rsidRPr="00727D4D" w:rsidRDefault="008B22BE" w:rsidP="008B22BE">
            <w:pPr>
              <w:jc w:val="center"/>
              <w:textAlignment w:val="center"/>
              <w:rPr>
                <w:rFonts w:cs="Arial"/>
                <w:color w:val="000000"/>
                <w:sz w:val="18"/>
                <w:szCs w:val="18"/>
              </w:rPr>
            </w:pPr>
            <w:r>
              <w:rPr>
                <w:rFonts w:cs="Arial"/>
                <w:color w:val="000000"/>
                <w:sz w:val="18"/>
                <w:szCs w:val="18"/>
              </w:rPr>
              <w:t>3</w:t>
            </w:r>
            <w:r w:rsidRPr="00727D4D">
              <w:rPr>
                <w:rFonts w:cs="Arial"/>
                <w:color w:val="000000"/>
                <w:sz w:val="18"/>
                <w:szCs w:val="18"/>
              </w:rPr>
              <w:t>.</w:t>
            </w:r>
            <w:r>
              <w:rPr>
                <w:rFonts w:cs="Arial"/>
                <w:color w:val="000000"/>
                <w:sz w:val="18"/>
                <w:szCs w:val="18"/>
              </w:rPr>
              <w:t>30</w:t>
            </w:r>
            <w:r w:rsidRPr="00727D4D">
              <w:rPr>
                <w:rFonts w:cs="Arial"/>
                <w:color w:val="000000"/>
                <w:sz w:val="18"/>
                <w:szCs w:val="18"/>
              </w:rPr>
              <w:t xml:space="preserve"> pm</w:t>
            </w:r>
          </w:p>
        </w:tc>
        <w:tc>
          <w:tcPr>
            <w:tcW w:w="980" w:type="dxa"/>
            <w:vAlign w:val="center"/>
          </w:tcPr>
          <w:p w:rsidR="008B22BE" w:rsidRPr="00727D4D" w:rsidRDefault="008B22BE" w:rsidP="00AB69B7">
            <w:pPr>
              <w:jc w:val="center"/>
              <w:textAlignment w:val="center"/>
              <w:rPr>
                <w:rFonts w:cs="Arial"/>
                <w:color w:val="000000"/>
                <w:sz w:val="18"/>
                <w:szCs w:val="18"/>
              </w:rPr>
            </w:pPr>
          </w:p>
        </w:tc>
        <w:tc>
          <w:tcPr>
            <w:tcW w:w="1525" w:type="dxa"/>
            <w:vAlign w:val="center"/>
          </w:tcPr>
          <w:p w:rsidR="008B22BE" w:rsidRPr="00727D4D" w:rsidRDefault="008B22BE" w:rsidP="00AB69B7">
            <w:pPr>
              <w:textAlignment w:val="center"/>
              <w:rPr>
                <w:rFonts w:cs="Arial"/>
                <w:color w:val="000000"/>
                <w:sz w:val="18"/>
                <w:szCs w:val="18"/>
              </w:rPr>
            </w:pPr>
            <w:r w:rsidRPr="00727D4D">
              <w:rPr>
                <w:rFonts w:cs="Arial"/>
                <w:color w:val="000000"/>
                <w:sz w:val="18"/>
                <w:szCs w:val="18"/>
              </w:rPr>
              <w:t>Callide Power Trading</w:t>
            </w:r>
          </w:p>
        </w:tc>
        <w:tc>
          <w:tcPr>
            <w:tcW w:w="1167" w:type="dxa"/>
            <w:vAlign w:val="center"/>
          </w:tcPr>
          <w:p w:rsidR="008B22BE" w:rsidRPr="00727D4D" w:rsidRDefault="008B22BE" w:rsidP="00AB69B7">
            <w:pPr>
              <w:textAlignment w:val="center"/>
              <w:rPr>
                <w:rFonts w:cs="Arial"/>
                <w:color w:val="000000"/>
                <w:sz w:val="18"/>
                <w:szCs w:val="18"/>
              </w:rPr>
            </w:pPr>
            <w:r w:rsidRPr="00727D4D">
              <w:rPr>
                <w:rFonts w:cs="Arial"/>
                <w:color w:val="000000"/>
                <w:sz w:val="18"/>
                <w:szCs w:val="18"/>
              </w:rPr>
              <w:t>Callide C</w:t>
            </w:r>
          </w:p>
        </w:tc>
        <w:tc>
          <w:tcPr>
            <w:tcW w:w="949" w:type="dxa"/>
            <w:vAlign w:val="center"/>
          </w:tcPr>
          <w:p w:rsidR="008B22BE" w:rsidRPr="00727D4D" w:rsidRDefault="008B22BE" w:rsidP="00AB69B7">
            <w:pPr>
              <w:jc w:val="center"/>
              <w:textAlignment w:val="center"/>
              <w:rPr>
                <w:rFonts w:cs="Arial"/>
                <w:color w:val="000000"/>
                <w:sz w:val="18"/>
                <w:szCs w:val="18"/>
              </w:rPr>
            </w:pPr>
            <w:r>
              <w:rPr>
                <w:rFonts w:cs="Arial"/>
                <w:color w:val="000000"/>
                <w:sz w:val="18"/>
                <w:szCs w:val="18"/>
              </w:rPr>
              <w:t>46</w:t>
            </w:r>
          </w:p>
        </w:tc>
        <w:tc>
          <w:tcPr>
            <w:tcW w:w="906" w:type="dxa"/>
            <w:vAlign w:val="center"/>
          </w:tcPr>
          <w:p w:rsidR="008B22BE" w:rsidRPr="00727D4D" w:rsidRDefault="008B22BE" w:rsidP="00AB69B7">
            <w:pPr>
              <w:jc w:val="center"/>
              <w:textAlignment w:val="center"/>
              <w:rPr>
                <w:rFonts w:cs="Arial"/>
                <w:color w:val="000000"/>
                <w:sz w:val="18"/>
                <w:szCs w:val="18"/>
              </w:rPr>
            </w:pPr>
            <w:r w:rsidRPr="00727D4D">
              <w:rPr>
                <w:rFonts w:cs="Arial"/>
                <w:color w:val="000000"/>
                <w:sz w:val="18"/>
                <w:szCs w:val="18"/>
              </w:rPr>
              <w:t>-1000</w:t>
            </w:r>
          </w:p>
        </w:tc>
        <w:tc>
          <w:tcPr>
            <w:tcW w:w="906" w:type="dxa"/>
            <w:vAlign w:val="center"/>
          </w:tcPr>
          <w:p w:rsidR="008B22BE" w:rsidRPr="00727D4D" w:rsidRDefault="008B22BE" w:rsidP="00AB69B7">
            <w:pPr>
              <w:jc w:val="center"/>
              <w:textAlignment w:val="center"/>
              <w:rPr>
                <w:rFonts w:cs="Arial"/>
                <w:color w:val="000000"/>
                <w:sz w:val="18"/>
                <w:szCs w:val="18"/>
              </w:rPr>
            </w:pPr>
            <w:r w:rsidRPr="00727D4D">
              <w:rPr>
                <w:rFonts w:cs="Arial"/>
                <w:color w:val="000000"/>
                <w:sz w:val="18"/>
                <w:szCs w:val="18"/>
              </w:rPr>
              <w:t>13 800</w:t>
            </w:r>
          </w:p>
        </w:tc>
        <w:tc>
          <w:tcPr>
            <w:tcW w:w="1947" w:type="dxa"/>
            <w:vAlign w:val="center"/>
          </w:tcPr>
          <w:p w:rsidR="008B22BE" w:rsidRPr="00727D4D" w:rsidRDefault="008B22BE" w:rsidP="00AB69B7">
            <w:pPr>
              <w:textAlignment w:val="center"/>
              <w:rPr>
                <w:rFonts w:cs="Arial"/>
                <w:color w:val="000000"/>
                <w:sz w:val="18"/>
                <w:szCs w:val="18"/>
              </w:rPr>
            </w:pPr>
            <w:r w:rsidRPr="008B22BE">
              <w:rPr>
                <w:rFonts w:cs="Arial"/>
                <w:sz w:val="18"/>
                <w:szCs w:val="18"/>
              </w:rPr>
              <w:t>1529A CHANGE IN 5MIN PD RRP - SL</w:t>
            </w:r>
          </w:p>
        </w:tc>
      </w:tr>
      <w:tr w:rsidR="008B22BE" w:rsidRPr="006D1D94" w:rsidTr="00AB69B7">
        <w:trPr>
          <w:trHeight w:val="582"/>
        </w:trPr>
        <w:tc>
          <w:tcPr>
            <w:tcW w:w="1032" w:type="dxa"/>
            <w:vAlign w:val="center"/>
          </w:tcPr>
          <w:p w:rsidR="008B22BE" w:rsidRPr="00727D4D" w:rsidRDefault="008B22BE" w:rsidP="00AB69B7">
            <w:pPr>
              <w:jc w:val="center"/>
              <w:textAlignment w:val="center"/>
              <w:rPr>
                <w:rFonts w:cs="Arial"/>
                <w:color w:val="000000"/>
                <w:szCs w:val="18"/>
              </w:rPr>
            </w:pPr>
            <w:r>
              <w:rPr>
                <w:rFonts w:cs="Arial"/>
                <w:color w:val="000000"/>
                <w:szCs w:val="18"/>
              </w:rPr>
              <w:t>3.49</w:t>
            </w:r>
            <w:r w:rsidRPr="00727D4D">
              <w:rPr>
                <w:rFonts w:cs="Arial"/>
                <w:color w:val="000000"/>
                <w:szCs w:val="18"/>
              </w:rPr>
              <w:t xml:space="preserve"> pm</w:t>
            </w:r>
          </w:p>
        </w:tc>
        <w:tc>
          <w:tcPr>
            <w:tcW w:w="980" w:type="dxa"/>
            <w:vAlign w:val="center"/>
          </w:tcPr>
          <w:p w:rsidR="008B22BE" w:rsidRPr="00727D4D" w:rsidRDefault="008B22BE" w:rsidP="00AB69B7">
            <w:pPr>
              <w:jc w:val="center"/>
              <w:textAlignment w:val="center"/>
              <w:rPr>
                <w:rFonts w:cs="Arial"/>
                <w:color w:val="000000"/>
                <w:szCs w:val="18"/>
              </w:rPr>
            </w:pPr>
          </w:p>
        </w:tc>
        <w:tc>
          <w:tcPr>
            <w:tcW w:w="1525" w:type="dxa"/>
            <w:vAlign w:val="center"/>
          </w:tcPr>
          <w:p w:rsidR="008B22BE" w:rsidRPr="00727D4D" w:rsidRDefault="008B22BE" w:rsidP="00AB69B7">
            <w:pPr>
              <w:textAlignment w:val="center"/>
              <w:rPr>
                <w:rFonts w:cs="Arial"/>
                <w:color w:val="000000"/>
                <w:szCs w:val="18"/>
              </w:rPr>
            </w:pPr>
            <w:r w:rsidRPr="00727D4D">
              <w:rPr>
                <w:rFonts w:cs="Arial"/>
                <w:color w:val="000000"/>
                <w:szCs w:val="18"/>
              </w:rPr>
              <w:t>CS Energy</w:t>
            </w:r>
          </w:p>
        </w:tc>
        <w:tc>
          <w:tcPr>
            <w:tcW w:w="1167" w:type="dxa"/>
            <w:vAlign w:val="center"/>
          </w:tcPr>
          <w:p w:rsidR="008B22BE" w:rsidRPr="00727D4D" w:rsidRDefault="008B22BE" w:rsidP="00AB69B7">
            <w:pPr>
              <w:textAlignment w:val="center"/>
              <w:rPr>
                <w:rFonts w:cs="Arial"/>
                <w:color w:val="000000"/>
                <w:szCs w:val="18"/>
              </w:rPr>
            </w:pPr>
            <w:r>
              <w:rPr>
                <w:rFonts w:cs="Arial"/>
                <w:color w:val="000000"/>
                <w:szCs w:val="18"/>
              </w:rPr>
              <w:t>Gladstone</w:t>
            </w:r>
          </w:p>
        </w:tc>
        <w:tc>
          <w:tcPr>
            <w:tcW w:w="949" w:type="dxa"/>
            <w:vAlign w:val="center"/>
          </w:tcPr>
          <w:p w:rsidR="008B22BE" w:rsidRPr="00727D4D" w:rsidRDefault="008B22BE" w:rsidP="008B22BE">
            <w:pPr>
              <w:jc w:val="center"/>
              <w:textAlignment w:val="center"/>
              <w:rPr>
                <w:rFonts w:cs="Arial"/>
                <w:color w:val="000000"/>
                <w:szCs w:val="18"/>
              </w:rPr>
            </w:pPr>
            <w:r>
              <w:rPr>
                <w:rFonts w:cs="Arial"/>
                <w:color w:val="000000"/>
                <w:szCs w:val="18"/>
              </w:rPr>
              <w:t>40</w:t>
            </w:r>
          </w:p>
        </w:tc>
        <w:tc>
          <w:tcPr>
            <w:tcW w:w="906" w:type="dxa"/>
            <w:vAlign w:val="center"/>
          </w:tcPr>
          <w:p w:rsidR="008B22BE" w:rsidRPr="00727D4D" w:rsidRDefault="008B22BE" w:rsidP="008B22BE">
            <w:pPr>
              <w:jc w:val="center"/>
              <w:textAlignment w:val="center"/>
              <w:rPr>
                <w:rFonts w:cs="Arial"/>
                <w:color w:val="000000"/>
                <w:szCs w:val="18"/>
              </w:rPr>
            </w:pPr>
            <w:r>
              <w:rPr>
                <w:rFonts w:cs="Arial"/>
                <w:color w:val="000000"/>
                <w:szCs w:val="18"/>
              </w:rPr>
              <w:t>99</w:t>
            </w:r>
          </w:p>
        </w:tc>
        <w:tc>
          <w:tcPr>
            <w:tcW w:w="906" w:type="dxa"/>
            <w:vAlign w:val="center"/>
          </w:tcPr>
          <w:p w:rsidR="008B22BE" w:rsidRPr="00727D4D" w:rsidRDefault="008B22BE" w:rsidP="00AB69B7">
            <w:pPr>
              <w:jc w:val="center"/>
              <w:textAlignment w:val="center"/>
              <w:rPr>
                <w:rFonts w:cs="Arial"/>
                <w:color w:val="000000"/>
                <w:szCs w:val="18"/>
              </w:rPr>
            </w:pPr>
            <w:r w:rsidRPr="00727D4D">
              <w:rPr>
                <w:rFonts w:cs="Arial"/>
                <w:color w:val="000000"/>
                <w:szCs w:val="18"/>
              </w:rPr>
              <w:t>13 800</w:t>
            </w:r>
          </w:p>
        </w:tc>
        <w:tc>
          <w:tcPr>
            <w:tcW w:w="1947" w:type="dxa"/>
            <w:vAlign w:val="center"/>
          </w:tcPr>
          <w:p w:rsidR="008B22BE" w:rsidRPr="00727D4D" w:rsidRDefault="008B22BE" w:rsidP="00AB69B7">
            <w:pPr>
              <w:textAlignment w:val="center"/>
              <w:rPr>
                <w:rFonts w:cs="Arial"/>
                <w:color w:val="000000"/>
                <w:szCs w:val="18"/>
              </w:rPr>
            </w:pPr>
            <w:r w:rsidRPr="008B22BE">
              <w:rPr>
                <w:rFonts w:cs="Arial"/>
                <w:szCs w:val="18"/>
              </w:rPr>
              <w:t>1549A REVIEWED SENSITIVITIES-SL</w:t>
            </w:r>
          </w:p>
        </w:tc>
      </w:tr>
      <w:tr w:rsidR="008B22BE" w:rsidRPr="006D1D94" w:rsidTr="00AB69B7">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8B22BE" w:rsidRPr="00361D84" w:rsidDel="008B22BE" w:rsidRDefault="008B22BE" w:rsidP="00AB69B7">
            <w:pPr>
              <w:jc w:val="center"/>
              <w:textAlignment w:val="center"/>
              <w:rPr>
                <w:rFonts w:cs="Arial"/>
                <w:color w:val="000000"/>
                <w:sz w:val="18"/>
                <w:szCs w:val="18"/>
              </w:rPr>
            </w:pPr>
            <w:r w:rsidRPr="00361D84">
              <w:rPr>
                <w:rFonts w:cs="Arial"/>
                <w:color w:val="000000"/>
                <w:sz w:val="18"/>
                <w:szCs w:val="18"/>
              </w:rPr>
              <w:t>4.02 pm</w:t>
            </w:r>
          </w:p>
        </w:tc>
        <w:tc>
          <w:tcPr>
            <w:tcW w:w="980" w:type="dxa"/>
            <w:vAlign w:val="center"/>
          </w:tcPr>
          <w:p w:rsidR="008B22BE" w:rsidRPr="00361D84" w:rsidRDefault="008B22BE" w:rsidP="008B22BE">
            <w:pPr>
              <w:jc w:val="center"/>
              <w:textAlignment w:val="center"/>
              <w:rPr>
                <w:rFonts w:cs="Arial"/>
                <w:color w:val="000000"/>
                <w:sz w:val="18"/>
                <w:szCs w:val="18"/>
              </w:rPr>
            </w:pPr>
            <w:r w:rsidRPr="00361D84">
              <w:rPr>
                <w:rFonts w:cs="Arial"/>
                <w:color w:val="000000"/>
                <w:sz w:val="18"/>
                <w:szCs w:val="18"/>
              </w:rPr>
              <w:t>4.10 pm</w:t>
            </w:r>
          </w:p>
        </w:tc>
        <w:tc>
          <w:tcPr>
            <w:tcW w:w="1525" w:type="dxa"/>
            <w:vAlign w:val="center"/>
          </w:tcPr>
          <w:p w:rsidR="008B22BE" w:rsidRPr="00361D84" w:rsidRDefault="008B22BE" w:rsidP="00AB69B7">
            <w:pPr>
              <w:textAlignment w:val="center"/>
              <w:rPr>
                <w:rFonts w:cs="Arial"/>
                <w:color w:val="000000"/>
                <w:sz w:val="18"/>
                <w:szCs w:val="18"/>
              </w:rPr>
            </w:pPr>
            <w:r w:rsidRPr="00361D84">
              <w:rPr>
                <w:rFonts w:cs="Arial"/>
                <w:color w:val="000000"/>
                <w:sz w:val="18"/>
                <w:szCs w:val="18"/>
              </w:rPr>
              <w:t>Stanwell</w:t>
            </w:r>
          </w:p>
        </w:tc>
        <w:tc>
          <w:tcPr>
            <w:tcW w:w="1167" w:type="dxa"/>
            <w:vAlign w:val="center"/>
          </w:tcPr>
          <w:p w:rsidR="008B22BE" w:rsidRPr="00361D84" w:rsidRDefault="008B22BE" w:rsidP="00AB69B7">
            <w:pPr>
              <w:textAlignment w:val="center"/>
              <w:rPr>
                <w:rFonts w:cs="Arial"/>
                <w:color w:val="000000"/>
                <w:sz w:val="18"/>
                <w:szCs w:val="18"/>
              </w:rPr>
            </w:pPr>
            <w:proofErr w:type="spellStart"/>
            <w:r w:rsidRPr="00361D84">
              <w:rPr>
                <w:rFonts w:cs="Arial"/>
                <w:color w:val="000000"/>
                <w:sz w:val="18"/>
                <w:szCs w:val="18"/>
              </w:rPr>
              <w:t>Tarong</w:t>
            </w:r>
            <w:proofErr w:type="spellEnd"/>
          </w:p>
        </w:tc>
        <w:tc>
          <w:tcPr>
            <w:tcW w:w="949" w:type="dxa"/>
            <w:vAlign w:val="center"/>
          </w:tcPr>
          <w:p w:rsidR="008B22BE" w:rsidRPr="00361D84" w:rsidRDefault="008B22BE" w:rsidP="00AB69B7">
            <w:pPr>
              <w:jc w:val="center"/>
              <w:textAlignment w:val="center"/>
              <w:rPr>
                <w:rFonts w:cs="Arial"/>
                <w:color w:val="000000"/>
                <w:sz w:val="18"/>
                <w:szCs w:val="18"/>
              </w:rPr>
            </w:pPr>
            <w:r w:rsidRPr="00361D84">
              <w:rPr>
                <w:rFonts w:cs="Arial"/>
                <w:color w:val="000000"/>
                <w:sz w:val="18"/>
                <w:szCs w:val="18"/>
              </w:rPr>
              <w:t>75</w:t>
            </w:r>
          </w:p>
        </w:tc>
        <w:tc>
          <w:tcPr>
            <w:tcW w:w="906" w:type="dxa"/>
            <w:vAlign w:val="center"/>
          </w:tcPr>
          <w:p w:rsidR="008B22BE" w:rsidRPr="00361D84" w:rsidRDefault="008B22BE" w:rsidP="00AB69B7">
            <w:pPr>
              <w:jc w:val="center"/>
              <w:textAlignment w:val="center"/>
              <w:rPr>
                <w:rFonts w:cs="Arial"/>
                <w:color w:val="000000"/>
                <w:sz w:val="18"/>
                <w:szCs w:val="18"/>
              </w:rPr>
            </w:pPr>
            <w:r w:rsidRPr="00361D84">
              <w:rPr>
                <w:rFonts w:cs="Arial"/>
                <w:color w:val="000000"/>
                <w:sz w:val="18"/>
                <w:szCs w:val="18"/>
              </w:rPr>
              <w:t>85</w:t>
            </w:r>
          </w:p>
        </w:tc>
        <w:tc>
          <w:tcPr>
            <w:tcW w:w="906" w:type="dxa"/>
            <w:vAlign w:val="center"/>
          </w:tcPr>
          <w:p w:rsidR="008B22BE" w:rsidRPr="00361D84" w:rsidRDefault="008B22BE" w:rsidP="00AB69B7">
            <w:pPr>
              <w:jc w:val="center"/>
              <w:textAlignment w:val="center"/>
              <w:rPr>
                <w:rFonts w:cs="Arial"/>
                <w:color w:val="000000"/>
                <w:sz w:val="18"/>
                <w:szCs w:val="18"/>
              </w:rPr>
            </w:pPr>
            <w:r w:rsidRPr="00361D84">
              <w:rPr>
                <w:rFonts w:cs="Arial"/>
                <w:color w:val="000000"/>
                <w:sz w:val="18"/>
                <w:szCs w:val="18"/>
              </w:rPr>
              <w:t>298</w:t>
            </w:r>
          </w:p>
        </w:tc>
        <w:tc>
          <w:tcPr>
            <w:tcW w:w="1947" w:type="dxa"/>
            <w:vAlign w:val="center"/>
          </w:tcPr>
          <w:p w:rsidR="008B22BE" w:rsidRPr="008B22BE" w:rsidRDefault="008B22BE" w:rsidP="00AB69B7">
            <w:pPr>
              <w:textAlignment w:val="center"/>
              <w:rPr>
                <w:rFonts w:cs="Arial"/>
                <w:color w:val="000000"/>
                <w:sz w:val="18"/>
                <w:szCs w:val="18"/>
              </w:rPr>
            </w:pPr>
            <w:r w:rsidRPr="00361D84">
              <w:rPr>
                <w:rFonts w:cs="Arial"/>
                <w:color w:val="000000"/>
                <w:sz w:val="18"/>
                <w:szCs w:val="18"/>
              </w:rPr>
              <w:t>1601A CHANGE IN QLD PD PRICE 1530 HRS TO 1600 HRS</w:t>
            </w:r>
          </w:p>
        </w:tc>
      </w:tr>
    </w:tbl>
    <w:p w:rsidR="00201C06" w:rsidRDefault="00EA4DD9" w:rsidP="00AF7C0E">
      <w:pPr>
        <w:pStyle w:val="AERbodytext"/>
      </w:pPr>
      <w:r>
        <w:t xml:space="preserve">The above rebidding created a steep supply curve resulting in the dispatch price increasing from $85/MWh to $298/MWh at 4.10 pm when Stanwell’s rebid became effective. </w:t>
      </w:r>
      <w:r w:rsidR="007B742A">
        <w:t>Demand also increased by 53 MW at the 4.10 pm dispatch interval.</w:t>
      </w:r>
      <w:r>
        <w:t xml:space="preserve"> </w:t>
      </w:r>
      <w:r w:rsidR="007B742A">
        <w:t xml:space="preserve">The spot price remained at $298/MWh for the remainder of the trading interval. </w:t>
      </w:r>
    </w:p>
    <w:p w:rsidR="00C55452" w:rsidRDefault="00C55452" w:rsidP="005B1402">
      <w:pPr>
        <w:pStyle w:val="Caption"/>
        <w:rPr>
          <w:rFonts w:eastAsia="Times New Roman" w:cs="Times New Roman"/>
          <w:color w:val="51626F"/>
          <w:szCs w:val="20"/>
        </w:rPr>
        <w:sectPr w:rsidR="00C55452" w:rsidSect="00F167CF">
          <w:pgSz w:w="11906" w:h="16838"/>
          <w:pgMar w:top="993" w:right="1440" w:bottom="851" w:left="1440" w:header="708" w:footer="89" w:gutter="0"/>
          <w:pgNumType w:start="1"/>
          <w:cols w:space="708"/>
          <w:titlePg/>
          <w:docGrid w:linePitch="360"/>
        </w:sectPr>
      </w:pPr>
    </w:p>
    <w:p w:rsidR="005B1402" w:rsidRDefault="005B1402" w:rsidP="005B1402">
      <w:pPr>
        <w:pStyle w:val="Caption"/>
        <w:rPr>
          <w:rFonts w:eastAsia="Times New Roman" w:cs="Times New Roman"/>
          <w:color w:val="51626F"/>
          <w:szCs w:val="20"/>
        </w:rPr>
      </w:pPr>
      <w:r>
        <w:rPr>
          <w:rFonts w:eastAsia="Times New Roman" w:cs="Times New Roman"/>
          <w:color w:val="51626F"/>
          <w:szCs w:val="20"/>
        </w:rPr>
        <w:lastRenderedPageBreak/>
        <w:t>Tuesday, 9 February</w:t>
      </w:r>
    </w:p>
    <w:p w:rsidR="005B1402" w:rsidRPr="009C7E88" w:rsidRDefault="005B1402" w:rsidP="005B1402">
      <w:pPr>
        <w:pStyle w:val="Caption"/>
      </w:pPr>
      <w:r>
        <w:t xml:space="preserve">Table </w:t>
      </w:r>
      <w:r w:rsidR="00947919">
        <w:t>5</w:t>
      </w:r>
      <w:r w:rsidRPr="002C341F">
        <w:t>:</w:t>
      </w:r>
      <w:r w:rsidRPr="009C7E88">
        <w:t xml:space="preserve"> Price, Demand and Availability</w:t>
      </w:r>
    </w:p>
    <w:tbl>
      <w:tblPr>
        <w:tblStyle w:val="AERsummarytable2"/>
        <w:tblW w:w="5000" w:type="pct"/>
        <w:tblLayout w:type="fixed"/>
        <w:tblLook w:val="04A0" w:firstRow="1" w:lastRow="0" w:firstColumn="1" w:lastColumn="0" w:noHBand="0" w:noVBand="1"/>
      </w:tblPr>
      <w:tblGrid>
        <w:gridCol w:w="955"/>
        <w:gridCol w:w="920"/>
        <w:gridCol w:w="920"/>
        <w:gridCol w:w="920"/>
        <w:gridCol w:w="921"/>
        <w:gridCol w:w="921"/>
        <w:gridCol w:w="921"/>
        <w:gridCol w:w="921"/>
        <w:gridCol w:w="921"/>
        <w:gridCol w:w="922"/>
      </w:tblGrid>
      <w:tr w:rsidR="004F6D0A" w:rsidRPr="004F6D0A" w:rsidTr="004F6D0A">
        <w:trPr>
          <w:cnfStyle w:val="100000000000" w:firstRow="1" w:lastRow="0" w:firstColumn="0" w:lastColumn="0" w:oddVBand="0" w:evenVBand="0" w:oddHBand="0" w:evenHBand="0" w:firstRowFirstColumn="0" w:firstRowLastColumn="0" w:lastRowFirstColumn="0" w:lastRowLastColumn="0"/>
          <w:tblHeader/>
        </w:trPr>
        <w:tc>
          <w:tcPr>
            <w:tcW w:w="517" w:type="pct"/>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 xml:space="preserve">Time </w:t>
            </w:r>
          </w:p>
        </w:tc>
        <w:tc>
          <w:tcPr>
            <w:tcW w:w="1494"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Price ($/MWh)</w:t>
            </w:r>
          </w:p>
        </w:tc>
        <w:tc>
          <w:tcPr>
            <w:tcW w:w="1494"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Demand (MW)</w:t>
            </w:r>
          </w:p>
        </w:tc>
        <w:tc>
          <w:tcPr>
            <w:tcW w:w="1495"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Availability (MW)</w:t>
            </w:r>
          </w:p>
        </w:tc>
      </w:tr>
      <w:tr w:rsidR="004F6D0A" w:rsidRPr="004F6D0A" w:rsidTr="004F6D0A">
        <w:trPr>
          <w:cnfStyle w:val="100000000000" w:firstRow="1" w:lastRow="0" w:firstColumn="0" w:lastColumn="0" w:oddVBand="0" w:evenVBand="0" w:oddHBand="0" w:evenHBand="0" w:firstRowFirstColumn="0" w:firstRowLastColumn="0" w:lastRowFirstColumn="0" w:lastRowLastColumn="0"/>
          <w:tblHeader/>
        </w:trPr>
        <w:tc>
          <w:tcPr>
            <w:tcW w:w="517"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 </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9"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r>
      <w:tr w:rsidR="004F6D0A" w:rsidRPr="00E15B15" w:rsidTr="004F6D0A">
        <w:trPr>
          <w:cnfStyle w:val="000000100000" w:firstRow="0" w:lastRow="0" w:firstColumn="0" w:lastColumn="0" w:oddVBand="0" w:evenVBand="0" w:oddHBand="1" w:evenHBand="0" w:firstRowFirstColumn="0" w:firstRowLastColumn="0" w:lastRowFirstColumn="0" w:lastRowLastColumn="0"/>
          <w:trHeight w:val="510"/>
        </w:trPr>
        <w:tc>
          <w:tcPr>
            <w:tcW w:w="517" w:type="pct"/>
            <w:vAlign w:val="center"/>
          </w:tcPr>
          <w:p w:rsidR="004F6D0A" w:rsidRPr="00E03725" w:rsidRDefault="004F6D0A" w:rsidP="004F6D0A">
            <w:pPr>
              <w:jc w:val="center"/>
              <w:textAlignment w:val="center"/>
              <w:rPr>
                <w:rFonts w:cs="Arial"/>
                <w:b/>
                <w:color w:val="000000"/>
                <w:szCs w:val="18"/>
              </w:rPr>
            </w:pPr>
            <w:r>
              <w:rPr>
                <w:rFonts w:cs="Arial"/>
                <w:b/>
                <w:color w:val="000000"/>
                <w:szCs w:val="18"/>
              </w:rPr>
              <w:t>5.30</w:t>
            </w:r>
            <w:r w:rsidRPr="00E03725">
              <w:rPr>
                <w:rFonts w:cs="Arial"/>
                <w:b/>
                <w:color w:val="000000"/>
                <w:szCs w:val="18"/>
              </w:rPr>
              <w:t xml:space="preserve"> PM</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256.40</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200.15</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200.15</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7333</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7483</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7444</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10 359</w:t>
            </w:r>
          </w:p>
        </w:tc>
        <w:tc>
          <w:tcPr>
            <w:tcW w:w="498"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10 393</w:t>
            </w:r>
          </w:p>
        </w:tc>
        <w:tc>
          <w:tcPr>
            <w:tcW w:w="499" w:type="pct"/>
            <w:vAlign w:val="center"/>
          </w:tcPr>
          <w:p w:rsidR="004F6D0A" w:rsidRPr="005B1402" w:rsidRDefault="004F6D0A" w:rsidP="004F6D0A">
            <w:pPr>
              <w:jc w:val="center"/>
              <w:textAlignment w:val="center"/>
              <w:rPr>
                <w:rFonts w:cs="Arial"/>
                <w:color w:val="000000"/>
                <w:szCs w:val="18"/>
              </w:rPr>
            </w:pPr>
            <w:r w:rsidRPr="005B1402">
              <w:rPr>
                <w:rFonts w:cs="Arial"/>
                <w:color w:val="000000"/>
                <w:szCs w:val="18"/>
              </w:rPr>
              <w:t>10 392</w:t>
            </w:r>
          </w:p>
        </w:tc>
      </w:tr>
    </w:tbl>
    <w:p w:rsidR="00523AD2" w:rsidRPr="00037EB9" w:rsidRDefault="00523AD2" w:rsidP="00037EB9">
      <w:pPr>
        <w:pStyle w:val="AERbodytext"/>
      </w:pPr>
      <w:r w:rsidRPr="00201C06">
        <w:t>Conditions at the time saw demand and available capacity close to forecast.</w:t>
      </w:r>
      <w:r w:rsidR="003E74FF">
        <w:t xml:space="preserve"> Price was slightly higher than forecast during the afternoon </w:t>
      </w:r>
      <w:proofErr w:type="gramStart"/>
      <w:r w:rsidR="003E74FF">
        <w:t>peak</w:t>
      </w:r>
      <w:proofErr w:type="gramEnd"/>
      <w:r w:rsidR="00323CE7">
        <w:t xml:space="preserve"> period</w:t>
      </w:r>
      <w:r w:rsidR="003E74FF">
        <w:t xml:space="preserve">. </w:t>
      </w:r>
    </w:p>
    <w:p w:rsidR="005B1402" w:rsidRDefault="005B1402" w:rsidP="005B1402">
      <w:pPr>
        <w:pStyle w:val="Caption"/>
        <w:rPr>
          <w:rFonts w:eastAsia="Times New Roman" w:cs="Times New Roman"/>
          <w:color w:val="51626F"/>
          <w:szCs w:val="20"/>
        </w:rPr>
      </w:pPr>
      <w:r>
        <w:rPr>
          <w:rFonts w:eastAsia="Times New Roman" w:cs="Times New Roman"/>
          <w:color w:val="51626F"/>
          <w:szCs w:val="20"/>
        </w:rPr>
        <w:t>Thursday, 11 February</w:t>
      </w:r>
    </w:p>
    <w:p w:rsidR="005B1402" w:rsidRPr="009C7E88" w:rsidRDefault="005B1402" w:rsidP="005B1402">
      <w:pPr>
        <w:pStyle w:val="Caption"/>
      </w:pPr>
      <w:r>
        <w:t xml:space="preserve">Table </w:t>
      </w:r>
      <w:r w:rsidR="00947919">
        <w:t>6</w:t>
      </w:r>
      <w:r w:rsidRPr="002C341F">
        <w:t>:</w:t>
      </w:r>
      <w:r w:rsidRPr="009C7E88">
        <w:t xml:space="preserve"> Price, Demand and Availability</w:t>
      </w:r>
    </w:p>
    <w:tbl>
      <w:tblPr>
        <w:tblStyle w:val="AERsummarytable2"/>
        <w:tblW w:w="5000" w:type="pct"/>
        <w:tblLayout w:type="fixed"/>
        <w:tblLook w:val="04A0" w:firstRow="1" w:lastRow="0" w:firstColumn="1" w:lastColumn="0" w:noHBand="0" w:noVBand="1"/>
      </w:tblPr>
      <w:tblGrid>
        <w:gridCol w:w="955"/>
        <w:gridCol w:w="920"/>
        <w:gridCol w:w="920"/>
        <w:gridCol w:w="920"/>
        <w:gridCol w:w="921"/>
        <w:gridCol w:w="921"/>
        <w:gridCol w:w="921"/>
        <w:gridCol w:w="921"/>
        <w:gridCol w:w="921"/>
        <w:gridCol w:w="922"/>
      </w:tblGrid>
      <w:tr w:rsidR="004F6D0A" w:rsidRPr="004F6D0A" w:rsidTr="004F6D0A">
        <w:trPr>
          <w:cnfStyle w:val="100000000000" w:firstRow="1" w:lastRow="0" w:firstColumn="0" w:lastColumn="0" w:oddVBand="0" w:evenVBand="0" w:oddHBand="0" w:evenHBand="0" w:firstRowFirstColumn="0" w:firstRowLastColumn="0" w:lastRowFirstColumn="0" w:lastRowLastColumn="0"/>
          <w:tblHeader/>
        </w:trPr>
        <w:tc>
          <w:tcPr>
            <w:tcW w:w="517" w:type="pct"/>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 xml:space="preserve">Time </w:t>
            </w:r>
          </w:p>
        </w:tc>
        <w:tc>
          <w:tcPr>
            <w:tcW w:w="1494"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Price ($/MWh)</w:t>
            </w:r>
          </w:p>
        </w:tc>
        <w:tc>
          <w:tcPr>
            <w:tcW w:w="1494"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Demand (MW)</w:t>
            </w:r>
          </w:p>
        </w:tc>
        <w:tc>
          <w:tcPr>
            <w:tcW w:w="1495" w:type="pct"/>
            <w:gridSpan w:val="3"/>
            <w:hideMark/>
          </w:tcPr>
          <w:p w:rsidR="004F6D0A" w:rsidRPr="004F6D0A" w:rsidRDefault="004F6D0A" w:rsidP="00BE57F8">
            <w:pPr>
              <w:pStyle w:val="TableHeading"/>
              <w:jc w:val="center"/>
              <w:rPr>
                <w:rFonts w:cs="Arial"/>
                <w:b w:val="0"/>
                <w:sz w:val="20"/>
                <w:szCs w:val="20"/>
              </w:rPr>
            </w:pPr>
            <w:r w:rsidRPr="004F6D0A">
              <w:rPr>
                <w:rFonts w:cs="Arial"/>
                <w:b w:val="0"/>
                <w:sz w:val="20"/>
                <w:szCs w:val="20"/>
              </w:rPr>
              <w:t>Availability (MW)</w:t>
            </w:r>
          </w:p>
        </w:tc>
      </w:tr>
      <w:tr w:rsidR="004F6D0A" w:rsidRPr="004F6D0A" w:rsidTr="00BE57F8">
        <w:trPr>
          <w:cnfStyle w:val="100000000000" w:firstRow="1" w:lastRow="0" w:firstColumn="0" w:lastColumn="0" w:oddVBand="0" w:evenVBand="0" w:oddHBand="0" w:evenHBand="0" w:firstRowFirstColumn="0" w:firstRowLastColumn="0" w:lastRowFirstColumn="0" w:lastRowLastColumn="0"/>
          <w:tblHeader/>
        </w:trPr>
        <w:tc>
          <w:tcPr>
            <w:tcW w:w="517"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 </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Actual</w:t>
            </w:r>
          </w:p>
        </w:tc>
        <w:tc>
          <w:tcPr>
            <w:tcW w:w="498"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4 hr forecast</w:t>
            </w:r>
          </w:p>
        </w:tc>
        <w:tc>
          <w:tcPr>
            <w:tcW w:w="499" w:type="pct"/>
            <w:tcMar>
              <w:left w:w="57" w:type="dxa"/>
              <w:right w:w="57" w:type="dxa"/>
            </w:tcMar>
            <w:hideMark/>
          </w:tcPr>
          <w:p w:rsidR="004F6D0A" w:rsidRPr="004F6D0A" w:rsidRDefault="004F6D0A" w:rsidP="00BE57F8">
            <w:pPr>
              <w:pStyle w:val="tableheadingline2"/>
              <w:rPr>
                <w:rFonts w:cs="Arial"/>
                <w:sz w:val="20"/>
                <w:szCs w:val="20"/>
              </w:rPr>
            </w:pPr>
            <w:r w:rsidRPr="004F6D0A">
              <w:rPr>
                <w:rFonts w:cs="Arial"/>
                <w:sz w:val="20"/>
                <w:szCs w:val="20"/>
              </w:rPr>
              <w:t>12 hr forecast</w:t>
            </w:r>
          </w:p>
        </w:tc>
      </w:tr>
      <w:tr w:rsidR="004F6D0A" w:rsidRPr="00E15B15" w:rsidTr="00BE57F8">
        <w:trPr>
          <w:cnfStyle w:val="000000100000" w:firstRow="0" w:lastRow="0" w:firstColumn="0" w:lastColumn="0" w:oddVBand="0" w:evenVBand="0" w:oddHBand="1" w:evenHBand="0" w:firstRowFirstColumn="0" w:firstRowLastColumn="0" w:lastRowFirstColumn="0" w:lastRowLastColumn="0"/>
          <w:trHeight w:val="510"/>
        </w:trPr>
        <w:tc>
          <w:tcPr>
            <w:tcW w:w="517" w:type="pct"/>
            <w:vAlign w:val="center"/>
          </w:tcPr>
          <w:p w:rsidR="004F6D0A" w:rsidRPr="00E03725" w:rsidRDefault="004F6D0A" w:rsidP="00BE57F8">
            <w:pPr>
              <w:jc w:val="center"/>
              <w:textAlignment w:val="center"/>
              <w:rPr>
                <w:rFonts w:cs="Arial"/>
                <w:b/>
                <w:color w:val="000000"/>
                <w:szCs w:val="18"/>
              </w:rPr>
            </w:pPr>
            <w:r>
              <w:rPr>
                <w:rFonts w:cs="Arial"/>
                <w:b/>
                <w:color w:val="000000"/>
                <w:szCs w:val="18"/>
              </w:rPr>
              <w:t>8.00</w:t>
            </w:r>
            <w:r w:rsidRPr="00E03725">
              <w:rPr>
                <w:rFonts w:cs="Arial"/>
                <w:b/>
                <w:color w:val="000000"/>
                <w:szCs w:val="18"/>
              </w:rPr>
              <w:t xml:space="preserve"> PM</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255.54</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49.50</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36.00</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7494</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7426</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7270</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10 501</w:t>
            </w:r>
          </w:p>
        </w:tc>
        <w:tc>
          <w:tcPr>
            <w:tcW w:w="498"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10 517</w:t>
            </w:r>
          </w:p>
        </w:tc>
        <w:tc>
          <w:tcPr>
            <w:tcW w:w="499" w:type="pct"/>
            <w:vAlign w:val="center"/>
          </w:tcPr>
          <w:p w:rsidR="004F6D0A" w:rsidRPr="005B1402" w:rsidRDefault="004F6D0A" w:rsidP="00BE57F8">
            <w:pPr>
              <w:jc w:val="center"/>
              <w:textAlignment w:val="center"/>
              <w:rPr>
                <w:rFonts w:cs="Arial"/>
                <w:color w:val="000000"/>
                <w:szCs w:val="18"/>
              </w:rPr>
            </w:pPr>
            <w:r w:rsidRPr="005B1402">
              <w:rPr>
                <w:rFonts w:cs="Arial"/>
                <w:color w:val="000000"/>
                <w:szCs w:val="18"/>
              </w:rPr>
              <w:t>10 547</w:t>
            </w:r>
          </w:p>
        </w:tc>
      </w:tr>
    </w:tbl>
    <w:p w:rsidR="00CE661E" w:rsidRDefault="00CE661E" w:rsidP="002A0450">
      <w:pPr>
        <w:pStyle w:val="AERbodytext"/>
      </w:pPr>
      <w:r w:rsidRPr="00201C06">
        <w:t>Conditions at the time saw demand and available capacity close to forecast.</w:t>
      </w:r>
    </w:p>
    <w:p w:rsidR="00947919" w:rsidRDefault="00947919" w:rsidP="00947919">
      <w:pPr>
        <w:pStyle w:val="Caption"/>
      </w:pPr>
      <w:r>
        <w:t>Table 7</w:t>
      </w:r>
      <w:r w:rsidRPr="006D1D94">
        <w:t>: Rebids</w:t>
      </w:r>
      <w:r>
        <w:t xml:space="preserve"> for the </w:t>
      </w:r>
      <w:r w:rsidR="00677233">
        <w:t>8</w:t>
      </w:r>
      <w:r>
        <w:t xml:space="preserve"> pm trading interval</w:t>
      </w:r>
    </w:p>
    <w:tbl>
      <w:tblPr>
        <w:tblStyle w:val="AERTable-Text"/>
        <w:tblW w:w="9412" w:type="dxa"/>
        <w:tblLayout w:type="fixed"/>
        <w:tblLook w:val="04A0" w:firstRow="1" w:lastRow="0" w:firstColumn="1" w:lastColumn="0" w:noHBand="0" w:noVBand="1"/>
      </w:tblPr>
      <w:tblGrid>
        <w:gridCol w:w="1032"/>
        <w:gridCol w:w="980"/>
        <w:gridCol w:w="1525"/>
        <w:gridCol w:w="1167"/>
        <w:gridCol w:w="949"/>
        <w:gridCol w:w="906"/>
        <w:gridCol w:w="906"/>
        <w:gridCol w:w="1947"/>
      </w:tblGrid>
      <w:tr w:rsidR="00947919" w:rsidRPr="006D1D94" w:rsidTr="00F6191E">
        <w:trPr>
          <w:cnfStyle w:val="100000000000" w:firstRow="1" w:lastRow="0" w:firstColumn="0" w:lastColumn="0" w:oddVBand="0" w:evenVBand="0" w:oddHBand="0" w:evenHBand="0" w:firstRowFirstColumn="0" w:firstRowLastColumn="0" w:lastRowFirstColumn="0" w:lastRowLastColumn="0"/>
          <w:trHeight w:val="210"/>
          <w:tblHeader/>
        </w:trPr>
        <w:tc>
          <w:tcPr>
            <w:tcW w:w="1032" w:type="dxa"/>
            <w:hideMark/>
          </w:tcPr>
          <w:p w:rsidR="00947919" w:rsidRPr="00361D84" w:rsidRDefault="00947919" w:rsidP="00361D84">
            <w:pPr>
              <w:pStyle w:val="TableHeading"/>
              <w:jc w:val="center"/>
              <w:rPr>
                <w:rFonts w:cs="Arial"/>
                <w:b w:val="0"/>
                <w:szCs w:val="20"/>
              </w:rPr>
            </w:pPr>
            <w:r w:rsidRPr="00361D84">
              <w:rPr>
                <w:rFonts w:cs="Arial"/>
                <w:b w:val="0"/>
                <w:szCs w:val="20"/>
              </w:rPr>
              <w:t>Submitted</w:t>
            </w:r>
            <w:r w:rsidRPr="00361D84">
              <w:rPr>
                <w:rFonts w:cs="Arial"/>
                <w:b w:val="0"/>
                <w:szCs w:val="20"/>
              </w:rPr>
              <w:br/>
              <w:t>time</w:t>
            </w:r>
          </w:p>
        </w:tc>
        <w:tc>
          <w:tcPr>
            <w:tcW w:w="980" w:type="dxa"/>
            <w:hideMark/>
          </w:tcPr>
          <w:p w:rsidR="00947919" w:rsidRPr="00361D84" w:rsidRDefault="00947919" w:rsidP="00361D84">
            <w:pPr>
              <w:pStyle w:val="TableHeading"/>
              <w:jc w:val="center"/>
              <w:rPr>
                <w:rFonts w:cs="Arial"/>
                <w:b w:val="0"/>
                <w:szCs w:val="20"/>
              </w:rPr>
            </w:pPr>
            <w:r w:rsidRPr="00361D84">
              <w:rPr>
                <w:rFonts w:cs="Arial"/>
                <w:b w:val="0"/>
                <w:szCs w:val="20"/>
              </w:rPr>
              <w:t>Time</w:t>
            </w:r>
            <w:r w:rsidRPr="00361D84">
              <w:rPr>
                <w:rFonts w:cs="Arial"/>
                <w:b w:val="0"/>
                <w:szCs w:val="20"/>
              </w:rPr>
              <w:br/>
              <w:t>effective</w:t>
            </w:r>
          </w:p>
        </w:tc>
        <w:tc>
          <w:tcPr>
            <w:tcW w:w="1525" w:type="dxa"/>
            <w:hideMark/>
          </w:tcPr>
          <w:p w:rsidR="00947919" w:rsidRPr="00361D84" w:rsidRDefault="00947919" w:rsidP="00361D84">
            <w:pPr>
              <w:pStyle w:val="TableHeading"/>
              <w:jc w:val="center"/>
              <w:rPr>
                <w:rFonts w:cs="Arial"/>
                <w:b w:val="0"/>
                <w:szCs w:val="20"/>
              </w:rPr>
            </w:pPr>
            <w:r w:rsidRPr="00361D84">
              <w:rPr>
                <w:rFonts w:cs="Arial"/>
                <w:b w:val="0"/>
                <w:szCs w:val="20"/>
              </w:rPr>
              <w:t>Participant</w:t>
            </w:r>
          </w:p>
        </w:tc>
        <w:tc>
          <w:tcPr>
            <w:tcW w:w="1167" w:type="dxa"/>
            <w:hideMark/>
          </w:tcPr>
          <w:p w:rsidR="00947919" w:rsidRPr="00361D84" w:rsidRDefault="00947919" w:rsidP="00361D84">
            <w:pPr>
              <w:pStyle w:val="TableHeading"/>
              <w:jc w:val="center"/>
              <w:rPr>
                <w:rFonts w:cs="Arial"/>
                <w:b w:val="0"/>
                <w:szCs w:val="20"/>
              </w:rPr>
            </w:pPr>
            <w:r w:rsidRPr="00361D84">
              <w:rPr>
                <w:rFonts w:cs="Arial"/>
                <w:b w:val="0"/>
                <w:szCs w:val="20"/>
              </w:rPr>
              <w:t>Station</w:t>
            </w:r>
          </w:p>
        </w:tc>
        <w:tc>
          <w:tcPr>
            <w:tcW w:w="949" w:type="dxa"/>
            <w:hideMark/>
          </w:tcPr>
          <w:p w:rsidR="00947919" w:rsidRPr="00361D84" w:rsidRDefault="00947919" w:rsidP="00361D84">
            <w:pPr>
              <w:pStyle w:val="TableHeading"/>
              <w:jc w:val="center"/>
              <w:rPr>
                <w:rFonts w:cs="Arial"/>
                <w:b w:val="0"/>
                <w:szCs w:val="20"/>
              </w:rPr>
            </w:pPr>
            <w:r w:rsidRPr="00361D84">
              <w:rPr>
                <w:rFonts w:cs="Arial"/>
                <w:b w:val="0"/>
                <w:szCs w:val="20"/>
              </w:rPr>
              <w:t>Capacity rebid</w:t>
            </w:r>
            <w:r w:rsidRPr="00361D84">
              <w:rPr>
                <w:rFonts w:cs="Arial"/>
                <w:b w:val="0"/>
                <w:szCs w:val="20"/>
              </w:rPr>
              <w:br/>
              <w:t>(MW)</w:t>
            </w:r>
          </w:p>
        </w:tc>
        <w:tc>
          <w:tcPr>
            <w:tcW w:w="906" w:type="dxa"/>
            <w:hideMark/>
          </w:tcPr>
          <w:p w:rsidR="00947919" w:rsidRPr="00361D84" w:rsidRDefault="00947919" w:rsidP="00361D84">
            <w:pPr>
              <w:pStyle w:val="TableHeading"/>
              <w:jc w:val="center"/>
              <w:rPr>
                <w:rFonts w:cs="Arial"/>
                <w:b w:val="0"/>
                <w:szCs w:val="20"/>
              </w:rPr>
            </w:pPr>
            <w:r w:rsidRPr="00361D84">
              <w:rPr>
                <w:rFonts w:cs="Arial"/>
                <w:b w:val="0"/>
                <w:szCs w:val="20"/>
              </w:rPr>
              <w:t>Price from</w:t>
            </w:r>
            <w:r w:rsidRPr="00361D84">
              <w:rPr>
                <w:rFonts w:cs="Arial"/>
                <w:b w:val="0"/>
                <w:szCs w:val="20"/>
              </w:rPr>
              <w:br/>
              <w:t>($/MWh)</w:t>
            </w:r>
          </w:p>
        </w:tc>
        <w:tc>
          <w:tcPr>
            <w:tcW w:w="906" w:type="dxa"/>
            <w:hideMark/>
          </w:tcPr>
          <w:p w:rsidR="00947919" w:rsidRPr="00361D84" w:rsidRDefault="00947919" w:rsidP="00361D84">
            <w:pPr>
              <w:pStyle w:val="TableHeading"/>
              <w:jc w:val="center"/>
              <w:rPr>
                <w:rFonts w:cs="Arial"/>
                <w:b w:val="0"/>
                <w:szCs w:val="20"/>
              </w:rPr>
            </w:pPr>
            <w:r w:rsidRPr="00361D84">
              <w:rPr>
                <w:rFonts w:cs="Arial"/>
                <w:b w:val="0"/>
                <w:szCs w:val="20"/>
              </w:rPr>
              <w:t>Price to</w:t>
            </w:r>
            <w:r w:rsidRPr="00361D84">
              <w:rPr>
                <w:rFonts w:cs="Arial"/>
                <w:b w:val="0"/>
                <w:szCs w:val="20"/>
              </w:rPr>
              <w:br/>
              <w:t>($/MWh)</w:t>
            </w:r>
          </w:p>
        </w:tc>
        <w:tc>
          <w:tcPr>
            <w:tcW w:w="1947" w:type="dxa"/>
            <w:hideMark/>
          </w:tcPr>
          <w:p w:rsidR="00947919" w:rsidRPr="00361D84" w:rsidRDefault="00947919" w:rsidP="00361D84">
            <w:pPr>
              <w:pStyle w:val="TableHeading"/>
              <w:jc w:val="center"/>
              <w:rPr>
                <w:rFonts w:cs="Arial"/>
                <w:b w:val="0"/>
                <w:szCs w:val="20"/>
              </w:rPr>
            </w:pPr>
            <w:r w:rsidRPr="00361D84">
              <w:rPr>
                <w:rFonts w:cs="Arial"/>
                <w:b w:val="0"/>
                <w:szCs w:val="20"/>
              </w:rPr>
              <w:t>Rebid reason</w:t>
            </w:r>
          </w:p>
        </w:tc>
      </w:tr>
      <w:tr w:rsidR="00947919" w:rsidRPr="006D1D94" w:rsidTr="00F6191E">
        <w:trPr>
          <w:trHeight w:val="582"/>
        </w:trPr>
        <w:tc>
          <w:tcPr>
            <w:tcW w:w="1032" w:type="dxa"/>
            <w:vAlign w:val="center"/>
          </w:tcPr>
          <w:p w:rsidR="00947919" w:rsidRPr="00727D4D" w:rsidRDefault="00947919" w:rsidP="00F6191E">
            <w:pPr>
              <w:jc w:val="center"/>
              <w:textAlignment w:val="center"/>
              <w:rPr>
                <w:rFonts w:cs="Arial"/>
                <w:color w:val="000000"/>
                <w:szCs w:val="18"/>
              </w:rPr>
            </w:pPr>
            <w:r>
              <w:rPr>
                <w:rFonts w:cs="Arial"/>
                <w:color w:val="000000"/>
                <w:szCs w:val="18"/>
              </w:rPr>
              <w:t>7.08 pm</w:t>
            </w:r>
          </w:p>
        </w:tc>
        <w:tc>
          <w:tcPr>
            <w:tcW w:w="980" w:type="dxa"/>
            <w:vAlign w:val="center"/>
          </w:tcPr>
          <w:p w:rsidR="00947919" w:rsidRPr="00727D4D" w:rsidRDefault="00947919" w:rsidP="00F6191E">
            <w:pPr>
              <w:jc w:val="center"/>
              <w:textAlignment w:val="center"/>
              <w:rPr>
                <w:rFonts w:cs="Arial"/>
                <w:color w:val="000000"/>
                <w:szCs w:val="18"/>
              </w:rPr>
            </w:pPr>
            <w:r>
              <w:t> </w:t>
            </w:r>
          </w:p>
        </w:tc>
        <w:tc>
          <w:tcPr>
            <w:tcW w:w="1525" w:type="dxa"/>
            <w:vAlign w:val="center"/>
          </w:tcPr>
          <w:p w:rsidR="00947919" w:rsidRPr="00727D4D" w:rsidRDefault="00947919" w:rsidP="00F6191E">
            <w:pPr>
              <w:textAlignment w:val="center"/>
              <w:rPr>
                <w:rFonts w:cs="Arial"/>
                <w:color w:val="000000"/>
                <w:szCs w:val="18"/>
              </w:rPr>
            </w:pPr>
            <w:r>
              <w:rPr>
                <w:rFonts w:cs="Arial"/>
                <w:color w:val="000000"/>
                <w:szCs w:val="18"/>
              </w:rPr>
              <w:t>CS Energy</w:t>
            </w:r>
          </w:p>
        </w:tc>
        <w:tc>
          <w:tcPr>
            <w:tcW w:w="1167" w:type="dxa"/>
            <w:vAlign w:val="center"/>
          </w:tcPr>
          <w:p w:rsidR="00947919" w:rsidRPr="00727D4D" w:rsidRDefault="00947919" w:rsidP="00F6191E">
            <w:pPr>
              <w:textAlignment w:val="center"/>
              <w:rPr>
                <w:rFonts w:cs="Arial"/>
                <w:color w:val="000000"/>
                <w:szCs w:val="18"/>
              </w:rPr>
            </w:pPr>
            <w:r>
              <w:rPr>
                <w:rFonts w:cs="Arial"/>
                <w:color w:val="000000"/>
                <w:szCs w:val="18"/>
              </w:rPr>
              <w:t>Gladstone</w:t>
            </w:r>
          </w:p>
        </w:tc>
        <w:tc>
          <w:tcPr>
            <w:tcW w:w="949" w:type="dxa"/>
            <w:vAlign w:val="center"/>
          </w:tcPr>
          <w:p w:rsidR="00947919" w:rsidRPr="00727D4D" w:rsidRDefault="00947919" w:rsidP="00F6191E">
            <w:pPr>
              <w:jc w:val="center"/>
              <w:textAlignment w:val="center"/>
              <w:rPr>
                <w:rFonts w:cs="Arial"/>
                <w:color w:val="000000"/>
                <w:szCs w:val="18"/>
              </w:rPr>
            </w:pPr>
            <w:r>
              <w:rPr>
                <w:rFonts w:cs="Arial"/>
                <w:color w:val="000000"/>
                <w:szCs w:val="18"/>
              </w:rPr>
              <w:t>120</w:t>
            </w:r>
          </w:p>
        </w:tc>
        <w:tc>
          <w:tcPr>
            <w:tcW w:w="906" w:type="dxa"/>
            <w:vAlign w:val="center"/>
          </w:tcPr>
          <w:p w:rsidR="00947919" w:rsidRPr="00727D4D" w:rsidRDefault="00947919" w:rsidP="00F6191E">
            <w:pPr>
              <w:jc w:val="center"/>
              <w:textAlignment w:val="center"/>
              <w:rPr>
                <w:rFonts w:cs="Arial"/>
                <w:color w:val="000000"/>
                <w:szCs w:val="18"/>
              </w:rPr>
            </w:pPr>
            <w:r>
              <w:rPr>
                <w:rFonts w:cs="Arial"/>
                <w:color w:val="000000"/>
                <w:szCs w:val="18"/>
              </w:rPr>
              <w:t>&lt;99</w:t>
            </w:r>
          </w:p>
        </w:tc>
        <w:tc>
          <w:tcPr>
            <w:tcW w:w="906" w:type="dxa"/>
            <w:vAlign w:val="center"/>
          </w:tcPr>
          <w:p w:rsidR="00947919" w:rsidRPr="00727D4D" w:rsidRDefault="00947919" w:rsidP="00F6191E">
            <w:pPr>
              <w:jc w:val="center"/>
              <w:textAlignment w:val="center"/>
              <w:rPr>
                <w:rFonts w:cs="Arial"/>
                <w:color w:val="000000"/>
                <w:szCs w:val="18"/>
              </w:rPr>
            </w:pPr>
            <w:r>
              <w:rPr>
                <w:rFonts w:cs="Arial"/>
                <w:color w:val="000000"/>
                <w:szCs w:val="18"/>
              </w:rPr>
              <w:t>&gt;300</w:t>
            </w:r>
          </w:p>
        </w:tc>
        <w:tc>
          <w:tcPr>
            <w:tcW w:w="1947" w:type="dxa"/>
            <w:vAlign w:val="center"/>
          </w:tcPr>
          <w:p w:rsidR="00947919" w:rsidRPr="00727D4D" w:rsidRDefault="00947919" w:rsidP="00F6191E">
            <w:pPr>
              <w:textAlignment w:val="center"/>
              <w:rPr>
                <w:rFonts w:cs="Arial"/>
                <w:color w:val="000000"/>
                <w:szCs w:val="18"/>
              </w:rPr>
            </w:pPr>
            <w:r>
              <w:rPr>
                <w:rFonts w:cs="Arial"/>
                <w:color w:val="000000"/>
                <w:szCs w:val="18"/>
              </w:rPr>
              <w:t>1907A DISPATCH PRICE HIGHER THAN 30MIN FORECAST-SL</w:t>
            </w:r>
          </w:p>
        </w:tc>
      </w:tr>
      <w:tr w:rsidR="00947919" w:rsidRPr="006D1D94" w:rsidTr="00F6191E">
        <w:trPr>
          <w:cnfStyle w:val="000000010000" w:firstRow="0" w:lastRow="0" w:firstColumn="0" w:lastColumn="0" w:oddVBand="0" w:evenVBand="0" w:oddHBand="0" w:evenHBand="1" w:firstRowFirstColumn="0" w:firstRowLastColumn="0" w:lastRowFirstColumn="0" w:lastRowLastColumn="0"/>
          <w:trHeight w:val="582"/>
        </w:trPr>
        <w:tc>
          <w:tcPr>
            <w:tcW w:w="1032" w:type="dxa"/>
            <w:vAlign w:val="center"/>
          </w:tcPr>
          <w:p w:rsidR="00947919" w:rsidRPr="00727D4D" w:rsidRDefault="00947919" w:rsidP="00F6191E">
            <w:pPr>
              <w:jc w:val="center"/>
              <w:textAlignment w:val="center"/>
              <w:rPr>
                <w:rFonts w:cs="Arial"/>
                <w:color w:val="000000"/>
                <w:sz w:val="18"/>
                <w:szCs w:val="18"/>
              </w:rPr>
            </w:pPr>
            <w:r>
              <w:rPr>
                <w:rFonts w:cs="Arial"/>
                <w:color w:val="000000"/>
                <w:sz w:val="18"/>
                <w:szCs w:val="18"/>
              </w:rPr>
              <w:t>7.12 pm</w:t>
            </w:r>
          </w:p>
        </w:tc>
        <w:tc>
          <w:tcPr>
            <w:tcW w:w="980" w:type="dxa"/>
            <w:vAlign w:val="center"/>
          </w:tcPr>
          <w:p w:rsidR="00947919" w:rsidRPr="00727D4D" w:rsidRDefault="00947919" w:rsidP="00F6191E">
            <w:pPr>
              <w:jc w:val="center"/>
              <w:textAlignment w:val="center"/>
              <w:rPr>
                <w:rFonts w:cs="Arial"/>
                <w:color w:val="000000"/>
                <w:sz w:val="18"/>
                <w:szCs w:val="18"/>
              </w:rPr>
            </w:pPr>
            <w:r>
              <w:t> </w:t>
            </w:r>
          </w:p>
        </w:tc>
        <w:tc>
          <w:tcPr>
            <w:tcW w:w="1525" w:type="dxa"/>
            <w:vAlign w:val="center"/>
          </w:tcPr>
          <w:p w:rsidR="00947919" w:rsidRPr="00727D4D" w:rsidRDefault="00947919" w:rsidP="00F6191E">
            <w:pPr>
              <w:textAlignment w:val="center"/>
              <w:rPr>
                <w:rFonts w:cs="Arial"/>
                <w:color w:val="000000"/>
                <w:sz w:val="18"/>
                <w:szCs w:val="18"/>
              </w:rPr>
            </w:pPr>
            <w:r>
              <w:rPr>
                <w:rFonts w:cs="Arial"/>
                <w:color w:val="000000"/>
                <w:sz w:val="18"/>
                <w:szCs w:val="18"/>
              </w:rPr>
              <w:t>Stanwell Corporation</w:t>
            </w:r>
          </w:p>
        </w:tc>
        <w:tc>
          <w:tcPr>
            <w:tcW w:w="1167" w:type="dxa"/>
            <w:vAlign w:val="center"/>
          </w:tcPr>
          <w:p w:rsidR="00947919" w:rsidRPr="00727D4D" w:rsidRDefault="00947919" w:rsidP="00F6191E">
            <w:pPr>
              <w:textAlignment w:val="center"/>
              <w:rPr>
                <w:rFonts w:cs="Arial"/>
                <w:color w:val="000000"/>
                <w:sz w:val="18"/>
                <w:szCs w:val="18"/>
              </w:rPr>
            </w:pPr>
            <w:proofErr w:type="spellStart"/>
            <w:r>
              <w:rPr>
                <w:rFonts w:cs="Arial"/>
                <w:color w:val="000000"/>
                <w:sz w:val="18"/>
                <w:szCs w:val="18"/>
              </w:rPr>
              <w:t>Tarong</w:t>
            </w:r>
            <w:proofErr w:type="spellEnd"/>
          </w:p>
        </w:tc>
        <w:tc>
          <w:tcPr>
            <w:tcW w:w="949" w:type="dxa"/>
            <w:vAlign w:val="center"/>
          </w:tcPr>
          <w:p w:rsidR="00947919" w:rsidRPr="00727D4D" w:rsidRDefault="00947919" w:rsidP="00F6191E">
            <w:pPr>
              <w:jc w:val="center"/>
              <w:textAlignment w:val="center"/>
              <w:rPr>
                <w:rFonts w:cs="Arial"/>
                <w:color w:val="000000"/>
                <w:sz w:val="18"/>
                <w:szCs w:val="18"/>
              </w:rPr>
            </w:pPr>
            <w:r>
              <w:rPr>
                <w:rFonts w:cs="Arial"/>
                <w:color w:val="000000"/>
                <w:sz w:val="18"/>
                <w:szCs w:val="18"/>
              </w:rPr>
              <w:t>165</w:t>
            </w:r>
          </w:p>
        </w:tc>
        <w:tc>
          <w:tcPr>
            <w:tcW w:w="906" w:type="dxa"/>
            <w:vAlign w:val="center"/>
          </w:tcPr>
          <w:p w:rsidR="00947919" w:rsidRPr="00727D4D" w:rsidRDefault="00947919" w:rsidP="00F6191E">
            <w:pPr>
              <w:jc w:val="center"/>
              <w:textAlignment w:val="center"/>
              <w:rPr>
                <w:rFonts w:cs="Arial"/>
                <w:color w:val="000000"/>
                <w:sz w:val="18"/>
                <w:szCs w:val="18"/>
              </w:rPr>
            </w:pPr>
            <w:r>
              <w:rPr>
                <w:rFonts w:cs="Arial"/>
                <w:color w:val="000000"/>
                <w:sz w:val="18"/>
                <w:szCs w:val="18"/>
              </w:rPr>
              <w:t>&lt;49</w:t>
            </w:r>
          </w:p>
        </w:tc>
        <w:tc>
          <w:tcPr>
            <w:tcW w:w="906" w:type="dxa"/>
            <w:vAlign w:val="center"/>
          </w:tcPr>
          <w:p w:rsidR="00947919" w:rsidRPr="00727D4D" w:rsidRDefault="00947919" w:rsidP="00F6191E">
            <w:pPr>
              <w:jc w:val="center"/>
              <w:textAlignment w:val="center"/>
              <w:rPr>
                <w:rFonts w:cs="Arial"/>
                <w:color w:val="000000"/>
                <w:sz w:val="18"/>
                <w:szCs w:val="18"/>
              </w:rPr>
            </w:pPr>
            <w:r>
              <w:rPr>
                <w:rFonts w:cs="Arial"/>
                <w:color w:val="000000"/>
                <w:sz w:val="18"/>
                <w:szCs w:val="18"/>
              </w:rPr>
              <w:t>&gt;298</w:t>
            </w:r>
          </w:p>
        </w:tc>
        <w:tc>
          <w:tcPr>
            <w:tcW w:w="1947" w:type="dxa"/>
            <w:vAlign w:val="center"/>
          </w:tcPr>
          <w:p w:rsidR="00947919" w:rsidRPr="00727D4D" w:rsidRDefault="00947919" w:rsidP="00F6191E">
            <w:pPr>
              <w:textAlignment w:val="center"/>
              <w:rPr>
                <w:rFonts w:cs="Arial"/>
                <w:color w:val="000000"/>
                <w:sz w:val="18"/>
                <w:szCs w:val="18"/>
              </w:rPr>
            </w:pPr>
            <w:r>
              <w:rPr>
                <w:rFonts w:cs="Arial"/>
                <w:color w:val="000000"/>
                <w:sz w:val="18"/>
                <w:szCs w:val="18"/>
              </w:rPr>
              <w:t>1911A QLD RRP 1910 HIGHER 5 MIN PD AND 30 MIN PD PRICE-SL</w:t>
            </w:r>
          </w:p>
        </w:tc>
      </w:tr>
      <w:tr w:rsidR="00947919" w:rsidRPr="006D1D94" w:rsidTr="00F6191E">
        <w:trPr>
          <w:trHeight w:val="582"/>
        </w:trPr>
        <w:tc>
          <w:tcPr>
            <w:tcW w:w="1032" w:type="dxa"/>
            <w:vAlign w:val="center"/>
          </w:tcPr>
          <w:p w:rsidR="00947919" w:rsidRPr="00727D4D" w:rsidRDefault="00947919" w:rsidP="00F6191E">
            <w:pPr>
              <w:jc w:val="center"/>
              <w:textAlignment w:val="center"/>
              <w:rPr>
                <w:rFonts w:cs="Arial"/>
                <w:color w:val="000000"/>
                <w:szCs w:val="18"/>
              </w:rPr>
            </w:pPr>
            <w:r>
              <w:rPr>
                <w:rFonts w:cs="Arial"/>
                <w:color w:val="000000"/>
                <w:szCs w:val="18"/>
              </w:rPr>
              <w:t>7.27 pm</w:t>
            </w:r>
          </w:p>
        </w:tc>
        <w:tc>
          <w:tcPr>
            <w:tcW w:w="980" w:type="dxa"/>
            <w:vAlign w:val="center"/>
          </w:tcPr>
          <w:p w:rsidR="00947919" w:rsidRPr="00727D4D" w:rsidRDefault="00947919" w:rsidP="00F6191E">
            <w:pPr>
              <w:jc w:val="center"/>
              <w:textAlignment w:val="center"/>
              <w:rPr>
                <w:rFonts w:cs="Arial"/>
                <w:color w:val="000000"/>
                <w:szCs w:val="18"/>
              </w:rPr>
            </w:pPr>
            <w:r>
              <w:rPr>
                <w:rFonts w:cs="Arial"/>
                <w:color w:val="000000"/>
                <w:szCs w:val="18"/>
              </w:rPr>
              <w:t>7.35 pm</w:t>
            </w:r>
          </w:p>
        </w:tc>
        <w:tc>
          <w:tcPr>
            <w:tcW w:w="1525" w:type="dxa"/>
            <w:vAlign w:val="center"/>
          </w:tcPr>
          <w:p w:rsidR="00947919" w:rsidRPr="00727D4D" w:rsidRDefault="00947919" w:rsidP="00F6191E">
            <w:pPr>
              <w:textAlignment w:val="center"/>
              <w:rPr>
                <w:rFonts w:cs="Arial"/>
                <w:color w:val="000000"/>
                <w:szCs w:val="18"/>
              </w:rPr>
            </w:pPr>
            <w:r>
              <w:rPr>
                <w:rFonts w:cs="Arial"/>
                <w:color w:val="000000"/>
                <w:szCs w:val="18"/>
              </w:rPr>
              <w:t>CS Energy</w:t>
            </w:r>
          </w:p>
        </w:tc>
        <w:tc>
          <w:tcPr>
            <w:tcW w:w="1167" w:type="dxa"/>
            <w:vAlign w:val="center"/>
          </w:tcPr>
          <w:p w:rsidR="00947919" w:rsidRPr="00727D4D" w:rsidRDefault="00947919" w:rsidP="00F6191E">
            <w:pPr>
              <w:textAlignment w:val="center"/>
              <w:rPr>
                <w:rFonts w:cs="Arial"/>
                <w:color w:val="000000"/>
                <w:szCs w:val="18"/>
              </w:rPr>
            </w:pPr>
            <w:r>
              <w:rPr>
                <w:rFonts w:cs="Arial"/>
                <w:color w:val="000000"/>
                <w:szCs w:val="18"/>
              </w:rPr>
              <w:t>Gladstone</w:t>
            </w:r>
          </w:p>
        </w:tc>
        <w:tc>
          <w:tcPr>
            <w:tcW w:w="949" w:type="dxa"/>
            <w:vAlign w:val="center"/>
          </w:tcPr>
          <w:p w:rsidR="00947919" w:rsidRPr="00727D4D" w:rsidRDefault="00947919" w:rsidP="00F6191E">
            <w:pPr>
              <w:jc w:val="center"/>
              <w:textAlignment w:val="center"/>
              <w:rPr>
                <w:rFonts w:cs="Arial"/>
                <w:color w:val="000000"/>
                <w:szCs w:val="18"/>
              </w:rPr>
            </w:pPr>
            <w:r>
              <w:rPr>
                <w:rFonts w:cs="Arial"/>
                <w:color w:val="000000"/>
                <w:szCs w:val="18"/>
              </w:rPr>
              <w:t>80</w:t>
            </w:r>
          </w:p>
        </w:tc>
        <w:tc>
          <w:tcPr>
            <w:tcW w:w="906" w:type="dxa"/>
            <w:vAlign w:val="center"/>
          </w:tcPr>
          <w:p w:rsidR="00947919" w:rsidRPr="00727D4D" w:rsidRDefault="00947919" w:rsidP="00F6191E">
            <w:pPr>
              <w:jc w:val="center"/>
              <w:textAlignment w:val="center"/>
              <w:rPr>
                <w:rFonts w:cs="Arial"/>
                <w:color w:val="000000"/>
                <w:szCs w:val="18"/>
              </w:rPr>
            </w:pPr>
            <w:r>
              <w:rPr>
                <w:rFonts w:cs="Arial"/>
                <w:color w:val="000000"/>
                <w:szCs w:val="18"/>
              </w:rPr>
              <w:t>&lt;36</w:t>
            </w:r>
          </w:p>
        </w:tc>
        <w:tc>
          <w:tcPr>
            <w:tcW w:w="906" w:type="dxa"/>
            <w:vAlign w:val="center"/>
          </w:tcPr>
          <w:p w:rsidR="00947919" w:rsidRPr="00727D4D" w:rsidRDefault="00947919" w:rsidP="00F6191E">
            <w:pPr>
              <w:jc w:val="center"/>
              <w:textAlignment w:val="center"/>
              <w:rPr>
                <w:rFonts w:cs="Arial"/>
                <w:color w:val="000000"/>
                <w:szCs w:val="18"/>
              </w:rPr>
            </w:pPr>
            <w:r>
              <w:rPr>
                <w:rFonts w:cs="Arial"/>
                <w:color w:val="000000"/>
                <w:szCs w:val="18"/>
              </w:rPr>
              <w:t>&gt;300</w:t>
            </w:r>
          </w:p>
        </w:tc>
        <w:tc>
          <w:tcPr>
            <w:tcW w:w="1947" w:type="dxa"/>
            <w:vAlign w:val="center"/>
          </w:tcPr>
          <w:p w:rsidR="00947919" w:rsidRPr="00727D4D" w:rsidRDefault="00947919" w:rsidP="00F6191E">
            <w:pPr>
              <w:textAlignment w:val="center"/>
              <w:rPr>
                <w:rFonts w:cs="Arial"/>
                <w:color w:val="000000"/>
                <w:szCs w:val="18"/>
              </w:rPr>
            </w:pPr>
            <w:r>
              <w:rPr>
                <w:rFonts w:cs="Arial"/>
                <w:color w:val="000000"/>
                <w:szCs w:val="18"/>
              </w:rPr>
              <w:t>1925A DISPATCH PRICE LOWER THAN 30MIN FORECAST-SL</w:t>
            </w:r>
          </w:p>
        </w:tc>
      </w:tr>
    </w:tbl>
    <w:p w:rsidR="00CE661E" w:rsidRDefault="0078319A" w:rsidP="002A0450">
      <w:pPr>
        <w:pStyle w:val="AERbodytext"/>
      </w:pPr>
      <w:r>
        <w:t>Th</w:t>
      </w:r>
      <w:r w:rsidR="00947919">
        <w:t>e above rebids</w:t>
      </w:r>
      <w:r w:rsidR="00250859">
        <w:t>,</w:t>
      </w:r>
      <w:r>
        <w:t xml:space="preserve"> combine</w:t>
      </w:r>
      <w:r w:rsidR="00250859">
        <w:t>d</w:t>
      </w:r>
      <w:r>
        <w:t xml:space="preserve"> with </w:t>
      </w:r>
      <w:r w:rsidR="00250859">
        <w:t xml:space="preserve">a </w:t>
      </w:r>
      <w:r w:rsidR="00947919">
        <w:t>demand increase of 85 MW at 7.35 pm</w:t>
      </w:r>
      <w:r w:rsidR="00250859">
        <w:t>,</w:t>
      </w:r>
      <w:r w:rsidR="00947919">
        <w:t xml:space="preserve"> saw the </w:t>
      </w:r>
      <w:r>
        <w:t>dispatch</w:t>
      </w:r>
      <w:r w:rsidR="00CE661E">
        <w:t xml:space="preserve"> </w:t>
      </w:r>
      <w:r>
        <w:t>price r</w:t>
      </w:r>
      <w:r w:rsidR="00361D84">
        <w:t>i</w:t>
      </w:r>
      <w:r>
        <w:t xml:space="preserve">se to </w:t>
      </w:r>
      <w:r w:rsidR="00CE661E">
        <w:t>$298/MWh</w:t>
      </w:r>
      <w:r w:rsidR="00D4594F">
        <w:t xml:space="preserve"> from $85/MWh</w:t>
      </w:r>
      <w:r w:rsidR="00CE661E">
        <w:t xml:space="preserve">. The </w:t>
      </w:r>
      <w:r>
        <w:t xml:space="preserve">price </w:t>
      </w:r>
      <w:r w:rsidR="00CE661E">
        <w:t>remained at $298/MWh for the next four dispatch intervals.</w:t>
      </w:r>
    </w:p>
    <w:p w:rsidR="004F6D0A" w:rsidRDefault="00CE661E" w:rsidP="002A0450">
      <w:pPr>
        <w:pStyle w:val="AERbodytext"/>
      </w:pPr>
      <w:r>
        <w:t xml:space="preserve">At 8 pm demand decreased by 122 MW </w:t>
      </w:r>
      <w:r w:rsidR="003E74FF">
        <w:t>and</w:t>
      </w:r>
      <w:r>
        <w:t xml:space="preserve"> the dispatch price </w:t>
      </w:r>
      <w:r w:rsidR="003E74FF">
        <w:t xml:space="preserve">fell </w:t>
      </w:r>
      <w:r>
        <w:t>to $45/MWh</w:t>
      </w:r>
      <w:r w:rsidR="00C55452">
        <w:t>.</w:t>
      </w:r>
    </w:p>
    <w:p w:rsidR="004F6D0A" w:rsidRDefault="004F6D0A" w:rsidP="004F6D0A">
      <w:pPr>
        <w:rPr>
          <w:rFonts w:eastAsia="Times New Roman" w:cs="Arial"/>
          <w:lang w:eastAsia="en-AU"/>
        </w:rPr>
      </w:pPr>
      <w:r>
        <w:br w:type="page"/>
      </w: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D12C8D">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D12C8D">
          <w:rPr>
            <w:noProof/>
          </w:rPr>
          <w:t>9</w:t>
        </w:r>
      </w:fldSimple>
      <w:bookmarkEnd w:id="21"/>
      <w:r w:rsidR="002515C3">
        <w:t>:</w:t>
      </w:r>
      <w:r>
        <w:t xml:space="preserve"> </w:t>
      </w:r>
      <w:r w:rsidRPr="007A6ACB">
        <w:t>Quarterly base future prices Q</w:t>
      </w:r>
      <w:r w:rsidR="00C4712A">
        <w:t>1 2016</w:t>
      </w:r>
      <w:r w:rsidRPr="007A6ACB">
        <w:t xml:space="preserve"> – Q</w:t>
      </w:r>
      <w:r w:rsidR="00C4712A">
        <w:t>4</w:t>
      </w:r>
      <w:r w:rsidRPr="007A6ACB">
        <w:t xml:space="preserve"> 201</w:t>
      </w:r>
      <w:r w:rsidR="00F87EBA">
        <w:t>9</w:t>
      </w:r>
    </w:p>
    <w:p w:rsidR="00CA0ECB" w:rsidRPr="00037EB9" w:rsidRDefault="00037EB9" w:rsidP="00783D4E">
      <w:pPr>
        <w:spacing w:before="0" w:after="120" w:line="240" w:lineRule="auto"/>
        <w:rPr>
          <w:sz w:val="16"/>
          <w:szCs w:val="16"/>
        </w:rPr>
      </w:pPr>
      <w:r w:rsidRPr="00F73126">
        <w:rPr>
          <w:noProof/>
          <w:lang w:eastAsia="en-AU"/>
        </w:rPr>
        <w:drawing>
          <wp:inline distT="0" distB="0" distL="0" distR="0" wp14:anchorId="08CF4286" wp14:editId="1237D604">
            <wp:extent cx="5475000" cy="2753878"/>
            <wp:effectExtent l="0" t="0" r="0" b="8890"/>
            <wp:docPr id="20" name="Picture 20"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9828" cy="2756306"/>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3"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D12C8D">
        <w:t xml:space="preserve">Figure </w:t>
      </w:r>
      <w:r w:rsidR="00D12C8D">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w:t>
      </w:r>
      <w:r w:rsidR="005A5657" w:rsidRPr="0031019A">
        <w:t>South</w:t>
      </w:r>
      <w:r w:rsidR="005A5657">
        <w:t> </w:t>
      </w:r>
      <w:r w:rsidRPr="0031019A">
        <w:t xml:space="preserve">Australia is less reliable due to very low numbers of trades. </w:t>
      </w:r>
      <w:r w:rsidR="00323CE7">
        <w:t>The price of Q1 contracts in South Australia continues to fall roughly in parallel with prices in Victoria and New South Wales. Queensland Q1 contract prices are maintaining a level slightly above $60/MWh as has been the case for about six weeks. Similar trends are also evident in price of Q1 cap contracts.</w:t>
      </w:r>
    </w:p>
    <w:p w:rsidR="00275002" w:rsidRDefault="00275002" w:rsidP="00783D4E">
      <w:pPr>
        <w:pStyle w:val="Caption"/>
        <w:spacing w:before="0" w:line="240" w:lineRule="auto"/>
      </w:pPr>
      <w:bookmarkStart w:id="22" w:name="_Ref410380382"/>
      <w:r>
        <w:t xml:space="preserve">Figure </w:t>
      </w:r>
      <w:fldSimple w:instr=" SEQ Figure \* ARABIC ">
        <w:r w:rsidR="00D12C8D">
          <w:rPr>
            <w:noProof/>
          </w:rPr>
          <w:t>10</w:t>
        </w:r>
      </w:fldSimple>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D4594F" w:rsidP="00783D4E">
      <w:pPr>
        <w:pStyle w:val="Caption"/>
        <w:spacing w:before="0" w:line="240" w:lineRule="auto"/>
      </w:pPr>
      <w:r w:rsidRPr="00D4594F">
        <w:rPr>
          <w:noProof/>
          <w:lang w:eastAsia="en-AU"/>
        </w:rPr>
        <w:drawing>
          <wp:inline distT="0" distB="0" distL="0" distR="0" wp14:anchorId="031A07F0" wp14:editId="18AF234F">
            <wp:extent cx="5199912" cy="2628900"/>
            <wp:effectExtent l="0" t="0" r="1270" b="0"/>
            <wp:docPr id="2" name="Picture 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3608" cy="2630768"/>
                    </a:xfrm>
                    <a:prstGeom prst="rect">
                      <a:avLst/>
                    </a:prstGeom>
                    <a:noFill/>
                    <a:ln>
                      <a:noFill/>
                    </a:ln>
                  </pic:spPr>
                </pic:pic>
              </a:graphicData>
            </a:graphic>
          </wp:inline>
        </w:drawing>
      </w:r>
    </w:p>
    <w:p w:rsidR="00275002" w:rsidRPr="0031019A" w:rsidRDefault="00275002" w:rsidP="00783D4E">
      <w:pPr>
        <w:pStyle w:val="Source"/>
        <w:spacing w:before="0" w:after="120" w:line="240" w:lineRule="auto"/>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lastRenderedPageBreak/>
        <w:t>Prices of other financial products (including longer-term price trends) are available in the</w:t>
      </w:r>
      <w:r w:rsidRPr="0031019A">
        <w:t xml:space="preserve"> </w:t>
      </w:r>
      <w:hyperlink r:id="rId26"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D12C8D">
        <w:t xml:space="preserve">Figure </w:t>
      </w:r>
      <w:r w:rsidR="00D12C8D">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D12C8D">
          <w:rPr>
            <w:noProof/>
          </w:rPr>
          <w:t>11</w:t>
        </w:r>
      </w:fldSimple>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037EB9" w:rsidP="00CB0FA5">
      <w:pPr>
        <w:spacing w:before="0" w:line="240" w:lineRule="auto"/>
      </w:pPr>
      <w:r w:rsidRPr="00037EB9">
        <w:rPr>
          <w:noProof/>
          <w:lang w:eastAsia="en-AU"/>
        </w:rPr>
        <w:drawing>
          <wp:inline distT="0" distB="0" distL="0" distR="0" wp14:anchorId="11EA4C1F" wp14:editId="6476F124">
            <wp:extent cx="5540308" cy="2778122"/>
            <wp:effectExtent l="0" t="0" r="3810" b="3810"/>
            <wp:docPr id="4" name="Picture 4"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34177" cy="2775047"/>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8" w:history="1">
        <w:r w:rsidRPr="002A7439">
          <w:rPr>
            <w:rStyle w:val="Hyperlink"/>
            <w:color w:val="auto"/>
            <w:sz w:val="16"/>
            <w:u w:val="none"/>
          </w:rPr>
          <w:t>ASXEnergy.com.au</w:t>
        </w:r>
      </w:hyperlink>
    </w:p>
    <w:p w:rsidR="00275002" w:rsidRPr="009F2CAC" w:rsidRDefault="00275002" w:rsidP="00783D4E">
      <w:pPr>
        <w:pStyle w:val="Heading4notnumbered"/>
      </w:pPr>
      <w:r w:rsidRPr="00035A9A">
        <w:t>Australian Energy Regulator</w:t>
      </w:r>
      <w:r w:rsidR="005B0EF5" w:rsidRPr="00035A9A">
        <w:br/>
      </w:r>
      <w:r w:rsidR="00E926FC">
        <w:t>March</w:t>
      </w:r>
      <w:r w:rsidR="004D5447" w:rsidRPr="00035A9A">
        <w:t xml:space="preserve"> </w:t>
      </w:r>
      <w:r w:rsidR="00C4712A">
        <w:t>2016</w:t>
      </w:r>
    </w:p>
    <w:sectPr w:rsidR="00275002" w:rsidRPr="009F2CAC" w:rsidSect="00F167CF">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73" w:rsidRDefault="009A0A73" w:rsidP="004B4412">
      <w:pPr>
        <w:spacing w:before="0"/>
      </w:pPr>
      <w:r>
        <w:separator/>
      </w:r>
    </w:p>
  </w:endnote>
  <w:endnote w:type="continuationSeparator" w:id="0">
    <w:p w:rsidR="009A0A73" w:rsidRDefault="009A0A7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1A9E" w:rsidRDefault="009A0A7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A0A73" w:rsidRDefault="009A0A73"/>
  <w:p w:rsidR="009A0A73" w:rsidRDefault="009A0A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4D89" w:rsidRDefault="009A0A7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12C8D">
      <w:rPr>
        <w:rFonts w:cs="Arial"/>
        <w:i/>
        <w:noProof/>
      </w:rPr>
      <w:t>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73" w:rsidRPr="00A94D89" w:rsidRDefault="009A0A7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12C8D">
      <w:rPr>
        <w:rFonts w:cs="Arial"/>
        <w:i/>
        <w:noProof/>
      </w:rPr>
      <w:t>1</w:t>
    </w:r>
    <w:r w:rsidRPr="001F1B78">
      <w:rPr>
        <w:rFonts w:cs="Arial"/>
        <w:i/>
        <w:noProof/>
      </w:rPr>
      <w:fldChar w:fldCharType="end"/>
    </w:r>
    <w:r w:rsidRPr="00F52F00">
      <w:rPr>
        <w:rFonts w:cs="Arial"/>
        <w:i/>
      </w:rPr>
      <w:tab/>
      <w:t xml:space="preserve">AER reference: 39220 – </w:t>
    </w:r>
    <w:r w:rsidR="00DE5AB1" w:rsidRPr="00DE5AB1">
      <w:rPr>
        <w:rFonts w:cs="Arial"/>
        <w:i/>
        <w:szCs w:val="18"/>
      </w:rPr>
      <w:t>D16/23683</w:t>
    </w:r>
  </w:p>
  <w:p w:rsidR="009A0A73" w:rsidRDefault="009A0A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73" w:rsidRDefault="009A0A73" w:rsidP="004B4412">
      <w:pPr>
        <w:spacing w:before="0"/>
      </w:pPr>
      <w:r>
        <w:separator/>
      </w:r>
    </w:p>
  </w:footnote>
  <w:footnote w:type="continuationSeparator" w:id="0">
    <w:p w:rsidR="009A0A73" w:rsidRDefault="009A0A7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38E11D7"/>
    <w:multiLevelType w:val="hybridMultilevel"/>
    <w:tmpl w:val="F5463128"/>
    <w:lvl w:ilvl="0" w:tplc="A5CC2D4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3"/>
  </w:num>
  <w:num w:numId="5">
    <w:abstractNumId w:val="14"/>
  </w:num>
  <w:num w:numId="6">
    <w:abstractNumId w:val="29"/>
  </w:num>
  <w:num w:numId="7">
    <w:abstractNumId w:val="4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2"/>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1"/>
  </w:num>
  <w:num w:numId="24">
    <w:abstractNumId w:val="46"/>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5"/>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AER electricity weekly report - 7 – 13 February 2016.docx"/>
  </w:docVars>
  <w:rsids>
    <w:rsidRoot w:val="00275002"/>
    <w:rsid w:val="00000BFE"/>
    <w:rsid w:val="00000CC3"/>
    <w:rsid w:val="00003169"/>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16E7"/>
    <w:rsid w:val="00033902"/>
    <w:rsid w:val="0003564D"/>
    <w:rsid w:val="0003578C"/>
    <w:rsid w:val="00035A9A"/>
    <w:rsid w:val="00037EB9"/>
    <w:rsid w:val="00040E4C"/>
    <w:rsid w:val="00041A89"/>
    <w:rsid w:val="000422AB"/>
    <w:rsid w:val="00043FA7"/>
    <w:rsid w:val="000442BA"/>
    <w:rsid w:val="00044D80"/>
    <w:rsid w:val="000452BA"/>
    <w:rsid w:val="000461E2"/>
    <w:rsid w:val="0005123C"/>
    <w:rsid w:val="00051880"/>
    <w:rsid w:val="000528FD"/>
    <w:rsid w:val="00056949"/>
    <w:rsid w:val="000576CD"/>
    <w:rsid w:val="00057973"/>
    <w:rsid w:val="00061CE2"/>
    <w:rsid w:val="00063247"/>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C8A"/>
    <w:rsid w:val="000D122C"/>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956"/>
    <w:rsid w:val="000F1D61"/>
    <w:rsid w:val="000F56F6"/>
    <w:rsid w:val="000F5855"/>
    <w:rsid w:val="000F6FA7"/>
    <w:rsid w:val="00100142"/>
    <w:rsid w:val="00105AF3"/>
    <w:rsid w:val="001107FF"/>
    <w:rsid w:val="00113AE0"/>
    <w:rsid w:val="001158FE"/>
    <w:rsid w:val="00115CCB"/>
    <w:rsid w:val="00116EB2"/>
    <w:rsid w:val="00117195"/>
    <w:rsid w:val="0012092C"/>
    <w:rsid w:val="00122831"/>
    <w:rsid w:val="001235DD"/>
    <w:rsid w:val="00124609"/>
    <w:rsid w:val="00125F4F"/>
    <w:rsid w:val="00127CAB"/>
    <w:rsid w:val="0013057E"/>
    <w:rsid w:val="001337EF"/>
    <w:rsid w:val="00133FC8"/>
    <w:rsid w:val="00136716"/>
    <w:rsid w:val="00136A08"/>
    <w:rsid w:val="001373F1"/>
    <w:rsid w:val="001435CC"/>
    <w:rsid w:val="001450FB"/>
    <w:rsid w:val="0014511E"/>
    <w:rsid w:val="00145982"/>
    <w:rsid w:val="00145ACE"/>
    <w:rsid w:val="00151F61"/>
    <w:rsid w:val="001539E0"/>
    <w:rsid w:val="0015451B"/>
    <w:rsid w:val="00155113"/>
    <w:rsid w:val="001566F6"/>
    <w:rsid w:val="001573E4"/>
    <w:rsid w:val="00160756"/>
    <w:rsid w:val="00164FB1"/>
    <w:rsid w:val="00165247"/>
    <w:rsid w:val="00165C87"/>
    <w:rsid w:val="001666AA"/>
    <w:rsid w:val="00166BD2"/>
    <w:rsid w:val="001711CC"/>
    <w:rsid w:val="0017232E"/>
    <w:rsid w:val="00173DC1"/>
    <w:rsid w:val="00174102"/>
    <w:rsid w:val="001756AF"/>
    <w:rsid w:val="001778E3"/>
    <w:rsid w:val="00180157"/>
    <w:rsid w:val="00181C46"/>
    <w:rsid w:val="001832C7"/>
    <w:rsid w:val="00186831"/>
    <w:rsid w:val="00186F77"/>
    <w:rsid w:val="001901A4"/>
    <w:rsid w:val="00191C6F"/>
    <w:rsid w:val="00192441"/>
    <w:rsid w:val="001926A4"/>
    <w:rsid w:val="00193ED7"/>
    <w:rsid w:val="001A2C0A"/>
    <w:rsid w:val="001A3CDA"/>
    <w:rsid w:val="001B0C3B"/>
    <w:rsid w:val="001B2363"/>
    <w:rsid w:val="001B45A0"/>
    <w:rsid w:val="001B4A7D"/>
    <w:rsid w:val="001B684F"/>
    <w:rsid w:val="001B6C15"/>
    <w:rsid w:val="001C027D"/>
    <w:rsid w:val="001C17B3"/>
    <w:rsid w:val="001C1BC0"/>
    <w:rsid w:val="001C2EE8"/>
    <w:rsid w:val="001C6748"/>
    <w:rsid w:val="001D055E"/>
    <w:rsid w:val="001D0CE3"/>
    <w:rsid w:val="001D3A5B"/>
    <w:rsid w:val="001D5BEB"/>
    <w:rsid w:val="001D60FF"/>
    <w:rsid w:val="001D7698"/>
    <w:rsid w:val="001D7FB7"/>
    <w:rsid w:val="001E01B4"/>
    <w:rsid w:val="001E14C2"/>
    <w:rsid w:val="001E2F01"/>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1C06"/>
    <w:rsid w:val="00203300"/>
    <w:rsid w:val="0020376D"/>
    <w:rsid w:val="0020489F"/>
    <w:rsid w:val="002050F5"/>
    <w:rsid w:val="002062A9"/>
    <w:rsid w:val="002072A2"/>
    <w:rsid w:val="00207D5B"/>
    <w:rsid w:val="0021147E"/>
    <w:rsid w:val="00212D2F"/>
    <w:rsid w:val="00213CF6"/>
    <w:rsid w:val="00214FBA"/>
    <w:rsid w:val="00215E19"/>
    <w:rsid w:val="002164FB"/>
    <w:rsid w:val="00216865"/>
    <w:rsid w:val="002214D9"/>
    <w:rsid w:val="002216F5"/>
    <w:rsid w:val="00224DB9"/>
    <w:rsid w:val="00224EE7"/>
    <w:rsid w:val="002276F0"/>
    <w:rsid w:val="00227C97"/>
    <w:rsid w:val="00230D26"/>
    <w:rsid w:val="00231C73"/>
    <w:rsid w:val="00232A71"/>
    <w:rsid w:val="00237048"/>
    <w:rsid w:val="002427B3"/>
    <w:rsid w:val="00242C25"/>
    <w:rsid w:val="00243347"/>
    <w:rsid w:val="002438D9"/>
    <w:rsid w:val="00247473"/>
    <w:rsid w:val="00250859"/>
    <w:rsid w:val="002515C3"/>
    <w:rsid w:val="00251745"/>
    <w:rsid w:val="00251C37"/>
    <w:rsid w:val="00251D74"/>
    <w:rsid w:val="00262F65"/>
    <w:rsid w:val="00263AC0"/>
    <w:rsid w:val="002649D2"/>
    <w:rsid w:val="002649D8"/>
    <w:rsid w:val="00265486"/>
    <w:rsid w:val="0026772D"/>
    <w:rsid w:val="00270A51"/>
    <w:rsid w:val="00270AF4"/>
    <w:rsid w:val="0027318A"/>
    <w:rsid w:val="00275002"/>
    <w:rsid w:val="00275927"/>
    <w:rsid w:val="002817AB"/>
    <w:rsid w:val="002828A0"/>
    <w:rsid w:val="0028440E"/>
    <w:rsid w:val="00286874"/>
    <w:rsid w:val="0029246F"/>
    <w:rsid w:val="00294653"/>
    <w:rsid w:val="00294D01"/>
    <w:rsid w:val="00296B65"/>
    <w:rsid w:val="002A0450"/>
    <w:rsid w:val="002A0AF0"/>
    <w:rsid w:val="002A1B5C"/>
    <w:rsid w:val="002A3CF2"/>
    <w:rsid w:val="002A4EF8"/>
    <w:rsid w:val="002A7439"/>
    <w:rsid w:val="002A7729"/>
    <w:rsid w:val="002A7C78"/>
    <w:rsid w:val="002A7DEF"/>
    <w:rsid w:val="002B0749"/>
    <w:rsid w:val="002B0DAE"/>
    <w:rsid w:val="002B1949"/>
    <w:rsid w:val="002B1B50"/>
    <w:rsid w:val="002B6FD1"/>
    <w:rsid w:val="002B720D"/>
    <w:rsid w:val="002C2278"/>
    <w:rsid w:val="002C341F"/>
    <w:rsid w:val="002C3E5B"/>
    <w:rsid w:val="002C581B"/>
    <w:rsid w:val="002C6DD3"/>
    <w:rsid w:val="002D1734"/>
    <w:rsid w:val="002D37FB"/>
    <w:rsid w:val="002D484E"/>
    <w:rsid w:val="002D4A1F"/>
    <w:rsid w:val="002E29A0"/>
    <w:rsid w:val="002E6254"/>
    <w:rsid w:val="002F02A4"/>
    <w:rsid w:val="002F3D02"/>
    <w:rsid w:val="002F4F34"/>
    <w:rsid w:val="002F7986"/>
    <w:rsid w:val="00300C0B"/>
    <w:rsid w:val="00302D83"/>
    <w:rsid w:val="003061FA"/>
    <w:rsid w:val="003062C2"/>
    <w:rsid w:val="00307F6D"/>
    <w:rsid w:val="0031318F"/>
    <w:rsid w:val="003153EB"/>
    <w:rsid w:val="003177A2"/>
    <w:rsid w:val="00317A81"/>
    <w:rsid w:val="00321853"/>
    <w:rsid w:val="00322300"/>
    <w:rsid w:val="00323CE7"/>
    <w:rsid w:val="003243B4"/>
    <w:rsid w:val="003271B5"/>
    <w:rsid w:val="003274A9"/>
    <w:rsid w:val="00331264"/>
    <w:rsid w:val="00332F5D"/>
    <w:rsid w:val="00334C8D"/>
    <w:rsid w:val="00336D50"/>
    <w:rsid w:val="003401B9"/>
    <w:rsid w:val="00341169"/>
    <w:rsid w:val="00342870"/>
    <w:rsid w:val="00346F05"/>
    <w:rsid w:val="003518B3"/>
    <w:rsid w:val="00352DA8"/>
    <w:rsid w:val="00354887"/>
    <w:rsid w:val="0035522A"/>
    <w:rsid w:val="00355CDD"/>
    <w:rsid w:val="00355D2F"/>
    <w:rsid w:val="00356E72"/>
    <w:rsid w:val="00361D84"/>
    <w:rsid w:val="00366515"/>
    <w:rsid w:val="00371F3A"/>
    <w:rsid w:val="003749F7"/>
    <w:rsid w:val="00375E24"/>
    <w:rsid w:val="00383C6B"/>
    <w:rsid w:val="003846F1"/>
    <w:rsid w:val="00384A55"/>
    <w:rsid w:val="00384B54"/>
    <w:rsid w:val="00386C86"/>
    <w:rsid w:val="00395B4C"/>
    <w:rsid w:val="003A0810"/>
    <w:rsid w:val="003A1F17"/>
    <w:rsid w:val="003A3E2D"/>
    <w:rsid w:val="003A41E0"/>
    <w:rsid w:val="003A4B6B"/>
    <w:rsid w:val="003A7DC0"/>
    <w:rsid w:val="003B0D56"/>
    <w:rsid w:val="003B282E"/>
    <w:rsid w:val="003B40ED"/>
    <w:rsid w:val="003B4804"/>
    <w:rsid w:val="003B6F90"/>
    <w:rsid w:val="003C0710"/>
    <w:rsid w:val="003C24A9"/>
    <w:rsid w:val="003C2B22"/>
    <w:rsid w:val="003C2BC1"/>
    <w:rsid w:val="003C3C98"/>
    <w:rsid w:val="003C62E9"/>
    <w:rsid w:val="003C7EFA"/>
    <w:rsid w:val="003D5258"/>
    <w:rsid w:val="003E1341"/>
    <w:rsid w:val="003E3C33"/>
    <w:rsid w:val="003E47DC"/>
    <w:rsid w:val="003E521D"/>
    <w:rsid w:val="003E74FF"/>
    <w:rsid w:val="003E78A9"/>
    <w:rsid w:val="003F004E"/>
    <w:rsid w:val="003F0289"/>
    <w:rsid w:val="003F54CB"/>
    <w:rsid w:val="003F57F1"/>
    <w:rsid w:val="003F5F74"/>
    <w:rsid w:val="003F75C8"/>
    <w:rsid w:val="00402142"/>
    <w:rsid w:val="00403473"/>
    <w:rsid w:val="004034C5"/>
    <w:rsid w:val="00404492"/>
    <w:rsid w:val="00404504"/>
    <w:rsid w:val="00405B42"/>
    <w:rsid w:val="00411897"/>
    <w:rsid w:val="00412176"/>
    <w:rsid w:val="00414488"/>
    <w:rsid w:val="00415788"/>
    <w:rsid w:val="004157C0"/>
    <w:rsid w:val="00416641"/>
    <w:rsid w:val="0042429B"/>
    <w:rsid w:val="00424809"/>
    <w:rsid w:val="004253D6"/>
    <w:rsid w:val="00440D85"/>
    <w:rsid w:val="00442767"/>
    <w:rsid w:val="00444A48"/>
    <w:rsid w:val="0045129B"/>
    <w:rsid w:val="00456C20"/>
    <w:rsid w:val="00462CFF"/>
    <w:rsid w:val="00465210"/>
    <w:rsid w:val="00471992"/>
    <w:rsid w:val="00471E68"/>
    <w:rsid w:val="0048018F"/>
    <w:rsid w:val="00480B4B"/>
    <w:rsid w:val="004831F8"/>
    <w:rsid w:val="00485752"/>
    <w:rsid w:val="00485DC4"/>
    <w:rsid w:val="00487C10"/>
    <w:rsid w:val="004923CD"/>
    <w:rsid w:val="00492A06"/>
    <w:rsid w:val="00493B02"/>
    <w:rsid w:val="00494036"/>
    <w:rsid w:val="00495574"/>
    <w:rsid w:val="0049751C"/>
    <w:rsid w:val="004A1061"/>
    <w:rsid w:val="004A1184"/>
    <w:rsid w:val="004A2770"/>
    <w:rsid w:val="004A364A"/>
    <w:rsid w:val="004B104F"/>
    <w:rsid w:val="004B1708"/>
    <w:rsid w:val="004B231C"/>
    <w:rsid w:val="004B42A7"/>
    <w:rsid w:val="004B4412"/>
    <w:rsid w:val="004B5B3F"/>
    <w:rsid w:val="004C28B2"/>
    <w:rsid w:val="004C348C"/>
    <w:rsid w:val="004C63B9"/>
    <w:rsid w:val="004C6C5B"/>
    <w:rsid w:val="004D4A76"/>
    <w:rsid w:val="004D5447"/>
    <w:rsid w:val="004D55BA"/>
    <w:rsid w:val="004E1B1C"/>
    <w:rsid w:val="004E1E95"/>
    <w:rsid w:val="004E34E7"/>
    <w:rsid w:val="004E4142"/>
    <w:rsid w:val="004E6AFC"/>
    <w:rsid w:val="004E7D10"/>
    <w:rsid w:val="004F171D"/>
    <w:rsid w:val="004F18F3"/>
    <w:rsid w:val="004F6D0A"/>
    <w:rsid w:val="004F6ED0"/>
    <w:rsid w:val="00501B85"/>
    <w:rsid w:val="00502843"/>
    <w:rsid w:val="00502D42"/>
    <w:rsid w:val="00505B5E"/>
    <w:rsid w:val="005177C0"/>
    <w:rsid w:val="00522360"/>
    <w:rsid w:val="00522486"/>
    <w:rsid w:val="00522668"/>
    <w:rsid w:val="00523AD2"/>
    <w:rsid w:val="005279B6"/>
    <w:rsid w:val="00530128"/>
    <w:rsid w:val="00530657"/>
    <w:rsid w:val="005323B2"/>
    <w:rsid w:val="00532467"/>
    <w:rsid w:val="0053491C"/>
    <w:rsid w:val="0053611E"/>
    <w:rsid w:val="0054102B"/>
    <w:rsid w:val="0054173F"/>
    <w:rsid w:val="00543945"/>
    <w:rsid w:val="00543BEC"/>
    <w:rsid w:val="00544C6F"/>
    <w:rsid w:val="00547DC4"/>
    <w:rsid w:val="005502E7"/>
    <w:rsid w:val="00555667"/>
    <w:rsid w:val="00556B64"/>
    <w:rsid w:val="005575B9"/>
    <w:rsid w:val="00560CE5"/>
    <w:rsid w:val="00562CEE"/>
    <w:rsid w:val="00564A4D"/>
    <w:rsid w:val="00565239"/>
    <w:rsid w:val="005656E2"/>
    <w:rsid w:val="00565F50"/>
    <w:rsid w:val="0056783F"/>
    <w:rsid w:val="005703C9"/>
    <w:rsid w:val="005707D4"/>
    <w:rsid w:val="00571680"/>
    <w:rsid w:val="00571B35"/>
    <w:rsid w:val="005722FF"/>
    <w:rsid w:val="00572D20"/>
    <w:rsid w:val="00574241"/>
    <w:rsid w:val="00575C43"/>
    <w:rsid w:val="00577A09"/>
    <w:rsid w:val="00577F68"/>
    <w:rsid w:val="005810AE"/>
    <w:rsid w:val="005819F3"/>
    <w:rsid w:val="00582446"/>
    <w:rsid w:val="005839B3"/>
    <w:rsid w:val="00584D8F"/>
    <w:rsid w:val="00585D42"/>
    <w:rsid w:val="00595613"/>
    <w:rsid w:val="00595ED0"/>
    <w:rsid w:val="005A1339"/>
    <w:rsid w:val="005A3B2C"/>
    <w:rsid w:val="005A404D"/>
    <w:rsid w:val="005A5657"/>
    <w:rsid w:val="005A6CB0"/>
    <w:rsid w:val="005A6F22"/>
    <w:rsid w:val="005B0461"/>
    <w:rsid w:val="005B0EF5"/>
    <w:rsid w:val="005B1402"/>
    <w:rsid w:val="005B1E3C"/>
    <w:rsid w:val="005B7F8F"/>
    <w:rsid w:val="005C26CC"/>
    <w:rsid w:val="005C3411"/>
    <w:rsid w:val="005C3D54"/>
    <w:rsid w:val="005C3DEC"/>
    <w:rsid w:val="005C4E3D"/>
    <w:rsid w:val="005C4F80"/>
    <w:rsid w:val="005C53C0"/>
    <w:rsid w:val="005C546A"/>
    <w:rsid w:val="005C553B"/>
    <w:rsid w:val="005C592F"/>
    <w:rsid w:val="005C5D2E"/>
    <w:rsid w:val="005C5E72"/>
    <w:rsid w:val="005D2FBD"/>
    <w:rsid w:val="005D69AF"/>
    <w:rsid w:val="005E0B7E"/>
    <w:rsid w:val="005E2086"/>
    <w:rsid w:val="005E6FFA"/>
    <w:rsid w:val="005F0661"/>
    <w:rsid w:val="005F0CD5"/>
    <w:rsid w:val="005F69C4"/>
    <w:rsid w:val="005F6ADE"/>
    <w:rsid w:val="005F702C"/>
    <w:rsid w:val="005F7247"/>
    <w:rsid w:val="00600B2D"/>
    <w:rsid w:val="00602A58"/>
    <w:rsid w:val="00603914"/>
    <w:rsid w:val="00604DB6"/>
    <w:rsid w:val="006057DD"/>
    <w:rsid w:val="00607BA0"/>
    <w:rsid w:val="00612006"/>
    <w:rsid w:val="00613324"/>
    <w:rsid w:val="00613DEC"/>
    <w:rsid w:val="00615619"/>
    <w:rsid w:val="00615C6B"/>
    <w:rsid w:val="00616CEC"/>
    <w:rsid w:val="00620B1B"/>
    <w:rsid w:val="00621545"/>
    <w:rsid w:val="0062525D"/>
    <w:rsid w:val="00626A3A"/>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588"/>
    <w:rsid w:val="0065661E"/>
    <w:rsid w:val="006566B8"/>
    <w:rsid w:val="006569A5"/>
    <w:rsid w:val="006573B5"/>
    <w:rsid w:val="00660F82"/>
    <w:rsid w:val="00661F88"/>
    <w:rsid w:val="00663DAD"/>
    <w:rsid w:val="00665ACC"/>
    <w:rsid w:val="0067180B"/>
    <w:rsid w:val="00673D15"/>
    <w:rsid w:val="00676679"/>
    <w:rsid w:val="00677233"/>
    <w:rsid w:val="006777D7"/>
    <w:rsid w:val="00686411"/>
    <w:rsid w:val="00687AA8"/>
    <w:rsid w:val="00694FD6"/>
    <w:rsid w:val="006956EC"/>
    <w:rsid w:val="006A35B0"/>
    <w:rsid w:val="006A6EDD"/>
    <w:rsid w:val="006B0C7B"/>
    <w:rsid w:val="006B4CF9"/>
    <w:rsid w:val="006B6CC3"/>
    <w:rsid w:val="006B77F5"/>
    <w:rsid w:val="006B7AC8"/>
    <w:rsid w:val="006C196C"/>
    <w:rsid w:val="006C1E8B"/>
    <w:rsid w:val="006C2373"/>
    <w:rsid w:val="006C41C4"/>
    <w:rsid w:val="006C447D"/>
    <w:rsid w:val="006C62B7"/>
    <w:rsid w:val="006D1D94"/>
    <w:rsid w:val="006D3561"/>
    <w:rsid w:val="006D38CE"/>
    <w:rsid w:val="006D550F"/>
    <w:rsid w:val="006D5B9F"/>
    <w:rsid w:val="006D6001"/>
    <w:rsid w:val="006D7923"/>
    <w:rsid w:val="006E1E7D"/>
    <w:rsid w:val="006E218F"/>
    <w:rsid w:val="006E5F3E"/>
    <w:rsid w:val="006F0601"/>
    <w:rsid w:val="006F3750"/>
    <w:rsid w:val="006F393C"/>
    <w:rsid w:val="006F3FCB"/>
    <w:rsid w:val="006F4C38"/>
    <w:rsid w:val="006F6C2D"/>
    <w:rsid w:val="00700DAB"/>
    <w:rsid w:val="00701CAB"/>
    <w:rsid w:val="007037F6"/>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A7"/>
    <w:rsid w:val="00741247"/>
    <w:rsid w:val="00741D03"/>
    <w:rsid w:val="007426D5"/>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319A"/>
    <w:rsid w:val="00783D4E"/>
    <w:rsid w:val="00784059"/>
    <w:rsid w:val="0078423F"/>
    <w:rsid w:val="00784A7E"/>
    <w:rsid w:val="0079277A"/>
    <w:rsid w:val="0079310A"/>
    <w:rsid w:val="007959E7"/>
    <w:rsid w:val="00796D6A"/>
    <w:rsid w:val="007A1428"/>
    <w:rsid w:val="007A1AB0"/>
    <w:rsid w:val="007A33E8"/>
    <w:rsid w:val="007B1732"/>
    <w:rsid w:val="007B2C72"/>
    <w:rsid w:val="007B3F68"/>
    <w:rsid w:val="007B57F8"/>
    <w:rsid w:val="007B742A"/>
    <w:rsid w:val="007C1C53"/>
    <w:rsid w:val="007C2EE8"/>
    <w:rsid w:val="007C62FE"/>
    <w:rsid w:val="007D1133"/>
    <w:rsid w:val="007D2028"/>
    <w:rsid w:val="007D53A8"/>
    <w:rsid w:val="007D6FC9"/>
    <w:rsid w:val="007E1516"/>
    <w:rsid w:val="007E4904"/>
    <w:rsid w:val="007E4CB5"/>
    <w:rsid w:val="007E5597"/>
    <w:rsid w:val="007E74E0"/>
    <w:rsid w:val="007F066B"/>
    <w:rsid w:val="007F0F77"/>
    <w:rsid w:val="007F2BBD"/>
    <w:rsid w:val="007F475F"/>
    <w:rsid w:val="007F4AB4"/>
    <w:rsid w:val="007F5457"/>
    <w:rsid w:val="00801276"/>
    <w:rsid w:val="008033C4"/>
    <w:rsid w:val="00806C88"/>
    <w:rsid w:val="00807A5C"/>
    <w:rsid w:val="0081034E"/>
    <w:rsid w:val="0081253D"/>
    <w:rsid w:val="00812E7B"/>
    <w:rsid w:val="0081351D"/>
    <w:rsid w:val="00813CE4"/>
    <w:rsid w:val="008238B2"/>
    <w:rsid w:val="008257CA"/>
    <w:rsid w:val="00831483"/>
    <w:rsid w:val="008344B4"/>
    <w:rsid w:val="008344F6"/>
    <w:rsid w:val="0083510F"/>
    <w:rsid w:val="008366CD"/>
    <w:rsid w:val="00836890"/>
    <w:rsid w:val="00840C6C"/>
    <w:rsid w:val="00847ED9"/>
    <w:rsid w:val="00851209"/>
    <w:rsid w:val="0085188E"/>
    <w:rsid w:val="00852B3D"/>
    <w:rsid w:val="008556A5"/>
    <w:rsid w:val="00857917"/>
    <w:rsid w:val="00861AED"/>
    <w:rsid w:val="00867506"/>
    <w:rsid w:val="00870903"/>
    <w:rsid w:val="0087280A"/>
    <w:rsid w:val="0087308C"/>
    <w:rsid w:val="00873B1F"/>
    <w:rsid w:val="0087479D"/>
    <w:rsid w:val="008837AC"/>
    <w:rsid w:val="00884D30"/>
    <w:rsid w:val="00886BAB"/>
    <w:rsid w:val="00886CEC"/>
    <w:rsid w:val="00887EBF"/>
    <w:rsid w:val="008909FD"/>
    <w:rsid w:val="008934F4"/>
    <w:rsid w:val="008A4DB6"/>
    <w:rsid w:val="008A587D"/>
    <w:rsid w:val="008A6198"/>
    <w:rsid w:val="008A7580"/>
    <w:rsid w:val="008A7E37"/>
    <w:rsid w:val="008B0D4C"/>
    <w:rsid w:val="008B22BE"/>
    <w:rsid w:val="008B416B"/>
    <w:rsid w:val="008B6DA5"/>
    <w:rsid w:val="008C094A"/>
    <w:rsid w:val="008C1D7C"/>
    <w:rsid w:val="008C1FE0"/>
    <w:rsid w:val="008C4E0D"/>
    <w:rsid w:val="008C50F7"/>
    <w:rsid w:val="008C5486"/>
    <w:rsid w:val="008C6B16"/>
    <w:rsid w:val="008D4E23"/>
    <w:rsid w:val="008D6AC3"/>
    <w:rsid w:val="008E1E8E"/>
    <w:rsid w:val="008E535A"/>
    <w:rsid w:val="008E6CAE"/>
    <w:rsid w:val="008E7031"/>
    <w:rsid w:val="008F05DF"/>
    <w:rsid w:val="008F14C9"/>
    <w:rsid w:val="008F2DE1"/>
    <w:rsid w:val="008F4AD5"/>
    <w:rsid w:val="008F4C72"/>
    <w:rsid w:val="008F4DFD"/>
    <w:rsid w:val="008F6E27"/>
    <w:rsid w:val="008F6FC7"/>
    <w:rsid w:val="009004F5"/>
    <w:rsid w:val="0090239D"/>
    <w:rsid w:val="009057E0"/>
    <w:rsid w:val="009064FC"/>
    <w:rsid w:val="00913C7D"/>
    <w:rsid w:val="00914975"/>
    <w:rsid w:val="00914A87"/>
    <w:rsid w:val="00915BFF"/>
    <w:rsid w:val="00921957"/>
    <w:rsid w:val="00922ACF"/>
    <w:rsid w:val="009233EE"/>
    <w:rsid w:val="0092422F"/>
    <w:rsid w:val="009335AE"/>
    <w:rsid w:val="00933B55"/>
    <w:rsid w:val="00936740"/>
    <w:rsid w:val="009377D8"/>
    <w:rsid w:val="00940393"/>
    <w:rsid w:val="00942863"/>
    <w:rsid w:val="00944863"/>
    <w:rsid w:val="009456DC"/>
    <w:rsid w:val="00947919"/>
    <w:rsid w:val="00950B15"/>
    <w:rsid w:val="0095158D"/>
    <w:rsid w:val="00952CF7"/>
    <w:rsid w:val="00953534"/>
    <w:rsid w:val="009540FA"/>
    <w:rsid w:val="00956C19"/>
    <w:rsid w:val="00957591"/>
    <w:rsid w:val="0095772E"/>
    <w:rsid w:val="00960AC5"/>
    <w:rsid w:val="00960C83"/>
    <w:rsid w:val="009661DE"/>
    <w:rsid w:val="009721AF"/>
    <w:rsid w:val="00972A40"/>
    <w:rsid w:val="00974CDB"/>
    <w:rsid w:val="00981578"/>
    <w:rsid w:val="00981E7F"/>
    <w:rsid w:val="00982FEB"/>
    <w:rsid w:val="009837D1"/>
    <w:rsid w:val="00983EEC"/>
    <w:rsid w:val="009856B7"/>
    <w:rsid w:val="00985A66"/>
    <w:rsid w:val="0098646A"/>
    <w:rsid w:val="009920D2"/>
    <w:rsid w:val="009928BC"/>
    <w:rsid w:val="0099572C"/>
    <w:rsid w:val="009A0A73"/>
    <w:rsid w:val="009A3D22"/>
    <w:rsid w:val="009A6D69"/>
    <w:rsid w:val="009B0884"/>
    <w:rsid w:val="009B1174"/>
    <w:rsid w:val="009B21F2"/>
    <w:rsid w:val="009B4E65"/>
    <w:rsid w:val="009B533B"/>
    <w:rsid w:val="009B5478"/>
    <w:rsid w:val="009B5D28"/>
    <w:rsid w:val="009B615C"/>
    <w:rsid w:val="009B69AA"/>
    <w:rsid w:val="009B74B0"/>
    <w:rsid w:val="009C01D7"/>
    <w:rsid w:val="009C381D"/>
    <w:rsid w:val="009C4FB9"/>
    <w:rsid w:val="009C6A83"/>
    <w:rsid w:val="009C77CC"/>
    <w:rsid w:val="009C7E88"/>
    <w:rsid w:val="009C7FDF"/>
    <w:rsid w:val="009D0B16"/>
    <w:rsid w:val="009D3016"/>
    <w:rsid w:val="009D3902"/>
    <w:rsid w:val="009D6B46"/>
    <w:rsid w:val="009E1209"/>
    <w:rsid w:val="009E1242"/>
    <w:rsid w:val="009E2B88"/>
    <w:rsid w:val="009E464D"/>
    <w:rsid w:val="009E6668"/>
    <w:rsid w:val="009E7749"/>
    <w:rsid w:val="009E7AC6"/>
    <w:rsid w:val="009E7D2D"/>
    <w:rsid w:val="009F0A79"/>
    <w:rsid w:val="009F1D03"/>
    <w:rsid w:val="009F1E42"/>
    <w:rsid w:val="009F2CAC"/>
    <w:rsid w:val="009F4806"/>
    <w:rsid w:val="009F4940"/>
    <w:rsid w:val="00A041F4"/>
    <w:rsid w:val="00A04451"/>
    <w:rsid w:val="00A04F9F"/>
    <w:rsid w:val="00A057D1"/>
    <w:rsid w:val="00A06AD1"/>
    <w:rsid w:val="00A1210E"/>
    <w:rsid w:val="00A159BF"/>
    <w:rsid w:val="00A15E40"/>
    <w:rsid w:val="00A2302C"/>
    <w:rsid w:val="00A26C2F"/>
    <w:rsid w:val="00A3632A"/>
    <w:rsid w:val="00A42006"/>
    <w:rsid w:val="00A4478A"/>
    <w:rsid w:val="00A44852"/>
    <w:rsid w:val="00A45EAC"/>
    <w:rsid w:val="00A47A03"/>
    <w:rsid w:val="00A52A18"/>
    <w:rsid w:val="00A575E8"/>
    <w:rsid w:val="00A57D04"/>
    <w:rsid w:val="00A57D69"/>
    <w:rsid w:val="00A60A26"/>
    <w:rsid w:val="00A61598"/>
    <w:rsid w:val="00A64EBB"/>
    <w:rsid w:val="00A6730F"/>
    <w:rsid w:val="00A679F2"/>
    <w:rsid w:val="00A71AA6"/>
    <w:rsid w:val="00A75AAA"/>
    <w:rsid w:val="00A81710"/>
    <w:rsid w:val="00A81EF8"/>
    <w:rsid w:val="00A8219E"/>
    <w:rsid w:val="00A84E2D"/>
    <w:rsid w:val="00A84F46"/>
    <w:rsid w:val="00A871F4"/>
    <w:rsid w:val="00A87F90"/>
    <w:rsid w:val="00A91A4B"/>
    <w:rsid w:val="00A923DD"/>
    <w:rsid w:val="00A9455D"/>
    <w:rsid w:val="00A94D89"/>
    <w:rsid w:val="00A971A0"/>
    <w:rsid w:val="00AA0CEB"/>
    <w:rsid w:val="00AA476F"/>
    <w:rsid w:val="00AA649A"/>
    <w:rsid w:val="00AA73F0"/>
    <w:rsid w:val="00AB6478"/>
    <w:rsid w:val="00AB6927"/>
    <w:rsid w:val="00AC0FE9"/>
    <w:rsid w:val="00AC1B2C"/>
    <w:rsid w:val="00AC1CF3"/>
    <w:rsid w:val="00AC242C"/>
    <w:rsid w:val="00AC3264"/>
    <w:rsid w:val="00AD0424"/>
    <w:rsid w:val="00AD36D0"/>
    <w:rsid w:val="00AD3987"/>
    <w:rsid w:val="00AD3D69"/>
    <w:rsid w:val="00AD592F"/>
    <w:rsid w:val="00AD76AE"/>
    <w:rsid w:val="00AE0399"/>
    <w:rsid w:val="00AE1BF1"/>
    <w:rsid w:val="00AE20B1"/>
    <w:rsid w:val="00AE2792"/>
    <w:rsid w:val="00AE317D"/>
    <w:rsid w:val="00AF0DD2"/>
    <w:rsid w:val="00AF0ED5"/>
    <w:rsid w:val="00AF3A41"/>
    <w:rsid w:val="00AF46F3"/>
    <w:rsid w:val="00AF66A7"/>
    <w:rsid w:val="00AF7058"/>
    <w:rsid w:val="00AF7C0E"/>
    <w:rsid w:val="00B02ED5"/>
    <w:rsid w:val="00B03817"/>
    <w:rsid w:val="00B057C8"/>
    <w:rsid w:val="00B065C9"/>
    <w:rsid w:val="00B109DD"/>
    <w:rsid w:val="00B11C09"/>
    <w:rsid w:val="00B1285B"/>
    <w:rsid w:val="00B13048"/>
    <w:rsid w:val="00B14CE4"/>
    <w:rsid w:val="00B1716D"/>
    <w:rsid w:val="00B17A1D"/>
    <w:rsid w:val="00B207A0"/>
    <w:rsid w:val="00B20F61"/>
    <w:rsid w:val="00B211EE"/>
    <w:rsid w:val="00B23484"/>
    <w:rsid w:val="00B25887"/>
    <w:rsid w:val="00B26AAA"/>
    <w:rsid w:val="00B30D82"/>
    <w:rsid w:val="00B31071"/>
    <w:rsid w:val="00B35810"/>
    <w:rsid w:val="00B35937"/>
    <w:rsid w:val="00B4128D"/>
    <w:rsid w:val="00B41686"/>
    <w:rsid w:val="00B44E99"/>
    <w:rsid w:val="00B52EC8"/>
    <w:rsid w:val="00B55C24"/>
    <w:rsid w:val="00B56E03"/>
    <w:rsid w:val="00B6278D"/>
    <w:rsid w:val="00B62BB5"/>
    <w:rsid w:val="00B63E2C"/>
    <w:rsid w:val="00B64DF7"/>
    <w:rsid w:val="00B65CAC"/>
    <w:rsid w:val="00B673A4"/>
    <w:rsid w:val="00B70A7F"/>
    <w:rsid w:val="00B70CA5"/>
    <w:rsid w:val="00B7397E"/>
    <w:rsid w:val="00B73C3A"/>
    <w:rsid w:val="00B752C5"/>
    <w:rsid w:val="00B8080B"/>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7780"/>
    <w:rsid w:val="00BC03BC"/>
    <w:rsid w:val="00BC1B6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377D"/>
    <w:rsid w:val="00BE47B5"/>
    <w:rsid w:val="00BE7DBC"/>
    <w:rsid w:val="00BF19CB"/>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2A83"/>
    <w:rsid w:val="00C154C0"/>
    <w:rsid w:val="00C16B2C"/>
    <w:rsid w:val="00C1786D"/>
    <w:rsid w:val="00C17CB8"/>
    <w:rsid w:val="00C17F0D"/>
    <w:rsid w:val="00C17FC7"/>
    <w:rsid w:val="00C21CBD"/>
    <w:rsid w:val="00C238EB"/>
    <w:rsid w:val="00C24398"/>
    <w:rsid w:val="00C30BBE"/>
    <w:rsid w:val="00C34065"/>
    <w:rsid w:val="00C41237"/>
    <w:rsid w:val="00C420D7"/>
    <w:rsid w:val="00C420EB"/>
    <w:rsid w:val="00C43C4F"/>
    <w:rsid w:val="00C46AB5"/>
    <w:rsid w:val="00C4709E"/>
    <w:rsid w:val="00C4712A"/>
    <w:rsid w:val="00C50EC2"/>
    <w:rsid w:val="00C51484"/>
    <w:rsid w:val="00C51BE7"/>
    <w:rsid w:val="00C538A9"/>
    <w:rsid w:val="00C53B5A"/>
    <w:rsid w:val="00C54CF3"/>
    <w:rsid w:val="00C54F5A"/>
    <w:rsid w:val="00C55452"/>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87867"/>
    <w:rsid w:val="00C950AF"/>
    <w:rsid w:val="00C9660A"/>
    <w:rsid w:val="00C96A92"/>
    <w:rsid w:val="00CA04F2"/>
    <w:rsid w:val="00CA0ECB"/>
    <w:rsid w:val="00CA51FE"/>
    <w:rsid w:val="00CA771A"/>
    <w:rsid w:val="00CA7D3F"/>
    <w:rsid w:val="00CB0FA5"/>
    <w:rsid w:val="00CB45EC"/>
    <w:rsid w:val="00CB666B"/>
    <w:rsid w:val="00CB695E"/>
    <w:rsid w:val="00CC1D64"/>
    <w:rsid w:val="00CC2C03"/>
    <w:rsid w:val="00CC2CA1"/>
    <w:rsid w:val="00CC6516"/>
    <w:rsid w:val="00CC6738"/>
    <w:rsid w:val="00CD2754"/>
    <w:rsid w:val="00CD40AD"/>
    <w:rsid w:val="00CD4E7F"/>
    <w:rsid w:val="00CE15A5"/>
    <w:rsid w:val="00CE1831"/>
    <w:rsid w:val="00CE661E"/>
    <w:rsid w:val="00CE6F6D"/>
    <w:rsid w:val="00CF0B65"/>
    <w:rsid w:val="00CF0E01"/>
    <w:rsid w:val="00CF36F5"/>
    <w:rsid w:val="00CF455C"/>
    <w:rsid w:val="00CF5382"/>
    <w:rsid w:val="00CF62CA"/>
    <w:rsid w:val="00CF6F3C"/>
    <w:rsid w:val="00CF7D47"/>
    <w:rsid w:val="00D01CF0"/>
    <w:rsid w:val="00D0442A"/>
    <w:rsid w:val="00D07128"/>
    <w:rsid w:val="00D10120"/>
    <w:rsid w:val="00D11721"/>
    <w:rsid w:val="00D11CB3"/>
    <w:rsid w:val="00D12C8D"/>
    <w:rsid w:val="00D1516F"/>
    <w:rsid w:val="00D16710"/>
    <w:rsid w:val="00D22BD4"/>
    <w:rsid w:val="00D22E23"/>
    <w:rsid w:val="00D2306D"/>
    <w:rsid w:val="00D250AC"/>
    <w:rsid w:val="00D270E1"/>
    <w:rsid w:val="00D323D0"/>
    <w:rsid w:val="00D32767"/>
    <w:rsid w:val="00D40B44"/>
    <w:rsid w:val="00D43663"/>
    <w:rsid w:val="00D44037"/>
    <w:rsid w:val="00D4594F"/>
    <w:rsid w:val="00D4681D"/>
    <w:rsid w:val="00D5111E"/>
    <w:rsid w:val="00D5124C"/>
    <w:rsid w:val="00D53F55"/>
    <w:rsid w:val="00D61388"/>
    <w:rsid w:val="00D615F9"/>
    <w:rsid w:val="00D61A54"/>
    <w:rsid w:val="00D64DEA"/>
    <w:rsid w:val="00D67D07"/>
    <w:rsid w:val="00D70F71"/>
    <w:rsid w:val="00D71771"/>
    <w:rsid w:val="00D73D17"/>
    <w:rsid w:val="00D74261"/>
    <w:rsid w:val="00D74971"/>
    <w:rsid w:val="00D80893"/>
    <w:rsid w:val="00D839A7"/>
    <w:rsid w:val="00D86899"/>
    <w:rsid w:val="00D87097"/>
    <w:rsid w:val="00D92A31"/>
    <w:rsid w:val="00D92CF1"/>
    <w:rsid w:val="00D92D38"/>
    <w:rsid w:val="00D936B6"/>
    <w:rsid w:val="00D950F5"/>
    <w:rsid w:val="00D95177"/>
    <w:rsid w:val="00D96914"/>
    <w:rsid w:val="00DA1CA3"/>
    <w:rsid w:val="00DA4E07"/>
    <w:rsid w:val="00DB0F93"/>
    <w:rsid w:val="00DB16A7"/>
    <w:rsid w:val="00DB196A"/>
    <w:rsid w:val="00DB20BF"/>
    <w:rsid w:val="00DB2353"/>
    <w:rsid w:val="00DB402D"/>
    <w:rsid w:val="00DB4CC4"/>
    <w:rsid w:val="00DB7FD1"/>
    <w:rsid w:val="00DC153A"/>
    <w:rsid w:val="00DC22E3"/>
    <w:rsid w:val="00DC24BF"/>
    <w:rsid w:val="00DC2907"/>
    <w:rsid w:val="00DC395C"/>
    <w:rsid w:val="00DC5E54"/>
    <w:rsid w:val="00DC7981"/>
    <w:rsid w:val="00DC7B5A"/>
    <w:rsid w:val="00DD15C2"/>
    <w:rsid w:val="00DD27EA"/>
    <w:rsid w:val="00DD33DE"/>
    <w:rsid w:val="00DE45B5"/>
    <w:rsid w:val="00DE4EFA"/>
    <w:rsid w:val="00DE5520"/>
    <w:rsid w:val="00DE5AB1"/>
    <w:rsid w:val="00DE6AA6"/>
    <w:rsid w:val="00DE7345"/>
    <w:rsid w:val="00DF02A4"/>
    <w:rsid w:val="00DF0714"/>
    <w:rsid w:val="00DF1C55"/>
    <w:rsid w:val="00DF3C7E"/>
    <w:rsid w:val="00DF7793"/>
    <w:rsid w:val="00E00EC9"/>
    <w:rsid w:val="00E03069"/>
    <w:rsid w:val="00E03725"/>
    <w:rsid w:val="00E04818"/>
    <w:rsid w:val="00E06442"/>
    <w:rsid w:val="00E113E2"/>
    <w:rsid w:val="00E115DE"/>
    <w:rsid w:val="00E13056"/>
    <w:rsid w:val="00E135DB"/>
    <w:rsid w:val="00E13C85"/>
    <w:rsid w:val="00E15B15"/>
    <w:rsid w:val="00E227A4"/>
    <w:rsid w:val="00E23993"/>
    <w:rsid w:val="00E2504E"/>
    <w:rsid w:val="00E25B8C"/>
    <w:rsid w:val="00E25F40"/>
    <w:rsid w:val="00E32A8C"/>
    <w:rsid w:val="00E333EF"/>
    <w:rsid w:val="00E35AE8"/>
    <w:rsid w:val="00E3678B"/>
    <w:rsid w:val="00E3724C"/>
    <w:rsid w:val="00E37F0B"/>
    <w:rsid w:val="00E40B9C"/>
    <w:rsid w:val="00E42976"/>
    <w:rsid w:val="00E42DF3"/>
    <w:rsid w:val="00E43848"/>
    <w:rsid w:val="00E4482C"/>
    <w:rsid w:val="00E4680F"/>
    <w:rsid w:val="00E46D48"/>
    <w:rsid w:val="00E47EAD"/>
    <w:rsid w:val="00E52107"/>
    <w:rsid w:val="00E52A27"/>
    <w:rsid w:val="00E55C3C"/>
    <w:rsid w:val="00E56018"/>
    <w:rsid w:val="00E6018A"/>
    <w:rsid w:val="00E605DA"/>
    <w:rsid w:val="00E65C85"/>
    <w:rsid w:val="00E65CF4"/>
    <w:rsid w:val="00E66199"/>
    <w:rsid w:val="00E715D5"/>
    <w:rsid w:val="00E737E3"/>
    <w:rsid w:val="00E7472E"/>
    <w:rsid w:val="00E755EC"/>
    <w:rsid w:val="00E7624D"/>
    <w:rsid w:val="00E8137D"/>
    <w:rsid w:val="00E823D9"/>
    <w:rsid w:val="00E8569F"/>
    <w:rsid w:val="00E86851"/>
    <w:rsid w:val="00E91678"/>
    <w:rsid w:val="00E91BED"/>
    <w:rsid w:val="00E926FC"/>
    <w:rsid w:val="00E95CA7"/>
    <w:rsid w:val="00E96EFF"/>
    <w:rsid w:val="00EA1DEE"/>
    <w:rsid w:val="00EA3D42"/>
    <w:rsid w:val="00EA4DD9"/>
    <w:rsid w:val="00EA6B1B"/>
    <w:rsid w:val="00EB049F"/>
    <w:rsid w:val="00EB456D"/>
    <w:rsid w:val="00EB540F"/>
    <w:rsid w:val="00EB7D7F"/>
    <w:rsid w:val="00EC05BF"/>
    <w:rsid w:val="00EC24B0"/>
    <w:rsid w:val="00EC317E"/>
    <w:rsid w:val="00EC67D4"/>
    <w:rsid w:val="00EC7EB1"/>
    <w:rsid w:val="00ED3C5B"/>
    <w:rsid w:val="00ED4A25"/>
    <w:rsid w:val="00ED6E24"/>
    <w:rsid w:val="00EE164B"/>
    <w:rsid w:val="00EE28F3"/>
    <w:rsid w:val="00EE347F"/>
    <w:rsid w:val="00EE42C2"/>
    <w:rsid w:val="00EE46CE"/>
    <w:rsid w:val="00EE575A"/>
    <w:rsid w:val="00EF013A"/>
    <w:rsid w:val="00EF0E42"/>
    <w:rsid w:val="00EF0FE6"/>
    <w:rsid w:val="00EF1961"/>
    <w:rsid w:val="00EF3FB8"/>
    <w:rsid w:val="00EF5110"/>
    <w:rsid w:val="00EF62CA"/>
    <w:rsid w:val="00F019C5"/>
    <w:rsid w:val="00F02D9B"/>
    <w:rsid w:val="00F031FE"/>
    <w:rsid w:val="00F06B5B"/>
    <w:rsid w:val="00F072C7"/>
    <w:rsid w:val="00F113FD"/>
    <w:rsid w:val="00F13B99"/>
    <w:rsid w:val="00F13EAA"/>
    <w:rsid w:val="00F15882"/>
    <w:rsid w:val="00F15AB9"/>
    <w:rsid w:val="00F167CF"/>
    <w:rsid w:val="00F1785E"/>
    <w:rsid w:val="00F20BD3"/>
    <w:rsid w:val="00F248D0"/>
    <w:rsid w:val="00F27967"/>
    <w:rsid w:val="00F32D35"/>
    <w:rsid w:val="00F3590E"/>
    <w:rsid w:val="00F373A5"/>
    <w:rsid w:val="00F376D3"/>
    <w:rsid w:val="00F42DB4"/>
    <w:rsid w:val="00F45B2F"/>
    <w:rsid w:val="00F47559"/>
    <w:rsid w:val="00F5112C"/>
    <w:rsid w:val="00F55548"/>
    <w:rsid w:val="00F55859"/>
    <w:rsid w:val="00F6043C"/>
    <w:rsid w:val="00F60561"/>
    <w:rsid w:val="00F61055"/>
    <w:rsid w:val="00F61AA8"/>
    <w:rsid w:val="00F61EEA"/>
    <w:rsid w:val="00F64C7B"/>
    <w:rsid w:val="00F64F82"/>
    <w:rsid w:val="00F662F1"/>
    <w:rsid w:val="00F66967"/>
    <w:rsid w:val="00F676DD"/>
    <w:rsid w:val="00F70811"/>
    <w:rsid w:val="00F70D8D"/>
    <w:rsid w:val="00F71486"/>
    <w:rsid w:val="00F72F41"/>
    <w:rsid w:val="00F74CBC"/>
    <w:rsid w:val="00F75A26"/>
    <w:rsid w:val="00F766B3"/>
    <w:rsid w:val="00F77D49"/>
    <w:rsid w:val="00F8021A"/>
    <w:rsid w:val="00F805F3"/>
    <w:rsid w:val="00F83FAD"/>
    <w:rsid w:val="00F87EBA"/>
    <w:rsid w:val="00F93027"/>
    <w:rsid w:val="00F952A0"/>
    <w:rsid w:val="00F965FC"/>
    <w:rsid w:val="00FA25D4"/>
    <w:rsid w:val="00FA3830"/>
    <w:rsid w:val="00FA3C7F"/>
    <w:rsid w:val="00FA7920"/>
    <w:rsid w:val="00FB153F"/>
    <w:rsid w:val="00FB265D"/>
    <w:rsid w:val="00FB4068"/>
    <w:rsid w:val="00FB411D"/>
    <w:rsid w:val="00FB41E6"/>
    <w:rsid w:val="00FB6C59"/>
    <w:rsid w:val="00FB74E2"/>
    <w:rsid w:val="00FC447B"/>
    <w:rsid w:val="00FC4CF7"/>
    <w:rsid w:val="00FC52AC"/>
    <w:rsid w:val="00FC54E6"/>
    <w:rsid w:val="00FC626F"/>
    <w:rsid w:val="00FC656F"/>
    <w:rsid w:val="00FC7B0B"/>
    <w:rsid w:val="00FD0763"/>
    <w:rsid w:val="00FD166D"/>
    <w:rsid w:val="00FD2F97"/>
    <w:rsid w:val="00FD5316"/>
    <w:rsid w:val="00FD5614"/>
    <w:rsid w:val="00FD72DC"/>
    <w:rsid w:val="00FE0BE1"/>
    <w:rsid w:val="00FE1DE9"/>
    <w:rsid w:val="00FE292D"/>
    <w:rsid w:val="00FE39C2"/>
    <w:rsid w:val="00FE3E67"/>
    <w:rsid w:val="00FE4B6D"/>
    <w:rsid w:val="00FE64AE"/>
    <w:rsid w:val="00FE7E62"/>
    <w:rsid w:val="00FF2C56"/>
    <w:rsid w:val="00FF3373"/>
    <w:rsid w:val="00FF3980"/>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aer.gov.au/industry-information/industry-statistic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asxenergy.com.au/" TargetMode="External"/><Relationship Id="rId28" Type="http://schemas.openxmlformats.org/officeDocument/2006/relationships/hyperlink" Target="https://asxenergy.com.au/"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DEF5F31E.dotm</Template>
  <TotalTime>0</TotalTime>
  <Pages>10</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2016-03-01T05:19:00Z</dcterms:created>
  <dcterms:modified xsi:type="dcterms:W3CDTF">2016-03-01T05:20:00Z</dcterms:modified>
</cp:coreProperties>
</file>