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2A4EF8"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sidRPr="002A4EF8">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6C19B3C1" wp14:editId="3111ECF3">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2A4EF8">
        <w:rPr>
          <w:rFonts w:asciiTheme="minorHAnsi" w:hAnsiTheme="minorHAnsi" w:cstheme="minorHAnsi"/>
          <w:b/>
          <w:color w:val="FFFFFF" w:themeColor="background1"/>
          <w:sz w:val="36"/>
          <w:szCs w:val="36"/>
        </w:rPr>
        <w:t>Electricity Report</w:t>
      </w:r>
    </w:p>
    <w:p w:rsidR="002A4EF8" w:rsidRDefault="002A4EF8" w:rsidP="002A4EF8"/>
    <w:p w:rsidR="002A4EF8" w:rsidRDefault="002A4EF8" w:rsidP="002A4EF8"/>
    <w:p w:rsidR="002A4EF8" w:rsidRPr="002A4EF8" w:rsidRDefault="000E55C7" w:rsidP="002A4EF8">
      <w:pPr>
        <w:rPr>
          <w:b/>
          <w:sz w:val="36"/>
          <w:szCs w:val="36"/>
        </w:rPr>
      </w:pPr>
      <w:r>
        <w:rPr>
          <w:b/>
          <w:sz w:val="36"/>
          <w:szCs w:val="36"/>
        </w:rPr>
        <w:t>18</w:t>
      </w:r>
      <w:r w:rsidR="002438D9">
        <w:rPr>
          <w:b/>
          <w:sz w:val="36"/>
          <w:szCs w:val="36"/>
        </w:rPr>
        <w:t xml:space="preserve"> – </w:t>
      </w:r>
      <w:r>
        <w:rPr>
          <w:b/>
          <w:sz w:val="36"/>
          <w:szCs w:val="36"/>
        </w:rPr>
        <w:t>24</w:t>
      </w:r>
      <w:r w:rsidR="00356E72">
        <w:rPr>
          <w:b/>
          <w:sz w:val="36"/>
          <w:szCs w:val="36"/>
        </w:rPr>
        <w:t xml:space="preserve"> October</w:t>
      </w:r>
      <w:r w:rsidR="002A4EF8" w:rsidRPr="002A4EF8">
        <w:rPr>
          <w:b/>
          <w:sz w:val="36"/>
          <w:szCs w:val="36"/>
        </w:rPr>
        <w:t xml:space="preserve"> 2015</w:t>
      </w:r>
    </w:p>
    <w:p w:rsidR="00275002" w:rsidRPr="000E2946" w:rsidRDefault="00275002" w:rsidP="000E2946">
      <w:pPr>
        <w:pStyle w:val="AERHeading1"/>
      </w:pPr>
      <w:r w:rsidRPr="000E2946">
        <w:t>Introduction</w:t>
      </w:r>
    </w:p>
    <w:p w:rsidR="00275002" w:rsidRPr="00215E19" w:rsidRDefault="00275002" w:rsidP="00215E19">
      <w:pPr>
        <w:pStyle w:val="AERbodytext"/>
        <w:spacing w:before="120" w:after="120"/>
        <w:rPr>
          <w:bCs/>
          <w:lang w:eastAsia="en-AU"/>
        </w:rPr>
      </w:pPr>
      <w:r w:rsidRPr="00215E19">
        <w:rPr>
          <w:bCs/>
          <w:lang w:eastAsia="en-AU"/>
        </w:rPr>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215E19" w:rsidRDefault="001D0CE3"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_Ref410382491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116F91" w:rsidRPr="00116F91">
        <w:rPr>
          <w:bCs/>
          <w:lang w:eastAsia="en-AU"/>
        </w:rPr>
        <w:t>Figure 1</w:t>
      </w:r>
      <w:r w:rsidRPr="00215E19">
        <w:rPr>
          <w:bCs/>
          <w:lang w:eastAsia="en-AU"/>
        </w:rPr>
        <w:fldChar w:fldCharType="end"/>
      </w:r>
      <w:r w:rsidRPr="00215E19">
        <w:rPr>
          <w:bCs/>
          <w:lang w:eastAsia="en-AU"/>
        </w:rPr>
        <w:t xml:space="preserve"> </w:t>
      </w:r>
      <w:r w:rsidR="00AF7058" w:rsidRPr="00215E19">
        <w:rPr>
          <w:bCs/>
          <w:lang w:eastAsia="en-AU"/>
        </w:rPr>
        <w:t xml:space="preserve">shows the spot prices that occurred in each region during the week </w:t>
      </w:r>
      <w:r w:rsidR="000E55C7">
        <w:rPr>
          <w:bCs/>
          <w:lang w:eastAsia="en-AU"/>
        </w:rPr>
        <w:t>18 to 24</w:t>
      </w:r>
      <w:r w:rsidR="00356E72">
        <w:rPr>
          <w:bCs/>
          <w:lang w:eastAsia="en-AU"/>
        </w:rPr>
        <w:t xml:space="preserve"> October</w:t>
      </w:r>
      <w:r w:rsidR="00760FD8" w:rsidRPr="00215E19">
        <w:rPr>
          <w:bCs/>
          <w:lang w:eastAsia="en-AU"/>
        </w:rPr>
        <w:t xml:space="preserve"> </w:t>
      </w:r>
      <w:r w:rsidR="00AF7058" w:rsidRPr="00215E19">
        <w:rPr>
          <w:bCs/>
          <w:lang w:eastAsia="en-AU"/>
        </w:rPr>
        <w:t xml:space="preserve">2015. </w:t>
      </w:r>
    </w:p>
    <w:p w:rsidR="00BF4639" w:rsidRDefault="00275002" w:rsidP="00405B42">
      <w:pPr>
        <w:pStyle w:val="Caption"/>
      </w:pPr>
      <w:bookmarkStart w:id="7" w:name="_Ref410382491"/>
      <w:bookmarkStart w:id="8" w:name="OLE_LINK28"/>
      <w:bookmarkStart w:id="9" w:name="OLE_LINK29"/>
      <w:r w:rsidRPr="000E2946">
        <w:t xml:space="preserve">Figure </w:t>
      </w:r>
      <w:fldSimple w:instr=" SEQ Figure \* ARABIC ">
        <w:r w:rsidR="00116F91">
          <w:rPr>
            <w:noProof/>
          </w:rPr>
          <w:t>1</w:t>
        </w:r>
      </w:fldSimple>
      <w:bookmarkEnd w:id="7"/>
      <w:r w:rsidRPr="000E2946">
        <w:t>: Spot price by region ($/MWh)</w:t>
      </w:r>
    </w:p>
    <w:p w:rsidR="00275002" w:rsidRPr="00215E19" w:rsidRDefault="00E115DE" w:rsidP="00215E19">
      <w:pPr>
        <w:pStyle w:val="Caption"/>
        <w:rPr>
          <w:bCs w:val="0"/>
          <w:lang w:eastAsia="en-AU"/>
        </w:rPr>
      </w:pPr>
      <w:r w:rsidRPr="00E115DE">
        <w:rPr>
          <w:noProof/>
          <w:lang w:eastAsia="en-AU"/>
        </w:rPr>
        <w:drawing>
          <wp:inline distT="0" distB="0" distL="0" distR="0" wp14:anchorId="5E031D0A" wp14:editId="387DEED6">
            <wp:extent cx="5731510" cy="2861162"/>
            <wp:effectExtent l="0" t="0" r="2540" b="0"/>
            <wp:docPr id="2" name="Picture 2"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61162"/>
                    </a:xfrm>
                    <a:prstGeom prst="rect">
                      <a:avLst/>
                    </a:prstGeom>
                    <a:noFill/>
                    <a:ln>
                      <a:noFill/>
                    </a:ln>
                  </pic:spPr>
                </pic:pic>
              </a:graphicData>
            </a:graphic>
          </wp:inline>
        </w:drawing>
      </w:r>
    </w:p>
    <w:p w:rsidR="00215E19" w:rsidRDefault="00215E19">
      <w:pPr>
        <w:spacing w:line="240" w:lineRule="auto"/>
      </w:pPr>
      <w:r>
        <w:br w:type="page"/>
      </w:r>
    </w:p>
    <w:p w:rsidR="00275002" w:rsidRPr="00215E19" w:rsidRDefault="00275002" w:rsidP="00215E19">
      <w:pPr>
        <w:pStyle w:val="AERbodytext"/>
        <w:spacing w:before="120" w:after="120"/>
        <w:rPr>
          <w:bCs/>
          <w:lang w:eastAsia="en-AU"/>
        </w:rPr>
      </w:pPr>
      <w:r w:rsidRPr="00215E19">
        <w:rPr>
          <w:bCs/>
          <w:lang w:eastAsia="en-AU"/>
        </w:rPr>
        <w:lastRenderedPageBreak/>
        <w:fldChar w:fldCharType="begin"/>
      </w:r>
      <w:r w:rsidRPr="00215E19">
        <w:rPr>
          <w:bCs/>
          <w:lang w:eastAsia="en-AU"/>
        </w:rPr>
        <w:instrText xml:space="preserve"> REF _Ref410382517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116F91" w:rsidRPr="00116F91">
        <w:rPr>
          <w:bCs/>
          <w:lang w:eastAsia="en-AU"/>
        </w:rPr>
        <w:t>Figure 2</w:t>
      </w:r>
      <w:r w:rsidRPr="00215E19">
        <w:rPr>
          <w:bCs/>
          <w:lang w:eastAsia="en-AU"/>
        </w:rPr>
        <w:fldChar w:fldCharType="end"/>
      </w:r>
      <w:r w:rsidRPr="00215E19">
        <w:rPr>
          <w:bCs/>
          <w:lang w:eastAsia="en-AU"/>
        </w:rPr>
        <w:t xml:space="preserve"> shows the volume weighted average (VWA) prices for the current week (with prices shown in </w:t>
      </w:r>
      <w:r w:rsidRPr="00215E19">
        <w:rPr>
          <w:bCs/>
          <w:lang w:eastAsia="en-AU"/>
        </w:rPr>
        <w:fldChar w:fldCharType="begin"/>
      </w:r>
      <w:r w:rsidRPr="00215E19">
        <w:rPr>
          <w:bCs/>
          <w:lang w:eastAsia="en-AU"/>
        </w:rPr>
        <w:instrText xml:space="preserve"> REF _Ref410382587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116F91" w:rsidRPr="00116F91">
        <w:rPr>
          <w:bCs/>
          <w:lang w:eastAsia="en-AU"/>
        </w:rPr>
        <w:t>Table 1</w:t>
      </w:r>
      <w:r w:rsidRPr="00215E19">
        <w:rPr>
          <w:bCs/>
          <w:lang w:eastAsia="en-AU"/>
        </w:rPr>
        <w:fldChar w:fldCharType="end"/>
      </w:r>
      <w:r w:rsidRPr="00215E19">
        <w:rPr>
          <w:bCs/>
          <w:lang w:eastAsia="en-AU"/>
        </w:rPr>
        <w:t>) and the preceding 12 weeks, as well as the VWA price over the previous 3 financial years</w:t>
      </w:r>
      <w:r w:rsidR="00762D41" w:rsidRPr="00215E19">
        <w:rPr>
          <w:bCs/>
          <w:lang w:eastAsia="en-AU"/>
        </w:rPr>
        <w:t>.</w:t>
      </w:r>
    </w:p>
    <w:p w:rsidR="00275002" w:rsidRDefault="00275002" w:rsidP="000E2946">
      <w:pPr>
        <w:pStyle w:val="Caption"/>
      </w:pPr>
      <w:bookmarkStart w:id="10" w:name="_Ref410382517"/>
      <w:r>
        <w:t xml:space="preserve">Figure </w:t>
      </w:r>
      <w:fldSimple w:instr=" SEQ Figure \* ARABIC ">
        <w:r w:rsidR="00116F91">
          <w:rPr>
            <w:noProof/>
          </w:rPr>
          <w:t>2</w:t>
        </w:r>
      </w:fldSimple>
      <w:bookmarkEnd w:id="10"/>
      <w:r>
        <w:t>:</w:t>
      </w:r>
      <w:r w:rsidRPr="00037176">
        <w:t xml:space="preserve"> Volume weighted average spot price by region ($/MWh)</w:t>
      </w:r>
    </w:p>
    <w:p w:rsidR="001F22EE" w:rsidRPr="001F22EE" w:rsidRDefault="00FB265D" w:rsidP="001F22EE">
      <w:r w:rsidRPr="00FB265D">
        <w:rPr>
          <w:noProof/>
          <w:lang w:eastAsia="en-AU"/>
        </w:rPr>
        <w:drawing>
          <wp:inline distT="0" distB="0" distL="0" distR="0" wp14:anchorId="380D277D" wp14:editId="6BB0BA67">
            <wp:extent cx="5731510" cy="2861162"/>
            <wp:effectExtent l="0" t="0" r="2540" b="0"/>
            <wp:docPr id="7" name="Picture 7" descr="Figure 2 shows the volume weighted average (VWA) prices for this week (with prices shown in Table 1) and the preceding 12 weeks, as well as the VWA price over the previous 3 financial years." title="Figure 2: Volume weighted average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1162"/>
                    </a:xfrm>
                    <a:prstGeom prst="rect">
                      <a:avLst/>
                    </a:prstGeom>
                    <a:noFill/>
                    <a:ln>
                      <a:noFill/>
                    </a:ln>
                  </pic:spPr>
                </pic:pic>
              </a:graphicData>
            </a:graphic>
          </wp:inline>
        </w:drawing>
      </w:r>
    </w:p>
    <w:p w:rsidR="00275002" w:rsidRPr="0031019A" w:rsidRDefault="00275002" w:rsidP="00275002"/>
    <w:p w:rsidR="00275002" w:rsidRPr="0031019A" w:rsidRDefault="00275002" w:rsidP="000E2946">
      <w:pPr>
        <w:pStyle w:val="Caption"/>
      </w:pPr>
      <w:bookmarkStart w:id="11" w:name="_Ref410382587"/>
      <w:r>
        <w:t xml:space="preserve">Table </w:t>
      </w:r>
      <w:fldSimple w:instr=" SEQ Table \* ARABIC ">
        <w:r w:rsidR="00116F91">
          <w:rPr>
            <w:noProof/>
          </w:rPr>
          <w:t>1</w:t>
        </w:r>
      </w:fldSimple>
      <w:bookmarkEnd w:id="11"/>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noWrap/>
            <w:vAlign w:val="center"/>
            <w:hideMark/>
          </w:tcPr>
          <w:p w:rsidR="00B92CD5" w:rsidRPr="00B92CD5" w:rsidRDefault="00B92CD5" w:rsidP="009B21F2">
            <w:pPr>
              <w:spacing w:before="0" w:after="0"/>
              <w:jc w:val="center"/>
              <w:rPr>
                <w:sz w:val="20"/>
              </w:rPr>
            </w:pPr>
            <w:r w:rsidRPr="00B92CD5">
              <w:rPr>
                <w:sz w:val="20"/>
              </w:rPr>
              <w:t>Qld</w:t>
            </w:r>
          </w:p>
        </w:tc>
        <w:tc>
          <w:tcPr>
            <w:tcW w:w="729" w:type="pct"/>
            <w:noWrap/>
            <w:vAlign w:val="center"/>
            <w:hideMark/>
          </w:tcPr>
          <w:p w:rsidR="00B92CD5" w:rsidRPr="00B92CD5" w:rsidRDefault="00B92CD5" w:rsidP="009B21F2">
            <w:pPr>
              <w:spacing w:before="0" w:after="0"/>
              <w:jc w:val="center"/>
              <w:rPr>
                <w:sz w:val="20"/>
              </w:rPr>
            </w:pPr>
            <w:r w:rsidRPr="00B92CD5">
              <w:rPr>
                <w:sz w:val="20"/>
              </w:rPr>
              <w:t>NSW</w:t>
            </w:r>
          </w:p>
        </w:tc>
        <w:tc>
          <w:tcPr>
            <w:tcW w:w="728" w:type="pct"/>
            <w:noWrap/>
            <w:vAlign w:val="center"/>
            <w:hideMark/>
          </w:tcPr>
          <w:p w:rsidR="00B92CD5" w:rsidRPr="00B92CD5" w:rsidRDefault="00B92CD5" w:rsidP="009B21F2">
            <w:pPr>
              <w:spacing w:before="0" w:after="0"/>
              <w:jc w:val="center"/>
              <w:rPr>
                <w:sz w:val="20"/>
              </w:rPr>
            </w:pPr>
            <w:r w:rsidRPr="00B92CD5">
              <w:rPr>
                <w:sz w:val="20"/>
              </w:rPr>
              <w:t>Vic</w:t>
            </w:r>
          </w:p>
        </w:tc>
        <w:tc>
          <w:tcPr>
            <w:tcW w:w="729" w:type="pct"/>
            <w:noWrap/>
            <w:vAlign w:val="center"/>
            <w:hideMark/>
          </w:tcPr>
          <w:p w:rsidR="00B92CD5" w:rsidRPr="00B92CD5" w:rsidRDefault="00B92CD5" w:rsidP="009B21F2">
            <w:pPr>
              <w:spacing w:before="0" w:after="0"/>
              <w:jc w:val="center"/>
              <w:rPr>
                <w:sz w:val="20"/>
              </w:rPr>
            </w:pPr>
            <w:r w:rsidRPr="00B92CD5">
              <w:rPr>
                <w:sz w:val="20"/>
              </w:rPr>
              <w:t>SA</w:t>
            </w:r>
          </w:p>
        </w:tc>
        <w:tc>
          <w:tcPr>
            <w:tcW w:w="729" w:type="pct"/>
            <w:noWrap/>
            <w:vAlign w:val="center"/>
            <w:hideMark/>
          </w:tcPr>
          <w:p w:rsidR="00B92CD5" w:rsidRPr="00B92CD5" w:rsidRDefault="00B92CD5" w:rsidP="009B21F2">
            <w:pPr>
              <w:spacing w:before="0" w:after="0"/>
              <w:jc w:val="center"/>
              <w:rPr>
                <w:sz w:val="20"/>
              </w:rPr>
            </w:pPr>
            <w:proofErr w:type="spellStart"/>
            <w:r w:rsidRPr="00B92CD5">
              <w:rPr>
                <w:sz w:val="20"/>
              </w:rPr>
              <w:t>Tas</w:t>
            </w:r>
            <w:proofErr w:type="spellEnd"/>
          </w:p>
        </w:tc>
      </w:tr>
      <w:tr w:rsidR="00115CCB" w:rsidRPr="00E35AE8" w:rsidTr="00356E72">
        <w:trPr>
          <w:trHeight w:hRule="exact" w:val="340"/>
        </w:trPr>
        <w:tc>
          <w:tcPr>
            <w:tcW w:w="1357" w:type="pct"/>
            <w:noWrap/>
            <w:vAlign w:val="center"/>
            <w:hideMark/>
          </w:tcPr>
          <w:p w:rsidR="00115CCB" w:rsidRPr="009B21F2" w:rsidRDefault="00115CCB" w:rsidP="00B65CAC">
            <w:pPr>
              <w:spacing w:before="100" w:beforeAutospacing="1" w:after="100" w:afterAutospacing="1" w:line="240" w:lineRule="auto"/>
              <w:rPr>
                <w:rFonts w:cs="Arial"/>
                <w:sz w:val="20"/>
                <w:szCs w:val="20"/>
              </w:rPr>
            </w:pPr>
            <w:r w:rsidRPr="009B21F2">
              <w:rPr>
                <w:rFonts w:cs="Arial"/>
                <w:sz w:val="20"/>
                <w:szCs w:val="20"/>
              </w:rPr>
              <w:t>Current week</w:t>
            </w:r>
          </w:p>
        </w:tc>
        <w:tc>
          <w:tcPr>
            <w:tcW w:w="728" w:type="pct"/>
            <w:noWrap/>
            <w:vAlign w:val="center"/>
          </w:tcPr>
          <w:p w:rsidR="00115CCB" w:rsidRDefault="00FB265D" w:rsidP="00115CCB">
            <w:pPr>
              <w:spacing w:before="0" w:after="0"/>
              <w:jc w:val="center"/>
              <w:rPr>
                <w:rFonts w:cs="Arial"/>
                <w:sz w:val="20"/>
                <w:szCs w:val="20"/>
              </w:rPr>
            </w:pPr>
            <w:r>
              <w:rPr>
                <w:rFonts w:cs="Arial"/>
                <w:sz w:val="20"/>
                <w:szCs w:val="20"/>
              </w:rPr>
              <w:t>40</w:t>
            </w:r>
          </w:p>
        </w:tc>
        <w:tc>
          <w:tcPr>
            <w:tcW w:w="729" w:type="pct"/>
            <w:noWrap/>
            <w:vAlign w:val="center"/>
          </w:tcPr>
          <w:p w:rsidR="00115CCB" w:rsidRDefault="00FB265D" w:rsidP="00115CCB">
            <w:pPr>
              <w:spacing w:before="0" w:after="0"/>
              <w:jc w:val="center"/>
              <w:rPr>
                <w:rFonts w:cs="Arial"/>
                <w:sz w:val="20"/>
                <w:szCs w:val="20"/>
              </w:rPr>
            </w:pPr>
            <w:r>
              <w:rPr>
                <w:rFonts w:cs="Arial"/>
                <w:sz w:val="20"/>
                <w:szCs w:val="20"/>
              </w:rPr>
              <w:t>40</w:t>
            </w:r>
          </w:p>
        </w:tc>
        <w:tc>
          <w:tcPr>
            <w:tcW w:w="728" w:type="pct"/>
            <w:noWrap/>
            <w:vAlign w:val="center"/>
          </w:tcPr>
          <w:p w:rsidR="00115CCB" w:rsidRDefault="00FB265D" w:rsidP="00115CCB">
            <w:pPr>
              <w:spacing w:before="0" w:after="0"/>
              <w:jc w:val="center"/>
              <w:rPr>
                <w:rFonts w:cs="Arial"/>
                <w:sz w:val="20"/>
                <w:szCs w:val="20"/>
              </w:rPr>
            </w:pPr>
            <w:r>
              <w:rPr>
                <w:rFonts w:cs="Arial"/>
                <w:sz w:val="20"/>
                <w:szCs w:val="20"/>
              </w:rPr>
              <w:t>40</w:t>
            </w:r>
          </w:p>
        </w:tc>
        <w:tc>
          <w:tcPr>
            <w:tcW w:w="729" w:type="pct"/>
            <w:noWrap/>
            <w:vAlign w:val="center"/>
          </w:tcPr>
          <w:p w:rsidR="00115CCB" w:rsidRDefault="00115CCB" w:rsidP="00115CCB">
            <w:pPr>
              <w:spacing w:before="0" w:after="0"/>
              <w:jc w:val="center"/>
              <w:rPr>
                <w:rFonts w:cs="Arial"/>
                <w:sz w:val="20"/>
                <w:szCs w:val="20"/>
              </w:rPr>
            </w:pPr>
            <w:r>
              <w:rPr>
                <w:rFonts w:cs="Arial"/>
                <w:sz w:val="20"/>
                <w:szCs w:val="20"/>
              </w:rPr>
              <w:t>4</w:t>
            </w:r>
            <w:r w:rsidR="00FB265D">
              <w:rPr>
                <w:rFonts w:cs="Arial"/>
                <w:sz w:val="20"/>
                <w:szCs w:val="20"/>
              </w:rPr>
              <w:t>2</w:t>
            </w:r>
          </w:p>
        </w:tc>
        <w:tc>
          <w:tcPr>
            <w:tcW w:w="729" w:type="pct"/>
            <w:noWrap/>
            <w:vAlign w:val="center"/>
          </w:tcPr>
          <w:p w:rsidR="00115CCB" w:rsidRDefault="00FB265D" w:rsidP="00115CCB">
            <w:pPr>
              <w:spacing w:before="0" w:after="0"/>
              <w:jc w:val="center"/>
              <w:rPr>
                <w:rFonts w:cs="Arial"/>
                <w:sz w:val="20"/>
                <w:szCs w:val="20"/>
              </w:rPr>
            </w:pPr>
            <w:r>
              <w:rPr>
                <w:rFonts w:cs="Arial"/>
                <w:sz w:val="20"/>
                <w:szCs w:val="20"/>
              </w:rPr>
              <w:t>64</w:t>
            </w:r>
          </w:p>
        </w:tc>
      </w:tr>
      <w:tr w:rsidR="00115CCB" w:rsidRPr="00E35AE8" w:rsidTr="00356E72">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115CCB" w:rsidRPr="00B65CAC" w:rsidRDefault="00115CCB" w:rsidP="00B65CAC">
            <w:pPr>
              <w:spacing w:before="100" w:beforeAutospacing="1" w:after="100" w:afterAutospacing="1" w:line="240" w:lineRule="auto"/>
              <w:rPr>
                <w:rFonts w:cs="Arial"/>
                <w:bCs/>
                <w:szCs w:val="20"/>
              </w:rPr>
            </w:pPr>
            <w:r w:rsidRPr="00B65CAC">
              <w:rPr>
                <w:rFonts w:cs="Arial"/>
                <w:bCs/>
                <w:szCs w:val="20"/>
              </w:rPr>
              <w:t>14-15 financial YTD</w:t>
            </w:r>
          </w:p>
        </w:tc>
        <w:tc>
          <w:tcPr>
            <w:tcW w:w="728" w:type="pct"/>
            <w:noWrap/>
            <w:vAlign w:val="center"/>
          </w:tcPr>
          <w:p w:rsidR="00115CCB" w:rsidRDefault="00115CCB" w:rsidP="00115CCB">
            <w:pPr>
              <w:spacing w:before="0" w:after="0"/>
              <w:jc w:val="center"/>
              <w:rPr>
                <w:rFonts w:cs="Arial"/>
                <w:szCs w:val="20"/>
              </w:rPr>
            </w:pPr>
            <w:r>
              <w:rPr>
                <w:rFonts w:cs="Arial"/>
                <w:szCs w:val="20"/>
              </w:rPr>
              <w:t>30</w:t>
            </w:r>
          </w:p>
        </w:tc>
        <w:tc>
          <w:tcPr>
            <w:tcW w:w="729" w:type="pct"/>
            <w:noWrap/>
            <w:vAlign w:val="center"/>
          </w:tcPr>
          <w:p w:rsidR="00115CCB" w:rsidRDefault="00115CCB" w:rsidP="00115CCB">
            <w:pPr>
              <w:spacing w:before="0" w:after="0"/>
              <w:jc w:val="center"/>
              <w:rPr>
                <w:rFonts w:cs="Arial"/>
                <w:szCs w:val="20"/>
              </w:rPr>
            </w:pPr>
            <w:r>
              <w:rPr>
                <w:rFonts w:cs="Arial"/>
                <w:szCs w:val="20"/>
              </w:rPr>
              <w:t>3</w:t>
            </w:r>
            <w:r w:rsidR="00FB265D">
              <w:rPr>
                <w:rFonts w:cs="Arial"/>
                <w:szCs w:val="20"/>
              </w:rPr>
              <w:t>8</w:t>
            </w:r>
          </w:p>
        </w:tc>
        <w:tc>
          <w:tcPr>
            <w:tcW w:w="728" w:type="pct"/>
            <w:noWrap/>
            <w:vAlign w:val="center"/>
          </w:tcPr>
          <w:p w:rsidR="00115CCB" w:rsidRDefault="00115CCB" w:rsidP="00115CCB">
            <w:pPr>
              <w:spacing w:before="0" w:after="0"/>
              <w:jc w:val="center"/>
              <w:rPr>
                <w:rFonts w:cs="Arial"/>
                <w:szCs w:val="20"/>
              </w:rPr>
            </w:pPr>
            <w:r>
              <w:rPr>
                <w:rFonts w:cs="Arial"/>
                <w:szCs w:val="20"/>
              </w:rPr>
              <w:t>3</w:t>
            </w:r>
            <w:r w:rsidR="00FB265D">
              <w:rPr>
                <w:rFonts w:cs="Arial"/>
                <w:szCs w:val="20"/>
              </w:rPr>
              <w:t>6</w:t>
            </w:r>
          </w:p>
        </w:tc>
        <w:tc>
          <w:tcPr>
            <w:tcW w:w="729" w:type="pct"/>
            <w:noWrap/>
            <w:vAlign w:val="center"/>
          </w:tcPr>
          <w:p w:rsidR="00115CCB" w:rsidRDefault="00115CCB" w:rsidP="00115CCB">
            <w:pPr>
              <w:spacing w:before="0" w:after="0"/>
              <w:jc w:val="center"/>
              <w:rPr>
                <w:rFonts w:cs="Arial"/>
                <w:szCs w:val="20"/>
              </w:rPr>
            </w:pPr>
            <w:r>
              <w:rPr>
                <w:rFonts w:cs="Arial"/>
                <w:szCs w:val="20"/>
              </w:rPr>
              <w:t>4</w:t>
            </w:r>
            <w:r w:rsidR="00FB265D">
              <w:rPr>
                <w:rFonts w:cs="Arial"/>
                <w:szCs w:val="20"/>
              </w:rPr>
              <w:t>5</w:t>
            </w:r>
          </w:p>
        </w:tc>
        <w:tc>
          <w:tcPr>
            <w:tcW w:w="729" w:type="pct"/>
            <w:noWrap/>
            <w:vAlign w:val="center"/>
          </w:tcPr>
          <w:p w:rsidR="00115CCB" w:rsidRDefault="00115CCB" w:rsidP="00115CCB">
            <w:pPr>
              <w:spacing w:before="0" w:after="0"/>
              <w:jc w:val="center"/>
              <w:rPr>
                <w:rFonts w:cs="Arial"/>
                <w:szCs w:val="20"/>
              </w:rPr>
            </w:pPr>
            <w:r>
              <w:rPr>
                <w:rFonts w:cs="Arial"/>
                <w:szCs w:val="20"/>
              </w:rPr>
              <w:t>36</w:t>
            </w:r>
          </w:p>
        </w:tc>
      </w:tr>
      <w:tr w:rsidR="00115CCB" w:rsidRPr="00E35AE8" w:rsidTr="00356E72">
        <w:trPr>
          <w:trHeight w:hRule="exact" w:val="340"/>
        </w:trPr>
        <w:tc>
          <w:tcPr>
            <w:tcW w:w="1357" w:type="pct"/>
            <w:noWrap/>
            <w:vAlign w:val="center"/>
            <w:hideMark/>
          </w:tcPr>
          <w:p w:rsidR="00115CCB" w:rsidRPr="00B65CAC" w:rsidRDefault="00115CCB" w:rsidP="00B65CAC">
            <w:pPr>
              <w:spacing w:before="100" w:beforeAutospacing="1" w:after="100" w:afterAutospacing="1" w:line="240" w:lineRule="auto"/>
              <w:rPr>
                <w:rFonts w:cs="Arial"/>
                <w:bCs/>
                <w:sz w:val="20"/>
                <w:szCs w:val="20"/>
              </w:rPr>
            </w:pPr>
            <w:r w:rsidRPr="00B65CAC">
              <w:rPr>
                <w:rFonts w:cs="Arial"/>
                <w:bCs/>
                <w:sz w:val="20"/>
                <w:szCs w:val="20"/>
              </w:rPr>
              <w:t>15-16 financial YTD</w:t>
            </w:r>
          </w:p>
        </w:tc>
        <w:tc>
          <w:tcPr>
            <w:tcW w:w="728" w:type="pct"/>
            <w:noWrap/>
            <w:vAlign w:val="center"/>
          </w:tcPr>
          <w:p w:rsidR="00115CCB" w:rsidRDefault="00115CCB" w:rsidP="00115CCB">
            <w:pPr>
              <w:spacing w:before="0" w:after="0"/>
              <w:jc w:val="center"/>
              <w:rPr>
                <w:rFonts w:cs="Arial"/>
                <w:sz w:val="20"/>
                <w:szCs w:val="20"/>
              </w:rPr>
            </w:pPr>
            <w:r>
              <w:rPr>
                <w:rFonts w:cs="Arial"/>
                <w:sz w:val="20"/>
                <w:szCs w:val="20"/>
              </w:rPr>
              <w:t>44</w:t>
            </w:r>
          </w:p>
        </w:tc>
        <w:tc>
          <w:tcPr>
            <w:tcW w:w="729" w:type="pct"/>
            <w:noWrap/>
            <w:vAlign w:val="center"/>
          </w:tcPr>
          <w:p w:rsidR="00115CCB" w:rsidRDefault="00115CCB" w:rsidP="00115CCB">
            <w:pPr>
              <w:spacing w:before="0" w:after="0"/>
              <w:jc w:val="center"/>
              <w:rPr>
                <w:rFonts w:cs="Arial"/>
                <w:sz w:val="20"/>
                <w:szCs w:val="20"/>
              </w:rPr>
            </w:pPr>
            <w:r>
              <w:rPr>
                <w:rFonts w:cs="Arial"/>
                <w:sz w:val="20"/>
                <w:szCs w:val="20"/>
              </w:rPr>
              <w:t>45</w:t>
            </w:r>
          </w:p>
        </w:tc>
        <w:tc>
          <w:tcPr>
            <w:tcW w:w="728" w:type="pct"/>
            <w:noWrap/>
            <w:vAlign w:val="center"/>
          </w:tcPr>
          <w:p w:rsidR="00115CCB" w:rsidRDefault="00115CCB" w:rsidP="00115CCB">
            <w:pPr>
              <w:spacing w:before="0" w:after="0"/>
              <w:jc w:val="center"/>
              <w:rPr>
                <w:rFonts w:cs="Arial"/>
                <w:sz w:val="20"/>
                <w:szCs w:val="20"/>
              </w:rPr>
            </w:pPr>
            <w:r>
              <w:rPr>
                <w:rFonts w:cs="Arial"/>
                <w:sz w:val="20"/>
                <w:szCs w:val="20"/>
              </w:rPr>
              <w:t>39</w:t>
            </w:r>
          </w:p>
        </w:tc>
        <w:tc>
          <w:tcPr>
            <w:tcW w:w="729" w:type="pct"/>
            <w:noWrap/>
            <w:vAlign w:val="center"/>
          </w:tcPr>
          <w:p w:rsidR="00115CCB" w:rsidRDefault="00115CCB" w:rsidP="00115CCB">
            <w:pPr>
              <w:spacing w:before="0" w:after="0"/>
              <w:jc w:val="center"/>
              <w:rPr>
                <w:rFonts w:cs="Arial"/>
                <w:sz w:val="20"/>
                <w:szCs w:val="20"/>
              </w:rPr>
            </w:pPr>
            <w:r>
              <w:rPr>
                <w:rFonts w:cs="Arial"/>
                <w:sz w:val="20"/>
                <w:szCs w:val="20"/>
              </w:rPr>
              <w:t>6</w:t>
            </w:r>
            <w:r w:rsidR="00FB265D">
              <w:rPr>
                <w:rFonts w:cs="Arial"/>
                <w:sz w:val="20"/>
                <w:szCs w:val="20"/>
              </w:rPr>
              <w:t>4</w:t>
            </w:r>
          </w:p>
        </w:tc>
        <w:tc>
          <w:tcPr>
            <w:tcW w:w="729" w:type="pct"/>
            <w:noWrap/>
            <w:vAlign w:val="center"/>
          </w:tcPr>
          <w:p w:rsidR="00115CCB" w:rsidRDefault="00115CCB" w:rsidP="00115CCB">
            <w:pPr>
              <w:spacing w:before="0" w:after="0"/>
              <w:jc w:val="center"/>
              <w:rPr>
                <w:rFonts w:cs="Arial"/>
                <w:sz w:val="20"/>
                <w:szCs w:val="20"/>
              </w:rPr>
            </w:pPr>
            <w:r>
              <w:rPr>
                <w:rFonts w:cs="Arial"/>
                <w:sz w:val="20"/>
                <w:szCs w:val="20"/>
              </w:rPr>
              <w:t>4</w:t>
            </w:r>
            <w:r w:rsidR="00FB265D">
              <w:rPr>
                <w:rFonts w:cs="Arial"/>
                <w:sz w:val="20"/>
                <w:szCs w:val="20"/>
              </w:rPr>
              <w:t>1</w:t>
            </w:r>
          </w:p>
        </w:tc>
      </w:tr>
    </w:tbl>
    <w:p w:rsidR="00275002" w:rsidRPr="00086CF3" w:rsidRDefault="00275002" w:rsidP="00EF3FB8">
      <w:pPr>
        <w:spacing w:before="120" w:after="120"/>
        <w:rPr>
          <w:sz w:val="18"/>
          <w:szCs w:val="18"/>
        </w:rPr>
      </w:pPr>
      <w:r w:rsidRPr="00086CF3">
        <w:rPr>
          <w:rFonts w:cs="Arial"/>
          <w:sz w:val="18"/>
          <w:szCs w:val="18"/>
        </w:rPr>
        <w:t xml:space="preserve">Longer-term statistics tracking average spot market prices are available on the </w:t>
      </w:r>
      <w:hyperlink r:id="rId12" w:history="1">
        <w:r w:rsidRPr="00086CF3">
          <w:rPr>
            <w:rStyle w:val="Hyperlink"/>
            <w:sz w:val="18"/>
            <w:szCs w:val="18"/>
          </w:rPr>
          <w:t>AER website</w:t>
        </w:r>
      </w:hyperlink>
      <w:r w:rsidRPr="00086CF3">
        <w:rPr>
          <w:sz w:val="18"/>
          <w:szCs w:val="18"/>
        </w:rPr>
        <w:t xml:space="preserve">. </w:t>
      </w:r>
    </w:p>
    <w:bookmarkEnd w:id="8"/>
    <w:bookmarkEnd w:id="9"/>
    <w:p w:rsidR="00275002" w:rsidRPr="0031019A" w:rsidRDefault="00275002" w:rsidP="000E2946">
      <w:pPr>
        <w:pStyle w:val="AERHeading1"/>
      </w:pPr>
      <w:r w:rsidRPr="0031019A">
        <w:t>Spot market price forecast variations</w:t>
      </w:r>
    </w:p>
    <w:p w:rsidR="00275002" w:rsidRPr="00215E19" w:rsidRDefault="00275002" w:rsidP="00215E19">
      <w:pPr>
        <w:pStyle w:val="AERbodytext"/>
        <w:spacing w:before="120" w:after="120"/>
        <w:rPr>
          <w:bCs/>
          <w:lang w:eastAsia="en-AU"/>
        </w:rPr>
      </w:pPr>
      <w:r w:rsidRPr="00215E19">
        <w:rPr>
          <w:bCs/>
          <w:lang w:eastAsia="en-AU"/>
        </w:rPr>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215E19" w:rsidRDefault="00356E72" w:rsidP="00356E72">
      <w:pPr>
        <w:pStyle w:val="AERbodytext"/>
        <w:spacing w:before="120" w:after="120"/>
        <w:rPr>
          <w:bCs/>
          <w:lang w:eastAsia="en-AU"/>
        </w:rPr>
      </w:pPr>
      <w:r w:rsidRPr="00356E72">
        <w:rPr>
          <w:bCs/>
          <w:lang w:eastAsia="en-AU"/>
        </w:rPr>
        <w:t>There w</w:t>
      </w:r>
      <w:r w:rsidR="00831483">
        <w:rPr>
          <w:bCs/>
          <w:lang w:eastAsia="en-AU"/>
        </w:rPr>
        <w:t xml:space="preserve">ere </w:t>
      </w:r>
      <w:r w:rsidR="00FB265D">
        <w:rPr>
          <w:bCs/>
          <w:lang w:eastAsia="en-AU"/>
        </w:rPr>
        <w:t>225</w:t>
      </w:r>
      <w:r w:rsidRPr="00356E72">
        <w:rPr>
          <w:bCs/>
          <w:lang w:eastAsia="en-AU"/>
        </w:rPr>
        <w:t xml:space="preserve"> trading intervals throughout the week where actual prices varied significantly from forecasts. This compares to the weekly average in 2014 of 71 counts and the average in 2013 of 97.</w:t>
      </w:r>
      <w:r>
        <w:rPr>
          <w:bCs/>
          <w:lang w:eastAsia="en-AU"/>
        </w:rPr>
        <w:t xml:space="preserve"> </w:t>
      </w:r>
      <w:r w:rsidR="00275002" w:rsidRPr="00215E19">
        <w:rPr>
          <w:bCs/>
          <w:lang w:eastAsia="en-AU"/>
        </w:rPr>
        <w:t xml:space="preserve">Reasons for the variations for this week are summarised in </w:t>
      </w:r>
      <w:r w:rsidR="00E7472E" w:rsidRPr="00215E19">
        <w:rPr>
          <w:bCs/>
          <w:lang w:eastAsia="en-AU"/>
        </w:rPr>
        <w:fldChar w:fldCharType="begin"/>
      </w:r>
      <w:r w:rsidR="00E7472E" w:rsidRPr="00215E19">
        <w:rPr>
          <w:bCs/>
          <w:lang w:eastAsia="en-AU"/>
        </w:rPr>
        <w:instrText xml:space="preserve"> REF _Ref410993002 \h </w:instrText>
      </w:r>
      <w:r w:rsidR="00215E19">
        <w:rPr>
          <w:bCs/>
          <w:lang w:eastAsia="en-AU"/>
        </w:rPr>
        <w:instrText xml:space="preserve"> \* MERGEFORMAT </w:instrText>
      </w:r>
      <w:r w:rsidR="00E7472E" w:rsidRPr="00215E19">
        <w:rPr>
          <w:bCs/>
          <w:lang w:eastAsia="en-AU"/>
        </w:rPr>
      </w:r>
      <w:r w:rsidR="00E7472E" w:rsidRPr="00215E19">
        <w:rPr>
          <w:bCs/>
          <w:lang w:eastAsia="en-AU"/>
        </w:rPr>
        <w:fldChar w:fldCharType="separate"/>
      </w:r>
      <w:r w:rsidR="00116F91" w:rsidRPr="00116F91">
        <w:rPr>
          <w:bCs/>
          <w:lang w:eastAsia="en-AU"/>
        </w:rPr>
        <w:t>Table 2</w:t>
      </w:r>
      <w:r w:rsidR="00E7472E" w:rsidRPr="00215E19">
        <w:rPr>
          <w:bCs/>
          <w:lang w:eastAsia="en-AU"/>
        </w:rPr>
        <w:fldChar w:fldCharType="end"/>
      </w:r>
      <w:r w:rsidR="00275002" w:rsidRPr="00215E19">
        <w:rPr>
          <w:bCs/>
          <w:lang w:eastAsia="en-AU"/>
        </w:rPr>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w:t>
      </w:r>
      <w:r w:rsidR="00275002" w:rsidRPr="00215E19">
        <w:rPr>
          <w:bCs/>
          <w:lang w:eastAsia="en-AU"/>
        </w:rPr>
        <w:lastRenderedPageBreak/>
        <w:t xml:space="preserve">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215E19">
        <w:rPr>
          <w:bCs/>
          <w:lang w:eastAsia="en-AU"/>
        </w:rPr>
        <w:t>ahead</w:t>
      </w:r>
      <w:proofErr w:type="gramEnd"/>
      <w:r w:rsidR="00275002" w:rsidRPr="00215E19">
        <w:rPr>
          <w:bCs/>
          <w:lang w:eastAsia="en-AU"/>
        </w:rPr>
        <w:t xml:space="preserve"> forecasts differ significantly from the actual price will be counted as two variations.</w:t>
      </w:r>
    </w:p>
    <w:p w:rsidR="00275002" w:rsidRPr="0031019A" w:rsidRDefault="00275002" w:rsidP="000E2946">
      <w:pPr>
        <w:pStyle w:val="Caption"/>
      </w:pPr>
      <w:bookmarkStart w:id="12" w:name="_Ref410993002"/>
      <w:bookmarkStart w:id="13" w:name="_Ref410992996"/>
      <w:r>
        <w:t xml:space="preserve">Table </w:t>
      </w:r>
      <w:fldSimple w:instr=" SEQ Table \* ARABIC ">
        <w:r w:rsidR="00116F91">
          <w:rPr>
            <w:noProof/>
          </w:rPr>
          <w:t>2</w:t>
        </w:r>
      </w:fldSimple>
      <w:bookmarkEnd w:id="12"/>
      <w:r w:rsidRPr="00BC7912">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B92CD5"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003169">
            <w:pPr>
              <w:jc w:val="center"/>
            </w:pPr>
          </w:p>
        </w:tc>
        <w:tc>
          <w:tcPr>
            <w:tcW w:w="1571" w:type="dxa"/>
            <w:noWrap/>
            <w:hideMark/>
          </w:tcPr>
          <w:p w:rsidR="00B92CD5" w:rsidRPr="00B92CD5" w:rsidRDefault="00B92CD5" w:rsidP="00003169">
            <w:pPr>
              <w:jc w:val="center"/>
              <w:rPr>
                <w:sz w:val="20"/>
              </w:rPr>
            </w:pPr>
            <w:r w:rsidRPr="00B92CD5">
              <w:rPr>
                <w:sz w:val="20"/>
              </w:rPr>
              <w:t>Availability</w:t>
            </w:r>
          </w:p>
        </w:tc>
        <w:tc>
          <w:tcPr>
            <w:tcW w:w="1572" w:type="dxa"/>
            <w:noWrap/>
            <w:hideMark/>
          </w:tcPr>
          <w:p w:rsidR="00B92CD5" w:rsidRPr="00B92CD5" w:rsidRDefault="00B92CD5" w:rsidP="00003169">
            <w:pPr>
              <w:jc w:val="center"/>
              <w:rPr>
                <w:sz w:val="20"/>
              </w:rPr>
            </w:pPr>
            <w:r w:rsidRPr="00B92CD5">
              <w:rPr>
                <w:sz w:val="20"/>
              </w:rPr>
              <w:t>Demand</w:t>
            </w:r>
          </w:p>
        </w:tc>
        <w:tc>
          <w:tcPr>
            <w:tcW w:w="1572" w:type="dxa"/>
            <w:noWrap/>
            <w:hideMark/>
          </w:tcPr>
          <w:p w:rsidR="00B92CD5" w:rsidRPr="00B92CD5" w:rsidRDefault="00B92CD5" w:rsidP="00003169">
            <w:pPr>
              <w:jc w:val="center"/>
              <w:rPr>
                <w:sz w:val="20"/>
              </w:rPr>
            </w:pPr>
            <w:r w:rsidRPr="00B92CD5">
              <w:rPr>
                <w:sz w:val="20"/>
              </w:rPr>
              <w:t>Network</w:t>
            </w:r>
          </w:p>
        </w:tc>
        <w:tc>
          <w:tcPr>
            <w:tcW w:w="1572" w:type="dxa"/>
            <w:hideMark/>
          </w:tcPr>
          <w:p w:rsidR="00B92CD5" w:rsidRPr="00B92CD5" w:rsidRDefault="00B92CD5" w:rsidP="00003169">
            <w:pPr>
              <w:jc w:val="center"/>
              <w:rPr>
                <w:sz w:val="20"/>
              </w:rPr>
            </w:pPr>
            <w:r w:rsidRPr="00B92CD5">
              <w:rPr>
                <w:sz w:val="20"/>
              </w:rPr>
              <w:t>Combination</w:t>
            </w:r>
          </w:p>
        </w:tc>
      </w:tr>
      <w:tr w:rsidR="00115CCB" w:rsidRPr="00003169" w:rsidTr="009E6668">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115CCB" w:rsidRPr="00E35AE8" w:rsidRDefault="00115CCB" w:rsidP="00B65CAC">
            <w:pPr>
              <w:spacing w:after="0" w:line="240" w:lineRule="auto"/>
              <w:jc w:val="center"/>
              <w:rPr>
                <w:sz w:val="20"/>
                <w:szCs w:val="20"/>
              </w:rPr>
            </w:pPr>
            <w:r w:rsidRPr="00E35AE8">
              <w:rPr>
                <w:sz w:val="20"/>
                <w:szCs w:val="20"/>
              </w:rPr>
              <w:t>% of total above forecast</w:t>
            </w:r>
          </w:p>
        </w:tc>
        <w:tc>
          <w:tcPr>
            <w:tcW w:w="1571" w:type="dxa"/>
            <w:noWrap/>
            <w:vAlign w:val="center"/>
          </w:tcPr>
          <w:p w:rsidR="00115CCB" w:rsidRDefault="00FB265D" w:rsidP="00115CCB">
            <w:pPr>
              <w:spacing w:after="0"/>
              <w:jc w:val="center"/>
              <w:rPr>
                <w:rFonts w:cs="Arial"/>
                <w:sz w:val="20"/>
                <w:szCs w:val="20"/>
              </w:rPr>
            </w:pPr>
            <w:r>
              <w:rPr>
                <w:rFonts w:cs="Arial"/>
                <w:sz w:val="20"/>
                <w:szCs w:val="20"/>
              </w:rPr>
              <w:t>4</w:t>
            </w:r>
          </w:p>
        </w:tc>
        <w:tc>
          <w:tcPr>
            <w:tcW w:w="1572" w:type="dxa"/>
            <w:noWrap/>
            <w:vAlign w:val="center"/>
          </w:tcPr>
          <w:p w:rsidR="00115CCB" w:rsidRDefault="00FB265D" w:rsidP="00115CCB">
            <w:pPr>
              <w:spacing w:after="0"/>
              <w:jc w:val="center"/>
              <w:rPr>
                <w:rFonts w:cs="Arial"/>
                <w:sz w:val="20"/>
                <w:szCs w:val="20"/>
              </w:rPr>
            </w:pPr>
            <w:r>
              <w:rPr>
                <w:rFonts w:cs="Arial"/>
                <w:sz w:val="20"/>
                <w:szCs w:val="20"/>
              </w:rPr>
              <w:t>21</w:t>
            </w:r>
          </w:p>
        </w:tc>
        <w:tc>
          <w:tcPr>
            <w:tcW w:w="1572" w:type="dxa"/>
            <w:noWrap/>
            <w:vAlign w:val="center"/>
          </w:tcPr>
          <w:p w:rsidR="00115CCB" w:rsidRDefault="00115CCB" w:rsidP="00115CCB">
            <w:pPr>
              <w:spacing w:after="0"/>
              <w:jc w:val="center"/>
              <w:rPr>
                <w:rFonts w:cs="Arial"/>
                <w:sz w:val="20"/>
                <w:szCs w:val="20"/>
              </w:rPr>
            </w:pPr>
            <w:r>
              <w:rPr>
                <w:rFonts w:cs="Arial"/>
                <w:sz w:val="20"/>
                <w:szCs w:val="20"/>
              </w:rPr>
              <w:t>0</w:t>
            </w:r>
          </w:p>
        </w:tc>
        <w:tc>
          <w:tcPr>
            <w:tcW w:w="1572" w:type="dxa"/>
            <w:vAlign w:val="center"/>
          </w:tcPr>
          <w:p w:rsidR="00115CCB" w:rsidRDefault="00115CCB" w:rsidP="00115CCB">
            <w:pPr>
              <w:spacing w:after="0"/>
              <w:jc w:val="center"/>
              <w:rPr>
                <w:rFonts w:cs="Arial"/>
                <w:sz w:val="20"/>
                <w:szCs w:val="20"/>
              </w:rPr>
            </w:pPr>
            <w:r>
              <w:rPr>
                <w:rFonts w:cs="Arial"/>
                <w:sz w:val="20"/>
                <w:szCs w:val="20"/>
              </w:rPr>
              <w:t>0</w:t>
            </w:r>
          </w:p>
        </w:tc>
      </w:tr>
      <w:tr w:rsidR="00115CCB" w:rsidRPr="00003169" w:rsidTr="009E6668">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115CCB" w:rsidRPr="00E35AE8" w:rsidRDefault="00115CCB" w:rsidP="00B65CAC">
            <w:pPr>
              <w:spacing w:after="0" w:line="240" w:lineRule="auto"/>
              <w:jc w:val="center"/>
              <w:rPr>
                <w:sz w:val="20"/>
                <w:szCs w:val="20"/>
              </w:rPr>
            </w:pPr>
            <w:r w:rsidRPr="00E35AE8">
              <w:rPr>
                <w:sz w:val="20"/>
                <w:szCs w:val="20"/>
              </w:rPr>
              <w:t>% of total below forecast</w:t>
            </w:r>
          </w:p>
        </w:tc>
        <w:tc>
          <w:tcPr>
            <w:tcW w:w="1571" w:type="dxa"/>
            <w:noWrap/>
            <w:vAlign w:val="center"/>
          </w:tcPr>
          <w:p w:rsidR="00115CCB" w:rsidRDefault="00FB265D" w:rsidP="00115CCB">
            <w:pPr>
              <w:spacing w:after="0"/>
              <w:jc w:val="center"/>
              <w:rPr>
                <w:rFonts w:cs="Arial"/>
                <w:sz w:val="20"/>
                <w:szCs w:val="20"/>
              </w:rPr>
            </w:pPr>
            <w:r>
              <w:rPr>
                <w:rFonts w:cs="Arial"/>
                <w:sz w:val="20"/>
                <w:szCs w:val="20"/>
              </w:rPr>
              <w:t>74</w:t>
            </w:r>
          </w:p>
        </w:tc>
        <w:tc>
          <w:tcPr>
            <w:tcW w:w="1572" w:type="dxa"/>
            <w:noWrap/>
            <w:vAlign w:val="center"/>
          </w:tcPr>
          <w:p w:rsidR="00115CCB" w:rsidRDefault="00115CCB" w:rsidP="00115CCB">
            <w:pPr>
              <w:spacing w:after="0"/>
              <w:jc w:val="center"/>
              <w:rPr>
                <w:rFonts w:cs="Arial"/>
                <w:sz w:val="20"/>
                <w:szCs w:val="20"/>
              </w:rPr>
            </w:pPr>
            <w:r>
              <w:rPr>
                <w:rFonts w:cs="Arial"/>
                <w:sz w:val="20"/>
                <w:szCs w:val="20"/>
              </w:rPr>
              <w:t>1</w:t>
            </w:r>
          </w:p>
        </w:tc>
        <w:tc>
          <w:tcPr>
            <w:tcW w:w="1572" w:type="dxa"/>
            <w:noWrap/>
            <w:vAlign w:val="center"/>
          </w:tcPr>
          <w:p w:rsidR="00115CCB" w:rsidRDefault="00115CCB" w:rsidP="00115CCB">
            <w:pPr>
              <w:spacing w:after="0"/>
              <w:jc w:val="center"/>
              <w:rPr>
                <w:rFonts w:cs="Arial"/>
                <w:sz w:val="20"/>
                <w:szCs w:val="20"/>
              </w:rPr>
            </w:pPr>
            <w:r>
              <w:rPr>
                <w:rFonts w:cs="Arial"/>
                <w:sz w:val="20"/>
                <w:szCs w:val="20"/>
              </w:rPr>
              <w:t>0</w:t>
            </w:r>
          </w:p>
        </w:tc>
        <w:tc>
          <w:tcPr>
            <w:tcW w:w="1572" w:type="dxa"/>
            <w:vAlign w:val="center"/>
          </w:tcPr>
          <w:p w:rsidR="00115CCB" w:rsidRDefault="00FB265D" w:rsidP="00115CCB">
            <w:pPr>
              <w:spacing w:after="0"/>
              <w:jc w:val="center"/>
              <w:rPr>
                <w:rFonts w:cs="Arial"/>
                <w:sz w:val="20"/>
                <w:szCs w:val="20"/>
              </w:rPr>
            </w:pPr>
            <w:r>
              <w:rPr>
                <w:rFonts w:cs="Arial"/>
                <w:sz w:val="20"/>
                <w:szCs w:val="20"/>
              </w:rPr>
              <w:t>0</w:t>
            </w:r>
          </w:p>
        </w:tc>
      </w:tr>
    </w:tbl>
    <w:p w:rsidR="00275002" w:rsidRPr="009E6668" w:rsidRDefault="00275002" w:rsidP="00544C6F">
      <w:pPr>
        <w:spacing w:before="120" w:after="120"/>
        <w:rPr>
          <w:rFonts w:cs="Arial"/>
          <w:sz w:val="18"/>
          <w:szCs w:val="18"/>
        </w:rPr>
      </w:pPr>
      <w:r w:rsidRPr="009E6668">
        <w:rPr>
          <w:rFonts w:cs="Arial"/>
          <w:sz w:val="18"/>
          <w:szCs w:val="18"/>
        </w:rPr>
        <w:t>Note: Due to rounding, the total may not be 100 per cent.</w:t>
      </w:r>
    </w:p>
    <w:p w:rsidR="00275002" w:rsidRPr="0031019A" w:rsidRDefault="00275002" w:rsidP="00914A87">
      <w:pPr>
        <w:pStyle w:val="AERHeading1"/>
      </w:pPr>
      <w:r w:rsidRPr="0031019A">
        <w:t>Generation and bidding patterns</w:t>
      </w:r>
    </w:p>
    <w:p w:rsidR="003A0810" w:rsidRPr="00215E19" w:rsidRDefault="00275002" w:rsidP="00215E19">
      <w:pPr>
        <w:pStyle w:val="AERbodytext"/>
        <w:spacing w:before="120" w:after="120"/>
        <w:rPr>
          <w:bCs/>
          <w:lang w:eastAsia="en-AU"/>
        </w:rPr>
      </w:pPr>
      <w:r w:rsidRPr="00215E19">
        <w:rPr>
          <w:bCs/>
          <w:lang w:eastAsia="en-AU"/>
        </w:rPr>
        <w:t xml:space="preserve">The AER reviews generator bidding as part of its market monitoring to better understand the drivers behind price variations. </w:t>
      </w:r>
      <w:r w:rsidRPr="00215E19">
        <w:rPr>
          <w:bCs/>
          <w:lang w:eastAsia="en-AU"/>
        </w:rPr>
        <w:fldChar w:fldCharType="begin"/>
      </w:r>
      <w:r w:rsidRPr="00215E19">
        <w:rPr>
          <w:bCs/>
          <w:lang w:eastAsia="en-AU"/>
        </w:rPr>
        <w:instrText xml:space="preserve"> REF _Ref410383507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116F91" w:rsidRPr="00116F91">
        <w:rPr>
          <w:bCs/>
          <w:lang w:eastAsia="en-AU"/>
        </w:rPr>
        <w:t>Figure 3</w:t>
      </w:r>
      <w:r w:rsidRPr="00215E19">
        <w:rPr>
          <w:bCs/>
          <w:lang w:eastAsia="en-AU"/>
        </w:rPr>
        <w:fldChar w:fldCharType="end"/>
      </w:r>
      <w:r w:rsidRPr="00215E19">
        <w:rPr>
          <w:bCs/>
          <w:lang w:eastAsia="en-AU"/>
        </w:rPr>
        <w:t xml:space="preserve"> to</w:t>
      </w:r>
      <w:r w:rsidR="00056949">
        <w:rPr>
          <w:bCs/>
          <w:lang w:eastAsia="en-AU"/>
        </w:rPr>
        <w:t xml:space="preserve"> </w:t>
      </w:r>
      <w:r w:rsidR="00056949">
        <w:rPr>
          <w:bCs/>
          <w:lang w:eastAsia="en-AU"/>
        </w:rPr>
        <w:fldChar w:fldCharType="begin"/>
      </w:r>
      <w:r w:rsidR="00056949">
        <w:rPr>
          <w:bCs/>
          <w:lang w:eastAsia="en-AU"/>
        </w:rPr>
        <w:instrText xml:space="preserve"> REF _Ref433287168 \h </w:instrText>
      </w:r>
      <w:r w:rsidR="00056949">
        <w:rPr>
          <w:bCs/>
          <w:lang w:eastAsia="en-AU"/>
        </w:rPr>
      </w:r>
      <w:r w:rsidR="00056949">
        <w:rPr>
          <w:bCs/>
          <w:lang w:eastAsia="en-AU"/>
        </w:rPr>
        <w:fldChar w:fldCharType="separate"/>
      </w:r>
      <w:r w:rsidR="00116F91">
        <w:t xml:space="preserve">Figure </w:t>
      </w:r>
      <w:r w:rsidR="00116F91">
        <w:rPr>
          <w:noProof/>
        </w:rPr>
        <w:t>7</w:t>
      </w:r>
      <w:r w:rsidR="00056949">
        <w:rPr>
          <w:bCs/>
          <w:lang w:eastAsia="en-AU"/>
        </w:rPr>
        <w:fldChar w:fldCharType="end"/>
      </w:r>
      <w:r w:rsidRPr="00215E19">
        <w:rPr>
          <w:bCs/>
          <w:lang w:eastAsia="en-AU"/>
        </w:rPr>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4" w:name="_Ref410383507"/>
      <w:r>
        <w:t xml:space="preserve">Figure </w:t>
      </w:r>
      <w:fldSimple w:instr=" SEQ Figure \* ARABIC ">
        <w:r w:rsidR="00116F91">
          <w:rPr>
            <w:noProof/>
          </w:rPr>
          <w:t>3</w:t>
        </w:r>
      </w:fldSimple>
      <w:bookmarkEnd w:id="14"/>
      <w:r>
        <w:t xml:space="preserve">: Queensland </w:t>
      </w:r>
      <w:r w:rsidRPr="00690328">
        <w:t>generation and bidding patterns</w:t>
      </w:r>
    </w:p>
    <w:p w:rsidR="00FB265D" w:rsidRPr="00FB265D" w:rsidRDefault="00FB265D" w:rsidP="00FB265D">
      <w:r w:rsidRPr="00FB265D">
        <w:rPr>
          <w:noProof/>
          <w:lang w:eastAsia="en-AU"/>
        </w:rPr>
        <w:drawing>
          <wp:inline distT="0" distB="0" distL="0" distR="0" wp14:anchorId="69D7F81B" wp14:editId="1D561494">
            <wp:extent cx="5731510" cy="4114813"/>
            <wp:effectExtent l="0" t="0" r="2540" b="0"/>
            <wp:docPr id="8" name="Picture 8"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title="Figure 3: Queensland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4813"/>
                    </a:xfrm>
                    <a:prstGeom prst="rect">
                      <a:avLst/>
                    </a:prstGeom>
                    <a:noFill/>
                    <a:ln>
                      <a:noFill/>
                    </a:ln>
                  </pic:spPr>
                </pic:pic>
              </a:graphicData>
            </a:graphic>
          </wp:inline>
        </w:drawing>
      </w:r>
    </w:p>
    <w:p w:rsidR="00E91BED" w:rsidRPr="00E91BED" w:rsidRDefault="00E91BED" w:rsidP="00E91BED"/>
    <w:p w:rsidR="00275002" w:rsidRDefault="00275002" w:rsidP="00275002"/>
    <w:p w:rsidR="00275002" w:rsidRDefault="00275002" w:rsidP="000E2946">
      <w:pPr>
        <w:pStyle w:val="Caption"/>
      </w:pPr>
      <w:bookmarkStart w:id="15" w:name="_Ref428273135"/>
      <w:r>
        <w:lastRenderedPageBreak/>
        <w:t xml:space="preserve">Figure </w:t>
      </w:r>
      <w:fldSimple w:instr=" SEQ Figure \* ARABIC ">
        <w:r w:rsidR="00116F91">
          <w:rPr>
            <w:noProof/>
          </w:rPr>
          <w:t>4</w:t>
        </w:r>
      </w:fldSimple>
      <w:bookmarkEnd w:id="15"/>
      <w:r>
        <w:t xml:space="preserve">: </w:t>
      </w:r>
      <w:r w:rsidRPr="00CC5077">
        <w:t>New South Wales generation and bidding patterns</w:t>
      </w:r>
    </w:p>
    <w:p w:rsidR="00181C46" w:rsidRPr="00181C46" w:rsidRDefault="00FB265D" w:rsidP="00181C46">
      <w:r w:rsidRPr="00FB265D">
        <w:rPr>
          <w:noProof/>
          <w:lang w:eastAsia="en-AU"/>
        </w:rPr>
        <w:drawing>
          <wp:inline distT="0" distB="0" distL="0" distR="0" wp14:anchorId="0B2E4ADD" wp14:editId="09FAC5E6">
            <wp:extent cx="5731510" cy="4123947"/>
            <wp:effectExtent l="0" t="0" r="2540" b="0"/>
            <wp:docPr id="9" name="Picture 9"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title="Figure 4: New South Wales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3947"/>
                    </a:xfrm>
                    <a:prstGeom prst="rect">
                      <a:avLst/>
                    </a:prstGeom>
                    <a:noFill/>
                    <a:ln>
                      <a:noFill/>
                    </a:ln>
                  </pic:spPr>
                </pic:pic>
              </a:graphicData>
            </a:graphic>
          </wp:inline>
        </w:drawing>
      </w:r>
    </w:p>
    <w:p w:rsidR="00275002" w:rsidRDefault="00275002" w:rsidP="000E2946">
      <w:pPr>
        <w:pStyle w:val="Caption"/>
      </w:pPr>
      <w:r>
        <w:t xml:space="preserve">Figure </w:t>
      </w:r>
      <w:fldSimple w:instr=" SEQ Figure \* ARABIC ">
        <w:r w:rsidR="00116F91">
          <w:rPr>
            <w:noProof/>
          </w:rPr>
          <w:t>5</w:t>
        </w:r>
      </w:fldSimple>
      <w:r w:rsidRPr="0003635A">
        <w:t>: Victoria generation and bidding patterns</w:t>
      </w:r>
    </w:p>
    <w:p w:rsidR="00FB265D" w:rsidRPr="00FB265D" w:rsidRDefault="00FB265D" w:rsidP="00FB265D">
      <w:r w:rsidRPr="00FB265D">
        <w:rPr>
          <w:noProof/>
          <w:lang w:eastAsia="en-AU"/>
        </w:rPr>
        <w:drawing>
          <wp:inline distT="0" distB="0" distL="0" distR="0" wp14:anchorId="3D480909" wp14:editId="0F8F6E39">
            <wp:extent cx="5731510" cy="4114813"/>
            <wp:effectExtent l="0" t="0" r="2540" b="0"/>
            <wp:docPr id="10" name="Picture 10"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title="Figure 5: Victor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4813"/>
                    </a:xfrm>
                    <a:prstGeom prst="rect">
                      <a:avLst/>
                    </a:prstGeom>
                    <a:noFill/>
                    <a:ln>
                      <a:noFill/>
                    </a:ln>
                  </pic:spPr>
                </pic:pic>
              </a:graphicData>
            </a:graphic>
          </wp:inline>
        </w:drawing>
      </w:r>
    </w:p>
    <w:p w:rsidR="00181C46" w:rsidRPr="00181C46" w:rsidRDefault="00181C46" w:rsidP="00181C46"/>
    <w:p w:rsidR="00275002" w:rsidRDefault="00275002" w:rsidP="000E2946">
      <w:pPr>
        <w:pStyle w:val="Caption"/>
      </w:pPr>
      <w:bookmarkStart w:id="16" w:name="_Ref423965683"/>
      <w:r>
        <w:lastRenderedPageBreak/>
        <w:t xml:space="preserve">Figure </w:t>
      </w:r>
      <w:fldSimple w:instr=" SEQ Figure \* ARABIC ">
        <w:r w:rsidR="00116F91">
          <w:rPr>
            <w:noProof/>
          </w:rPr>
          <w:t>6</w:t>
        </w:r>
      </w:fldSimple>
      <w:bookmarkEnd w:id="16"/>
      <w:r>
        <w:t>:</w:t>
      </w:r>
      <w:r w:rsidRPr="00BD00EB">
        <w:t xml:space="preserve"> South Australia generation and bidding patterns</w:t>
      </w:r>
    </w:p>
    <w:p w:rsidR="00F019C5" w:rsidRDefault="00487C10" w:rsidP="00F019C5">
      <w:r w:rsidRPr="00487C10">
        <w:rPr>
          <w:noProof/>
          <w:lang w:eastAsia="en-AU"/>
        </w:rPr>
        <w:drawing>
          <wp:inline distT="0" distB="0" distL="0" distR="0" wp14:anchorId="449B87D0" wp14:editId="1DB60251">
            <wp:extent cx="5731510" cy="4125955"/>
            <wp:effectExtent l="0" t="0" r="2540" b="8255"/>
            <wp:docPr id="16" name="Picture 16"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title="Figure 6: South Austral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25955"/>
                    </a:xfrm>
                    <a:prstGeom prst="rect">
                      <a:avLst/>
                    </a:prstGeom>
                    <a:noFill/>
                    <a:ln>
                      <a:noFill/>
                    </a:ln>
                  </pic:spPr>
                </pic:pic>
              </a:graphicData>
            </a:graphic>
          </wp:inline>
        </w:drawing>
      </w:r>
      <w:bookmarkStart w:id="17" w:name="_Ref410383520"/>
    </w:p>
    <w:p w:rsidR="00275002" w:rsidRDefault="00275002" w:rsidP="000E2946">
      <w:pPr>
        <w:pStyle w:val="Caption"/>
      </w:pPr>
      <w:bookmarkStart w:id="18" w:name="_Ref433287168"/>
      <w:r>
        <w:t xml:space="preserve">Figure </w:t>
      </w:r>
      <w:fldSimple w:instr=" SEQ Figure \* ARABIC ">
        <w:r w:rsidR="00116F91">
          <w:rPr>
            <w:noProof/>
          </w:rPr>
          <w:t>7</w:t>
        </w:r>
      </w:fldSimple>
      <w:bookmarkEnd w:id="17"/>
      <w:bookmarkEnd w:id="18"/>
      <w:r>
        <w:t xml:space="preserve">: </w:t>
      </w:r>
      <w:r w:rsidRPr="008837C4">
        <w:t>Tasmania generation and bidding patterns</w:t>
      </w:r>
    </w:p>
    <w:p w:rsidR="00181C46" w:rsidRPr="00181C46" w:rsidRDefault="0071735A" w:rsidP="00181C46">
      <w:r w:rsidRPr="0071735A">
        <w:rPr>
          <w:noProof/>
          <w:lang w:eastAsia="en-AU"/>
        </w:rPr>
        <w:drawing>
          <wp:inline distT="0" distB="0" distL="0" distR="0" wp14:anchorId="3750625E" wp14:editId="21DA8100">
            <wp:extent cx="5731510" cy="4114813"/>
            <wp:effectExtent l="0" t="0" r="2540" b="0"/>
            <wp:docPr id="15" name="Picture 15"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10;" title="Figure 7: Tasman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4813"/>
                    </a:xfrm>
                    <a:prstGeom prst="rect">
                      <a:avLst/>
                    </a:prstGeom>
                    <a:noFill/>
                    <a:ln>
                      <a:noFill/>
                    </a:ln>
                  </pic:spPr>
                </pic:pic>
              </a:graphicData>
            </a:graphic>
          </wp:inline>
        </w:drawing>
      </w:r>
    </w:p>
    <w:p w:rsidR="00275002" w:rsidRPr="0031019A" w:rsidRDefault="00275002" w:rsidP="00914A87">
      <w:pPr>
        <w:pStyle w:val="AERHeading1"/>
      </w:pPr>
      <w:r w:rsidRPr="0031019A">
        <w:lastRenderedPageBreak/>
        <w:t>Frequency control ancillary services markets</w:t>
      </w:r>
    </w:p>
    <w:p w:rsidR="00275002" w:rsidRPr="00215E19" w:rsidRDefault="00275002" w:rsidP="00215E19">
      <w:pPr>
        <w:pStyle w:val="AERbodytext"/>
        <w:spacing w:before="120" w:after="120"/>
        <w:rPr>
          <w:bCs/>
          <w:lang w:eastAsia="en-AU"/>
        </w:rPr>
      </w:pPr>
      <w:r w:rsidRPr="00215E19">
        <w:rPr>
          <w:bCs/>
          <w:lang w:eastAsia="en-AU"/>
        </w:rPr>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215E19" w:rsidRDefault="00275002" w:rsidP="00215E19">
      <w:pPr>
        <w:pStyle w:val="AERbodytext"/>
        <w:spacing w:before="120" w:after="120"/>
        <w:rPr>
          <w:bCs/>
          <w:lang w:eastAsia="en-AU"/>
        </w:rPr>
      </w:pPr>
      <w:r w:rsidRPr="00215E19">
        <w:rPr>
          <w:bCs/>
          <w:lang w:eastAsia="en-AU"/>
        </w:rPr>
        <w:t>The Electricity Rules stipulate that generators pay for raise contingency services and customers pay for lower contingency services. Regulation services are paid for on a “causer pays” basis determined every four weeks by AEMO.</w:t>
      </w:r>
    </w:p>
    <w:p w:rsidR="00EE46CE" w:rsidRPr="00215E19" w:rsidRDefault="00B62BB5" w:rsidP="00215E19">
      <w:pPr>
        <w:pStyle w:val="AERbodytext"/>
        <w:spacing w:before="120" w:after="120"/>
        <w:rPr>
          <w:bCs/>
          <w:lang w:eastAsia="en-AU"/>
        </w:rPr>
      </w:pPr>
      <w:bookmarkStart w:id="19" w:name="_Ref410383413"/>
      <w:r w:rsidRPr="00B62BB5">
        <w:rPr>
          <w:bCs/>
          <w:lang w:eastAsia="en-AU"/>
        </w:rPr>
        <w:t>The total cost of FCAS on the</w:t>
      </w:r>
      <w:r w:rsidR="00AD3D69">
        <w:rPr>
          <w:bCs/>
          <w:lang w:eastAsia="en-AU"/>
        </w:rPr>
        <w:t xml:space="preserve"> mainland for the week was $</w:t>
      </w:r>
      <w:r w:rsidR="00000BFE">
        <w:rPr>
          <w:bCs/>
          <w:lang w:eastAsia="en-AU"/>
        </w:rPr>
        <w:t>3 673</w:t>
      </w:r>
      <w:r w:rsidR="00AD3D69">
        <w:rPr>
          <w:bCs/>
          <w:lang w:eastAsia="en-AU"/>
        </w:rPr>
        <w:t xml:space="preserve"> 5</w:t>
      </w:r>
      <w:r w:rsidRPr="00B62BB5">
        <w:rPr>
          <w:bCs/>
          <w:lang w:eastAsia="en-AU"/>
        </w:rPr>
        <w:t xml:space="preserve">00 or </w:t>
      </w:r>
      <w:r w:rsidR="00000BFE">
        <w:rPr>
          <w:bCs/>
          <w:lang w:eastAsia="en-AU"/>
        </w:rPr>
        <w:t xml:space="preserve">around </w:t>
      </w:r>
      <w:r w:rsidR="00E115DE">
        <w:rPr>
          <w:bCs/>
          <w:lang w:eastAsia="en-AU"/>
        </w:rPr>
        <w:t>3</w:t>
      </w:r>
      <w:r w:rsidRPr="00B62BB5">
        <w:rPr>
          <w:bCs/>
          <w:lang w:eastAsia="en-AU"/>
        </w:rPr>
        <w:t xml:space="preserve"> per cent of energy turnover on the mainland.</w:t>
      </w:r>
    </w:p>
    <w:p w:rsidR="00411897" w:rsidRPr="00215E19" w:rsidRDefault="00B62BB5" w:rsidP="00215E19">
      <w:pPr>
        <w:pStyle w:val="AERbodytext"/>
        <w:spacing w:before="120" w:after="120"/>
        <w:rPr>
          <w:bCs/>
          <w:lang w:eastAsia="en-AU"/>
        </w:rPr>
      </w:pPr>
      <w:r w:rsidRPr="00B62BB5">
        <w:rPr>
          <w:bCs/>
          <w:lang w:eastAsia="en-AU"/>
        </w:rPr>
        <w:t>The total cost of FCAS i</w:t>
      </w:r>
      <w:r w:rsidR="00AD3D69">
        <w:rPr>
          <w:bCs/>
          <w:lang w:eastAsia="en-AU"/>
        </w:rPr>
        <w:t>n Tasmania for the week was $</w:t>
      </w:r>
      <w:r w:rsidR="00000BFE">
        <w:rPr>
          <w:bCs/>
          <w:lang w:eastAsia="en-AU"/>
        </w:rPr>
        <w:t>177</w:t>
      </w:r>
      <w:r w:rsidR="00AD3D69">
        <w:rPr>
          <w:bCs/>
          <w:lang w:eastAsia="en-AU"/>
        </w:rPr>
        <w:t xml:space="preserve"> </w:t>
      </w:r>
      <w:r w:rsidR="00000BFE">
        <w:rPr>
          <w:bCs/>
          <w:lang w:eastAsia="en-AU"/>
        </w:rPr>
        <w:t>5</w:t>
      </w:r>
      <w:r w:rsidRPr="00B62BB5">
        <w:rPr>
          <w:bCs/>
          <w:lang w:eastAsia="en-AU"/>
        </w:rPr>
        <w:t xml:space="preserve">00 or </w:t>
      </w:r>
      <w:r w:rsidR="00E115DE">
        <w:rPr>
          <w:bCs/>
          <w:lang w:eastAsia="en-AU"/>
        </w:rPr>
        <w:t>around</w:t>
      </w:r>
      <w:r w:rsidR="00AD3D69">
        <w:rPr>
          <w:bCs/>
          <w:lang w:eastAsia="en-AU"/>
        </w:rPr>
        <w:t xml:space="preserve"> </w:t>
      </w:r>
      <w:r w:rsidR="00000BFE">
        <w:rPr>
          <w:bCs/>
          <w:lang w:eastAsia="en-AU"/>
        </w:rPr>
        <w:t>1.</w:t>
      </w:r>
      <w:r w:rsidR="00E115DE">
        <w:rPr>
          <w:bCs/>
          <w:lang w:eastAsia="en-AU"/>
        </w:rPr>
        <w:t>5</w:t>
      </w:r>
      <w:r w:rsidRPr="00B62BB5">
        <w:rPr>
          <w:bCs/>
          <w:lang w:eastAsia="en-AU"/>
        </w:rPr>
        <w:t xml:space="preserve"> per cent of energy turnover in Tasmania.</w:t>
      </w:r>
    </w:p>
    <w:p w:rsidR="00F3590E" w:rsidRPr="00215E19" w:rsidRDefault="00F3590E"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_Ref418082853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116F91" w:rsidRPr="00116F91">
        <w:rPr>
          <w:bCs/>
          <w:lang w:eastAsia="en-AU"/>
        </w:rPr>
        <w:t>Figure 8</w:t>
      </w:r>
      <w:r w:rsidRPr="00215E19">
        <w:rPr>
          <w:bCs/>
          <w:lang w:eastAsia="en-AU"/>
        </w:rPr>
        <w:fldChar w:fldCharType="end"/>
      </w:r>
      <w:r w:rsidRPr="00215E19">
        <w:rPr>
          <w:bCs/>
          <w:lang w:eastAsia="en-AU"/>
        </w:rPr>
        <w:t xml:space="preserve"> shows the daily breakdown of cost for each FCAS for the NEM, as well as the average cost since the beginning of the previous financial year. </w:t>
      </w:r>
    </w:p>
    <w:p w:rsidR="00275002" w:rsidRDefault="00275002" w:rsidP="000E2946">
      <w:pPr>
        <w:pStyle w:val="Caption"/>
      </w:pPr>
      <w:bookmarkStart w:id="20" w:name="_Ref418082853"/>
      <w:r>
        <w:t xml:space="preserve">Figure </w:t>
      </w:r>
      <w:fldSimple w:instr=" SEQ Figure \* ARABIC ">
        <w:r w:rsidR="00116F91">
          <w:rPr>
            <w:noProof/>
          </w:rPr>
          <w:t>8</w:t>
        </w:r>
      </w:fldSimple>
      <w:bookmarkEnd w:id="19"/>
      <w:bookmarkEnd w:id="20"/>
      <w:r w:rsidRPr="007707C6">
        <w:t>: Daily frequency control ancillary service cost</w:t>
      </w:r>
    </w:p>
    <w:p w:rsidR="00444A48" w:rsidRPr="00444A48" w:rsidRDefault="00EB456D" w:rsidP="00444A48">
      <w:r w:rsidRPr="00EB456D">
        <w:rPr>
          <w:noProof/>
          <w:lang w:eastAsia="en-AU"/>
        </w:rPr>
        <w:drawing>
          <wp:inline distT="0" distB="0" distL="0" distR="0" wp14:anchorId="7A62BACA" wp14:editId="38A4C9A6">
            <wp:extent cx="5731510" cy="2891075"/>
            <wp:effectExtent l="0" t="0" r="2540" b="5080"/>
            <wp:docPr id="11" name="Picture 11" descr="&quot;Figure 8 shows the daily breakdown of cost for each FCAS for the NEM, as well as the average cost since the beginning of the previous financial year. Should you require a description of the data for the week under review, please email us at  AERInquiry@aer.gov.au.&quot;&#10;" title="Figure 8: Daily frequency control ancillary service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1075"/>
                    </a:xfrm>
                    <a:prstGeom prst="rect">
                      <a:avLst/>
                    </a:prstGeom>
                    <a:noFill/>
                    <a:ln>
                      <a:noFill/>
                    </a:ln>
                  </pic:spPr>
                </pic:pic>
              </a:graphicData>
            </a:graphic>
          </wp:inline>
        </w:drawing>
      </w:r>
    </w:p>
    <w:p w:rsidR="004A1184" w:rsidRPr="00565239" w:rsidRDefault="00E96EFF" w:rsidP="000738F4">
      <w:pPr>
        <w:jc w:val="both"/>
      </w:pPr>
      <w:r w:rsidRPr="00565239">
        <w:t>From</w:t>
      </w:r>
      <w:r w:rsidR="004A1184" w:rsidRPr="00565239">
        <w:t xml:space="preserve"> Sunday 11</w:t>
      </w:r>
      <w:r w:rsidR="00BE7DBC" w:rsidRPr="00565239">
        <w:t> October,</w:t>
      </w:r>
      <w:r w:rsidR="00057973" w:rsidRPr="00565239">
        <w:t xml:space="preserve"> local raise and lower regulation services in South Australia increased to 35 </w:t>
      </w:r>
      <w:r w:rsidR="00B35937" w:rsidRPr="00565239">
        <w:t>MW</w:t>
      </w:r>
      <w:r w:rsidR="001D7698" w:rsidRPr="00565239">
        <w:t xml:space="preserve"> for the duration of network outages needed for the Heywood upgrade</w:t>
      </w:r>
      <w:r w:rsidR="004A1184" w:rsidRPr="00565239">
        <w:t>, which continued this week</w:t>
      </w:r>
      <w:r w:rsidR="00B35937" w:rsidRPr="00565239">
        <w:t>.</w:t>
      </w:r>
      <w:r w:rsidR="00C04914" w:rsidRPr="00565239">
        <w:t xml:space="preserve"> </w:t>
      </w:r>
    </w:p>
    <w:p w:rsidR="00D1516F" w:rsidRDefault="00C04914" w:rsidP="00383C6B">
      <w:pPr>
        <w:jc w:val="both"/>
      </w:pPr>
      <w:r w:rsidRPr="00565239">
        <w:t>The continued local raise and lower regulation services requirements for South Australia resulted in prices for th</w:t>
      </w:r>
      <w:r w:rsidR="00D1516F">
        <w:t>e</w:t>
      </w:r>
      <w:r w:rsidRPr="00565239">
        <w:t xml:space="preserve">se </w:t>
      </w:r>
      <w:r w:rsidR="00D1516F">
        <w:t xml:space="preserve">services </w:t>
      </w:r>
      <w:r w:rsidRPr="00565239">
        <w:t xml:space="preserve">at </w:t>
      </w:r>
      <w:r w:rsidR="00D1516F">
        <w:t xml:space="preserve">around </w:t>
      </w:r>
      <w:r w:rsidRPr="00565239">
        <w:t>$30</w:t>
      </w:r>
      <w:r w:rsidR="003C0710" w:rsidRPr="00565239">
        <w:t>0</w:t>
      </w:r>
      <w:r w:rsidR="0056783F" w:rsidRPr="00565239">
        <w:t xml:space="preserve">/MW </w:t>
      </w:r>
      <w:r w:rsidR="009C4FB9">
        <w:t>for a majority of the week</w:t>
      </w:r>
      <w:r w:rsidR="0056783F" w:rsidRPr="00565239">
        <w:t xml:space="preserve">. </w:t>
      </w:r>
      <w:r w:rsidR="009C4FB9">
        <w:t xml:space="preserve">There </w:t>
      </w:r>
      <w:r w:rsidR="009C4FB9">
        <w:lastRenderedPageBreak/>
        <w:t>were a few occasions where prices increased to</w:t>
      </w:r>
      <w:r w:rsidR="0012092C">
        <w:t xml:space="preserve"> around $1000/MW or higher in both regulation services as a result of </w:t>
      </w:r>
      <w:r w:rsidR="0012092C" w:rsidRPr="00565239">
        <w:t>the interaction between the energy and FCAS markets</w:t>
      </w:r>
      <w:r w:rsidR="00D1516F">
        <w:t>.</w:t>
      </w:r>
    </w:p>
    <w:p w:rsidR="00C04914" w:rsidRDefault="000E5B55" w:rsidP="00383C6B">
      <w:pPr>
        <w:jc w:val="both"/>
      </w:pPr>
      <w:r w:rsidRPr="00565239">
        <w:t>Saturday 24 October</w:t>
      </w:r>
      <w:r w:rsidR="0056783F" w:rsidRPr="00565239">
        <w:t>, local raise and lower regulation services increased to $800/</w:t>
      </w:r>
      <w:r w:rsidR="00D1516F">
        <w:t>MW as a</w:t>
      </w:r>
      <w:r w:rsidR="00383C6B" w:rsidRPr="00565239">
        <w:t xml:space="preserve"> result of a rebid by GDF </w:t>
      </w:r>
      <w:r w:rsidR="005C53C0" w:rsidRPr="00565239">
        <w:t>Suez</w:t>
      </w:r>
      <w:r w:rsidR="00383C6B" w:rsidRPr="00565239">
        <w:t xml:space="preserve"> at Pelican Point which moved 10</w:t>
      </w:r>
      <w:r w:rsidR="005C53C0">
        <w:t> </w:t>
      </w:r>
      <w:r w:rsidR="00471992">
        <w:t>MW of</w:t>
      </w:r>
      <w:r w:rsidR="00383C6B" w:rsidRPr="00565239">
        <w:t xml:space="preserve"> regulat</w:t>
      </w:r>
      <w:r w:rsidR="005C53C0">
        <w:t>ion services from $300/MW to $6</w:t>
      </w:r>
      <w:r w:rsidR="00383C6B" w:rsidRPr="00565239">
        <w:t>499/MW</w:t>
      </w:r>
      <w:r w:rsidR="005C53C0">
        <w:t xml:space="preserve">. The reason </w:t>
      </w:r>
      <w:r w:rsidR="00D1516F">
        <w:t>given</w:t>
      </w:r>
      <w:r w:rsidR="005C53C0">
        <w:t xml:space="preserve"> was “</w:t>
      </w:r>
      <w:r w:rsidR="00383C6B" w:rsidRPr="00565239">
        <w:t xml:space="preserve">1243a notice 50088 lor2-avoid </w:t>
      </w:r>
      <w:proofErr w:type="spellStart"/>
      <w:r w:rsidR="00383C6B" w:rsidRPr="00565239">
        <w:t>un</w:t>
      </w:r>
      <w:r w:rsidR="005C53C0">
        <w:t>eco</w:t>
      </w:r>
      <w:proofErr w:type="spellEnd"/>
      <w:r w:rsidR="005C53C0">
        <w:t xml:space="preserve"> dispatch energy/</w:t>
      </w:r>
      <w:proofErr w:type="spellStart"/>
      <w:r w:rsidR="005C53C0">
        <w:t>fcas</w:t>
      </w:r>
      <w:proofErr w:type="spellEnd"/>
      <w:r w:rsidR="005C53C0">
        <w:t xml:space="preserve"> opt </w:t>
      </w:r>
      <w:proofErr w:type="spellStart"/>
      <w:proofErr w:type="gramStart"/>
      <w:r w:rsidR="005C53C0">
        <w:t>sl</w:t>
      </w:r>
      <w:proofErr w:type="spellEnd"/>
      <w:proofErr w:type="gramEnd"/>
      <w:r w:rsidR="005C53C0">
        <w:t>”</w:t>
      </w:r>
      <w:r w:rsidR="00383C6B" w:rsidRPr="00565239">
        <w:t xml:space="preserve">. </w:t>
      </w:r>
    </w:p>
    <w:p w:rsidR="00EC7EB1" w:rsidRDefault="00565239" w:rsidP="000738F4">
      <w:pPr>
        <w:jc w:val="both"/>
      </w:pPr>
      <w:r w:rsidRPr="00565239">
        <w:t>During the week</w:t>
      </w:r>
      <w:r w:rsidR="00EC7EB1" w:rsidRPr="00565239">
        <w:t>,</w:t>
      </w:r>
      <w:r w:rsidR="008F2DE1" w:rsidRPr="00565239">
        <w:t xml:space="preserve"> the price</w:t>
      </w:r>
      <w:r w:rsidR="00C87867" w:rsidRPr="00565239">
        <w:t xml:space="preserve"> for raise 6 second ser</w:t>
      </w:r>
      <w:r w:rsidR="008F2DE1" w:rsidRPr="00565239">
        <w:t>vices in Tasmania</w:t>
      </w:r>
      <w:r w:rsidR="00165C87" w:rsidRPr="00565239">
        <w:t xml:space="preserve"> reached $</w:t>
      </w:r>
      <w:r w:rsidR="008F2DE1" w:rsidRPr="00565239">
        <w:t>4302</w:t>
      </w:r>
      <w:r w:rsidR="00165C87" w:rsidRPr="00565239">
        <w:t xml:space="preserve">/MW at </w:t>
      </w:r>
      <w:r w:rsidR="008F2DE1" w:rsidRPr="00565239">
        <w:t>12.05</w:t>
      </w:r>
      <w:r w:rsidR="00C87867" w:rsidRPr="00565239">
        <w:t> pm</w:t>
      </w:r>
      <w:r w:rsidR="008F2DE1" w:rsidRPr="00565239">
        <w:t xml:space="preserve"> and 12.15</w:t>
      </w:r>
      <w:r w:rsidR="005C53C0">
        <w:t> </w:t>
      </w:r>
      <w:r w:rsidR="008F2DE1" w:rsidRPr="00565239">
        <w:t>pm</w:t>
      </w:r>
      <w:r w:rsidRPr="00565239">
        <w:t xml:space="preserve"> on Wednesday 21 October and $1010/MW at 6.50 am on Thursday 22 October</w:t>
      </w:r>
      <w:r w:rsidR="00B70A7F" w:rsidRPr="00565239">
        <w:t>.</w:t>
      </w:r>
      <w:r w:rsidRPr="00565239">
        <w:t xml:space="preserve"> These spikes were caused by system normal constraints binding which manage the raise 6 second FCAS requirements in Tasmania. While these constraints were binding </w:t>
      </w:r>
      <w:proofErr w:type="spellStart"/>
      <w:r w:rsidRPr="00565239">
        <w:t>Basslink</w:t>
      </w:r>
      <w:proofErr w:type="spellEnd"/>
      <w:r w:rsidRPr="00565239">
        <w:t xml:space="preserve"> was unable to transfer FCAS and the region had to source the service locally</w:t>
      </w:r>
      <w:r w:rsidR="000738F4" w:rsidRPr="00565239">
        <w:t>.</w:t>
      </w:r>
      <w:r>
        <w:t xml:space="preserve"> </w:t>
      </w:r>
    </w:p>
    <w:bookmarkEnd w:id="0"/>
    <w:bookmarkEnd w:id="1"/>
    <w:bookmarkEnd w:id="2"/>
    <w:bookmarkEnd w:id="3"/>
    <w:bookmarkEnd w:id="4"/>
    <w:bookmarkEnd w:id="5"/>
    <w:p w:rsidR="00275002" w:rsidRPr="0031019A" w:rsidRDefault="00275002" w:rsidP="005F6ADE">
      <w:pPr>
        <w:pStyle w:val="Heading2"/>
      </w:pPr>
      <w:r w:rsidRPr="0031019A">
        <w:t>Financial markets</w:t>
      </w:r>
    </w:p>
    <w:p w:rsidR="00275002" w:rsidRPr="0031019A" w:rsidRDefault="00275002" w:rsidP="00FC52AC">
      <w:pPr>
        <w:pStyle w:val="AERbodytext"/>
        <w:spacing w:before="120" w:after="120"/>
      </w:pPr>
      <w:r>
        <w:fldChar w:fldCharType="begin"/>
      </w:r>
      <w:r>
        <w:instrText xml:space="preserve"> REF _Ref410386540 \h </w:instrText>
      </w:r>
      <w:r w:rsidR="009A3D22">
        <w:instrText xml:space="preserve"> \* MERGEFORMAT </w:instrText>
      </w:r>
      <w:r>
        <w:fldChar w:fldCharType="separate"/>
      </w:r>
      <w:r w:rsidR="00116F91">
        <w:t>Figure 9</w:t>
      </w:r>
      <w:r>
        <w:fldChar w:fldCharType="end"/>
      </w:r>
      <w:r>
        <w:t xml:space="preserve"> </w:t>
      </w:r>
      <w:r w:rsidRPr="0031019A">
        <w:t xml:space="preserve">shows for all mainland regions the prices for base contracts (and total traded quantities for the week) for each quarter for the next four financial years. </w:t>
      </w:r>
      <w:r w:rsidR="00CA0ECB">
        <w:t xml:space="preserve"> </w:t>
      </w:r>
    </w:p>
    <w:p w:rsidR="00D73D17" w:rsidRDefault="00275002" w:rsidP="00A64EBB">
      <w:pPr>
        <w:pStyle w:val="Caption"/>
      </w:pPr>
      <w:bookmarkStart w:id="21" w:name="_Ref410386540"/>
      <w:r>
        <w:t xml:space="preserve">Figure </w:t>
      </w:r>
      <w:fldSimple w:instr=" SEQ Figure \* ARABIC ">
        <w:r w:rsidR="00116F91">
          <w:rPr>
            <w:noProof/>
          </w:rPr>
          <w:t>9</w:t>
        </w:r>
      </w:fldSimple>
      <w:bookmarkEnd w:id="21"/>
      <w:r w:rsidR="002515C3">
        <w:t>:</w:t>
      </w:r>
      <w:r>
        <w:t xml:space="preserve"> </w:t>
      </w:r>
      <w:r w:rsidRPr="007A6ACB">
        <w:t>Quarterly base future prices Q</w:t>
      </w:r>
      <w:r w:rsidR="0054173F">
        <w:t>4</w:t>
      </w:r>
      <w:r w:rsidRPr="007A6ACB">
        <w:t xml:space="preserve"> 2015 – Q</w:t>
      </w:r>
      <w:r w:rsidR="00115CCB">
        <w:t>3</w:t>
      </w:r>
      <w:r w:rsidRPr="007A6ACB">
        <w:t xml:space="preserve"> 201</w:t>
      </w:r>
      <w:r w:rsidR="00F87EBA">
        <w:t>9</w:t>
      </w:r>
    </w:p>
    <w:p w:rsidR="00EB456D" w:rsidRPr="00EB456D" w:rsidRDefault="00EB456D" w:rsidP="00EB456D">
      <w:r w:rsidRPr="00EB456D">
        <w:rPr>
          <w:noProof/>
          <w:lang w:eastAsia="en-AU"/>
        </w:rPr>
        <w:drawing>
          <wp:inline distT="0" distB="0" distL="0" distR="0" wp14:anchorId="501DA8C8" wp14:editId="1CE0DD1F">
            <wp:extent cx="5731510" cy="2884155"/>
            <wp:effectExtent l="0" t="0" r="2540" b="0"/>
            <wp:docPr id="12" name="Picture 12" descr="Figure 9 shows for all mainland regions the prices for base contracts (and total traded quantities for the week) for each quarter for the next four financial years." title="Figure 9: Quarterly base future prices Q4 2015 - Q3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4155"/>
                    </a:xfrm>
                    <a:prstGeom prst="rect">
                      <a:avLst/>
                    </a:prstGeom>
                    <a:noFill/>
                    <a:ln>
                      <a:noFill/>
                    </a:ln>
                  </pic:spPr>
                </pic:pic>
              </a:graphicData>
            </a:graphic>
          </wp:inline>
        </w:drawing>
      </w:r>
    </w:p>
    <w:p w:rsidR="00CA0ECB" w:rsidRDefault="00275002" w:rsidP="00626E1A">
      <w:pPr>
        <w:rPr>
          <w:lang w:eastAsia="en-AU"/>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0" w:history="1">
        <w:r w:rsidRPr="00A64EBB">
          <w:rPr>
            <w:sz w:val="16"/>
            <w:szCs w:val="16"/>
          </w:rPr>
          <w:t>ASXEnergy.com.au</w:t>
        </w:r>
      </w:hyperlink>
    </w:p>
    <w:p w:rsidR="00275002" w:rsidRDefault="00275002" w:rsidP="009A3D22">
      <w:pPr>
        <w:jc w:val="both"/>
      </w:pPr>
      <w:r>
        <w:fldChar w:fldCharType="begin"/>
      </w:r>
      <w:r>
        <w:instrText xml:space="preserve"> REF _Ref410380382 \h </w:instrText>
      </w:r>
      <w:r w:rsidR="009A3D22">
        <w:instrText xml:space="preserve"> \* MERGEFORMAT </w:instrText>
      </w:r>
      <w:r>
        <w:fldChar w:fldCharType="separate"/>
      </w:r>
      <w:r w:rsidR="00116F91">
        <w:t xml:space="preserve">Figure </w:t>
      </w:r>
      <w:r w:rsidR="00116F91">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p>
    <w:p w:rsidR="005F69C4" w:rsidRDefault="005F69C4" w:rsidP="009A3D22">
      <w:pPr>
        <w:jc w:val="both"/>
      </w:pPr>
    </w:p>
    <w:p w:rsidR="00275002" w:rsidRDefault="00275002" w:rsidP="004D4A76">
      <w:pPr>
        <w:pStyle w:val="Caption"/>
        <w:spacing w:before="0" w:after="0" w:line="240" w:lineRule="auto"/>
      </w:pPr>
      <w:bookmarkStart w:id="22" w:name="_Ref410380382"/>
      <w:r>
        <w:lastRenderedPageBreak/>
        <w:t xml:space="preserve">Figure </w:t>
      </w:r>
      <w:fldSimple w:instr=" SEQ Figure \* ARABIC ">
        <w:r w:rsidR="00116F91">
          <w:rPr>
            <w:noProof/>
          </w:rPr>
          <w:t>10</w:t>
        </w:r>
      </w:fldSimple>
      <w:bookmarkEnd w:id="22"/>
      <w:r w:rsidR="002515C3">
        <w:t>:</w:t>
      </w:r>
      <w:r w:rsidRPr="00DF093A">
        <w:t xml:space="preserve"> Price of Q1 201</w:t>
      </w:r>
      <w:r w:rsidR="00F87EBA">
        <w:t>6</w:t>
      </w:r>
      <w:r w:rsidRPr="00DF093A">
        <w:t xml:space="preserve"> base contracts over the past 10 weeks (and the past 2 years)</w:t>
      </w:r>
    </w:p>
    <w:p w:rsidR="00275002" w:rsidRPr="0031019A" w:rsidRDefault="00600B2D" w:rsidP="004D4A76">
      <w:pPr>
        <w:pStyle w:val="Caption"/>
        <w:spacing w:before="0" w:after="0" w:line="240" w:lineRule="auto"/>
      </w:pPr>
      <w:r w:rsidRPr="00600B2D">
        <w:rPr>
          <w:noProof/>
          <w:lang w:eastAsia="en-AU"/>
        </w:rPr>
        <w:drawing>
          <wp:inline distT="0" distB="0" distL="0" distR="0" wp14:anchorId="02820D55" wp14:editId="52462768">
            <wp:extent cx="5731510" cy="2898110"/>
            <wp:effectExtent l="0" t="0" r="2540" b="0"/>
            <wp:docPr id="13" name="Picture 13"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title="Figure 10: Price of Q1 2016 base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98110"/>
                    </a:xfrm>
                    <a:prstGeom prst="rect">
                      <a:avLst/>
                    </a:prstGeom>
                    <a:noFill/>
                    <a:ln>
                      <a:noFill/>
                    </a:ln>
                  </pic:spPr>
                </pic:pic>
              </a:graphicData>
            </a:graphic>
          </wp:inline>
        </w:drawing>
      </w:r>
    </w:p>
    <w:p w:rsidR="00275002" w:rsidRPr="0031019A" w:rsidRDefault="00275002" w:rsidP="00544C6F">
      <w:pPr>
        <w:pStyle w:val="Source"/>
        <w:spacing w:before="120" w:after="0" w:line="240" w:lineRule="auto"/>
      </w:pPr>
      <w:r w:rsidRPr="0031019A">
        <w:t>Note</w:t>
      </w:r>
      <w:r w:rsidR="00F72F41">
        <w:t>.</w:t>
      </w:r>
      <w:r w:rsidRPr="0031019A">
        <w:t xml:space="preserve"> Base contract prices are shown for each of the current week and the previous 9 weeks, with average prices shown for yearly periods 1 and 2 years prior to the current year</w:t>
      </w:r>
      <w:r w:rsidR="00D615F9">
        <w:t>.</w:t>
      </w:r>
    </w:p>
    <w:p w:rsidR="00275002" w:rsidRPr="002A7439" w:rsidRDefault="00275002" w:rsidP="00544C6F">
      <w:pPr>
        <w:pStyle w:val="Source"/>
        <w:spacing w:before="120" w:after="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3" w:history="1">
        <w:r w:rsidRPr="0031019A">
          <w:rPr>
            <w:rStyle w:val="Hyperlink"/>
          </w:rPr>
          <w:t>Performance of the Energy Sector</w:t>
        </w:r>
      </w:hyperlink>
      <w:r w:rsidR="00D615F9">
        <w:t xml:space="preserve"> s</w:t>
      </w:r>
      <w:r w:rsidRPr="0031019A">
        <w:t>ection of our website.</w:t>
      </w:r>
    </w:p>
    <w:p w:rsidR="004D4A76" w:rsidRDefault="008C094A" w:rsidP="004D4A76">
      <w:pPr>
        <w:spacing w:before="120" w:after="120"/>
        <w:jc w:val="both"/>
      </w:pPr>
      <w:r>
        <w:fldChar w:fldCharType="begin"/>
      </w:r>
      <w:r>
        <w:instrText xml:space="preserve"> REF _Ref428276233 \h </w:instrText>
      </w:r>
      <w:r>
        <w:fldChar w:fldCharType="separate"/>
      </w:r>
      <w:r w:rsidR="00116F91">
        <w:t xml:space="preserve">Figure </w:t>
      </w:r>
      <w:r w:rsidR="00116F91">
        <w:rPr>
          <w:noProof/>
        </w:rPr>
        <w:t>11</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CB0FA5">
      <w:pPr>
        <w:pStyle w:val="Caption"/>
        <w:spacing w:before="0" w:after="0" w:line="240" w:lineRule="auto"/>
      </w:pPr>
      <w:bookmarkStart w:id="23" w:name="_Ref428276233"/>
      <w:bookmarkStart w:id="24" w:name="_Ref410744936"/>
      <w:r>
        <w:t xml:space="preserve">Figure </w:t>
      </w:r>
      <w:fldSimple w:instr=" SEQ Figure \* ARABIC ">
        <w:r w:rsidR="00116F91">
          <w:rPr>
            <w:noProof/>
          </w:rPr>
          <w:t>11</w:t>
        </w:r>
      </w:fldSimple>
      <w:bookmarkEnd w:id="23"/>
      <w:r w:rsidR="002515C3">
        <w:t>:</w:t>
      </w:r>
      <w:r w:rsidRPr="0074419D">
        <w:t xml:space="preserve"> Price of Q1 201</w:t>
      </w:r>
      <w:r w:rsidR="00F87EBA">
        <w:t>6</w:t>
      </w:r>
      <w:r w:rsidRPr="0074419D">
        <w:t xml:space="preserve"> cap contracts over the past 10 weeks (and the past 2 years)</w:t>
      </w:r>
      <w:bookmarkEnd w:id="24"/>
    </w:p>
    <w:p w:rsidR="00275002" w:rsidRPr="0031019A" w:rsidRDefault="00600B2D" w:rsidP="00CB0FA5">
      <w:pPr>
        <w:spacing w:before="0" w:line="240" w:lineRule="auto"/>
      </w:pPr>
      <w:r w:rsidRPr="00600B2D">
        <w:rPr>
          <w:noProof/>
          <w:lang w:eastAsia="en-AU"/>
        </w:rPr>
        <w:drawing>
          <wp:inline distT="0" distB="0" distL="0" distR="0" wp14:anchorId="08D7195C" wp14:editId="3EF49A84">
            <wp:extent cx="5731510" cy="2872627"/>
            <wp:effectExtent l="0" t="0" r="2540" b="4445"/>
            <wp:docPr id="14" name="Picture 14" descr="Figure 11 shows how the price for each regional Quarter 1 2016 cap contract has changed over the last 10 weeks (as well as the total number of trades each week). The closing quarter 1 2014 and quarter 1 2015 prices are also shown." title="Figure 11: Price of Q1 2016 cap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2627"/>
                    </a:xfrm>
                    <a:prstGeom prst="rect">
                      <a:avLst/>
                    </a:prstGeom>
                    <a:noFill/>
                    <a:ln>
                      <a:noFill/>
                    </a:ln>
                  </pic:spPr>
                </pic:pic>
              </a:graphicData>
            </a:graphic>
          </wp:inline>
        </w:drawing>
      </w:r>
    </w:p>
    <w:p w:rsidR="00275002" w:rsidRPr="002A7439" w:rsidRDefault="00275002" w:rsidP="00CB0FA5">
      <w:pPr>
        <w:pStyle w:val="Source"/>
        <w:spacing w:before="0" w:after="0" w:line="240" w:lineRule="auto"/>
      </w:pPr>
      <w:proofErr w:type="gramStart"/>
      <w:r w:rsidRPr="002A7439">
        <w:t>Source</w:t>
      </w:r>
      <w:r w:rsidR="00F72F41">
        <w:t>.</w:t>
      </w:r>
      <w:proofErr w:type="gramEnd"/>
      <w:r w:rsidRPr="002A7439">
        <w:t xml:space="preserve"> </w:t>
      </w:r>
      <w:hyperlink r:id="rId25"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r w:rsidR="005B0EF5">
        <w:br/>
      </w:r>
      <w:r w:rsidR="005F69C4">
        <w:t>November</w:t>
      </w:r>
      <w:r w:rsidR="004D5447" w:rsidRPr="0031019A">
        <w:t xml:space="preserve"> </w:t>
      </w:r>
      <w:r w:rsidRPr="0031019A">
        <w:t>2015</w:t>
      </w:r>
    </w:p>
    <w:sectPr w:rsidR="00275002" w:rsidRPr="0031019A" w:rsidSect="004D4A76">
      <w:footerReference w:type="even" r:id="rId26"/>
      <w:footerReference w:type="default" r:id="rId27"/>
      <w:footerReference w:type="first" r:id="rId28"/>
      <w:pgSz w:w="11906" w:h="16838"/>
      <w:pgMar w:top="993" w:right="1440" w:bottom="993"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1E" w:rsidRDefault="00C6191E" w:rsidP="004B4412">
      <w:pPr>
        <w:spacing w:before="0"/>
      </w:pPr>
      <w:r>
        <w:separator/>
      </w:r>
    </w:p>
  </w:endnote>
  <w:endnote w:type="continuationSeparator" w:id="0">
    <w:p w:rsidR="00C6191E" w:rsidRDefault="00C6191E"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1E" w:rsidRPr="00A91A9E" w:rsidRDefault="00C6191E"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6191E" w:rsidRDefault="00C6191E"/>
  <w:p w:rsidR="00C6191E" w:rsidRDefault="00C619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1E" w:rsidRPr="00A94D89" w:rsidRDefault="00C6191E"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116F91">
      <w:rPr>
        <w:rFonts w:cs="Arial"/>
        <w:i/>
        <w:noProof/>
      </w:rPr>
      <w:t>8</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1E" w:rsidRPr="00A94D89" w:rsidRDefault="00C6191E"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116F91">
      <w:rPr>
        <w:rFonts w:cs="Arial"/>
        <w:i/>
        <w:noProof/>
      </w:rPr>
      <w:t>1</w:t>
    </w:r>
    <w:r w:rsidRPr="001F1B78">
      <w:rPr>
        <w:rFonts w:cs="Arial"/>
        <w:i/>
        <w:noProof/>
      </w:rPr>
      <w:fldChar w:fldCharType="end"/>
    </w:r>
    <w:r w:rsidRPr="00F52F00">
      <w:rPr>
        <w:rFonts w:cs="Arial"/>
        <w:i/>
      </w:rPr>
      <w:tab/>
      <w:t xml:space="preserve">AER reference: 39220 – </w:t>
    </w:r>
    <w:r w:rsidR="0054173F">
      <w:rPr>
        <w:rFonts w:cs="Arial"/>
        <w:i/>
        <w:szCs w:val="18"/>
      </w:rPr>
      <w:t>D15/1</w:t>
    </w:r>
    <w:r w:rsidR="00EA1DEE">
      <w:rPr>
        <w:rFonts w:cs="Arial"/>
        <w:i/>
        <w:szCs w:val="18"/>
      </w:rPr>
      <w:t>65726</w:t>
    </w:r>
  </w:p>
  <w:p w:rsidR="00C6191E" w:rsidRDefault="00C619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1E" w:rsidRDefault="00C6191E" w:rsidP="004B4412">
      <w:pPr>
        <w:spacing w:before="0"/>
      </w:pPr>
      <w:r>
        <w:separator/>
      </w:r>
    </w:p>
  </w:footnote>
  <w:footnote w:type="continuationSeparator" w:id="0">
    <w:p w:rsidR="00C6191E" w:rsidRDefault="00C6191E"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275414"/>
    <w:multiLevelType w:val="hybridMultilevel"/>
    <w:tmpl w:val="A5B46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3">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9">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1">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5B1A409A"/>
    <w:multiLevelType w:val="hybridMultilevel"/>
    <w:tmpl w:val="3D94C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2">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59094C"/>
    <w:multiLevelType w:val="hybridMultilevel"/>
    <w:tmpl w:val="94BA2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20"/>
  </w:num>
  <w:num w:numId="3">
    <w:abstractNumId w:val="15"/>
  </w:num>
  <w:num w:numId="4">
    <w:abstractNumId w:val="42"/>
  </w:num>
  <w:num w:numId="5">
    <w:abstractNumId w:val="14"/>
  </w:num>
  <w:num w:numId="6">
    <w:abstractNumId w:val="29"/>
  </w:num>
  <w:num w:numId="7">
    <w:abstractNumId w:val="4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1"/>
  </w:num>
  <w:num w:numId="18">
    <w:abstractNumId w:val="30"/>
  </w:num>
  <w:num w:numId="19">
    <w:abstractNumId w:val="20"/>
    <w:lvlOverride w:ilvl="0">
      <w:startOverride w:val="1"/>
    </w:lvlOverride>
  </w:num>
  <w:num w:numId="20">
    <w:abstractNumId w:val="26"/>
  </w:num>
  <w:num w:numId="21">
    <w:abstractNumId w:val="28"/>
  </w:num>
  <w:num w:numId="22">
    <w:abstractNumId w:val="22"/>
  </w:num>
  <w:num w:numId="23">
    <w:abstractNumId w:val="40"/>
  </w:num>
  <w:num w:numId="24">
    <w:abstractNumId w:val="45"/>
  </w:num>
  <w:num w:numId="25">
    <w:abstractNumId w:val="37"/>
  </w:num>
  <w:num w:numId="26">
    <w:abstractNumId w:val="17"/>
  </w:num>
  <w:num w:numId="27">
    <w:abstractNumId w:val="11"/>
  </w:num>
  <w:num w:numId="28">
    <w:abstractNumId w:val="27"/>
  </w:num>
  <w:num w:numId="29">
    <w:abstractNumId w:val="13"/>
  </w:num>
  <w:num w:numId="30">
    <w:abstractNumId w:val="31"/>
  </w:num>
  <w:num w:numId="31">
    <w:abstractNumId w:val="10"/>
  </w:num>
  <w:num w:numId="32">
    <w:abstractNumId w:val="21"/>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3"/>
  </w:num>
  <w:num w:numId="37">
    <w:abstractNumId w:val="32"/>
  </w:num>
  <w:num w:numId="38">
    <w:abstractNumId w:val="12"/>
  </w:num>
  <w:num w:numId="39">
    <w:abstractNumId w:val="25"/>
  </w:num>
  <w:num w:numId="40">
    <w:abstractNumId w:val="33"/>
  </w:num>
  <w:num w:numId="41">
    <w:abstractNumId w:val="44"/>
  </w:num>
  <w:num w:numId="42">
    <w:abstractNumId w:val="38"/>
  </w:num>
  <w:num w:numId="43">
    <w:abstractNumId w:val="19"/>
  </w:num>
  <w:num w:numId="44">
    <w:abstractNumId w:val="9"/>
  </w:num>
  <w:num w:numId="45">
    <w:abstractNumId w:val="24"/>
  </w:num>
  <w:num w:numId="46">
    <w:abstractNumId w:val="16"/>
  </w:num>
  <w:num w:numId="47">
    <w:abstractNumId w:val="18"/>
  </w:num>
  <w:num w:numId="48">
    <w:abstractNumId w:val="3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ghuang\Desktop\20151018 - 20151024 electricity weekly report.DOCX"/>
  </w:docVars>
  <w:rsids>
    <w:rsidRoot w:val="00275002"/>
    <w:rsid w:val="00000BFE"/>
    <w:rsid w:val="00003169"/>
    <w:rsid w:val="00007624"/>
    <w:rsid w:val="0001415C"/>
    <w:rsid w:val="000147C1"/>
    <w:rsid w:val="00017DD0"/>
    <w:rsid w:val="00021202"/>
    <w:rsid w:val="00022F09"/>
    <w:rsid w:val="000242E7"/>
    <w:rsid w:val="00024369"/>
    <w:rsid w:val="00024C84"/>
    <w:rsid w:val="00030794"/>
    <w:rsid w:val="000316E7"/>
    <w:rsid w:val="00033902"/>
    <w:rsid w:val="0003564D"/>
    <w:rsid w:val="0003578C"/>
    <w:rsid w:val="00040E4C"/>
    <w:rsid w:val="00043FA7"/>
    <w:rsid w:val="000442BA"/>
    <w:rsid w:val="000452BA"/>
    <w:rsid w:val="0005123C"/>
    <w:rsid w:val="00051880"/>
    <w:rsid w:val="000528FD"/>
    <w:rsid w:val="00056949"/>
    <w:rsid w:val="00057973"/>
    <w:rsid w:val="00061CE2"/>
    <w:rsid w:val="00063247"/>
    <w:rsid w:val="00066157"/>
    <w:rsid w:val="00070F9F"/>
    <w:rsid w:val="0007137B"/>
    <w:rsid w:val="000738F4"/>
    <w:rsid w:val="00074A4E"/>
    <w:rsid w:val="000766E2"/>
    <w:rsid w:val="00077616"/>
    <w:rsid w:val="00085663"/>
    <w:rsid w:val="00085EBF"/>
    <w:rsid w:val="00086CF3"/>
    <w:rsid w:val="00087C4A"/>
    <w:rsid w:val="00087CDC"/>
    <w:rsid w:val="00091FB4"/>
    <w:rsid w:val="0009584C"/>
    <w:rsid w:val="000A29ED"/>
    <w:rsid w:val="000A62D6"/>
    <w:rsid w:val="000A6F14"/>
    <w:rsid w:val="000B0311"/>
    <w:rsid w:val="000B3C8A"/>
    <w:rsid w:val="000D122C"/>
    <w:rsid w:val="000D3C77"/>
    <w:rsid w:val="000D68C5"/>
    <w:rsid w:val="000E1819"/>
    <w:rsid w:val="000E1A1B"/>
    <w:rsid w:val="000E2946"/>
    <w:rsid w:val="000E4F81"/>
    <w:rsid w:val="000E54D6"/>
    <w:rsid w:val="000E55C7"/>
    <w:rsid w:val="000E5B55"/>
    <w:rsid w:val="000E6C72"/>
    <w:rsid w:val="000E77BB"/>
    <w:rsid w:val="000E7E24"/>
    <w:rsid w:val="000F1D61"/>
    <w:rsid w:val="000F56F6"/>
    <w:rsid w:val="000F5855"/>
    <w:rsid w:val="000F6FA7"/>
    <w:rsid w:val="00100142"/>
    <w:rsid w:val="001158FE"/>
    <w:rsid w:val="00115CCB"/>
    <w:rsid w:val="00116EB2"/>
    <w:rsid w:val="00116F91"/>
    <w:rsid w:val="0012092C"/>
    <w:rsid w:val="00124609"/>
    <w:rsid w:val="00125F4F"/>
    <w:rsid w:val="00127CAB"/>
    <w:rsid w:val="001337EF"/>
    <w:rsid w:val="00133FC8"/>
    <w:rsid w:val="00136716"/>
    <w:rsid w:val="00136A08"/>
    <w:rsid w:val="001373F1"/>
    <w:rsid w:val="0014511E"/>
    <w:rsid w:val="00145982"/>
    <w:rsid w:val="00151F61"/>
    <w:rsid w:val="0015451B"/>
    <w:rsid w:val="00155113"/>
    <w:rsid w:val="001566F6"/>
    <w:rsid w:val="001573E4"/>
    <w:rsid w:val="00160756"/>
    <w:rsid w:val="00164FB1"/>
    <w:rsid w:val="00165C87"/>
    <w:rsid w:val="001711CC"/>
    <w:rsid w:val="0017232E"/>
    <w:rsid w:val="00173DC1"/>
    <w:rsid w:val="00174102"/>
    <w:rsid w:val="00180157"/>
    <w:rsid w:val="00181C46"/>
    <w:rsid w:val="001832C7"/>
    <w:rsid w:val="00186831"/>
    <w:rsid w:val="00186F77"/>
    <w:rsid w:val="001901A4"/>
    <w:rsid w:val="00191C6F"/>
    <w:rsid w:val="00192441"/>
    <w:rsid w:val="001926A4"/>
    <w:rsid w:val="00193ED7"/>
    <w:rsid w:val="001B0C3B"/>
    <w:rsid w:val="001B45A0"/>
    <w:rsid w:val="001B6C15"/>
    <w:rsid w:val="001C027D"/>
    <w:rsid w:val="001C17B3"/>
    <w:rsid w:val="001C1BC0"/>
    <w:rsid w:val="001C2EE8"/>
    <w:rsid w:val="001D055E"/>
    <w:rsid w:val="001D0CE3"/>
    <w:rsid w:val="001D7698"/>
    <w:rsid w:val="001E01B4"/>
    <w:rsid w:val="001E14C2"/>
    <w:rsid w:val="001E4665"/>
    <w:rsid w:val="001E48B3"/>
    <w:rsid w:val="001E5AEE"/>
    <w:rsid w:val="001F03EF"/>
    <w:rsid w:val="001F0EC9"/>
    <w:rsid w:val="001F1B78"/>
    <w:rsid w:val="001F22EE"/>
    <w:rsid w:val="001F2577"/>
    <w:rsid w:val="001F492E"/>
    <w:rsid w:val="001F6DA3"/>
    <w:rsid w:val="001F7575"/>
    <w:rsid w:val="00201136"/>
    <w:rsid w:val="00203300"/>
    <w:rsid w:val="0020376D"/>
    <w:rsid w:val="0020489F"/>
    <w:rsid w:val="002050F5"/>
    <w:rsid w:val="002072A2"/>
    <w:rsid w:val="0021147E"/>
    <w:rsid w:val="00212D2F"/>
    <w:rsid w:val="00213CF6"/>
    <w:rsid w:val="00214FBA"/>
    <w:rsid w:val="00215E19"/>
    <w:rsid w:val="00216865"/>
    <w:rsid w:val="00224DB9"/>
    <w:rsid w:val="002276F0"/>
    <w:rsid w:val="00227C97"/>
    <w:rsid w:val="00230D26"/>
    <w:rsid w:val="00232A71"/>
    <w:rsid w:val="00242C25"/>
    <w:rsid w:val="002438D9"/>
    <w:rsid w:val="002515C3"/>
    <w:rsid w:val="00251745"/>
    <w:rsid w:val="00251C37"/>
    <w:rsid w:val="00251D74"/>
    <w:rsid w:val="00262F65"/>
    <w:rsid w:val="00263AC0"/>
    <w:rsid w:val="002649D2"/>
    <w:rsid w:val="002649D8"/>
    <w:rsid w:val="00265486"/>
    <w:rsid w:val="0026772D"/>
    <w:rsid w:val="00270A51"/>
    <w:rsid w:val="00275002"/>
    <w:rsid w:val="00275927"/>
    <w:rsid w:val="0028440E"/>
    <w:rsid w:val="00286874"/>
    <w:rsid w:val="0029246F"/>
    <w:rsid w:val="00296B65"/>
    <w:rsid w:val="002A1B5C"/>
    <w:rsid w:val="002A3CF2"/>
    <w:rsid w:val="002A4EF8"/>
    <w:rsid w:val="002A7439"/>
    <w:rsid w:val="002A7DEF"/>
    <w:rsid w:val="002B0DAE"/>
    <w:rsid w:val="002C2278"/>
    <w:rsid w:val="002C581B"/>
    <w:rsid w:val="002C6DD3"/>
    <w:rsid w:val="002D1734"/>
    <w:rsid w:val="002D37FB"/>
    <w:rsid w:val="002D484E"/>
    <w:rsid w:val="002D4A1F"/>
    <w:rsid w:val="002E6254"/>
    <w:rsid w:val="002F02A4"/>
    <w:rsid w:val="002F3D02"/>
    <w:rsid w:val="002F7986"/>
    <w:rsid w:val="003061FA"/>
    <w:rsid w:val="00307F6D"/>
    <w:rsid w:val="003153EB"/>
    <w:rsid w:val="003177A2"/>
    <w:rsid w:val="00321853"/>
    <w:rsid w:val="003243B4"/>
    <w:rsid w:val="003271B5"/>
    <w:rsid w:val="00331264"/>
    <w:rsid w:val="00332F5D"/>
    <w:rsid w:val="00334C8D"/>
    <w:rsid w:val="00336D50"/>
    <w:rsid w:val="003401B9"/>
    <w:rsid w:val="00341169"/>
    <w:rsid w:val="00342870"/>
    <w:rsid w:val="003518B3"/>
    <w:rsid w:val="00352DA8"/>
    <w:rsid w:val="00354887"/>
    <w:rsid w:val="00356E72"/>
    <w:rsid w:val="00366515"/>
    <w:rsid w:val="00371F3A"/>
    <w:rsid w:val="00383C6B"/>
    <w:rsid w:val="003846F1"/>
    <w:rsid w:val="00384A55"/>
    <w:rsid w:val="00384B54"/>
    <w:rsid w:val="00386C86"/>
    <w:rsid w:val="00395B4C"/>
    <w:rsid w:val="003A0810"/>
    <w:rsid w:val="003A3E2D"/>
    <w:rsid w:val="003A41E0"/>
    <w:rsid w:val="003A7DC0"/>
    <w:rsid w:val="003B40ED"/>
    <w:rsid w:val="003B6F90"/>
    <w:rsid w:val="003C0710"/>
    <w:rsid w:val="003C24A9"/>
    <w:rsid w:val="003C2B22"/>
    <w:rsid w:val="003C3C98"/>
    <w:rsid w:val="003C62E9"/>
    <w:rsid w:val="003C7EFA"/>
    <w:rsid w:val="003E1341"/>
    <w:rsid w:val="003E47DC"/>
    <w:rsid w:val="003E78A9"/>
    <w:rsid w:val="003F0289"/>
    <w:rsid w:val="003F54CB"/>
    <w:rsid w:val="003F57F1"/>
    <w:rsid w:val="003F5F74"/>
    <w:rsid w:val="003F75C8"/>
    <w:rsid w:val="00402142"/>
    <w:rsid w:val="00403473"/>
    <w:rsid w:val="00405B42"/>
    <w:rsid w:val="00411897"/>
    <w:rsid w:val="00412176"/>
    <w:rsid w:val="00414488"/>
    <w:rsid w:val="00415788"/>
    <w:rsid w:val="004157C0"/>
    <w:rsid w:val="00416641"/>
    <w:rsid w:val="00424809"/>
    <w:rsid w:val="00440D85"/>
    <w:rsid w:val="00444A48"/>
    <w:rsid w:val="00456C20"/>
    <w:rsid w:val="00462CFF"/>
    <w:rsid w:val="00471992"/>
    <w:rsid w:val="00471E68"/>
    <w:rsid w:val="00480B4B"/>
    <w:rsid w:val="004831F8"/>
    <w:rsid w:val="00485752"/>
    <w:rsid w:val="00485DC4"/>
    <w:rsid w:val="00487C10"/>
    <w:rsid w:val="00492A06"/>
    <w:rsid w:val="00493B02"/>
    <w:rsid w:val="004A1184"/>
    <w:rsid w:val="004B104F"/>
    <w:rsid w:val="004B1708"/>
    <w:rsid w:val="004B231C"/>
    <w:rsid w:val="004B4412"/>
    <w:rsid w:val="004C348C"/>
    <w:rsid w:val="004C63B9"/>
    <w:rsid w:val="004C6C5B"/>
    <w:rsid w:val="004D4A76"/>
    <w:rsid w:val="004D5447"/>
    <w:rsid w:val="004D55BA"/>
    <w:rsid w:val="004E1B1C"/>
    <w:rsid w:val="004E1E95"/>
    <w:rsid w:val="004E34E7"/>
    <w:rsid w:val="004E7D10"/>
    <w:rsid w:val="004F18F3"/>
    <w:rsid w:val="004F6ED0"/>
    <w:rsid w:val="00502843"/>
    <w:rsid w:val="005177C0"/>
    <w:rsid w:val="00522486"/>
    <w:rsid w:val="00522668"/>
    <w:rsid w:val="005279B6"/>
    <w:rsid w:val="00530128"/>
    <w:rsid w:val="00532467"/>
    <w:rsid w:val="0053491C"/>
    <w:rsid w:val="0054173F"/>
    <w:rsid w:val="00543945"/>
    <w:rsid w:val="00543BEC"/>
    <w:rsid w:val="00544C6F"/>
    <w:rsid w:val="00547DC4"/>
    <w:rsid w:val="005502E7"/>
    <w:rsid w:val="00555667"/>
    <w:rsid w:val="00556B64"/>
    <w:rsid w:val="005575B9"/>
    <w:rsid w:val="00562CEE"/>
    <w:rsid w:val="00564A4D"/>
    <w:rsid w:val="00565239"/>
    <w:rsid w:val="005656E2"/>
    <w:rsid w:val="0056783F"/>
    <w:rsid w:val="005703C9"/>
    <w:rsid w:val="005707D4"/>
    <w:rsid w:val="00571680"/>
    <w:rsid w:val="00571B35"/>
    <w:rsid w:val="00572D20"/>
    <w:rsid w:val="00574241"/>
    <w:rsid w:val="00575C43"/>
    <w:rsid w:val="00577A09"/>
    <w:rsid w:val="00577F68"/>
    <w:rsid w:val="005819F3"/>
    <w:rsid w:val="00582446"/>
    <w:rsid w:val="00584D8F"/>
    <w:rsid w:val="00595ED0"/>
    <w:rsid w:val="005A1339"/>
    <w:rsid w:val="005A3B2C"/>
    <w:rsid w:val="005A404D"/>
    <w:rsid w:val="005A6F22"/>
    <w:rsid w:val="005B0461"/>
    <w:rsid w:val="005B0EF5"/>
    <w:rsid w:val="005B1E3C"/>
    <w:rsid w:val="005B7F8F"/>
    <w:rsid w:val="005C26CC"/>
    <w:rsid w:val="005C3411"/>
    <w:rsid w:val="005C3D54"/>
    <w:rsid w:val="005C3DEC"/>
    <w:rsid w:val="005C53C0"/>
    <w:rsid w:val="005C546A"/>
    <w:rsid w:val="005C592F"/>
    <w:rsid w:val="005C5D2E"/>
    <w:rsid w:val="005C5E72"/>
    <w:rsid w:val="005D2FBD"/>
    <w:rsid w:val="005D69AF"/>
    <w:rsid w:val="005E0B7E"/>
    <w:rsid w:val="005E6FFA"/>
    <w:rsid w:val="005F69C4"/>
    <w:rsid w:val="005F6ADE"/>
    <w:rsid w:val="005F7247"/>
    <w:rsid w:val="00600B2D"/>
    <w:rsid w:val="00603914"/>
    <w:rsid w:val="00604DB6"/>
    <w:rsid w:val="00607BA0"/>
    <w:rsid w:val="00612006"/>
    <w:rsid w:val="00613324"/>
    <w:rsid w:val="00613DEC"/>
    <w:rsid w:val="00615619"/>
    <w:rsid w:val="00615C6B"/>
    <w:rsid w:val="00616CEC"/>
    <w:rsid w:val="00620B1B"/>
    <w:rsid w:val="00621545"/>
    <w:rsid w:val="0062525D"/>
    <w:rsid w:val="00626E1A"/>
    <w:rsid w:val="00627B2D"/>
    <w:rsid w:val="0063066D"/>
    <w:rsid w:val="00630A15"/>
    <w:rsid w:val="00631560"/>
    <w:rsid w:val="006319C1"/>
    <w:rsid w:val="00632D6D"/>
    <w:rsid w:val="00634D01"/>
    <w:rsid w:val="0063567F"/>
    <w:rsid w:val="00636936"/>
    <w:rsid w:val="006411E6"/>
    <w:rsid w:val="00642C3E"/>
    <w:rsid w:val="006471D4"/>
    <w:rsid w:val="00647804"/>
    <w:rsid w:val="0065049E"/>
    <w:rsid w:val="00651005"/>
    <w:rsid w:val="0065226B"/>
    <w:rsid w:val="0065567D"/>
    <w:rsid w:val="006569A5"/>
    <w:rsid w:val="00661F88"/>
    <w:rsid w:val="00663DAD"/>
    <w:rsid w:val="00665ACC"/>
    <w:rsid w:val="00673D15"/>
    <w:rsid w:val="00676679"/>
    <w:rsid w:val="006777D7"/>
    <w:rsid w:val="00686411"/>
    <w:rsid w:val="00687AA8"/>
    <w:rsid w:val="00694FD6"/>
    <w:rsid w:val="006A6EDD"/>
    <w:rsid w:val="006B0C7B"/>
    <w:rsid w:val="006B4CF9"/>
    <w:rsid w:val="006B7AC8"/>
    <w:rsid w:val="006C196C"/>
    <w:rsid w:val="006C1E8B"/>
    <w:rsid w:val="006C447D"/>
    <w:rsid w:val="006D3561"/>
    <w:rsid w:val="006D550F"/>
    <w:rsid w:val="006D5B9F"/>
    <w:rsid w:val="006D7923"/>
    <w:rsid w:val="006E1E7D"/>
    <w:rsid w:val="006E5F3E"/>
    <w:rsid w:val="006F3750"/>
    <w:rsid w:val="006F393C"/>
    <w:rsid w:val="006F3FCB"/>
    <w:rsid w:val="006F4C38"/>
    <w:rsid w:val="00700DAB"/>
    <w:rsid w:val="00701CAB"/>
    <w:rsid w:val="00707011"/>
    <w:rsid w:val="00707563"/>
    <w:rsid w:val="00711BF6"/>
    <w:rsid w:val="00712D03"/>
    <w:rsid w:val="0071735A"/>
    <w:rsid w:val="00720AB2"/>
    <w:rsid w:val="0072348C"/>
    <w:rsid w:val="007247EC"/>
    <w:rsid w:val="00724827"/>
    <w:rsid w:val="00724A37"/>
    <w:rsid w:val="00724BF3"/>
    <w:rsid w:val="007303C3"/>
    <w:rsid w:val="00731F13"/>
    <w:rsid w:val="00741D03"/>
    <w:rsid w:val="00743223"/>
    <w:rsid w:val="00746063"/>
    <w:rsid w:val="00746E01"/>
    <w:rsid w:val="00747D2F"/>
    <w:rsid w:val="00751821"/>
    <w:rsid w:val="007532DD"/>
    <w:rsid w:val="00753ADA"/>
    <w:rsid w:val="00760FD8"/>
    <w:rsid w:val="00762D41"/>
    <w:rsid w:val="00763E5D"/>
    <w:rsid w:val="00764C7F"/>
    <w:rsid w:val="00767740"/>
    <w:rsid w:val="00772A95"/>
    <w:rsid w:val="00777EE6"/>
    <w:rsid w:val="00780452"/>
    <w:rsid w:val="00781A01"/>
    <w:rsid w:val="00782EEA"/>
    <w:rsid w:val="00784059"/>
    <w:rsid w:val="0078423F"/>
    <w:rsid w:val="00784A7E"/>
    <w:rsid w:val="0079277A"/>
    <w:rsid w:val="007A1428"/>
    <w:rsid w:val="007A1AB0"/>
    <w:rsid w:val="007A33E8"/>
    <w:rsid w:val="007B1732"/>
    <w:rsid w:val="007B2C72"/>
    <w:rsid w:val="007B3F68"/>
    <w:rsid w:val="007C1C53"/>
    <w:rsid w:val="007C2EE8"/>
    <w:rsid w:val="007C62FE"/>
    <w:rsid w:val="007D2028"/>
    <w:rsid w:val="007D53A8"/>
    <w:rsid w:val="007D6FC9"/>
    <w:rsid w:val="007E1516"/>
    <w:rsid w:val="007E4904"/>
    <w:rsid w:val="007E4CB5"/>
    <w:rsid w:val="007E5597"/>
    <w:rsid w:val="007F066B"/>
    <w:rsid w:val="007F0F77"/>
    <w:rsid w:val="007F2BBD"/>
    <w:rsid w:val="007F475F"/>
    <w:rsid w:val="007F5457"/>
    <w:rsid w:val="008033C4"/>
    <w:rsid w:val="00806C88"/>
    <w:rsid w:val="00807A5C"/>
    <w:rsid w:val="0081034E"/>
    <w:rsid w:val="0081253D"/>
    <w:rsid w:val="00812E7B"/>
    <w:rsid w:val="00813CE4"/>
    <w:rsid w:val="008238B2"/>
    <w:rsid w:val="00831483"/>
    <w:rsid w:val="008344B4"/>
    <w:rsid w:val="008344F6"/>
    <w:rsid w:val="0083510F"/>
    <w:rsid w:val="008366CD"/>
    <w:rsid w:val="00840C6C"/>
    <w:rsid w:val="00847ED9"/>
    <w:rsid w:val="00851209"/>
    <w:rsid w:val="0085188E"/>
    <w:rsid w:val="00852B3D"/>
    <w:rsid w:val="00857917"/>
    <w:rsid w:val="00861AED"/>
    <w:rsid w:val="00867506"/>
    <w:rsid w:val="00870903"/>
    <w:rsid w:val="0087280A"/>
    <w:rsid w:val="00873B1F"/>
    <w:rsid w:val="0087479D"/>
    <w:rsid w:val="008837AC"/>
    <w:rsid w:val="00884D30"/>
    <w:rsid w:val="00886BAB"/>
    <w:rsid w:val="00886CEC"/>
    <w:rsid w:val="00887EBF"/>
    <w:rsid w:val="008A4DB6"/>
    <w:rsid w:val="008A587D"/>
    <w:rsid w:val="008A6198"/>
    <w:rsid w:val="008A7580"/>
    <w:rsid w:val="008A7E37"/>
    <w:rsid w:val="008B0D4C"/>
    <w:rsid w:val="008B416B"/>
    <w:rsid w:val="008B6DA5"/>
    <w:rsid w:val="008C094A"/>
    <w:rsid w:val="008C1D7C"/>
    <w:rsid w:val="008C1FE0"/>
    <w:rsid w:val="008C5486"/>
    <w:rsid w:val="008C6B16"/>
    <w:rsid w:val="008E1E8E"/>
    <w:rsid w:val="008E535A"/>
    <w:rsid w:val="008E6CAE"/>
    <w:rsid w:val="008E7031"/>
    <w:rsid w:val="008F14C9"/>
    <w:rsid w:val="008F2DE1"/>
    <w:rsid w:val="008F6FC7"/>
    <w:rsid w:val="0090239D"/>
    <w:rsid w:val="009057E0"/>
    <w:rsid w:val="00914975"/>
    <w:rsid w:val="00914A87"/>
    <w:rsid w:val="00915BFF"/>
    <w:rsid w:val="00922ACF"/>
    <w:rsid w:val="009233EE"/>
    <w:rsid w:val="0092422F"/>
    <w:rsid w:val="009335AE"/>
    <w:rsid w:val="00933B55"/>
    <w:rsid w:val="009377D8"/>
    <w:rsid w:val="00940393"/>
    <w:rsid w:val="00944863"/>
    <w:rsid w:val="00952CF7"/>
    <w:rsid w:val="009540FA"/>
    <w:rsid w:val="00956C19"/>
    <w:rsid w:val="00957591"/>
    <w:rsid w:val="0095772E"/>
    <w:rsid w:val="00960AC5"/>
    <w:rsid w:val="00960C83"/>
    <w:rsid w:val="009661DE"/>
    <w:rsid w:val="00972A40"/>
    <w:rsid w:val="00981578"/>
    <w:rsid w:val="00982FEB"/>
    <w:rsid w:val="009837D1"/>
    <w:rsid w:val="00983EEC"/>
    <w:rsid w:val="009856B7"/>
    <w:rsid w:val="00985A66"/>
    <w:rsid w:val="009920D2"/>
    <w:rsid w:val="009928BC"/>
    <w:rsid w:val="0099572C"/>
    <w:rsid w:val="009A3D22"/>
    <w:rsid w:val="009A6D69"/>
    <w:rsid w:val="009B0884"/>
    <w:rsid w:val="009B21F2"/>
    <w:rsid w:val="009B4E65"/>
    <w:rsid w:val="009B533B"/>
    <w:rsid w:val="009B5478"/>
    <w:rsid w:val="009B5D28"/>
    <w:rsid w:val="009B69AA"/>
    <w:rsid w:val="009B74B0"/>
    <w:rsid w:val="009C4FB9"/>
    <w:rsid w:val="009C6A83"/>
    <w:rsid w:val="009D3016"/>
    <w:rsid w:val="009D6B46"/>
    <w:rsid w:val="009E6668"/>
    <w:rsid w:val="009E7749"/>
    <w:rsid w:val="009E7AC6"/>
    <w:rsid w:val="009E7D2D"/>
    <w:rsid w:val="009F0A79"/>
    <w:rsid w:val="009F1D03"/>
    <w:rsid w:val="009F1E42"/>
    <w:rsid w:val="009F4806"/>
    <w:rsid w:val="009F4940"/>
    <w:rsid w:val="00A041F4"/>
    <w:rsid w:val="00A04F9F"/>
    <w:rsid w:val="00A057D1"/>
    <w:rsid w:val="00A159BF"/>
    <w:rsid w:val="00A2302C"/>
    <w:rsid w:val="00A3632A"/>
    <w:rsid w:val="00A4478A"/>
    <w:rsid w:val="00A44852"/>
    <w:rsid w:val="00A52A18"/>
    <w:rsid w:val="00A57D04"/>
    <w:rsid w:val="00A57D69"/>
    <w:rsid w:val="00A60A26"/>
    <w:rsid w:val="00A61598"/>
    <w:rsid w:val="00A64EBB"/>
    <w:rsid w:val="00A71AA6"/>
    <w:rsid w:val="00A75AAA"/>
    <w:rsid w:val="00A81EF8"/>
    <w:rsid w:val="00A84E2D"/>
    <w:rsid w:val="00A84F46"/>
    <w:rsid w:val="00A871F4"/>
    <w:rsid w:val="00A91A4B"/>
    <w:rsid w:val="00A923DD"/>
    <w:rsid w:val="00A94D89"/>
    <w:rsid w:val="00AA0CEB"/>
    <w:rsid w:val="00AA476F"/>
    <w:rsid w:val="00AA649A"/>
    <w:rsid w:val="00AB6478"/>
    <w:rsid w:val="00AC0FE9"/>
    <w:rsid w:val="00AC1B2C"/>
    <w:rsid w:val="00AC1CF3"/>
    <w:rsid w:val="00AC3264"/>
    <w:rsid w:val="00AD3D69"/>
    <w:rsid w:val="00AD592F"/>
    <w:rsid w:val="00AE0399"/>
    <w:rsid w:val="00AE1BF1"/>
    <w:rsid w:val="00AF0DD2"/>
    <w:rsid w:val="00AF46F3"/>
    <w:rsid w:val="00AF66A7"/>
    <w:rsid w:val="00AF7058"/>
    <w:rsid w:val="00B057C8"/>
    <w:rsid w:val="00B109DD"/>
    <w:rsid w:val="00B11C09"/>
    <w:rsid w:val="00B1285B"/>
    <w:rsid w:val="00B13048"/>
    <w:rsid w:val="00B14CE4"/>
    <w:rsid w:val="00B1716D"/>
    <w:rsid w:val="00B17A1D"/>
    <w:rsid w:val="00B207A0"/>
    <w:rsid w:val="00B26AAA"/>
    <w:rsid w:val="00B30D82"/>
    <w:rsid w:val="00B31071"/>
    <w:rsid w:val="00B35810"/>
    <w:rsid w:val="00B35937"/>
    <w:rsid w:val="00B4128D"/>
    <w:rsid w:val="00B41686"/>
    <w:rsid w:val="00B44E99"/>
    <w:rsid w:val="00B56E03"/>
    <w:rsid w:val="00B62BB5"/>
    <w:rsid w:val="00B63E2C"/>
    <w:rsid w:val="00B65CAC"/>
    <w:rsid w:val="00B70A7F"/>
    <w:rsid w:val="00B70CA5"/>
    <w:rsid w:val="00B752C5"/>
    <w:rsid w:val="00B8080B"/>
    <w:rsid w:val="00B85D8A"/>
    <w:rsid w:val="00B87C39"/>
    <w:rsid w:val="00B87DD6"/>
    <w:rsid w:val="00B904FF"/>
    <w:rsid w:val="00B92CD5"/>
    <w:rsid w:val="00B956D7"/>
    <w:rsid w:val="00BA1F27"/>
    <w:rsid w:val="00BA390A"/>
    <w:rsid w:val="00BA3992"/>
    <w:rsid w:val="00BA4665"/>
    <w:rsid w:val="00BB2FB2"/>
    <w:rsid w:val="00BB3304"/>
    <w:rsid w:val="00BB4732"/>
    <w:rsid w:val="00BB7780"/>
    <w:rsid w:val="00BC6398"/>
    <w:rsid w:val="00BC675F"/>
    <w:rsid w:val="00BD0A11"/>
    <w:rsid w:val="00BD0BD0"/>
    <w:rsid w:val="00BD10B4"/>
    <w:rsid w:val="00BD3446"/>
    <w:rsid w:val="00BD5467"/>
    <w:rsid w:val="00BD7176"/>
    <w:rsid w:val="00BD71BD"/>
    <w:rsid w:val="00BE1F1B"/>
    <w:rsid w:val="00BE47B5"/>
    <w:rsid w:val="00BE7DBC"/>
    <w:rsid w:val="00BF4639"/>
    <w:rsid w:val="00BF65C1"/>
    <w:rsid w:val="00BF771C"/>
    <w:rsid w:val="00C008FE"/>
    <w:rsid w:val="00C01734"/>
    <w:rsid w:val="00C04914"/>
    <w:rsid w:val="00C05C48"/>
    <w:rsid w:val="00C064A7"/>
    <w:rsid w:val="00C07A89"/>
    <w:rsid w:val="00C154C0"/>
    <w:rsid w:val="00C16B2C"/>
    <w:rsid w:val="00C17CB8"/>
    <w:rsid w:val="00C30BBE"/>
    <w:rsid w:val="00C34065"/>
    <w:rsid w:val="00C4709E"/>
    <w:rsid w:val="00C50EC2"/>
    <w:rsid w:val="00C51484"/>
    <w:rsid w:val="00C538A9"/>
    <w:rsid w:val="00C53B5A"/>
    <w:rsid w:val="00C54F5A"/>
    <w:rsid w:val="00C56506"/>
    <w:rsid w:val="00C565C5"/>
    <w:rsid w:val="00C6191E"/>
    <w:rsid w:val="00C62797"/>
    <w:rsid w:val="00C6290C"/>
    <w:rsid w:val="00C672E0"/>
    <w:rsid w:val="00C729B4"/>
    <w:rsid w:val="00C73A47"/>
    <w:rsid w:val="00C73C83"/>
    <w:rsid w:val="00C74A11"/>
    <w:rsid w:val="00C8473D"/>
    <w:rsid w:val="00C86679"/>
    <w:rsid w:val="00C86919"/>
    <w:rsid w:val="00C872DB"/>
    <w:rsid w:val="00C87867"/>
    <w:rsid w:val="00C950AF"/>
    <w:rsid w:val="00C96A92"/>
    <w:rsid w:val="00CA04F2"/>
    <w:rsid w:val="00CA0ECB"/>
    <w:rsid w:val="00CA51FE"/>
    <w:rsid w:val="00CB0FA5"/>
    <w:rsid w:val="00CB666B"/>
    <w:rsid w:val="00CB695E"/>
    <w:rsid w:val="00CC1D64"/>
    <w:rsid w:val="00CC2C03"/>
    <w:rsid w:val="00CD40AD"/>
    <w:rsid w:val="00CD4E7F"/>
    <w:rsid w:val="00CE1831"/>
    <w:rsid w:val="00CF0E01"/>
    <w:rsid w:val="00CF455C"/>
    <w:rsid w:val="00CF5382"/>
    <w:rsid w:val="00D01CF0"/>
    <w:rsid w:val="00D0442A"/>
    <w:rsid w:val="00D07128"/>
    <w:rsid w:val="00D11721"/>
    <w:rsid w:val="00D11CB3"/>
    <w:rsid w:val="00D1516F"/>
    <w:rsid w:val="00D22BD4"/>
    <w:rsid w:val="00D2306D"/>
    <w:rsid w:val="00D270E1"/>
    <w:rsid w:val="00D323D0"/>
    <w:rsid w:val="00D32767"/>
    <w:rsid w:val="00D44037"/>
    <w:rsid w:val="00D4681D"/>
    <w:rsid w:val="00D5111E"/>
    <w:rsid w:val="00D61388"/>
    <w:rsid w:val="00D615F9"/>
    <w:rsid w:val="00D61A54"/>
    <w:rsid w:val="00D64DEA"/>
    <w:rsid w:val="00D67D07"/>
    <w:rsid w:val="00D71771"/>
    <w:rsid w:val="00D73D17"/>
    <w:rsid w:val="00D74261"/>
    <w:rsid w:val="00D74971"/>
    <w:rsid w:val="00D80893"/>
    <w:rsid w:val="00D839A7"/>
    <w:rsid w:val="00D86899"/>
    <w:rsid w:val="00D87097"/>
    <w:rsid w:val="00D92CF1"/>
    <w:rsid w:val="00D92D38"/>
    <w:rsid w:val="00D936B6"/>
    <w:rsid w:val="00D950F5"/>
    <w:rsid w:val="00DB0F93"/>
    <w:rsid w:val="00DB16A7"/>
    <w:rsid w:val="00DB196A"/>
    <w:rsid w:val="00DB20BF"/>
    <w:rsid w:val="00DB4CC4"/>
    <w:rsid w:val="00DB7FD1"/>
    <w:rsid w:val="00DC153A"/>
    <w:rsid w:val="00DC24BF"/>
    <w:rsid w:val="00DC2907"/>
    <w:rsid w:val="00DC5E54"/>
    <w:rsid w:val="00DC7981"/>
    <w:rsid w:val="00DD15C2"/>
    <w:rsid w:val="00DE4EFA"/>
    <w:rsid w:val="00DE5520"/>
    <w:rsid w:val="00DE7345"/>
    <w:rsid w:val="00DF7793"/>
    <w:rsid w:val="00E00EC9"/>
    <w:rsid w:val="00E03069"/>
    <w:rsid w:val="00E04818"/>
    <w:rsid w:val="00E06442"/>
    <w:rsid w:val="00E115DE"/>
    <w:rsid w:val="00E135DB"/>
    <w:rsid w:val="00E13C85"/>
    <w:rsid w:val="00E227A4"/>
    <w:rsid w:val="00E23993"/>
    <w:rsid w:val="00E25B8C"/>
    <w:rsid w:val="00E32A8C"/>
    <w:rsid w:val="00E35AE8"/>
    <w:rsid w:val="00E3678B"/>
    <w:rsid w:val="00E3724C"/>
    <w:rsid w:val="00E37F0B"/>
    <w:rsid w:val="00E40B9C"/>
    <w:rsid w:val="00E4482C"/>
    <w:rsid w:val="00E4680F"/>
    <w:rsid w:val="00E47EAD"/>
    <w:rsid w:val="00E52A27"/>
    <w:rsid w:val="00E55C3C"/>
    <w:rsid w:val="00E65C85"/>
    <w:rsid w:val="00E65CF4"/>
    <w:rsid w:val="00E66199"/>
    <w:rsid w:val="00E715D5"/>
    <w:rsid w:val="00E737E3"/>
    <w:rsid w:val="00E7472E"/>
    <w:rsid w:val="00E755EC"/>
    <w:rsid w:val="00E7624D"/>
    <w:rsid w:val="00E823D9"/>
    <w:rsid w:val="00E8569F"/>
    <w:rsid w:val="00E86851"/>
    <w:rsid w:val="00E91BED"/>
    <w:rsid w:val="00E96EFF"/>
    <w:rsid w:val="00EA1DEE"/>
    <w:rsid w:val="00EA3D42"/>
    <w:rsid w:val="00EA6B1B"/>
    <w:rsid w:val="00EB049F"/>
    <w:rsid w:val="00EB456D"/>
    <w:rsid w:val="00EB540F"/>
    <w:rsid w:val="00EB7D7F"/>
    <w:rsid w:val="00EC317E"/>
    <w:rsid w:val="00EC67D4"/>
    <w:rsid w:val="00EC7EB1"/>
    <w:rsid w:val="00ED3C5B"/>
    <w:rsid w:val="00ED4A25"/>
    <w:rsid w:val="00ED6E24"/>
    <w:rsid w:val="00EE164B"/>
    <w:rsid w:val="00EE28F3"/>
    <w:rsid w:val="00EE347F"/>
    <w:rsid w:val="00EE46CE"/>
    <w:rsid w:val="00EF013A"/>
    <w:rsid w:val="00EF1961"/>
    <w:rsid w:val="00EF3FB8"/>
    <w:rsid w:val="00EF5110"/>
    <w:rsid w:val="00F019C5"/>
    <w:rsid w:val="00F02D9B"/>
    <w:rsid w:val="00F031FE"/>
    <w:rsid w:val="00F06B5B"/>
    <w:rsid w:val="00F113FD"/>
    <w:rsid w:val="00F13EAA"/>
    <w:rsid w:val="00F15882"/>
    <w:rsid w:val="00F1785E"/>
    <w:rsid w:val="00F20BD3"/>
    <w:rsid w:val="00F32D35"/>
    <w:rsid w:val="00F3590E"/>
    <w:rsid w:val="00F373A5"/>
    <w:rsid w:val="00F45B2F"/>
    <w:rsid w:val="00F47559"/>
    <w:rsid w:val="00F55548"/>
    <w:rsid w:val="00F61AA8"/>
    <w:rsid w:val="00F64C7B"/>
    <w:rsid w:val="00F64F82"/>
    <w:rsid w:val="00F662F1"/>
    <w:rsid w:val="00F66967"/>
    <w:rsid w:val="00F676DD"/>
    <w:rsid w:val="00F70811"/>
    <w:rsid w:val="00F71486"/>
    <w:rsid w:val="00F72F41"/>
    <w:rsid w:val="00F75A26"/>
    <w:rsid w:val="00F77D49"/>
    <w:rsid w:val="00F83FAD"/>
    <w:rsid w:val="00F87EBA"/>
    <w:rsid w:val="00F952A0"/>
    <w:rsid w:val="00F965FC"/>
    <w:rsid w:val="00FA3830"/>
    <w:rsid w:val="00FA3C7F"/>
    <w:rsid w:val="00FB153F"/>
    <w:rsid w:val="00FB265D"/>
    <w:rsid w:val="00FB411D"/>
    <w:rsid w:val="00FB41E6"/>
    <w:rsid w:val="00FB74E2"/>
    <w:rsid w:val="00FC447B"/>
    <w:rsid w:val="00FC52AC"/>
    <w:rsid w:val="00FD0763"/>
    <w:rsid w:val="00FD166D"/>
    <w:rsid w:val="00FD2F97"/>
    <w:rsid w:val="00FD5316"/>
    <w:rsid w:val="00FD5614"/>
    <w:rsid w:val="00FD72DC"/>
    <w:rsid w:val="00FE0BE1"/>
    <w:rsid w:val="00FE1DE9"/>
    <w:rsid w:val="00FE39C2"/>
    <w:rsid w:val="00FE3E67"/>
    <w:rsid w:val="00FE64AE"/>
    <w:rsid w:val="00FF2C56"/>
    <w:rsid w:val="00FF3373"/>
    <w:rsid w:val="00FF657C"/>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4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DA3A2F01</Template>
  <TotalTime>0</TotalTime>
  <Pages>8</Pages>
  <Words>1356</Words>
  <Characters>7734</Characters>
  <Application>Microsoft Office Word</Application>
  <DocSecurity>0</DocSecurity>
  <Lines>64</Lines>
  <Paragraphs>18</Paragraphs>
  <ScaleCrop>false</ScaleCrop>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2015-11-09T05:54:00Z</dcterms:created>
  <dcterms:modified xsi:type="dcterms:W3CDTF">2015-11-09T05:55:00Z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8570493</vt:lpwstr>
  </property>
</Properties>
</file>