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2D1" w:rsidRDefault="00022F02" w:rsidP="007C72D1">
      <w:pPr>
        <w:pStyle w:val="AERtitle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in;margin-top:-81pt;width:601pt;height:855pt;z-index:-251658752">
            <v:imagedata r:id="rId9" o:title="AER-final-orange"/>
          </v:shape>
        </w:pict>
      </w:r>
    </w:p>
    <w:p w:rsidR="007C72D1" w:rsidRDefault="007C72D1" w:rsidP="007C72D1">
      <w:pPr>
        <w:pStyle w:val="AERtitle1"/>
      </w:pPr>
    </w:p>
    <w:p w:rsidR="007C72D1" w:rsidRDefault="007C72D1" w:rsidP="007C72D1">
      <w:pPr>
        <w:pStyle w:val="AERtitle1"/>
      </w:pPr>
    </w:p>
    <w:p w:rsidR="007C72D1" w:rsidRDefault="007C72D1" w:rsidP="007C72D1">
      <w:pPr>
        <w:pStyle w:val="AERtitle1"/>
      </w:pPr>
    </w:p>
    <w:p w:rsidR="007C72D1" w:rsidRDefault="007C72D1" w:rsidP="007C72D1">
      <w:pPr>
        <w:pStyle w:val="AERtitle1"/>
      </w:pPr>
    </w:p>
    <w:p w:rsidR="007C72D1" w:rsidRDefault="007C72D1" w:rsidP="007C72D1">
      <w:pPr>
        <w:jc w:val="center"/>
      </w:pPr>
      <w:r w:rsidRPr="00BE06EE">
        <w:rPr>
          <w:rFonts w:ascii="Times New Roman" w:hAnsi="Times New Roman"/>
          <w:sz w:val="44"/>
          <w:szCs w:val="44"/>
        </w:rPr>
        <w:t>Electricity Network Service Provider Registration Exemption Guideline</w:t>
      </w:r>
    </w:p>
    <w:p w:rsidR="007C72D1" w:rsidRDefault="007C72D1" w:rsidP="007C72D1"/>
    <w:p w:rsidR="007C72D1" w:rsidRPr="00F6235D" w:rsidRDefault="007C72D1" w:rsidP="007C72D1"/>
    <w:p w:rsidR="007C72D1" w:rsidRPr="00F6235D" w:rsidRDefault="004B4148" w:rsidP="007C72D1">
      <w:pPr>
        <w:pStyle w:val="AERtitle2"/>
      </w:pPr>
      <w:r>
        <w:t xml:space="preserve">27 </w:t>
      </w:r>
      <w:r w:rsidR="007C72D1">
        <w:t>August 2013</w:t>
      </w:r>
    </w:p>
    <w:p w:rsidR="007C72D1" w:rsidRPr="00F6235D" w:rsidRDefault="007C72D1" w:rsidP="007C72D1">
      <w:r w:rsidRPr="00F6235D">
        <w:t xml:space="preserve"> </w:t>
      </w:r>
    </w:p>
    <w:p w:rsidR="007C72D1" w:rsidRPr="00EF0E19" w:rsidRDefault="007C72D1" w:rsidP="007C72D1">
      <w:pPr>
        <w:rPr>
          <w:rStyle w:val="AERtextbold"/>
        </w:rPr>
      </w:pPr>
      <w:r>
        <w:rPr>
          <w:rStyle w:val="AERtextbold"/>
        </w:rPr>
        <w:br w:type="page"/>
      </w:r>
    </w:p>
    <w:p w:rsidR="007C72D1" w:rsidRPr="00020884" w:rsidRDefault="007C72D1" w:rsidP="007C72D1">
      <w:pPr>
        <w:pStyle w:val="AERbodytext"/>
        <w:spacing w:before="0" w:after="240"/>
        <w:rPr>
          <w:rStyle w:val="AERtextbold"/>
        </w:rPr>
      </w:pPr>
      <w:r w:rsidRPr="00020884">
        <w:rPr>
          <w:rStyle w:val="AERtextbold"/>
        </w:rPr>
        <w:t xml:space="preserve">© </w:t>
      </w:r>
      <w:r>
        <w:rPr>
          <w:rStyle w:val="AERtextbold"/>
        </w:rPr>
        <w:t>Commonwealth of Australia 2013</w:t>
      </w:r>
    </w:p>
    <w:p w:rsidR="007C72D1" w:rsidRPr="00020884" w:rsidRDefault="007C72D1" w:rsidP="007C72D1">
      <w:pPr>
        <w:pStyle w:val="AERbodytext"/>
        <w:spacing w:before="0" w:after="240"/>
      </w:pPr>
      <w:r w:rsidRPr="00020884">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7C72D1" w:rsidRPr="00020884" w:rsidRDefault="007C72D1" w:rsidP="007C72D1">
      <w:pPr>
        <w:pStyle w:val="AERbodytext"/>
        <w:spacing w:before="0" w:after="240"/>
      </w:pPr>
      <w:r w:rsidRPr="00020884">
        <w:t>Inquiries about this document should be addressed to:</w:t>
      </w:r>
    </w:p>
    <w:p w:rsidR="007C72D1" w:rsidRDefault="007C72D1" w:rsidP="007C72D1">
      <w:pPr>
        <w:pStyle w:val="AERbodytextnospace"/>
        <w:numPr>
          <w:ilvl w:val="0"/>
          <w:numId w:val="7"/>
        </w:numPr>
        <w:spacing w:before="0"/>
      </w:pPr>
      <w:r>
        <w:t>Australian Energy Regulator</w:t>
      </w:r>
    </w:p>
    <w:p w:rsidR="007C72D1" w:rsidRDefault="007C72D1" w:rsidP="007C72D1">
      <w:pPr>
        <w:pStyle w:val="AERbodytextnospace"/>
        <w:numPr>
          <w:ilvl w:val="0"/>
          <w:numId w:val="7"/>
        </w:numPr>
        <w:spacing w:before="0"/>
      </w:pPr>
      <w:r>
        <w:t>GPO Box 520</w:t>
      </w:r>
    </w:p>
    <w:p w:rsidR="007C72D1" w:rsidRDefault="007C72D1" w:rsidP="007C72D1">
      <w:pPr>
        <w:pStyle w:val="AERbodytextnospace"/>
        <w:numPr>
          <w:ilvl w:val="0"/>
          <w:numId w:val="7"/>
        </w:numPr>
        <w:spacing w:before="0"/>
      </w:pPr>
      <w:r>
        <w:t>Melbourne  Vic  3001</w:t>
      </w:r>
    </w:p>
    <w:p w:rsidR="007C72D1" w:rsidRDefault="007C72D1" w:rsidP="007C72D1">
      <w:pPr>
        <w:pStyle w:val="AERbodytextnospace"/>
        <w:numPr>
          <w:ilvl w:val="0"/>
          <w:numId w:val="7"/>
        </w:numPr>
        <w:spacing w:before="0"/>
      </w:pPr>
      <w:r>
        <w:t>Tel: (03) 9290 1444</w:t>
      </w:r>
    </w:p>
    <w:p w:rsidR="007C72D1" w:rsidRDefault="007C72D1" w:rsidP="007C72D1">
      <w:pPr>
        <w:pStyle w:val="AERbodytextnospace"/>
        <w:numPr>
          <w:ilvl w:val="0"/>
          <w:numId w:val="7"/>
        </w:numPr>
        <w:spacing w:before="0"/>
      </w:pPr>
      <w:r>
        <w:t>Fax: (03) 9290 1457</w:t>
      </w:r>
    </w:p>
    <w:p w:rsidR="007C72D1" w:rsidRDefault="007C72D1" w:rsidP="007C72D1">
      <w:pPr>
        <w:pStyle w:val="AERbodytextnospace"/>
        <w:numPr>
          <w:ilvl w:val="0"/>
          <w:numId w:val="7"/>
        </w:numPr>
        <w:spacing w:before="0"/>
      </w:pPr>
      <w:r>
        <w:t xml:space="preserve">Email: </w:t>
      </w:r>
      <w:hyperlink r:id="rId10" w:history="1">
        <w:r w:rsidRPr="003E184A">
          <w:rPr>
            <w:rStyle w:val="Hyperlink"/>
          </w:rPr>
          <w:t>AERInquiry@aer.gov.au</w:t>
        </w:r>
      </w:hyperlink>
    </w:p>
    <w:p w:rsidR="007C72D1" w:rsidRDefault="007C72D1" w:rsidP="007C72D1">
      <w:pPr>
        <w:pStyle w:val="AERbodytext"/>
        <w:spacing w:before="0" w:after="240"/>
      </w:pPr>
    </w:p>
    <w:p w:rsidR="007C72D1" w:rsidRPr="00F66980" w:rsidRDefault="007C72D1" w:rsidP="007C72D1">
      <w:pPr>
        <w:pStyle w:val="AERbodytext"/>
        <w:spacing w:before="0" w:after="240"/>
        <w:rPr>
          <w:rStyle w:val="AERtexthighlight"/>
        </w:rPr>
      </w:pPr>
      <w:r w:rsidRPr="00020884">
        <w:t xml:space="preserve">AER reference:   </w:t>
      </w:r>
      <w:r>
        <w:t>22342</w:t>
      </w:r>
    </w:p>
    <w:p w:rsidR="007C72D1" w:rsidRPr="008F1A4A" w:rsidRDefault="007C72D1" w:rsidP="007C72D1">
      <w:pPr>
        <w:pStyle w:val="AERbodytextnospace"/>
        <w:numPr>
          <w:ilvl w:val="0"/>
          <w:numId w:val="7"/>
        </w:numPr>
        <w:spacing w:before="0"/>
        <w:rPr>
          <w:rStyle w:val="AERtextbold"/>
        </w:rPr>
      </w:pPr>
      <w:r w:rsidRPr="008F1A4A">
        <w:rPr>
          <w:rStyle w:val="AERtextbold"/>
        </w:rPr>
        <w:t xml:space="preserve">Amendment record </w:t>
      </w:r>
    </w:p>
    <w:tbl>
      <w:tblPr>
        <w:tblW w:w="5000" w:type="pct"/>
        <w:tblBorders>
          <w:bottom w:val="single" w:sz="4" w:space="0" w:color="365F91"/>
        </w:tblBorders>
        <w:tblLook w:val="01E0" w:firstRow="1" w:lastRow="1" w:firstColumn="1" w:lastColumn="1" w:noHBand="0" w:noVBand="0"/>
      </w:tblPr>
      <w:tblGrid>
        <w:gridCol w:w="3080"/>
        <w:gridCol w:w="3081"/>
        <w:gridCol w:w="3081"/>
      </w:tblGrid>
      <w:tr w:rsidR="007C72D1" w:rsidTr="00587288">
        <w:tc>
          <w:tcPr>
            <w:tcW w:w="1666" w:type="pct"/>
            <w:shd w:val="clear" w:color="auto" w:fill="365F91"/>
            <w:vAlign w:val="center"/>
          </w:tcPr>
          <w:p w:rsidR="007C72D1" w:rsidRPr="00870F97" w:rsidRDefault="007C72D1" w:rsidP="00587288">
            <w:pPr>
              <w:pStyle w:val="AERtabletextleft"/>
              <w:rPr>
                <w:b/>
                <w:color w:val="FFFFFF"/>
                <w:lang w:eastAsia="en-AU"/>
              </w:rPr>
            </w:pPr>
            <w:r w:rsidRPr="00870F97">
              <w:rPr>
                <w:b/>
                <w:color w:val="FFFFFF"/>
                <w:lang w:eastAsia="en-AU"/>
              </w:rPr>
              <w:t>Version</w:t>
            </w:r>
          </w:p>
        </w:tc>
        <w:tc>
          <w:tcPr>
            <w:tcW w:w="1667" w:type="pct"/>
            <w:shd w:val="clear" w:color="auto" w:fill="365F91"/>
            <w:vAlign w:val="center"/>
          </w:tcPr>
          <w:p w:rsidR="007C72D1" w:rsidRPr="00870F97" w:rsidRDefault="007C72D1" w:rsidP="00587288">
            <w:pPr>
              <w:pStyle w:val="AERtabletextleft"/>
              <w:rPr>
                <w:b/>
                <w:color w:val="FFFFFF"/>
                <w:lang w:eastAsia="en-AU"/>
              </w:rPr>
            </w:pPr>
            <w:r w:rsidRPr="00870F97">
              <w:rPr>
                <w:b/>
                <w:color w:val="FFFFFF"/>
                <w:lang w:eastAsia="en-AU"/>
              </w:rPr>
              <w:t>Date</w:t>
            </w:r>
          </w:p>
        </w:tc>
        <w:tc>
          <w:tcPr>
            <w:tcW w:w="1667" w:type="pct"/>
            <w:shd w:val="clear" w:color="auto" w:fill="365F91"/>
            <w:vAlign w:val="center"/>
          </w:tcPr>
          <w:p w:rsidR="007C72D1" w:rsidRPr="00870F97" w:rsidRDefault="007C72D1" w:rsidP="00587288">
            <w:pPr>
              <w:pStyle w:val="AERtabletextleft"/>
              <w:rPr>
                <w:b/>
                <w:color w:val="FFFFFF"/>
                <w:lang w:eastAsia="en-AU"/>
              </w:rPr>
            </w:pPr>
            <w:r w:rsidRPr="00870F97">
              <w:rPr>
                <w:b/>
                <w:color w:val="FFFFFF"/>
                <w:lang w:eastAsia="en-AU"/>
              </w:rPr>
              <w:t>Pages</w:t>
            </w:r>
          </w:p>
        </w:tc>
      </w:tr>
      <w:tr w:rsidR="007C72D1" w:rsidTr="00587288">
        <w:tc>
          <w:tcPr>
            <w:tcW w:w="1666" w:type="pct"/>
            <w:vAlign w:val="center"/>
          </w:tcPr>
          <w:p w:rsidR="007C72D1" w:rsidRPr="001B1E7F" w:rsidRDefault="007C72D1" w:rsidP="00587288">
            <w:pPr>
              <w:pStyle w:val="AERtabletextleft"/>
              <w:rPr>
                <w:lang w:eastAsia="en-AU"/>
              </w:rPr>
            </w:pPr>
            <w:r w:rsidRPr="001B1E7F">
              <w:rPr>
                <w:lang w:eastAsia="en-AU"/>
              </w:rPr>
              <w:t>01</w:t>
            </w:r>
          </w:p>
        </w:tc>
        <w:tc>
          <w:tcPr>
            <w:tcW w:w="1667" w:type="pct"/>
            <w:vAlign w:val="center"/>
          </w:tcPr>
          <w:p w:rsidR="007C72D1" w:rsidRPr="00CE4397" w:rsidRDefault="007C72D1" w:rsidP="00587288">
            <w:pPr>
              <w:pStyle w:val="AERtabletextleft"/>
              <w:rPr>
                <w:rStyle w:val="AERbody"/>
                <w:sz w:val="16"/>
                <w:szCs w:val="16"/>
              </w:rPr>
            </w:pPr>
            <w:r w:rsidRPr="00CE4397">
              <w:rPr>
                <w:rStyle w:val="AERbody"/>
                <w:sz w:val="16"/>
                <w:szCs w:val="16"/>
              </w:rPr>
              <w:t>14 October 2011</w:t>
            </w:r>
          </w:p>
        </w:tc>
        <w:tc>
          <w:tcPr>
            <w:tcW w:w="1667" w:type="pct"/>
            <w:vAlign w:val="center"/>
          </w:tcPr>
          <w:p w:rsidR="007C72D1" w:rsidRPr="00CE4397" w:rsidRDefault="007C72D1" w:rsidP="00587288">
            <w:pPr>
              <w:pStyle w:val="AERtabletextleft"/>
              <w:rPr>
                <w:rStyle w:val="AERbody"/>
                <w:sz w:val="16"/>
                <w:szCs w:val="16"/>
              </w:rPr>
            </w:pPr>
            <w:r w:rsidRPr="00CE4397">
              <w:rPr>
                <w:rStyle w:val="AERbody"/>
                <w:sz w:val="16"/>
                <w:szCs w:val="16"/>
              </w:rPr>
              <w:t>27</w:t>
            </w:r>
          </w:p>
        </w:tc>
      </w:tr>
      <w:tr w:rsidR="007C72D1" w:rsidTr="007A290F">
        <w:tc>
          <w:tcPr>
            <w:tcW w:w="1666" w:type="pct"/>
            <w:vAlign w:val="center"/>
          </w:tcPr>
          <w:p w:rsidR="007C72D1" w:rsidRPr="00CE4397" w:rsidRDefault="007C72D1" w:rsidP="00587288">
            <w:pPr>
              <w:pStyle w:val="AERtabletextleft"/>
              <w:rPr>
                <w:rStyle w:val="AERbody"/>
              </w:rPr>
            </w:pPr>
            <w:r>
              <w:rPr>
                <w:lang w:eastAsia="en-AU"/>
              </w:rPr>
              <w:t>02</w:t>
            </w:r>
          </w:p>
        </w:tc>
        <w:tc>
          <w:tcPr>
            <w:tcW w:w="1667" w:type="pct"/>
            <w:tcBorders>
              <w:bottom w:val="nil"/>
            </w:tcBorders>
            <w:vAlign w:val="center"/>
          </w:tcPr>
          <w:p w:rsidR="007C72D1" w:rsidRPr="00CE4397" w:rsidRDefault="007C72D1" w:rsidP="00587288">
            <w:pPr>
              <w:pStyle w:val="AERtabletextleft"/>
              <w:rPr>
                <w:rStyle w:val="AERbody"/>
                <w:sz w:val="16"/>
                <w:szCs w:val="16"/>
              </w:rPr>
            </w:pPr>
            <w:r w:rsidRPr="00CE4397">
              <w:rPr>
                <w:rStyle w:val="AERbody"/>
                <w:sz w:val="16"/>
                <w:szCs w:val="16"/>
              </w:rPr>
              <w:t>16 December 2011</w:t>
            </w:r>
          </w:p>
        </w:tc>
        <w:tc>
          <w:tcPr>
            <w:tcW w:w="1667" w:type="pct"/>
            <w:vAlign w:val="center"/>
          </w:tcPr>
          <w:p w:rsidR="007C72D1" w:rsidRPr="00CE4397" w:rsidRDefault="007C72D1" w:rsidP="00587288">
            <w:pPr>
              <w:pStyle w:val="AERtabletextleft"/>
              <w:rPr>
                <w:rStyle w:val="AERbody"/>
                <w:sz w:val="16"/>
                <w:szCs w:val="16"/>
              </w:rPr>
            </w:pPr>
            <w:r w:rsidRPr="00CE4397">
              <w:rPr>
                <w:rStyle w:val="AERbody"/>
                <w:sz w:val="16"/>
                <w:szCs w:val="16"/>
              </w:rPr>
              <w:t>28</w:t>
            </w:r>
          </w:p>
        </w:tc>
      </w:tr>
      <w:tr w:rsidR="007C72D1" w:rsidTr="007A290F">
        <w:tc>
          <w:tcPr>
            <w:tcW w:w="1666" w:type="pct"/>
            <w:vAlign w:val="center"/>
          </w:tcPr>
          <w:p w:rsidR="007C72D1" w:rsidRPr="007A290F" w:rsidRDefault="007C72D1" w:rsidP="00587288">
            <w:pPr>
              <w:pStyle w:val="AERtabletextleft"/>
              <w:rPr>
                <w:lang w:eastAsia="en-AU"/>
              </w:rPr>
            </w:pPr>
            <w:r w:rsidRPr="007A290F">
              <w:rPr>
                <w:lang w:eastAsia="en-AU"/>
              </w:rPr>
              <w:t>03</w:t>
            </w:r>
          </w:p>
        </w:tc>
        <w:tc>
          <w:tcPr>
            <w:tcW w:w="1667" w:type="pct"/>
            <w:tcBorders>
              <w:bottom w:val="single" w:sz="4" w:space="0" w:color="365F91"/>
            </w:tcBorders>
            <w:shd w:val="clear" w:color="auto" w:fill="auto"/>
            <w:vAlign w:val="center"/>
          </w:tcPr>
          <w:p w:rsidR="007C72D1" w:rsidRPr="007A290F" w:rsidRDefault="004B4148" w:rsidP="00587288">
            <w:pPr>
              <w:pStyle w:val="AERtabletextleft"/>
              <w:rPr>
                <w:rStyle w:val="AERbody"/>
                <w:sz w:val="16"/>
                <w:szCs w:val="16"/>
              </w:rPr>
            </w:pPr>
            <w:r>
              <w:rPr>
                <w:rStyle w:val="AERbody"/>
                <w:sz w:val="16"/>
                <w:szCs w:val="16"/>
              </w:rPr>
              <w:t>27</w:t>
            </w:r>
            <w:r w:rsidR="007C72D1" w:rsidRPr="007A290F">
              <w:rPr>
                <w:rStyle w:val="AERbody"/>
                <w:sz w:val="16"/>
                <w:szCs w:val="16"/>
              </w:rPr>
              <w:t xml:space="preserve"> August 2013</w:t>
            </w:r>
          </w:p>
        </w:tc>
        <w:tc>
          <w:tcPr>
            <w:tcW w:w="1667" w:type="pct"/>
            <w:vAlign w:val="center"/>
          </w:tcPr>
          <w:p w:rsidR="007C72D1" w:rsidRPr="007A290F" w:rsidRDefault="007A290F" w:rsidP="00587288">
            <w:pPr>
              <w:pStyle w:val="AERtabletextleft"/>
              <w:rPr>
                <w:rStyle w:val="AERbody"/>
                <w:sz w:val="16"/>
                <w:szCs w:val="16"/>
              </w:rPr>
            </w:pPr>
            <w:r>
              <w:rPr>
                <w:rStyle w:val="AERbody"/>
                <w:sz w:val="16"/>
                <w:szCs w:val="16"/>
              </w:rPr>
              <w:t>44</w:t>
            </w:r>
          </w:p>
        </w:tc>
      </w:tr>
    </w:tbl>
    <w:p w:rsidR="007C72D1" w:rsidRPr="003324F7" w:rsidRDefault="007C72D1" w:rsidP="007C72D1">
      <w:pPr>
        <w:pStyle w:val="AERbodytext"/>
        <w:numPr>
          <w:ilvl w:val="0"/>
          <w:numId w:val="7"/>
        </w:numPr>
        <w:spacing w:before="0" w:after="240"/>
      </w:pPr>
    </w:p>
    <w:p w:rsidR="007C72D1" w:rsidRDefault="007C72D1" w:rsidP="007C72D1">
      <w:pPr>
        <w:spacing w:after="0" w:line="240" w:lineRule="auto"/>
        <w:jc w:val="left"/>
        <w:rPr>
          <w:rFonts w:eastAsia="Times New Roman"/>
          <w:b/>
          <w:sz w:val="40"/>
          <w:szCs w:val="24"/>
          <w:lang w:eastAsia="en-AU"/>
        </w:rPr>
      </w:pPr>
    </w:p>
    <w:p w:rsidR="007C72D1" w:rsidRDefault="007C72D1" w:rsidP="007C72D1">
      <w:pPr>
        <w:pStyle w:val="UnnumberedHeading"/>
        <w:numPr>
          <w:ilvl w:val="0"/>
          <w:numId w:val="6"/>
        </w:numPr>
        <w:jc w:val="both"/>
      </w:pPr>
      <w:bookmarkStart w:id="0" w:name="_Toc365299405"/>
      <w:r>
        <w:lastRenderedPageBreak/>
        <w:t>Contents</w:t>
      </w:r>
      <w:bookmarkEnd w:id="0"/>
    </w:p>
    <w:p w:rsidR="008D21EB" w:rsidRDefault="007C72D1">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instrText xml:space="preserve"> TOC \o "1-2" \h \z \u \t "Heading 7,1,Heading 8,2" </w:instrText>
      </w:r>
      <w:r>
        <w:fldChar w:fldCharType="separate"/>
      </w:r>
      <w:hyperlink w:anchor="_Toc365299405" w:history="1">
        <w:r w:rsidR="008D21EB" w:rsidRPr="00D422C6">
          <w:rPr>
            <w:rStyle w:val="Hyperlink"/>
            <w:noProof/>
          </w:rPr>
          <w:t>Contents</w:t>
        </w:r>
        <w:r w:rsidR="008D21EB">
          <w:rPr>
            <w:noProof/>
            <w:webHidden/>
          </w:rPr>
          <w:tab/>
        </w:r>
        <w:r w:rsidR="008D21EB">
          <w:rPr>
            <w:noProof/>
            <w:webHidden/>
          </w:rPr>
          <w:fldChar w:fldCharType="begin"/>
        </w:r>
        <w:r w:rsidR="008D21EB">
          <w:rPr>
            <w:noProof/>
            <w:webHidden/>
          </w:rPr>
          <w:instrText xml:space="preserve"> PAGEREF _Toc365299405 \h </w:instrText>
        </w:r>
        <w:r w:rsidR="008D21EB">
          <w:rPr>
            <w:noProof/>
            <w:webHidden/>
          </w:rPr>
        </w:r>
        <w:r w:rsidR="008D21EB">
          <w:rPr>
            <w:noProof/>
            <w:webHidden/>
          </w:rPr>
          <w:fldChar w:fldCharType="separate"/>
        </w:r>
        <w:r w:rsidR="008D21EB">
          <w:rPr>
            <w:noProof/>
            <w:webHidden/>
          </w:rPr>
          <w:t>3</w:t>
        </w:r>
        <w:r w:rsidR="008D21EB">
          <w:rPr>
            <w:noProof/>
            <w:webHidden/>
          </w:rPr>
          <w:fldChar w:fldCharType="end"/>
        </w:r>
      </w:hyperlink>
    </w:p>
    <w:p w:rsidR="008D21EB" w:rsidRDefault="00022F02">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5299406" w:history="1">
        <w:r w:rsidR="008D21EB" w:rsidRPr="00D422C6">
          <w:rPr>
            <w:rStyle w:val="Hyperlink"/>
            <w:noProof/>
          </w:rPr>
          <w:t>1</w:t>
        </w:r>
        <w:r w:rsidR="008D21EB">
          <w:rPr>
            <w:rFonts w:asciiTheme="minorHAnsi" w:eastAsiaTheme="minorEastAsia" w:hAnsiTheme="minorHAnsi" w:cstheme="minorBidi"/>
            <w:b w:val="0"/>
            <w:bCs w:val="0"/>
            <w:noProof/>
            <w:sz w:val="22"/>
            <w:szCs w:val="22"/>
            <w:lang w:eastAsia="en-AU"/>
          </w:rPr>
          <w:tab/>
        </w:r>
        <w:r w:rsidR="008D21EB" w:rsidRPr="00D422C6">
          <w:rPr>
            <w:rStyle w:val="Hyperlink"/>
            <w:noProof/>
          </w:rPr>
          <w:t>Nature and authority</w:t>
        </w:r>
        <w:r w:rsidR="008D21EB">
          <w:rPr>
            <w:noProof/>
            <w:webHidden/>
          </w:rPr>
          <w:tab/>
        </w:r>
        <w:r w:rsidR="008D21EB">
          <w:rPr>
            <w:noProof/>
            <w:webHidden/>
          </w:rPr>
          <w:fldChar w:fldCharType="begin"/>
        </w:r>
        <w:r w:rsidR="008D21EB">
          <w:rPr>
            <w:noProof/>
            <w:webHidden/>
          </w:rPr>
          <w:instrText xml:space="preserve"> PAGEREF _Toc365299406 \h </w:instrText>
        </w:r>
        <w:r w:rsidR="008D21EB">
          <w:rPr>
            <w:noProof/>
            <w:webHidden/>
          </w:rPr>
        </w:r>
        <w:r w:rsidR="008D21EB">
          <w:rPr>
            <w:noProof/>
            <w:webHidden/>
          </w:rPr>
          <w:fldChar w:fldCharType="separate"/>
        </w:r>
        <w:r w:rsidR="008D21EB">
          <w:rPr>
            <w:noProof/>
            <w:webHidden/>
          </w:rPr>
          <w:t>4</w:t>
        </w:r>
        <w:r w:rsidR="008D21EB">
          <w:rPr>
            <w:noProof/>
            <w:webHidden/>
          </w:rPr>
          <w:fldChar w:fldCharType="end"/>
        </w:r>
      </w:hyperlink>
    </w:p>
    <w:p w:rsidR="008D21EB" w:rsidRDefault="00022F0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299407" w:history="1">
        <w:r w:rsidR="008D21EB" w:rsidRPr="00D422C6">
          <w:rPr>
            <w:rStyle w:val="Hyperlink"/>
            <w:noProof/>
          </w:rPr>
          <w:t>1.1</w:t>
        </w:r>
        <w:r w:rsidR="008D21EB">
          <w:rPr>
            <w:rFonts w:asciiTheme="minorHAnsi" w:eastAsiaTheme="minorEastAsia" w:hAnsiTheme="minorHAnsi" w:cstheme="minorBidi"/>
            <w:iCs w:val="0"/>
            <w:noProof/>
            <w:sz w:val="22"/>
            <w:szCs w:val="22"/>
            <w:lang w:eastAsia="en-AU"/>
          </w:rPr>
          <w:tab/>
        </w:r>
        <w:r w:rsidR="008D21EB" w:rsidRPr="00D422C6">
          <w:rPr>
            <w:rStyle w:val="Hyperlink"/>
            <w:noProof/>
          </w:rPr>
          <w:t>The National Electricity Law and the National Electricity Rules and what it means for you</w:t>
        </w:r>
        <w:r w:rsidR="008D21EB">
          <w:rPr>
            <w:noProof/>
            <w:webHidden/>
          </w:rPr>
          <w:tab/>
        </w:r>
        <w:r w:rsidR="008D21EB">
          <w:rPr>
            <w:noProof/>
            <w:webHidden/>
          </w:rPr>
          <w:fldChar w:fldCharType="begin"/>
        </w:r>
        <w:r w:rsidR="008D21EB">
          <w:rPr>
            <w:noProof/>
            <w:webHidden/>
          </w:rPr>
          <w:instrText xml:space="preserve"> PAGEREF _Toc365299407 \h </w:instrText>
        </w:r>
        <w:r w:rsidR="008D21EB">
          <w:rPr>
            <w:noProof/>
            <w:webHidden/>
          </w:rPr>
        </w:r>
        <w:r w:rsidR="008D21EB">
          <w:rPr>
            <w:noProof/>
            <w:webHidden/>
          </w:rPr>
          <w:fldChar w:fldCharType="separate"/>
        </w:r>
        <w:r w:rsidR="008D21EB">
          <w:rPr>
            <w:noProof/>
            <w:webHidden/>
          </w:rPr>
          <w:t>4</w:t>
        </w:r>
        <w:r w:rsidR="008D21EB">
          <w:rPr>
            <w:noProof/>
            <w:webHidden/>
          </w:rPr>
          <w:fldChar w:fldCharType="end"/>
        </w:r>
      </w:hyperlink>
    </w:p>
    <w:p w:rsidR="008D21EB" w:rsidRDefault="00022F0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299408" w:history="1">
        <w:r w:rsidR="008D21EB" w:rsidRPr="00D422C6">
          <w:rPr>
            <w:rStyle w:val="Hyperlink"/>
            <w:noProof/>
          </w:rPr>
          <w:t>1.2</w:t>
        </w:r>
        <w:r w:rsidR="008D21EB">
          <w:rPr>
            <w:rFonts w:asciiTheme="minorHAnsi" w:eastAsiaTheme="minorEastAsia" w:hAnsiTheme="minorHAnsi" w:cstheme="minorBidi"/>
            <w:iCs w:val="0"/>
            <w:noProof/>
            <w:sz w:val="22"/>
            <w:szCs w:val="22"/>
            <w:lang w:eastAsia="en-AU"/>
          </w:rPr>
          <w:tab/>
        </w:r>
        <w:r w:rsidR="008D21EB" w:rsidRPr="00D422C6">
          <w:rPr>
            <w:rStyle w:val="Hyperlink"/>
            <w:noProof/>
          </w:rPr>
          <w:t>Who should read this guideline?</w:t>
        </w:r>
        <w:r w:rsidR="008D21EB">
          <w:rPr>
            <w:noProof/>
            <w:webHidden/>
          </w:rPr>
          <w:tab/>
        </w:r>
        <w:r w:rsidR="008D21EB">
          <w:rPr>
            <w:noProof/>
            <w:webHidden/>
          </w:rPr>
          <w:fldChar w:fldCharType="begin"/>
        </w:r>
        <w:r w:rsidR="008D21EB">
          <w:rPr>
            <w:noProof/>
            <w:webHidden/>
          </w:rPr>
          <w:instrText xml:space="preserve"> PAGEREF _Toc365299408 \h </w:instrText>
        </w:r>
        <w:r w:rsidR="008D21EB">
          <w:rPr>
            <w:noProof/>
            <w:webHidden/>
          </w:rPr>
        </w:r>
        <w:r w:rsidR="008D21EB">
          <w:rPr>
            <w:noProof/>
            <w:webHidden/>
          </w:rPr>
          <w:fldChar w:fldCharType="separate"/>
        </w:r>
        <w:r w:rsidR="008D21EB">
          <w:rPr>
            <w:noProof/>
            <w:webHidden/>
          </w:rPr>
          <w:t>4</w:t>
        </w:r>
        <w:r w:rsidR="008D21EB">
          <w:rPr>
            <w:noProof/>
            <w:webHidden/>
          </w:rPr>
          <w:fldChar w:fldCharType="end"/>
        </w:r>
      </w:hyperlink>
    </w:p>
    <w:p w:rsidR="008D21EB" w:rsidRDefault="00022F0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299409" w:history="1">
        <w:r w:rsidR="008D21EB" w:rsidRPr="00D422C6">
          <w:rPr>
            <w:rStyle w:val="Hyperlink"/>
            <w:noProof/>
          </w:rPr>
          <w:t>1.3</w:t>
        </w:r>
        <w:r w:rsidR="008D21EB">
          <w:rPr>
            <w:rFonts w:asciiTheme="minorHAnsi" w:eastAsiaTheme="minorEastAsia" w:hAnsiTheme="minorHAnsi" w:cstheme="minorBidi"/>
            <w:iCs w:val="0"/>
            <w:noProof/>
            <w:sz w:val="22"/>
            <w:szCs w:val="22"/>
            <w:lang w:eastAsia="en-AU"/>
          </w:rPr>
          <w:tab/>
        </w:r>
        <w:r w:rsidR="008D21EB" w:rsidRPr="00D422C6">
          <w:rPr>
            <w:rStyle w:val="Hyperlink"/>
            <w:noProof/>
          </w:rPr>
          <w:t>About the AER</w:t>
        </w:r>
        <w:r w:rsidR="008D21EB">
          <w:rPr>
            <w:noProof/>
            <w:webHidden/>
          </w:rPr>
          <w:tab/>
        </w:r>
        <w:r w:rsidR="008D21EB">
          <w:rPr>
            <w:noProof/>
            <w:webHidden/>
          </w:rPr>
          <w:fldChar w:fldCharType="begin"/>
        </w:r>
        <w:r w:rsidR="008D21EB">
          <w:rPr>
            <w:noProof/>
            <w:webHidden/>
          </w:rPr>
          <w:instrText xml:space="preserve"> PAGEREF _Toc365299409 \h </w:instrText>
        </w:r>
        <w:r w:rsidR="008D21EB">
          <w:rPr>
            <w:noProof/>
            <w:webHidden/>
          </w:rPr>
        </w:r>
        <w:r w:rsidR="008D21EB">
          <w:rPr>
            <w:noProof/>
            <w:webHidden/>
          </w:rPr>
          <w:fldChar w:fldCharType="separate"/>
        </w:r>
        <w:r w:rsidR="008D21EB">
          <w:rPr>
            <w:noProof/>
            <w:webHidden/>
          </w:rPr>
          <w:t>6</w:t>
        </w:r>
        <w:r w:rsidR="008D21EB">
          <w:rPr>
            <w:noProof/>
            <w:webHidden/>
          </w:rPr>
          <w:fldChar w:fldCharType="end"/>
        </w:r>
      </w:hyperlink>
    </w:p>
    <w:p w:rsidR="005A0027" w:rsidRDefault="005A0027">
      <w:pPr>
        <w:pStyle w:val="TOC1"/>
        <w:tabs>
          <w:tab w:val="left" w:pos="400"/>
          <w:tab w:val="right" w:leader="dot" w:pos="9016"/>
        </w:tabs>
      </w:pPr>
    </w:p>
    <w:p w:rsidR="008D21EB" w:rsidRDefault="00022F02">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5299410" w:history="1">
        <w:r w:rsidR="008D21EB" w:rsidRPr="00D422C6">
          <w:rPr>
            <w:rStyle w:val="Hyperlink"/>
            <w:rFonts w:cs="Gautami"/>
            <w:noProof/>
          </w:rPr>
          <w:t>2</w:t>
        </w:r>
        <w:r w:rsidR="008D21EB">
          <w:rPr>
            <w:rFonts w:asciiTheme="minorHAnsi" w:eastAsiaTheme="minorEastAsia" w:hAnsiTheme="minorHAnsi" w:cstheme="minorBidi"/>
            <w:b w:val="0"/>
            <w:bCs w:val="0"/>
            <w:noProof/>
            <w:sz w:val="22"/>
            <w:szCs w:val="22"/>
            <w:lang w:eastAsia="en-AU"/>
          </w:rPr>
          <w:tab/>
        </w:r>
        <w:r w:rsidR="008D21EB" w:rsidRPr="00D422C6">
          <w:rPr>
            <w:rStyle w:val="Hyperlink"/>
            <w:rFonts w:cs="Gautami"/>
            <w:noProof/>
          </w:rPr>
          <w:t>Part A – About this guideline</w:t>
        </w:r>
        <w:r w:rsidR="008D21EB">
          <w:rPr>
            <w:noProof/>
            <w:webHidden/>
          </w:rPr>
          <w:tab/>
        </w:r>
        <w:r w:rsidR="008D21EB">
          <w:rPr>
            <w:noProof/>
            <w:webHidden/>
          </w:rPr>
          <w:fldChar w:fldCharType="begin"/>
        </w:r>
        <w:r w:rsidR="008D21EB">
          <w:rPr>
            <w:noProof/>
            <w:webHidden/>
          </w:rPr>
          <w:instrText xml:space="preserve"> PAGEREF _Toc365299410 \h </w:instrText>
        </w:r>
        <w:r w:rsidR="008D21EB">
          <w:rPr>
            <w:noProof/>
            <w:webHidden/>
          </w:rPr>
        </w:r>
        <w:r w:rsidR="008D21EB">
          <w:rPr>
            <w:noProof/>
            <w:webHidden/>
          </w:rPr>
          <w:fldChar w:fldCharType="separate"/>
        </w:r>
        <w:r w:rsidR="008D21EB">
          <w:rPr>
            <w:noProof/>
            <w:webHidden/>
          </w:rPr>
          <w:t>7</w:t>
        </w:r>
        <w:r w:rsidR="008D21EB">
          <w:rPr>
            <w:noProof/>
            <w:webHidden/>
          </w:rPr>
          <w:fldChar w:fldCharType="end"/>
        </w:r>
      </w:hyperlink>
    </w:p>
    <w:p w:rsidR="008D21EB" w:rsidRDefault="00022F0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299411" w:history="1">
        <w:r w:rsidR="008D21EB" w:rsidRPr="00D422C6">
          <w:rPr>
            <w:rStyle w:val="Hyperlink"/>
            <w:noProof/>
          </w:rPr>
          <w:t>2.1</w:t>
        </w:r>
        <w:r w:rsidR="008D21EB">
          <w:rPr>
            <w:rFonts w:asciiTheme="minorHAnsi" w:eastAsiaTheme="minorEastAsia" w:hAnsiTheme="minorHAnsi" w:cstheme="minorBidi"/>
            <w:iCs w:val="0"/>
            <w:noProof/>
            <w:sz w:val="22"/>
            <w:szCs w:val="22"/>
            <w:lang w:eastAsia="en-AU"/>
          </w:rPr>
          <w:tab/>
        </w:r>
        <w:r w:rsidR="008D21EB" w:rsidRPr="00D422C6">
          <w:rPr>
            <w:rStyle w:val="Hyperlink"/>
            <w:noProof/>
          </w:rPr>
          <w:t>Introduction</w:t>
        </w:r>
        <w:r w:rsidR="008D21EB">
          <w:rPr>
            <w:noProof/>
            <w:webHidden/>
          </w:rPr>
          <w:tab/>
        </w:r>
        <w:r w:rsidR="008D21EB">
          <w:rPr>
            <w:noProof/>
            <w:webHidden/>
          </w:rPr>
          <w:fldChar w:fldCharType="begin"/>
        </w:r>
        <w:r w:rsidR="008D21EB">
          <w:rPr>
            <w:noProof/>
            <w:webHidden/>
          </w:rPr>
          <w:instrText xml:space="preserve"> PAGEREF _Toc365299411 \h </w:instrText>
        </w:r>
        <w:r w:rsidR="008D21EB">
          <w:rPr>
            <w:noProof/>
            <w:webHidden/>
          </w:rPr>
        </w:r>
        <w:r w:rsidR="008D21EB">
          <w:rPr>
            <w:noProof/>
            <w:webHidden/>
          </w:rPr>
          <w:fldChar w:fldCharType="separate"/>
        </w:r>
        <w:r w:rsidR="008D21EB">
          <w:rPr>
            <w:noProof/>
            <w:webHidden/>
          </w:rPr>
          <w:t>7</w:t>
        </w:r>
        <w:r w:rsidR="008D21EB">
          <w:rPr>
            <w:noProof/>
            <w:webHidden/>
          </w:rPr>
          <w:fldChar w:fldCharType="end"/>
        </w:r>
      </w:hyperlink>
    </w:p>
    <w:p w:rsidR="008D21EB" w:rsidRDefault="00022F0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299412" w:history="1">
        <w:r w:rsidR="008D21EB" w:rsidRPr="00D422C6">
          <w:rPr>
            <w:rStyle w:val="Hyperlink"/>
            <w:noProof/>
          </w:rPr>
          <w:t>2.2</w:t>
        </w:r>
        <w:r w:rsidR="008D21EB">
          <w:rPr>
            <w:rFonts w:asciiTheme="minorHAnsi" w:eastAsiaTheme="minorEastAsia" w:hAnsiTheme="minorHAnsi" w:cstheme="minorBidi"/>
            <w:iCs w:val="0"/>
            <w:noProof/>
            <w:sz w:val="22"/>
            <w:szCs w:val="22"/>
            <w:lang w:eastAsia="en-AU"/>
          </w:rPr>
          <w:tab/>
        </w:r>
        <w:r w:rsidR="008D21EB" w:rsidRPr="00D422C6">
          <w:rPr>
            <w:rStyle w:val="Hyperlink"/>
            <w:noProof/>
          </w:rPr>
          <w:t>Who must register or obtain exemption?</w:t>
        </w:r>
        <w:r w:rsidR="008D21EB">
          <w:rPr>
            <w:noProof/>
            <w:webHidden/>
          </w:rPr>
          <w:tab/>
        </w:r>
        <w:r w:rsidR="008D21EB">
          <w:rPr>
            <w:noProof/>
            <w:webHidden/>
          </w:rPr>
          <w:fldChar w:fldCharType="begin"/>
        </w:r>
        <w:r w:rsidR="008D21EB">
          <w:rPr>
            <w:noProof/>
            <w:webHidden/>
          </w:rPr>
          <w:instrText xml:space="preserve"> PAGEREF _Toc365299412 \h </w:instrText>
        </w:r>
        <w:r w:rsidR="008D21EB">
          <w:rPr>
            <w:noProof/>
            <w:webHidden/>
          </w:rPr>
        </w:r>
        <w:r w:rsidR="008D21EB">
          <w:rPr>
            <w:noProof/>
            <w:webHidden/>
          </w:rPr>
          <w:fldChar w:fldCharType="separate"/>
        </w:r>
        <w:r w:rsidR="008D21EB">
          <w:rPr>
            <w:noProof/>
            <w:webHidden/>
          </w:rPr>
          <w:t>10</w:t>
        </w:r>
        <w:r w:rsidR="008D21EB">
          <w:rPr>
            <w:noProof/>
            <w:webHidden/>
          </w:rPr>
          <w:fldChar w:fldCharType="end"/>
        </w:r>
      </w:hyperlink>
    </w:p>
    <w:p w:rsidR="008D21EB" w:rsidRDefault="00022F0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299413" w:history="1">
        <w:r w:rsidR="008D21EB" w:rsidRPr="00D422C6">
          <w:rPr>
            <w:rStyle w:val="Hyperlink"/>
            <w:noProof/>
          </w:rPr>
          <w:t>2.3</w:t>
        </w:r>
        <w:r w:rsidR="008D21EB">
          <w:rPr>
            <w:rFonts w:asciiTheme="minorHAnsi" w:eastAsiaTheme="minorEastAsia" w:hAnsiTheme="minorHAnsi" w:cstheme="minorBidi"/>
            <w:iCs w:val="0"/>
            <w:noProof/>
            <w:sz w:val="22"/>
            <w:szCs w:val="22"/>
            <w:lang w:eastAsia="en-AU"/>
          </w:rPr>
          <w:tab/>
        </w:r>
        <w:r w:rsidR="008D21EB" w:rsidRPr="00D422C6">
          <w:rPr>
            <w:rStyle w:val="Hyperlink"/>
            <w:noProof/>
          </w:rPr>
          <w:t>What type of exemption applies to me?</w:t>
        </w:r>
        <w:r w:rsidR="008D21EB">
          <w:rPr>
            <w:noProof/>
            <w:webHidden/>
          </w:rPr>
          <w:tab/>
        </w:r>
        <w:r w:rsidR="008D21EB">
          <w:rPr>
            <w:noProof/>
            <w:webHidden/>
          </w:rPr>
          <w:fldChar w:fldCharType="begin"/>
        </w:r>
        <w:r w:rsidR="008D21EB">
          <w:rPr>
            <w:noProof/>
            <w:webHidden/>
          </w:rPr>
          <w:instrText xml:space="preserve"> PAGEREF _Toc365299413 \h </w:instrText>
        </w:r>
        <w:r w:rsidR="008D21EB">
          <w:rPr>
            <w:noProof/>
            <w:webHidden/>
          </w:rPr>
        </w:r>
        <w:r w:rsidR="008D21EB">
          <w:rPr>
            <w:noProof/>
            <w:webHidden/>
          </w:rPr>
          <w:fldChar w:fldCharType="separate"/>
        </w:r>
        <w:r w:rsidR="008D21EB">
          <w:rPr>
            <w:noProof/>
            <w:webHidden/>
          </w:rPr>
          <w:t>12</w:t>
        </w:r>
        <w:r w:rsidR="008D21EB">
          <w:rPr>
            <w:noProof/>
            <w:webHidden/>
          </w:rPr>
          <w:fldChar w:fldCharType="end"/>
        </w:r>
      </w:hyperlink>
    </w:p>
    <w:p w:rsidR="008D21EB" w:rsidRDefault="00022F0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299414" w:history="1">
        <w:r w:rsidR="008D21EB" w:rsidRPr="00D422C6">
          <w:rPr>
            <w:rStyle w:val="Hyperlink"/>
            <w:rFonts w:cs="Gautami"/>
            <w:noProof/>
          </w:rPr>
          <w:t>2.4</w:t>
        </w:r>
        <w:r w:rsidR="008D21EB">
          <w:rPr>
            <w:rFonts w:asciiTheme="minorHAnsi" w:eastAsiaTheme="minorEastAsia" w:hAnsiTheme="minorHAnsi" w:cstheme="minorBidi"/>
            <w:iCs w:val="0"/>
            <w:noProof/>
            <w:sz w:val="22"/>
            <w:szCs w:val="22"/>
            <w:lang w:eastAsia="en-AU"/>
          </w:rPr>
          <w:tab/>
        </w:r>
        <w:r w:rsidR="008D21EB" w:rsidRPr="00D422C6">
          <w:rPr>
            <w:rStyle w:val="Hyperlink"/>
            <w:rFonts w:cs="Gautami"/>
            <w:noProof/>
          </w:rPr>
          <w:t>How do I obtain an exemption?</w:t>
        </w:r>
        <w:r w:rsidR="008D21EB">
          <w:rPr>
            <w:noProof/>
            <w:webHidden/>
          </w:rPr>
          <w:tab/>
        </w:r>
        <w:r w:rsidR="008D21EB">
          <w:rPr>
            <w:noProof/>
            <w:webHidden/>
          </w:rPr>
          <w:fldChar w:fldCharType="begin"/>
        </w:r>
        <w:r w:rsidR="008D21EB">
          <w:rPr>
            <w:noProof/>
            <w:webHidden/>
          </w:rPr>
          <w:instrText xml:space="preserve"> PAGEREF _Toc365299414 \h </w:instrText>
        </w:r>
        <w:r w:rsidR="008D21EB">
          <w:rPr>
            <w:noProof/>
            <w:webHidden/>
          </w:rPr>
        </w:r>
        <w:r w:rsidR="008D21EB">
          <w:rPr>
            <w:noProof/>
            <w:webHidden/>
          </w:rPr>
          <w:fldChar w:fldCharType="separate"/>
        </w:r>
        <w:r w:rsidR="008D21EB">
          <w:rPr>
            <w:noProof/>
            <w:webHidden/>
          </w:rPr>
          <w:t>14</w:t>
        </w:r>
        <w:r w:rsidR="008D21EB">
          <w:rPr>
            <w:noProof/>
            <w:webHidden/>
          </w:rPr>
          <w:fldChar w:fldCharType="end"/>
        </w:r>
      </w:hyperlink>
    </w:p>
    <w:p w:rsidR="005A0027" w:rsidRDefault="005A0027">
      <w:pPr>
        <w:pStyle w:val="TOC1"/>
        <w:tabs>
          <w:tab w:val="left" w:pos="400"/>
          <w:tab w:val="right" w:leader="dot" w:pos="9016"/>
        </w:tabs>
      </w:pPr>
    </w:p>
    <w:p w:rsidR="008D21EB" w:rsidRDefault="00022F02">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5299415" w:history="1">
        <w:r w:rsidR="008D21EB" w:rsidRPr="00D422C6">
          <w:rPr>
            <w:rStyle w:val="Hyperlink"/>
            <w:noProof/>
          </w:rPr>
          <w:t>3</w:t>
        </w:r>
        <w:r w:rsidR="008D21EB">
          <w:rPr>
            <w:rFonts w:asciiTheme="minorHAnsi" w:eastAsiaTheme="minorEastAsia" w:hAnsiTheme="minorHAnsi" w:cstheme="minorBidi"/>
            <w:b w:val="0"/>
            <w:bCs w:val="0"/>
            <w:noProof/>
            <w:sz w:val="22"/>
            <w:szCs w:val="22"/>
            <w:lang w:eastAsia="en-AU"/>
          </w:rPr>
          <w:tab/>
        </w:r>
        <w:r w:rsidR="008D21EB" w:rsidRPr="00D422C6">
          <w:rPr>
            <w:rStyle w:val="Hyperlink"/>
            <w:noProof/>
          </w:rPr>
          <w:t>Introduction and exemption classes</w:t>
        </w:r>
        <w:r w:rsidR="008D21EB">
          <w:rPr>
            <w:noProof/>
            <w:webHidden/>
          </w:rPr>
          <w:tab/>
        </w:r>
        <w:r w:rsidR="008D21EB">
          <w:rPr>
            <w:noProof/>
            <w:webHidden/>
          </w:rPr>
          <w:fldChar w:fldCharType="begin"/>
        </w:r>
        <w:r w:rsidR="008D21EB">
          <w:rPr>
            <w:noProof/>
            <w:webHidden/>
          </w:rPr>
          <w:instrText xml:space="preserve"> PAGEREF _Toc365299415 \h </w:instrText>
        </w:r>
        <w:r w:rsidR="008D21EB">
          <w:rPr>
            <w:noProof/>
            <w:webHidden/>
          </w:rPr>
        </w:r>
        <w:r w:rsidR="008D21EB">
          <w:rPr>
            <w:noProof/>
            <w:webHidden/>
          </w:rPr>
          <w:fldChar w:fldCharType="separate"/>
        </w:r>
        <w:r w:rsidR="008D21EB">
          <w:rPr>
            <w:noProof/>
            <w:webHidden/>
          </w:rPr>
          <w:t>18</w:t>
        </w:r>
        <w:r w:rsidR="008D21EB">
          <w:rPr>
            <w:noProof/>
            <w:webHidden/>
          </w:rPr>
          <w:fldChar w:fldCharType="end"/>
        </w:r>
      </w:hyperlink>
    </w:p>
    <w:p w:rsidR="008D21EB" w:rsidRDefault="00022F0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299416" w:history="1">
        <w:r w:rsidR="008D21EB" w:rsidRPr="00D422C6">
          <w:rPr>
            <w:rStyle w:val="Hyperlink"/>
            <w:noProof/>
          </w:rPr>
          <w:t>3.1</w:t>
        </w:r>
        <w:r w:rsidR="008D21EB">
          <w:rPr>
            <w:rFonts w:asciiTheme="minorHAnsi" w:eastAsiaTheme="minorEastAsia" w:hAnsiTheme="minorHAnsi" w:cstheme="minorBidi"/>
            <w:iCs w:val="0"/>
            <w:noProof/>
            <w:sz w:val="22"/>
            <w:szCs w:val="22"/>
            <w:lang w:eastAsia="en-AU"/>
          </w:rPr>
          <w:tab/>
        </w:r>
        <w:r w:rsidR="008D21EB" w:rsidRPr="00D422C6">
          <w:rPr>
            <w:rStyle w:val="Hyperlink"/>
            <w:noProof/>
          </w:rPr>
          <w:t>Deemed exemption classes</w:t>
        </w:r>
        <w:r w:rsidR="008D21EB">
          <w:rPr>
            <w:noProof/>
            <w:webHidden/>
          </w:rPr>
          <w:tab/>
        </w:r>
        <w:r w:rsidR="008D21EB">
          <w:rPr>
            <w:noProof/>
            <w:webHidden/>
          </w:rPr>
          <w:fldChar w:fldCharType="begin"/>
        </w:r>
        <w:r w:rsidR="008D21EB">
          <w:rPr>
            <w:noProof/>
            <w:webHidden/>
          </w:rPr>
          <w:instrText xml:space="preserve"> PAGEREF _Toc365299416 \h </w:instrText>
        </w:r>
        <w:r w:rsidR="008D21EB">
          <w:rPr>
            <w:noProof/>
            <w:webHidden/>
          </w:rPr>
        </w:r>
        <w:r w:rsidR="008D21EB">
          <w:rPr>
            <w:noProof/>
            <w:webHidden/>
          </w:rPr>
          <w:fldChar w:fldCharType="separate"/>
        </w:r>
        <w:r w:rsidR="008D21EB">
          <w:rPr>
            <w:noProof/>
            <w:webHidden/>
          </w:rPr>
          <w:t>18</w:t>
        </w:r>
        <w:r w:rsidR="008D21EB">
          <w:rPr>
            <w:noProof/>
            <w:webHidden/>
          </w:rPr>
          <w:fldChar w:fldCharType="end"/>
        </w:r>
      </w:hyperlink>
    </w:p>
    <w:p w:rsidR="008D21EB" w:rsidRDefault="00022F0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299417" w:history="1">
        <w:r w:rsidR="008D21EB" w:rsidRPr="00D422C6">
          <w:rPr>
            <w:rStyle w:val="Hyperlink"/>
            <w:noProof/>
          </w:rPr>
          <w:t>3.2</w:t>
        </w:r>
        <w:r w:rsidR="008D21EB">
          <w:rPr>
            <w:rFonts w:asciiTheme="minorHAnsi" w:eastAsiaTheme="minorEastAsia" w:hAnsiTheme="minorHAnsi" w:cstheme="minorBidi"/>
            <w:iCs w:val="0"/>
            <w:noProof/>
            <w:sz w:val="22"/>
            <w:szCs w:val="22"/>
            <w:lang w:eastAsia="en-AU"/>
          </w:rPr>
          <w:tab/>
        </w:r>
        <w:r w:rsidR="008D21EB" w:rsidRPr="00D422C6">
          <w:rPr>
            <w:rStyle w:val="Hyperlink"/>
            <w:noProof/>
          </w:rPr>
          <w:t>Registrable exemption classes</w:t>
        </w:r>
        <w:r w:rsidR="008D21EB">
          <w:rPr>
            <w:noProof/>
            <w:webHidden/>
          </w:rPr>
          <w:tab/>
        </w:r>
        <w:r w:rsidR="008D21EB">
          <w:rPr>
            <w:noProof/>
            <w:webHidden/>
          </w:rPr>
          <w:fldChar w:fldCharType="begin"/>
        </w:r>
        <w:r w:rsidR="008D21EB">
          <w:rPr>
            <w:noProof/>
            <w:webHidden/>
          </w:rPr>
          <w:instrText xml:space="preserve"> PAGEREF _Toc365299417 \h </w:instrText>
        </w:r>
        <w:r w:rsidR="008D21EB">
          <w:rPr>
            <w:noProof/>
            <w:webHidden/>
          </w:rPr>
        </w:r>
        <w:r w:rsidR="008D21EB">
          <w:rPr>
            <w:noProof/>
            <w:webHidden/>
          </w:rPr>
          <w:fldChar w:fldCharType="separate"/>
        </w:r>
        <w:r w:rsidR="008D21EB">
          <w:rPr>
            <w:noProof/>
            <w:webHidden/>
          </w:rPr>
          <w:t>20</w:t>
        </w:r>
        <w:r w:rsidR="008D21EB">
          <w:rPr>
            <w:noProof/>
            <w:webHidden/>
          </w:rPr>
          <w:fldChar w:fldCharType="end"/>
        </w:r>
      </w:hyperlink>
    </w:p>
    <w:p w:rsidR="008D21EB" w:rsidRDefault="00022F0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299418" w:history="1">
        <w:r w:rsidR="008D21EB" w:rsidRPr="00D422C6">
          <w:rPr>
            <w:rStyle w:val="Hyperlink"/>
            <w:noProof/>
          </w:rPr>
          <w:t>3.3</w:t>
        </w:r>
        <w:r w:rsidR="008D21EB">
          <w:rPr>
            <w:rFonts w:asciiTheme="minorHAnsi" w:eastAsiaTheme="minorEastAsia" w:hAnsiTheme="minorHAnsi" w:cstheme="minorBidi"/>
            <w:iCs w:val="0"/>
            <w:noProof/>
            <w:sz w:val="22"/>
            <w:szCs w:val="22"/>
            <w:lang w:eastAsia="en-AU"/>
          </w:rPr>
          <w:tab/>
        </w:r>
        <w:r w:rsidR="008D21EB" w:rsidRPr="00D422C6">
          <w:rPr>
            <w:rStyle w:val="Hyperlink"/>
            <w:noProof/>
          </w:rPr>
          <w:t>Individual exemption</w:t>
        </w:r>
        <w:r w:rsidR="008D21EB">
          <w:rPr>
            <w:noProof/>
            <w:webHidden/>
          </w:rPr>
          <w:tab/>
        </w:r>
        <w:r w:rsidR="008D21EB">
          <w:rPr>
            <w:noProof/>
            <w:webHidden/>
          </w:rPr>
          <w:fldChar w:fldCharType="begin"/>
        </w:r>
        <w:r w:rsidR="008D21EB">
          <w:rPr>
            <w:noProof/>
            <w:webHidden/>
          </w:rPr>
          <w:instrText xml:space="preserve"> PAGEREF _Toc365299418 \h </w:instrText>
        </w:r>
        <w:r w:rsidR="008D21EB">
          <w:rPr>
            <w:noProof/>
            <w:webHidden/>
          </w:rPr>
        </w:r>
        <w:r w:rsidR="008D21EB">
          <w:rPr>
            <w:noProof/>
            <w:webHidden/>
          </w:rPr>
          <w:fldChar w:fldCharType="separate"/>
        </w:r>
        <w:r w:rsidR="008D21EB">
          <w:rPr>
            <w:noProof/>
            <w:webHidden/>
          </w:rPr>
          <w:t>22</w:t>
        </w:r>
        <w:r w:rsidR="008D21EB">
          <w:rPr>
            <w:noProof/>
            <w:webHidden/>
          </w:rPr>
          <w:fldChar w:fldCharType="end"/>
        </w:r>
      </w:hyperlink>
    </w:p>
    <w:p w:rsidR="005A0027" w:rsidRDefault="005A0027">
      <w:pPr>
        <w:pStyle w:val="TOC1"/>
        <w:tabs>
          <w:tab w:val="left" w:pos="400"/>
          <w:tab w:val="right" w:leader="dot" w:pos="9016"/>
        </w:tabs>
      </w:pPr>
    </w:p>
    <w:p w:rsidR="008D21EB" w:rsidRDefault="00022F02">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5299419" w:history="1">
        <w:r w:rsidR="008D21EB" w:rsidRPr="00D422C6">
          <w:rPr>
            <w:rStyle w:val="Hyperlink"/>
            <w:noProof/>
          </w:rPr>
          <w:t>4</w:t>
        </w:r>
        <w:r w:rsidR="008D21EB">
          <w:rPr>
            <w:rFonts w:asciiTheme="minorHAnsi" w:eastAsiaTheme="minorEastAsia" w:hAnsiTheme="minorHAnsi" w:cstheme="minorBidi"/>
            <w:b w:val="0"/>
            <w:bCs w:val="0"/>
            <w:noProof/>
            <w:sz w:val="22"/>
            <w:szCs w:val="22"/>
            <w:lang w:eastAsia="en-AU"/>
          </w:rPr>
          <w:tab/>
        </w:r>
        <w:r w:rsidR="008D21EB" w:rsidRPr="00D422C6">
          <w:rPr>
            <w:rStyle w:val="Hyperlink"/>
            <w:noProof/>
          </w:rPr>
          <w:t>Part B – Conditions</w:t>
        </w:r>
        <w:r w:rsidR="008D21EB">
          <w:rPr>
            <w:noProof/>
            <w:webHidden/>
          </w:rPr>
          <w:tab/>
        </w:r>
        <w:r w:rsidR="008D21EB">
          <w:rPr>
            <w:noProof/>
            <w:webHidden/>
          </w:rPr>
          <w:fldChar w:fldCharType="begin"/>
        </w:r>
        <w:r w:rsidR="008D21EB">
          <w:rPr>
            <w:noProof/>
            <w:webHidden/>
          </w:rPr>
          <w:instrText xml:space="preserve"> PAGEREF _Toc365299419 \h </w:instrText>
        </w:r>
        <w:r w:rsidR="008D21EB">
          <w:rPr>
            <w:noProof/>
            <w:webHidden/>
          </w:rPr>
        </w:r>
        <w:r w:rsidR="008D21EB">
          <w:rPr>
            <w:noProof/>
            <w:webHidden/>
          </w:rPr>
          <w:fldChar w:fldCharType="separate"/>
        </w:r>
        <w:r w:rsidR="008D21EB">
          <w:rPr>
            <w:noProof/>
            <w:webHidden/>
          </w:rPr>
          <w:t>23</w:t>
        </w:r>
        <w:r w:rsidR="008D21EB">
          <w:rPr>
            <w:noProof/>
            <w:webHidden/>
          </w:rPr>
          <w:fldChar w:fldCharType="end"/>
        </w:r>
      </w:hyperlink>
    </w:p>
    <w:p w:rsidR="008D21EB" w:rsidRDefault="00022F0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299420" w:history="1">
        <w:r w:rsidR="008D21EB" w:rsidRPr="00D422C6">
          <w:rPr>
            <w:rStyle w:val="Hyperlink"/>
            <w:noProof/>
          </w:rPr>
          <w:t>4.1</w:t>
        </w:r>
        <w:r w:rsidR="008D21EB">
          <w:rPr>
            <w:rFonts w:asciiTheme="minorHAnsi" w:eastAsiaTheme="minorEastAsia" w:hAnsiTheme="minorHAnsi" w:cstheme="minorBidi"/>
            <w:iCs w:val="0"/>
            <w:noProof/>
            <w:sz w:val="22"/>
            <w:szCs w:val="22"/>
            <w:lang w:eastAsia="en-AU"/>
          </w:rPr>
          <w:tab/>
        </w:r>
        <w:r w:rsidR="008D21EB" w:rsidRPr="00D422C6">
          <w:rPr>
            <w:rStyle w:val="Hyperlink"/>
            <w:noProof/>
          </w:rPr>
          <w:t>General requirements</w:t>
        </w:r>
        <w:r w:rsidR="008D21EB">
          <w:rPr>
            <w:noProof/>
            <w:webHidden/>
          </w:rPr>
          <w:tab/>
        </w:r>
        <w:r w:rsidR="008D21EB">
          <w:rPr>
            <w:noProof/>
            <w:webHidden/>
          </w:rPr>
          <w:fldChar w:fldCharType="begin"/>
        </w:r>
        <w:r w:rsidR="008D21EB">
          <w:rPr>
            <w:noProof/>
            <w:webHidden/>
          </w:rPr>
          <w:instrText xml:space="preserve"> PAGEREF _Toc365299420 \h </w:instrText>
        </w:r>
        <w:r w:rsidR="008D21EB">
          <w:rPr>
            <w:noProof/>
            <w:webHidden/>
          </w:rPr>
        </w:r>
        <w:r w:rsidR="008D21EB">
          <w:rPr>
            <w:noProof/>
            <w:webHidden/>
          </w:rPr>
          <w:fldChar w:fldCharType="separate"/>
        </w:r>
        <w:r w:rsidR="008D21EB">
          <w:rPr>
            <w:noProof/>
            <w:webHidden/>
          </w:rPr>
          <w:t>23</w:t>
        </w:r>
        <w:r w:rsidR="008D21EB">
          <w:rPr>
            <w:noProof/>
            <w:webHidden/>
          </w:rPr>
          <w:fldChar w:fldCharType="end"/>
        </w:r>
      </w:hyperlink>
    </w:p>
    <w:p w:rsidR="008D21EB" w:rsidRDefault="00022F0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299421" w:history="1">
        <w:r w:rsidR="008D21EB" w:rsidRPr="00D422C6">
          <w:rPr>
            <w:rStyle w:val="Hyperlink"/>
            <w:noProof/>
          </w:rPr>
          <w:t>4.2</w:t>
        </w:r>
        <w:r w:rsidR="008D21EB">
          <w:rPr>
            <w:rFonts w:asciiTheme="minorHAnsi" w:eastAsiaTheme="minorEastAsia" w:hAnsiTheme="minorHAnsi" w:cstheme="minorBidi"/>
            <w:iCs w:val="0"/>
            <w:noProof/>
            <w:sz w:val="22"/>
            <w:szCs w:val="22"/>
            <w:lang w:eastAsia="en-AU"/>
          </w:rPr>
          <w:tab/>
        </w:r>
        <w:r w:rsidR="008D21EB" w:rsidRPr="00D422C6">
          <w:rPr>
            <w:rStyle w:val="Hyperlink"/>
            <w:noProof/>
          </w:rPr>
          <w:t>Metering installation</w:t>
        </w:r>
        <w:r w:rsidR="008D21EB">
          <w:rPr>
            <w:noProof/>
            <w:webHidden/>
          </w:rPr>
          <w:tab/>
        </w:r>
        <w:r w:rsidR="008D21EB">
          <w:rPr>
            <w:noProof/>
            <w:webHidden/>
          </w:rPr>
          <w:fldChar w:fldCharType="begin"/>
        </w:r>
        <w:r w:rsidR="008D21EB">
          <w:rPr>
            <w:noProof/>
            <w:webHidden/>
          </w:rPr>
          <w:instrText xml:space="preserve"> PAGEREF _Toc365299421 \h </w:instrText>
        </w:r>
        <w:r w:rsidR="008D21EB">
          <w:rPr>
            <w:noProof/>
            <w:webHidden/>
          </w:rPr>
        </w:r>
        <w:r w:rsidR="008D21EB">
          <w:rPr>
            <w:noProof/>
            <w:webHidden/>
          </w:rPr>
          <w:fldChar w:fldCharType="separate"/>
        </w:r>
        <w:r w:rsidR="008D21EB">
          <w:rPr>
            <w:noProof/>
            <w:webHidden/>
          </w:rPr>
          <w:t>30</w:t>
        </w:r>
        <w:r w:rsidR="008D21EB">
          <w:rPr>
            <w:noProof/>
            <w:webHidden/>
          </w:rPr>
          <w:fldChar w:fldCharType="end"/>
        </w:r>
      </w:hyperlink>
    </w:p>
    <w:p w:rsidR="008D21EB" w:rsidRDefault="00022F0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299422" w:history="1">
        <w:r w:rsidR="008D21EB" w:rsidRPr="00D422C6">
          <w:rPr>
            <w:rStyle w:val="Hyperlink"/>
            <w:noProof/>
          </w:rPr>
          <w:t>4.3</w:t>
        </w:r>
        <w:r w:rsidR="008D21EB">
          <w:rPr>
            <w:rFonts w:asciiTheme="minorHAnsi" w:eastAsiaTheme="minorEastAsia" w:hAnsiTheme="minorHAnsi" w:cstheme="minorBidi"/>
            <w:iCs w:val="0"/>
            <w:noProof/>
            <w:sz w:val="22"/>
            <w:szCs w:val="22"/>
            <w:lang w:eastAsia="en-AU"/>
          </w:rPr>
          <w:tab/>
        </w:r>
        <w:r w:rsidR="008D21EB" w:rsidRPr="00D422C6">
          <w:rPr>
            <w:rStyle w:val="Hyperlink"/>
            <w:noProof/>
          </w:rPr>
          <w:t>Metering accuracy</w:t>
        </w:r>
        <w:r w:rsidR="008D21EB">
          <w:rPr>
            <w:noProof/>
            <w:webHidden/>
          </w:rPr>
          <w:tab/>
        </w:r>
        <w:r w:rsidR="008D21EB">
          <w:rPr>
            <w:noProof/>
            <w:webHidden/>
          </w:rPr>
          <w:fldChar w:fldCharType="begin"/>
        </w:r>
        <w:r w:rsidR="008D21EB">
          <w:rPr>
            <w:noProof/>
            <w:webHidden/>
          </w:rPr>
          <w:instrText xml:space="preserve"> PAGEREF _Toc365299422 \h </w:instrText>
        </w:r>
        <w:r w:rsidR="008D21EB">
          <w:rPr>
            <w:noProof/>
            <w:webHidden/>
          </w:rPr>
        </w:r>
        <w:r w:rsidR="008D21EB">
          <w:rPr>
            <w:noProof/>
            <w:webHidden/>
          </w:rPr>
          <w:fldChar w:fldCharType="separate"/>
        </w:r>
        <w:r w:rsidR="008D21EB">
          <w:rPr>
            <w:noProof/>
            <w:webHidden/>
          </w:rPr>
          <w:t>31</w:t>
        </w:r>
        <w:r w:rsidR="008D21EB">
          <w:rPr>
            <w:noProof/>
            <w:webHidden/>
          </w:rPr>
          <w:fldChar w:fldCharType="end"/>
        </w:r>
      </w:hyperlink>
    </w:p>
    <w:p w:rsidR="008D21EB" w:rsidRDefault="00022F0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299423" w:history="1">
        <w:r w:rsidR="008D21EB" w:rsidRPr="00D422C6">
          <w:rPr>
            <w:rStyle w:val="Hyperlink"/>
            <w:noProof/>
          </w:rPr>
          <w:t>4.4</w:t>
        </w:r>
        <w:r w:rsidR="008D21EB">
          <w:rPr>
            <w:rFonts w:asciiTheme="minorHAnsi" w:eastAsiaTheme="minorEastAsia" w:hAnsiTheme="minorHAnsi" w:cstheme="minorBidi"/>
            <w:iCs w:val="0"/>
            <w:noProof/>
            <w:sz w:val="22"/>
            <w:szCs w:val="22"/>
            <w:lang w:eastAsia="en-AU"/>
          </w:rPr>
          <w:tab/>
        </w:r>
        <w:r w:rsidR="008D21EB" w:rsidRPr="00D422C6">
          <w:rPr>
            <w:rStyle w:val="Hyperlink"/>
            <w:noProof/>
          </w:rPr>
          <w:t>AEMO and retail competition</w:t>
        </w:r>
        <w:r w:rsidR="008D21EB">
          <w:rPr>
            <w:noProof/>
            <w:webHidden/>
          </w:rPr>
          <w:tab/>
        </w:r>
        <w:r w:rsidR="008D21EB">
          <w:rPr>
            <w:noProof/>
            <w:webHidden/>
          </w:rPr>
          <w:fldChar w:fldCharType="begin"/>
        </w:r>
        <w:r w:rsidR="008D21EB">
          <w:rPr>
            <w:noProof/>
            <w:webHidden/>
          </w:rPr>
          <w:instrText xml:space="preserve"> PAGEREF _Toc365299423 \h </w:instrText>
        </w:r>
        <w:r w:rsidR="008D21EB">
          <w:rPr>
            <w:noProof/>
            <w:webHidden/>
          </w:rPr>
        </w:r>
        <w:r w:rsidR="008D21EB">
          <w:rPr>
            <w:noProof/>
            <w:webHidden/>
          </w:rPr>
          <w:fldChar w:fldCharType="separate"/>
        </w:r>
        <w:r w:rsidR="008D21EB">
          <w:rPr>
            <w:noProof/>
            <w:webHidden/>
          </w:rPr>
          <w:t>32</w:t>
        </w:r>
        <w:r w:rsidR="008D21EB">
          <w:rPr>
            <w:noProof/>
            <w:webHidden/>
          </w:rPr>
          <w:fldChar w:fldCharType="end"/>
        </w:r>
      </w:hyperlink>
    </w:p>
    <w:p w:rsidR="008D21EB" w:rsidRDefault="00022F0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299424" w:history="1">
        <w:r w:rsidR="008D21EB" w:rsidRPr="00D422C6">
          <w:rPr>
            <w:rStyle w:val="Hyperlink"/>
            <w:noProof/>
          </w:rPr>
          <w:t>4.5</w:t>
        </w:r>
        <w:r w:rsidR="008D21EB">
          <w:rPr>
            <w:rFonts w:asciiTheme="minorHAnsi" w:eastAsiaTheme="minorEastAsia" w:hAnsiTheme="minorHAnsi" w:cstheme="minorBidi"/>
            <w:iCs w:val="0"/>
            <w:noProof/>
            <w:sz w:val="22"/>
            <w:szCs w:val="22"/>
            <w:lang w:eastAsia="en-AU"/>
          </w:rPr>
          <w:tab/>
        </w:r>
        <w:r w:rsidR="008D21EB" w:rsidRPr="00D422C6">
          <w:rPr>
            <w:rStyle w:val="Hyperlink"/>
            <w:noProof/>
          </w:rPr>
          <w:t>Distribution loss factors</w:t>
        </w:r>
        <w:r w:rsidR="008D21EB">
          <w:rPr>
            <w:noProof/>
            <w:webHidden/>
          </w:rPr>
          <w:tab/>
        </w:r>
        <w:r w:rsidR="008D21EB">
          <w:rPr>
            <w:noProof/>
            <w:webHidden/>
          </w:rPr>
          <w:fldChar w:fldCharType="begin"/>
        </w:r>
        <w:r w:rsidR="008D21EB">
          <w:rPr>
            <w:noProof/>
            <w:webHidden/>
          </w:rPr>
          <w:instrText xml:space="preserve"> PAGEREF _Toc365299424 \h </w:instrText>
        </w:r>
        <w:r w:rsidR="008D21EB">
          <w:rPr>
            <w:noProof/>
            <w:webHidden/>
          </w:rPr>
        </w:r>
        <w:r w:rsidR="008D21EB">
          <w:rPr>
            <w:noProof/>
            <w:webHidden/>
          </w:rPr>
          <w:fldChar w:fldCharType="separate"/>
        </w:r>
        <w:r w:rsidR="008D21EB">
          <w:rPr>
            <w:noProof/>
            <w:webHidden/>
          </w:rPr>
          <w:t>33</w:t>
        </w:r>
        <w:r w:rsidR="008D21EB">
          <w:rPr>
            <w:noProof/>
            <w:webHidden/>
          </w:rPr>
          <w:fldChar w:fldCharType="end"/>
        </w:r>
      </w:hyperlink>
    </w:p>
    <w:p w:rsidR="008D21EB" w:rsidRDefault="00022F0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299425" w:history="1">
        <w:r w:rsidR="008D21EB" w:rsidRPr="00D422C6">
          <w:rPr>
            <w:rStyle w:val="Hyperlink"/>
            <w:noProof/>
          </w:rPr>
          <w:t>4.6</w:t>
        </w:r>
        <w:r w:rsidR="008D21EB">
          <w:rPr>
            <w:rFonts w:asciiTheme="minorHAnsi" w:eastAsiaTheme="minorEastAsia" w:hAnsiTheme="minorHAnsi" w:cstheme="minorBidi"/>
            <w:iCs w:val="0"/>
            <w:noProof/>
            <w:sz w:val="22"/>
            <w:szCs w:val="22"/>
            <w:lang w:eastAsia="en-AU"/>
          </w:rPr>
          <w:tab/>
        </w:r>
        <w:r w:rsidR="008D21EB" w:rsidRPr="00D422C6">
          <w:rPr>
            <w:rStyle w:val="Hyperlink"/>
            <w:noProof/>
          </w:rPr>
          <w:t>Pricing</w:t>
        </w:r>
        <w:r w:rsidR="008D21EB">
          <w:rPr>
            <w:noProof/>
            <w:webHidden/>
          </w:rPr>
          <w:tab/>
        </w:r>
        <w:r w:rsidR="008D21EB">
          <w:rPr>
            <w:noProof/>
            <w:webHidden/>
          </w:rPr>
          <w:fldChar w:fldCharType="begin"/>
        </w:r>
        <w:r w:rsidR="008D21EB">
          <w:rPr>
            <w:noProof/>
            <w:webHidden/>
          </w:rPr>
          <w:instrText xml:space="preserve"> PAGEREF _Toc365299425 \h </w:instrText>
        </w:r>
        <w:r w:rsidR="008D21EB">
          <w:rPr>
            <w:noProof/>
            <w:webHidden/>
          </w:rPr>
        </w:r>
        <w:r w:rsidR="008D21EB">
          <w:rPr>
            <w:noProof/>
            <w:webHidden/>
          </w:rPr>
          <w:fldChar w:fldCharType="separate"/>
        </w:r>
        <w:r w:rsidR="008D21EB">
          <w:rPr>
            <w:noProof/>
            <w:webHidden/>
          </w:rPr>
          <w:t>34</w:t>
        </w:r>
        <w:r w:rsidR="008D21EB">
          <w:rPr>
            <w:noProof/>
            <w:webHidden/>
          </w:rPr>
          <w:fldChar w:fldCharType="end"/>
        </w:r>
      </w:hyperlink>
    </w:p>
    <w:p w:rsidR="005A0027" w:rsidRDefault="005A0027">
      <w:pPr>
        <w:pStyle w:val="TOC1"/>
        <w:tabs>
          <w:tab w:val="left" w:pos="400"/>
          <w:tab w:val="right" w:leader="dot" w:pos="9016"/>
        </w:tabs>
      </w:pPr>
    </w:p>
    <w:p w:rsidR="008D21EB" w:rsidRDefault="00022F02">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5299426" w:history="1">
        <w:r w:rsidR="008D21EB" w:rsidRPr="00D422C6">
          <w:rPr>
            <w:rStyle w:val="Hyperlink"/>
            <w:noProof/>
          </w:rPr>
          <w:t>5</w:t>
        </w:r>
        <w:r w:rsidR="008D21EB">
          <w:rPr>
            <w:rFonts w:asciiTheme="minorHAnsi" w:eastAsiaTheme="minorEastAsia" w:hAnsiTheme="minorHAnsi" w:cstheme="minorBidi"/>
            <w:b w:val="0"/>
            <w:bCs w:val="0"/>
            <w:noProof/>
            <w:sz w:val="22"/>
            <w:szCs w:val="22"/>
            <w:lang w:eastAsia="en-AU"/>
          </w:rPr>
          <w:tab/>
        </w:r>
        <w:r w:rsidR="008D21EB" w:rsidRPr="00D422C6">
          <w:rPr>
            <w:rStyle w:val="Hyperlink"/>
            <w:noProof/>
          </w:rPr>
          <w:t>Part C – Registration, Applications and Revocation</w:t>
        </w:r>
        <w:r w:rsidR="008D21EB">
          <w:rPr>
            <w:noProof/>
            <w:webHidden/>
          </w:rPr>
          <w:tab/>
        </w:r>
        <w:r w:rsidR="008D21EB">
          <w:rPr>
            <w:noProof/>
            <w:webHidden/>
          </w:rPr>
          <w:fldChar w:fldCharType="begin"/>
        </w:r>
        <w:r w:rsidR="008D21EB">
          <w:rPr>
            <w:noProof/>
            <w:webHidden/>
          </w:rPr>
          <w:instrText xml:space="preserve"> PAGEREF _Toc365299426 \h </w:instrText>
        </w:r>
        <w:r w:rsidR="008D21EB">
          <w:rPr>
            <w:noProof/>
            <w:webHidden/>
          </w:rPr>
        </w:r>
        <w:r w:rsidR="008D21EB">
          <w:rPr>
            <w:noProof/>
            <w:webHidden/>
          </w:rPr>
          <w:fldChar w:fldCharType="separate"/>
        </w:r>
        <w:r w:rsidR="008D21EB">
          <w:rPr>
            <w:noProof/>
            <w:webHidden/>
          </w:rPr>
          <w:t>38</w:t>
        </w:r>
        <w:r w:rsidR="008D21EB">
          <w:rPr>
            <w:noProof/>
            <w:webHidden/>
          </w:rPr>
          <w:fldChar w:fldCharType="end"/>
        </w:r>
      </w:hyperlink>
    </w:p>
    <w:p w:rsidR="008D21EB" w:rsidRDefault="00022F0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299427" w:history="1">
        <w:r w:rsidR="008D21EB" w:rsidRPr="00D422C6">
          <w:rPr>
            <w:rStyle w:val="Hyperlink"/>
            <w:noProof/>
          </w:rPr>
          <w:t>5.1</w:t>
        </w:r>
        <w:r w:rsidR="008D21EB">
          <w:rPr>
            <w:rFonts w:asciiTheme="minorHAnsi" w:eastAsiaTheme="minorEastAsia" w:hAnsiTheme="minorHAnsi" w:cstheme="minorBidi"/>
            <w:iCs w:val="0"/>
            <w:noProof/>
            <w:sz w:val="22"/>
            <w:szCs w:val="22"/>
            <w:lang w:eastAsia="en-AU"/>
          </w:rPr>
          <w:tab/>
        </w:r>
        <w:r w:rsidR="008D21EB" w:rsidRPr="00D422C6">
          <w:rPr>
            <w:rStyle w:val="Hyperlink"/>
            <w:noProof/>
          </w:rPr>
          <w:t>Pre-registration</w:t>
        </w:r>
        <w:r w:rsidR="008D21EB">
          <w:rPr>
            <w:noProof/>
            <w:webHidden/>
          </w:rPr>
          <w:tab/>
        </w:r>
        <w:r w:rsidR="008D21EB">
          <w:rPr>
            <w:noProof/>
            <w:webHidden/>
          </w:rPr>
          <w:fldChar w:fldCharType="begin"/>
        </w:r>
        <w:r w:rsidR="008D21EB">
          <w:rPr>
            <w:noProof/>
            <w:webHidden/>
          </w:rPr>
          <w:instrText xml:space="preserve"> PAGEREF _Toc365299427 \h </w:instrText>
        </w:r>
        <w:r w:rsidR="008D21EB">
          <w:rPr>
            <w:noProof/>
            <w:webHidden/>
          </w:rPr>
        </w:r>
        <w:r w:rsidR="008D21EB">
          <w:rPr>
            <w:noProof/>
            <w:webHidden/>
          </w:rPr>
          <w:fldChar w:fldCharType="separate"/>
        </w:r>
        <w:r w:rsidR="008D21EB">
          <w:rPr>
            <w:noProof/>
            <w:webHidden/>
          </w:rPr>
          <w:t>38</w:t>
        </w:r>
        <w:r w:rsidR="008D21EB">
          <w:rPr>
            <w:noProof/>
            <w:webHidden/>
          </w:rPr>
          <w:fldChar w:fldCharType="end"/>
        </w:r>
      </w:hyperlink>
    </w:p>
    <w:p w:rsidR="008D21EB" w:rsidRDefault="00022F0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299428" w:history="1">
        <w:r w:rsidR="008D21EB" w:rsidRPr="00D422C6">
          <w:rPr>
            <w:rStyle w:val="Hyperlink"/>
            <w:noProof/>
          </w:rPr>
          <w:t>5.2</w:t>
        </w:r>
        <w:r w:rsidR="008D21EB">
          <w:rPr>
            <w:rFonts w:asciiTheme="minorHAnsi" w:eastAsiaTheme="minorEastAsia" w:hAnsiTheme="minorHAnsi" w:cstheme="minorBidi"/>
            <w:iCs w:val="0"/>
            <w:noProof/>
            <w:sz w:val="22"/>
            <w:szCs w:val="22"/>
            <w:lang w:eastAsia="en-AU"/>
          </w:rPr>
          <w:tab/>
        </w:r>
        <w:r w:rsidR="008D21EB" w:rsidRPr="00D422C6">
          <w:rPr>
            <w:rStyle w:val="Hyperlink"/>
            <w:noProof/>
          </w:rPr>
          <w:t>Registrable exemption information requirements</w:t>
        </w:r>
        <w:r w:rsidR="008D21EB">
          <w:rPr>
            <w:noProof/>
            <w:webHidden/>
          </w:rPr>
          <w:tab/>
        </w:r>
        <w:r w:rsidR="008D21EB">
          <w:rPr>
            <w:noProof/>
            <w:webHidden/>
          </w:rPr>
          <w:fldChar w:fldCharType="begin"/>
        </w:r>
        <w:r w:rsidR="008D21EB">
          <w:rPr>
            <w:noProof/>
            <w:webHidden/>
          </w:rPr>
          <w:instrText xml:space="preserve"> PAGEREF _Toc365299428 \h </w:instrText>
        </w:r>
        <w:r w:rsidR="008D21EB">
          <w:rPr>
            <w:noProof/>
            <w:webHidden/>
          </w:rPr>
        </w:r>
        <w:r w:rsidR="008D21EB">
          <w:rPr>
            <w:noProof/>
            <w:webHidden/>
          </w:rPr>
          <w:fldChar w:fldCharType="separate"/>
        </w:r>
        <w:r w:rsidR="008D21EB">
          <w:rPr>
            <w:noProof/>
            <w:webHidden/>
          </w:rPr>
          <w:t>38</w:t>
        </w:r>
        <w:r w:rsidR="008D21EB">
          <w:rPr>
            <w:noProof/>
            <w:webHidden/>
          </w:rPr>
          <w:fldChar w:fldCharType="end"/>
        </w:r>
      </w:hyperlink>
    </w:p>
    <w:p w:rsidR="008D21EB" w:rsidRDefault="00022F0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299429" w:history="1">
        <w:r w:rsidR="008D21EB" w:rsidRPr="00D422C6">
          <w:rPr>
            <w:rStyle w:val="Hyperlink"/>
            <w:noProof/>
          </w:rPr>
          <w:t>5.3</w:t>
        </w:r>
        <w:r w:rsidR="008D21EB">
          <w:rPr>
            <w:rFonts w:asciiTheme="minorHAnsi" w:eastAsiaTheme="minorEastAsia" w:hAnsiTheme="minorHAnsi" w:cstheme="minorBidi"/>
            <w:iCs w:val="0"/>
            <w:noProof/>
            <w:sz w:val="22"/>
            <w:szCs w:val="22"/>
            <w:lang w:eastAsia="en-AU"/>
          </w:rPr>
          <w:tab/>
        </w:r>
        <w:r w:rsidR="008D21EB" w:rsidRPr="00D422C6">
          <w:rPr>
            <w:rStyle w:val="Hyperlink"/>
            <w:noProof/>
          </w:rPr>
          <w:t>Application for individual exemption or variation of conditions</w:t>
        </w:r>
        <w:r w:rsidR="008D21EB">
          <w:rPr>
            <w:noProof/>
            <w:webHidden/>
          </w:rPr>
          <w:tab/>
        </w:r>
        <w:r w:rsidR="008D21EB">
          <w:rPr>
            <w:noProof/>
            <w:webHidden/>
          </w:rPr>
          <w:fldChar w:fldCharType="begin"/>
        </w:r>
        <w:r w:rsidR="008D21EB">
          <w:rPr>
            <w:noProof/>
            <w:webHidden/>
          </w:rPr>
          <w:instrText xml:space="preserve"> PAGEREF _Toc365299429 \h </w:instrText>
        </w:r>
        <w:r w:rsidR="008D21EB">
          <w:rPr>
            <w:noProof/>
            <w:webHidden/>
          </w:rPr>
        </w:r>
        <w:r w:rsidR="008D21EB">
          <w:rPr>
            <w:noProof/>
            <w:webHidden/>
          </w:rPr>
          <w:fldChar w:fldCharType="separate"/>
        </w:r>
        <w:r w:rsidR="008D21EB">
          <w:rPr>
            <w:noProof/>
            <w:webHidden/>
          </w:rPr>
          <w:t>39</w:t>
        </w:r>
        <w:r w:rsidR="008D21EB">
          <w:rPr>
            <w:noProof/>
            <w:webHidden/>
          </w:rPr>
          <w:fldChar w:fldCharType="end"/>
        </w:r>
      </w:hyperlink>
    </w:p>
    <w:p w:rsidR="008D21EB" w:rsidRDefault="00022F0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299430" w:history="1">
        <w:r w:rsidR="008D21EB" w:rsidRPr="00D422C6">
          <w:rPr>
            <w:rStyle w:val="Hyperlink"/>
            <w:noProof/>
          </w:rPr>
          <w:t>5.4</w:t>
        </w:r>
        <w:r w:rsidR="008D21EB">
          <w:rPr>
            <w:rFonts w:asciiTheme="minorHAnsi" w:eastAsiaTheme="minorEastAsia" w:hAnsiTheme="minorHAnsi" w:cstheme="minorBidi"/>
            <w:iCs w:val="0"/>
            <w:noProof/>
            <w:sz w:val="22"/>
            <w:szCs w:val="22"/>
            <w:lang w:eastAsia="en-AU"/>
          </w:rPr>
          <w:tab/>
        </w:r>
        <w:r w:rsidR="008D21EB" w:rsidRPr="00D422C6">
          <w:rPr>
            <w:rStyle w:val="Hyperlink"/>
            <w:noProof/>
          </w:rPr>
          <w:t>Revocation of an exemption</w:t>
        </w:r>
        <w:r w:rsidR="008D21EB">
          <w:rPr>
            <w:noProof/>
            <w:webHidden/>
          </w:rPr>
          <w:tab/>
        </w:r>
        <w:r w:rsidR="008D21EB">
          <w:rPr>
            <w:noProof/>
            <w:webHidden/>
          </w:rPr>
          <w:fldChar w:fldCharType="begin"/>
        </w:r>
        <w:r w:rsidR="008D21EB">
          <w:rPr>
            <w:noProof/>
            <w:webHidden/>
          </w:rPr>
          <w:instrText xml:space="preserve"> PAGEREF _Toc365299430 \h </w:instrText>
        </w:r>
        <w:r w:rsidR="008D21EB">
          <w:rPr>
            <w:noProof/>
            <w:webHidden/>
          </w:rPr>
        </w:r>
        <w:r w:rsidR="008D21EB">
          <w:rPr>
            <w:noProof/>
            <w:webHidden/>
          </w:rPr>
          <w:fldChar w:fldCharType="separate"/>
        </w:r>
        <w:r w:rsidR="008D21EB">
          <w:rPr>
            <w:noProof/>
            <w:webHidden/>
          </w:rPr>
          <w:t>40</w:t>
        </w:r>
        <w:r w:rsidR="008D21EB">
          <w:rPr>
            <w:noProof/>
            <w:webHidden/>
          </w:rPr>
          <w:fldChar w:fldCharType="end"/>
        </w:r>
      </w:hyperlink>
    </w:p>
    <w:p w:rsidR="008D21EB" w:rsidRDefault="00022F0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299431" w:history="1">
        <w:r w:rsidR="008D21EB" w:rsidRPr="00D422C6">
          <w:rPr>
            <w:rStyle w:val="Hyperlink"/>
            <w:noProof/>
          </w:rPr>
          <w:t>5.5</w:t>
        </w:r>
        <w:r w:rsidR="008D21EB">
          <w:rPr>
            <w:rFonts w:asciiTheme="minorHAnsi" w:eastAsiaTheme="minorEastAsia" w:hAnsiTheme="minorHAnsi" w:cstheme="minorBidi"/>
            <w:iCs w:val="0"/>
            <w:noProof/>
            <w:sz w:val="22"/>
            <w:szCs w:val="22"/>
            <w:lang w:eastAsia="en-AU"/>
          </w:rPr>
          <w:tab/>
        </w:r>
        <w:r w:rsidR="008D21EB" w:rsidRPr="00D422C6">
          <w:rPr>
            <w:rStyle w:val="Hyperlink"/>
            <w:noProof/>
          </w:rPr>
          <w:t>Transfer, amendment or cessation of an exemption</w:t>
        </w:r>
        <w:r w:rsidR="008D21EB">
          <w:rPr>
            <w:noProof/>
            <w:webHidden/>
          </w:rPr>
          <w:tab/>
        </w:r>
        <w:r w:rsidR="008D21EB">
          <w:rPr>
            <w:noProof/>
            <w:webHidden/>
          </w:rPr>
          <w:fldChar w:fldCharType="begin"/>
        </w:r>
        <w:r w:rsidR="008D21EB">
          <w:rPr>
            <w:noProof/>
            <w:webHidden/>
          </w:rPr>
          <w:instrText xml:space="preserve"> PAGEREF _Toc365299431 \h </w:instrText>
        </w:r>
        <w:r w:rsidR="008D21EB">
          <w:rPr>
            <w:noProof/>
            <w:webHidden/>
          </w:rPr>
        </w:r>
        <w:r w:rsidR="008D21EB">
          <w:rPr>
            <w:noProof/>
            <w:webHidden/>
          </w:rPr>
          <w:fldChar w:fldCharType="separate"/>
        </w:r>
        <w:r w:rsidR="008D21EB">
          <w:rPr>
            <w:noProof/>
            <w:webHidden/>
          </w:rPr>
          <w:t>41</w:t>
        </w:r>
        <w:r w:rsidR="008D21EB">
          <w:rPr>
            <w:noProof/>
            <w:webHidden/>
          </w:rPr>
          <w:fldChar w:fldCharType="end"/>
        </w:r>
      </w:hyperlink>
    </w:p>
    <w:p w:rsidR="005A0027" w:rsidRDefault="005A0027">
      <w:pPr>
        <w:pStyle w:val="TOC1"/>
        <w:tabs>
          <w:tab w:val="right" w:leader="dot" w:pos="9016"/>
        </w:tabs>
      </w:pPr>
    </w:p>
    <w:p w:rsidR="008D21EB" w:rsidRDefault="00022F02">
      <w:pPr>
        <w:pStyle w:val="TOC1"/>
        <w:tabs>
          <w:tab w:val="right" w:leader="dot" w:pos="9016"/>
        </w:tabs>
        <w:rPr>
          <w:rFonts w:asciiTheme="minorHAnsi" w:eastAsiaTheme="minorEastAsia" w:hAnsiTheme="minorHAnsi" w:cstheme="minorBidi"/>
          <w:b w:val="0"/>
          <w:bCs w:val="0"/>
          <w:noProof/>
          <w:sz w:val="22"/>
          <w:szCs w:val="22"/>
          <w:lang w:eastAsia="en-AU"/>
        </w:rPr>
      </w:pPr>
      <w:hyperlink w:anchor="_Toc365299432" w:history="1">
        <w:r w:rsidR="008D21EB" w:rsidRPr="00D422C6">
          <w:rPr>
            <w:rStyle w:val="Hyperlink"/>
            <w:noProof/>
          </w:rPr>
          <w:t>Glossary</w:t>
        </w:r>
        <w:r w:rsidR="008D21EB">
          <w:rPr>
            <w:noProof/>
            <w:webHidden/>
          </w:rPr>
          <w:tab/>
        </w:r>
        <w:r w:rsidR="008D21EB">
          <w:rPr>
            <w:noProof/>
            <w:webHidden/>
          </w:rPr>
          <w:fldChar w:fldCharType="begin"/>
        </w:r>
        <w:r w:rsidR="008D21EB">
          <w:rPr>
            <w:noProof/>
            <w:webHidden/>
          </w:rPr>
          <w:instrText xml:space="preserve"> PAGEREF _Toc365299432 \h </w:instrText>
        </w:r>
        <w:r w:rsidR="008D21EB">
          <w:rPr>
            <w:noProof/>
            <w:webHidden/>
          </w:rPr>
        </w:r>
        <w:r w:rsidR="008D21EB">
          <w:rPr>
            <w:noProof/>
            <w:webHidden/>
          </w:rPr>
          <w:fldChar w:fldCharType="separate"/>
        </w:r>
        <w:r w:rsidR="008D21EB">
          <w:rPr>
            <w:noProof/>
            <w:webHidden/>
          </w:rPr>
          <w:t>43</w:t>
        </w:r>
        <w:r w:rsidR="008D21EB">
          <w:rPr>
            <w:noProof/>
            <w:webHidden/>
          </w:rPr>
          <w:fldChar w:fldCharType="end"/>
        </w:r>
      </w:hyperlink>
    </w:p>
    <w:p w:rsidR="007C72D1" w:rsidRPr="00AF3E95" w:rsidRDefault="007C72D1" w:rsidP="007C72D1">
      <w:pPr>
        <w:pStyle w:val="AERbodytext"/>
        <w:spacing w:before="0" w:after="240"/>
      </w:pPr>
      <w:r>
        <w:fldChar w:fldCharType="end"/>
      </w:r>
    </w:p>
    <w:p w:rsidR="007C72D1" w:rsidRDefault="007C72D1" w:rsidP="007C72D1">
      <w:pPr>
        <w:pStyle w:val="AERbodytext"/>
        <w:spacing w:before="0" w:after="240"/>
      </w:pPr>
    </w:p>
    <w:p w:rsidR="007C72D1" w:rsidRDefault="007C72D1" w:rsidP="007C72D1">
      <w:pPr>
        <w:pStyle w:val="Heading1"/>
        <w:numPr>
          <w:ilvl w:val="1"/>
          <w:numId w:val="6"/>
        </w:numPr>
        <w:jc w:val="both"/>
      </w:pPr>
      <w:bookmarkStart w:id="1" w:name="_Ref361908854"/>
      <w:bookmarkStart w:id="2" w:name="_Toc365299406"/>
      <w:r>
        <w:lastRenderedPageBreak/>
        <w:t>Nature and authority</w:t>
      </w:r>
      <w:bookmarkEnd w:id="1"/>
      <w:bookmarkEnd w:id="2"/>
    </w:p>
    <w:p w:rsidR="007C72D1" w:rsidRDefault="007C72D1" w:rsidP="007C72D1">
      <w:pPr>
        <w:pStyle w:val="Heading2"/>
        <w:numPr>
          <w:ilvl w:val="2"/>
          <w:numId w:val="9"/>
        </w:numPr>
        <w:jc w:val="both"/>
      </w:pPr>
      <w:bookmarkStart w:id="3" w:name="_Toc365299407"/>
      <w:r>
        <w:t>The National Electricity Law and the National Electricity Rules and what it means for you</w:t>
      </w:r>
      <w:bookmarkEnd w:id="3"/>
    </w:p>
    <w:p w:rsidR="007C72D1" w:rsidRDefault="007C72D1" w:rsidP="007C72D1">
      <w:pPr>
        <w:pStyle w:val="AERbodytext"/>
        <w:numPr>
          <w:ilvl w:val="0"/>
          <w:numId w:val="7"/>
        </w:numPr>
        <w:spacing w:before="0" w:after="240"/>
        <w:rPr>
          <w:rStyle w:val="AERbody"/>
        </w:rPr>
      </w:pPr>
      <w:r w:rsidRPr="00227D0A">
        <w:rPr>
          <w:rStyle w:val="AERbody"/>
        </w:rPr>
        <w:t>Under the National Electricity Law (NEL) and the National Electricity Rules (NER) a</w:t>
      </w:r>
      <w:r>
        <w:rPr>
          <w:rStyle w:val="AERbody"/>
        </w:rPr>
        <w:t>nyone who</w:t>
      </w:r>
      <w:r w:rsidRPr="00227D0A">
        <w:rPr>
          <w:rStyle w:val="AERbody"/>
        </w:rPr>
        <w:t xml:space="preserve"> engages in an electricity distribution activity must either be</w:t>
      </w:r>
      <w:r>
        <w:rPr>
          <w:rStyle w:val="AERbody"/>
        </w:rPr>
        <w:t>:</w:t>
      </w:r>
    </w:p>
    <w:p w:rsidR="007C72D1" w:rsidRPr="00F332F5" w:rsidRDefault="007C72D1" w:rsidP="007C72D1">
      <w:pPr>
        <w:pStyle w:val="AERbulletlistfirststyle"/>
        <w:numPr>
          <w:ilvl w:val="0"/>
          <w:numId w:val="1"/>
        </w:numPr>
        <w:spacing w:before="0"/>
        <w:ind w:left="357" w:hanging="357"/>
      </w:pPr>
      <w:r w:rsidRPr="00F332F5">
        <w:t xml:space="preserve">registered with the </w:t>
      </w:r>
      <w:r>
        <w:t>Australian Energy M</w:t>
      </w:r>
      <w:r w:rsidRPr="00F332F5">
        <w:t xml:space="preserve">arket </w:t>
      </w:r>
      <w:r>
        <w:t>O</w:t>
      </w:r>
      <w:r w:rsidRPr="00F332F5">
        <w:t>perator (AEMO) as an electricity network service provider</w:t>
      </w:r>
      <w:r w:rsidR="002873F0">
        <w:rPr>
          <w:rStyle w:val="FootnoteReference"/>
        </w:rPr>
        <w:footnoteReference w:id="1"/>
      </w:r>
      <w:r w:rsidRPr="00F332F5">
        <w:t xml:space="preserve">, or </w:t>
      </w:r>
    </w:p>
    <w:p w:rsidR="007C72D1" w:rsidRPr="00F332F5" w:rsidRDefault="007C72D1" w:rsidP="007C72D1">
      <w:pPr>
        <w:pStyle w:val="AERbulletlistfirststyle"/>
        <w:numPr>
          <w:ilvl w:val="0"/>
          <w:numId w:val="1"/>
        </w:numPr>
        <w:spacing w:before="0"/>
        <w:ind w:left="357" w:hanging="357"/>
      </w:pPr>
      <w:r w:rsidRPr="00F332F5">
        <w:t>must gain an exemption from the requirement to be a registered network service provider from the A</w:t>
      </w:r>
      <w:r>
        <w:t xml:space="preserve">ustralian </w:t>
      </w:r>
      <w:r w:rsidRPr="00F332F5">
        <w:t>E</w:t>
      </w:r>
      <w:r>
        <w:t xml:space="preserve">nergy </w:t>
      </w:r>
      <w:r w:rsidRPr="00F332F5">
        <w:t>R</w:t>
      </w:r>
      <w:r>
        <w:t>egulator (AER)</w:t>
      </w:r>
      <w:r w:rsidRPr="00F332F5">
        <w:t>.</w:t>
      </w:r>
      <w:r w:rsidR="002873F0">
        <w:rPr>
          <w:rStyle w:val="FootnoteReference"/>
        </w:rPr>
        <w:footnoteReference w:id="2"/>
      </w:r>
      <w:r w:rsidRPr="00F332F5">
        <w:t xml:space="preserve"> </w:t>
      </w:r>
    </w:p>
    <w:p w:rsidR="007C72D1" w:rsidRDefault="007C72D1" w:rsidP="007C72D1">
      <w:pPr>
        <w:pStyle w:val="AERbodytext"/>
        <w:numPr>
          <w:ilvl w:val="0"/>
          <w:numId w:val="7"/>
        </w:numPr>
        <w:spacing w:before="0" w:after="240"/>
        <w:rPr>
          <w:rStyle w:val="AERbody"/>
        </w:rPr>
      </w:pPr>
      <w:r>
        <w:rPr>
          <w:rStyle w:val="AERbody"/>
        </w:rPr>
        <w:t>This guideline explains which network activities are deemed exempt, which activities must be registered and how to register. It also sets the conditions for all the exemption classes pre-defined by the AER.</w:t>
      </w:r>
    </w:p>
    <w:p w:rsidR="007C72D1" w:rsidRPr="00227D0A" w:rsidRDefault="007C72D1" w:rsidP="007C72D1">
      <w:pPr>
        <w:pStyle w:val="AERbodytext"/>
        <w:numPr>
          <w:ilvl w:val="0"/>
          <w:numId w:val="7"/>
        </w:numPr>
        <w:spacing w:before="0" w:after="240"/>
        <w:rPr>
          <w:rStyle w:val="AERbody"/>
        </w:rPr>
      </w:pPr>
      <w:r>
        <w:rPr>
          <w:rStyle w:val="AERbody"/>
        </w:rPr>
        <w:t>N</w:t>
      </w:r>
      <w:r w:rsidRPr="00227D0A">
        <w:rPr>
          <w:rStyle w:val="AERbody"/>
        </w:rPr>
        <w:t xml:space="preserve">o matter how small the network, anyone who supplies electricity to another person over a private network of any kind is providing an electricity distribution service.  An exemption </w:t>
      </w:r>
      <w:r>
        <w:rPr>
          <w:rStyle w:val="AERbody"/>
        </w:rPr>
        <w:t xml:space="preserve">is </w:t>
      </w:r>
      <w:r w:rsidRPr="00227D0A">
        <w:rPr>
          <w:rStyle w:val="AERbody"/>
        </w:rPr>
        <w:t xml:space="preserve">required for any </w:t>
      </w:r>
      <w:r>
        <w:rPr>
          <w:rStyle w:val="AERbody"/>
        </w:rPr>
        <w:t xml:space="preserve">unregistered </w:t>
      </w:r>
      <w:r w:rsidRPr="00227D0A">
        <w:rPr>
          <w:rStyle w:val="AERbody"/>
        </w:rPr>
        <w:t>network by which electricity is supplied to another party, be that party a legal person, corporation, government department or statutory body of any kind.</w:t>
      </w:r>
      <w:r>
        <w:rPr>
          <w:rStyle w:val="AERbody"/>
        </w:rPr>
        <w:t xml:space="preserve"> </w:t>
      </w:r>
    </w:p>
    <w:p w:rsidR="007C72D1" w:rsidRDefault="007C72D1" w:rsidP="007C72D1">
      <w:pPr>
        <w:pStyle w:val="AERbodytext"/>
        <w:numPr>
          <w:ilvl w:val="0"/>
          <w:numId w:val="7"/>
        </w:numPr>
        <w:spacing w:before="0" w:after="240"/>
        <w:rPr>
          <w:rStyle w:val="AERbody"/>
        </w:rPr>
      </w:pPr>
      <w:r>
        <w:rPr>
          <w:rStyle w:val="AERbody"/>
        </w:rPr>
        <w:t xml:space="preserve">Registration with the market operator is a complex and expensive process. Obtaining an exemption for eligible networks is relatively easy and low cost (there is no application fee). </w:t>
      </w:r>
      <w:r w:rsidRPr="00227D0A">
        <w:rPr>
          <w:rStyle w:val="AERbody"/>
        </w:rPr>
        <w:t>The granting of an exemption can also relieve a network owner/operator or controller of the requirement</w:t>
      </w:r>
      <w:r>
        <w:rPr>
          <w:rStyle w:val="AERbody"/>
        </w:rPr>
        <w:t>s</w:t>
      </w:r>
      <w:r w:rsidRPr="00227D0A">
        <w:rPr>
          <w:rStyle w:val="AERbody"/>
        </w:rPr>
        <w:t xml:space="preserve"> to</w:t>
      </w:r>
      <w:r w:rsidRPr="00685C13">
        <w:t xml:space="preserve"> </w:t>
      </w:r>
      <w:r w:rsidRPr="0048539A">
        <w:t>comply</w:t>
      </w:r>
      <w:r>
        <w:rPr>
          <w:rStyle w:val="AERbody"/>
        </w:rPr>
        <w:t>:</w:t>
      </w:r>
    </w:p>
    <w:p w:rsidR="007C72D1" w:rsidRPr="0048539A" w:rsidRDefault="007C72D1" w:rsidP="007C72D1">
      <w:pPr>
        <w:pStyle w:val="AERbulletlistfirststyle"/>
        <w:numPr>
          <w:ilvl w:val="0"/>
          <w:numId w:val="1"/>
        </w:numPr>
        <w:spacing w:before="0"/>
        <w:ind w:left="357" w:hanging="357"/>
      </w:pPr>
      <w:r w:rsidRPr="0048539A">
        <w:t xml:space="preserve">with the technical requirements set out in Chapter 5 of the NER and/or </w:t>
      </w:r>
    </w:p>
    <w:p w:rsidR="007C72D1" w:rsidRPr="0048539A" w:rsidRDefault="007C72D1" w:rsidP="007C72D1">
      <w:pPr>
        <w:pStyle w:val="AERbulletlistfirststyle"/>
        <w:numPr>
          <w:ilvl w:val="0"/>
          <w:numId w:val="1"/>
        </w:numPr>
        <w:spacing w:before="0"/>
        <w:ind w:left="357" w:hanging="357"/>
      </w:pPr>
      <w:r w:rsidRPr="0048539A">
        <w:t xml:space="preserve">the obligation to provide other network suppliers and other registered participants in the NEM with access to its network and other obligations which exist under the NER </w:t>
      </w:r>
    </w:p>
    <w:p w:rsidR="007C72D1" w:rsidRDefault="007C72D1" w:rsidP="007C72D1">
      <w:pPr>
        <w:pStyle w:val="AERbodytext"/>
        <w:numPr>
          <w:ilvl w:val="0"/>
          <w:numId w:val="7"/>
        </w:numPr>
        <w:spacing w:before="0" w:after="240"/>
        <w:rPr>
          <w:rStyle w:val="AERbody"/>
        </w:rPr>
      </w:pPr>
      <w:r w:rsidRPr="00227D0A">
        <w:rPr>
          <w:rStyle w:val="AERbody"/>
        </w:rPr>
        <w:t>but not safety and related requirements.</w:t>
      </w:r>
    </w:p>
    <w:p w:rsidR="007C72D1" w:rsidRDefault="007C72D1" w:rsidP="007C72D1">
      <w:pPr>
        <w:pStyle w:val="Heading2"/>
        <w:numPr>
          <w:ilvl w:val="2"/>
          <w:numId w:val="9"/>
        </w:numPr>
        <w:jc w:val="both"/>
      </w:pPr>
      <w:bookmarkStart w:id="4" w:name="_Toc365299408"/>
      <w:r>
        <w:t>Who should read this guideline?</w:t>
      </w:r>
      <w:bookmarkEnd w:id="4"/>
    </w:p>
    <w:p w:rsidR="007C72D1" w:rsidRDefault="007C72D1" w:rsidP="007C72D1">
      <w:r w:rsidRPr="00227D0A">
        <w:t xml:space="preserve">This guideline is for people or businesses that </w:t>
      </w:r>
      <w:r>
        <w:t>are involved in allowing anyone else to use electricity by connecting to wiring in a:</w:t>
      </w:r>
    </w:p>
    <w:p w:rsidR="007C72D1" w:rsidRPr="006D4CED" w:rsidRDefault="007C72D1" w:rsidP="007C72D1">
      <w:pPr>
        <w:pStyle w:val="AERbulletlistfirststyle"/>
        <w:numPr>
          <w:ilvl w:val="0"/>
          <w:numId w:val="1"/>
        </w:numPr>
        <w:spacing w:before="0"/>
        <w:ind w:left="357" w:hanging="357"/>
      </w:pPr>
      <w:r>
        <w:t>f</w:t>
      </w:r>
      <w:r w:rsidRPr="006D4CED">
        <w:t>arm</w:t>
      </w:r>
    </w:p>
    <w:p w:rsidR="007C72D1" w:rsidRPr="006D4CED" w:rsidRDefault="007C72D1" w:rsidP="007C72D1">
      <w:pPr>
        <w:pStyle w:val="AERbulletlistfirststyle"/>
        <w:numPr>
          <w:ilvl w:val="0"/>
          <w:numId w:val="1"/>
        </w:numPr>
        <w:spacing w:before="0"/>
        <w:ind w:left="357" w:hanging="357"/>
      </w:pPr>
      <w:r w:rsidRPr="006D4CED">
        <w:t xml:space="preserve">hotel </w:t>
      </w:r>
    </w:p>
    <w:p w:rsidR="007C72D1" w:rsidRPr="006D4CED" w:rsidRDefault="007C72D1" w:rsidP="007C72D1">
      <w:pPr>
        <w:pStyle w:val="AERbulletlistfirststyle"/>
        <w:numPr>
          <w:ilvl w:val="0"/>
          <w:numId w:val="1"/>
        </w:numPr>
        <w:spacing w:before="0"/>
        <w:ind w:left="357" w:hanging="357"/>
      </w:pPr>
      <w:r w:rsidRPr="006D4CED">
        <w:t>factory</w:t>
      </w:r>
    </w:p>
    <w:p w:rsidR="007C72D1" w:rsidRPr="006D4CED" w:rsidRDefault="007C72D1" w:rsidP="007C72D1">
      <w:pPr>
        <w:pStyle w:val="AERbulletlistfirststyle"/>
        <w:numPr>
          <w:ilvl w:val="0"/>
          <w:numId w:val="1"/>
        </w:numPr>
        <w:spacing w:before="0"/>
        <w:ind w:left="357" w:hanging="357"/>
      </w:pPr>
      <w:r w:rsidRPr="006D4CED">
        <w:t>car-park</w:t>
      </w:r>
    </w:p>
    <w:p w:rsidR="007C72D1" w:rsidRPr="006D4CED" w:rsidRDefault="007C72D1" w:rsidP="007C72D1">
      <w:pPr>
        <w:pStyle w:val="AERbulletlistfirststyle"/>
        <w:numPr>
          <w:ilvl w:val="0"/>
          <w:numId w:val="1"/>
        </w:numPr>
        <w:spacing w:before="0"/>
        <w:ind w:left="357" w:hanging="357"/>
      </w:pPr>
      <w:r w:rsidRPr="006D4CED">
        <w:t>public land or marina</w:t>
      </w:r>
    </w:p>
    <w:p w:rsidR="007C72D1" w:rsidRPr="006D4CED" w:rsidRDefault="007C72D1" w:rsidP="007C72D1">
      <w:pPr>
        <w:pStyle w:val="AERbulletlistfirststyle"/>
        <w:numPr>
          <w:ilvl w:val="0"/>
          <w:numId w:val="1"/>
        </w:numPr>
        <w:spacing w:before="0"/>
        <w:ind w:left="357" w:hanging="357"/>
      </w:pPr>
      <w:r w:rsidRPr="006D4CED">
        <w:t>shopping centre</w:t>
      </w:r>
    </w:p>
    <w:p w:rsidR="007C72D1" w:rsidRPr="006D4CED" w:rsidRDefault="007C72D1" w:rsidP="007C72D1">
      <w:pPr>
        <w:pStyle w:val="AERbulletlistfirststyle"/>
        <w:numPr>
          <w:ilvl w:val="0"/>
          <w:numId w:val="1"/>
        </w:numPr>
        <w:spacing w:before="0"/>
        <w:ind w:left="357" w:hanging="357"/>
      </w:pPr>
      <w:r w:rsidRPr="006D4CED">
        <w:lastRenderedPageBreak/>
        <w:t>industrial estate</w:t>
      </w:r>
    </w:p>
    <w:p w:rsidR="007C72D1" w:rsidRPr="006D4CED" w:rsidRDefault="007C72D1" w:rsidP="007C72D1">
      <w:pPr>
        <w:pStyle w:val="AERbulletlistfirststyle"/>
        <w:numPr>
          <w:ilvl w:val="0"/>
          <w:numId w:val="1"/>
        </w:numPr>
        <w:spacing w:before="0"/>
        <w:ind w:left="357" w:hanging="357"/>
      </w:pPr>
      <w:r w:rsidRPr="006D4CED">
        <w:t>private property</w:t>
      </w:r>
    </w:p>
    <w:p w:rsidR="007C72D1" w:rsidRPr="006D4CED" w:rsidRDefault="007C72D1" w:rsidP="007C72D1">
      <w:pPr>
        <w:pStyle w:val="AERbulletlistfirststyle"/>
        <w:numPr>
          <w:ilvl w:val="0"/>
          <w:numId w:val="1"/>
        </w:numPr>
        <w:spacing w:before="0"/>
        <w:ind w:left="357" w:hanging="357"/>
      </w:pPr>
      <w:r w:rsidRPr="006D4CED">
        <w:t>retirement village</w:t>
      </w:r>
    </w:p>
    <w:p w:rsidR="007C72D1" w:rsidRPr="006D4CED" w:rsidRDefault="007C72D1" w:rsidP="007C72D1">
      <w:pPr>
        <w:pStyle w:val="AERbulletlistfirststyle"/>
        <w:numPr>
          <w:ilvl w:val="0"/>
          <w:numId w:val="1"/>
        </w:numPr>
        <w:spacing w:before="0"/>
        <w:ind w:left="357" w:hanging="357"/>
      </w:pPr>
      <w:r w:rsidRPr="006D4CED">
        <w:t>industrial complex</w:t>
      </w:r>
    </w:p>
    <w:p w:rsidR="007C72D1" w:rsidRPr="006D4CED" w:rsidRDefault="007C72D1" w:rsidP="007C72D1">
      <w:pPr>
        <w:pStyle w:val="AERbulletlistfirststyle"/>
        <w:numPr>
          <w:ilvl w:val="0"/>
          <w:numId w:val="1"/>
        </w:numPr>
        <w:spacing w:before="0"/>
        <w:ind w:left="357" w:hanging="357"/>
      </w:pPr>
      <w:r w:rsidRPr="006D4CED">
        <w:t>strata-title property</w:t>
      </w:r>
    </w:p>
    <w:p w:rsidR="007C72D1" w:rsidRPr="006D4CED" w:rsidRDefault="007C72D1" w:rsidP="007C72D1">
      <w:pPr>
        <w:pStyle w:val="AERbulletlistfirststyle"/>
        <w:numPr>
          <w:ilvl w:val="0"/>
          <w:numId w:val="1"/>
        </w:numPr>
        <w:spacing w:before="0"/>
        <w:ind w:left="357" w:hanging="357"/>
      </w:pPr>
      <w:r w:rsidRPr="006D4CED">
        <w:t>office development</w:t>
      </w:r>
    </w:p>
    <w:p w:rsidR="007C72D1" w:rsidRPr="006D4CED" w:rsidRDefault="007C72D1" w:rsidP="007C72D1">
      <w:pPr>
        <w:pStyle w:val="AERbulletlistfirststyle"/>
        <w:numPr>
          <w:ilvl w:val="0"/>
          <w:numId w:val="1"/>
        </w:numPr>
        <w:spacing w:before="0"/>
        <w:ind w:left="357" w:hanging="357"/>
      </w:pPr>
      <w:r w:rsidRPr="006D4CED">
        <w:t xml:space="preserve">mining development </w:t>
      </w:r>
    </w:p>
    <w:p w:rsidR="007C72D1" w:rsidRPr="006D4CED" w:rsidRDefault="007C72D1" w:rsidP="007C72D1">
      <w:pPr>
        <w:pStyle w:val="AERbulletlistfirststyle"/>
        <w:numPr>
          <w:ilvl w:val="0"/>
          <w:numId w:val="1"/>
        </w:numPr>
        <w:spacing w:before="0"/>
        <w:ind w:left="357" w:hanging="357"/>
      </w:pPr>
      <w:r w:rsidRPr="006D4CED">
        <w:t>residential development</w:t>
      </w:r>
    </w:p>
    <w:p w:rsidR="007C72D1" w:rsidRPr="006D4CED" w:rsidRDefault="007C72D1" w:rsidP="007C72D1">
      <w:pPr>
        <w:pStyle w:val="AERbulletlistfirststyle"/>
        <w:numPr>
          <w:ilvl w:val="0"/>
          <w:numId w:val="1"/>
        </w:numPr>
        <w:spacing w:before="0"/>
        <w:ind w:left="357" w:hanging="357"/>
      </w:pPr>
      <w:r w:rsidRPr="006D4CED">
        <w:t>tram, train or rail network or</w:t>
      </w:r>
    </w:p>
    <w:p w:rsidR="007C72D1" w:rsidRDefault="007C72D1" w:rsidP="007C72D1">
      <w:pPr>
        <w:pStyle w:val="AERbulletlistfirststyle"/>
        <w:numPr>
          <w:ilvl w:val="0"/>
          <w:numId w:val="1"/>
        </w:numPr>
        <w:spacing w:before="0"/>
        <w:ind w:left="357" w:hanging="357"/>
      </w:pPr>
      <w:r w:rsidRPr="006D4CED">
        <w:t>elsewhere.</w:t>
      </w:r>
    </w:p>
    <w:p w:rsidR="007C72D1" w:rsidRDefault="007C72D1" w:rsidP="007C72D1">
      <w:r>
        <w:t>You should read this guideline if you think that you are operating a private electricity network — which is illegal unless it is registered with AEMO or exempted from registration by the AER.</w:t>
      </w:r>
      <w:r w:rsidR="0084690F">
        <w:rPr>
          <w:rStyle w:val="FootnoteReference"/>
        </w:rPr>
        <w:footnoteReference w:id="3"/>
      </w:r>
      <w:r>
        <w:t xml:space="preserve"> </w:t>
      </w:r>
    </w:p>
    <w:p w:rsidR="007C72D1" w:rsidRDefault="007C72D1" w:rsidP="007C72D1">
      <w:r>
        <w:t>To avoid the risk of serious penalties you might only need to make some small adjustments. You might not have to do anything at all. Maybe, you need to:</w:t>
      </w:r>
    </w:p>
    <w:p w:rsidR="007C72D1" w:rsidRDefault="007C72D1" w:rsidP="007C72D1">
      <w:pPr>
        <w:pStyle w:val="AERbulletlistfirststyle"/>
        <w:numPr>
          <w:ilvl w:val="0"/>
          <w:numId w:val="1"/>
        </w:numPr>
        <w:spacing w:before="0"/>
        <w:ind w:left="357" w:hanging="357"/>
      </w:pPr>
      <w:r>
        <w:t xml:space="preserve">register your details with the AER, or </w:t>
      </w:r>
    </w:p>
    <w:p w:rsidR="007C72D1" w:rsidRDefault="007C72D1" w:rsidP="007C72D1">
      <w:pPr>
        <w:pStyle w:val="AERbulletlistfirststyle"/>
        <w:numPr>
          <w:ilvl w:val="0"/>
          <w:numId w:val="1"/>
        </w:numPr>
        <w:spacing w:before="0"/>
        <w:ind w:left="357" w:hanging="357"/>
      </w:pPr>
      <w:r>
        <w:t xml:space="preserve">register with AEMO, or </w:t>
      </w:r>
    </w:p>
    <w:p w:rsidR="007C72D1" w:rsidRDefault="007C72D1" w:rsidP="007C72D1">
      <w:pPr>
        <w:pStyle w:val="AERbulletlistfirststyle"/>
        <w:numPr>
          <w:ilvl w:val="0"/>
          <w:numId w:val="1"/>
        </w:numPr>
        <w:spacing w:before="0"/>
        <w:ind w:left="357" w:hanging="357"/>
      </w:pPr>
      <w:r>
        <w:t>apply to the AER for a network  exemption.</w:t>
      </w:r>
    </w:p>
    <w:p w:rsidR="007C72D1" w:rsidRPr="00227D0A" w:rsidRDefault="007C72D1" w:rsidP="007C72D1">
      <w:r>
        <w:t>If you think you may need a network exemption</w:t>
      </w:r>
      <w:r w:rsidRPr="00227D0A">
        <w:t xml:space="preserve">, this guideline will help you understand: </w:t>
      </w:r>
    </w:p>
    <w:p w:rsidR="007C72D1" w:rsidRPr="00227D0A" w:rsidRDefault="007C72D1" w:rsidP="007C72D1">
      <w:pPr>
        <w:pStyle w:val="AERbulletlistfirststyle"/>
        <w:numPr>
          <w:ilvl w:val="0"/>
          <w:numId w:val="1"/>
        </w:numPr>
        <w:spacing w:before="0"/>
        <w:ind w:left="357" w:hanging="357"/>
      </w:pPr>
      <w:r w:rsidRPr="00227D0A">
        <w:t xml:space="preserve">what </w:t>
      </w:r>
      <w:r>
        <w:t>network</w:t>
      </w:r>
      <w:r w:rsidRPr="00227D0A">
        <w:t xml:space="preserve"> exemptions are and how they work</w:t>
      </w:r>
    </w:p>
    <w:p w:rsidR="007C72D1" w:rsidRPr="00227D0A" w:rsidRDefault="007C72D1" w:rsidP="007C72D1">
      <w:pPr>
        <w:pStyle w:val="AERbulletlistfirststyle"/>
        <w:numPr>
          <w:ilvl w:val="0"/>
          <w:numId w:val="1"/>
        </w:numPr>
        <w:spacing w:before="0"/>
        <w:ind w:left="357" w:hanging="357"/>
      </w:pPr>
      <w:r w:rsidRPr="00227D0A">
        <w:t xml:space="preserve">whether or not you, or your business, need a </w:t>
      </w:r>
      <w:r>
        <w:t>network</w:t>
      </w:r>
      <w:r w:rsidRPr="00227D0A">
        <w:t xml:space="preserve"> exemption </w:t>
      </w:r>
    </w:p>
    <w:p w:rsidR="007C72D1" w:rsidRPr="00227D0A" w:rsidRDefault="007C72D1" w:rsidP="007C72D1">
      <w:pPr>
        <w:pStyle w:val="AERbulletlistfirststyle"/>
        <w:numPr>
          <w:ilvl w:val="0"/>
          <w:numId w:val="1"/>
        </w:numPr>
        <w:spacing w:before="0"/>
        <w:ind w:left="357" w:hanging="357"/>
      </w:pPr>
      <w:r w:rsidRPr="00227D0A">
        <w:t xml:space="preserve">how to obtain a </w:t>
      </w:r>
      <w:r>
        <w:t>network</w:t>
      </w:r>
      <w:r w:rsidRPr="00227D0A">
        <w:t xml:space="preserve"> exemption and which exemption class applies to you </w:t>
      </w:r>
    </w:p>
    <w:p w:rsidR="007C72D1" w:rsidRPr="00227D0A" w:rsidRDefault="007C72D1" w:rsidP="007C72D1">
      <w:pPr>
        <w:pStyle w:val="AERbulletlistfirststyle"/>
        <w:numPr>
          <w:ilvl w:val="0"/>
          <w:numId w:val="1"/>
        </w:numPr>
        <w:spacing w:before="0"/>
        <w:ind w:left="357" w:hanging="357"/>
      </w:pPr>
      <w:r w:rsidRPr="00227D0A">
        <w:t>the factors we will consider when assessing individual exemption applications.</w:t>
      </w:r>
      <w:r w:rsidR="0084690F">
        <w:rPr>
          <w:rStyle w:val="FootnoteReference"/>
        </w:rPr>
        <w:footnoteReference w:id="4"/>
      </w:r>
      <w:r w:rsidRPr="00227D0A">
        <w:t xml:space="preserve"> </w:t>
      </w:r>
    </w:p>
    <w:p w:rsidR="007C72D1" w:rsidRPr="00227D0A" w:rsidRDefault="007C72D1" w:rsidP="007C72D1">
      <w:r w:rsidRPr="00227D0A">
        <w:t xml:space="preserve">This guideline deals with </w:t>
      </w:r>
      <w:r>
        <w:t>network</w:t>
      </w:r>
      <w:r w:rsidRPr="00227D0A">
        <w:t xml:space="preserve"> exemptions under the </w:t>
      </w:r>
      <w:r>
        <w:t>NEL and NER</w:t>
      </w:r>
      <w:r w:rsidRPr="00227D0A">
        <w:t xml:space="preserve">. For </w:t>
      </w:r>
      <w:r>
        <w:t xml:space="preserve">retail </w:t>
      </w:r>
      <w:r w:rsidRPr="00227D0A">
        <w:t xml:space="preserve">exemptions under the National </w:t>
      </w:r>
      <w:r w:rsidR="009A1A53">
        <w:t xml:space="preserve">Energy </w:t>
      </w:r>
      <w:r>
        <w:t>Retail Law</w:t>
      </w:r>
      <w:r w:rsidRPr="00227D0A">
        <w:t>, please see the AER’s</w:t>
      </w:r>
      <w:r>
        <w:t xml:space="preserve"> (Retail) Exempt Selling Guideline</w:t>
      </w:r>
      <w:r w:rsidRPr="00227D0A">
        <w:t>.</w:t>
      </w:r>
    </w:p>
    <w:p w:rsidR="007C72D1" w:rsidRPr="00227D0A" w:rsidRDefault="007C72D1" w:rsidP="007C72D1">
      <w:r w:rsidRPr="00227D0A">
        <w:t xml:space="preserve">If you are not sure whether you need an exemption or not, please contact us. You can email us at </w:t>
      </w:r>
      <w:hyperlink r:id="rId11" w:history="1">
        <w:r w:rsidRPr="008A6C31">
          <w:t>aerexemptions@aer.gov.au</w:t>
        </w:r>
      </w:hyperlink>
      <w:r w:rsidRPr="00227D0A">
        <w:t xml:space="preserve"> with any questions, or phone the AER/ACCC Infocentre on 1300 585 165 (Australian callers) or + 612 6243 1305 (overseas callers). </w:t>
      </w:r>
    </w:p>
    <w:p w:rsidR="007C72D1" w:rsidRPr="00D4227B" w:rsidRDefault="007C72D1" w:rsidP="007C72D1">
      <w:pPr>
        <w:pStyle w:val="Heading2"/>
        <w:numPr>
          <w:ilvl w:val="2"/>
          <w:numId w:val="9"/>
        </w:numPr>
        <w:jc w:val="both"/>
      </w:pPr>
      <w:bookmarkStart w:id="5" w:name="_Toc365299409"/>
      <w:r>
        <w:lastRenderedPageBreak/>
        <w:t>About the AER</w:t>
      </w:r>
      <w:bookmarkEnd w:id="5"/>
    </w:p>
    <w:p w:rsidR="007C72D1" w:rsidRPr="00421089" w:rsidRDefault="007C72D1" w:rsidP="007C72D1">
      <w:pPr>
        <w:pStyle w:val="AERbodytext"/>
        <w:spacing w:before="0" w:after="240"/>
        <w:rPr>
          <w:rStyle w:val="AERbody"/>
          <w:rFonts w:eastAsia="Calibri"/>
          <w:szCs w:val="20"/>
        </w:rPr>
      </w:pPr>
      <w:r w:rsidRPr="00AD1131">
        <w:rPr>
          <w:rStyle w:val="AERbody"/>
        </w:rPr>
        <w:t xml:space="preserve">The AER is an independent statutory authority </w:t>
      </w:r>
      <w:r w:rsidR="009A1A53">
        <w:rPr>
          <w:rStyle w:val="AERbody"/>
        </w:rPr>
        <w:t xml:space="preserve">established </w:t>
      </w:r>
      <w:r w:rsidRPr="00AD1131">
        <w:rPr>
          <w:rStyle w:val="AERbody"/>
        </w:rPr>
        <w:t>under Part IIIAA of the Competition and Consumer Act 2010 (C</w:t>
      </w:r>
      <w:r>
        <w:rPr>
          <w:rStyle w:val="AERbody"/>
        </w:rPr>
        <w:t>ommonweal</w:t>
      </w:r>
      <w:r w:rsidRPr="00AD1131">
        <w:rPr>
          <w:rStyle w:val="AERbody"/>
        </w:rPr>
        <w:t xml:space="preserve">th). The AER is the national regulator of electricity and gas. </w:t>
      </w:r>
      <w:r w:rsidRPr="00421089">
        <w:rPr>
          <w:rStyle w:val="AERbody"/>
        </w:rPr>
        <w:t xml:space="preserve">Our responsibilities include administering and regulating authorisations and exemptions (retail and network) in participating jurisdictions. </w:t>
      </w:r>
    </w:p>
    <w:p w:rsidR="007C72D1" w:rsidRPr="008A6C31" w:rsidRDefault="007C72D1" w:rsidP="007C72D1">
      <w:pPr>
        <w:pStyle w:val="Heading1"/>
        <w:numPr>
          <w:ilvl w:val="1"/>
          <w:numId w:val="9"/>
        </w:numPr>
        <w:jc w:val="both"/>
        <w:rPr>
          <w:rFonts w:cs="Gautami"/>
        </w:rPr>
      </w:pPr>
      <w:bookmarkStart w:id="6" w:name="_Toc365299410"/>
      <w:r w:rsidRPr="008A6C31">
        <w:rPr>
          <w:rFonts w:cs="Gautami"/>
        </w:rPr>
        <w:lastRenderedPageBreak/>
        <w:t>Part A – About this guideline</w:t>
      </w:r>
      <w:bookmarkEnd w:id="6"/>
      <w:r w:rsidRPr="008A6C31">
        <w:rPr>
          <w:rFonts w:cs="Gautami"/>
        </w:rPr>
        <w:t xml:space="preserve"> </w:t>
      </w:r>
    </w:p>
    <w:p w:rsidR="007C72D1" w:rsidRPr="008D21EB" w:rsidRDefault="007C72D1" w:rsidP="008D21EB">
      <w:pPr>
        <w:pStyle w:val="Heading2"/>
      </w:pPr>
      <w:bookmarkStart w:id="7" w:name="_Toc365299411"/>
      <w:r w:rsidRPr="008D21EB">
        <w:t>Introduction</w:t>
      </w:r>
      <w:bookmarkEnd w:id="7"/>
    </w:p>
    <w:p w:rsidR="007C72D1" w:rsidRDefault="007C72D1" w:rsidP="007C72D1">
      <w:pPr>
        <w:pStyle w:val="AERbodytext"/>
        <w:spacing w:before="0" w:after="240"/>
      </w:pPr>
      <w:r w:rsidRPr="00BF1CBF">
        <w:t>This Guideline relates to a</w:t>
      </w:r>
      <w:r>
        <w:t xml:space="preserve"> privately owned</w:t>
      </w:r>
      <w:r w:rsidRPr="00BF1CBF">
        <w:t xml:space="preserve"> embedded or exempt network</w:t>
      </w:r>
      <w:r>
        <w:t xml:space="preserve"> (‘private network’)</w:t>
      </w:r>
      <w:r w:rsidRPr="00BF1CBF">
        <w:t>. A</w:t>
      </w:r>
      <w:r>
        <w:t xml:space="preserve"> private</w:t>
      </w:r>
      <w:r w:rsidRPr="00BF1CBF">
        <w:t xml:space="preserve"> network means any network for the supply of electrical energy to a third party, but not a transmission or distribution network registered with AEMO. </w:t>
      </w:r>
    </w:p>
    <w:p w:rsidR="007C72D1" w:rsidRPr="00480717" w:rsidRDefault="007C72D1" w:rsidP="007C72D1">
      <w:pPr>
        <w:pStyle w:val="AERbodytext"/>
        <w:spacing w:before="0" w:after="240"/>
        <w:rPr>
          <w:b/>
        </w:rPr>
      </w:pPr>
      <w:r w:rsidRPr="00480717">
        <w:rPr>
          <w:b/>
        </w:rPr>
        <w:t xml:space="preserve">Persons involved in the </w:t>
      </w:r>
      <w:r>
        <w:rPr>
          <w:b/>
        </w:rPr>
        <w:t>on–selling</w:t>
      </w:r>
      <w:r w:rsidRPr="00480717">
        <w:rPr>
          <w:b/>
        </w:rPr>
        <w:t xml:space="preserve"> of electricity may, depending on their circumstances, need to conform both to this Guideline and </w:t>
      </w:r>
      <w:r>
        <w:rPr>
          <w:b/>
        </w:rPr>
        <w:t>our</w:t>
      </w:r>
      <w:r w:rsidRPr="00480717">
        <w:rPr>
          <w:b/>
        </w:rPr>
        <w:t xml:space="preserve"> guideline for retail exemptions, the </w:t>
      </w:r>
      <w:r w:rsidR="00A86BBA">
        <w:rPr>
          <w:b/>
        </w:rPr>
        <w:t xml:space="preserve">Retail </w:t>
      </w:r>
      <w:r w:rsidRPr="00480717">
        <w:rPr>
          <w:b/>
        </w:rPr>
        <w:t>Exempt Selling Guideline</w:t>
      </w:r>
      <w:r w:rsidR="004A0940">
        <w:rPr>
          <w:b/>
        </w:rPr>
        <w:t>.</w:t>
      </w:r>
      <w:r w:rsidR="00D43145">
        <w:rPr>
          <w:rStyle w:val="FootnoteReference"/>
          <w:b/>
        </w:rPr>
        <w:footnoteReference w:id="5"/>
      </w:r>
    </w:p>
    <w:p w:rsidR="007C72D1" w:rsidRDefault="007C72D1" w:rsidP="007C72D1">
      <w:pPr>
        <w:pStyle w:val="AERDecisionBox"/>
        <w:rPr>
          <w:rStyle w:val="AERbody"/>
        </w:rPr>
      </w:pPr>
      <w:r w:rsidRPr="00801585">
        <w:rPr>
          <w:rStyle w:val="AERbody"/>
        </w:rPr>
        <w:t>A</w:t>
      </w:r>
      <w:r>
        <w:rPr>
          <w:rStyle w:val="AERbody"/>
        </w:rPr>
        <w:t>n analogy that might help to explain the relationship between the two guidelines: to drive a car legally on the road your car must be registered and the driver must have a valid driver’s licence.</w:t>
      </w:r>
    </w:p>
    <w:p w:rsidR="007C72D1" w:rsidRDefault="007C72D1" w:rsidP="007C72D1">
      <w:pPr>
        <w:pStyle w:val="AERDecisionBox"/>
        <w:ind w:left="142" w:hanging="142"/>
        <w:rPr>
          <w:rStyle w:val="AERbody"/>
        </w:rPr>
      </w:pPr>
      <w:r>
        <w:rPr>
          <w:rStyle w:val="AERbody"/>
        </w:rPr>
        <w:t xml:space="preserve">- The requirement to register the network or be exempted is analogous to the registration of the car. </w:t>
      </w:r>
    </w:p>
    <w:p w:rsidR="007C72D1" w:rsidRPr="00801585" w:rsidRDefault="007C72D1" w:rsidP="007C72D1">
      <w:pPr>
        <w:pStyle w:val="AERDecisionBox"/>
        <w:ind w:left="142" w:hanging="142"/>
        <w:rPr>
          <w:rStyle w:val="AERbody"/>
        </w:rPr>
      </w:pPr>
      <w:r>
        <w:rPr>
          <w:rStyle w:val="AERbody"/>
        </w:rPr>
        <w:t>- The requirements about selling electricity are analogous to a driver having a valid driver’s licence.</w:t>
      </w:r>
      <w:r w:rsidRPr="00801585">
        <w:rPr>
          <w:rStyle w:val="AERbody"/>
        </w:rPr>
        <w:t xml:space="preserve"> </w:t>
      </w:r>
    </w:p>
    <w:p w:rsidR="007C72D1" w:rsidRPr="00BF1CBF" w:rsidRDefault="007C72D1" w:rsidP="007C72D1">
      <w:r>
        <w:t>This Guideline is about the exemption or registration of the physical assets that make up the network. Please note that all e</w:t>
      </w:r>
      <w:r w:rsidRPr="00BF1CBF">
        <w:t xml:space="preserve">xisting </w:t>
      </w:r>
      <w:r w:rsidRPr="00EF7751">
        <w:rPr>
          <w:i/>
        </w:rPr>
        <w:t>individual</w:t>
      </w:r>
      <w:r w:rsidRPr="00BF1CBF">
        <w:t xml:space="preserve"> exemptions</w:t>
      </w:r>
      <w:r>
        <w:t xml:space="preserve"> granted prior to 1 January 2012 and published on</w:t>
      </w:r>
      <w:r w:rsidRPr="00BF1CBF">
        <w:t xml:space="preserve"> the AER</w:t>
      </w:r>
      <w:r>
        <w:t>’s</w:t>
      </w:r>
      <w:r w:rsidRPr="00BF1CBF">
        <w:t xml:space="preserve"> </w:t>
      </w:r>
      <w:r>
        <w:t xml:space="preserve">website </w:t>
      </w:r>
      <w:r w:rsidRPr="00BF1CBF">
        <w:t>remain in place and are unaffected by the issue of th</w:t>
      </w:r>
      <w:r>
        <w:t>is</w:t>
      </w:r>
      <w:r w:rsidRPr="00BF1CBF">
        <w:t xml:space="preserve"> Guideline. </w:t>
      </w:r>
      <w:r>
        <w:t xml:space="preserve">All other </w:t>
      </w:r>
      <w:r w:rsidRPr="00BF1CBF">
        <w:t xml:space="preserve">pre-existing exemptions </w:t>
      </w:r>
      <w:r>
        <w:t xml:space="preserve">(which were deemed categories under the former Guidelines) </w:t>
      </w:r>
      <w:r w:rsidRPr="00BF1CBF">
        <w:t xml:space="preserve">must comply with this guideline including, where required, registration of the network </w:t>
      </w:r>
      <w:r>
        <w:t xml:space="preserve">in the ‘registrable’ exemption category </w:t>
      </w:r>
      <w:r w:rsidRPr="00BF1CBF">
        <w:t>as provided for in this Guideline.</w:t>
      </w:r>
    </w:p>
    <w:p w:rsidR="007C72D1" w:rsidRDefault="007C72D1" w:rsidP="007C72D1">
      <w:r w:rsidRPr="00BF1CBF">
        <w:t xml:space="preserve">Most small network owners/operators will want to avoid the onerous and costly requirements to register with AEMO as a distributor. </w:t>
      </w:r>
      <w:r>
        <w:t>Our</w:t>
      </w:r>
      <w:r w:rsidRPr="00BF1CBF">
        <w:t xml:space="preserve"> Guideline</w:t>
      </w:r>
      <w:r w:rsidRPr="00BF1CBF" w:rsidDel="008314B9">
        <w:t xml:space="preserve"> </w:t>
      </w:r>
      <w:r w:rsidRPr="00BF1CBF">
        <w:t xml:space="preserve">sets out eligible classes of distribution activity </w:t>
      </w:r>
      <w:r>
        <w:t xml:space="preserve">and </w:t>
      </w:r>
      <w:r w:rsidRPr="00BF1CBF">
        <w:t xml:space="preserve">the requirements which must be met for an exemption to apply. </w:t>
      </w:r>
      <w:r>
        <w:t>Regardless of whether a network is registered or exempt, it will be subject to additional requirements governing matters including construction standards and electrical safety under the laws of the State or Territory in which it is located.</w:t>
      </w:r>
    </w:p>
    <w:p w:rsidR="007C72D1" w:rsidRPr="006C35FF" w:rsidRDefault="007C72D1" w:rsidP="007C72D1">
      <w:pPr>
        <w:pStyle w:val="AERbodytext"/>
        <w:numPr>
          <w:ilvl w:val="0"/>
          <w:numId w:val="7"/>
        </w:numPr>
        <w:spacing w:before="0" w:after="240"/>
        <w:rPr>
          <w:rStyle w:val="AERbody"/>
          <w:b/>
        </w:rPr>
      </w:pPr>
      <w:r w:rsidRPr="00F51ADD">
        <w:rPr>
          <w:rStyle w:val="AERbody"/>
        </w:rPr>
        <w:t xml:space="preserve">All </w:t>
      </w:r>
      <w:r>
        <w:rPr>
          <w:rStyle w:val="AERbody"/>
        </w:rPr>
        <w:t xml:space="preserve">exempt </w:t>
      </w:r>
      <w:r w:rsidRPr="00F51ADD">
        <w:rPr>
          <w:rStyle w:val="AERbody"/>
        </w:rPr>
        <w:t xml:space="preserve">private networks are subject to conditions. </w:t>
      </w:r>
      <w:r>
        <w:rPr>
          <w:rStyle w:val="AERbody"/>
        </w:rPr>
        <w:t xml:space="preserve">These conditions cover safety, dispute resolution, metering and pricing. </w:t>
      </w:r>
      <w:r w:rsidRPr="00F51ADD">
        <w:rPr>
          <w:rStyle w:val="AERbody"/>
        </w:rPr>
        <w:t xml:space="preserve">Even if your network is in a ‘deemed’ category, if you fail to observe the relevant conditions your exemption </w:t>
      </w:r>
      <w:r>
        <w:rPr>
          <w:rStyle w:val="AERbody"/>
        </w:rPr>
        <w:t xml:space="preserve">will </w:t>
      </w:r>
      <w:r w:rsidRPr="00F51ADD">
        <w:rPr>
          <w:rStyle w:val="AERbody"/>
        </w:rPr>
        <w:t xml:space="preserve">be invalid. This may expose you </w:t>
      </w:r>
      <w:r>
        <w:rPr>
          <w:rStyle w:val="AERbody"/>
        </w:rPr>
        <w:t xml:space="preserve">legally </w:t>
      </w:r>
      <w:r w:rsidRPr="00F51ADD">
        <w:rPr>
          <w:rStyle w:val="AERbody"/>
        </w:rPr>
        <w:t xml:space="preserve">to a civil penalty </w:t>
      </w:r>
      <w:r>
        <w:rPr>
          <w:rStyle w:val="AERbody"/>
        </w:rPr>
        <w:t xml:space="preserve">(a fine) </w:t>
      </w:r>
      <w:r w:rsidRPr="00F51ADD">
        <w:rPr>
          <w:rStyle w:val="AERbody"/>
        </w:rPr>
        <w:t>under the National Electricity Law</w:t>
      </w:r>
      <w:r>
        <w:rPr>
          <w:rStyle w:val="AERbody"/>
        </w:rPr>
        <w:t xml:space="preserve"> or other relevant legislation</w:t>
      </w:r>
      <w:r w:rsidRPr="00F51ADD">
        <w:rPr>
          <w:rStyle w:val="AERbody"/>
        </w:rPr>
        <w:t xml:space="preserve">. </w:t>
      </w:r>
    </w:p>
    <w:p w:rsidR="007C72D1" w:rsidRPr="00A46038" w:rsidRDefault="007C72D1" w:rsidP="00A46038">
      <w:pPr>
        <w:rPr>
          <w:b/>
        </w:rPr>
      </w:pPr>
      <w:r w:rsidRPr="00A46038">
        <w:rPr>
          <w:b/>
        </w:rPr>
        <w:t>Exempt Selling Guideline</w:t>
      </w:r>
    </w:p>
    <w:p w:rsidR="007C72D1" w:rsidRDefault="007C72D1" w:rsidP="007C72D1">
      <w:pPr>
        <w:pStyle w:val="AERbodytext"/>
        <w:rPr>
          <w:rStyle w:val="AERbody"/>
        </w:rPr>
      </w:pPr>
      <w:r w:rsidRPr="00DE4314">
        <w:rPr>
          <w:rStyle w:val="AERbody"/>
        </w:rPr>
        <w:t>The AER</w:t>
      </w:r>
      <w:r w:rsidRPr="00DE4314">
        <w:rPr>
          <w:rStyle w:val="AERbody"/>
          <w:rFonts w:hint="eastAsia"/>
        </w:rPr>
        <w:t>’</w:t>
      </w:r>
      <w:r w:rsidRPr="00DE4314">
        <w:rPr>
          <w:rStyle w:val="AERbody"/>
        </w:rPr>
        <w:t xml:space="preserve">s requirements governing retail </w:t>
      </w:r>
      <w:r>
        <w:rPr>
          <w:rStyle w:val="AERbody"/>
        </w:rPr>
        <w:t>on–selling</w:t>
      </w:r>
      <w:r w:rsidRPr="00DE4314">
        <w:rPr>
          <w:rStyle w:val="AERbody"/>
        </w:rPr>
        <w:t xml:space="preserve"> registration and exemptions are set out in our </w:t>
      </w:r>
      <w:r w:rsidR="00A86BBA">
        <w:rPr>
          <w:rStyle w:val="AERbody"/>
        </w:rPr>
        <w:t xml:space="preserve">Retail </w:t>
      </w:r>
      <w:r w:rsidRPr="00DE4314">
        <w:rPr>
          <w:rStyle w:val="AERbody"/>
        </w:rPr>
        <w:t>Exempt Selling Guideline, which should be read in close conjunction with this Guideline.</w:t>
      </w:r>
      <w:r w:rsidRPr="00DE4314" w:rsidDel="008314B9">
        <w:rPr>
          <w:rStyle w:val="AERbody"/>
        </w:rPr>
        <w:t xml:space="preserve"> </w:t>
      </w:r>
    </w:p>
    <w:p w:rsidR="007C72D1" w:rsidRPr="006C35FF" w:rsidRDefault="007C72D1" w:rsidP="007C72D1">
      <w:pPr>
        <w:pStyle w:val="AERbodytext"/>
        <w:rPr>
          <w:rStyle w:val="AERbody"/>
          <w:b/>
        </w:rPr>
      </w:pPr>
      <w:r w:rsidRPr="006C35FF">
        <w:rPr>
          <w:rStyle w:val="AERbody"/>
          <w:b/>
        </w:rPr>
        <w:t>On</w:t>
      </w:r>
      <w:r>
        <w:rPr>
          <w:rStyle w:val="AERbody"/>
        </w:rPr>
        <w:t>–</w:t>
      </w:r>
      <w:r w:rsidRPr="006C35FF">
        <w:rPr>
          <w:rStyle w:val="AERbody"/>
          <w:b/>
        </w:rPr>
        <w:t>selling</w:t>
      </w:r>
    </w:p>
    <w:p w:rsidR="007C72D1" w:rsidRPr="00DE4314" w:rsidRDefault="007C72D1" w:rsidP="007C72D1">
      <w:pPr>
        <w:pStyle w:val="AERbodytext"/>
        <w:rPr>
          <w:rStyle w:val="AERbody"/>
        </w:rPr>
      </w:pPr>
      <w:r w:rsidRPr="00DE4314">
        <w:rPr>
          <w:rStyle w:val="AERbody"/>
        </w:rPr>
        <w:t>The term</w:t>
      </w:r>
      <w:r>
        <w:rPr>
          <w:rStyle w:val="AERbody"/>
        </w:rPr>
        <w:t>s</w:t>
      </w:r>
      <w:r w:rsidRPr="00DE4314">
        <w:rPr>
          <w:rStyle w:val="AERbody"/>
        </w:rPr>
        <w:t xml:space="preserve"> </w:t>
      </w:r>
      <w:r>
        <w:rPr>
          <w:rStyle w:val="AERbody"/>
        </w:rPr>
        <w:t>selling and on–selling</w:t>
      </w:r>
      <w:r w:rsidRPr="00DE4314">
        <w:rPr>
          <w:rStyle w:val="AERbody"/>
        </w:rPr>
        <w:t xml:space="preserve"> ha</w:t>
      </w:r>
      <w:r>
        <w:rPr>
          <w:rStyle w:val="AERbody"/>
        </w:rPr>
        <w:t>ve</w:t>
      </w:r>
      <w:r w:rsidRPr="00DE4314">
        <w:rPr>
          <w:rStyle w:val="AERbody"/>
        </w:rPr>
        <w:t xml:space="preserve"> very broad connotations</w:t>
      </w:r>
      <w:r>
        <w:rPr>
          <w:rStyle w:val="AERbody"/>
        </w:rPr>
        <w:t xml:space="preserve"> when used in this Guideline</w:t>
      </w:r>
      <w:r w:rsidRPr="00DE4314">
        <w:rPr>
          <w:rStyle w:val="AERbody"/>
        </w:rPr>
        <w:t xml:space="preserve">. </w:t>
      </w:r>
      <w:r>
        <w:rPr>
          <w:rStyle w:val="AERbody"/>
        </w:rPr>
        <w:t>They</w:t>
      </w:r>
      <w:r w:rsidRPr="00DE4314">
        <w:rPr>
          <w:rStyle w:val="AERbody"/>
        </w:rPr>
        <w:t xml:space="preserve"> include all manner of situations </w:t>
      </w:r>
      <w:r>
        <w:rPr>
          <w:rStyle w:val="AERbody"/>
        </w:rPr>
        <w:t xml:space="preserve">where electricity is supplied to another person. It </w:t>
      </w:r>
      <w:r w:rsidRPr="00DE4314">
        <w:rPr>
          <w:rStyle w:val="AERbody"/>
        </w:rPr>
        <w:t>includ</w:t>
      </w:r>
      <w:r>
        <w:rPr>
          <w:rStyle w:val="AERbody"/>
        </w:rPr>
        <w:t>es</w:t>
      </w:r>
      <w:r w:rsidRPr="00DE4314">
        <w:rPr>
          <w:rStyle w:val="AERbody"/>
        </w:rPr>
        <w:t xml:space="preserve"> residential boarding houses, flats, apartments, retirement villages, caravan parks, retail centres, strata title, industrial parks, </w:t>
      </w:r>
      <w:r w:rsidR="000F611D">
        <w:rPr>
          <w:rStyle w:val="AERbody"/>
        </w:rPr>
        <w:t>air</w:t>
      </w:r>
      <w:r w:rsidR="009A7FF4">
        <w:rPr>
          <w:rStyle w:val="AERbody"/>
        </w:rPr>
        <w:t xml:space="preserve">ports, </w:t>
      </w:r>
      <w:r w:rsidRPr="00DE4314">
        <w:rPr>
          <w:rStyle w:val="AERbody"/>
        </w:rPr>
        <w:t xml:space="preserve">office building, mining facilities, joint venture arrangements, quasi-retail or distribution arrangements and third-party connections to generators to name but a few examples. </w:t>
      </w:r>
    </w:p>
    <w:p w:rsidR="007C72D1" w:rsidRDefault="007C72D1" w:rsidP="007C72D1">
      <w:pPr>
        <w:pStyle w:val="AERbodytext"/>
        <w:rPr>
          <w:rStyle w:val="AERbody"/>
        </w:rPr>
      </w:pPr>
      <w:r w:rsidRPr="00DE4314">
        <w:rPr>
          <w:rStyle w:val="AERbody"/>
        </w:rPr>
        <w:lastRenderedPageBreak/>
        <w:t xml:space="preserve">Where </w:t>
      </w:r>
      <w:r>
        <w:rPr>
          <w:rStyle w:val="AERbody"/>
        </w:rPr>
        <w:t>the sale of</w:t>
      </w:r>
      <w:r w:rsidRPr="00DE4314">
        <w:rPr>
          <w:rStyle w:val="AERbody"/>
        </w:rPr>
        <w:t xml:space="preserve"> </w:t>
      </w:r>
      <w:r>
        <w:rPr>
          <w:rStyle w:val="AERbody"/>
        </w:rPr>
        <w:t xml:space="preserve">electricity </w:t>
      </w:r>
      <w:r w:rsidRPr="00DE4314">
        <w:rPr>
          <w:rStyle w:val="AERbody"/>
        </w:rPr>
        <w:t xml:space="preserve">takes place the party </w:t>
      </w:r>
      <w:r>
        <w:rPr>
          <w:rStyle w:val="AERbody"/>
        </w:rPr>
        <w:t>selling</w:t>
      </w:r>
      <w:r w:rsidRPr="00DE4314">
        <w:rPr>
          <w:rStyle w:val="AERbody"/>
        </w:rPr>
        <w:t xml:space="preserve"> </w:t>
      </w:r>
      <w:r>
        <w:rPr>
          <w:rStyle w:val="AERbody"/>
        </w:rPr>
        <w:t xml:space="preserve">the </w:t>
      </w:r>
      <w:r w:rsidRPr="00DE4314">
        <w:rPr>
          <w:rStyle w:val="AERbody"/>
        </w:rPr>
        <w:t xml:space="preserve">electricity must be registered or exempt under the </w:t>
      </w:r>
      <w:r w:rsidR="00A86BBA">
        <w:rPr>
          <w:rStyle w:val="AERbody"/>
        </w:rPr>
        <w:t xml:space="preserve">Retail </w:t>
      </w:r>
      <w:r w:rsidRPr="00DE4314">
        <w:rPr>
          <w:rStyle w:val="AERbody"/>
        </w:rPr>
        <w:t>Exempt Selling Guideline</w:t>
      </w:r>
      <w:r w:rsidR="00A70BD9">
        <w:rPr>
          <w:rStyle w:val="AERbody"/>
        </w:rPr>
        <w:t>, wherever it is in effect</w:t>
      </w:r>
      <w:r w:rsidRPr="00DE4314">
        <w:rPr>
          <w:rStyle w:val="AERbody"/>
        </w:rPr>
        <w:t>.</w:t>
      </w:r>
      <w:r>
        <w:rPr>
          <w:rStyle w:val="AERbody"/>
        </w:rPr>
        <w:t xml:space="preserve"> </w:t>
      </w:r>
    </w:p>
    <w:p w:rsidR="007C72D1" w:rsidRDefault="007C72D1" w:rsidP="007C72D1">
      <w:pPr>
        <w:pStyle w:val="AERbodytext"/>
        <w:rPr>
          <w:rStyle w:val="AERbody"/>
        </w:rPr>
      </w:pPr>
      <w:r>
        <w:rPr>
          <w:rStyle w:val="AERbody"/>
        </w:rPr>
        <w:t>The test for selling electricity is about an action or activity. In contrast</w:t>
      </w:r>
      <w:r w:rsidR="00A60208">
        <w:rPr>
          <w:rStyle w:val="AERbody"/>
        </w:rPr>
        <w:t>,</w:t>
      </w:r>
      <w:r>
        <w:rPr>
          <w:rStyle w:val="AERbody"/>
        </w:rPr>
        <w:t xml:space="preserve"> the test for a network exemption is a mix of a physical and activity test. For example, is your wiring connected to the National Electricity Market and are you supplying electricity to a third person? If so, even if the electricity is given away for free</w:t>
      </w:r>
      <w:r w:rsidRPr="00DE4314">
        <w:rPr>
          <w:rStyle w:val="AERbody"/>
        </w:rPr>
        <w:t xml:space="preserve"> both </w:t>
      </w:r>
      <w:r w:rsidR="00A86BBA">
        <w:rPr>
          <w:rStyle w:val="AERbody"/>
        </w:rPr>
        <w:t xml:space="preserve">you </w:t>
      </w:r>
      <w:r w:rsidR="00FD45F8">
        <w:rPr>
          <w:rStyle w:val="AERbody"/>
        </w:rPr>
        <w:t>(</w:t>
      </w:r>
      <w:r w:rsidR="00A86BBA">
        <w:rPr>
          <w:rStyle w:val="AERbody"/>
        </w:rPr>
        <w:t xml:space="preserve">as </w:t>
      </w:r>
      <w:r w:rsidRPr="00DE4314">
        <w:rPr>
          <w:rStyle w:val="AERbody"/>
        </w:rPr>
        <w:t>the network owner</w:t>
      </w:r>
      <w:r w:rsidR="00FD45F8">
        <w:rPr>
          <w:rStyle w:val="AERbody"/>
        </w:rPr>
        <w:t>)</w:t>
      </w:r>
      <w:r w:rsidRPr="00DE4314">
        <w:rPr>
          <w:rStyle w:val="AERbody"/>
        </w:rPr>
        <w:t xml:space="preserve"> and </w:t>
      </w:r>
      <w:r w:rsidR="00A86BBA">
        <w:rPr>
          <w:rStyle w:val="AERbody"/>
        </w:rPr>
        <w:t xml:space="preserve">your </w:t>
      </w:r>
      <w:r w:rsidRPr="00DE4314">
        <w:rPr>
          <w:rStyle w:val="AERbody"/>
        </w:rPr>
        <w:t>agents must be registered</w:t>
      </w:r>
      <w:r w:rsidR="00FD45F8">
        <w:rPr>
          <w:rStyle w:val="AERbody"/>
        </w:rPr>
        <w:t xml:space="preserve"> </w:t>
      </w:r>
      <w:r w:rsidRPr="00DE4314">
        <w:rPr>
          <w:rStyle w:val="AERbody"/>
        </w:rPr>
        <w:t>or exempt under th</w:t>
      </w:r>
      <w:r>
        <w:rPr>
          <w:rStyle w:val="AERbody"/>
        </w:rPr>
        <w:t>is</w:t>
      </w:r>
      <w:r w:rsidRPr="00DE4314">
        <w:rPr>
          <w:rStyle w:val="AERbody"/>
        </w:rPr>
        <w:t xml:space="preserve"> Network Guideline.</w:t>
      </w:r>
      <w:r>
        <w:rPr>
          <w:rStyle w:val="AERbody"/>
        </w:rPr>
        <w:t xml:space="preserve"> Fortunately, almost all minor situations will be deemed to be exempt.</w:t>
      </w:r>
    </w:p>
    <w:p w:rsidR="007C72D1" w:rsidRPr="00DE4314" w:rsidRDefault="007C72D1" w:rsidP="007C72D1">
      <w:pPr>
        <w:pStyle w:val="AERbodytext"/>
        <w:numPr>
          <w:ilvl w:val="0"/>
          <w:numId w:val="7"/>
        </w:numPr>
        <w:spacing w:after="240"/>
        <w:rPr>
          <w:b/>
        </w:rPr>
      </w:pPr>
      <w:r w:rsidRPr="00DE4314">
        <w:rPr>
          <w:b/>
        </w:rPr>
        <w:t>Terminology</w:t>
      </w:r>
    </w:p>
    <w:p w:rsidR="007C72D1" w:rsidRDefault="007C72D1" w:rsidP="007C72D1">
      <w:pPr>
        <w:pStyle w:val="AERbodytext"/>
        <w:numPr>
          <w:ilvl w:val="0"/>
          <w:numId w:val="7"/>
        </w:numPr>
        <w:spacing w:before="0" w:after="240"/>
        <w:rPr>
          <w:rStyle w:val="AERbody"/>
        </w:rPr>
      </w:pPr>
      <w:r w:rsidRPr="00F51ADD">
        <w:rPr>
          <w:rStyle w:val="AERbody"/>
        </w:rPr>
        <w:t>In this Guideline the terms ‘private network’, ‘embedded network’ and ‘exempt network’ are generally interchangeable. The terms all refer to the physical assets that deliver electricity to another person or party. They include any privately owned wires, switches, meters, transformers or other electrical</w:t>
      </w:r>
      <w:r w:rsidRPr="00713852">
        <w:rPr>
          <w:rStyle w:val="AERbody"/>
        </w:rPr>
        <w:t xml:space="preserve"> equipment o</w:t>
      </w:r>
      <w:r w:rsidRPr="00F51ADD">
        <w:rPr>
          <w:rStyle w:val="AERbody"/>
        </w:rPr>
        <w:t xml:space="preserve">wned, operated or controlled by the applicant. </w:t>
      </w:r>
    </w:p>
    <w:p w:rsidR="007C72D1" w:rsidRDefault="007C72D1" w:rsidP="007C72D1">
      <w:pPr>
        <w:pStyle w:val="AERbodytext"/>
        <w:numPr>
          <w:ilvl w:val="0"/>
          <w:numId w:val="7"/>
        </w:numPr>
        <w:spacing w:before="0" w:after="240"/>
        <w:rPr>
          <w:rStyle w:val="AERbody"/>
        </w:rPr>
      </w:pPr>
      <w:r w:rsidRPr="00F51ADD">
        <w:rPr>
          <w:rStyle w:val="AERbody"/>
        </w:rPr>
        <w:t>In some jurisdictions one or other term is used, or some of the terms have narrow meanings when used by the local electricity distribution company or referred to in legislation or regulations. However, for the purposes of the National Electricity Law all private networks must be exempted by the AER.</w:t>
      </w:r>
    </w:p>
    <w:p w:rsidR="007C72D1" w:rsidRPr="00462366" w:rsidRDefault="007C72D1" w:rsidP="007C72D1">
      <w:pPr>
        <w:pStyle w:val="AERbodytext"/>
        <w:numPr>
          <w:ilvl w:val="0"/>
          <w:numId w:val="7"/>
        </w:numPr>
        <w:spacing w:after="240"/>
        <w:rPr>
          <w:b/>
        </w:rPr>
      </w:pPr>
      <w:r w:rsidRPr="00462366">
        <w:rPr>
          <w:b/>
        </w:rPr>
        <w:t>Deemed, Registrable and Individual Exemptions</w:t>
      </w:r>
    </w:p>
    <w:p w:rsidR="00D45256" w:rsidRPr="00DE4314" w:rsidRDefault="007C72D1" w:rsidP="00D45256">
      <w:pPr>
        <w:rPr>
          <w:rStyle w:val="AERbody"/>
        </w:rPr>
      </w:pPr>
      <w:r>
        <w:rPr>
          <w:rStyle w:val="AERbody"/>
        </w:rPr>
        <w:t xml:space="preserve">Similar to the </w:t>
      </w:r>
      <w:r w:rsidR="00A86BBA">
        <w:rPr>
          <w:rStyle w:val="AERbody"/>
        </w:rPr>
        <w:t xml:space="preserve">Retail </w:t>
      </w:r>
      <w:r>
        <w:rPr>
          <w:rStyle w:val="AERbody"/>
        </w:rPr>
        <w:t xml:space="preserve">Exempt Selling Guideline, there are three categories of exemption – ‘deemed; ‘registrable’ and ‘individual’. </w:t>
      </w:r>
      <w:r w:rsidR="00D45256">
        <w:rPr>
          <w:rStyle w:val="AERbody"/>
        </w:rPr>
        <w:t xml:space="preserve">In section </w:t>
      </w:r>
      <w:r w:rsidR="00D45256">
        <w:rPr>
          <w:rStyle w:val="AERbody"/>
        </w:rPr>
        <w:fldChar w:fldCharType="begin"/>
      </w:r>
      <w:r w:rsidR="00D45256">
        <w:rPr>
          <w:rStyle w:val="AERbody"/>
        </w:rPr>
        <w:instrText xml:space="preserve"> REF _Ref361909716 \r \h </w:instrText>
      </w:r>
      <w:r w:rsidR="00D45256">
        <w:rPr>
          <w:rStyle w:val="AERbody"/>
        </w:rPr>
      </w:r>
      <w:r w:rsidR="00D45256">
        <w:rPr>
          <w:rStyle w:val="AERbody"/>
        </w:rPr>
        <w:fldChar w:fldCharType="separate"/>
      </w:r>
      <w:r w:rsidR="00D94AAA">
        <w:rPr>
          <w:rStyle w:val="AERbody"/>
        </w:rPr>
        <w:t>2.2</w:t>
      </w:r>
      <w:r w:rsidR="00D45256">
        <w:rPr>
          <w:rStyle w:val="AERbody"/>
        </w:rPr>
        <w:fldChar w:fldCharType="end"/>
      </w:r>
      <w:r w:rsidR="00D45256">
        <w:rPr>
          <w:rStyle w:val="AERbody"/>
        </w:rPr>
        <w:t xml:space="preserve"> we explain what type of exemption relates to particular activities. In section </w:t>
      </w:r>
      <w:r w:rsidR="00D45256">
        <w:rPr>
          <w:rStyle w:val="AERbody"/>
        </w:rPr>
        <w:fldChar w:fldCharType="begin"/>
      </w:r>
      <w:r w:rsidR="00D45256">
        <w:rPr>
          <w:rStyle w:val="AERbody"/>
        </w:rPr>
        <w:instrText xml:space="preserve"> REF _Ref361909733 \r \h </w:instrText>
      </w:r>
      <w:r w:rsidR="00D45256">
        <w:rPr>
          <w:rStyle w:val="AERbody"/>
        </w:rPr>
      </w:r>
      <w:r w:rsidR="00D45256">
        <w:rPr>
          <w:rStyle w:val="AERbody"/>
        </w:rPr>
        <w:fldChar w:fldCharType="separate"/>
      </w:r>
      <w:r w:rsidR="00D94AAA">
        <w:rPr>
          <w:rStyle w:val="AERbody"/>
        </w:rPr>
        <w:t>3</w:t>
      </w:r>
      <w:r w:rsidR="00D45256">
        <w:rPr>
          <w:rStyle w:val="AERbody"/>
        </w:rPr>
        <w:fldChar w:fldCharType="end"/>
      </w:r>
      <w:r w:rsidR="00D45256">
        <w:rPr>
          <w:rStyle w:val="AERbody"/>
        </w:rPr>
        <w:t xml:space="preserve"> we detail the pre-defined exemption classes.</w:t>
      </w:r>
    </w:p>
    <w:p w:rsidR="007C72D1" w:rsidRPr="00DE4314" w:rsidRDefault="007C72D1" w:rsidP="007C72D1">
      <w:pPr>
        <w:rPr>
          <w:rStyle w:val="AERbody"/>
        </w:rPr>
      </w:pPr>
      <w:r w:rsidRPr="00DE4314">
        <w:rPr>
          <w:rStyle w:val="AERbody"/>
        </w:rPr>
        <w:t xml:space="preserve">The range of predefined </w:t>
      </w:r>
      <w:r w:rsidR="00D45256">
        <w:rPr>
          <w:rStyle w:val="AERbody"/>
        </w:rPr>
        <w:t xml:space="preserve">exemption </w:t>
      </w:r>
      <w:r w:rsidRPr="00DE4314">
        <w:rPr>
          <w:rStyle w:val="AERbody"/>
        </w:rPr>
        <w:t>classes encompasses both deemed and registrable exemptions in both Guidelines. The AER has align</w:t>
      </w:r>
      <w:r>
        <w:rPr>
          <w:rStyle w:val="AERbody"/>
        </w:rPr>
        <w:t>ed</w:t>
      </w:r>
      <w:r w:rsidRPr="00DE4314">
        <w:rPr>
          <w:rStyle w:val="AERbody"/>
        </w:rPr>
        <w:t xml:space="preserve"> the </w:t>
      </w:r>
      <w:r>
        <w:rPr>
          <w:rStyle w:val="AERbody"/>
        </w:rPr>
        <w:t xml:space="preserve">classes </w:t>
      </w:r>
      <w:r w:rsidRPr="00DE4314">
        <w:rPr>
          <w:rStyle w:val="AERbody"/>
        </w:rPr>
        <w:t xml:space="preserve">for </w:t>
      </w:r>
      <w:r>
        <w:rPr>
          <w:rStyle w:val="AERbody"/>
        </w:rPr>
        <w:t xml:space="preserve">deemed and </w:t>
      </w:r>
      <w:r w:rsidRPr="00DE4314">
        <w:rPr>
          <w:rStyle w:val="AERbody"/>
        </w:rPr>
        <w:t>registrable</w:t>
      </w:r>
      <w:r>
        <w:rPr>
          <w:rStyle w:val="AERbody"/>
        </w:rPr>
        <w:t xml:space="preserve"> </w:t>
      </w:r>
      <w:r w:rsidRPr="00DE4314">
        <w:rPr>
          <w:rStyle w:val="AERbody"/>
        </w:rPr>
        <w:t xml:space="preserve">network exemptions as closely as possible with the equivalent </w:t>
      </w:r>
      <w:r>
        <w:rPr>
          <w:rStyle w:val="AERbody"/>
        </w:rPr>
        <w:t xml:space="preserve">classes </w:t>
      </w:r>
      <w:r w:rsidRPr="00DE4314">
        <w:rPr>
          <w:rStyle w:val="AERbody"/>
        </w:rPr>
        <w:t>in the</w:t>
      </w:r>
      <w:r>
        <w:rPr>
          <w:rStyle w:val="AERbody"/>
        </w:rPr>
        <w:t xml:space="preserve"> </w:t>
      </w:r>
      <w:r w:rsidR="00A60208">
        <w:rPr>
          <w:rStyle w:val="AERbody"/>
        </w:rPr>
        <w:t xml:space="preserve">Retail </w:t>
      </w:r>
      <w:r>
        <w:rPr>
          <w:rStyle w:val="AERbody"/>
        </w:rPr>
        <w:t>Exempt Selling Guideline.</w:t>
      </w:r>
      <w:r w:rsidRPr="00DE4314">
        <w:rPr>
          <w:rStyle w:val="AERbody"/>
        </w:rPr>
        <w:t xml:space="preserve"> However, the Network Guideline deals with a wider range of activities than those captured under the Retail Law. Therefore, there are more classes in the Network Guideline. The</w:t>
      </w:r>
      <w:r>
        <w:rPr>
          <w:rStyle w:val="AERbody"/>
        </w:rPr>
        <w:t xml:space="preserve"> classes</w:t>
      </w:r>
      <w:r w:rsidRPr="00DE4314">
        <w:rPr>
          <w:rStyle w:val="AERbody"/>
        </w:rPr>
        <w:t xml:space="preserve"> are set out in </w:t>
      </w:r>
      <w:r>
        <w:rPr>
          <w:rStyle w:val="AERbody"/>
        </w:rPr>
        <w:t xml:space="preserve">four </w:t>
      </w:r>
      <w:r w:rsidRPr="00DE4314">
        <w:rPr>
          <w:rStyle w:val="AERbody"/>
        </w:rPr>
        <w:t xml:space="preserve">tables </w:t>
      </w:r>
      <w:r>
        <w:rPr>
          <w:rStyle w:val="AERbody"/>
        </w:rPr>
        <w:t xml:space="preserve">numbered </w:t>
      </w:r>
      <w:r w:rsidRPr="00DE4314">
        <w:rPr>
          <w:rStyle w:val="AERbody"/>
        </w:rPr>
        <w:t>1</w:t>
      </w:r>
      <w:r>
        <w:rPr>
          <w:rStyle w:val="AERbody"/>
        </w:rPr>
        <w:t xml:space="preserve"> to </w:t>
      </w:r>
      <w:r w:rsidRPr="00DE4314">
        <w:rPr>
          <w:rStyle w:val="AERbody"/>
        </w:rPr>
        <w:t xml:space="preserve">4. </w:t>
      </w:r>
      <w:r>
        <w:rPr>
          <w:rStyle w:val="AERbody"/>
        </w:rPr>
        <w:t>The classes in t</w:t>
      </w:r>
      <w:r w:rsidRPr="00DE4314">
        <w:rPr>
          <w:rStyle w:val="AERbody"/>
        </w:rPr>
        <w:t xml:space="preserve">ables 1 and 3 are directly related to the </w:t>
      </w:r>
      <w:r w:rsidR="00A60208">
        <w:rPr>
          <w:rStyle w:val="AERbody"/>
        </w:rPr>
        <w:t xml:space="preserve">Retail </w:t>
      </w:r>
      <w:r w:rsidRPr="00DE4314">
        <w:rPr>
          <w:rStyle w:val="AERbody"/>
        </w:rPr>
        <w:t xml:space="preserve">Exempt Selling Guideline classes. </w:t>
      </w:r>
      <w:r w:rsidR="00F26167">
        <w:rPr>
          <w:rStyle w:val="AERbody"/>
        </w:rPr>
        <w:t>All deemed and registrable exemptions exempt the holder from the technical requirements of chapter 5 of the NER.</w:t>
      </w:r>
    </w:p>
    <w:p w:rsidR="007C72D1" w:rsidRDefault="007C72D1" w:rsidP="007C72D1">
      <w:pPr>
        <w:rPr>
          <w:rStyle w:val="AERbody"/>
        </w:rPr>
      </w:pPr>
      <w:r>
        <w:rPr>
          <w:rStyle w:val="AERbody"/>
        </w:rPr>
        <w:t>I</w:t>
      </w:r>
      <w:r w:rsidRPr="00DE4314">
        <w:rPr>
          <w:rStyle w:val="AERbody"/>
        </w:rPr>
        <w:t xml:space="preserve">ndividual exemptions operate differently between the Retail Law and the National Electricity Law. </w:t>
      </w:r>
      <w:r>
        <w:rPr>
          <w:rStyle w:val="AERbody"/>
        </w:rPr>
        <w:t>We</w:t>
      </w:r>
      <w:r w:rsidRPr="00DE4314">
        <w:rPr>
          <w:rStyle w:val="AERbody"/>
        </w:rPr>
        <w:t xml:space="preserve"> expect that </w:t>
      </w:r>
      <w:r>
        <w:rPr>
          <w:rStyle w:val="AERbody"/>
        </w:rPr>
        <w:t>t</w:t>
      </w:r>
      <w:r w:rsidRPr="00DE4314">
        <w:rPr>
          <w:rStyle w:val="AERbody"/>
        </w:rPr>
        <w:t xml:space="preserve">here will be few instances where an individual </w:t>
      </w:r>
      <w:r>
        <w:rPr>
          <w:rStyle w:val="AERbody"/>
        </w:rPr>
        <w:t xml:space="preserve">network </w:t>
      </w:r>
      <w:r w:rsidRPr="00DE4314">
        <w:rPr>
          <w:rStyle w:val="AERbody"/>
        </w:rPr>
        <w:t>exemption is necessary</w:t>
      </w:r>
      <w:r>
        <w:rPr>
          <w:rStyle w:val="AERbody"/>
        </w:rPr>
        <w:t>. We have tried to anticipate a wide range of ‘</w:t>
      </w:r>
      <w:r w:rsidRPr="00DE4314">
        <w:rPr>
          <w:rStyle w:val="AERbody"/>
        </w:rPr>
        <w:t>real world</w:t>
      </w:r>
      <w:r>
        <w:rPr>
          <w:rStyle w:val="AERbody"/>
        </w:rPr>
        <w:t xml:space="preserve">’ activities in the deemed and registrable categories. We expect an application for </w:t>
      </w:r>
      <w:r w:rsidR="00A60208">
        <w:rPr>
          <w:rStyle w:val="AERbody"/>
        </w:rPr>
        <w:t xml:space="preserve">an </w:t>
      </w:r>
      <w:r>
        <w:rPr>
          <w:rStyle w:val="AERbody"/>
        </w:rPr>
        <w:t>individual network exemption will be for some new, unanticipated activity or to be for a variation of the conditions</w:t>
      </w:r>
      <w:r w:rsidRPr="002E7189">
        <w:rPr>
          <w:rStyle w:val="AERbody"/>
        </w:rPr>
        <w:t xml:space="preserve"> </w:t>
      </w:r>
      <w:r w:rsidRPr="00DE4314">
        <w:rPr>
          <w:rStyle w:val="AERbody"/>
        </w:rPr>
        <w:t>attached to a deemed or registrable exemption</w:t>
      </w:r>
      <w:r>
        <w:rPr>
          <w:rStyle w:val="AERbody"/>
        </w:rPr>
        <w:t>.</w:t>
      </w:r>
    </w:p>
    <w:p w:rsidR="007C72D1" w:rsidRDefault="007C72D1" w:rsidP="007C72D1">
      <w:pPr>
        <w:rPr>
          <w:rStyle w:val="AERbody"/>
        </w:rPr>
      </w:pPr>
      <w:r>
        <w:rPr>
          <w:rStyle w:val="AERbody"/>
        </w:rPr>
        <w:t>All applications</w:t>
      </w:r>
      <w:r w:rsidRPr="00DE4314">
        <w:rPr>
          <w:rStyle w:val="AERbody"/>
        </w:rPr>
        <w:t xml:space="preserve"> will be subject to a formal determination by the AER.</w:t>
      </w:r>
      <w:r w:rsidRPr="00713852">
        <w:t xml:space="preserve"> </w:t>
      </w:r>
      <w:r w:rsidRPr="00713852">
        <w:rPr>
          <w:rStyle w:val="AERbody"/>
        </w:rPr>
        <w:t xml:space="preserve">Applications for a variation of conditions will only be granted in exceptional circumstances. </w:t>
      </w:r>
      <w:r>
        <w:rPr>
          <w:rStyle w:val="AERbody"/>
        </w:rPr>
        <w:t xml:space="preserve">All applications </w:t>
      </w:r>
      <w:r w:rsidRPr="00713852">
        <w:rPr>
          <w:rStyle w:val="AERbody"/>
        </w:rPr>
        <w:t>will also be subject to a careful examination of public benefits and any detriments to customers. They are re</w:t>
      </w:r>
      <w:r>
        <w:rPr>
          <w:rStyle w:val="AERbody"/>
        </w:rPr>
        <w:t>gistrable and will be published</w:t>
      </w:r>
      <w:r w:rsidRPr="00713852">
        <w:rPr>
          <w:rStyle w:val="AERbody"/>
        </w:rPr>
        <w:t>.</w:t>
      </w:r>
    </w:p>
    <w:p w:rsidR="007C72D1" w:rsidRPr="00DE2C84" w:rsidRDefault="007C72D1" w:rsidP="007C72D1">
      <w:pPr>
        <w:rPr>
          <w:b/>
        </w:rPr>
      </w:pPr>
      <w:r w:rsidRPr="00DE2C84">
        <w:rPr>
          <w:b/>
        </w:rPr>
        <w:t>Exemption tables</w:t>
      </w:r>
    </w:p>
    <w:p w:rsidR="007C72D1" w:rsidRPr="00BF1CBF" w:rsidRDefault="007C72D1" w:rsidP="007C72D1">
      <w:r w:rsidRPr="00BF1CBF">
        <w:t>Deemed exemption</w:t>
      </w:r>
      <w:r>
        <w:t xml:space="preserve"> classes</w:t>
      </w:r>
      <w:r w:rsidRPr="00BF1CBF">
        <w:t xml:space="preserve"> are described in </w:t>
      </w:r>
      <w:r>
        <w:t xml:space="preserve">Tables 1 and 2 </w:t>
      </w:r>
      <w:r w:rsidRPr="00BF1CBF">
        <w:t>for a number of network activities, along with details of the parties to whom the exemption applies</w:t>
      </w:r>
      <w:r>
        <w:t>.</w:t>
      </w:r>
      <w:r w:rsidRPr="00BF1CBF">
        <w:t xml:space="preserve"> </w:t>
      </w:r>
      <w:r>
        <w:t>Deemed exemptions are</w:t>
      </w:r>
      <w:r w:rsidRPr="00BF1CBF">
        <w:t xml:space="preserve"> subject to strict observance of the conditions detailed in Part B of the Guideline. Penalties may apply to any party who wrongly claims to be eligible for a deemed exemption. </w:t>
      </w:r>
    </w:p>
    <w:p w:rsidR="007C72D1" w:rsidRPr="00BF1CBF" w:rsidRDefault="007C72D1" w:rsidP="007C72D1">
      <w:r w:rsidRPr="00BF1CBF">
        <w:lastRenderedPageBreak/>
        <w:t xml:space="preserve">Registrable exemptions are described in </w:t>
      </w:r>
      <w:r>
        <w:t xml:space="preserve">Tables 3 and 4 </w:t>
      </w:r>
      <w:r w:rsidRPr="00BF1CBF">
        <w:t xml:space="preserve">for a number of network activities, along with details of the parties to whom the exemption applies both during and after a transition period, and </w:t>
      </w:r>
      <w:r>
        <w:t xml:space="preserve">are </w:t>
      </w:r>
      <w:r w:rsidRPr="00BF1CBF">
        <w:t xml:space="preserve">subject to strict observance of the conditions detailed in Part B of the Guideline. </w:t>
      </w:r>
    </w:p>
    <w:p w:rsidR="007C72D1" w:rsidRPr="00BF1CBF" w:rsidRDefault="007C72D1" w:rsidP="007C72D1">
      <w:r w:rsidRPr="00BF1CBF">
        <w:t>The N</w:t>
      </w:r>
      <w:r>
        <w:t>ER</w:t>
      </w:r>
      <w:r w:rsidRPr="00BF1CBF">
        <w:t xml:space="preserve"> also provide</w:t>
      </w:r>
      <w:r>
        <w:t>s</w:t>
      </w:r>
      <w:r w:rsidRPr="00BF1CBF">
        <w:t xml:space="preserve"> for individual exemptions</w:t>
      </w:r>
      <w:r>
        <w:t>, which are a single category described in Table 5.</w:t>
      </w:r>
    </w:p>
    <w:p w:rsidR="007C72D1" w:rsidRDefault="007C72D1" w:rsidP="007C72D1">
      <w:pPr>
        <w:rPr>
          <w:b/>
        </w:rPr>
      </w:pPr>
      <w:r w:rsidRPr="00DE2C84">
        <w:rPr>
          <w:b/>
        </w:rPr>
        <w:t>Conditions</w:t>
      </w:r>
      <w:r>
        <w:rPr>
          <w:b/>
        </w:rPr>
        <w:t xml:space="preserve"> </w:t>
      </w:r>
    </w:p>
    <w:p w:rsidR="007C72D1" w:rsidRPr="00630BA7" w:rsidRDefault="007C72D1" w:rsidP="007C72D1">
      <w:pPr>
        <w:rPr>
          <w:rStyle w:val="AERbody"/>
        </w:rPr>
      </w:pPr>
      <w:r w:rsidRPr="00630BA7">
        <w:rPr>
          <w:rStyle w:val="AERbody"/>
        </w:rPr>
        <w:t xml:space="preserve">There are four basic requirements for exempt networks. An exempt person must: </w:t>
      </w:r>
    </w:p>
    <w:p w:rsidR="007C72D1" w:rsidRPr="006F7B00" w:rsidRDefault="007C72D1" w:rsidP="007C72D1">
      <w:pPr>
        <w:pStyle w:val="AERbulletlistfirststyle"/>
        <w:numPr>
          <w:ilvl w:val="0"/>
          <w:numId w:val="1"/>
        </w:numPr>
        <w:rPr>
          <w:rFonts w:cs="Gautami"/>
          <w:szCs w:val="20"/>
        </w:rPr>
      </w:pPr>
      <w:r>
        <w:rPr>
          <w:rFonts w:cs="Gautami"/>
          <w:szCs w:val="20"/>
        </w:rPr>
        <w:t>e</w:t>
      </w:r>
      <w:r w:rsidRPr="006F7B00">
        <w:rPr>
          <w:rFonts w:cs="Gautami"/>
          <w:szCs w:val="20"/>
        </w:rPr>
        <w:t>nsure that their network is safe</w:t>
      </w:r>
    </w:p>
    <w:p w:rsidR="007C72D1" w:rsidRPr="006F7B00" w:rsidRDefault="007C72D1" w:rsidP="007C72D1">
      <w:pPr>
        <w:pStyle w:val="AERbulletlistfirststyle"/>
        <w:numPr>
          <w:ilvl w:val="0"/>
          <w:numId w:val="1"/>
        </w:numPr>
        <w:rPr>
          <w:rFonts w:cs="Gautami"/>
          <w:szCs w:val="20"/>
        </w:rPr>
      </w:pPr>
      <w:r>
        <w:rPr>
          <w:rFonts w:cs="Gautami"/>
          <w:szCs w:val="20"/>
        </w:rPr>
        <w:t>h</w:t>
      </w:r>
      <w:r w:rsidRPr="006F7B00">
        <w:rPr>
          <w:rFonts w:cs="Gautami"/>
          <w:szCs w:val="20"/>
        </w:rPr>
        <w:t>ave a dispute resolution mechanism</w:t>
      </w:r>
    </w:p>
    <w:p w:rsidR="007C72D1" w:rsidRPr="006F7B00" w:rsidRDefault="007C72D1" w:rsidP="007C72D1">
      <w:pPr>
        <w:pStyle w:val="AERbulletlistfirststyle"/>
        <w:numPr>
          <w:ilvl w:val="0"/>
          <w:numId w:val="1"/>
        </w:numPr>
        <w:rPr>
          <w:rFonts w:cs="Gautami"/>
          <w:szCs w:val="20"/>
        </w:rPr>
      </w:pPr>
      <w:r>
        <w:rPr>
          <w:rFonts w:cs="Gautami"/>
          <w:szCs w:val="20"/>
        </w:rPr>
        <w:t>e</w:t>
      </w:r>
      <w:r w:rsidRPr="006F7B00">
        <w:rPr>
          <w:rFonts w:cs="Gautami"/>
          <w:szCs w:val="20"/>
        </w:rPr>
        <w:t xml:space="preserve">nsure that </w:t>
      </w:r>
      <w:r>
        <w:rPr>
          <w:rFonts w:cs="Gautami"/>
          <w:szCs w:val="20"/>
        </w:rPr>
        <w:t xml:space="preserve">network </w:t>
      </w:r>
      <w:r w:rsidRPr="006F7B00">
        <w:rPr>
          <w:rFonts w:cs="Gautami"/>
          <w:szCs w:val="20"/>
        </w:rPr>
        <w:t xml:space="preserve">pricing is </w:t>
      </w:r>
      <w:r>
        <w:rPr>
          <w:rFonts w:cs="Gautami"/>
          <w:szCs w:val="20"/>
        </w:rPr>
        <w:t xml:space="preserve">in accordance with </w:t>
      </w:r>
      <w:r w:rsidRPr="006F7B00">
        <w:rPr>
          <w:rFonts w:cs="Gautami"/>
          <w:szCs w:val="20"/>
        </w:rPr>
        <w:t>strict control</w:t>
      </w:r>
      <w:r>
        <w:rPr>
          <w:rFonts w:cs="Gautami"/>
          <w:szCs w:val="20"/>
        </w:rPr>
        <w:t>s</w:t>
      </w:r>
    </w:p>
    <w:p w:rsidR="007C72D1" w:rsidRPr="00DE2C84" w:rsidRDefault="007C72D1" w:rsidP="007C72D1">
      <w:pPr>
        <w:pStyle w:val="AERbulletlistfirststyle"/>
        <w:numPr>
          <w:ilvl w:val="0"/>
          <w:numId w:val="1"/>
        </w:numPr>
        <w:rPr>
          <w:rFonts w:cs="Gautami"/>
          <w:szCs w:val="20"/>
        </w:rPr>
      </w:pPr>
      <w:r>
        <w:rPr>
          <w:rFonts w:cs="Gautami"/>
          <w:szCs w:val="20"/>
        </w:rPr>
        <w:t>e</w:t>
      </w:r>
      <w:r w:rsidRPr="006F7B00">
        <w:rPr>
          <w:rFonts w:cs="Gautami"/>
          <w:szCs w:val="20"/>
        </w:rPr>
        <w:t xml:space="preserve">nsure that electricity meters </w:t>
      </w:r>
      <w:r w:rsidRPr="006F7B00">
        <w:rPr>
          <w:rFonts w:cs="Gautami"/>
          <w:color w:val="000000"/>
          <w:szCs w:val="20"/>
        </w:rPr>
        <w:t xml:space="preserve">comply with </w:t>
      </w:r>
      <w:r w:rsidRPr="000F611D">
        <w:rPr>
          <w:rFonts w:cs="Gautami"/>
          <w:i/>
          <w:color w:val="000000"/>
          <w:szCs w:val="20"/>
        </w:rPr>
        <w:t>National Measurement Act 1960 (Cth)</w:t>
      </w:r>
      <w:r w:rsidRPr="006F7B00">
        <w:rPr>
          <w:rFonts w:cs="Gautami"/>
          <w:color w:val="000000"/>
          <w:szCs w:val="20"/>
        </w:rPr>
        <w:t xml:space="preserve"> requirements for electricity meters installed from 1 January 2013</w:t>
      </w:r>
      <w:r w:rsidRPr="006F7B00">
        <w:rPr>
          <w:rStyle w:val="FootnoteReference"/>
          <w:rFonts w:cs="Gautami"/>
          <w:color w:val="000000"/>
          <w:szCs w:val="20"/>
        </w:rPr>
        <w:footnoteReference w:id="6"/>
      </w:r>
      <w:r w:rsidRPr="006F7B00">
        <w:rPr>
          <w:rFonts w:cs="Gautami"/>
          <w:color w:val="000000"/>
          <w:szCs w:val="20"/>
        </w:rPr>
        <w:t xml:space="preserve"> and other applicable Australian standards.  </w:t>
      </w:r>
    </w:p>
    <w:p w:rsidR="007C72D1" w:rsidRDefault="007C72D1" w:rsidP="007C72D1">
      <w:pPr>
        <w:pStyle w:val="AERbulletlistfirststyle"/>
        <w:numPr>
          <w:ilvl w:val="0"/>
          <w:numId w:val="0"/>
        </w:numPr>
      </w:pPr>
      <w:r w:rsidRPr="00630BA7">
        <w:rPr>
          <w:rStyle w:val="AERbody"/>
        </w:rPr>
        <w:t xml:space="preserve">Section </w:t>
      </w:r>
      <w:r w:rsidR="00F404DA">
        <w:rPr>
          <w:rStyle w:val="AERbody"/>
        </w:rPr>
        <w:fldChar w:fldCharType="begin"/>
      </w:r>
      <w:r w:rsidR="00F404DA">
        <w:rPr>
          <w:rStyle w:val="AERbody"/>
        </w:rPr>
        <w:instrText xml:space="preserve"> REF _Ref361909753 \r \h </w:instrText>
      </w:r>
      <w:r w:rsidR="00F404DA">
        <w:rPr>
          <w:rStyle w:val="AERbody"/>
        </w:rPr>
      </w:r>
      <w:r w:rsidR="00F404DA">
        <w:rPr>
          <w:rStyle w:val="AERbody"/>
        </w:rPr>
        <w:fldChar w:fldCharType="separate"/>
      </w:r>
      <w:r w:rsidR="00D94AAA">
        <w:rPr>
          <w:rStyle w:val="AERbody"/>
        </w:rPr>
        <w:t>4</w:t>
      </w:r>
      <w:r w:rsidR="00F404DA">
        <w:rPr>
          <w:rStyle w:val="AERbody"/>
        </w:rPr>
        <w:fldChar w:fldCharType="end"/>
      </w:r>
      <w:r w:rsidRPr="00630BA7">
        <w:rPr>
          <w:rStyle w:val="AERbody"/>
        </w:rPr>
        <w:t xml:space="preserve"> details the specific </w:t>
      </w:r>
      <w:r>
        <w:rPr>
          <w:rStyle w:val="AERbody"/>
        </w:rPr>
        <w:t xml:space="preserve">conditions </w:t>
      </w:r>
      <w:r w:rsidRPr="00630BA7">
        <w:rPr>
          <w:rStyle w:val="AERbody"/>
        </w:rPr>
        <w:t xml:space="preserve">which must be met for each exemption class.  </w:t>
      </w:r>
      <w:r w:rsidRPr="00BF1CBF">
        <w:t>Compliance with all the relevant conditions set out in th</w:t>
      </w:r>
      <w:r>
        <w:t>is</w:t>
      </w:r>
      <w:r w:rsidRPr="00BF1CBF">
        <w:t xml:space="preserve"> Guideline</w:t>
      </w:r>
      <w:r w:rsidRPr="00BF1CBF" w:rsidDel="008314B9">
        <w:t xml:space="preserve"> </w:t>
      </w:r>
      <w:r w:rsidRPr="00BF1CBF">
        <w:t>is a mandatory requirement for a network service provider exemption to be valid. Non-compliance may result in penalties in accordance with the provisions of section 11 of the NEL</w:t>
      </w:r>
      <w:r>
        <w:t>.</w:t>
      </w:r>
    </w:p>
    <w:p w:rsidR="007C72D1" w:rsidRPr="00E176F7" w:rsidRDefault="007C72D1" w:rsidP="007C72D1">
      <w:pPr>
        <w:pStyle w:val="AERbulletlistfirststyle"/>
        <w:numPr>
          <w:ilvl w:val="0"/>
          <w:numId w:val="0"/>
        </w:numPr>
        <w:rPr>
          <w:b/>
        </w:rPr>
      </w:pPr>
      <w:r w:rsidRPr="00E176F7">
        <w:rPr>
          <w:b/>
        </w:rPr>
        <w:t>Access to retail competition</w:t>
      </w:r>
    </w:p>
    <w:p w:rsidR="007C72D1" w:rsidRDefault="007C72D1" w:rsidP="007C72D1">
      <w:pPr>
        <w:pStyle w:val="AERbulletlistfirststyle"/>
        <w:numPr>
          <w:ilvl w:val="0"/>
          <w:numId w:val="0"/>
        </w:numPr>
      </w:pPr>
      <w:r>
        <w:t>Three jurisdictions allow customers in private networks to exercise a right to choose their electricity retailer. They are Victoria, New South Wales and South Australia. To achieve this outcome, special arrangements exist to create a ‘parent/child</w:t>
      </w:r>
      <w:r>
        <w:rPr>
          <w:rStyle w:val="FootnoteReference"/>
        </w:rPr>
        <w:footnoteReference w:id="7"/>
      </w:r>
      <w:r>
        <w:t>’ relationship for the metering. Elsewhere, access to retail competition through a private network is subject to agreement between the private network owner and the customers of that network. It can be difficult or impossible to set up a ‘parent/child’ relationship elsewhere. Customers in the ACT, Queensland and Tasmania will normally require a direct connect</w:t>
      </w:r>
      <w:r w:rsidR="00A60208">
        <w:t>ion</w:t>
      </w:r>
      <w:r>
        <w:t xml:space="preserve"> to a distributor to access retail competition.</w:t>
      </w:r>
    </w:p>
    <w:p w:rsidR="007C72D1" w:rsidRPr="001B44FE" w:rsidRDefault="007C72D1" w:rsidP="007C72D1">
      <w:pPr>
        <w:pStyle w:val="AERbulletlistfirststyle"/>
        <w:numPr>
          <w:ilvl w:val="0"/>
          <w:numId w:val="0"/>
        </w:numPr>
        <w:rPr>
          <w:b/>
        </w:rPr>
      </w:pPr>
      <w:r w:rsidRPr="001B44FE">
        <w:rPr>
          <w:b/>
        </w:rPr>
        <w:t>Victoria, New South Wales or South Australia</w:t>
      </w:r>
    </w:p>
    <w:p w:rsidR="007C72D1" w:rsidRDefault="007C72D1" w:rsidP="007C72D1">
      <w:pPr>
        <w:pStyle w:val="AERbulletlistfirststyle"/>
        <w:numPr>
          <w:ilvl w:val="0"/>
          <w:numId w:val="0"/>
        </w:numPr>
      </w:pPr>
      <w:r>
        <w:t>To make access to retail competition work, these jurisdictions arranged with AEMO to put in place procedures (called metrology procedures) to register ‘parent’ and ‘child’ meters for customers of private networks that access retail competition.</w:t>
      </w:r>
      <w:r>
        <w:rPr>
          <w:rStyle w:val="FootnoteReference"/>
        </w:rPr>
        <w:footnoteReference w:id="8"/>
      </w:r>
      <w:r>
        <w:t xml:space="preserve"> Metrology procedures are complex. Describing how these procedures work is difficult and beyond the scope of this Guideline.</w:t>
      </w:r>
    </w:p>
    <w:p w:rsidR="007C72D1" w:rsidRDefault="007C72D1" w:rsidP="007C72D1">
      <w:pPr>
        <w:pStyle w:val="AERbulletlistfirststyle"/>
        <w:numPr>
          <w:ilvl w:val="0"/>
          <w:numId w:val="0"/>
        </w:numPr>
      </w:pPr>
      <w:r>
        <w:t>A private network operator must not obstruct access to retail competition and must take reasonable steps to facilitate access for a tenant.</w:t>
      </w:r>
      <w:r>
        <w:rPr>
          <w:rStyle w:val="FootnoteReference"/>
        </w:rPr>
        <w:footnoteReference w:id="9"/>
      </w:r>
      <w:r>
        <w:t xml:space="preserve"> In particular, under the AEMO procedures the ‘gate’ meter owned by the private network owner must be recorded as a ‘parent’ meter in the market settlement </w:t>
      </w:r>
      <w:r>
        <w:lastRenderedPageBreak/>
        <w:t xml:space="preserve">system by the new retailer. This is arranged by the retailer for the tenant but requires information from the site owner/operator. </w:t>
      </w:r>
    </w:p>
    <w:p w:rsidR="007C72D1" w:rsidRPr="004645CF" w:rsidRDefault="007C72D1" w:rsidP="007C72D1">
      <w:pPr>
        <w:pStyle w:val="AERbulletlistfirststyle"/>
        <w:numPr>
          <w:ilvl w:val="0"/>
          <w:numId w:val="0"/>
        </w:numPr>
      </w:pPr>
      <w:r w:rsidRPr="004645CF">
        <w:t xml:space="preserve">Where a tenant accesses an external retailer, the new retailer will arrange to </w:t>
      </w:r>
      <w:r w:rsidR="00FD61B0" w:rsidRPr="004645CF">
        <w:t>install additional</w:t>
      </w:r>
      <w:r w:rsidRPr="004645CF">
        <w:t xml:space="preserve"> metering</w:t>
      </w:r>
      <w:r w:rsidR="00FD61B0" w:rsidRPr="004645CF">
        <w:t>, namely</w:t>
      </w:r>
      <w:r w:rsidRPr="004645CF">
        <w:t xml:space="preserve"> a NEM registered ‘child’ meter</w:t>
      </w:r>
      <w:r w:rsidR="00B723BB" w:rsidRPr="004645CF">
        <w:t xml:space="preserve"> to record the energy component of the bill</w:t>
      </w:r>
      <w:r w:rsidRPr="004645CF">
        <w:t xml:space="preserve">. </w:t>
      </w:r>
      <w:r w:rsidR="00B723BB" w:rsidRPr="004645CF">
        <w:t xml:space="preserve">Arrangements must be made for the retailer to provide energy billing information to the private network operator. Otherwise, an additional meter may be necessary to record the network charges component to be charged by the private network operator. </w:t>
      </w:r>
      <w:r w:rsidRPr="004645CF">
        <w:t xml:space="preserve">The cost of </w:t>
      </w:r>
      <w:r w:rsidR="003D07B8" w:rsidRPr="004645CF">
        <w:t xml:space="preserve">the </w:t>
      </w:r>
      <w:r w:rsidRPr="004645CF">
        <w:t xml:space="preserve">meter </w:t>
      </w:r>
      <w:r w:rsidR="00B723BB" w:rsidRPr="004645CF">
        <w:t xml:space="preserve">installation </w:t>
      </w:r>
      <w:r w:rsidRPr="004645CF">
        <w:t xml:space="preserve">is borne by the tenant and is charged </w:t>
      </w:r>
      <w:r w:rsidR="00C92BCA" w:rsidRPr="004645CF">
        <w:t xml:space="preserve">to the tenant </w:t>
      </w:r>
      <w:r w:rsidRPr="004645CF">
        <w:t>either directly by the metering provider or by the retailer.</w:t>
      </w:r>
    </w:p>
    <w:p w:rsidR="007C72D1" w:rsidRDefault="004E10E5" w:rsidP="007C72D1">
      <w:pPr>
        <w:pStyle w:val="AERbulletlistfirststyle"/>
        <w:numPr>
          <w:ilvl w:val="0"/>
          <w:numId w:val="0"/>
        </w:numPr>
      </w:pPr>
      <w:r w:rsidRPr="004645CF">
        <w:t>T</w:t>
      </w:r>
      <w:r w:rsidR="007C72D1" w:rsidRPr="004645CF">
        <w:t xml:space="preserve">he </w:t>
      </w:r>
      <w:r w:rsidR="00D45256">
        <w:t xml:space="preserve">network charge for the </w:t>
      </w:r>
      <w:r w:rsidR="007C72D1" w:rsidRPr="004645CF">
        <w:t xml:space="preserve">energy use by that tenant (i.e. the child meter) </w:t>
      </w:r>
      <w:r w:rsidRPr="004645CF">
        <w:t>must be manually</w:t>
      </w:r>
      <w:r w:rsidR="007C72D1" w:rsidRPr="004645CF">
        <w:t xml:space="preserve"> </w:t>
      </w:r>
      <w:r w:rsidR="00D45256">
        <w:t>calculated</w:t>
      </w:r>
      <w:r w:rsidR="007C72D1" w:rsidRPr="004645CF">
        <w:t xml:space="preserve">. </w:t>
      </w:r>
      <w:r w:rsidR="003D07B8" w:rsidRPr="004645CF">
        <w:t xml:space="preserve">The AER permits the associated external network component to be recovered </w:t>
      </w:r>
      <w:r w:rsidRPr="004645CF">
        <w:t>either directly from the tenant or from the other energy retailer by the private network operator under section 4.6.1.</w:t>
      </w:r>
      <w:r w:rsidR="007C72D1" w:rsidRPr="004645CF">
        <w:t xml:space="preserve"> </w:t>
      </w:r>
      <w:r w:rsidR="000572FA" w:rsidRPr="004645CF">
        <w:t xml:space="preserve">Note that in South Australia, </w:t>
      </w:r>
      <w:r w:rsidR="00E76EF5" w:rsidRPr="004645CF">
        <w:t xml:space="preserve">the </w:t>
      </w:r>
      <w:r w:rsidR="007603E8" w:rsidRPr="004645CF">
        <w:t xml:space="preserve">Electricity (General) Regulations 2012 - </w:t>
      </w:r>
      <w:proofErr w:type="spellStart"/>
      <w:r w:rsidR="007603E8" w:rsidRPr="004645CF">
        <w:t>Reg</w:t>
      </w:r>
      <w:proofErr w:type="spellEnd"/>
      <w:r w:rsidR="007603E8" w:rsidRPr="004645CF">
        <w:t xml:space="preserve"> </w:t>
      </w:r>
      <w:proofErr w:type="spellStart"/>
      <w:r w:rsidR="007603E8" w:rsidRPr="004645CF">
        <w:t>44B</w:t>
      </w:r>
      <w:proofErr w:type="spellEnd"/>
      <w:r w:rsidR="00E76EF5" w:rsidRPr="004645CF">
        <w:t xml:space="preserve"> (2)(b) limits the recovery of this charge to the new energy retailer.</w:t>
      </w:r>
      <w:r w:rsidR="007603E8" w:rsidRPr="004645CF">
        <w:t xml:space="preserve"> </w:t>
      </w:r>
      <w:r w:rsidR="007C72D1" w:rsidRPr="004645CF">
        <w:t>If these arrangements are not followed closely there is a serious risk of billing errors. These errors can be difficult, if not impossible, to unravel later.</w:t>
      </w:r>
      <w:r w:rsidR="007C72D1" w:rsidRPr="001B44FE">
        <w:t xml:space="preserve"> </w:t>
      </w:r>
    </w:p>
    <w:p w:rsidR="007C72D1" w:rsidRDefault="007C72D1" w:rsidP="007C72D1">
      <w:pPr>
        <w:pStyle w:val="AERbulletlistfirststyle"/>
        <w:numPr>
          <w:ilvl w:val="0"/>
          <w:numId w:val="0"/>
        </w:numPr>
      </w:pPr>
      <w:r>
        <w:t>The private network owner cannot charge a surcharge to the customer for use of the network. The recovery of externally imposed costs is permitted however, under charge group B (</w:t>
      </w:r>
      <w:r w:rsidR="009A7FF4">
        <w:t>s</w:t>
      </w:r>
      <w:r>
        <w:t xml:space="preserve">ee Section </w:t>
      </w:r>
      <w:r w:rsidR="00F404DA">
        <w:fldChar w:fldCharType="begin"/>
      </w:r>
      <w:r w:rsidR="00F404DA">
        <w:instrText xml:space="preserve"> REF _Ref361909776 \r \h </w:instrText>
      </w:r>
      <w:r w:rsidR="00F404DA">
        <w:fldChar w:fldCharType="separate"/>
      </w:r>
      <w:r w:rsidR="00D94AAA">
        <w:t>4.6</w:t>
      </w:r>
      <w:r w:rsidR="00F404DA">
        <w:fldChar w:fldCharType="end"/>
      </w:r>
      <w:r>
        <w:t xml:space="preserve"> of this Guideline). Some private network owners may consider that they should be able to charge extra for special electricity infrastructure they provide, particularly transformers. However, the National Electricity Rules currently require the AER to set charges for network assets on the same basis </w:t>
      </w:r>
      <w:r w:rsidR="00A60208">
        <w:t xml:space="preserve">as </w:t>
      </w:r>
      <w:r>
        <w:t>a distribution network. This is a very complex and involved process which takes considerable time and expense to negotiate. It is impractical to apply this process to private networks.</w:t>
      </w:r>
      <w:r w:rsidR="00C92BCA">
        <w:t xml:space="preserve"> The AER does allow ‘shadow pricing’ to apply in this situation.</w:t>
      </w:r>
      <w:r w:rsidR="00C92BCA">
        <w:rPr>
          <w:rStyle w:val="FootnoteReference"/>
        </w:rPr>
        <w:footnoteReference w:id="10"/>
      </w:r>
      <w:r w:rsidR="00C92BCA">
        <w:t xml:space="preserve"> </w:t>
      </w:r>
    </w:p>
    <w:p w:rsidR="007C72D1" w:rsidRPr="00A46038" w:rsidRDefault="007C72D1" w:rsidP="00A46038">
      <w:pPr>
        <w:rPr>
          <w:b/>
        </w:rPr>
      </w:pPr>
      <w:r w:rsidRPr="00A46038">
        <w:rPr>
          <w:b/>
        </w:rPr>
        <w:t>Other NEM Jurisdictions</w:t>
      </w:r>
    </w:p>
    <w:p w:rsidR="007C72D1" w:rsidRDefault="007C72D1" w:rsidP="007C72D1">
      <w:pPr>
        <w:pStyle w:val="AERbulletlistfirststyle"/>
        <w:numPr>
          <w:ilvl w:val="0"/>
          <w:numId w:val="0"/>
        </w:numPr>
      </w:pPr>
      <w:r>
        <w:t>If the AEMO Metrology Procedures do not apply a different approach must be taken to access an external retailer through a private network. The tenant will need a direct connection to the local distributor which is individually metered in the normal way. This may require changes to the wiring within the network. Any such changes will be an expense borne by the tenant.</w:t>
      </w:r>
    </w:p>
    <w:p w:rsidR="007C72D1" w:rsidRPr="00FB653C" w:rsidRDefault="007C72D1" w:rsidP="007C72D1">
      <w:pPr>
        <w:pStyle w:val="AERbulletlistfirststyle"/>
        <w:numPr>
          <w:ilvl w:val="0"/>
          <w:numId w:val="0"/>
        </w:numPr>
        <w:rPr>
          <w:b/>
        </w:rPr>
      </w:pPr>
      <w:r w:rsidRPr="00FB653C">
        <w:rPr>
          <w:b/>
        </w:rPr>
        <w:t>Unmetered supplies</w:t>
      </w:r>
    </w:p>
    <w:p w:rsidR="007C72D1" w:rsidRDefault="007C72D1" w:rsidP="007C72D1">
      <w:pPr>
        <w:pStyle w:val="AERbulletlistfirststyle"/>
        <w:numPr>
          <w:ilvl w:val="0"/>
          <w:numId w:val="0"/>
        </w:numPr>
      </w:pPr>
      <w:r>
        <w:t>Unmetered supplies exist for many reasons. We have established specific circumstances where an unmetered supply is permitted. The situations we permit are limited, especially if small customers are involved. If energy is being supplied at no cost or as part of a broader commercial arrangement then an unmetered supply is permitted. However, we consider that small customers should not be subject to unmetered supply of electricity. Some jurisdictions have existing unmetered supplies. Existing unmetered installations are not required to be upgraded. However, from 1 January 2015 the AER will cease accepting registrations in category NR7</w:t>
      </w:r>
      <w:r w:rsidR="004645CF">
        <w:t xml:space="preserve"> which relates to some unmetered legacy installations</w:t>
      </w:r>
      <w:r>
        <w:t>. In all other cases we expect meters or sub-meters will be installed to measure the electricity supplied to a customer.</w:t>
      </w:r>
    </w:p>
    <w:p w:rsidR="007C72D1" w:rsidRDefault="007C72D1" w:rsidP="007C72D1">
      <w:pPr>
        <w:pStyle w:val="Heading2"/>
        <w:numPr>
          <w:ilvl w:val="2"/>
          <w:numId w:val="9"/>
        </w:numPr>
      </w:pPr>
      <w:bookmarkStart w:id="8" w:name="_Toc365299412"/>
      <w:r>
        <w:t>Who must register or obtain exemption?</w:t>
      </w:r>
      <w:bookmarkEnd w:id="8"/>
    </w:p>
    <w:p w:rsidR="007C72D1" w:rsidRDefault="007C72D1" w:rsidP="007C72D1">
      <w:pPr>
        <w:rPr>
          <w:rStyle w:val="AERbody"/>
        </w:rPr>
      </w:pPr>
      <w:r w:rsidRPr="00DE4314">
        <w:rPr>
          <w:rStyle w:val="AERbody"/>
        </w:rPr>
        <w:t xml:space="preserve">In this network Guideline the key regulatory factor is whether the network </w:t>
      </w:r>
      <w:r>
        <w:rPr>
          <w:rStyle w:val="AERbody"/>
        </w:rPr>
        <w:t>you own</w:t>
      </w:r>
      <w:r w:rsidR="009A7FF4">
        <w:rPr>
          <w:rStyle w:val="AERbody"/>
        </w:rPr>
        <w:t>, operate</w:t>
      </w:r>
      <w:r>
        <w:rPr>
          <w:rStyle w:val="AERbody"/>
        </w:rPr>
        <w:t xml:space="preserve"> or control </w:t>
      </w:r>
      <w:r w:rsidRPr="00DE4314">
        <w:rPr>
          <w:rStyle w:val="AERbody"/>
        </w:rPr>
        <w:t>is providing electricity to a third party for any reason.</w:t>
      </w:r>
      <w:r>
        <w:rPr>
          <w:rStyle w:val="AERbody"/>
        </w:rPr>
        <w:t xml:space="preserve"> If it is, you must register or be exempt. </w:t>
      </w:r>
    </w:p>
    <w:p w:rsidR="007C72D1" w:rsidRDefault="007C72D1" w:rsidP="007C72D1">
      <w:pPr>
        <w:pStyle w:val="AERDecisionBox"/>
        <w:rPr>
          <w:rStyle w:val="AERbody"/>
        </w:rPr>
      </w:pPr>
      <w:r>
        <w:rPr>
          <w:rStyle w:val="AERbody"/>
        </w:rPr>
        <w:lastRenderedPageBreak/>
        <w:t xml:space="preserve">Technically, under a very strict interpretation of the NEL, even the simple act of allowing a cleaning contractor to plug-in a vacuum-cleaner in your office or shop may be considered to be providing a distribution service under the NEL. </w:t>
      </w:r>
    </w:p>
    <w:p w:rsidR="007C72D1" w:rsidRPr="00801585" w:rsidRDefault="007C72D1" w:rsidP="007C72D1">
      <w:pPr>
        <w:pStyle w:val="AERDecisionBox"/>
        <w:rPr>
          <w:rStyle w:val="AERbody"/>
        </w:rPr>
      </w:pPr>
      <w:r>
        <w:rPr>
          <w:rStyle w:val="AERbody"/>
        </w:rPr>
        <w:t xml:space="preserve">Common sense says that it was not the intention of the NEL to require persons to register networks for </w:t>
      </w:r>
      <w:r w:rsidR="009A1A53">
        <w:rPr>
          <w:rStyle w:val="AERbody"/>
        </w:rPr>
        <w:t>common</w:t>
      </w:r>
      <w:r>
        <w:rPr>
          <w:rStyle w:val="AERbody"/>
        </w:rPr>
        <w:t xml:space="preserve"> activities like this. Fortunately, the exemption framework exists. This allows the AER to deem a wide range of activities like this example to be exempt. We apply this approach to a wide range of activities that are relatively </w:t>
      </w:r>
      <w:r w:rsidR="009A1A53">
        <w:rPr>
          <w:rStyle w:val="AERbody"/>
        </w:rPr>
        <w:t>common</w:t>
      </w:r>
      <w:r>
        <w:rPr>
          <w:rStyle w:val="AERbody"/>
        </w:rPr>
        <w:t xml:space="preserve"> or which have low-risk of abuse (</w:t>
      </w:r>
      <w:r w:rsidR="00A86BBA">
        <w:rPr>
          <w:rStyle w:val="AERbody"/>
        </w:rPr>
        <w:t xml:space="preserve">see </w:t>
      </w:r>
      <w:r>
        <w:rPr>
          <w:rStyle w:val="AERbody"/>
        </w:rPr>
        <w:t>table 1, section</w:t>
      </w:r>
      <w:r w:rsidR="00F404DA">
        <w:rPr>
          <w:rStyle w:val="AERbody"/>
        </w:rPr>
        <w:t xml:space="preserve"> </w:t>
      </w:r>
      <w:r w:rsidR="00F404DA">
        <w:rPr>
          <w:rStyle w:val="AERbody"/>
        </w:rPr>
        <w:fldChar w:fldCharType="begin"/>
      </w:r>
      <w:r w:rsidR="00F404DA">
        <w:rPr>
          <w:rStyle w:val="AERbody"/>
        </w:rPr>
        <w:instrText xml:space="preserve"> REF _Ref361909794 \r \h </w:instrText>
      </w:r>
      <w:r w:rsidR="00F404DA">
        <w:rPr>
          <w:rStyle w:val="AERbody"/>
        </w:rPr>
      </w:r>
      <w:r w:rsidR="00F404DA">
        <w:rPr>
          <w:rStyle w:val="AERbody"/>
        </w:rPr>
        <w:fldChar w:fldCharType="separate"/>
      </w:r>
      <w:r w:rsidR="00D94AAA">
        <w:rPr>
          <w:rStyle w:val="AERbody"/>
        </w:rPr>
        <w:t>3.1.1</w:t>
      </w:r>
      <w:r w:rsidR="00F404DA">
        <w:rPr>
          <w:rStyle w:val="AERbody"/>
        </w:rPr>
        <w:fldChar w:fldCharType="end"/>
      </w:r>
      <w:r>
        <w:rPr>
          <w:rStyle w:val="AERbody"/>
        </w:rPr>
        <w:t>)</w:t>
      </w:r>
      <w:r w:rsidRPr="00DE4314">
        <w:rPr>
          <w:rStyle w:val="AERbody"/>
        </w:rPr>
        <w:t>.</w:t>
      </w:r>
    </w:p>
    <w:p w:rsidR="004C299A" w:rsidRPr="004C299A" w:rsidRDefault="007C72D1" w:rsidP="004C299A">
      <w:pPr>
        <w:pStyle w:val="AERbodytext"/>
        <w:rPr>
          <w:rStyle w:val="AERbody"/>
          <w:b/>
        </w:rPr>
      </w:pPr>
      <w:r w:rsidRPr="004C299A">
        <w:rPr>
          <w:rStyle w:val="AERbody"/>
          <w:b/>
        </w:rPr>
        <w:t>Multiple parties must register</w:t>
      </w:r>
    </w:p>
    <w:p w:rsidR="007C72D1" w:rsidRPr="004C299A" w:rsidRDefault="007C72D1" w:rsidP="000F611D">
      <w:pPr>
        <w:pStyle w:val="AERbodytext"/>
        <w:spacing w:after="240"/>
        <w:rPr>
          <w:rStyle w:val="AERbody"/>
        </w:rPr>
      </w:pPr>
      <w:r w:rsidRPr="004C299A">
        <w:rPr>
          <w:rStyle w:val="AERbody"/>
        </w:rPr>
        <w:t>The National Electricity Law also requires everyone associated with a private network to register or be exempt. This applies to the network owner or joint owners’, a lease holder or legally appointed representatives if they have rights of control over the physical assets that comprise the private electricity network. In many cases there is no one else with these rights. If no other person or firm is involved then the network owner alone ha</w:t>
      </w:r>
      <w:r w:rsidR="00A86BBA" w:rsidRPr="004C299A">
        <w:rPr>
          <w:rStyle w:val="AERbody"/>
        </w:rPr>
        <w:t>s</w:t>
      </w:r>
      <w:r w:rsidRPr="004C299A">
        <w:rPr>
          <w:rStyle w:val="AERbody"/>
        </w:rPr>
        <w:t xml:space="preserve"> whole responsibility for the registration and operation of the network.</w:t>
      </w:r>
    </w:p>
    <w:p w:rsidR="007C72D1" w:rsidRDefault="007C72D1" w:rsidP="007C72D1">
      <w:r>
        <w:t xml:space="preserve">Where the network owner has made an agency arrangement with another entity to be the ‘operator’ or ‘controller’ of the network, registration or exemption of that agent or entity is also required. The ‘operator’ or ‘controller’ of a network is anyone who </w:t>
      </w:r>
      <w:r w:rsidRPr="002D72F8">
        <w:t>arranges to provide services normally associated with a network service provider</w:t>
      </w:r>
      <w:r w:rsidRPr="0050607C">
        <w:t>.</w:t>
      </w:r>
      <w:r>
        <w:t xml:space="preserve"> This most commonly means specialist energy companies that provide services in exempt networks. </w:t>
      </w:r>
    </w:p>
    <w:p w:rsidR="007C72D1" w:rsidRPr="00BF1CBF" w:rsidRDefault="007C72D1" w:rsidP="007C72D1">
      <w:r w:rsidRPr="0031616A">
        <w:t xml:space="preserve">Exemption classes apply to persons or businesses that own or manage a site containing an embedded network. </w:t>
      </w:r>
      <w:r>
        <w:t xml:space="preserve">Examples of the services that lead to a need to register include, but are not limited to: fault response; metering and meter reading; switching (fuse removal); access management to meters and meter panels; interfacing to a NEM registered distributor </w:t>
      </w:r>
      <w:r w:rsidR="00A86BBA">
        <w:t>about</w:t>
      </w:r>
      <w:r>
        <w:t xml:space="preserve"> these matters, etc.</w:t>
      </w:r>
      <w:r>
        <w:rPr>
          <w:rStyle w:val="FootnoteReference"/>
        </w:rPr>
        <w:footnoteReference w:id="11"/>
      </w:r>
      <w:r>
        <w:t xml:space="preserve"> The terms ‘operator’ and ‘controller’ are largely interchangeable when applied to a private network.</w:t>
      </w:r>
    </w:p>
    <w:p w:rsidR="007C72D1" w:rsidRPr="0031616A" w:rsidRDefault="007C72D1" w:rsidP="004C299A">
      <w:pPr>
        <w:pStyle w:val="AERbodytext"/>
      </w:pPr>
      <w:r w:rsidRPr="0031616A">
        <w:t>The examples below help illustrate when a</w:t>
      </w:r>
      <w:r>
        <w:t xml:space="preserve"> </w:t>
      </w:r>
      <w:r w:rsidRPr="0031616A">
        <w:t>n</w:t>
      </w:r>
      <w:r>
        <w:t>etwork</w:t>
      </w:r>
      <w:r w:rsidRPr="0031616A">
        <w:t xml:space="preserve"> exemption</w:t>
      </w:r>
      <w:r>
        <w:t xml:space="preserve"> is required</w:t>
      </w:r>
      <w:r w:rsidRPr="0031616A">
        <w:t>. We stress, however, that given the potential differences between apparently similar scenarios it is not possible to apply a blanket approach. We will therefore consider the particular facts of each situation and encourage you to contact us and discuss your circumstances</w:t>
      </w:r>
      <w:r>
        <w:t xml:space="preserve"> if you are unsure about a class</w:t>
      </w:r>
      <w:r w:rsidRPr="0031616A">
        <w:t xml:space="preserve">. We also recommend that you take your own legal advice.  </w:t>
      </w:r>
    </w:p>
    <w:p w:rsidR="007C72D1" w:rsidRPr="004C299A" w:rsidRDefault="007C72D1" w:rsidP="004C299A">
      <w:pPr>
        <w:pStyle w:val="AERbodytext"/>
        <w:rPr>
          <w:rStyle w:val="AERbody"/>
        </w:rPr>
      </w:pPr>
      <w:r w:rsidRPr="004C299A">
        <w:rPr>
          <w:rStyle w:val="AERbody"/>
        </w:rPr>
        <w:t>Example A</w:t>
      </w:r>
    </w:p>
    <w:p w:rsidR="007C72D1" w:rsidRPr="00801585" w:rsidRDefault="007C72D1" w:rsidP="007C72D1">
      <w:pPr>
        <w:pStyle w:val="AERDecisionBox"/>
        <w:rPr>
          <w:rStyle w:val="AERbody"/>
        </w:rPr>
      </w:pPr>
      <w:r w:rsidRPr="00801585">
        <w:rPr>
          <w:rStyle w:val="AERbody"/>
        </w:rPr>
        <w:t>Company A operate</w:t>
      </w:r>
      <w:r w:rsidR="00A86BBA">
        <w:rPr>
          <w:rStyle w:val="AERbody"/>
        </w:rPr>
        <w:t>s</w:t>
      </w:r>
      <w:r w:rsidRPr="00801585">
        <w:rPr>
          <w:rStyle w:val="AERbody"/>
        </w:rPr>
        <w:t xml:space="preserve"> and maintain</w:t>
      </w:r>
      <w:r w:rsidR="00A86BBA">
        <w:rPr>
          <w:rStyle w:val="AERbody"/>
        </w:rPr>
        <w:t>s</w:t>
      </w:r>
      <w:r w:rsidRPr="00801585">
        <w:rPr>
          <w:rStyle w:val="AERbody"/>
        </w:rPr>
        <w:t xml:space="preserve"> a private electricity network across Tasmania. The network’s primary purpose is to provide high voltage traction power for electric trains and low voltage power to some stations, signal equipment and other infrastructure. </w:t>
      </w:r>
    </w:p>
    <w:p w:rsidR="007C72D1" w:rsidRDefault="007C72D1" w:rsidP="007C72D1">
      <w:pPr>
        <w:pStyle w:val="AERDecisionBox"/>
        <w:rPr>
          <w:rStyle w:val="AERbody"/>
        </w:rPr>
      </w:pPr>
      <w:r>
        <w:rPr>
          <w:rStyle w:val="AERbody"/>
        </w:rPr>
        <w:t xml:space="preserve">Operating a rail network and associated infrastructure is a deemed exempt activity (Class NDO5, table 2). However, if the company provides power to retail areas at its stations </w:t>
      </w:r>
      <w:r w:rsidRPr="00801585">
        <w:rPr>
          <w:rStyle w:val="AERbody"/>
        </w:rPr>
        <w:t xml:space="preserve">Company A </w:t>
      </w:r>
      <w:r>
        <w:rPr>
          <w:rStyle w:val="AERbody"/>
        </w:rPr>
        <w:t>should</w:t>
      </w:r>
      <w:r w:rsidRPr="00801585">
        <w:rPr>
          <w:rStyle w:val="AERbody"/>
        </w:rPr>
        <w:t xml:space="preserve"> seek a network exemption</w:t>
      </w:r>
      <w:r>
        <w:rPr>
          <w:rStyle w:val="AERbody"/>
        </w:rPr>
        <w:t xml:space="preserve"> for that activity</w:t>
      </w:r>
      <w:r w:rsidRPr="00801585">
        <w:rPr>
          <w:rStyle w:val="AERbody"/>
        </w:rPr>
        <w:t>.</w:t>
      </w:r>
      <w:r>
        <w:rPr>
          <w:rStyle w:val="AERbody"/>
        </w:rPr>
        <w:t xml:space="preserve"> The most likely categories would be ND1 (table 1) or NR1 or NR5 (table 3).</w:t>
      </w:r>
    </w:p>
    <w:p w:rsidR="004C299A" w:rsidRDefault="004C299A" w:rsidP="004C299A">
      <w:pPr>
        <w:pStyle w:val="AERbodytext"/>
        <w:rPr>
          <w:rStyle w:val="AERbody"/>
        </w:rPr>
      </w:pPr>
    </w:p>
    <w:p w:rsidR="007C72D1" w:rsidRPr="004C299A" w:rsidRDefault="007C72D1" w:rsidP="004C299A">
      <w:pPr>
        <w:pStyle w:val="AERbodytext"/>
        <w:rPr>
          <w:rStyle w:val="AERbody"/>
        </w:rPr>
      </w:pPr>
      <w:r w:rsidRPr="004C299A">
        <w:rPr>
          <w:rStyle w:val="AERbody"/>
        </w:rPr>
        <w:lastRenderedPageBreak/>
        <w:t xml:space="preserve">Example B </w:t>
      </w:r>
    </w:p>
    <w:p w:rsidR="007C72D1" w:rsidRDefault="007C72D1" w:rsidP="007C72D1">
      <w:pPr>
        <w:pStyle w:val="AERDecisionBox"/>
        <w:rPr>
          <w:rFonts w:ascii="Gautami" w:hAnsi="Gautami" w:cs="Gautami"/>
          <w:sz w:val="20"/>
          <w:szCs w:val="20"/>
        </w:rPr>
      </w:pPr>
      <w:r>
        <w:rPr>
          <w:rFonts w:ascii="Gautami" w:hAnsi="Gautami" w:cs="Gautami"/>
          <w:sz w:val="20"/>
          <w:szCs w:val="20"/>
        </w:rPr>
        <w:t>Company B</w:t>
      </w:r>
      <w:r w:rsidRPr="0031616A">
        <w:rPr>
          <w:rFonts w:ascii="Gautami" w:hAnsi="Gautami" w:cs="Gautami"/>
          <w:sz w:val="20"/>
          <w:szCs w:val="20"/>
        </w:rPr>
        <w:t xml:space="preserve"> manage</w:t>
      </w:r>
      <w:r>
        <w:rPr>
          <w:rFonts w:ascii="Gautami" w:hAnsi="Gautami" w:cs="Gautami"/>
          <w:sz w:val="20"/>
          <w:szCs w:val="20"/>
        </w:rPr>
        <w:t>s</w:t>
      </w:r>
      <w:r w:rsidRPr="0031616A">
        <w:rPr>
          <w:rFonts w:ascii="Gautami" w:hAnsi="Gautami" w:cs="Gautami"/>
          <w:sz w:val="20"/>
          <w:szCs w:val="20"/>
        </w:rPr>
        <w:t xml:space="preserve"> contractors for procurement of</w:t>
      </w:r>
      <w:r>
        <w:rPr>
          <w:rFonts w:ascii="Gautami" w:hAnsi="Gautami" w:cs="Gautami"/>
          <w:sz w:val="20"/>
          <w:szCs w:val="20"/>
        </w:rPr>
        <w:t xml:space="preserve"> </w:t>
      </w:r>
      <w:r w:rsidRPr="0031616A">
        <w:rPr>
          <w:rFonts w:ascii="Gautami" w:hAnsi="Gautami" w:cs="Gautami"/>
          <w:sz w:val="20"/>
          <w:szCs w:val="20"/>
        </w:rPr>
        <w:t xml:space="preserve">power and managing the </w:t>
      </w:r>
      <w:r w:rsidRPr="009B1119">
        <w:rPr>
          <w:rFonts w:ascii="Gautami" w:hAnsi="Gautami" w:cs="Gautami"/>
          <w:sz w:val="20"/>
          <w:szCs w:val="20"/>
        </w:rPr>
        <w:t xml:space="preserve">installation of sub-metering </w:t>
      </w:r>
      <w:r>
        <w:rPr>
          <w:rFonts w:ascii="Gautami" w:hAnsi="Gautami" w:cs="Gautami"/>
          <w:sz w:val="20"/>
          <w:szCs w:val="20"/>
        </w:rPr>
        <w:t>in a building owned by Company C</w:t>
      </w:r>
      <w:r w:rsidRPr="0031616A">
        <w:rPr>
          <w:rFonts w:ascii="Gautami" w:hAnsi="Gautami" w:cs="Gautami"/>
          <w:sz w:val="20"/>
          <w:szCs w:val="20"/>
        </w:rPr>
        <w:t>.</w:t>
      </w:r>
      <w:r>
        <w:rPr>
          <w:rFonts w:ascii="Gautami" w:hAnsi="Gautami" w:cs="Gautami"/>
          <w:sz w:val="20"/>
          <w:szCs w:val="20"/>
        </w:rPr>
        <w:t xml:space="preserve"> Company B also manages </w:t>
      </w:r>
      <w:r w:rsidRPr="0031616A">
        <w:rPr>
          <w:rFonts w:ascii="Gautami" w:hAnsi="Gautami" w:cs="Gautami"/>
          <w:sz w:val="20"/>
          <w:szCs w:val="20"/>
        </w:rPr>
        <w:t>the connection/disconnection</w:t>
      </w:r>
      <w:r>
        <w:rPr>
          <w:rFonts w:ascii="Gautami" w:hAnsi="Gautami" w:cs="Gautami"/>
          <w:sz w:val="20"/>
          <w:szCs w:val="20"/>
        </w:rPr>
        <w:t xml:space="preserve"> </w:t>
      </w:r>
      <w:r w:rsidRPr="0031616A">
        <w:rPr>
          <w:rFonts w:ascii="Gautami" w:hAnsi="Gautami" w:cs="Gautami"/>
          <w:sz w:val="20"/>
          <w:szCs w:val="20"/>
        </w:rPr>
        <w:t>process, data collection, customer services and billing</w:t>
      </w:r>
      <w:r>
        <w:rPr>
          <w:rFonts w:ascii="Gautami" w:hAnsi="Gautami" w:cs="Gautami"/>
          <w:sz w:val="20"/>
          <w:szCs w:val="20"/>
        </w:rPr>
        <w:t xml:space="preserve"> </w:t>
      </w:r>
      <w:r w:rsidRPr="0031616A">
        <w:rPr>
          <w:rFonts w:ascii="Gautami" w:hAnsi="Gautami" w:cs="Gautami"/>
          <w:sz w:val="20"/>
          <w:szCs w:val="20"/>
        </w:rPr>
        <w:t>operations.</w:t>
      </w:r>
      <w:r>
        <w:rPr>
          <w:rFonts w:ascii="Gautami" w:hAnsi="Gautami" w:cs="Gautami"/>
          <w:sz w:val="20"/>
          <w:szCs w:val="20"/>
        </w:rPr>
        <w:t xml:space="preserve"> </w:t>
      </w:r>
    </w:p>
    <w:p w:rsidR="007C72D1" w:rsidRPr="0031616A" w:rsidRDefault="007C72D1" w:rsidP="007C72D1">
      <w:pPr>
        <w:pStyle w:val="AERDecisionBox"/>
        <w:rPr>
          <w:rFonts w:ascii="Gautami" w:hAnsi="Gautami" w:cs="Gautami"/>
          <w:sz w:val="20"/>
          <w:szCs w:val="20"/>
        </w:rPr>
      </w:pPr>
      <w:r w:rsidRPr="00801585">
        <w:rPr>
          <w:rFonts w:ascii="Gautami" w:hAnsi="Gautami" w:cs="Gautami"/>
          <w:sz w:val="20"/>
          <w:szCs w:val="20"/>
        </w:rPr>
        <w:t xml:space="preserve">It would be appropriate for Company </w:t>
      </w:r>
      <w:r>
        <w:rPr>
          <w:rFonts w:ascii="Gautami" w:hAnsi="Gautami" w:cs="Gautami"/>
          <w:sz w:val="20"/>
          <w:szCs w:val="20"/>
        </w:rPr>
        <w:t>B</w:t>
      </w:r>
      <w:r w:rsidRPr="00801585">
        <w:rPr>
          <w:rFonts w:ascii="Gautami" w:hAnsi="Gautami" w:cs="Gautami"/>
          <w:sz w:val="20"/>
          <w:szCs w:val="20"/>
        </w:rPr>
        <w:t xml:space="preserve"> to seek a network exemption</w:t>
      </w:r>
      <w:r>
        <w:rPr>
          <w:rFonts w:ascii="Gautami" w:hAnsi="Gautami" w:cs="Gautami"/>
          <w:sz w:val="20"/>
          <w:szCs w:val="20"/>
        </w:rPr>
        <w:t xml:space="preserve"> as some of the activities require company B to exercise control over the network</w:t>
      </w:r>
      <w:r w:rsidRPr="00801585">
        <w:rPr>
          <w:rFonts w:ascii="Gautami" w:hAnsi="Gautami" w:cs="Gautami"/>
          <w:sz w:val="20"/>
          <w:szCs w:val="20"/>
        </w:rPr>
        <w:t>.</w:t>
      </w:r>
      <w:r>
        <w:rPr>
          <w:rFonts w:ascii="Gautami" w:hAnsi="Gautami" w:cs="Gautami"/>
          <w:sz w:val="20"/>
          <w:szCs w:val="20"/>
        </w:rPr>
        <w:t xml:space="preserve"> Company C, as the network owner, must also seek a network exemption.</w:t>
      </w:r>
    </w:p>
    <w:p w:rsidR="007C72D1" w:rsidRPr="0042418A" w:rsidRDefault="007C72D1" w:rsidP="007C72D1">
      <w:pPr>
        <w:pStyle w:val="Heading2"/>
        <w:numPr>
          <w:ilvl w:val="2"/>
          <w:numId w:val="9"/>
        </w:numPr>
      </w:pPr>
      <w:bookmarkStart w:id="9" w:name="_Ref361909716"/>
      <w:bookmarkStart w:id="10" w:name="_Toc365299413"/>
      <w:r>
        <w:t>What type of exemption applies to me?</w:t>
      </w:r>
      <w:bookmarkEnd w:id="9"/>
      <w:bookmarkEnd w:id="10"/>
      <w:r>
        <w:t xml:space="preserve">  </w:t>
      </w:r>
      <w:r w:rsidRPr="0042418A">
        <w:t xml:space="preserve"> </w:t>
      </w:r>
    </w:p>
    <w:p w:rsidR="007C72D1" w:rsidRPr="00801585" w:rsidRDefault="007C72D1" w:rsidP="007C72D1">
      <w:pPr>
        <w:spacing w:after="120"/>
        <w:rPr>
          <w:rStyle w:val="AERbody"/>
        </w:rPr>
      </w:pPr>
      <w:r w:rsidRPr="00801585">
        <w:rPr>
          <w:rStyle w:val="AERbody"/>
        </w:rPr>
        <w:t xml:space="preserve">There are three types of exemption: deemed, registrable and individual. The type of exemption you may be eligible for will depend mainly on the nature of your business, who you are selling energy to and why you are doing it.  </w:t>
      </w:r>
    </w:p>
    <w:p w:rsidR="007C72D1" w:rsidRPr="00801585" w:rsidRDefault="007C72D1" w:rsidP="007C72D1">
      <w:pPr>
        <w:spacing w:after="120"/>
        <w:rPr>
          <w:rStyle w:val="AERbody"/>
        </w:rPr>
      </w:pPr>
      <w:r w:rsidRPr="00801585">
        <w:rPr>
          <w:rStyle w:val="AERbody"/>
        </w:rPr>
        <w:t xml:space="preserve">Deemed and registrable exemptions are class exemptions that apply to certain groups of people—or classes—who sell </w:t>
      </w:r>
      <w:r>
        <w:rPr>
          <w:rStyle w:val="AERbody"/>
        </w:rPr>
        <w:t xml:space="preserve">or otherwise provide </w:t>
      </w:r>
      <w:r w:rsidRPr="00801585">
        <w:rPr>
          <w:rStyle w:val="AERbody"/>
        </w:rPr>
        <w:t>energy</w:t>
      </w:r>
      <w:r>
        <w:rPr>
          <w:rStyle w:val="AERbody"/>
        </w:rPr>
        <w:t xml:space="preserve"> to a third party</w:t>
      </w:r>
      <w:r w:rsidRPr="00801585">
        <w:rPr>
          <w:rStyle w:val="AERbody"/>
        </w:rPr>
        <w:t xml:space="preserve">. Generally, these are people or businesses who sell </w:t>
      </w:r>
      <w:r>
        <w:rPr>
          <w:rStyle w:val="AERbody"/>
        </w:rPr>
        <w:t>or provide a connection to electricity</w:t>
      </w:r>
      <w:r w:rsidRPr="00801585">
        <w:rPr>
          <w:rStyle w:val="AERbody"/>
        </w:rPr>
        <w:t xml:space="preserve"> incidentally, meaning that energy sales are not their primary business or part of their business model, and are generally motivated by considerations other than profit.  </w:t>
      </w:r>
    </w:p>
    <w:p w:rsidR="007C72D1" w:rsidRPr="00801585" w:rsidRDefault="007C72D1" w:rsidP="007C72D1">
      <w:pPr>
        <w:rPr>
          <w:rStyle w:val="AERbody"/>
        </w:rPr>
      </w:pPr>
      <w:r w:rsidRPr="00801585">
        <w:rPr>
          <w:rStyle w:val="AERbody"/>
        </w:rPr>
        <w:t>A deemed exemption is an exemption that applies automatically to certain classes of people. A person covered by a deemed exemption does not need to either apply or register with us (however, conditions will generally apply). Deemed classes are usually for small-scale selling arrangements where the costs associated with registration would outweigh the benefits of increased regulation.</w:t>
      </w:r>
    </w:p>
    <w:p w:rsidR="007C72D1" w:rsidRPr="00A46038" w:rsidRDefault="007C72D1" w:rsidP="00A46038">
      <w:r w:rsidRPr="00A46038">
        <w:t xml:space="preserve">Situations that deemed exemptions apply to include:  </w:t>
      </w:r>
    </w:p>
    <w:p w:rsidR="007C72D1" w:rsidRPr="00801585" w:rsidRDefault="007C72D1" w:rsidP="007C72D1">
      <w:pPr>
        <w:pStyle w:val="AERbulletlistfirststyle"/>
        <w:numPr>
          <w:ilvl w:val="0"/>
          <w:numId w:val="1"/>
        </w:numPr>
        <w:rPr>
          <w:rStyle w:val="AERbody"/>
        </w:rPr>
      </w:pPr>
      <w:r w:rsidRPr="00801585">
        <w:rPr>
          <w:rStyle w:val="AERbody"/>
        </w:rPr>
        <w:t>sell</w:t>
      </w:r>
      <w:r>
        <w:rPr>
          <w:rStyle w:val="AERbody"/>
        </w:rPr>
        <w:t>ing</w:t>
      </w:r>
      <w:r w:rsidRPr="00801585">
        <w:rPr>
          <w:rStyle w:val="AERbody"/>
        </w:rPr>
        <w:t xml:space="preserve"> energy to a related company</w:t>
      </w:r>
    </w:p>
    <w:p w:rsidR="007C72D1" w:rsidRPr="00801585" w:rsidRDefault="007C72D1" w:rsidP="007C72D1">
      <w:pPr>
        <w:pStyle w:val="AERbulletlistfirststyle"/>
        <w:numPr>
          <w:ilvl w:val="0"/>
          <w:numId w:val="1"/>
        </w:numPr>
        <w:rPr>
          <w:rStyle w:val="AERbody"/>
        </w:rPr>
      </w:pPr>
      <w:r w:rsidRPr="00801585">
        <w:rPr>
          <w:rStyle w:val="AERbody"/>
        </w:rPr>
        <w:t>sell</w:t>
      </w:r>
      <w:r>
        <w:rPr>
          <w:rStyle w:val="AERbody"/>
        </w:rPr>
        <w:t>ing</w:t>
      </w:r>
      <w:r w:rsidRPr="00801585">
        <w:rPr>
          <w:rStyle w:val="AERbody"/>
        </w:rPr>
        <w:t xml:space="preserve"> metered energy to fewer than 10 small tenants or residents</w:t>
      </w:r>
    </w:p>
    <w:p w:rsidR="007C72D1" w:rsidRDefault="007C72D1" w:rsidP="007C72D1">
      <w:pPr>
        <w:pStyle w:val="AERbulletlistfirststyle"/>
        <w:numPr>
          <w:ilvl w:val="0"/>
          <w:numId w:val="1"/>
        </w:numPr>
        <w:rPr>
          <w:rStyle w:val="AERbody"/>
        </w:rPr>
      </w:pPr>
      <w:r w:rsidRPr="00801585">
        <w:rPr>
          <w:rStyle w:val="AERbody"/>
        </w:rPr>
        <w:t>caravan parks or holidays parks sell</w:t>
      </w:r>
      <w:r>
        <w:rPr>
          <w:rStyle w:val="AERbody"/>
        </w:rPr>
        <w:t>ing</w:t>
      </w:r>
      <w:r w:rsidRPr="00801585">
        <w:rPr>
          <w:rStyle w:val="AERbody"/>
        </w:rPr>
        <w:t xml:space="preserve"> metered energy in short term accommodation  </w:t>
      </w:r>
    </w:p>
    <w:p w:rsidR="007C72D1" w:rsidRPr="00801585" w:rsidRDefault="007C72D1" w:rsidP="007C72D1">
      <w:pPr>
        <w:pStyle w:val="AERbulletlistfirststyle"/>
        <w:numPr>
          <w:ilvl w:val="0"/>
          <w:numId w:val="1"/>
        </w:numPr>
        <w:rPr>
          <w:rStyle w:val="AERbody"/>
        </w:rPr>
      </w:pPr>
      <w:r>
        <w:rPr>
          <w:rStyle w:val="AERbody"/>
        </w:rPr>
        <w:t xml:space="preserve">plug-in and rack mounted equipment </w:t>
      </w:r>
    </w:p>
    <w:p w:rsidR="007C72D1" w:rsidRPr="00801585" w:rsidRDefault="007C72D1" w:rsidP="007C72D1">
      <w:pPr>
        <w:pStyle w:val="AERbulletlistfirststyle"/>
        <w:numPr>
          <w:ilvl w:val="0"/>
          <w:numId w:val="1"/>
        </w:numPr>
        <w:rPr>
          <w:rStyle w:val="AERbody"/>
        </w:rPr>
      </w:pPr>
      <w:r w:rsidRPr="00801585">
        <w:rPr>
          <w:rStyle w:val="AERbody"/>
        </w:rPr>
        <w:t>sell</w:t>
      </w:r>
      <w:r>
        <w:rPr>
          <w:rStyle w:val="AERbody"/>
        </w:rPr>
        <w:t>ing</w:t>
      </w:r>
      <w:r w:rsidRPr="00801585">
        <w:rPr>
          <w:rStyle w:val="AERbody"/>
        </w:rPr>
        <w:t xml:space="preserve"> unmetered electricity in Queensland</w:t>
      </w:r>
      <w:r w:rsidRPr="00801585">
        <w:rPr>
          <w:rStyle w:val="AERbody"/>
          <w:vertAlign w:val="superscript"/>
        </w:rPr>
        <w:footnoteReference w:id="12"/>
      </w:r>
      <w:r w:rsidRPr="00801585">
        <w:rPr>
          <w:rStyle w:val="AERbody"/>
        </w:rPr>
        <w:t xml:space="preserve"> </w:t>
      </w:r>
    </w:p>
    <w:p w:rsidR="007C72D1" w:rsidRPr="00801585" w:rsidRDefault="007C72D1" w:rsidP="007C72D1">
      <w:pPr>
        <w:pStyle w:val="AERbulletlistfirststyle"/>
        <w:numPr>
          <w:ilvl w:val="0"/>
          <w:numId w:val="1"/>
        </w:numPr>
        <w:rPr>
          <w:rStyle w:val="AERbody"/>
        </w:rPr>
      </w:pPr>
      <w:r w:rsidRPr="00801585">
        <w:rPr>
          <w:rStyle w:val="AERbody"/>
        </w:rPr>
        <w:t xml:space="preserve">telecommunications companies </w:t>
      </w:r>
      <w:r>
        <w:rPr>
          <w:rStyle w:val="AERbody"/>
        </w:rPr>
        <w:t>for a telecoms related activity</w:t>
      </w:r>
      <w:r w:rsidRPr="00801585">
        <w:rPr>
          <w:rStyle w:val="AERbody"/>
        </w:rPr>
        <w:t xml:space="preserve"> </w:t>
      </w:r>
    </w:p>
    <w:p w:rsidR="007C72D1" w:rsidRDefault="007C72D1" w:rsidP="007C72D1">
      <w:pPr>
        <w:pStyle w:val="AERbulletlistfirststyle"/>
        <w:numPr>
          <w:ilvl w:val="0"/>
          <w:numId w:val="1"/>
        </w:numPr>
        <w:rPr>
          <w:rStyle w:val="AERbody"/>
        </w:rPr>
      </w:pPr>
      <w:r w:rsidRPr="00801585">
        <w:rPr>
          <w:rStyle w:val="AERbody"/>
        </w:rPr>
        <w:t>government agencies that sell metered energy ancillary to their core functions</w:t>
      </w:r>
    </w:p>
    <w:p w:rsidR="007C72D1" w:rsidRDefault="007C72D1" w:rsidP="007C72D1">
      <w:pPr>
        <w:pStyle w:val="AERbulletlistfirststyle"/>
        <w:numPr>
          <w:ilvl w:val="0"/>
          <w:numId w:val="1"/>
        </w:numPr>
        <w:rPr>
          <w:rStyle w:val="AERbody"/>
        </w:rPr>
      </w:pPr>
      <w:r>
        <w:rPr>
          <w:rStyle w:val="AERbody"/>
        </w:rPr>
        <w:t>private solar PV and generator installations</w:t>
      </w:r>
    </w:p>
    <w:p w:rsidR="007C72D1" w:rsidRDefault="007C72D1" w:rsidP="007C72D1">
      <w:pPr>
        <w:pStyle w:val="AERbulletlistfirststyle"/>
        <w:numPr>
          <w:ilvl w:val="0"/>
          <w:numId w:val="1"/>
        </w:numPr>
        <w:rPr>
          <w:rStyle w:val="AERbody"/>
        </w:rPr>
      </w:pPr>
      <w:r>
        <w:rPr>
          <w:rStyle w:val="AERbody"/>
        </w:rPr>
        <w:t>broadcasting sites</w:t>
      </w:r>
    </w:p>
    <w:p w:rsidR="007C72D1" w:rsidRDefault="007C72D1" w:rsidP="007C72D1">
      <w:pPr>
        <w:pStyle w:val="AERbulletlistfirststyle"/>
        <w:numPr>
          <w:ilvl w:val="0"/>
          <w:numId w:val="1"/>
        </w:numPr>
        <w:rPr>
          <w:rStyle w:val="AERbody"/>
        </w:rPr>
      </w:pPr>
      <w:r>
        <w:rPr>
          <w:rStyle w:val="AERbody"/>
        </w:rPr>
        <w:t>rail network operators</w:t>
      </w:r>
    </w:p>
    <w:p w:rsidR="007C72D1" w:rsidRDefault="007C72D1" w:rsidP="007C72D1">
      <w:pPr>
        <w:pStyle w:val="AERbulletlistfirststyle"/>
        <w:numPr>
          <w:ilvl w:val="0"/>
          <w:numId w:val="1"/>
        </w:numPr>
        <w:rPr>
          <w:rStyle w:val="AERbody"/>
        </w:rPr>
      </w:pPr>
      <w:r>
        <w:rPr>
          <w:rStyle w:val="AERbody"/>
        </w:rPr>
        <w:t>electric vehicle charging stations</w:t>
      </w:r>
    </w:p>
    <w:p w:rsidR="007C72D1" w:rsidRDefault="007C72D1" w:rsidP="007C72D1">
      <w:pPr>
        <w:pStyle w:val="AERbulletlistfirststyle"/>
        <w:numPr>
          <w:ilvl w:val="0"/>
          <w:numId w:val="1"/>
        </w:numPr>
        <w:rPr>
          <w:rStyle w:val="AERbody"/>
        </w:rPr>
      </w:pPr>
      <w:r>
        <w:rPr>
          <w:rStyle w:val="AERbody"/>
        </w:rPr>
        <w:t>building and construction sites</w:t>
      </w:r>
    </w:p>
    <w:p w:rsidR="007C72D1" w:rsidRDefault="007C72D1" w:rsidP="007C72D1">
      <w:pPr>
        <w:pStyle w:val="AERbulletlistfirststyle"/>
        <w:numPr>
          <w:ilvl w:val="0"/>
          <w:numId w:val="1"/>
        </w:numPr>
        <w:rPr>
          <w:rStyle w:val="AERbody"/>
        </w:rPr>
      </w:pPr>
      <w:r>
        <w:rPr>
          <w:rStyle w:val="AERbody"/>
        </w:rPr>
        <w:lastRenderedPageBreak/>
        <w:t>large corporate entities</w:t>
      </w:r>
      <w:r w:rsidR="00D45256">
        <w:rPr>
          <w:rStyle w:val="AERbody"/>
        </w:rPr>
        <w:t xml:space="preserve"> (both parties</w:t>
      </w:r>
      <w:r w:rsidR="00FD2B56">
        <w:rPr>
          <w:rStyle w:val="AERbody"/>
        </w:rPr>
        <w:t>:</w:t>
      </w:r>
      <w:r w:rsidR="00D45256">
        <w:rPr>
          <w:rStyle w:val="AERbody"/>
        </w:rPr>
        <w:t xml:space="preserve"> buyer and seller)</w:t>
      </w:r>
      <w:r>
        <w:rPr>
          <w:rStyle w:val="AERbody"/>
        </w:rPr>
        <w:t xml:space="preserve"> </w:t>
      </w:r>
    </w:p>
    <w:p w:rsidR="007C72D1" w:rsidRPr="00801585" w:rsidRDefault="007C72D1" w:rsidP="007C72D1">
      <w:pPr>
        <w:pStyle w:val="AERbulletlistfirststyle"/>
        <w:numPr>
          <w:ilvl w:val="0"/>
          <w:numId w:val="1"/>
        </w:numPr>
        <w:rPr>
          <w:rStyle w:val="AERbody"/>
        </w:rPr>
      </w:pPr>
      <w:r>
        <w:rPr>
          <w:rStyle w:val="AERbody"/>
        </w:rPr>
        <w:t>demand-side scheme participants.</w:t>
      </w:r>
    </w:p>
    <w:p w:rsidR="007C72D1" w:rsidRPr="00801585" w:rsidRDefault="007C72D1" w:rsidP="007C72D1">
      <w:pPr>
        <w:rPr>
          <w:rStyle w:val="AERbody"/>
        </w:rPr>
      </w:pPr>
      <w:r w:rsidRPr="00801585">
        <w:rPr>
          <w:rStyle w:val="AERbody"/>
        </w:rPr>
        <w:t>A full list of deemed exe</w:t>
      </w:r>
      <w:r>
        <w:rPr>
          <w:rStyle w:val="AERbody"/>
        </w:rPr>
        <w:t>mptions is set out at Section 3</w:t>
      </w:r>
      <w:r w:rsidRPr="00801585">
        <w:rPr>
          <w:rStyle w:val="AERbody"/>
        </w:rPr>
        <w:t xml:space="preserve">. </w:t>
      </w:r>
    </w:p>
    <w:p w:rsidR="007C72D1" w:rsidRPr="00801585" w:rsidRDefault="007C72D1" w:rsidP="007C72D1">
      <w:pPr>
        <w:rPr>
          <w:rStyle w:val="AERbody"/>
        </w:rPr>
      </w:pPr>
      <w:r w:rsidRPr="00801585">
        <w:rPr>
          <w:rStyle w:val="AERbody"/>
        </w:rPr>
        <w:t>A registrable exemption applies to certain classes of people and must be registered with us. It only applies to a particular individual or entity for a particular site, and is subject to conditions. Registrable classes are for energy selling activities that we consider need greater transparency and regulatory oversight, usually because the scale of the activities is larger and the impact on the market greater.</w:t>
      </w:r>
    </w:p>
    <w:p w:rsidR="007C72D1" w:rsidRPr="00801585" w:rsidRDefault="007C72D1" w:rsidP="007C72D1">
      <w:pPr>
        <w:rPr>
          <w:rStyle w:val="AERbody"/>
        </w:rPr>
      </w:pPr>
      <w:r>
        <w:rPr>
          <w:rStyle w:val="AERbody"/>
        </w:rPr>
        <w:t xml:space="preserve">Situations </w:t>
      </w:r>
      <w:r w:rsidRPr="00801585">
        <w:rPr>
          <w:rStyle w:val="AERbody"/>
        </w:rPr>
        <w:t xml:space="preserve">that registrable exemptions apply to include: </w:t>
      </w:r>
    </w:p>
    <w:p w:rsidR="007C72D1" w:rsidRPr="00801585" w:rsidRDefault="007C72D1" w:rsidP="007C72D1">
      <w:pPr>
        <w:pStyle w:val="AERbulletlistfirststyle"/>
        <w:numPr>
          <w:ilvl w:val="0"/>
          <w:numId w:val="1"/>
        </w:numPr>
        <w:rPr>
          <w:rStyle w:val="AERbody"/>
        </w:rPr>
      </w:pPr>
      <w:r w:rsidRPr="00801585">
        <w:rPr>
          <w:rStyle w:val="AERbody"/>
        </w:rPr>
        <w:t>sell</w:t>
      </w:r>
      <w:r>
        <w:rPr>
          <w:rStyle w:val="AERbody"/>
        </w:rPr>
        <w:t>ing</w:t>
      </w:r>
      <w:r w:rsidRPr="00801585">
        <w:rPr>
          <w:rStyle w:val="AERbody"/>
        </w:rPr>
        <w:t xml:space="preserve"> metered energy to 10 or more small tenants or residents, or to </w:t>
      </w:r>
      <w:r>
        <w:rPr>
          <w:rStyle w:val="AERbody"/>
        </w:rPr>
        <w:t xml:space="preserve">an </w:t>
      </w:r>
      <w:r w:rsidRPr="00801585">
        <w:rPr>
          <w:rStyle w:val="AERbody"/>
        </w:rPr>
        <w:t xml:space="preserve">adjacent </w:t>
      </w:r>
      <w:r>
        <w:rPr>
          <w:rStyle w:val="AERbody"/>
        </w:rPr>
        <w:t xml:space="preserve">site </w:t>
      </w:r>
    </w:p>
    <w:p w:rsidR="007C72D1" w:rsidRPr="00801585" w:rsidRDefault="007C72D1" w:rsidP="007C72D1">
      <w:pPr>
        <w:pStyle w:val="AERbulletlistfirststyle"/>
        <w:numPr>
          <w:ilvl w:val="0"/>
          <w:numId w:val="1"/>
        </w:numPr>
        <w:rPr>
          <w:rStyle w:val="AERbody"/>
        </w:rPr>
      </w:pPr>
      <w:r w:rsidRPr="00801585">
        <w:rPr>
          <w:rStyle w:val="AERbody"/>
        </w:rPr>
        <w:t>retirement villages or caravan parks sell</w:t>
      </w:r>
      <w:r>
        <w:rPr>
          <w:rStyle w:val="AERbody"/>
        </w:rPr>
        <w:t>ing</w:t>
      </w:r>
      <w:r w:rsidRPr="00801585">
        <w:rPr>
          <w:rStyle w:val="AERbody"/>
        </w:rPr>
        <w:t xml:space="preserve"> metered energy to permanent residents </w:t>
      </w:r>
    </w:p>
    <w:p w:rsidR="007C72D1" w:rsidRPr="00801585" w:rsidRDefault="007C72D1" w:rsidP="007C72D1">
      <w:pPr>
        <w:pStyle w:val="AERbulletlistfirststyle"/>
        <w:numPr>
          <w:ilvl w:val="0"/>
          <w:numId w:val="1"/>
        </w:numPr>
        <w:rPr>
          <w:rStyle w:val="AERbody"/>
        </w:rPr>
      </w:pPr>
      <w:r w:rsidRPr="00801585">
        <w:rPr>
          <w:rStyle w:val="AERbody"/>
        </w:rPr>
        <w:t xml:space="preserve">selling energy to large customers </w:t>
      </w:r>
    </w:p>
    <w:p w:rsidR="007C72D1" w:rsidRDefault="007C72D1" w:rsidP="007C72D1">
      <w:pPr>
        <w:pStyle w:val="AERbulletlistfirststyle"/>
        <w:numPr>
          <w:ilvl w:val="0"/>
          <w:numId w:val="1"/>
        </w:numPr>
        <w:rPr>
          <w:rStyle w:val="AERbody"/>
        </w:rPr>
      </w:pPr>
      <w:r w:rsidRPr="00801585">
        <w:rPr>
          <w:rStyle w:val="AERbody"/>
        </w:rPr>
        <w:t>some unmetered energy supply arrangements entered into prior to the commencement of the Retail Law</w:t>
      </w:r>
    </w:p>
    <w:p w:rsidR="007C72D1" w:rsidRDefault="007C72D1" w:rsidP="007C72D1">
      <w:pPr>
        <w:pStyle w:val="AERbulletlistfirststyle"/>
        <w:numPr>
          <w:ilvl w:val="0"/>
          <w:numId w:val="1"/>
        </w:numPr>
        <w:rPr>
          <w:rStyle w:val="AERbody"/>
        </w:rPr>
      </w:pPr>
      <w:r>
        <w:rPr>
          <w:rStyle w:val="AERbody"/>
        </w:rPr>
        <w:t>generators offering market services</w:t>
      </w:r>
    </w:p>
    <w:p w:rsidR="007C72D1" w:rsidRDefault="007C72D1" w:rsidP="007C72D1">
      <w:pPr>
        <w:pStyle w:val="AERbulletlistfirststyle"/>
        <w:numPr>
          <w:ilvl w:val="0"/>
          <w:numId w:val="1"/>
        </w:numPr>
        <w:rPr>
          <w:rStyle w:val="AERbody"/>
        </w:rPr>
      </w:pPr>
      <w:r>
        <w:rPr>
          <w:rStyle w:val="AERbody"/>
        </w:rPr>
        <w:t>mining and primary production developments</w:t>
      </w:r>
    </w:p>
    <w:p w:rsidR="007C72D1" w:rsidRPr="00801585" w:rsidRDefault="007C72D1" w:rsidP="007C72D1">
      <w:pPr>
        <w:pStyle w:val="AERbulletlistfirststyle"/>
        <w:numPr>
          <w:ilvl w:val="0"/>
          <w:numId w:val="1"/>
        </w:numPr>
        <w:rPr>
          <w:rStyle w:val="AERbody"/>
        </w:rPr>
      </w:pPr>
      <w:r>
        <w:rPr>
          <w:rStyle w:val="AERbody"/>
        </w:rPr>
        <w:t>sites where a customer can access retail competition in a participating jurisdiction</w:t>
      </w:r>
      <w:r w:rsidRPr="00801585">
        <w:rPr>
          <w:rStyle w:val="AERbody"/>
        </w:rPr>
        <w:t xml:space="preserve">. </w:t>
      </w:r>
    </w:p>
    <w:p w:rsidR="007C72D1" w:rsidRPr="00801585" w:rsidRDefault="007C72D1" w:rsidP="007C72D1">
      <w:pPr>
        <w:rPr>
          <w:rStyle w:val="AERbody"/>
        </w:rPr>
      </w:pPr>
      <w:r w:rsidRPr="00801585">
        <w:rPr>
          <w:rStyle w:val="AERbody"/>
        </w:rPr>
        <w:t>A full list of registrable exe</w:t>
      </w:r>
      <w:r>
        <w:rPr>
          <w:rStyle w:val="AERbody"/>
        </w:rPr>
        <w:t>mptions is set out at Section 3</w:t>
      </w:r>
      <w:r w:rsidRPr="00801585">
        <w:rPr>
          <w:rStyle w:val="AERbody"/>
        </w:rPr>
        <w:t xml:space="preserve">. </w:t>
      </w:r>
    </w:p>
    <w:p w:rsidR="007C72D1" w:rsidRDefault="007C72D1" w:rsidP="007C72D1">
      <w:pPr>
        <w:spacing w:after="120"/>
        <w:rPr>
          <w:rStyle w:val="AERbody"/>
        </w:rPr>
      </w:pPr>
      <w:r>
        <w:rPr>
          <w:rStyle w:val="AERbody"/>
        </w:rPr>
        <w:t xml:space="preserve">Similar to a retail individual exemption, a </w:t>
      </w:r>
      <w:r w:rsidRPr="00801585">
        <w:rPr>
          <w:rStyle w:val="AERbody"/>
        </w:rPr>
        <w:t>n</w:t>
      </w:r>
      <w:r>
        <w:rPr>
          <w:rStyle w:val="AERbody"/>
        </w:rPr>
        <w:t>etwork</w:t>
      </w:r>
      <w:r w:rsidRPr="00801585">
        <w:rPr>
          <w:rStyle w:val="AERbody"/>
        </w:rPr>
        <w:t xml:space="preserve"> individual exemption is required in circumstances where an applicant is unable to conform to all of the conditions applicable to any relevant class of registrable exemption</w:t>
      </w:r>
      <w:r>
        <w:rPr>
          <w:rStyle w:val="AERbody"/>
        </w:rPr>
        <w:t>,</w:t>
      </w:r>
      <w:r w:rsidRPr="00801585">
        <w:rPr>
          <w:rStyle w:val="AERbody"/>
        </w:rPr>
        <w:t xml:space="preserve"> or where no class exists which covers the activities for which the applicant seeks exemption.</w:t>
      </w:r>
    </w:p>
    <w:p w:rsidR="007C72D1" w:rsidRPr="00801585" w:rsidRDefault="007C72D1" w:rsidP="007C72D1">
      <w:pPr>
        <w:spacing w:after="120"/>
        <w:rPr>
          <w:rStyle w:val="AERbody"/>
        </w:rPr>
      </w:pPr>
      <w:r w:rsidRPr="00801585">
        <w:rPr>
          <w:rStyle w:val="AERbody"/>
        </w:rPr>
        <w:t>Individual exemptions are tailored to the specific situation of the person or business seeking the exemption and their customer(s). Conditions attached to an individual exemption are generally applied with a view to balancing the needs and rights of customers and the regulatory burden that meeting those conditions will place on the exemption holder.</w:t>
      </w:r>
      <w:r>
        <w:rPr>
          <w:rStyle w:val="AERbody"/>
        </w:rPr>
        <w:t xml:space="preserve"> But, as the network conditions relate to safety, metering, dispute resolution and pricing we will need to be convinced of a compelling case to vary our standing conditions for these matters.</w:t>
      </w:r>
      <w:r w:rsidRPr="00801585">
        <w:rPr>
          <w:rStyle w:val="AERbody"/>
        </w:rPr>
        <w:t xml:space="preserve"> </w:t>
      </w:r>
    </w:p>
    <w:p w:rsidR="007C72D1" w:rsidRDefault="007C72D1" w:rsidP="007C72D1">
      <w:pPr>
        <w:spacing w:after="120"/>
        <w:rPr>
          <w:rStyle w:val="AERbody"/>
        </w:rPr>
      </w:pPr>
      <w:r w:rsidRPr="00801585">
        <w:rPr>
          <w:rStyle w:val="AERbody"/>
        </w:rPr>
        <w:t xml:space="preserve">If your activities do not fall within one of our class exemptions you should contact us </w:t>
      </w:r>
      <w:r>
        <w:rPr>
          <w:rStyle w:val="AERbody"/>
        </w:rPr>
        <w:t>to discuss the best course of action.</w:t>
      </w:r>
      <w:r w:rsidRPr="00801585">
        <w:rPr>
          <w:rStyle w:val="AERbody"/>
        </w:rPr>
        <w:t xml:space="preserve"> </w:t>
      </w:r>
    </w:p>
    <w:p w:rsidR="007C72D1" w:rsidRPr="00463204" w:rsidRDefault="007C72D1" w:rsidP="007C72D1">
      <w:pPr>
        <w:numPr>
          <w:ilvl w:val="0"/>
          <w:numId w:val="2"/>
        </w:numPr>
        <w:spacing w:before="240" w:after="60"/>
        <w:rPr>
          <w:rFonts w:eastAsia="Times New Roman" w:cs="Gautami"/>
          <w:i/>
        </w:rPr>
      </w:pPr>
      <w:r w:rsidRPr="00463204">
        <w:rPr>
          <w:rFonts w:eastAsia="Times New Roman" w:cs="Gautami"/>
          <w:i/>
        </w:rPr>
        <w:t>Example C</w:t>
      </w:r>
    </w:p>
    <w:p w:rsidR="007C72D1" w:rsidRPr="00463204" w:rsidRDefault="007C72D1" w:rsidP="007C72D1">
      <w:pPr>
        <w:keepLines/>
        <w:pBdr>
          <w:top w:val="single" w:sz="4" w:space="5" w:color="auto"/>
          <w:left w:val="single" w:sz="4" w:space="5" w:color="auto"/>
          <w:bottom w:val="single" w:sz="4" w:space="5" w:color="auto"/>
          <w:right w:val="single" w:sz="4" w:space="5" w:color="auto"/>
        </w:pBdr>
        <w:shd w:val="clear" w:color="auto" w:fill="CCCCCC"/>
        <w:spacing w:line="240" w:lineRule="auto"/>
        <w:jc w:val="left"/>
        <w:rPr>
          <w:rFonts w:eastAsia="Times New Roman" w:cs="Gautami"/>
        </w:rPr>
      </w:pPr>
      <w:r w:rsidRPr="00463204">
        <w:rPr>
          <w:rFonts w:eastAsia="Times New Roman" w:cs="Gautami"/>
        </w:rPr>
        <w:t xml:space="preserve">Company C is a small telecommunications company that provides large business customers with telecommunications services. It owns an electricity generation asset at its business premises and, for convenience, wants to sell generated energy to 3 business customers that are located within the same industrial park and 2 rural customers who are adjacent to the park (there is currently no other viable energy supply to these customers). </w:t>
      </w:r>
    </w:p>
    <w:p w:rsidR="007C72D1" w:rsidRPr="00463204" w:rsidRDefault="007C72D1" w:rsidP="007C72D1">
      <w:pPr>
        <w:keepLines/>
        <w:pBdr>
          <w:top w:val="single" w:sz="4" w:space="5" w:color="auto"/>
          <w:left w:val="single" w:sz="4" w:space="5" w:color="auto"/>
          <w:bottom w:val="single" w:sz="4" w:space="5" w:color="auto"/>
          <w:right w:val="single" w:sz="4" w:space="5" w:color="auto"/>
        </w:pBdr>
        <w:shd w:val="clear" w:color="auto" w:fill="CCCCCC"/>
        <w:spacing w:line="240" w:lineRule="auto"/>
        <w:jc w:val="left"/>
        <w:rPr>
          <w:rFonts w:eastAsia="Times New Roman" w:cs="Gautami"/>
        </w:rPr>
      </w:pPr>
      <w:r w:rsidRPr="00463204">
        <w:rPr>
          <w:rFonts w:eastAsia="Times New Roman" w:cs="Gautami"/>
        </w:rPr>
        <w:t xml:space="preserve">Its business is primarily to sell communications services — not energy — and it does so only because it is mutually convenient for the company and its customers. It does not have any plans to expand its energy selling activities. </w:t>
      </w:r>
    </w:p>
    <w:p w:rsidR="007C72D1" w:rsidRPr="00463204" w:rsidRDefault="007C72D1" w:rsidP="007C72D1">
      <w:pPr>
        <w:keepLines/>
        <w:pBdr>
          <w:top w:val="single" w:sz="4" w:space="5" w:color="auto"/>
          <w:left w:val="single" w:sz="4" w:space="5" w:color="auto"/>
          <w:bottom w:val="single" w:sz="4" w:space="5" w:color="auto"/>
          <w:right w:val="single" w:sz="4" w:space="5" w:color="auto"/>
        </w:pBdr>
        <w:shd w:val="clear" w:color="auto" w:fill="CCCCCC"/>
        <w:spacing w:line="240" w:lineRule="auto"/>
        <w:jc w:val="left"/>
        <w:rPr>
          <w:rFonts w:eastAsia="Times New Roman" w:cs="Gautami"/>
        </w:rPr>
      </w:pPr>
      <w:r w:rsidRPr="00463204">
        <w:rPr>
          <w:rFonts w:eastAsia="Times New Roman" w:cs="Gautami"/>
        </w:rPr>
        <w:lastRenderedPageBreak/>
        <w:t>For network purposes, the generator facility (unless it is over 30 MW) is deemed exempt (</w:t>
      </w:r>
      <w:r>
        <w:rPr>
          <w:rFonts w:eastAsia="Times New Roman" w:cs="Gautami"/>
        </w:rPr>
        <w:t xml:space="preserve">class </w:t>
      </w:r>
      <w:r w:rsidRPr="00463204">
        <w:rPr>
          <w:rFonts w:eastAsia="Times New Roman" w:cs="Gautami"/>
        </w:rPr>
        <w:t>NDO1). Company C is a telecommunications company</w:t>
      </w:r>
      <w:r>
        <w:rPr>
          <w:rFonts w:eastAsia="Times New Roman" w:cs="Gautami"/>
        </w:rPr>
        <w:t>. If the customers are all directly involved in telecoms activity then this is also a deemed exempt activity (class ND9).</w:t>
      </w:r>
      <w:r w:rsidRPr="00463204">
        <w:rPr>
          <w:rFonts w:eastAsia="Times New Roman" w:cs="Gautami"/>
        </w:rPr>
        <w:t xml:space="preserve"> </w:t>
      </w:r>
      <w:r>
        <w:rPr>
          <w:rFonts w:eastAsia="Times New Roman" w:cs="Gautami"/>
        </w:rPr>
        <w:t xml:space="preserve"> </w:t>
      </w:r>
      <w:r w:rsidR="00A86BBA">
        <w:rPr>
          <w:rFonts w:eastAsia="Times New Roman" w:cs="Gautami"/>
        </w:rPr>
        <w:t>However, i</w:t>
      </w:r>
      <w:r>
        <w:rPr>
          <w:rFonts w:eastAsia="Times New Roman" w:cs="Gautami"/>
        </w:rPr>
        <w:t>f</w:t>
      </w:r>
      <w:r w:rsidRPr="00463204">
        <w:rPr>
          <w:rFonts w:eastAsia="Times New Roman" w:cs="Gautami"/>
        </w:rPr>
        <w:t xml:space="preserve"> the activity is selling electricity to </w:t>
      </w:r>
      <w:r>
        <w:rPr>
          <w:rFonts w:eastAsia="Times New Roman" w:cs="Gautami"/>
        </w:rPr>
        <w:t>‘large’</w:t>
      </w:r>
      <w:r w:rsidRPr="00463204">
        <w:rPr>
          <w:rFonts w:eastAsia="Times New Roman" w:cs="Gautami"/>
        </w:rPr>
        <w:t xml:space="preserve"> customers</w:t>
      </w:r>
      <w:r>
        <w:rPr>
          <w:rFonts w:eastAsia="Times New Roman" w:cs="Gautami"/>
        </w:rPr>
        <w:t xml:space="preserve"> </w:t>
      </w:r>
      <w:r w:rsidR="00A86BBA">
        <w:rPr>
          <w:rFonts w:eastAsia="Times New Roman" w:cs="Gautami"/>
        </w:rPr>
        <w:t xml:space="preserve">(not in the telecommunications industry) </w:t>
      </w:r>
      <w:r w:rsidRPr="00463204">
        <w:rPr>
          <w:rFonts w:eastAsia="Times New Roman" w:cs="Gautami"/>
        </w:rPr>
        <w:t xml:space="preserve">the network </w:t>
      </w:r>
      <w:r>
        <w:rPr>
          <w:rFonts w:eastAsia="Times New Roman" w:cs="Gautami"/>
        </w:rPr>
        <w:t xml:space="preserve">must </w:t>
      </w:r>
      <w:r w:rsidRPr="00463204">
        <w:rPr>
          <w:rFonts w:eastAsia="Times New Roman" w:cs="Gautami"/>
        </w:rPr>
        <w:t>be registered in c</w:t>
      </w:r>
      <w:r>
        <w:rPr>
          <w:rFonts w:eastAsia="Times New Roman" w:cs="Gautami"/>
        </w:rPr>
        <w:t>lass</w:t>
      </w:r>
      <w:r w:rsidRPr="00463204">
        <w:rPr>
          <w:rFonts w:eastAsia="Times New Roman" w:cs="Gautami"/>
        </w:rPr>
        <w:t xml:space="preserve"> NR5</w:t>
      </w:r>
      <w:r>
        <w:rPr>
          <w:rFonts w:eastAsia="Times New Roman" w:cs="Gautami"/>
        </w:rPr>
        <w:t>. Because two customers are on adjacent sites</w:t>
      </w:r>
      <w:r w:rsidRPr="00463204">
        <w:rPr>
          <w:rFonts w:eastAsia="Times New Roman" w:cs="Gautami"/>
        </w:rPr>
        <w:t xml:space="preserve">, </w:t>
      </w:r>
      <w:r>
        <w:rPr>
          <w:rFonts w:eastAsia="Times New Roman" w:cs="Gautami"/>
        </w:rPr>
        <w:t>registration in class NR6 is also required.</w:t>
      </w:r>
      <w:r w:rsidRPr="00463204">
        <w:rPr>
          <w:rFonts w:eastAsia="Times New Roman" w:cs="Gautami"/>
        </w:rPr>
        <w:t xml:space="preserve"> </w:t>
      </w:r>
    </w:p>
    <w:p w:rsidR="007C72D1" w:rsidRPr="003C0017" w:rsidRDefault="007C72D1" w:rsidP="007C72D1">
      <w:pPr>
        <w:pStyle w:val="Heading2"/>
        <w:numPr>
          <w:ilvl w:val="2"/>
          <w:numId w:val="9"/>
        </w:numPr>
        <w:rPr>
          <w:rFonts w:cs="Gautami"/>
        </w:rPr>
      </w:pPr>
      <w:bookmarkStart w:id="11" w:name="_Toc365299414"/>
      <w:r w:rsidRPr="003C0017">
        <w:rPr>
          <w:rFonts w:cs="Gautami"/>
        </w:rPr>
        <w:t>How do I obtain an exemption?</w:t>
      </w:r>
      <w:bookmarkEnd w:id="11"/>
      <w:r w:rsidRPr="003C0017">
        <w:rPr>
          <w:rFonts w:cs="Gautami"/>
        </w:rPr>
        <w:t xml:space="preserve">   </w:t>
      </w:r>
    </w:p>
    <w:p w:rsidR="007C7CAA" w:rsidRPr="007219D7" w:rsidRDefault="007C7CAA" w:rsidP="007C7CAA">
      <w:pPr>
        <w:pStyle w:val="Heading3"/>
        <w:numPr>
          <w:ilvl w:val="3"/>
          <w:numId w:val="9"/>
        </w:numPr>
      </w:pPr>
      <w:r w:rsidRPr="007219D7">
        <w:t>Pre-registration</w:t>
      </w:r>
    </w:p>
    <w:p w:rsidR="007C7CAA" w:rsidRPr="007219D7" w:rsidRDefault="007C7CAA" w:rsidP="007C7CAA">
      <w:r w:rsidRPr="007219D7">
        <w:t xml:space="preserve">You can pre-register for a network exemption by following the processes outlined </w:t>
      </w:r>
      <w:r w:rsidR="000F611D">
        <w:t>in this Guideline</w:t>
      </w:r>
      <w:r w:rsidRPr="007219D7">
        <w:t xml:space="preserve">. </w:t>
      </w:r>
    </w:p>
    <w:p w:rsidR="007C72D1" w:rsidRPr="003C0017" w:rsidRDefault="007C72D1" w:rsidP="007C72D1">
      <w:pPr>
        <w:pStyle w:val="Heading3"/>
        <w:numPr>
          <w:ilvl w:val="3"/>
          <w:numId w:val="9"/>
        </w:numPr>
        <w:rPr>
          <w:rFonts w:cs="Gautami"/>
        </w:rPr>
      </w:pPr>
      <w:r w:rsidRPr="003C0017">
        <w:rPr>
          <w:rFonts w:cs="Gautami"/>
        </w:rPr>
        <w:t xml:space="preserve">Deemed exemptions </w:t>
      </w:r>
    </w:p>
    <w:p w:rsidR="007C72D1" w:rsidRPr="003C0017" w:rsidRDefault="007C72D1" w:rsidP="007C72D1">
      <w:pPr>
        <w:rPr>
          <w:rFonts w:cs="Gautami"/>
        </w:rPr>
      </w:pPr>
      <w:r w:rsidRPr="003C0017">
        <w:rPr>
          <w:rFonts w:cs="Gautami"/>
        </w:rPr>
        <w:t xml:space="preserve">Deemed exemptions are automatic. Provided you meet </w:t>
      </w:r>
      <w:r>
        <w:rPr>
          <w:rFonts w:cs="Gautami"/>
        </w:rPr>
        <w:t xml:space="preserve">all the </w:t>
      </w:r>
      <w:r w:rsidRPr="003C0017">
        <w:rPr>
          <w:rFonts w:cs="Gautami"/>
        </w:rPr>
        <w:t xml:space="preserve">criteria </w:t>
      </w:r>
      <w:r>
        <w:rPr>
          <w:rFonts w:cs="Gautami"/>
        </w:rPr>
        <w:t>and</w:t>
      </w:r>
      <w:r w:rsidRPr="003C0017">
        <w:rPr>
          <w:rFonts w:cs="Gautami"/>
        </w:rPr>
        <w:t xml:space="preserve"> conditions attached to the deemed class, you do not need to apply</w:t>
      </w:r>
      <w:r>
        <w:rPr>
          <w:rFonts w:cs="Gautami"/>
        </w:rPr>
        <w:t>;</w:t>
      </w:r>
      <w:r w:rsidRPr="003C0017">
        <w:rPr>
          <w:rFonts w:cs="Gautami"/>
        </w:rPr>
        <w:t xml:space="preserve"> rather</w:t>
      </w:r>
      <w:r>
        <w:rPr>
          <w:rFonts w:cs="Gautami"/>
        </w:rPr>
        <w:t>, you</w:t>
      </w:r>
      <w:r w:rsidRPr="003C0017">
        <w:rPr>
          <w:rFonts w:cs="Gautami"/>
        </w:rPr>
        <w:t xml:space="preserve"> are ‘deemed’ to be exempt. </w:t>
      </w:r>
    </w:p>
    <w:p w:rsidR="007C72D1" w:rsidRPr="003C0017" w:rsidRDefault="007C72D1" w:rsidP="007C72D1">
      <w:pPr>
        <w:pStyle w:val="Heading3"/>
        <w:numPr>
          <w:ilvl w:val="3"/>
          <w:numId w:val="9"/>
        </w:numPr>
        <w:rPr>
          <w:rFonts w:cs="Gautami"/>
        </w:rPr>
      </w:pPr>
      <w:r w:rsidRPr="003C0017">
        <w:rPr>
          <w:rFonts w:cs="Gautami"/>
        </w:rPr>
        <w:t xml:space="preserve">Registrable exemptions </w:t>
      </w:r>
    </w:p>
    <w:p w:rsidR="007C72D1" w:rsidRPr="003C0017" w:rsidRDefault="007C72D1" w:rsidP="007C72D1">
      <w:pPr>
        <w:spacing w:after="120"/>
        <w:rPr>
          <w:rFonts w:cs="Gautami"/>
        </w:rPr>
      </w:pPr>
      <w:r w:rsidRPr="003C0017">
        <w:rPr>
          <w:rFonts w:cs="Gautami"/>
        </w:rPr>
        <w:t xml:space="preserve">These exemptions are not automatic. You can register an exemption by completing our registration form, which is available on </w:t>
      </w:r>
      <w:r w:rsidR="009A7FF4" w:rsidRPr="000F611D">
        <w:t>our website</w:t>
      </w:r>
      <w:r w:rsidRPr="003C0017">
        <w:rPr>
          <w:rFonts w:cs="Gautami"/>
        </w:rPr>
        <w:t>.</w:t>
      </w:r>
      <w:r w:rsidRPr="003C0017">
        <w:rPr>
          <w:rStyle w:val="FootnoteReference"/>
          <w:rFonts w:cs="Gautami"/>
        </w:rPr>
        <w:footnoteReference w:id="13"/>
      </w:r>
      <w:r w:rsidR="000F611D">
        <w:rPr>
          <w:rFonts w:cs="Gautami"/>
        </w:rPr>
        <w:t xml:space="preserve"> </w:t>
      </w:r>
      <w:r w:rsidRPr="003C0017">
        <w:rPr>
          <w:rFonts w:cs="Gautami"/>
        </w:rPr>
        <w:t xml:space="preserve">To obtain a </w:t>
      </w:r>
      <w:r>
        <w:rPr>
          <w:rFonts w:cs="Gautami"/>
        </w:rPr>
        <w:t xml:space="preserve">network </w:t>
      </w:r>
      <w:r w:rsidRPr="003C0017">
        <w:rPr>
          <w:rFonts w:cs="Gautami"/>
        </w:rPr>
        <w:t xml:space="preserve">exemption, you need to complete Parts A and </w:t>
      </w:r>
      <w:r>
        <w:rPr>
          <w:rFonts w:cs="Gautami"/>
        </w:rPr>
        <w:t>B</w:t>
      </w:r>
      <w:r w:rsidRPr="003C0017">
        <w:rPr>
          <w:rFonts w:cs="Gautami"/>
        </w:rPr>
        <w:t xml:space="preserve"> of the form.</w:t>
      </w:r>
      <w:r w:rsidRPr="003C0017">
        <w:rPr>
          <w:rStyle w:val="FootnoteReference"/>
          <w:rFonts w:cs="Gautami"/>
        </w:rPr>
        <w:footnoteReference w:id="14"/>
      </w:r>
      <w:r w:rsidRPr="003C0017">
        <w:rPr>
          <w:rFonts w:cs="Gautami"/>
        </w:rPr>
        <w:t xml:space="preserve"> </w:t>
      </w:r>
      <w:r w:rsidR="0009343A">
        <w:rPr>
          <w:rFonts w:cs="Gautami"/>
        </w:rPr>
        <w:t>More than one registration class or charge group may apply.</w:t>
      </w:r>
    </w:p>
    <w:p w:rsidR="007C72D1" w:rsidRPr="003C0017" w:rsidRDefault="007C72D1" w:rsidP="007C72D1">
      <w:pPr>
        <w:spacing w:after="120"/>
        <w:rPr>
          <w:rFonts w:cs="Gautami"/>
        </w:rPr>
      </w:pPr>
      <w:r w:rsidRPr="003C0017">
        <w:rPr>
          <w:rFonts w:cs="Gautami"/>
        </w:rPr>
        <w:t>You must provide all the information requested in the form, including:</w:t>
      </w:r>
    </w:p>
    <w:p w:rsidR="007C72D1" w:rsidRPr="003C0017" w:rsidRDefault="007C72D1" w:rsidP="007C72D1">
      <w:pPr>
        <w:pStyle w:val="AERbulletlistfirststyle"/>
        <w:numPr>
          <w:ilvl w:val="0"/>
          <w:numId w:val="1"/>
        </w:numPr>
      </w:pPr>
      <w:r w:rsidRPr="003C0017">
        <w:t xml:space="preserve">the legal name (and trading name) of the business or person seeking the exemption, and their Australian Business Number (ABN) </w:t>
      </w:r>
      <w:r>
        <w:t xml:space="preserve">(preferred) </w:t>
      </w:r>
      <w:r w:rsidRPr="003C0017">
        <w:t>or Australian Company Number (ACN)</w:t>
      </w:r>
      <w:r>
        <w:t xml:space="preserve"> </w:t>
      </w:r>
    </w:p>
    <w:p w:rsidR="007C72D1" w:rsidRPr="003C0017" w:rsidRDefault="007C72D1" w:rsidP="007C72D1">
      <w:pPr>
        <w:pStyle w:val="AERbulletlistfirststyle"/>
        <w:numPr>
          <w:ilvl w:val="0"/>
          <w:numId w:val="1"/>
        </w:numPr>
      </w:pPr>
      <w:r w:rsidRPr="003C0017">
        <w:t xml:space="preserve">the site address for the exemption, the number of customers at that site and the class of exemption (for example, class </w:t>
      </w:r>
      <w:r>
        <w:t>N</w:t>
      </w:r>
      <w:r w:rsidRPr="003C0017">
        <w:t xml:space="preserve">R1), and a brief description of the normal business activities undertaken at that site </w:t>
      </w:r>
      <w:r w:rsidRPr="003C0017">
        <w:rPr>
          <w:rStyle w:val="FootnoteReference"/>
          <w:rFonts w:cs="Gautami"/>
          <w:szCs w:val="20"/>
        </w:rPr>
        <w:footnoteReference w:id="15"/>
      </w:r>
      <w:r w:rsidRPr="003C0017">
        <w:t xml:space="preserve"> </w:t>
      </w:r>
    </w:p>
    <w:p w:rsidR="007C72D1" w:rsidRPr="003C0017" w:rsidRDefault="007C72D1" w:rsidP="007C72D1">
      <w:pPr>
        <w:pStyle w:val="AERbulletlistfirststyle"/>
        <w:numPr>
          <w:ilvl w:val="0"/>
          <w:numId w:val="1"/>
        </w:numPr>
      </w:pPr>
      <w:r w:rsidRPr="003C0017">
        <w:t xml:space="preserve">contact details of </w:t>
      </w:r>
      <w:r>
        <w:t>the</w:t>
      </w:r>
      <w:r w:rsidRPr="003C0017">
        <w:t xml:space="preserve"> authorised representative for the </w:t>
      </w:r>
      <w:r>
        <w:t>applicant</w:t>
      </w:r>
      <w:r w:rsidRPr="003C0017">
        <w:t xml:space="preserve">. </w:t>
      </w:r>
    </w:p>
    <w:p w:rsidR="007C72D1" w:rsidRPr="003C0017" w:rsidRDefault="007C72D1" w:rsidP="007C72D1">
      <w:pPr>
        <w:spacing w:after="120"/>
        <w:rPr>
          <w:rFonts w:cs="Gautami"/>
        </w:rPr>
      </w:pPr>
      <w:r>
        <w:rPr>
          <w:rFonts w:cs="Gautami"/>
        </w:rPr>
        <w:t xml:space="preserve">The proforma should be repeated for any other parties (i.e. agents, energy service operators, etc.) who must also register for the network. </w:t>
      </w:r>
      <w:r w:rsidRPr="003C0017">
        <w:rPr>
          <w:rFonts w:cs="Gautami"/>
        </w:rPr>
        <w:t>Once you’ve completed your registration form</w:t>
      </w:r>
      <w:r>
        <w:rPr>
          <w:rFonts w:cs="Gautami"/>
        </w:rPr>
        <w:t>(s)</w:t>
      </w:r>
      <w:r w:rsidRPr="003C0017">
        <w:rPr>
          <w:rFonts w:cs="Gautami"/>
        </w:rPr>
        <w:t xml:space="preserve">, </w:t>
      </w:r>
      <w:r>
        <w:rPr>
          <w:rFonts w:cs="Gautami"/>
        </w:rPr>
        <w:t xml:space="preserve">we prefer that </w:t>
      </w:r>
      <w:r w:rsidRPr="003C0017">
        <w:rPr>
          <w:rFonts w:cs="Gautami"/>
        </w:rPr>
        <w:t xml:space="preserve">you submit it electronically to: </w:t>
      </w:r>
      <w:hyperlink r:id="rId12" w:history="1">
        <w:r w:rsidRPr="00DE4314">
          <w:rPr>
            <w:rStyle w:val="AERbody"/>
          </w:rPr>
          <w:t>aerexemptions@aer.gov.au</w:t>
        </w:r>
      </w:hyperlink>
      <w:r w:rsidRPr="00DE4314">
        <w:rPr>
          <w:rStyle w:val="AERbody"/>
        </w:rPr>
        <w:t>.</w:t>
      </w:r>
      <w:r w:rsidRPr="003C0017">
        <w:rPr>
          <w:rFonts w:cs="Gautami"/>
        </w:rPr>
        <w:t xml:space="preserve"> </w:t>
      </w:r>
    </w:p>
    <w:p w:rsidR="007C72D1" w:rsidRPr="00A46038" w:rsidRDefault="007C72D1" w:rsidP="00A46038">
      <w:pPr>
        <w:spacing w:line="240" w:lineRule="auto"/>
      </w:pPr>
      <w:r w:rsidRPr="00A46038">
        <w:t xml:space="preserve">Alternatively, you can fax your form to 03 9290 1457 or post it to: </w:t>
      </w:r>
    </w:p>
    <w:p w:rsidR="007C72D1" w:rsidRPr="00A46038" w:rsidRDefault="007C72D1" w:rsidP="00A46038">
      <w:pPr>
        <w:spacing w:after="0" w:line="240" w:lineRule="auto"/>
        <w:jc w:val="left"/>
      </w:pPr>
      <w:r w:rsidRPr="00A46038">
        <w:t>General Manager</w:t>
      </w:r>
    </w:p>
    <w:p w:rsidR="007C72D1" w:rsidRPr="00A46038" w:rsidRDefault="007C72D1" w:rsidP="00A46038">
      <w:pPr>
        <w:spacing w:after="0" w:line="240" w:lineRule="auto"/>
        <w:jc w:val="left"/>
      </w:pPr>
      <w:r w:rsidRPr="00A46038">
        <w:t>Network Development and Operations</w:t>
      </w:r>
    </w:p>
    <w:p w:rsidR="007C72D1" w:rsidRPr="00A46038" w:rsidRDefault="007C72D1" w:rsidP="00A46038">
      <w:pPr>
        <w:spacing w:after="0" w:line="240" w:lineRule="auto"/>
        <w:jc w:val="left"/>
      </w:pPr>
      <w:r w:rsidRPr="00A46038">
        <w:t>Australian Energy Regulator</w:t>
      </w:r>
    </w:p>
    <w:p w:rsidR="007C72D1" w:rsidRPr="00A46038" w:rsidRDefault="007C72D1" w:rsidP="00A46038">
      <w:pPr>
        <w:spacing w:after="0" w:line="240" w:lineRule="auto"/>
        <w:jc w:val="left"/>
      </w:pPr>
      <w:r w:rsidRPr="00A46038">
        <w:t xml:space="preserve">GPO Box 520 </w:t>
      </w:r>
      <w:r w:rsidRPr="00A46038">
        <w:br/>
        <w:t>Melbourne Victoria 3001</w:t>
      </w:r>
    </w:p>
    <w:p w:rsidR="007C72D1" w:rsidRPr="003C0017" w:rsidRDefault="007C72D1" w:rsidP="007C72D1">
      <w:pPr>
        <w:spacing w:after="0"/>
        <w:rPr>
          <w:rFonts w:cs="Gautami"/>
        </w:rPr>
      </w:pPr>
    </w:p>
    <w:p w:rsidR="007C72D1" w:rsidRPr="003C0017" w:rsidRDefault="007C72D1" w:rsidP="007C72D1">
      <w:pPr>
        <w:rPr>
          <w:rFonts w:cs="Gautami"/>
        </w:rPr>
      </w:pPr>
      <w:r w:rsidRPr="003C0017">
        <w:rPr>
          <w:rFonts w:cs="Gautami"/>
        </w:rPr>
        <w:t xml:space="preserve">There is no formal approval process for registrable exemptions; your exemption comes into effect when it appears on our </w:t>
      </w:r>
      <w:r w:rsidR="009A7FF4" w:rsidRPr="000F611D">
        <w:t>public register of network exemptions</w:t>
      </w:r>
      <w:r w:rsidRPr="003C0017">
        <w:rPr>
          <w:rFonts w:cs="Gautami"/>
        </w:rPr>
        <w:t>.</w:t>
      </w:r>
      <w:r w:rsidRPr="003C0017">
        <w:rPr>
          <w:rStyle w:val="FootnoteReference"/>
          <w:rFonts w:cs="Gautami"/>
        </w:rPr>
        <w:footnoteReference w:id="16"/>
      </w:r>
      <w:r w:rsidRPr="003C0017">
        <w:rPr>
          <w:rFonts w:cs="Gautami"/>
        </w:rPr>
        <w:t xml:space="preserve"> Once the exemption appears on the register, it becomes a “registered exemption”. Conditions apply to all registered exemptions. </w:t>
      </w:r>
    </w:p>
    <w:p w:rsidR="007C72D1" w:rsidRPr="003C0017" w:rsidRDefault="007C72D1" w:rsidP="007C72D1">
      <w:pPr>
        <w:rPr>
          <w:rFonts w:cs="Gautami"/>
        </w:rPr>
      </w:pPr>
      <w:r w:rsidRPr="003C0017">
        <w:rPr>
          <w:rFonts w:cs="Gautami"/>
        </w:rPr>
        <w:lastRenderedPageBreak/>
        <w:t xml:space="preserve">You should advise us if your details change, for instance if the site for which you have the exemption changes owners, or the nature of your energy selling activities changes (for example, you </w:t>
      </w:r>
      <w:r w:rsidR="00D057F1">
        <w:rPr>
          <w:rFonts w:cs="Gautami"/>
        </w:rPr>
        <w:t>no</w:t>
      </w:r>
      <w:r w:rsidRPr="003C0017">
        <w:rPr>
          <w:rFonts w:cs="Gautami"/>
        </w:rPr>
        <w:t xml:space="preserve"> longer sell energy to small non-residential customers, but to large customers), or you start selling energy to life support customers. </w:t>
      </w:r>
    </w:p>
    <w:p w:rsidR="007C72D1" w:rsidRPr="003C0017" w:rsidRDefault="007C72D1" w:rsidP="000F611D">
      <w:pPr>
        <w:pStyle w:val="Heading3"/>
        <w:numPr>
          <w:ilvl w:val="3"/>
          <w:numId w:val="9"/>
        </w:numPr>
      </w:pPr>
      <w:r>
        <w:t>Individual exemptions</w:t>
      </w:r>
    </w:p>
    <w:p w:rsidR="007C72D1" w:rsidRDefault="007C72D1" w:rsidP="007C72D1">
      <w:pPr>
        <w:spacing w:after="120"/>
        <w:rPr>
          <w:rFonts w:cs="Gautami"/>
        </w:rPr>
      </w:pPr>
      <w:r w:rsidRPr="003C0017">
        <w:rPr>
          <w:rFonts w:cs="Gautami"/>
        </w:rPr>
        <w:t xml:space="preserve">We recommend that you contact us before applying for an individual exemption or if you are planning a development that would rely on an individual exemption. This is so that we can provide information and guidance relevant to your individual circumstances, and assist you with the application process. </w:t>
      </w:r>
      <w:r>
        <w:rPr>
          <w:rFonts w:cs="Gautami"/>
        </w:rPr>
        <w:t>We believe that individual network exemptions should not be necessary for common activities. Almost all common activities will be covered by a deemed or registrable network exemption. This category exists in case we have missed something.</w:t>
      </w:r>
    </w:p>
    <w:p w:rsidR="007C72D1" w:rsidRPr="003C0017" w:rsidRDefault="007C72D1" w:rsidP="007C72D1">
      <w:pPr>
        <w:spacing w:after="120"/>
        <w:rPr>
          <w:rFonts w:cs="Gautami"/>
        </w:rPr>
      </w:pPr>
      <w:r>
        <w:rPr>
          <w:rFonts w:cs="Gautami"/>
        </w:rPr>
        <w:t>Part D of the form</w:t>
      </w:r>
      <w:r w:rsidRPr="003C0017">
        <w:rPr>
          <w:rFonts w:cs="Gautami"/>
        </w:rPr>
        <w:t xml:space="preserve"> sets out the information that you must provide when you apply for an individual exemption.</w:t>
      </w:r>
      <w:r>
        <w:rPr>
          <w:rStyle w:val="FootnoteReference"/>
          <w:rFonts w:cs="Gautami"/>
        </w:rPr>
        <w:footnoteReference w:id="17"/>
      </w:r>
      <w:r w:rsidRPr="003C0017">
        <w:rPr>
          <w:rFonts w:cs="Gautami"/>
        </w:rPr>
        <w:t xml:space="preserve"> Please contact us if you cannot provide any of this information.</w:t>
      </w:r>
      <w:r w:rsidRPr="003C0017">
        <w:rPr>
          <w:rStyle w:val="FootnoteReference"/>
          <w:rFonts w:cs="Gautami"/>
        </w:rPr>
        <w:footnoteReference w:id="18"/>
      </w:r>
      <w:r w:rsidRPr="003C0017">
        <w:rPr>
          <w:rFonts w:cs="Gautami"/>
        </w:rPr>
        <w:t xml:space="preserve"> </w:t>
      </w:r>
    </w:p>
    <w:p w:rsidR="007C72D1" w:rsidRPr="003C0017" w:rsidRDefault="007C72D1" w:rsidP="007C72D1">
      <w:pPr>
        <w:rPr>
          <w:rFonts w:cs="Gautami"/>
        </w:rPr>
      </w:pPr>
      <w:r w:rsidRPr="003C0017">
        <w:rPr>
          <w:rFonts w:cs="Gautami"/>
        </w:rPr>
        <w:t xml:space="preserve">Please be aware that providing false or misleading information in an application for the grant or variation of an individual exemption is a serious offence under the </w:t>
      </w:r>
      <w:r w:rsidRPr="003C0017">
        <w:rPr>
          <w:rFonts w:cs="Gautami"/>
          <w:i/>
        </w:rPr>
        <w:t>Criminal Code Act 1995 </w:t>
      </w:r>
      <w:r w:rsidRPr="003C0017">
        <w:rPr>
          <w:rFonts w:cs="Gautami"/>
        </w:rPr>
        <w:t>(Cth). The maximum penalty for such an offence is 12 months imprisonment.</w:t>
      </w:r>
    </w:p>
    <w:p w:rsidR="007C72D1" w:rsidRPr="003C0017" w:rsidRDefault="007C72D1" w:rsidP="007C72D1">
      <w:pPr>
        <w:rPr>
          <w:rFonts w:cs="Gautami"/>
        </w:rPr>
      </w:pPr>
      <w:r w:rsidRPr="003C0017">
        <w:rPr>
          <w:rFonts w:cs="Gautami"/>
        </w:rPr>
        <w:t xml:space="preserve">Once you have completed your application </w:t>
      </w:r>
      <w:r>
        <w:rPr>
          <w:rFonts w:cs="Gautami"/>
        </w:rPr>
        <w:t xml:space="preserve">please </w:t>
      </w:r>
      <w:r w:rsidRPr="003C0017">
        <w:rPr>
          <w:rFonts w:cs="Gautami"/>
        </w:rPr>
        <w:t xml:space="preserve">email it to: </w:t>
      </w:r>
      <w:hyperlink r:id="rId13" w:history="1">
        <w:r w:rsidRPr="00B237AC">
          <w:rPr>
            <w:rStyle w:val="AERbody"/>
          </w:rPr>
          <w:t>aerexemptions@aer.gov.au</w:t>
        </w:r>
      </w:hyperlink>
      <w:r w:rsidRPr="003C0017">
        <w:rPr>
          <w:rFonts w:cs="Gautami"/>
        </w:rPr>
        <w:t xml:space="preserve"> with ‘Application for individual exemption’ in the subject line. </w:t>
      </w:r>
    </w:p>
    <w:p w:rsidR="007C72D1" w:rsidRPr="003C0017" w:rsidRDefault="007C72D1" w:rsidP="007C72D1">
      <w:pPr>
        <w:rPr>
          <w:rFonts w:cs="Gautami"/>
        </w:rPr>
      </w:pPr>
      <w:r w:rsidRPr="003C0017">
        <w:rPr>
          <w:rFonts w:cs="Gautami"/>
        </w:rPr>
        <w:t xml:space="preserve">Or </w:t>
      </w:r>
      <w:r>
        <w:rPr>
          <w:rFonts w:cs="Gautami"/>
        </w:rPr>
        <w:t xml:space="preserve">you can </w:t>
      </w:r>
      <w:r w:rsidRPr="003C0017">
        <w:rPr>
          <w:rFonts w:cs="Gautami"/>
        </w:rPr>
        <w:t>send it to:</w:t>
      </w:r>
    </w:p>
    <w:p w:rsidR="007C72D1" w:rsidRPr="003C0017" w:rsidRDefault="007C72D1" w:rsidP="007C72D1">
      <w:pPr>
        <w:spacing w:after="0"/>
        <w:rPr>
          <w:rFonts w:cs="Gautami"/>
        </w:rPr>
      </w:pPr>
      <w:r w:rsidRPr="003C0017">
        <w:rPr>
          <w:rFonts w:cs="Gautami"/>
        </w:rPr>
        <w:t>General Manager</w:t>
      </w:r>
    </w:p>
    <w:p w:rsidR="007C72D1" w:rsidRPr="003C0017" w:rsidRDefault="007C72D1" w:rsidP="007C72D1">
      <w:pPr>
        <w:spacing w:after="0"/>
        <w:rPr>
          <w:rFonts w:cs="Gautami"/>
        </w:rPr>
      </w:pPr>
      <w:r>
        <w:rPr>
          <w:rFonts w:cs="Gautami"/>
        </w:rPr>
        <w:t>Network Development and Operations</w:t>
      </w:r>
    </w:p>
    <w:p w:rsidR="007C72D1" w:rsidRPr="003C0017" w:rsidRDefault="007C72D1" w:rsidP="007C72D1">
      <w:pPr>
        <w:spacing w:after="0"/>
        <w:rPr>
          <w:rFonts w:cs="Gautami"/>
        </w:rPr>
      </w:pPr>
      <w:r w:rsidRPr="003C0017">
        <w:rPr>
          <w:rFonts w:cs="Gautami"/>
        </w:rPr>
        <w:t>Australian Energy Regulator</w:t>
      </w:r>
    </w:p>
    <w:p w:rsidR="007C72D1" w:rsidRPr="003C0017" w:rsidRDefault="007C72D1" w:rsidP="007C72D1">
      <w:pPr>
        <w:spacing w:after="0"/>
        <w:rPr>
          <w:rFonts w:cs="Gautami"/>
        </w:rPr>
      </w:pPr>
      <w:r w:rsidRPr="003C0017">
        <w:rPr>
          <w:rFonts w:cs="Gautami"/>
        </w:rPr>
        <w:t>GPO Box 520</w:t>
      </w:r>
    </w:p>
    <w:p w:rsidR="007C72D1" w:rsidRPr="003C0017" w:rsidRDefault="007C72D1" w:rsidP="007C72D1">
      <w:pPr>
        <w:spacing w:after="0"/>
        <w:rPr>
          <w:rFonts w:cs="Gautami"/>
        </w:rPr>
      </w:pPr>
      <w:r w:rsidRPr="003C0017">
        <w:rPr>
          <w:rFonts w:cs="Gautami"/>
        </w:rPr>
        <w:t>Melbourne VIC 3001</w:t>
      </w:r>
    </w:p>
    <w:p w:rsidR="007C72D1" w:rsidRPr="003C0017" w:rsidRDefault="007C72D1" w:rsidP="007C72D1">
      <w:pPr>
        <w:spacing w:after="0"/>
        <w:rPr>
          <w:rFonts w:cs="Gautami"/>
        </w:rPr>
      </w:pPr>
    </w:p>
    <w:p w:rsidR="007C72D1" w:rsidRPr="003C0017" w:rsidRDefault="007C72D1" w:rsidP="007C72D1">
      <w:pPr>
        <w:rPr>
          <w:rFonts w:cs="Gautami"/>
        </w:rPr>
      </w:pPr>
      <w:r w:rsidRPr="003C0017">
        <w:rPr>
          <w:rFonts w:cs="Gautami"/>
        </w:rPr>
        <w:t>Applications for an electricity network service provider exemption may be lodged together with an application for an individual retail exemption.</w:t>
      </w:r>
    </w:p>
    <w:p w:rsidR="007C72D1" w:rsidRPr="00DE4314" w:rsidRDefault="007C72D1" w:rsidP="007C72D1">
      <w:pPr>
        <w:pStyle w:val="Heading3"/>
        <w:numPr>
          <w:ilvl w:val="3"/>
          <w:numId w:val="9"/>
        </w:numPr>
        <w:rPr>
          <w:rStyle w:val="AERbody"/>
          <w:color w:val="E36C0A"/>
          <w:sz w:val="24"/>
        </w:rPr>
      </w:pPr>
      <w:bookmarkStart w:id="12" w:name="_Ref361909031"/>
      <w:r w:rsidRPr="00DE4314">
        <w:rPr>
          <w:rStyle w:val="AERbody"/>
          <w:color w:val="E36C0A"/>
          <w:sz w:val="24"/>
        </w:rPr>
        <w:t>Public consultation process</w:t>
      </w:r>
      <w:bookmarkEnd w:id="12"/>
    </w:p>
    <w:p w:rsidR="007C72D1" w:rsidRPr="00DE4314" w:rsidRDefault="007C72D1" w:rsidP="007C72D1">
      <w:pPr>
        <w:rPr>
          <w:rStyle w:val="AERbody"/>
        </w:rPr>
      </w:pPr>
      <w:r w:rsidRPr="00DE4314">
        <w:rPr>
          <w:rStyle w:val="AERbody"/>
        </w:rPr>
        <w:t xml:space="preserve">Once we have received and accepted your application for an individual exemption, we will </w:t>
      </w:r>
      <w:r>
        <w:rPr>
          <w:rStyle w:val="AERbody"/>
        </w:rPr>
        <w:t xml:space="preserve">generally </w:t>
      </w:r>
      <w:r w:rsidRPr="00DE4314">
        <w:rPr>
          <w:rStyle w:val="AERbody"/>
        </w:rPr>
        <w:t>publish a notice on our website:</w:t>
      </w:r>
    </w:p>
    <w:p w:rsidR="007C72D1" w:rsidRPr="00DE4314" w:rsidRDefault="007C72D1" w:rsidP="007C72D1">
      <w:pPr>
        <w:pStyle w:val="AERbulletlistfirststyle"/>
        <w:numPr>
          <w:ilvl w:val="0"/>
          <w:numId w:val="1"/>
        </w:numPr>
        <w:rPr>
          <w:rStyle w:val="AERbody"/>
        </w:rPr>
      </w:pPr>
      <w:r w:rsidRPr="00DE4314">
        <w:rPr>
          <w:rStyle w:val="AERbody"/>
        </w:rPr>
        <w:t xml:space="preserve">stating that the application has been received </w:t>
      </w:r>
    </w:p>
    <w:p w:rsidR="007C72D1" w:rsidRPr="00DE4314" w:rsidRDefault="007C72D1" w:rsidP="007C72D1">
      <w:pPr>
        <w:pStyle w:val="AERbulletlistfirststyle"/>
        <w:numPr>
          <w:ilvl w:val="0"/>
          <w:numId w:val="1"/>
        </w:numPr>
        <w:rPr>
          <w:rStyle w:val="AERbody"/>
        </w:rPr>
      </w:pPr>
      <w:r w:rsidRPr="00DE4314">
        <w:rPr>
          <w:rStyle w:val="AERbody"/>
        </w:rPr>
        <w:t>seeking written submissions on the application from interested stakeholders.</w:t>
      </w:r>
    </w:p>
    <w:p w:rsidR="007C72D1" w:rsidRDefault="007C72D1" w:rsidP="007C72D1">
      <w:pPr>
        <w:rPr>
          <w:rStyle w:val="AERbody"/>
        </w:rPr>
      </w:pPr>
      <w:r w:rsidRPr="00DE4314">
        <w:rPr>
          <w:rStyle w:val="AERbody"/>
        </w:rPr>
        <w:t xml:space="preserve">The consultation period will run for at least 20 business days. </w:t>
      </w:r>
      <w:r>
        <w:rPr>
          <w:rStyle w:val="AERbody"/>
        </w:rPr>
        <w:t>Unlike the Retail Law, the rules made under the NE</w:t>
      </w:r>
      <w:r w:rsidR="00A86BBA">
        <w:rPr>
          <w:rStyle w:val="AERbody"/>
        </w:rPr>
        <w:t>R</w:t>
      </w:r>
      <w:r>
        <w:rPr>
          <w:rStyle w:val="AERbody"/>
        </w:rPr>
        <w:t xml:space="preserve"> do not require wide consultation</w:t>
      </w:r>
      <w:r w:rsidR="00A86BBA">
        <w:rPr>
          <w:rStyle w:val="AERbody"/>
        </w:rPr>
        <w:t xml:space="preserve"> on network exemptions. The NER</w:t>
      </w:r>
      <w:r>
        <w:rPr>
          <w:rStyle w:val="AERbody"/>
        </w:rPr>
        <w:t xml:space="preserve"> allow</w:t>
      </w:r>
      <w:r w:rsidR="00A86BBA">
        <w:rPr>
          <w:rStyle w:val="AERbody"/>
        </w:rPr>
        <w:t>s</w:t>
      </w:r>
      <w:r>
        <w:rPr>
          <w:rStyle w:val="AERbody"/>
        </w:rPr>
        <w:t xml:space="preserve"> the AER to limit consultation to affected stakeholders under some circumstances. Nonetheless, our preference is to be transparent in making regulatory decisions.</w:t>
      </w:r>
    </w:p>
    <w:p w:rsidR="00A86BBA" w:rsidRPr="00747F76" w:rsidRDefault="00A86BBA" w:rsidP="00A86BBA">
      <w:r w:rsidRPr="00747F76">
        <w:lastRenderedPageBreak/>
        <w:t xml:space="preserve">Individual network exemptions </w:t>
      </w:r>
      <w:r>
        <w:t xml:space="preserve">will </w:t>
      </w:r>
      <w:r w:rsidRPr="00747F76">
        <w:t>be subject to consultation with affected stakeholders before a determination is made. This consultation may affect only a small number of parties if a small private network is involved or, where an application has potential to affect larger groups of customers, may involve a formal public process. In accordance with clause 2.5.1 of the NER the AER will decide the scope of consultation on a case by case basis.</w:t>
      </w:r>
    </w:p>
    <w:p w:rsidR="007C72D1" w:rsidRPr="003C0017" w:rsidRDefault="007C72D1" w:rsidP="007C72D1">
      <w:pPr>
        <w:pStyle w:val="Heading3"/>
        <w:numPr>
          <w:ilvl w:val="3"/>
          <w:numId w:val="9"/>
        </w:numPr>
      </w:pPr>
      <w:r w:rsidRPr="003C0017">
        <w:t xml:space="preserve">Confidentiality </w:t>
      </w:r>
    </w:p>
    <w:p w:rsidR="007C72D1" w:rsidRPr="003C0017" w:rsidRDefault="007C72D1" w:rsidP="007C72D1">
      <w:pPr>
        <w:rPr>
          <w:rFonts w:cs="Gautami"/>
        </w:rPr>
      </w:pPr>
      <w:r w:rsidRPr="003C0017">
        <w:rPr>
          <w:rFonts w:cs="Gautami"/>
        </w:rPr>
        <w:t xml:space="preserve">We understand that you may provide us with confidential information as part of your application. If you do, we ask that you clearly identify and mark anything you consider confidential and give reasons for each confidentiality claim. Please also advise us of any potential disadvantage that disclosing the information might cause you. If your application contains confidential information, you should submit both a public and confidential version of the information. You should only </w:t>
      </w:r>
      <w:r w:rsidR="00D45256">
        <w:rPr>
          <w:rFonts w:cs="Gautami"/>
        </w:rPr>
        <w:t>remove</w:t>
      </w:r>
      <w:r w:rsidRPr="003C0017">
        <w:rPr>
          <w:rFonts w:cs="Gautami"/>
        </w:rPr>
        <w:t xml:space="preserve"> information in the public version that you consider confidential. </w:t>
      </w:r>
    </w:p>
    <w:p w:rsidR="007C72D1" w:rsidRPr="003C0017" w:rsidRDefault="007C72D1" w:rsidP="007C72D1">
      <w:pPr>
        <w:rPr>
          <w:rFonts w:cs="Gautami"/>
        </w:rPr>
      </w:pPr>
      <w:r w:rsidRPr="003C0017">
        <w:rPr>
          <w:rFonts w:cs="Gautami"/>
        </w:rPr>
        <w:t xml:space="preserve">A confidentiality claim, by itself, is not always enough to prevent disclosure. Under the </w:t>
      </w:r>
      <w:r>
        <w:rPr>
          <w:rFonts w:cs="Gautami"/>
        </w:rPr>
        <w:t xml:space="preserve">NEL </w:t>
      </w:r>
      <w:r w:rsidRPr="003C0017">
        <w:rPr>
          <w:rFonts w:cs="Gautami"/>
        </w:rPr>
        <w:t>and the</w:t>
      </w:r>
      <w:r w:rsidRPr="003C0017">
        <w:rPr>
          <w:rFonts w:cs="Gautami"/>
          <w:i/>
        </w:rPr>
        <w:t xml:space="preserve"> Competition and Consumer Act 2010 (Cth)</w:t>
      </w:r>
      <w:r w:rsidRPr="003C0017">
        <w:rPr>
          <w:rFonts w:cs="Gautami"/>
        </w:rPr>
        <w:t xml:space="preserve">, we may disclose confidential information in certain circumstances, for example, where disclosure would not cause detriment, or the public benefit in disclosing the information outweighs that detriment. </w:t>
      </w:r>
    </w:p>
    <w:p w:rsidR="007C72D1" w:rsidRPr="003C0017" w:rsidRDefault="007C72D1" w:rsidP="007C72D1">
      <w:pPr>
        <w:rPr>
          <w:rFonts w:cs="Gautami"/>
        </w:rPr>
      </w:pPr>
      <w:r w:rsidRPr="003C0017">
        <w:rPr>
          <w:rFonts w:cs="Gautami"/>
        </w:rPr>
        <w:t>If we are considering disclosing this information, we will let you know and give you an opportunity to comment in the first instance.</w:t>
      </w:r>
    </w:p>
    <w:p w:rsidR="007C72D1" w:rsidRPr="003C0017" w:rsidRDefault="007C72D1" w:rsidP="007C72D1">
      <w:pPr>
        <w:pStyle w:val="Heading3"/>
        <w:numPr>
          <w:ilvl w:val="3"/>
          <w:numId w:val="9"/>
        </w:numPr>
      </w:pPr>
      <w:r w:rsidRPr="003C0017">
        <w:t xml:space="preserve">Decision making process </w:t>
      </w:r>
    </w:p>
    <w:p w:rsidR="007C72D1" w:rsidRPr="003C0017" w:rsidRDefault="007C72D1" w:rsidP="007C72D1">
      <w:pPr>
        <w:pStyle w:val="AERbodytext"/>
        <w:spacing w:line="276" w:lineRule="auto"/>
        <w:rPr>
          <w:rFonts w:cs="Gautami"/>
          <w:szCs w:val="20"/>
        </w:rPr>
      </w:pPr>
      <w:r w:rsidRPr="003C0017">
        <w:rPr>
          <w:rFonts w:cs="Gautami"/>
          <w:szCs w:val="20"/>
        </w:rPr>
        <w:t xml:space="preserve">We will advise you, in writing, of our decision. If your application is approved, we will also advise you of </w:t>
      </w:r>
      <w:r>
        <w:rPr>
          <w:rFonts w:cs="Gautami"/>
          <w:szCs w:val="20"/>
        </w:rPr>
        <w:t xml:space="preserve">the </w:t>
      </w:r>
      <w:r w:rsidRPr="003C0017">
        <w:rPr>
          <w:rFonts w:cs="Gautami"/>
          <w:szCs w:val="20"/>
        </w:rPr>
        <w:t xml:space="preserve">conditions attached to the </w:t>
      </w:r>
      <w:r>
        <w:rPr>
          <w:rFonts w:cs="Gautami"/>
          <w:szCs w:val="20"/>
        </w:rPr>
        <w:t xml:space="preserve">individual </w:t>
      </w:r>
      <w:r w:rsidRPr="003C0017">
        <w:rPr>
          <w:rFonts w:cs="Gautami"/>
          <w:szCs w:val="20"/>
        </w:rPr>
        <w:t xml:space="preserve">exemption. You will need to formally accept those conditions before your </w:t>
      </w:r>
      <w:r>
        <w:rPr>
          <w:rFonts w:cs="Gautami"/>
          <w:szCs w:val="20"/>
        </w:rPr>
        <w:t xml:space="preserve">individual </w:t>
      </w:r>
      <w:r w:rsidRPr="003C0017">
        <w:rPr>
          <w:rFonts w:cs="Gautami"/>
          <w:szCs w:val="20"/>
        </w:rPr>
        <w:t xml:space="preserve">exemption takes effect. </w:t>
      </w:r>
    </w:p>
    <w:p w:rsidR="007C72D1" w:rsidRPr="003C0017" w:rsidRDefault="007C72D1" w:rsidP="007C72D1">
      <w:pPr>
        <w:pStyle w:val="AERbodytext"/>
        <w:spacing w:line="276" w:lineRule="auto"/>
        <w:rPr>
          <w:rFonts w:cs="Gautami"/>
          <w:szCs w:val="20"/>
        </w:rPr>
      </w:pPr>
      <w:r w:rsidRPr="003C0017">
        <w:rPr>
          <w:rFonts w:cs="Gautami"/>
          <w:szCs w:val="20"/>
        </w:rPr>
        <w:t xml:space="preserve">When considering applications for individual exemptions, we will be guided by the </w:t>
      </w:r>
      <w:r>
        <w:rPr>
          <w:rFonts w:cs="Gautami"/>
          <w:szCs w:val="20"/>
        </w:rPr>
        <w:t xml:space="preserve">National Electricity </w:t>
      </w:r>
      <w:r w:rsidR="004645CF">
        <w:rPr>
          <w:rFonts w:cs="Gautami"/>
          <w:szCs w:val="20"/>
        </w:rPr>
        <w:t>Ob</w:t>
      </w:r>
      <w:r w:rsidRPr="003C0017">
        <w:rPr>
          <w:rFonts w:cs="Gautami"/>
          <w:szCs w:val="20"/>
        </w:rPr>
        <w:t xml:space="preserve">jective, which is: </w:t>
      </w:r>
    </w:p>
    <w:p w:rsidR="007C72D1" w:rsidRPr="003C0017" w:rsidRDefault="007C72D1" w:rsidP="007C72D1">
      <w:pPr>
        <w:pStyle w:val="AERquoteindent3"/>
      </w:pPr>
      <w:r>
        <w:t>…</w:t>
      </w:r>
      <w:r w:rsidRPr="003C0017">
        <w:t xml:space="preserve">to promote efficient investment in, and efficient operation and use of, energy services for the long term interests of consumers of energy with respect to price, quality, safety, reliability and security of supply of energy. </w:t>
      </w:r>
    </w:p>
    <w:p w:rsidR="007C72D1" w:rsidRPr="0074586B" w:rsidRDefault="007C72D1" w:rsidP="007C72D1">
      <w:pPr>
        <w:pStyle w:val="Heading3"/>
        <w:numPr>
          <w:ilvl w:val="3"/>
          <w:numId w:val="9"/>
        </w:numPr>
      </w:pPr>
      <w:r w:rsidRPr="0074586B">
        <w:t xml:space="preserve">Grounds for refusal </w:t>
      </w:r>
    </w:p>
    <w:p w:rsidR="007C72D1" w:rsidRPr="003C0017" w:rsidRDefault="007C72D1" w:rsidP="007C72D1">
      <w:pPr>
        <w:pStyle w:val="AERbodytext"/>
        <w:rPr>
          <w:rFonts w:cs="Gautami"/>
          <w:szCs w:val="20"/>
        </w:rPr>
      </w:pPr>
      <w:r w:rsidRPr="003C0017">
        <w:rPr>
          <w:rFonts w:cs="Gautami"/>
          <w:szCs w:val="20"/>
        </w:rPr>
        <w:t xml:space="preserve">We may refuse an application for an individual </w:t>
      </w:r>
      <w:r>
        <w:rPr>
          <w:rFonts w:cs="Gautami"/>
          <w:szCs w:val="20"/>
        </w:rPr>
        <w:t xml:space="preserve">or registrable </w:t>
      </w:r>
      <w:r w:rsidRPr="003C0017">
        <w:rPr>
          <w:rFonts w:cs="Gautami"/>
          <w:szCs w:val="20"/>
        </w:rPr>
        <w:t xml:space="preserve">exemption if, for example: </w:t>
      </w:r>
    </w:p>
    <w:p w:rsidR="007C72D1" w:rsidRPr="003C0017" w:rsidRDefault="007C72D1" w:rsidP="007C72D1">
      <w:pPr>
        <w:pStyle w:val="AERbulletlistfirststyle"/>
        <w:numPr>
          <w:ilvl w:val="0"/>
          <w:numId w:val="1"/>
        </w:numPr>
      </w:pPr>
      <w:r w:rsidRPr="003C0017">
        <w:t xml:space="preserve">we believe that granting an exemption may not contribute to the achievement of the </w:t>
      </w:r>
      <w:r w:rsidR="004645CF">
        <w:t>N</w:t>
      </w:r>
      <w:r w:rsidRPr="003C0017">
        <w:t xml:space="preserve">ational </w:t>
      </w:r>
      <w:r w:rsidR="004645CF">
        <w:t>E</w:t>
      </w:r>
      <w:r w:rsidR="00EA2D9C">
        <w:t xml:space="preserve">lectricity </w:t>
      </w:r>
      <w:r w:rsidR="004645CF">
        <w:t>O</w:t>
      </w:r>
      <w:r w:rsidRPr="003C0017">
        <w:t xml:space="preserve">bjective </w:t>
      </w:r>
    </w:p>
    <w:p w:rsidR="007C72D1" w:rsidRPr="003C0017" w:rsidRDefault="007C72D1" w:rsidP="007C72D1">
      <w:pPr>
        <w:pStyle w:val="AERbulletlistfirststyle"/>
        <w:numPr>
          <w:ilvl w:val="0"/>
          <w:numId w:val="1"/>
        </w:numPr>
      </w:pPr>
      <w:r w:rsidRPr="003C0017">
        <w:t>you have provided us with false or misleading information.</w:t>
      </w:r>
    </w:p>
    <w:p w:rsidR="007C72D1" w:rsidRPr="000B4234" w:rsidRDefault="007C72D1" w:rsidP="007C72D1">
      <w:pPr>
        <w:pStyle w:val="Heading3"/>
        <w:numPr>
          <w:ilvl w:val="3"/>
          <w:numId w:val="9"/>
        </w:numPr>
      </w:pPr>
      <w:r w:rsidRPr="000B4234">
        <w:t xml:space="preserve">Location and length of exemption </w:t>
      </w:r>
    </w:p>
    <w:p w:rsidR="007C72D1" w:rsidRPr="003C0017" w:rsidRDefault="007C72D1" w:rsidP="007C72D1">
      <w:pPr>
        <w:rPr>
          <w:rFonts w:cs="Gautami"/>
        </w:rPr>
      </w:pPr>
      <w:r w:rsidRPr="003C0017">
        <w:rPr>
          <w:rFonts w:cs="Gautami"/>
        </w:rPr>
        <w:t xml:space="preserve">Most individual exemptions will be issued for a particular site or area, and will limit the </w:t>
      </w:r>
      <w:r>
        <w:rPr>
          <w:rFonts w:cs="Gautami"/>
        </w:rPr>
        <w:t>supply</w:t>
      </w:r>
      <w:r w:rsidRPr="003C0017">
        <w:rPr>
          <w:rFonts w:cs="Gautami"/>
        </w:rPr>
        <w:t xml:space="preserve"> of energy to a certain class or classes of customers. Generally, we will not issue individual exemptions for multiple sites </w:t>
      </w:r>
      <w:r>
        <w:rPr>
          <w:rFonts w:cs="Gautami"/>
        </w:rPr>
        <w:t xml:space="preserve">(but we may issue an individual exemption that covers a class of sites) </w:t>
      </w:r>
      <w:r w:rsidRPr="003C0017">
        <w:rPr>
          <w:rFonts w:cs="Gautami"/>
        </w:rPr>
        <w:t xml:space="preserve">and only issue them where we consider that doing so is consistent with the </w:t>
      </w:r>
      <w:r>
        <w:rPr>
          <w:rFonts w:cs="Gautami"/>
        </w:rPr>
        <w:t xml:space="preserve">NER and </w:t>
      </w:r>
      <w:r w:rsidR="009135E1">
        <w:rPr>
          <w:rFonts w:cs="Gautami"/>
        </w:rPr>
        <w:t xml:space="preserve">the </w:t>
      </w:r>
      <w:r>
        <w:rPr>
          <w:rFonts w:cs="Gautami"/>
        </w:rPr>
        <w:t>N</w:t>
      </w:r>
      <w:r w:rsidR="00557D86">
        <w:rPr>
          <w:rFonts w:cs="Gautami"/>
        </w:rPr>
        <w:t>ational Electricity Objective</w:t>
      </w:r>
      <w:r w:rsidRPr="003C0017">
        <w:rPr>
          <w:rFonts w:cs="Gautami"/>
        </w:rPr>
        <w:t xml:space="preserve">. </w:t>
      </w:r>
    </w:p>
    <w:p w:rsidR="007C72D1" w:rsidRPr="003C0017" w:rsidRDefault="007C72D1" w:rsidP="007C72D1">
      <w:pPr>
        <w:rPr>
          <w:rFonts w:cs="Gautami"/>
        </w:rPr>
      </w:pPr>
      <w:r w:rsidRPr="003C0017">
        <w:rPr>
          <w:rFonts w:cs="Gautami"/>
        </w:rPr>
        <w:lastRenderedPageBreak/>
        <w:t xml:space="preserve">The </w:t>
      </w:r>
      <w:r>
        <w:rPr>
          <w:rFonts w:cs="Gautami"/>
        </w:rPr>
        <w:t>NER</w:t>
      </w:r>
      <w:r w:rsidRPr="003C0017">
        <w:rPr>
          <w:rFonts w:cs="Gautami"/>
        </w:rPr>
        <w:t xml:space="preserve"> does not place a limit on the duration or validity of an exemption. However, we may impose a time limit on the grant or variation of an individual exemption. This will be determined on a case by case basis. </w:t>
      </w:r>
    </w:p>
    <w:p w:rsidR="007C72D1" w:rsidRPr="003C0017" w:rsidRDefault="007C72D1" w:rsidP="007C72D1">
      <w:pPr>
        <w:rPr>
          <w:rFonts w:cs="Gautami"/>
          <w:i/>
        </w:rPr>
      </w:pPr>
      <w:r w:rsidRPr="003C0017">
        <w:rPr>
          <w:rFonts w:cs="Gautami"/>
        </w:rPr>
        <w:t xml:space="preserve">If no expiry date is stated as a condition of exemption, the grant or variation of the individual exemption will continue indefinitely unless it is revoked. </w:t>
      </w:r>
      <w:r w:rsidRPr="003C0017">
        <w:rPr>
          <w:rFonts w:cs="Gautami"/>
          <w:i/>
        </w:rPr>
        <w:tab/>
      </w:r>
    </w:p>
    <w:p w:rsidR="007C72D1" w:rsidRPr="0074586B" w:rsidRDefault="007C72D1" w:rsidP="007C72D1">
      <w:pPr>
        <w:pStyle w:val="Heading3"/>
        <w:numPr>
          <w:ilvl w:val="3"/>
          <w:numId w:val="9"/>
        </w:numPr>
      </w:pPr>
      <w:r w:rsidRPr="0074586B">
        <w:t>Change of circumstances</w:t>
      </w:r>
    </w:p>
    <w:p w:rsidR="007C72D1" w:rsidRDefault="007C72D1" w:rsidP="007C72D1">
      <w:pPr>
        <w:rPr>
          <w:rFonts w:cs="Gautami"/>
        </w:rPr>
      </w:pPr>
      <w:r w:rsidRPr="003C0017">
        <w:rPr>
          <w:rFonts w:cs="Gautami"/>
        </w:rPr>
        <w:t xml:space="preserve">Your exemption will specify the </w:t>
      </w:r>
      <w:r>
        <w:rPr>
          <w:rFonts w:cs="Gautami"/>
        </w:rPr>
        <w:t>conditions of the exemption</w:t>
      </w:r>
      <w:r w:rsidRPr="003C0017">
        <w:rPr>
          <w:rFonts w:cs="Gautami"/>
        </w:rPr>
        <w:t xml:space="preserve">. You will need to apply for a new or separate individual exemption to </w:t>
      </w:r>
      <w:r>
        <w:rPr>
          <w:rFonts w:cs="Gautami"/>
        </w:rPr>
        <w:t>vary the conditions specified</w:t>
      </w:r>
      <w:r w:rsidRPr="003C0017">
        <w:rPr>
          <w:rFonts w:cs="Gautami"/>
        </w:rPr>
        <w:t>. Also, if your details change in any other way, for example if there is a change in ownership, you should contact us so that we can vary your exemption.</w:t>
      </w:r>
    </w:p>
    <w:p w:rsidR="007C72D1" w:rsidRPr="00F66980" w:rsidRDefault="007C72D1" w:rsidP="007C72D1">
      <w:pPr>
        <w:pStyle w:val="Heading1"/>
        <w:numPr>
          <w:ilvl w:val="1"/>
          <w:numId w:val="9"/>
        </w:numPr>
        <w:jc w:val="both"/>
        <w:rPr>
          <w:rStyle w:val="AERtexthighlight"/>
        </w:rPr>
      </w:pPr>
      <w:bookmarkStart w:id="13" w:name="_Ref361909733"/>
      <w:bookmarkStart w:id="14" w:name="_Toc365299415"/>
      <w:r>
        <w:lastRenderedPageBreak/>
        <w:t>Introduction and exemption classes</w:t>
      </w:r>
      <w:bookmarkEnd w:id="13"/>
      <w:bookmarkEnd w:id="14"/>
    </w:p>
    <w:p w:rsidR="007C72D1" w:rsidRPr="00747F76" w:rsidRDefault="007C72D1" w:rsidP="007C72D1">
      <w:pPr>
        <w:pStyle w:val="Heading2"/>
        <w:numPr>
          <w:ilvl w:val="2"/>
          <w:numId w:val="9"/>
        </w:numPr>
        <w:jc w:val="both"/>
      </w:pPr>
      <w:bookmarkStart w:id="15" w:name="_Toc365299416"/>
      <w:r w:rsidRPr="00747F76">
        <w:t>Deemed exemption classes</w:t>
      </w:r>
      <w:bookmarkEnd w:id="15"/>
    </w:p>
    <w:p w:rsidR="007C72D1" w:rsidRDefault="007C72D1" w:rsidP="007C72D1">
      <w:r w:rsidRPr="00BF1CBF">
        <w:t>No application is required for a deemed exemption to apply</w:t>
      </w:r>
      <w:r>
        <w:t>. Deemed exemptions are s</w:t>
      </w:r>
      <w:r w:rsidRPr="00BF1CBF">
        <w:t>ubject to compliance with the activity description set out in Table</w:t>
      </w:r>
      <w:r>
        <w:t>s</w:t>
      </w:r>
      <w:r w:rsidRPr="00BF1CBF">
        <w:t xml:space="preserve"> 1 </w:t>
      </w:r>
      <w:r>
        <w:t xml:space="preserve">and 2, </w:t>
      </w:r>
      <w:r w:rsidRPr="00BF1CBF">
        <w:t>and the conditions,</w:t>
      </w:r>
      <w:r>
        <w:t xml:space="preserve"> set out </w:t>
      </w:r>
      <w:r w:rsidRPr="00BF1CBF">
        <w:t xml:space="preserve">in sections </w:t>
      </w:r>
      <w:r w:rsidR="000844E8">
        <w:fldChar w:fldCharType="begin"/>
      </w:r>
      <w:r w:rsidR="000844E8">
        <w:instrText xml:space="preserve"> REF  _Ref361906980 \h \r </w:instrText>
      </w:r>
      <w:r w:rsidR="000844E8">
        <w:fldChar w:fldCharType="separate"/>
      </w:r>
      <w:r w:rsidR="00D94AAA">
        <w:t>4.1</w:t>
      </w:r>
      <w:r w:rsidR="000844E8">
        <w:fldChar w:fldCharType="end"/>
      </w:r>
      <w:r w:rsidR="00587288">
        <w:t xml:space="preserve">, </w:t>
      </w:r>
      <w:r w:rsidR="000844E8">
        <w:fldChar w:fldCharType="begin"/>
      </w:r>
      <w:r w:rsidR="000844E8">
        <w:instrText xml:space="preserve"> REF  _Ref361906984 \h \r </w:instrText>
      </w:r>
      <w:r w:rsidR="000844E8">
        <w:fldChar w:fldCharType="separate"/>
      </w:r>
      <w:r w:rsidR="00D94AAA">
        <w:t>4.2</w:t>
      </w:r>
      <w:r w:rsidR="000844E8">
        <w:fldChar w:fldCharType="end"/>
      </w:r>
      <w:r w:rsidR="00587288">
        <w:t xml:space="preserve">, </w:t>
      </w:r>
      <w:r w:rsidR="000844E8">
        <w:fldChar w:fldCharType="begin"/>
      </w:r>
      <w:r w:rsidR="000844E8">
        <w:instrText xml:space="preserve"> REF  _Ref361906986 \h \r </w:instrText>
      </w:r>
      <w:r w:rsidR="000844E8">
        <w:fldChar w:fldCharType="separate"/>
      </w:r>
      <w:r w:rsidR="00D94AAA">
        <w:t>4.3</w:t>
      </w:r>
      <w:r w:rsidR="000844E8">
        <w:fldChar w:fldCharType="end"/>
      </w:r>
      <w:r w:rsidR="00587288">
        <w:t xml:space="preserve">, </w:t>
      </w:r>
      <w:r w:rsidR="000844E8">
        <w:fldChar w:fldCharType="begin"/>
      </w:r>
      <w:r w:rsidR="000844E8">
        <w:instrText xml:space="preserve"> REF  _Ref361906988 \h \r </w:instrText>
      </w:r>
      <w:r w:rsidR="000844E8">
        <w:fldChar w:fldCharType="separate"/>
      </w:r>
      <w:r w:rsidR="00D94AAA">
        <w:t>4.4</w:t>
      </w:r>
      <w:r w:rsidR="000844E8">
        <w:fldChar w:fldCharType="end"/>
      </w:r>
      <w:r w:rsidR="00587288">
        <w:t xml:space="preserve">, </w:t>
      </w:r>
      <w:r w:rsidR="000844E8">
        <w:fldChar w:fldCharType="begin"/>
      </w:r>
      <w:r w:rsidR="000844E8">
        <w:instrText xml:space="preserve"> REF  _Ref361906990 \h \r </w:instrText>
      </w:r>
      <w:r w:rsidR="000844E8">
        <w:fldChar w:fldCharType="separate"/>
      </w:r>
      <w:r w:rsidR="00D94AAA">
        <w:t>4.5</w:t>
      </w:r>
      <w:r w:rsidR="000844E8">
        <w:fldChar w:fldCharType="end"/>
      </w:r>
      <w:r w:rsidR="00587288">
        <w:t xml:space="preserve">, and </w:t>
      </w:r>
      <w:r w:rsidR="000844E8">
        <w:fldChar w:fldCharType="begin"/>
      </w:r>
      <w:r w:rsidR="000844E8">
        <w:instrText xml:space="preserve"> REF  _Ref361906992 \h \r </w:instrText>
      </w:r>
      <w:r w:rsidR="000844E8">
        <w:fldChar w:fldCharType="separate"/>
      </w:r>
      <w:r w:rsidR="00D94AAA">
        <w:t>4.6</w:t>
      </w:r>
      <w:r w:rsidR="000844E8">
        <w:fldChar w:fldCharType="end"/>
      </w:r>
      <w:r w:rsidRPr="00BF1CBF">
        <w:t xml:space="preserve"> of Part B of the Guideline</w:t>
      </w:r>
      <w:r>
        <w:t xml:space="preserve">, as modified by table 6. </w:t>
      </w:r>
    </w:p>
    <w:p w:rsidR="007C72D1" w:rsidRDefault="007C72D1" w:rsidP="007C72D1">
      <w:r>
        <w:t xml:space="preserve">Note: </w:t>
      </w:r>
      <w:r w:rsidR="00B7604B" w:rsidRPr="00B7604B">
        <w:t>Operating a network in breach of the AER’s conditions will invalidate your exemption and could expose you to sizeable civil penalties.</w:t>
      </w:r>
      <w:r w:rsidR="004645CF">
        <w:rPr>
          <w:rStyle w:val="FootnoteReference"/>
        </w:rPr>
        <w:footnoteReference w:id="19"/>
      </w:r>
      <w:r>
        <w:t xml:space="preserve"> These requirements apply to the network owner, network operator and any party or agent of the owner or operator who has control of the private network.</w:t>
      </w:r>
    </w:p>
    <w:p w:rsidR="007C72D1" w:rsidRPr="00747F76" w:rsidRDefault="007C72D1" w:rsidP="007C72D1">
      <w:pPr>
        <w:pStyle w:val="Heading3"/>
        <w:numPr>
          <w:ilvl w:val="3"/>
          <w:numId w:val="9"/>
        </w:numPr>
        <w:jc w:val="both"/>
      </w:pPr>
      <w:bookmarkStart w:id="16" w:name="_Ref361909794"/>
      <w:r w:rsidRPr="00747F76">
        <w:t>Energy selling</w:t>
      </w:r>
      <w:bookmarkEnd w:id="16"/>
    </w:p>
    <w:p w:rsidR="007C72D1" w:rsidRDefault="007C72D1" w:rsidP="007C72D1">
      <w:pPr>
        <w:pStyle w:val="Caption"/>
      </w:pPr>
      <w:r w:rsidRPr="00C9334E">
        <w:t xml:space="preserve">Table </w:t>
      </w:r>
      <w:r w:rsidR="00022F02">
        <w:fldChar w:fldCharType="begin"/>
      </w:r>
      <w:r w:rsidR="00022F02">
        <w:instrText xml:space="preserve"> SEQ Table \* ARABIC </w:instrText>
      </w:r>
      <w:r w:rsidR="00022F02">
        <w:fldChar w:fldCharType="separate"/>
      </w:r>
      <w:r w:rsidR="00D94AAA">
        <w:rPr>
          <w:noProof/>
        </w:rPr>
        <w:t>1</w:t>
      </w:r>
      <w:r w:rsidR="00022F02">
        <w:rPr>
          <w:noProof/>
        </w:rPr>
        <w:fldChar w:fldCharType="end"/>
      </w:r>
      <w:r w:rsidRPr="00C9334E">
        <w:t xml:space="preserve"> – Deemed classes of exemption – energy selling</w:t>
      </w:r>
    </w:p>
    <w:tbl>
      <w:tblPr>
        <w:tblW w:w="0" w:type="auto"/>
        <w:tblBorders>
          <w:bottom w:val="single" w:sz="4" w:space="0" w:color="365F91"/>
        </w:tblBorders>
        <w:tblLook w:val="04A0" w:firstRow="1" w:lastRow="0" w:firstColumn="1" w:lastColumn="0" w:noHBand="0" w:noVBand="1"/>
      </w:tblPr>
      <w:tblGrid>
        <w:gridCol w:w="643"/>
        <w:gridCol w:w="4640"/>
        <w:gridCol w:w="3959"/>
      </w:tblGrid>
      <w:tr w:rsidR="007C72D1" w:rsidTr="00587288">
        <w:tc>
          <w:tcPr>
            <w:tcW w:w="0" w:type="auto"/>
            <w:shd w:val="clear" w:color="auto" w:fill="365F91"/>
            <w:vAlign w:val="center"/>
          </w:tcPr>
          <w:p w:rsidR="007C72D1" w:rsidRPr="00870F97" w:rsidRDefault="007C72D1" w:rsidP="00587288">
            <w:pPr>
              <w:pStyle w:val="AERtabletextleft"/>
              <w:rPr>
                <w:b/>
                <w:color w:val="FFFFFF"/>
                <w:lang w:eastAsia="en-AU"/>
              </w:rPr>
            </w:pPr>
            <w:r w:rsidRPr="00870F97">
              <w:rPr>
                <w:b/>
                <w:color w:val="FFFFFF"/>
                <w:lang w:eastAsia="en-AU"/>
              </w:rPr>
              <w:t>Class</w:t>
            </w:r>
          </w:p>
        </w:tc>
        <w:tc>
          <w:tcPr>
            <w:tcW w:w="0" w:type="auto"/>
            <w:shd w:val="clear" w:color="auto" w:fill="365F91"/>
            <w:vAlign w:val="center"/>
          </w:tcPr>
          <w:p w:rsidR="007C72D1" w:rsidRPr="00870F97" w:rsidRDefault="007C72D1" w:rsidP="00587288">
            <w:pPr>
              <w:pStyle w:val="AERtabletextleft"/>
              <w:rPr>
                <w:b/>
                <w:color w:val="FFFFFF"/>
                <w:lang w:eastAsia="en-AU"/>
              </w:rPr>
            </w:pPr>
            <w:r w:rsidRPr="00870F97">
              <w:rPr>
                <w:b/>
                <w:color w:val="FFFFFF"/>
                <w:lang w:eastAsia="en-AU"/>
              </w:rPr>
              <w:t>Activity</w:t>
            </w:r>
          </w:p>
        </w:tc>
        <w:tc>
          <w:tcPr>
            <w:tcW w:w="0" w:type="auto"/>
            <w:shd w:val="clear" w:color="auto" w:fill="365F91"/>
            <w:vAlign w:val="center"/>
          </w:tcPr>
          <w:p w:rsidR="007C72D1" w:rsidRPr="00870F97" w:rsidRDefault="007C72D1" w:rsidP="00587288">
            <w:pPr>
              <w:pStyle w:val="AERtabletextleft"/>
              <w:rPr>
                <w:b/>
                <w:color w:val="FFFFFF"/>
                <w:lang w:eastAsia="en-AU"/>
              </w:rPr>
            </w:pPr>
            <w:r>
              <w:rPr>
                <w:b/>
                <w:color w:val="FFFFFF"/>
                <w:lang w:eastAsia="en-AU"/>
              </w:rPr>
              <w:t xml:space="preserve">Deemed </w:t>
            </w:r>
            <w:r w:rsidRPr="00870F97">
              <w:rPr>
                <w:b/>
                <w:color w:val="FFFFFF"/>
                <w:lang w:eastAsia="en-AU"/>
              </w:rPr>
              <w:t>exemption</w:t>
            </w:r>
            <w:r>
              <w:rPr>
                <w:b/>
                <w:color w:val="FFFFFF"/>
                <w:lang w:eastAsia="en-AU"/>
              </w:rPr>
              <w:t xml:space="preserve"> applicable to:</w:t>
            </w:r>
          </w:p>
        </w:tc>
      </w:tr>
      <w:tr w:rsidR="007C72D1" w:rsidRPr="008D1F7A" w:rsidTr="00587288">
        <w:tc>
          <w:tcPr>
            <w:tcW w:w="0" w:type="auto"/>
            <w:vAlign w:val="center"/>
          </w:tcPr>
          <w:p w:rsidR="007C72D1" w:rsidRPr="00AB619E" w:rsidRDefault="007C72D1" w:rsidP="00587288">
            <w:pPr>
              <w:pStyle w:val="AERtabletextleft"/>
              <w:rPr>
                <w:rStyle w:val="AERbody"/>
                <w:sz w:val="16"/>
                <w:szCs w:val="16"/>
                <w:lang w:eastAsia="en-AU"/>
              </w:rPr>
            </w:pPr>
            <w:r w:rsidRPr="00AB619E">
              <w:rPr>
                <w:rStyle w:val="AERbody"/>
                <w:sz w:val="16"/>
                <w:szCs w:val="16"/>
                <w:lang w:eastAsia="en-AU"/>
              </w:rPr>
              <w:t>ND1</w:t>
            </w:r>
          </w:p>
        </w:tc>
        <w:tc>
          <w:tcPr>
            <w:tcW w:w="0" w:type="auto"/>
          </w:tcPr>
          <w:p w:rsidR="007C72D1" w:rsidRPr="00CC2505" w:rsidRDefault="007C72D1" w:rsidP="00587288">
            <w:pPr>
              <w:pStyle w:val="AERtabletextleft"/>
              <w:rPr>
                <w:rStyle w:val="AERbody"/>
                <w:sz w:val="16"/>
                <w:szCs w:val="16"/>
                <w:lang w:eastAsia="en-AU"/>
              </w:rPr>
            </w:pPr>
            <w:r w:rsidRPr="00CC2505">
              <w:rPr>
                <w:rStyle w:val="AERbody"/>
                <w:sz w:val="16"/>
                <w:szCs w:val="16"/>
                <w:lang w:eastAsia="en-AU"/>
              </w:rPr>
              <w:t xml:space="preserve">Persons selling metered energy to </w:t>
            </w:r>
            <w:r w:rsidRPr="00CC2505">
              <w:rPr>
                <w:rStyle w:val="AERtextbolditalics"/>
                <w:szCs w:val="16"/>
                <w:lang w:eastAsia="en-AU"/>
              </w:rPr>
              <w:t>fewer than ten</w:t>
            </w:r>
            <w:r w:rsidRPr="00CC2505">
              <w:rPr>
                <w:rStyle w:val="AERbody"/>
                <w:sz w:val="16"/>
                <w:szCs w:val="16"/>
                <w:lang w:eastAsia="en-AU"/>
              </w:rPr>
              <w:t xml:space="preserve"> small commercial/retail customers within the limits of a site that they own, occupy or operate.</w:t>
            </w:r>
          </w:p>
        </w:tc>
        <w:tc>
          <w:tcPr>
            <w:tcW w:w="0" w:type="auto"/>
          </w:tcPr>
          <w:p w:rsidR="007C72D1" w:rsidRPr="00CC2505" w:rsidRDefault="007C72D1" w:rsidP="00587288">
            <w:pPr>
              <w:pStyle w:val="AERtabletextleft"/>
              <w:rPr>
                <w:rStyle w:val="AERtextbold"/>
                <w:b w:val="0"/>
                <w:szCs w:val="16"/>
                <w:lang w:eastAsia="en-AU"/>
              </w:rPr>
            </w:pPr>
            <w:r w:rsidRPr="00CC2505">
              <w:rPr>
                <w:rStyle w:val="AERbody"/>
                <w:sz w:val="16"/>
                <w:szCs w:val="16"/>
                <w:lang w:eastAsia="en-AU"/>
              </w:rPr>
              <w:t>Current and future sellers.</w:t>
            </w:r>
          </w:p>
        </w:tc>
      </w:tr>
      <w:tr w:rsidR="007C72D1" w:rsidTr="00587288">
        <w:tc>
          <w:tcPr>
            <w:tcW w:w="0" w:type="auto"/>
            <w:shd w:val="clear" w:color="auto" w:fill="DBE5F1"/>
            <w:vAlign w:val="center"/>
          </w:tcPr>
          <w:p w:rsidR="007C72D1" w:rsidRPr="00AB619E" w:rsidRDefault="007C72D1" w:rsidP="00587288">
            <w:pPr>
              <w:pStyle w:val="AERtabletextleft"/>
              <w:rPr>
                <w:rStyle w:val="AERbody"/>
                <w:sz w:val="16"/>
                <w:szCs w:val="16"/>
                <w:lang w:eastAsia="en-AU"/>
              </w:rPr>
            </w:pPr>
            <w:r w:rsidRPr="00AB619E">
              <w:rPr>
                <w:rStyle w:val="AERbody"/>
                <w:sz w:val="16"/>
                <w:szCs w:val="16"/>
                <w:lang w:eastAsia="en-AU"/>
              </w:rPr>
              <w:t>ND2</w:t>
            </w:r>
          </w:p>
        </w:tc>
        <w:tc>
          <w:tcPr>
            <w:tcW w:w="0" w:type="auto"/>
            <w:shd w:val="clear" w:color="auto" w:fill="DBE5F1"/>
          </w:tcPr>
          <w:p w:rsidR="007C72D1" w:rsidRPr="00801585" w:rsidRDefault="007C72D1" w:rsidP="00587288">
            <w:pPr>
              <w:pStyle w:val="AERtabletextleft"/>
              <w:rPr>
                <w:rStyle w:val="AERbody"/>
                <w:sz w:val="16"/>
                <w:szCs w:val="16"/>
                <w:lang w:eastAsia="en-AU"/>
              </w:rPr>
            </w:pPr>
            <w:r w:rsidRPr="00801585">
              <w:rPr>
                <w:rStyle w:val="AERbody"/>
                <w:sz w:val="16"/>
                <w:szCs w:val="16"/>
                <w:lang w:eastAsia="en-AU"/>
              </w:rPr>
              <w:t xml:space="preserve">Persons selling metered energy to </w:t>
            </w:r>
            <w:r w:rsidRPr="00801585">
              <w:rPr>
                <w:rStyle w:val="AERtextbolditalics"/>
                <w:szCs w:val="16"/>
                <w:lang w:eastAsia="en-AU"/>
              </w:rPr>
              <w:t>fewer than ten</w:t>
            </w:r>
            <w:r w:rsidRPr="00801585">
              <w:rPr>
                <w:rStyle w:val="AERbody"/>
                <w:sz w:val="16"/>
                <w:szCs w:val="16"/>
                <w:lang w:eastAsia="en-AU"/>
              </w:rPr>
              <w:t xml:space="preserve"> residential customers within the limits of a site that they own, occupy or operate.</w:t>
            </w:r>
          </w:p>
        </w:tc>
        <w:tc>
          <w:tcPr>
            <w:tcW w:w="0" w:type="auto"/>
            <w:shd w:val="clear" w:color="auto" w:fill="DBE5F1"/>
          </w:tcPr>
          <w:p w:rsidR="007C72D1" w:rsidRPr="008D1F7A" w:rsidRDefault="007C72D1" w:rsidP="00587288">
            <w:pPr>
              <w:pStyle w:val="AERtabletextleft"/>
              <w:rPr>
                <w:lang w:eastAsia="en-AU"/>
              </w:rPr>
            </w:pPr>
            <w:r w:rsidRPr="008D1F7A">
              <w:rPr>
                <w:lang w:eastAsia="en-AU"/>
              </w:rPr>
              <w:t>Current sellers and sellers who commence operation prior to 1 January 2015</w:t>
            </w:r>
            <w:r>
              <w:rPr>
                <w:lang w:eastAsia="en-AU"/>
              </w:rPr>
              <w:t xml:space="preserve"> and from 1 January 2015 holders of a retail exemption.</w:t>
            </w:r>
          </w:p>
        </w:tc>
      </w:tr>
      <w:tr w:rsidR="007C72D1" w:rsidTr="00587288">
        <w:tc>
          <w:tcPr>
            <w:tcW w:w="0" w:type="auto"/>
            <w:tcBorders>
              <w:bottom w:val="nil"/>
            </w:tcBorders>
            <w:vAlign w:val="center"/>
          </w:tcPr>
          <w:p w:rsidR="007C72D1" w:rsidRPr="00AB619E" w:rsidRDefault="007C72D1" w:rsidP="00587288">
            <w:pPr>
              <w:pStyle w:val="AERtabletextleft"/>
              <w:rPr>
                <w:rStyle w:val="AERbody"/>
                <w:sz w:val="16"/>
                <w:szCs w:val="16"/>
                <w:lang w:eastAsia="en-AU"/>
              </w:rPr>
            </w:pPr>
            <w:r w:rsidRPr="00AB619E">
              <w:rPr>
                <w:rStyle w:val="AERbody"/>
                <w:sz w:val="16"/>
                <w:szCs w:val="16"/>
                <w:lang w:eastAsia="en-AU"/>
              </w:rPr>
              <w:t>ND3</w:t>
            </w:r>
          </w:p>
        </w:tc>
        <w:tc>
          <w:tcPr>
            <w:tcW w:w="0" w:type="auto"/>
            <w:tcBorders>
              <w:bottom w:val="nil"/>
            </w:tcBorders>
          </w:tcPr>
          <w:p w:rsidR="007C72D1" w:rsidRPr="008D1F7A" w:rsidRDefault="007C72D1" w:rsidP="00587288">
            <w:pPr>
              <w:pStyle w:val="AERtabletextleft"/>
              <w:rPr>
                <w:lang w:eastAsia="en-AU"/>
              </w:rPr>
            </w:pPr>
            <w:r w:rsidRPr="008D1F7A">
              <w:rPr>
                <w:lang w:eastAsia="en-AU"/>
              </w:rPr>
              <w:t>Persons selling metered energy to occupants of holiday accommodation on a short-term basis.</w:t>
            </w:r>
          </w:p>
        </w:tc>
        <w:tc>
          <w:tcPr>
            <w:tcW w:w="0" w:type="auto"/>
            <w:tcBorders>
              <w:bottom w:val="nil"/>
            </w:tcBorders>
          </w:tcPr>
          <w:p w:rsidR="007C72D1" w:rsidRPr="008D1F7A" w:rsidRDefault="007C72D1" w:rsidP="00587288">
            <w:pPr>
              <w:pStyle w:val="AERtabletextleft"/>
              <w:rPr>
                <w:lang w:eastAsia="en-AU"/>
              </w:rPr>
            </w:pPr>
            <w:r w:rsidRPr="008D1F7A">
              <w:rPr>
                <w:lang w:eastAsia="en-AU"/>
              </w:rPr>
              <w:t>Current sellers and sellers who commence operation prior to 1 January 2015</w:t>
            </w:r>
            <w:r>
              <w:rPr>
                <w:lang w:eastAsia="en-AU"/>
              </w:rPr>
              <w:t xml:space="preserve"> and from 1 January 2015 holders of a retail exemption.</w:t>
            </w:r>
          </w:p>
        </w:tc>
      </w:tr>
      <w:tr w:rsidR="007C72D1" w:rsidTr="00587288">
        <w:tc>
          <w:tcPr>
            <w:tcW w:w="0" w:type="auto"/>
            <w:tcBorders>
              <w:bottom w:val="nil"/>
            </w:tcBorders>
            <w:shd w:val="clear" w:color="auto" w:fill="D9D9D9"/>
            <w:vAlign w:val="center"/>
          </w:tcPr>
          <w:p w:rsidR="007C72D1" w:rsidRPr="00AB619E" w:rsidRDefault="007C72D1" w:rsidP="00587288">
            <w:pPr>
              <w:pStyle w:val="AERtabletextleft"/>
              <w:rPr>
                <w:rStyle w:val="AERbody"/>
                <w:sz w:val="16"/>
                <w:szCs w:val="16"/>
                <w:lang w:eastAsia="en-AU"/>
              </w:rPr>
            </w:pPr>
            <w:r w:rsidRPr="00AB619E">
              <w:rPr>
                <w:rStyle w:val="AERbody"/>
                <w:sz w:val="16"/>
                <w:szCs w:val="16"/>
                <w:lang w:eastAsia="en-AU"/>
              </w:rPr>
              <w:t>ND4</w:t>
            </w:r>
          </w:p>
        </w:tc>
        <w:tc>
          <w:tcPr>
            <w:tcW w:w="0" w:type="auto"/>
            <w:tcBorders>
              <w:bottom w:val="nil"/>
            </w:tcBorders>
            <w:shd w:val="clear" w:color="auto" w:fill="D9D9D9"/>
          </w:tcPr>
          <w:p w:rsidR="007C72D1" w:rsidRPr="002A3FC5" w:rsidRDefault="007C72D1" w:rsidP="00587288">
            <w:pPr>
              <w:pStyle w:val="AERtabletextleft"/>
              <w:rPr>
                <w:rStyle w:val="AERtextbold"/>
                <w:lang w:eastAsia="en-AU"/>
              </w:rPr>
            </w:pPr>
            <w:r w:rsidRPr="002A3FC5">
              <w:rPr>
                <w:rStyle w:val="AERtextbold"/>
                <w:lang w:eastAsia="en-AU"/>
              </w:rPr>
              <w:t>DELETED</w:t>
            </w:r>
          </w:p>
        </w:tc>
        <w:tc>
          <w:tcPr>
            <w:tcW w:w="0" w:type="auto"/>
            <w:tcBorders>
              <w:bottom w:val="nil"/>
            </w:tcBorders>
            <w:shd w:val="clear" w:color="auto" w:fill="D9D9D9"/>
          </w:tcPr>
          <w:p w:rsidR="007C72D1" w:rsidRPr="002A3FC5" w:rsidRDefault="007C72D1" w:rsidP="00587288">
            <w:pPr>
              <w:pStyle w:val="AERtabletextleft"/>
              <w:rPr>
                <w:rStyle w:val="AERtextbold"/>
                <w:lang w:eastAsia="en-AU"/>
              </w:rPr>
            </w:pPr>
            <w:r w:rsidRPr="002A3FC5">
              <w:rPr>
                <w:rStyle w:val="AERtextbold"/>
                <w:lang w:eastAsia="en-AU"/>
              </w:rPr>
              <w:t>DELETED</w:t>
            </w:r>
          </w:p>
        </w:tc>
      </w:tr>
      <w:tr w:rsidR="007C72D1" w:rsidTr="00587288">
        <w:tc>
          <w:tcPr>
            <w:tcW w:w="0" w:type="auto"/>
            <w:tcBorders>
              <w:top w:val="nil"/>
            </w:tcBorders>
            <w:vAlign w:val="center"/>
          </w:tcPr>
          <w:p w:rsidR="007C72D1" w:rsidRPr="00AB619E" w:rsidRDefault="007C72D1" w:rsidP="00587288">
            <w:pPr>
              <w:pStyle w:val="AERtabletextleft"/>
              <w:rPr>
                <w:rStyle w:val="AERbody"/>
                <w:sz w:val="16"/>
                <w:szCs w:val="16"/>
                <w:lang w:eastAsia="en-AU"/>
              </w:rPr>
            </w:pPr>
            <w:r w:rsidRPr="00AB619E">
              <w:rPr>
                <w:rStyle w:val="AERbody"/>
                <w:sz w:val="16"/>
                <w:szCs w:val="16"/>
                <w:lang w:eastAsia="en-AU"/>
              </w:rPr>
              <w:t>ND5</w:t>
            </w:r>
          </w:p>
        </w:tc>
        <w:tc>
          <w:tcPr>
            <w:tcW w:w="0" w:type="auto"/>
            <w:tcBorders>
              <w:top w:val="nil"/>
            </w:tcBorders>
          </w:tcPr>
          <w:p w:rsidR="007C72D1" w:rsidRPr="002A3FC5" w:rsidRDefault="007C72D1" w:rsidP="00587288">
            <w:pPr>
              <w:pStyle w:val="AERtabletextleft"/>
              <w:rPr>
                <w:lang w:eastAsia="en-AU"/>
              </w:rPr>
            </w:pPr>
            <w:r>
              <w:rPr>
                <w:lang w:eastAsia="en-AU"/>
              </w:rPr>
              <w:t>Unmetered supply via plug-in or rack mounted equipment in any premises.</w:t>
            </w:r>
          </w:p>
        </w:tc>
        <w:tc>
          <w:tcPr>
            <w:tcW w:w="0" w:type="auto"/>
            <w:tcBorders>
              <w:top w:val="nil"/>
            </w:tcBorders>
          </w:tcPr>
          <w:p w:rsidR="007C72D1" w:rsidRPr="008D1F7A" w:rsidRDefault="007C72D1" w:rsidP="00587288">
            <w:pPr>
              <w:pStyle w:val="AERtabletextleft"/>
              <w:rPr>
                <w:lang w:eastAsia="en-AU"/>
              </w:rPr>
            </w:pPr>
            <w:r>
              <w:rPr>
                <w:lang w:eastAsia="en-AU"/>
              </w:rPr>
              <w:t>All situations.</w:t>
            </w:r>
          </w:p>
        </w:tc>
      </w:tr>
      <w:tr w:rsidR="007C72D1" w:rsidTr="00587288">
        <w:tc>
          <w:tcPr>
            <w:tcW w:w="0" w:type="auto"/>
            <w:tcBorders>
              <w:bottom w:val="nil"/>
            </w:tcBorders>
            <w:shd w:val="clear" w:color="auto" w:fill="DBE5F1"/>
            <w:vAlign w:val="center"/>
          </w:tcPr>
          <w:p w:rsidR="007C72D1" w:rsidRPr="00AB619E" w:rsidRDefault="007C72D1" w:rsidP="00587288">
            <w:pPr>
              <w:pStyle w:val="AERtabletextleft"/>
              <w:rPr>
                <w:rStyle w:val="AERbody"/>
                <w:sz w:val="16"/>
                <w:szCs w:val="16"/>
                <w:lang w:eastAsia="en-AU"/>
              </w:rPr>
            </w:pPr>
            <w:r w:rsidRPr="00AB619E">
              <w:rPr>
                <w:rStyle w:val="AERbody"/>
                <w:sz w:val="16"/>
                <w:szCs w:val="16"/>
                <w:lang w:eastAsia="en-AU"/>
              </w:rPr>
              <w:t>ND6</w:t>
            </w:r>
          </w:p>
        </w:tc>
        <w:tc>
          <w:tcPr>
            <w:tcW w:w="0" w:type="auto"/>
            <w:tcBorders>
              <w:bottom w:val="nil"/>
            </w:tcBorders>
            <w:shd w:val="clear" w:color="auto" w:fill="DBE5F1"/>
          </w:tcPr>
          <w:p w:rsidR="007C72D1" w:rsidRPr="002A3FC5" w:rsidRDefault="007C72D1" w:rsidP="00587288">
            <w:pPr>
              <w:pStyle w:val="AERtabletextleft"/>
              <w:rPr>
                <w:lang w:eastAsia="en-AU"/>
              </w:rPr>
            </w:pPr>
            <w:r w:rsidRPr="002A3FC5">
              <w:rPr>
                <w:lang w:eastAsia="en-AU"/>
              </w:rPr>
              <w:t>Persons selling unmetered electricity to small customers in Queensland.</w:t>
            </w:r>
          </w:p>
        </w:tc>
        <w:tc>
          <w:tcPr>
            <w:tcW w:w="0" w:type="auto"/>
            <w:tcBorders>
              <w:bottom w:val="nil"/>
            </w:tcBorders>
            <w:shd w:val="clear" w:color="auto" w:fill="DBE5F1"/>
          </w:tcPr>
          <w:p w:rsidR="007C72D1" w:rsidRPr="008D1F7A" w:rsidRDefault="007C72D1" w:rsidP="00587288">
            <w:pPr>
              <w:pStyle w:val="AERtabletextleft"/>
              <w:rPr>
                <w:lang w:eastAsia="en-AU"/>
              </w:rPr>
            </w:pPr>
            <w:r w:rsidRPr="008D1F7A">
              <w:rPr>
                <w:lang w:eastAsia="en-AU"/>
              </w:rPr>
              <w:t>Current sellers and sellers who commence operation prior to 1 January 2015</w:t>
            </w:r>
            <w:r>
              <w:rPr>
                <w:lang w:eastAsia="en-AU"/>
              </w:rPr>
              <w:t xml:space="preserve"> and from 1 January 2015 holders of a retail exemption.</w:t>
            </w:r>
          </w:p>
        </w:tc>
      </w:tr>
      <w:tr w:rsidR="007C72D1" w:rsidTr="00587288">
        <w:tc>
          <w:tcPr>
            <w:tcW w:w="0" w:type="auto"/>
            <w:tcBorders>
              <w:bottom w:val="nil"/>
            </w:tcBorders>
            <w:shd w:val="clear" w:color="auto" w:fill="D9D9D9"/>
            <w:vAlign w:val="center"/>
          </w:tcPr>
          <w:p w:rsidR="007C72D1" w:rsidRPr="00AB619E" w:rsidRDefault="007C72D1" w:rsidP="00587288">
            <w:pPr>
              <w:pStyle w:val="AERtabletextleft"/>
              <w:rPr>
                <w:rStyle w:val="AERbody"/>
                <w:sz w:val="16"/>
                <w:szCs w:val="16"/>
                <w:lang w:eastAsia="en-AU"/>
              </w:rPr>
            </w:pPr>
            <w:r w:rsidRPr="00AB619E">
              <w:rPr>
                <w:rStyle w:val="AERbody"/>
                <w:sz w:val="16"/>
                <w:szCs w:val="16"/>
                <w:lang w:eastAsia="en-AU"/>
              </w:rPr>
              <w:t>ND7</w:t>
            </w:r>
          </w:p>
        </w:tc>
        <w:tc>
          <w:tcPr>
            <w:tcW w:w="0" w:type="auto"/>
            <w:tcBorders>
              <w:bottom w:val="nil"/>
            </w:tcBorders>
            <w:shd w:val="clear" w:color="auto" w:fill="D9D9D9"/>
          </w:tcPr>
          <w:p w:rsidR="007C72D1" w:rsidRPr="002A3FC5" w:rsidRDefault="007C72D1" w:rsidP="00587288">
            <w:pPr>
              <w:pStyle w:val="AERtabletextleft"/>
              <w:rPr>
                <w:rStyle w:val="AERtextbold"/>
                <w:lang w:eastAsia="en-AU"/>
              </w:rPr>
            </w:pPr>
            <w:r w:rsidRPr="002A3FC5">
              <w:rPr>
                <w:rStyle w:val="AERtextbold"/>
                <w:lang w:eastAsia="en-AU"/>
              </w:rPr>
              <w:t>DELETED</w:t>
            </w:r>
          </w:p>
        </w:tc>
        <w:tc>
          <w:tcPr>
            <w:tcW w:w="0" w:type="auto"/>
            <w:tcBorders>
              <w:bottom w:val="nil"/>
            </w:tcBorders>
            <w:shd w:val="clear" w:color="auto" w:fill="D9D9D9"/>
          </w:tcPr>
          <w:p w:rsidR="007C72D1" w:rsidRPr="002A3FC5" w:rsidRDefault="007C72D1" w:rsidP="00587288">
            <w:pPr>
              <w:pStyle w:val="AERtabletextleft"/>
              <w:rPr>
                <w:rStyle w:val="AERtextbold"/>
                <w:lang w:eastAsia="en-AU"/>
              </w:rPr>
            </w:pPr>
            <w:r w:rsidRPr="002A3FC5">
              <w:rPr>
                <w:rStyle w:val="AERtextbold"/>
                <w:lang w:eastAsia="en-AU"/>
              </w:rPr>
              <w:t>DELETED</w:t>
            </w:r>
          </w:p>
        </w:tc>
      </w:tr>
      <w:tr w:rsidR="007C72D1" w:rsidTr="00587288">
        <w:tc>
          <w:tcPr>
            <w:tcW w:w="0" w:type="auto"/>
            <w:tcBorders>
              <w:top w:val="nil"/>
            </w:tcBorders>
            <w:shd w:val="clear" w:color="auto" w:fill="DBE5F1"/>
            <w:vAlign w:val="center"/>
          </w:tcPr>
          <w:p w:rsidR="007C72D1" w:rsidRPr="00AB619E" w:rsidRDefault="007C72D1" w:rsidP="00587288">
            <w:pPr>
              <w:pStyle w:val="AERtabletextleft"/>
              <w:rPr>
                <w:rStyle w:val="AERbody"/>
                <w:sz w:val="16"/>
                <w:szCs w:val="16"/>
                <w:lang w:eastAsia="en-AU"/>
              </w:rPr>
            </w:pPr>
            <w:r w:rsidRPr="00AB619E">
              <w:rPr>
                <w:rStyle w:val="AERbody"/>
                <w:sz w:val="16"/>
                <w:szCs w:val="16"/>
                <w:lang w:eastAsia="en-AU"/>
              </w:rPr>
              <w:t>ND8</w:t>
            </w:r>
          </w:p>
        </w:tc>
        <w:tc>
          <w:tcPr>
            <w:tcW w:w="0" w:type="auto"/>
            <w:tcBorders>
              <w:top w:val="nil"/>
            </w:tcBorders>
            <w:shd w:val="clear" w:color="auto" w:fill="DBE5F1"/>
          </w:tcPr>
          <w:p w:rsidR="007C72D1" w:rsidRPr="002A3FC5" w:rsidRDefault="007C72D1" w:rsidP="00587288">
            <w:pPr>
              <w:pStyle w:val="AERtabletextleft"/>
              <w:rPr>
                <w:lang w:eastAsia="en-AU"/>
              </w:rPr>
            </w:pPr>
            <w:r w:rsidRPr="002A3FC5">
              <w:rPr>
                <w:lang w:eastAsia="en-AU"/>
              </w:rPr>
              <w:t>Persons selling energy to a related company.</w:t>
            </w:r>
          </w:p>
        </w:tc>
        <w:tc>
          <w:tcPr>
            <w:tcW w:w="0" w:type="auto"/>
            <w:tcBorders>
              <w:top w:val="nil"/>
            </w:tcBorders>
            <w:shd w:val="clear" w:color="auto" w:fill="DBE5F1"/>
          </w:tcPr>
          <w:p w:rsidR="007C72D1" w:rsidRPr="008D1F7A" w:rsidRDefault="007C72D1" w:rsidP="00587288">
            <w:pPr>
              <w:pStyle w:val="AERtabletextleft"/>
              <w:rPr>
                <w:lang w:eastAsia="en-AU"/>
              </w:rPr>
            </w:pPr>
            <w:r w:rsidRPr="008D1F7A">
              <w:rPr>
                <w:lang w:eastAsia="en-AU"/>
              </w:rPr>
              <w:t>Current and future sellers</w:t>
            </w:r>
            <w:r>
              <w:rPr>
                <w:lang w:eastAsia="en-AU"/>
              </w:rPr>
              <w:t>.</w:t>
            </w:r>
          </w:p>
        </w:tc>
      </w:tr>
      <w:tr w:rsidR="007C72D1" w:rsidTr="00587288">
        <w:tc>
          <w:tcPr>
            <w:tcW w:w="0" w:type="auto"/>
            <w:vAlign w:val="center"/>
          </w:tcPr>
          <w:p w:rsidR="007C72D1" w:rsidRPr="00AB619E" w:rsidRDefault="007C72D1" w:rsidP="00587288">
            <w:pPr>
              <w:pStyle w:val="AERtabletextleft"/>
              <w:rPr>
                <w:rStyle w:val="AERbody"/>
                <w:sz w:val="16"/>
                <w:szCs w:val="16"/>
                <w:lang w:eastAsia="en-AU"/>
              </w:rPr>
            </w:pPr>
            <w:r w:rsidRPr="00AB619E">
              <w:rPr>
                <w:rStyle w:val="AERbody"/>
                <w:sz w:val="16"/>
                <w:szCs w:val="16"/>
                <w:lang w:eastAsia="en-AU"/>
              </w:rPr>
              <w:t>ND9</w:t>
            </w:r>
          </w:p>
        </w:tc>
        <w:tc>
          <w:tcPr>
            <w:tcW w:w="0" w:type="auto"/>
          </w:tcPr>
          <w:p w:rsidR="007C72D1" w:rsidRPr="002A3FC5" w:rsidRDefault="007C72D1" w:rsidP="00587288">
            <w:pPr>
              <w:pStyle w:val="AERtabletextleft"/>
              <w:rPr>
                <w:lang w:eastAsia="en-AU"/>
              </w:rPr>
            </w:pPr>
            <w:r w:rsidRPr="002A3FC5">
              <w:rPr>
                <w:lang w:eastAsia="en-AU"/>
              </w:rPr>
              <w:t>Persons selling energy to customers in conjunction with, or ancillary to, the provision of telecommunications information services.</w:t>
            </w:r>
          </w:p>
        </w:tc>
        <w:tc>
          <w:tcPr>
            <w:tcW w:w="0" w:type="auto"/>
          </w:tcPr>
          <w:p w:rsidR="007C72D1" w:rsidRPr="002A3FC5" w:rsidRDefault="007C72D1" w:rsidP="00587288">
            <w:pPr>
              <w:pStyle w:val="AERtabletextleft"/>
              <w:rPr>
                <w:lang w:eastAsia="en-AU"/>
              </w:rPr>
            </w:pPr>
            <w:r w:rsidRPr="002A3FC5">
              <w:rPr>
                <w:lang w:eastAsia="en-AU"/>
              </w:rPr>
              <w:t>Current and future sellers.</w:t>
            </w:r>
          </w:p>
        </w:tc>
      </w:tr>
      <w:tr w:rsidR="007C72D1" w:rsidTr="00587288">
        <w:tc>
          <w:tcPr>
            <w:tcW w:w="0" w:type="auto"/>
            <w:shd w:val="clear" w:color="auto" w:fill="DBE5F1"/>
            <w:vAlign w:val="center"/>
          </w:tcPr>
          <w:p w:rsidR="007C72D1" w:rsidRPr="00AB619E" w:rsidRDefault="007C72D1" w:rsidP="00587288">
            <w:pPr>
              <w:pStyle w:val="AERtabletextleft"/>
              <w:rPr>
                <w:rStyle w:val="AERbody"/>
                <w:sz w:val="16"/>
                <w:szCs w:val="16"/>
                <w:lang w:eastAsia="en-AU"/>
              </w:rPr>
            </w:pPr>
            <w:r w:rsidRPr="00AB619E">
              <w:rPr>
                <w:rStyle w:val="AERbody"/>
                <w:sz w:val="16"/>
                <w:szCs w:val="16"/>
                <w:lang w:eastAsia="en-AU"/>
              </w:rPr>
              <w:t>ND10</w:t>
            </w:r>
          </w:p>
        </w:tc>
        <w:tc>
          <w:tcPr>
            <w:tcW w:w="0" w:type="auto"/>
            <w:shd w:val="clear" w:color="auto" w:fill="DBE5F1"/>
          </w:tcPr>
          <w:p w:rsidR="007C72D1" w:rsidRPr="002A3FC5" w:rsidRDefault="007C72D1" w:rsidP="00587288">
            <w:pPr>
              <w:pStyle w:val="AERtabletextleft"/>
              <w:rPr>
                <w:lang w:eastAsia="en-AU"/>
              </w:rPr>
            </w:pPr>
            <w:r w:rsidRPr="002A3FC5">
              <w:rPr>
                <w:lang w:eastAsia="en-AU"/>
              </w:rPr>
              <w:t>Government agencies, other than housing authorities, selling metered energy to non-residential customers.</w:t>
            </w:r>
          </w:p>
        </w:tc>
        <w:tc>
          <w:tcPr>
            <w:tcW w:w="0" w:type="auto"/>
            <w:shd w:val="clear" w:color="auto" w:fill="DBE5F1"/>
          </w:tcPr>
          <w:p w:rsidR="007C72D1" w:rsidRPr="002A3FC5" w:rsidRDefault="007C72D1" w:rsidP="00587288">
            <w:pPr>
              <w:pStyle w:val="AERtabletextleft"/>
              <w:rPr>
                <w:lang w:eastAsia="en-AU"/>
              </w:rPr>
            </w:pPr>
            <w:r w:rsidRPr="002A3FC5">
              <w:rPr>
                <w:lang w:eastAsia="en-AU"/>
              </w:rPr>
              <w:t>Current and future sellers.</w:t>
            </w:r>
          </w:p>
        </w:tc>
      </w:tr>
    </w:tbl>
    <w:p w:rsidR="007C72D1" w:rsidRPr="00747F76" w:rsidRDefault="007C72D1" w:rsidP="007C72D1">
      <w:pPr>
        <w:pStyle w:val="AERtablesource"/>
      </w:pPr>
      <w:r>
        <w:t>Notes:</w:t>
      </w:r>
      <w:r>
        <w:tab/>
        <w:t>Classes of e</w:t>
      </w:r>
      <w:r w:rsidRPr="00747F76">
        <w:t>xemption labelled ‘ND_’ are ‘network deemed’ classes. Classes ND1 through ND</w:t>
      </w:r>
      <w:r>
        <w:t>10</w:t>
      </w:r>
      <w:r w:rsidRPr="00747F76">
        <w:t xml:space="preserve"> </w:t>
      </w:r>
      <w:r w:rsidR="007A290F">
        <w:t xml:space="preserve">(but not ND5) </w:t>
      </w:r>
      <w:r w:rsidRPr="00747F76">
        <w:t xml:space="preserve">are aligned to the Exempt Selling Guideline. The activity description and application criteria in this table are indicative only. Applicants should refer to the </w:t>
      </w:r>
      <w:r w:rsidR="007A290F">
        <w:t xml:space="preserve">Retail </w:t>
      </w:r>
      <w:r w:rsidRPr="00747F76">
        <w:t>Exempt Selling Guideline to determine eligibility for a deemed exemption.</w:t>
      </w:r>
    </w:p>
    <w:p w:rsidR="007C72D1" w:rsidRDefault="007C72D1" w:rsidP="007C72D1">
      <w:r>
        <w:t>Note</w:t>
      </w:r>
      <w:r w:rsidR="00464DE6">
        <w:t>: W</w:t>
      </w:r>
      <w:r>
        <w:t>here the customers within a private network in New South Wales, South Australia or Victoria seek access to full retail competition the exemption will be registrable, not deemed. The applicable class of exemption is table 4, class NRO5.</w:t>
      </w:r>
    </w:p>
    <w:p w:rsidR="007C72D1" w:rsidRPr="00747F76" w:rsidRDefault="007C72D1" w:rsidP="007C72D1">
      <w:pPr>
        <w:pStyle w:val="Heading3"/>
        <w:numPr>
          <w:ilvl w:val="3"/>
          <w:numId w:val="9"/>
        </w:numPr>
        <w:jc w:val="both"/>
      </w:pPr>
      <w:r>
        <w:br w:type="page"/>
      </w:r>
      <w:r w:rsidRPr="00747F76">
        <w:lastRenderedPageBreak/>
        <w:t>Network specific situations</w:t>
      </w:r>
    </w:p>
    <w:p w:rsidR="007C72D1" w:rsidRDefault="007C72D1" w:rsidP="007C72D1">
      <w:pPr>
        <w:pStyle w:val="AERbodytext"/>
        <w:spacing w:before="0" w:after="240"/>
        <w:rPr>
          <w:rStyle w:val="AERbody"/>
        </w:rPr>
      </w:pPr>
      <w:r>
        <w:rPr>
          <w:rStyle w:val="AERbody"/>
        </w:rPr>
        <w:t>The conditions specified in</w:t>
      </w:r>
      <w:r w:rsidRPr="00457350">
        <w:rPr>
          <w:rStyle w:val="AERbody"/>
        </w:rPr>
        <w:t xml:space="preserve"> Part B of the Guideline</w:t>
      </w:r>
      <w:r w:rsidRPr="00457350" w:rsidDel="008314B9">
        <w:rPr>
          <w:rStyle w:val="AERbody"/>
        </w:rPr>
        <w:t xml:space="preserve"> </w:t>
      </w:r>
      <w:r w:rsidRPr="00457350">
        <w:rPr>
          <w:rStyle w:val="AERbody"/>
        </w:rPr>
        <w:t xml:space="preserve">apply to </w:t>
      </w:r>
      <w:r>
        <w:rPr>
          <w:rStyle w:val="AERbody"/>
        </w:rPr>
        <w:t xml:space="preserve">all </w:t>
      </w:r>
      <w:r w:rsidRPr="00457350">
        <w:rPr>
          <w:rStyle w:val="AERbody"/>
        </w:rPr>
        <w:t xml:space="preserve">deemed </w:t>
      </w:r>
      <w:r>
        <w:rPr>
          <w:rStyle w:val="AERbody"/>
        </w:rPr>
        <w:t xml:space="preserve">network specific </w:t>
      </w:r>
      <w:r w:rsidRPr="00457350">
        <w:rPr>
          <w:rStyle w:val="AERbody"/>
        </w:rPr>
        <w:t>exemption classes</w:t>
      </w:r>
      <w:r>
        <w:rPr>
          <w:rStyle w:val="AERbody"/>
        </w:rPr>
        <w:t>. The relevant conditions correspond to this table, as further modified by table 7.</w:t>
      </w:r>
    </w:p>
    <w:p w:rsidR="007C72D1" w:rsidRPr="00C9334E" w:rsidRDefault="007C72D1" w:rsidP="007C72D1">
      <w:pPr>
        <w:pStyle w:val="Caption"/>
      </w:pPr>
      <w:r w:rsidRPr="00C9334E">
        <w:t>Table 2 – Deemed classes of exemption – other situations</w:t>
      </w:r>
    </w:p>
    <w:tbl>
      <w:tblPr>
        <w:tblW w:w="9020" w:type="dxa"/>
        <w:tblBorders>
          <w:bottom w:val="single" w:sz="4" w:space="0" w:color="365F91"/>
        </w:tblBorders>
        <w:tblLook w:val="04A0" w:firstRow="1" w:lastRow="0" w:firstColumn="1" w:lastColumn="0" w:noHBand="0" w:noVBand="1"/>
      </w:tblPr>
      <w:tblGrid>
        <w:gridCol w:w="772"/>
        <w:gridCol w:w="4074"/>
        <w:gridCol w:w="82"/>
        <w:gridCol w:w="2380"/>
        <w:gridCol w:w="1712"/>
      </w:tblGrid>
      <w:tr w:rsidR="007C72D1" w:rsidTr="00587288">
        <w:tc>
          <w:tcPr>
            <w:tcW w:w="0" w:type="auto"/>
            <w:shd w:val="clear" w:color="auto" w:fill="365F91"/>
            <w:vAlign w:val="center"/>
          </w:tcPr>
          <w:p w:rsidR="007C72D1" w:rsidRPr="00870F97" w:rsidRDefault="007C72D1" w:rsidP="00587288">
            <w:pPr>
              <w:pStyle w:val="AERtabletextleft"/>
              <w:rPr>
                <w:b/>
                <w:color w:val="FFFFFF"/>
                <w:lang w:eastAsia="en-AU"/>
              </w:rPr>
            </w:pPr>
            <w:r w:rsidRPr="00870F97">
              <w:rPr>
                <w:b/>
                <w:color w:val="FFFFFF"/>
                <w:lang w:eastAsia="en-AU"/>
              </w:rPr>
              <w:t>Class</w:t>
            </w:r>
          </w:p>
        </w:tc>
        <w:tc>
          <w:tcPr>
            <w:tcW w:w="4074" w:type="dxa"/>
            <w:shd w:val="clear" w:color="auto" w:fill="365F91"/>
            <w:vAlign w:val="center"/>
          </w:tcPr>
          <w:p w:rsidR="007C72D1" w:rsidRPr="00870F97" w:rsidRDefault="007C72D1" w:rsidP="00587288">
            <w:pPr>
              <w:pStyle w:val="AERtabletextleft"/>
              <w:rPr>
                <w:b/>
                <w:color w:val="FFFFFF"/>
                <w:lang w:eastAsia="en-AU"/>
              </w:rPr>
            </w:pPr>
            <w:r w:rsidRPr="00870F97">
              <w:rPr>
                <w:b/>
                <w:color w:val="FFFFFF"/>
                <w:lang w:eastAsia="en-AU"/>
              </w:rPr>
              <w:t>Activity</w:t>
            </w:r>
          </w:p>
        </w:tc>
        <w:tc>
          <w:tcPr>
            <w:tcW w:w="2462" w:type="dxa"/>
            <w:gridSpan w:val="2"/>
            <w:shd w:val="clear" w:color="auto" w:fill="365F91"/>
            <w:vAlign w:val="center"/>
          </w:tcPr>
          <w:p w:rsidR="007C72D1" w:rsidRPr="00870F97" w:rsidRDefault="007C72D1" w:rsidP="00587288">
            <w:pPr>
              <w:pStyle w:val="AERtabletextleft"/>
              <w:rPr>
                <w:b/>
                <w:color w:val="FFFFFF"/>
                <w:lang w:eastAsia="en-AU"/>
              </w:rPr>
            </w:pPr>
            <w:r>
              <w:rPr>
                <w:b/>
                <w:color w:val="FFFFFF"/>
                <w:lang w:eastAsia="en-AU"/>
              </w:rPr>
              <w:t>Deemed exemption applicable to:</w:t>
            </w:r>
          </w:p>
        </w:tc>
        <w:tc>
          <w:tcPr>
            <w:tcW w:w="1712" w:type="dxa"/>
            <w:shd w:val="clear" w:color="auto" w:fill="365F91"/>
          </w:tcPr>
          <w:p w:rsidR="007C72D1" w:rsidRPr="009641E3" w:rsidRDefault="007C72D1" w:rsidP="00587288">
            <w:pPr>
              <w:pStyle w:val="AERtabletextleft"/>
              <w:rPr>
                <w:lang w:eastAsia="en-AU"/>
              </w:rPr>
            </w:pPr>
            <w:r w:rsidRPr="00D53EC9">
              <w:rPr>
                <w:b/>
                <w:color w:val="FFFFFF"/>
                <w:lang w:eastAsia="en-AU"/>
              </w:rPr>
              <w:t>Applicable Conditions:</w:t>
            </w:r>
          </w:p>
        </w:tc>
      </w:tr>
      <w:tr w:rsidR="007C72D1" w:rsidRPr="008D1F7A" w:rsidTr="00587288">
        <w:tc>
          <w:tcPr>
            <w:tcW w:w="0" w:type="auto"/>
          </w:tcPr>
          <w:p w:rsidR="007C72D1" w:rsidRPr="00870F97" w:rsidRDefault="007C72D1" w:rsidP="00587288">
            <w:pPr>
              <w:spacing w:before="120"/>
              <w:rPr>
                <w:sz w:val="16"/>
                <w:lang w:eastAsia="en-AU"/>
              </w:rPr>
            </w:pPr>
            <w:r w:rsidRPr="00870F97">
              <w:rPr>
                <w:sz w:val="16"/>
                <w:lang w:eastAsia="en-AU"/>
              </w:rPr>
              <w:t>NDO1</w:t>
            </w:r>
            <w:r w:rsidRPr="00870F97">
              <w:rPr>
                <w:rStyle w:val="FootnoteReference"/>
                <w:sz w:val="16"/>
                <w:lang w:eastAsia="en-AU"/>
              </w:rPr>
              <w:footnoteReference w:id="20"/>
            </w:r>
          </w:p>
        </w:tc>
        <w:tc>
          <w:tcPr>
            <w:tcW w:w="4074" w:type="dxa"/>
          </w:tcPr>
          <w:p w:rsidR="007C72D1" w:rsidRPr="00747F76" w:rsidRDefault="007C72D1" w:rsidP="00587288">
            <w:pPr>
              <w:pStyle w:val="AERtabletextleft"/>
              <w:rPr>
                <w:lang w:eastAsia="en-AU"/>
              </w:rPr>
            </w:pPr>
            <w:r w:rsidRPr="00747F76">
              <w:rPr>
                <w:lang w:eastAsia="en-AU"/>
              </w:rPr>
              <w:t xml:space="preserve">Off-market energy generation by equipment owned, operated or controlled by a third-party and connected to the NEM via a private electricity connection or equipment intended solely to provide emergency energy supply, </w:t>
            </w:r>
            <w:r>
              <w:rPr>
                <w:lang w:eastAsia="en-AU"/>
              </w:rPr>
              <w:t xml:space="preserve">or </w:t>
            </w:r>
            <w:r w:rsidRPr="00747F76">
              <w:rPr>
                <w:lang w:eastAsia="en-AU"/>
              </w:rPr>
              <w:t xml:space="preserve">third-party solar energy system providers </w:t>
            </w:r>
          </w:p>
        </w:tc>
        <w:tc>
          <w:tcPr>
            <w:tcW w:w="2462" w:type="dxa"/>
            <w:gridSpan w:val="2"/>
          </w:tcPr>
          <w:p w:rsidR="007C72D1" w:rsidRPr="00747F76" w:rsidRDefault="007C72D1" w:rsidP="00587288">
            <w:pPr>
              <w:pStyle w:val="AERtabletextleft"/>
              <w:rPr>
                <w:lang w:eastAsia="en-AU"/>
              </w:rPr>
            </w:pPr>
            <w:r w:rsidRPr="00747F76">
              <w:rPr>
                <w:lang w:eastAsia="en-AU"/>
              </w:rPr>
              <w:t>Energy generation installations not intended to supply network support or demand management services to the NEM and not otherwise required to be registered with AEMO</w:t>
            </w:r>
            <w:r>
              <w:rPr>
                <w:lang w:eastAsia="en-AU"/>
              </w:rPr>
              <w:t>.</w:t>
            </w:r>
            <w:r w:rsidRPr="00747F76">
              <w:rPr>
                <w:rStyle w:val="FootnoteReference"/>
                <w:lang w:eastAsia="en-AU"/>
              </w:rPr>
              <w:footnoteReference w:id="21"/>
            </w:r>
          </w:p>
        </w:tc>
        <w:tc>
          <w:tcPr>
            <w:tcW w:w="1712" w:type="dxa"/>
          </w:tcPr>
          <w:p w:rsidR="007C72D1" w:rsidRPr="00747F76" w:rsidRDefault="00587288" w:rsidP="00587288">
            <w:pPr>
              <w:pStyle w:val="AERtabletextleft"/>
              <w:rPr>
                <w:lang w:eastAsia="en-AU"/>
              </w:rPr>
            </w:pPr>
            <w:r w:rsidRPr="00587288">
              <w:rPr>
                <w:lang w:eastAsia="en-AU"/>
              </w:rPr>
              <w:t>4.1, 4.2, 4.3, 4.5,</w:t>
            </w:r>
            <w:r>
              <w:rPr>
                <w:lang w:eastAsia="en-AU"/>
              </w:rPr>
              <w:t xml:space="preserve"> </w:t>
            </w:r>
            <w:r w:rsidRPr="00587288">
              <w:rPr>
                <w:lang w:eastAsia="en-AU"/>
              </w:rPr>
              <w:t>4.6</w:t>
            </w:r>
          </w:p>
        </w:tc>
      </w:tr>
      <w:tr w:rsidR="00587288" w:rsidTr="00587288">
        <w:tc>
          <w:tcPr>
            <w:tcW w:w="0" w:type="auto"/>
            <w:shd w:val="clear" w:color="auto" w:fill="DBE5F1"/>
          </w:tcPr>
          <w:p w:rsidR="00587288" w:rsidRPr="00870F97" w:rsidRDefault="00587288" w:rsidP="00587288">
            <w:pPr>
              <w:spacing w:before="120"/>
              <w:rPr>
                <w:sz w:val="16"/>
                <w:lang w:eastAsia="en-AU"/>
              </w:rPr>
            </w:pPr>
            <w:r w:rsidRPr="00870F97">
              <w:rPr>
                <w:sz w:val="16"/>
                <w:lang w:eastAsia="en-AU"/>
              </w:rPr>
              <w:t>NDO2</w:t>
            </w:r>
          </w:p>
        </w:tc>
        <w:tc>
          <w:tcPr>
            <w:tcW w:w="4074" w:type="dxa"/>
            <w:shd w:val="clear" w:color="auto" w:fill="DBE5F1"/>
          </w:tcPr>
          <w:p w:rsidR="00587288" w:rsidRPr="00747F76" w:rsidRDefault="00587288" w:rsidP="00587288">
            <w:pPr>
              <w:pStyle w:val="AERtabletextleft"/>
              <w:rPr>
                <w:lang w:eastAsia="en-AU"/>
              </w:rPr>
            </w:pPr>
            <w:r w:rsidRPr="00747F76">
              <w:rPr>
                <w:lang w:eastAsia="en-AU"/>
              </w:rPr>
              <w:t xml:space="preserve">Sites broadcasting television </w:t>
            </w:r>
            <w:r>
              <w:rPr>
                <w:lang w:eastAsia="en-AU"/>
              </w:rPr>
              <w:t xml:space="preserve">and </w:t>
            </w:r>
            <w:r w:rsidRPr="00747F76">
              <w:rPr>
                <w:lang w:eastAsia="en-AU"/>
              </w:rPr>
              <w:t>radio signals</w:t>
            </w:r>
            <w:r>
              <w:rPr>
                <w:lang w:eastAsia="en-AU"/>
              </w:rPr>
              <w:t>.</w:t>
            </w:r>
          </w:p>
        </w:tc>
        <w:tc>
          <w:tcPr>
            <w:tcW w:w="2462" w:type="dxa"/>
            <w:gridSpan w:val="2"/>
            <w:shd w:val="clear" w:color="auto" w:fill="DBE5F1"/>
          </w:tcPr>
          <w:p w:rsidR="00587288" w:rsidRPr="00747F76" w:rsidRDefault="00587288" w:rsidP="00587288">
            <w:pPr>
              <w:pStyle w:val="AERtabletextleft"/>
              <w:rPr>
                <w:lang w:eastAsia="en-AU"/>
              </w:rPr>
            </w:pPr>
            <w:r w:rsidRPr="00747F76">
              <w:rPr>
                <w:lang w:eastAsia="en-AU"/>
              </w:rPr>
              <w:t>Current and future facilities</w:t>
            </w:r>
            <w:r>
              <w:rPr>
                <w:lang w:eastAsia="en-AU"/>
              </w:rPr>
              <w:t>.</w:t>
            </w:r>
          </w:p>
        </w:tc>
        <w:tc>
          <w:tcPr>
            <w:tcW w:w="1712" w:type="dxa"/>
            <w:shd w:val="clear" w:color="auto" w:fill="DBE5F1"/>
          </w:tcPr>
          <w:p w:rsidR="00587288" w:rsidRPr="00587288" w:rsidRDefault="00587288" w:rsidP="00587288">
            <w:pPr>
              <w:rPr>
                <w:rFonts w:eastAsia="Times New Roman"/>
                <w:sz w:val="16"/>
                <w:szCs w:val="24"/>
                <w:lang w:eastAsia="en-AU"/>
              </w:rPr>
            </w:pPr>
            <w:r w:rsidRPr="00587288">
              <w:rPr>
                <w:rFonts w:eastAsia="Times New Roman"/>
                <w:sz w:val="16"/>
                <w:szCs w:val="24"/>
                <w:lang w:eastAsia="en-AU"/>
              </w:rPr>
              <w:t>4.1, 4.5</w:t>
            </w:r>
          </w:p>
        </w:tc>
      </w:tr>
      <w:tr w:rsidR="00587288" w:rsidTr="00587288">
        <w:tc>
          <w:tcPr>
            <w:tcW w:w="0" w:type="auto"/>
          </w:tcPr>
          <w:p w:rsidR="00587288" w:rsidRPr="00870F97" w:rsidRDefault="00587288" w:rsidP="00587288">
            <w:pPr>
              <w:spacing w:before="120"/>
              <w:rPr>
                <w:sz w:val="16"/>
                <w:lang w:eastAsia="en-AU"/>
              </w:rPr>
            </w:pPr>
            <w:r w:rsidRPr="00870F97">
              <w:rPr>
                <w:sz w:val="16"/>
                <w:lang w:eastAsia="en-AU"/>
              </w:rPr>
              <w:t>NDO3</w:t>
            </w:r>
            <w:r w:rsidRPr="00870F97">
              <w:rPr>
                <w:rStyle w:val="FootnoteReference"/>
                <w:sz w:val="16"/>
                <w:lang w:eastAsia="en-AU"/>
              </w:rPr>
              <w:footnoteReference w:id="22"/>
            </w:r>
          </w:p>
        </w:tc>
        <w:tc>
          <w:tcPr>
            <w:tcW w:w="4074" w:type="dxa"/>
          </w:tcPr>
          <w:p w:rsidR="00587288" w:rsidRPr="00747F76" w:rsidRDefault="003F0ED4" w:rsidP="00587288">
            <w:pPr>
              <w:pStyle w:val="AERtabletextleft"/>
              <w:rPr>
                <w:lang w:eastAsia="en-AU"/>
              </w:rPr>
            </w:pPr>
            <w:r w:rsidRPr="00747F76">
              <w:rPr>
                <w:lang w:eastAsia="en-AU"/>
              </w:rPr>
              <w:t>Electric vehicle charging station within a private network</w:t>
            </w:r>
            <w:r>
              <w:rPr>
                <w:lang w:eastAsia="en-AU"/>
              </w:rPr>
              <w:t xml:space="preserve"> (e.g. a privately owned charging station located in a public area, hotel, shopping centre, university, etc.)</w:t>
            </w:r>
          </w:p>
        </w:tc>
        <w:tc>
          <w:tcPr>
            <w:tcW w:w="2462" w:type="dxa"/>
            <w:gridSpan w:val="2"/>
          </w:tcPr>
          <w:p w:rsidR="00587288" w:rsidRPr="00747F76" w:rsidRDefault="00587288" w:rsidP="00587288">
            <w:pPr>
              <w:pStyle w:val="AERtabletextleft"/>
              <w:rPr>
                <w:lang w:eastAsia="en-AU"/>
              </w:rPr>
            </w:pPr>
            <w:r w:rsidRPr="00747F76">
              <w:rPr>
                <w:lang w:eastAsia="en-AU"/>
              </w:rPr>
              <w:t>Current and future facilities</w:t>
            </w:r>
            <w:r>
              <w:rPr>
                <w:lang w:eastAsia="en-AU"/>
              </w:rPr>
              <w:t>.</w:t>
            </w:r>
          </w:p>
        </w:tc>
        <w:tc>
          <w:tcPr>
            <w:tcW w:w="1712" w:type="dxa"/>
          </w:tcPr>
          <w:p w:rsidR="00587288" w:rsidRPr="00587288" w:rsidRDefault="00587288" w:rsidP="00587288">
            <w:pPr>
              <w:rPr>
                <w:rFonts w:eastAsia="Times New Roman"/>
                <w:sz w:val="16"/>
                <w:szCs w:val="24"/>
                <w:lang w:eastAsia="en-AU"/>
              </w:rPr>
            </w:pPr>
            <w:r w:rsidRPr="00587288">
              <w:rPr>
                <w:rFonts w:eastAsia="Times New Roman"/>
                <w:sz w:val="16"/>
                <w:szCs w:val="24"/>
                <w:lang w:eastAsia="en-AU"/>
              </w:rPr>
              <w:t>4.1, &amp; to the extent relevant: 4.2, 4.3, 4.4, 4.5 &amp; 4.6</w:t>
            </w:r>
          </w:p>
        </w:tc>
      </w:tr>
      <w:tr w:rsidR="00587288" w:rsidTr="00587288">
        <w:tc>
          <w:tcPr>
            <w:tcW w:w="0" w:type="auto"/>
            <w:shd w:val="clear" w:color="auto" w:fill="DBE5F1"/>
          </w:tcPr>
          <w:p w:rsidR="00587288" w:rsidRPr="00870F97" w:rsidRDefault="00587288" w:rsidP="00587288">
            <w:pPr>
              <w:spacing w:before="120"/>
              <w:rPr>
                <w:sz w:val="16"/>
                <w:lang w:eastAsia="en-AU"/>
              </w:rPr>
            </w:pPr>
            <w:r w:rsidRPr="00870F97">
              <w:rPr>
                <w:sz w:val="16"/>
                <w:lang w:eastAsia="en-AU"/>
              </w:rPr>
              <w:t>NDO4</w:t>
            </w:r>
          </w:p>
        </w:tc>
        <w:tc>
          <w:tcPr>
            <w:tcW w:w="4074" w:type="dxa"/>
            <w:shd w:val="clear" w:color="auto" w:fill="DBE5F1"/>
          </w:tcPr>
          <w:p w:rsidR="00587288" w:rsidRPr="00747F76" w:rsidRDefault="00587288" w:rsidP="00587288">
            <w:pPr>
              <w:pStyle w:val="AERtabletextleft"/>
              <w:rPr>
                <w:lang w:eastAsia="en-AU"/>
              </w:rPr>
            </w:pPr>
            <w:r w:rsidRPr="00747F76">
              <w:rPr>
                <w:lang w:eastAsia="en-AU"/>
              </w:rPr>
              <w:t>Temporary supply for the construction and commissioning phase of building, civil, construction industrial, transport, mining or other projects</w:t>
            </w:r>
          </w:p>
        </w:tc>
        <w:tc>
          <w:tcPr>
            <w:tcW w:w="2462" w:type="dxa"/>
            <w:gridSpan w:val="2"/>
            <w:shd w:val="clear" w:color="auto" w:fill="DBE5F1"/>
          </w:tcPr>
          <w:p w:rsidR="00587288" w:rsidRPr="00747F76" w:rsidRDefault="00587288" w:rsidP="00587288">
            <w:pPr>
              <w:pStyle w:val="AERtabletextleft"/>
              <w:rPr>
                <w:lang w:eastAsia="en-AU"/>
              </w:rPr>
            </w:pPr>
            <w:r w:rsidRPr="00747F76">
              <w:rPr>
                <w:lang w:eastAsia="en-AU"/>
              </w:rPr>
              <w:t>Incidental supply to facilitate bona fide construction and commissioning of new facilities on the same or an adjoining site</w:t>
            </w:r>
          </w:p>
        </w:tc>
        <w:tc>
          <w:tcPr>
            <w:tcW w:w="1712" w:type="dxa"/>
            <w:shd w:val="clear" w:color="auto" w:fill="DBE5F1"/>
          </w:tcPr>
          <w:p w:rsidR="00587288" w:rsidRPr="00587288" w:rsidRDefault="00587288" w:rsidP="00587288">
            <w:pPr>
              <w:rPr>
                <w:rFonts w:eastAsia="Times New Roman"/>
                <w:sz w:val="16"/>
                <w:szCs w:val="24"/>
                <w:lang w:eastAsia="en-AU"/>
              </w:rPr>
            </w:pPr>
            <w:r w:rsidRPr="00587288">
              <w:rPr>
                <w:rFonts w:eastAsia="Times New Roman"/>
                <w:sz w:val="16"/>
                <w:szCs w:val="24"/>
                <w:lang w:eastAsia="en-AU"/>
              </w:rPr>
              <w:t>4.1, &amp; to the extent relevant: 4.2, 4.3, 4.4, 4.5 &amp; 4.6</w:t>
            </w:r>
          </w:p>
        </w:tc>
      </w:tr>
      <w:tr w:rsidR="00587288" w:rsidTr="00587288">
        <w:tc>
          <w:tcPr>
            <w:tcW w:w="0" w:type="auto"/>
          </w:tcPr>
          <w:p w:rsidR="00587288" w:rsidRPr="00870F97" w:rsidRDefault="00587288" w:rsidP="00587288">
            <w:pPr>
              <w:spacing w:before="120"/>
              <w:rPr>
                <w:sz w:val="16"/>
                <w:lang w:eastAsia="en-AU"/>
              </w:rPr>
            </w:pPr>
            <w:r w:rsidRPr="00870F97">
              <w:rPr>
                <w:sz w:val="16"/>
                <w:lang w:eastAsia="en-AU"/>
              </w:rPr>
              <w:t>NDO5</w:t>
            </w:r>
          </w:p>
        </w:tc>
        <w:tc>
          <w:tcPr>
            <w:tcW w:w="4074" w:type="dxa"/>
          </w:tcPr>
          <w:p w:rsidR="00587288" w:rsidRPr="00870F97" w:rsidRDefault="00587288" w:rsidP="00587288">
            <w:pPr>
              <w:pStyle w:val="AERtabletextleft"/>
              <w:rPr>
                <w:highlight w:val="cyan"/>
                <w:lang w:eastAsia="en-AU"/>
              </w:rPr>
            </w:pPr>
            <w:r w:rsidRPr="00747F76">
              <w:rPr>
                <w:lang w:eastAsia="en-AU"/>
              </w:rPr>
              <w:t xml:space="preserve">Electric traction systems supplying passenger or freight vehicles </w:t>
            </w:r>
            <w:r>
              <w:rPr>
                <w:lang w:eastAsia="en-AU"/>
              </w:rPr>
              <w:t xml:space="preserve">and associated infrastructure </w:t>
            </w:r>
            <w:r w:rsidRPr="00747F76">
              <w:rPr>
                <w:lang w:eastAsia="en-AU"/>
              </w:rPr>
              <w:t>(i.e. rail networks)</w:t>
            </w:r>
            <w:r>
              <w:rPr>
                <w:lang w:eastAsia="en-AU"/>
              </w:rPr>
              <w:t xml:space="preserve"> but not including commercial and/or retail activities</w:t>
            </w:r>
          </w:p>
        </w:tc>
        <w:tc>
          <w:tcPr>
            <w:tcW w:w="2462" w:type="dxa"/>
            <w:gridSpan w:val="2"/>
          </w:tcPr>
          <w:p w:rsidR="00587288" w:rsidRPr="00747F76" w:rsidRDefault="00587288" w:rsidP="00587288">
            <w:pPr>
              <w:pStyle w:val="AERtabletextleft"/>
              <w:rPr>
                <w:lang w:eastAsia="en-AU"/>
              </w:rPr>
            </w:pPr>
            <w:r w:rsidRPr="00747F76">
              <w:rPr>
                <w:lang w:eastAsia="en-AU"/>
              </w:rPr>
              <w:t>Current and future facilities</w:t>
            </w:r>
            <w:r>
              <w:rPr>
                <w:lang w:eastAsia="en-AU"/>
              </w:rPr>
              <w:t>.</w:t>
            </w:r>
          </w:p>
        </w:tc>
        <w:tc>
          <w:tcPr>
            <w:tcW w:w="1712" w:type="dxa"/>
          </w:tcPr>
          <w:p w:rsidR="00587288" w:rsidRPr="00587288" w:rsidRDefault="00587288" w:rsidP="00587288">
            <w:pPr>
              <w:rPr>
                <w:rFonts w:eastAsia="Times New Roman"/>
                <w:sz w:val="16"/>
                <w:szCs w:val="24"/>
                <w:lang w:eastAsia="en-AU"/>
              </w:rPr>
            </w:pPr>
            <w:r w:rsidRPr="00587288">
              <w:rPr>
                <w:rFonts w:eastAsia="Times New Roman"/>
                <w:sz w:val="16"/>
                <w:szCs w:val="24"/>
                <w:lang w:eastAsia="en-AU"/>
              </w:rPr>
              <w:t>4.1</w:t>
            </w:r>
          </w:p>
        </w:tc>
      </w:tr>
      <w:tr w:rsidR="00587288" w:rsidTr="00587288">
        <w:tc>
          <w:tcPr>
            <w:tcW w:w="0" w:type="auto"/>
            <w:tcBorders>
              <w:bottom w:val="nil"/>
            </w:tcBorders>
            <w:shd w:val="clear" w:color="auto" w:fill="DBE5F1"/>
            <w:vAlign w:val="center"/>
          </w:tcPr>
          <w:p w:rsidR="00587288" w:rsidRPr="00870F97" w:rsidRDefault="00587288" w:rsidP="00587288">
            <w:pPr>
              <w:spacing w:before="120"/>
              <w:rPr>
                <w:sz w:val="16"/>
                <w:lang w:eastAsia="en-AU"/>
              </w:rPr>
            </w:pPr>
            <w:r w:rsidRPr="00870F97">
              <w:rPr>
                <w:sz w:val="16"/>
                <w:lang w:eastAsia="en-AU"/>
              </w:rPr>
              <w:t>NDO6</w:t>
            </w:r>
          </w:p>
        </w:tc>
        <w:tc>
          <w:tcPr>
            <w:tcW w:w="4156" w:type="dxa"/>
            <w:gridSpan w:val="2"/>
            <w:tcBorders>
              <w:bottom w:val="nil"/>
            </w:tcBorders>
            <w:shd w:val="clear" w:color="auto" w:fill="DBE5F1"/>
          </w:tcPr>
          <w:p w:rsidR="00587288" w:rsidRPr="00457350" w:rsidRDefault="00587288" w:rsidP="00587288">
            <w:pPr>
              <w:pStyle w:val="AERtabletextleft"/>
              <w:rPr>
                <w:lang w:eastAsia="en-AU"/>
              </w:rPr>
            </w:pPr>
            <w:r>
              <w:rPr>
                <w:lang w:eastAsia="en-AU"/>
              </w:rPr>
              <w:t>Large corporate entities</w:t>
            </w:r>
            <w:r>
              <w:rPr>
                <w:rStyle w:val="FootnoteReference"/>
                <w:lang w:eastAsia="en-AU"/>
              </w:rPr>
              <w:footnoteReference w:id="23"/>
            </w:r>
          </w:p>
        </w:tc>
        <w:tc>
          <w:tcPr>
            <w:tcW w:w="2380" w:type="dxa"/>
            <w:tcBorders>
              <w:bottom w:val="nil"/>
            </w:tcBorders>
            <w:shd w:val="clear" w:color="auto" w:fill="DBE5F1"/>
          </w:tcPr>
          <w:p w:rsidR="00587288" w:rsidRPr="00457350" w:rsidRDefault="00587288" w:rsidP="00587288">
            <w:pPr>
              <w:pStyle w:val="AERtabletextleft"/>
              <w:rPr>
                <w:lang w:eastAsia="en-AU"/>
              </w:rPr>
            </w:pPr>
            <w:r w:rsidRPr="00254C01">
              <w:rPr>
                <w:lang w:eastAsia="en-AU"/>
              </w:rPr>
              <w:t>Current and future facilities</w:t>
            </w:r>
            <w:r>
              <w:rPr>
                <w:lang w:eastAsia="en-AU"/>
              </w:rPr>
              <w:t>.</w:t>
            </w:r>
          </w:p>
        </w:tc>
        <w:tc>
          <w:tcPr>
            <w:tcW w:w="1712" w:type="dxa"/>
            <w:tcBorders>
              <w:bottom w:val="nil"/>
            </w:tcBorders>
            <w:shd w:val="clear" w:color="auto" w:fill="DBE5F1"/>
          </w:tcPr>
          <w:p w:rsidR="00587288" w:rsidRPr="00587288" w:rsidRDefault="00587288" w:rsidP="00587288">
            <w:pPr>
              <w:rPr>
                <w:rFonts w:eastAsia="Times New Roman"/>
                <w:sz w:val="16"/>
                <w:szCs w:val="24"/>
                <w:lang w:eastAsia="en-AU"/>
              </w:rPr>
            </w:pPr>
            <w:r w:rsidRPr="00587288">
              <w:rPr>
                <w:rFonts w:eastAsia="Times New Roman"/>
                <w:sz w:val="16"/>
                <w:szCs w:val="24"/>
                <w:lang w:eastAsia="en-AU"/>
              </w:rPr>
              <w:t>4.1, &amp; to the extent relevant: 4.2, 4.3, 4.4, 4.5 &amp; 4.6</w:t>
            </w:r>
          </w:p>
        </w:tc>
      </w:tr>
      <w:tr w:rsidR="00587288" w:rsidTr="00587288">
        <w:tc>
          <w:tcPr>
            <w:tcW w:w="0" w:type="auto"/>
            <w:tcBorders>
              <w:bottom w:val="single" w:sz="4" w:space="0" w:color="365F91"/>
            </w:tcBorders>
            <w:shd w:val="clear" w:color="auto" w:fill="auto"/>
            <w:vAlign w:val="center"/>
          </w:tcPr>
          <w:p w:rsidR="00587288" w:rsidRPr="00870F97" w:rsidRDefault="00587288" w:rsidP="00587288">
            <w:pPr>
              <w:spacing w:before="120"/>
              <w:rPr>
                <w:sz w:val="16"/>
                <w:lang w:eastAsia="en-AU"/>
              </w:rPr>
            </w:pPr>
            <w:r>
              <w:rPr>
                <w:sz w:val="16"/>
                <w:lang w:eastAsia="en-AU"/>
              </w:rPr>
              <w:t>NDO7</w:t>
            </w:r>
          </w:p>
        </w:tc>
        <w:tc>
          <w:tcPr>
            <w:tcW w:w="4156" w:type="dxa"/>
            <w:gridSpan w:val="2"/>
            <w:tcBorders>
              <w:bottom w:val="single" w:sz="4" w:space="0" w:color="365F91"/>
            </w:tcBorders>
            <w:shd w:val="clear" w:color="auto" w:fill="auto"/>
          </w:tcPr>
          <w:p w:rsidR="00587288" w:rsidRDefault="00587288" w:rsidP="004C299A">
            <w:pPr>
              <w:pStyle w:val="AERtabletextleft"/>
              <w:rPr>
                <w:lang w:eastAsia="en-AU"/>
              </w:rPr>
            </w:pPr>
            <w:r>
              <w:rPr>
                <w:lang w:eastAsia="en-AU"/>
              </w:rPr>
              <w:t xml:space="preserve">Residential, commercial and industrial sites </w:t>
            </w:r>
            <w:r w:rsidR="004C299A">
              <w:rPr>
                <w:lang w:eastAsia="en-AU"/>
              </w:rPr>
              <w:t>where</w:t>
            </w:r>
            <w:r>
              <w:rPr>
                <w:lang w:eastAsia="en-AU"/>
              </w:rPr>
              <w:t xml:space="preserve"> demand-side participation equipment and facilities</w:t>
            </w:r>
            <w:r w:rsidR="004C299A">
              <w:rPr>
                <w:lang w:eastAsia="en-AU"/>
              </w:rPr>
              <w:t xml:space="preserve"> is installed</w:t>
            </w:r>
            <w:r>
              <w:rPr>
                <w:lang w:eastAsia="en-AU"/>
              </w:rPr>
              <w:t>,</w:t>
            </w:r>
            <w:r w:rsidR="004C299A">
              <w:rPr>
                <w:lang w:eastAsia="en-AU"/>
              </w:rPr>
              <w:t xml:space="preserve"> </w:t>
            </w:r>
            <w:r>
              <w:rPr>
                <w:lang w:eastAsia="en-AU"/>
              </w:rPr>
              <w:t>including the owners and operators of the equipment and facilities</w:t>
            </w:r>
          </w:p>
        </w:tc>
        <w:tc>
          <w:tcPr>
            <w:tcW w:w="2380" w:type="dxa"/>
            <w:tcBorders>
              <w:bottom w:val="single" w:sz="4" w:space="0" w:color="365F91"/>
            </w:tcBorders>
            <w:shd w:val="clear" w:color="auto" w:fill="auto"/>
          </w:tcPr>
          <w:p w:rsidR="00587288" w:rsidRPr="00254C01" w:rsidRDefault="00587288" w:rsidP="00587288">
            <w:pPr>
              <w:pStyle w:val="AERtabletextleft"/>
              <w:rPr>
                <w:lang w:eastAsia="en-AU"/>
              </w:rPr>
            </w:pPr>
            <w:r w:rsidRPr="00CB6AF0">
              <w:rPr>
                <w:lang w:eastAsia="en-AU"/>
              </w:rPr>
              <w:t>Current and future facilities</w:t>
            </w:r>
            <w:r>
              <w:rPr>
                <w:lang w:eastAsia="en-AU"/>
              </w:rPr>
              <w:t>.</w:t>
            </w:r>
          </w:p>
        </w:tc>
        <w:tc>
          <w:tcPr>
            <w:tcW w:w="1712" w:type="dxa"/>
            <w:tcBorders>
              <w:bottom w:val="single" w:sz="4" w:space="0" w:color="365F91"/>
            </w:tcBorders>
          </w:tcPr>
          <w:p w:rsidR="00587288" w:rsidRPr="00587288" w:rsidRDefault="00587288" w:rsidP="00587288">
            <w:pPr>
              <w:rPr>
                <w:rFonts w:eastAsia="Times New Roman"/>
                <w:sz w:val="16"/>
                <w:szCs w:val="24"/>
                <w:lang w:eastAsia="en-AU"/>
              </w:rPr>
            </w:pPr>
            <w:r w:rsidRPr="00587288">
              <w:rPr>
                <w:rFonts w:eastAsia="Times New Roman"/>
                <w:sz w:val="16"/>
                <w:szCs w:val="24"/>
                <w:lang w:eastAsia="en-AU"/>
              </w:rPr>
              <w:t>4.1, 4.2, 4.3, 4.5, 4.6</w:t>
            </w:r>
          </w:p>
        </w:tc>
      </w:tr>
    </w:tbl>
    <w:p w:rsidR="007C72D1" w:rsidRPr="00747F76" w:rsidRDefault="007C72D1" w:rsidP="007C72D1">
      <w:pPr>
        <w:pStyle w:val="AERtablesource"/>
        <w:spacing w:after="120"/>
        <w:contextualSpacing w:val="0"/>
      </w:pPr>
      <w:r w:rsidRPr="00BF1CBF">
        <w:t>Note</w:t>
      </w:r>
      <w:r w:rsidRPr="00747F76">
        <w:t xml:space="preserve">s: </w:t>
      </w:r>
      <w:r w:rsidRPr="00747F76">
        <w:tab/>
        <w:t>Classes of exemption labelled ‘NDO_’ are ‘network deemed other’ classes, and have no equivalent class in the Exempt Selling Guideline. Eligibility for a network deemed exemption is set out in this table.</w:t>
      </w:r>
    </w:p>
    <w:p w:rsidR="00CC3D39" w:rsidRDefault="007C72D1" w:rsidP="00CC3D39">
      <w:pPr>
        <w:pStyle w:val="AERtablesource"/>
      </w:pPr>
      <w:r>
        <w:tab/>
        <w:t xml:space="preserve">The supply of </w:t>
      </w:r>
      <w:r w:rsidRPr="00747F76">
        <w:t>network services in accordance with a commercial agreement between private parties is permitted for each category listed in Table 2.</w:t>
      </w:r>
      <w:r w:rsidR="00CC3D39">
        <w:t xml:space="preserve"> </w:t>
      </w:r>
    </w:p>
    <w:p w:rsidR="00CC3D39" w:rsidRDefault="00CC3D39" w:rsidP="00CC3D39">
      <w:pPr>
        <w:pStyle w:val="AERtablesource"/>
      </w:pPr>
    </w:p>
    <w:p w:rsidR="007C72D1" w:rsidRPr="00CC3D39" w:rsidRDefault="007C72D1" w:rsidP="00CC3D39">
      <w:pPr>
        <w:pStyle w:val="AERbodytext"/>
        <w:rPr>
          <w:rStyle w:val="AERbody"/>
        </w:rPr>
      </w:pPr>
      <w:r w:rsidRPr="00CC3D39">
        <w:rPr>
          <w:rStyle w:val="AERbody"/>
        </w:rPr>
        <w:t xml:space="preserve">Special </w:t>
      </w:r>
      <w:r w:rsidR="00464DE6" w:rsidRPr="00CC3D39">
        <w:rPr>
          <w:rStyle w:val="AERbody"/>
        </w:rPr>
        <w:t xml:space="preserve">note </w:t>
      </w:r>
      <w:r w:rsidRPr="00CC3D39">
        <w:rPr>
          <w:rStyle w:val="AERbody"/>
        </w:rPr>
        <w:t xml:space="preserve">for </w:t>
      </w:r>
      <w:r w:rsidR="00464DE6" w:rsidRPr="00CC3D39">
        <w:rPr>
          <w:rStyle w:val="AERbody"/>
        </w:rPr>
        <w:t>generators</w:t>
      </w:r>
      <w:r w:rsidRPr="00CC3D39">
        <w:rPr>
          <w:rStyle w:val="AERbody"/>
        </w:rPr>
        <w:t xml:space="preserve">: Simply owning a generator or solar inverter does not automatically mean exemption of your network is required. Exemption of the network is required only where a third party </w:t>
      </w:r>
      <w:r w:rsidRPr="00CC3D39">
        <w:rPr>
          <w:rStyle w:val="AERbody"/>
        </w:rPr>
        <w:lastRenderedPageBreak/>
        <w:t xml:space="preserve">is involved. For example, a shopping centre will have tenants and often, a generator. The network must be exempted because of the supply to third parties, not because it has a generator. If the generator belongs to someone else, however, then the network must be exempted. </w:t>
      </w:r>
    </w:p>
    <w:p w:rsidR="007C72D1" w:rsidRPr="00457350" w:rsidRDefault="00D8202C" w:rsidP="007C72D1">
      <w:pPr>
        <w:pStyle w:val="AERbodytext"/>
        <w:rPr>
          <w:rStyle w:val="AERbody"/>
        </w:rPr>
      </w:pPr>
      <w:r>
        <w:rPr>
          <w:rStyle w:val="AERbody"/>
        </w:rPr>
        <w:t>Also</w:t>
      </w:r>
      <w:r w:rsidR="007C72D1">
        <w:rPr>
          <w:rStyle w:val="AERbody"/>
        </w:rPr>
        <w:t xml:space="preserve">, </w:t>
      </w:r>
      <w:r w:rsidR="007C72D1" w:rsidRPr="00457350">
        <w:rPr>
          <w:rStyle w:val="AERbody"/>
        </w:rPr>
        <w:t xml:space="preserve">jurisdiction specific </w:t>
      </w:r>
      <w:r w:rsidR="007C72D1">
        <w:rPr>
          <w:rStyle w:val="AERbody"/>
        </w:rPr>
        <w:t xml:space="preserve">regulations </w:t>
      </w:r>
      <w:r w:rsidR="007C72D1" w:rsidRPr="00457350">
        <w:rPr>
          <w:rStyle w:val="AERbody"/>
        </w:rPr>
        <w:t>exist which impose additional requirements on the installation of generators. Even if it is your network and it is your generator connected to the network you must still comply with the local safety requirements. Contact your local distributor for details.</w:t>
      </w:r>
    </w:p>
    <w:p w:rsidR="007C72D1" w:rsidRPr="00747F76" w:rsidRDefault="007C72D1" w:rsidP="007C72D1">
      <w:pPr>
        <w:pStyle w:val="Heading2"/>
        <w:numPr>
          <w:ilvl w:val="2"/>
          <w:numId w:val="9"/>
        </w:numPr>
      </w:pPr>
      <w:bookmarkStart w:id="17" w:name="_Toc365299417"/>
      <w:r w:rsidRPr="00747F76">
        <w:t>Registrable exemption classes</w:t>
      </w:r>
      <w:bookmarkEnd w:id="17"/>
      <w:r w:rsidRPr="00747F76">
        <w:t xml:space="preserve"> </w:t>
      </w:r>
    </w:p>
    <w:p w:rsidR="007C72D1" w:rsidRPr="006D2519" w:rsidRDefault="007C72D1" w:rsidP="007C72D1">
      <w:pPr>
        <w:rPr>
          <w:rStyle w:val="AERbody"/>
        </w:rPr>
      </w:pPr>
      <w:r w:rsidRPr="006D2519">
        <w:rPr>
          <w:rStyle w:val="AERbody"/>
        </w:rPr>
        <w:t xml:space="preserve">Tables 3 and 4 set out the classes of registrable exemption. </w:t>
      </w:r>
      <w:r>
        <w:rPr>
          <w:rStyle w:val="AERbody"/>
        </w:rPr>
        <w:t xml:space="preserve">More than one category may apply. If so, tick each relevant category when registering. </w:t>
      </w:r>
    </w:p>
    <w:p w:rsidR="007C72D1" w:rsidRPr="006D2519" w:rsidRDefault="007C72D1" w:rsidP="007C72D1">
      <w:pPr>
        <w:rPr>
          <w:rStyle w:val="AERbody"/>
        </w:rPr>
      </w:pPr>
      <w:r w:rsidRPr="006D2519">
        <w:rPr>
          <w:rStyle w:val="AERbody"/>
        </w:rPr>
        <w:t xml:space="preserve">The conditions set out in sections </w:t>
      </w:r>
      <w:r w:rsidR="000844E8">
        <w:fldChar w:fldCharType="begin"/>
      </w:r>
      <w:r w:rsidR="000844E8">
        <w:instrText xml:space="preserve"> REF  _Ref361906980 \h \r </w:instrText>
      </w:r>
      <w:r w:rsidR="000844E8">
        <w:fldChar w:fldCharType="separate"/>
      </w:r>
      <w:r w:rsidR="00D94AAA">
        <w:t>4.1</w:t>
      </w:r>
      <w:r w:rsidR="000844E8">
        <w:fldChar w:fldCharType="end"/>
      </w:r>
      <w:r w:rsidR="00AC1913">
        <w:t xml:space="preserve"> </w:t>
      </w:r>
      <w:r w:rsidR="00AC1913" w:rsidRPr="00C9334E">
        <w:t>–</w:t>
      </w:r>
      <w:r w:rsidR="00587288">
        <w:t xml:space="preserve"> </w:t>
      </w:r>
      <w:r w:rsidR="000844E8">
        <w:fldChar w:fldCharType="begin"/>
      </w:r>
      <w:r w:rsidR="000844E8">
        <w:instrText xml:space="preserve"> REF  _Ref361906992 \h \r </w:instrText>
      </w:r>
      <w:r w:rsidR="000844E8">
        <w:fldChar w:fldCharType="separate"/>
      </w:r>
      <w:r w:rsidR="00D94AAA">
        <w:t>4.6</w:t>
      </w:r>
      <w:r w:rsidR="000844E8">
        <w:fldChar w:fldCharType="end"/>
      </w:r>
      <w:r w:rsidRPr="006D2519">
        <w:rPr>
          <w:rStyle w:val="AERbody"/>
        </w:rPr>
        <w:t xml:space="preserve"> of Part B of the Guideline</w:t>
      </w:r>
      <w:r w:rsidRPr="006D2519" w:rsidDel="008314B9">
        <w:rPr>
          <w:rStyle w:val="AERbody"/>
        </w:rPr>
        <w:t xml:space="preserve"> </w:t>
      </w:r>
      <w:r w:rsidRPr="006D2519">
        <w:rPr>
          <w:rStyle w:val="AERbody"/>
        </w:rPr>
        <w:t>apply to all registrable exemptions</w:t>
      </w:r>
      <w:r>
        <w:rPr>
          <w:rStyle w:val="AERbody"/>
        </w:rPr>
        <w:t>, as modified by table 8 or table 9. A variation of these conditions requires</w:t>
      </w:r>
      <w:r w:rsidRPr="006D2519">
        <w:rPr>
          <w:rStyle w:val="AERbody"/>
        </w:rPr>
        <w:t xml:space="preserve"> an individual exemption application made in accordance with section</w:t>
      </w:r>
      <w:r>
        <w:rPr>
          <w:rStyle w:val="AERbody"/>
        </w:rPr>
        <w:t xml:space="preserve">s </w:t>
      </w:r>
      <w:r w:rsidR="00587288">
        <w:rPr>
          <w:rStyle w:val="AERbody"/>
        </w:rPr>
        <w:fldChar w:fldCharType="begin"/>
      </w:r>
      <w:r w:rsidR="00587288">
        <w:rPr>
          <w:rStyle w:val="AERbody"/>
        </w:rPr>
        <w:instrText xml:space="preserve"> REF _Ref361831288 \r </w:instrText>
      </w:r>
      <w:r w:rsidR="00587288">
        <w:rPr>
          <w:rStyle w:val="AERbody"/>
        </w:rPr>
        <w:fldChar w:fldCharType="separate"/>
      </w:r>
      <w:r w:rsidR="00D94AAA">
        <w:rPr>
          <w:rStyle w:val="AERbody"/>
        </w:rPr>
        <w:t>3.3</w:t>
      </w:r>
      <w:r w:rsidR="00587288">
        <w:rPr>
          <w:rStyle w:val="AERbody"/>
        </w:rPr>
        <w:fldChar w:fldCharType="end"/>
      </w:r>
      <w:r>
        <w:rPr>
          <w:rStyle w:val="AERbody"/>
        </w:rPr>
        <w:t xml:space="preserve"> and</w:t>
      </w:r>
      <w:r w:rsidR="00587288">
        <w:rPr>
          <w:rStyle w:val="AERbody"/>
        </w:rPr>
        <w:t xml:space="preserve"> </w:t>
      </w:r>
      <w:r w:rsidR="00587288">
        <w:rPr>
          <w:rStyle w:val="AERbody"/>
        </w:rPr>
        <w:fldChar w:fldCharType="begin"/>
      </w:r>
      <w:r w:rsidR="00587288">
        <w:rPr>
          <w:rStyle w:val="AERbody"/>
        </w:rPr>
        <w:instrText xml:space="preserve"> REF _Ref361831452 \r \h </w:instrText>
      </w:r>
      <w:r w:rsidR="00587288">
        <w:rPr>
          <w:rStyle w:val="AERbody"/>
        </w:rPr>
      </w:r>
      <w:r w:rsidR="00587288">
        <w:rPr>
          <w:rStyle w:val="AERbody"/>
        </w:rPr>
        <w:fldChar w:fldCharType="separate"/>
      </w:r>
      <w:r w:rsidR="00D94AAA">
        <w:rPr>
          <w:rStyle w:val="AERbody"/>
        </w:rPr>
        <w:t>5.2</w:t>
      </w:r>
      <w:r w:rsidR="00587288">
        <w:rPr>
          <w:rStyle w:val="AERbody"/>
        </w:rPr>
        <w:fldChar w:fldCharType="end"/>
      </w:r>
      <w:r w:rsidRPr="006D2519">
        <w:rPr>
          <w:rStyle w:val="AERbody"/>
        </w:rPr>
        <w:t xml:space="preserve">. </w:t>
      </w:r>
    </w:p>
    <w:p w:rsidR="007C72D1" w:rsidRPr="00C9334E" w:rsidRDefault="007C72D1" w:rsidP="007C72D1">
      <w:pPr>
        <w:pStyle w:val="Caption"/>
      </w:pPr>
      <w:r w:rsidRPr="00C9334E">
        <w:t>Table 3 – Registrable classes of exemption – energy selling</w:t>
      </w:r>
    </w:p>
    <w:tbl>
      <w:tblPr>
        <w:tblW w:w="0" w:type="auto"/>
        <w:tblBorders>
          <w:bottom w:val="single" w:sz="4" w:space="0" w:color="365F91"/>
        </w:tblBorders>
        <w:tblLayout w:type="fixed"/>
        <w:tblLook w:val="04A0" w:firstRow="1" w:lastRow="0" w:firstColumn="1" w:lastColumn="0" w:noHBand="0" w:noVBand="1"/>
      </w:tblPr>
      <w:tblGrid>
        <w:gridCol w:w="644"/>
        <w:gridCol w:w="2737"/>
        <w:gridCol w:w="3412"/>
        <w:gridCol w:w="2449"/>
      </w:tblGrid>
      <w:tr w:rsidR="007C72D1" w:rsidTr="00587288">
        <w:tc>
          <w:tcPr>
            <w:tcW w:w="644" w:type="dxa"/>
            <w:shd w:val="clear" w:color="auto" w:fill="365F91"/>
            <w:vAlign w:val="center"/>
          </w:tcPr>
          <w:p w:rsidR="007C72D1" w:rsidRPr="00870F97" w:rsidRDefault="007C72D1" w:rsidP="00587288">
            <w:pPr>
              <w:pStyle w:val="AERtabletextleft"/>
              <w:rPr>
                <w:b/>
                <w:color w:val="FFFFFF"/>
                <w:lang w:eastAsia="en-AU"/>
              </w:rPr>
            </w:pPr>
            <w:r w:rsidRPr="00870F97">
              <w:rPr>
                <w:b/>
                <w:color w:val="FFFFFF"/>
                <w:lang w:eastAsia="en-AU"/>
              </w:rPr>
              <w:t>Class</w:t>
            </w:r>
          </w:p>
        </w:tc>
        <w:tc>
          <w:tcPr>
            <w:tcW w:w="2737" w:type="dxa"/>
            <w:shd w:val="clear" w:color="auto" w:fill="365F91"/>
            <w:vAlign w:val="center"/>
          </w:tcPr>
          <w:p w:rsidR="007C72D1" w:rsidRPr="00870F97" w:rsidRDefault="007C72D1" w:rsidP="00587288">
            <w:pPr>
              <w:pStyle w:val="AERtabletextleft"/>
              <w:rPr>
                <w:b/>
                <w:color w:val="FFFFFF"/>
                <w:lang w:eastAsia="en-AU"/>
              </w:rPr>
            </w:pPr>
            <w:r w:rsidRPr="00870F97">
              <w:rPr>
                <w:b/>
                <w:color w:val="FFFFFF"/>
                <w:lang w:eastAsia="en-AU"/>
              </w:rPr>
              <w:t>Activity</w:t>
            </w:r>
          </w:p>
        </w:tc>
        <w:tc>
          <w:tcPr>
            <w:tcW w:w="3412" w:type="dxa"/>
            <w:shd w:val="clear" w:color="auto" w:fill="365F91"/>
            <w:vAlign w:val="center"/>
          </w:tcPr>
          <w:p w:rsidR="007C72D1" w:rsidRPr="00870F97" w:rsidRDefault="007C72D1" w:rsidP="00587288">
            <w:pPr>
              <w:pStyle w:val="AERtabletextleft"/>
              <w:rPr>
                <w:b/>
                <w:color w:val="FFFFFF"/>
                <w:lang w:eastAsia="en-AU"/>
              </w:rPr>
            </w:pPr>
            <w:r w:rsidRPr="00870F97">
              <w:rPr>
                <w:b/>
                <w:color w:val="FFFFFF"/>
                <w:lang w:eastAsia="en-AU"/>
              </w:rPr>
              <w:t>Registrable exemption</w:t>
            </w:r>
          </w:p>
        </w:tc>
        <w:tc>
          <w:tcPr>
            <w:tcW w:w="2449" w:type="dxa"/>
            <w:shd w:val="clear" w:color="auto" w:fill="365F91"/>
            <w:vAlign w:val="center"/>
          </w:tcPr>
          <w:p w:rsidR="007C72D1" w:rsidRPr="00870F97" w:rsidRDefault="007C72D1" w:rsidP="00587288">
            <w:pPr>
              <w:pStyle w:val="AERtabletextleft"/>
              <w:rPr>
                <w:b/>
                <w:color w:val="FFFFFF"/>
                <w:lang w:eastAsia="en-AU"/>
              </w:rPr>
            </w:pPr>
            <w:r w:rsidRPr="00870F97">
              <w:rPr>
                <w:b/>
                <w:color w:val="FFFFFF"/>
                <w:lang w:eastAsia="en-AU"/>
              </w:rPr>
              <w:t>Application for individual exemption</w:t>
            </w:r>
          </w:p>
        </w:tc>
      </w:tr>
      <w:tr w:rsidR="007C72D1" w:rsidTr="00587288">
        <w:tc>
          <w:tcPr>
            <w:tcW w:w="644" w:type="dxa"/>
            <w:vAlign w:val="center"/>
          </w:tcPr>
          <w:p w:rsidR="007C72D1" w:rsidRPr="00AB619E" w:rsidRDefault="007C72D1" w:rsidP="00587288">
            <w:pPr>
              <w:pStyle w:val="AERtabletextleft"/>
              <w:rPr>
                <w:rStyle w:val="AERbody"/>
                <w:sz w:val="16"/>
                <w:szCs w:val="16"/>
                <w:lang w:eastAsia="en-AU"/>
              </w:rPr>
            </w:pPr>
            <w:r w:rsidRPr="00AB619E">
              <w:rPr>
                <w:rStyle w:val="AERbody"/>
                <w:sz w:val="16"/>
                <w:szCs w:val="16"/>
                <w:lang w:eastAsia="en-AU"/>
              </w:rPr>
              <w:t>NR1</w:t>
            </w:r>
          </w:p>
        </w:tc>
        <w:tc>
          <w:tcPr>
            <w:tcW w:w="2737" w:type="dxa"/>
          </w:tcPr>
          <w:p w:rsidR="007C72D1" w:rsidRPr="002C466C" w:rsidRDefault="007C72D1" w:rsidP="00587288">
            <w:pPr>
              <w:pStyle w:val="AERtabletextleft"/>
              <w:rPr>
                <w:rStyle w:val="AERbody"/>
                <w:lang w:eastAsia="en-AU"/>
              </w:rPr>
            </w:pPr>
            <w:r w:rsidRPr="002C466C">
              <w:rPr>
                <w:lang w:eastAsia="en-AU"/>
              </w:rPr>
              <w:t>Persons selling metered energy to ten or more small commercial/retail customers within the limits of a site that they own, occupy or operate.</w:t>
            </w:r>
          </w:p>
        </w:tc>
        <w:tc>
          <w:tcPr>
            <w:tcW w:w="3412" w:type="dxa"/>
          </w:tcPr>
          <w:p w:rsidR="007C72D1" w:rsidRPr="002C466C" w:rsidRDefault="007C72D1" w:rsidP="00587288">
            <w:pPr>
              <w:pStyle w:val="AERtabletextleft"/>
              <w:rPr>
                <w:lang w:eastAsia="en-AU"/>
              </w:rPr>
            </w:pPr>
            <w:r w:rsidRPr="002C466C">
              <w:rPr>
                <w:lang w:eastAsia="en-AU"/>
              </w:rPr>
              <w:t>Registrable for current and future sellers</w:t>
            </w:r>
          </w:p>
        </w:tc>
        <w:tc>
          <w:tcPr>
            <w:tcW w:w="2449" w:type="dxa"/>
          </w:tcPr>
          <w:p w:rsidR="007C72D1" w:rsidRPr="002C466C" w:rsidRDefault="007C72D1" w:rsidP="00587288">
            <w:pPr>
              <w:pStyle w:val="AERtabletextleft"/>
              <w:rPr>
                <w:lang w:eastAsia="en-AU"/>
              </w:rPr>
            </w:pPr>
            <w:r w:rsidRPr="002C466C">
              <w:rPr>
                <w:lang w:eastAsia="en-AU"/>
              </w:rPr>
              <w:t>Only where exempt seller believes conditions of exemption are not appropriate for their situation</w:t>
            </w:r>
          </w:p>
        </w:tc>
      </w:tr>
      <w:tr w:rsidR="007C72D1" w:rsidTr="00587288">
        <w:tc>
          <w:tcPr>
            <w:tcW w:w="644" w:type="dxa"/>
            <w:shd w:val="clear" w:color="auto" w:fill="DBE5F1"/>
            <w:vAlign w:val="center"/>
          </w:tcPr>
          <w:p w:rsidR="007C72D1" w:rsidRPr="00AB619E" w:rsidRDefault="007C72D1" w:rsidP="00587288">
            <w:pPr>
              <w:pStyle w:val="AERtabletextleft"/>
              <w:rPr>
                <w:rStyle w:val="AERbody"/>
                <w:sz w:val="16"/>
                <w:szCs w:val="16"/>
                <w:lang w:eastAsia="en-AU"/>
              </w:rPr>
            </w:pPr>
            <w:r w:rsidRPr="00AB619E">
              <w:rPr>
                <w:rStyle w:val="AERbody"/>
                <w:sz w:val="16"/>
                <w:szCs w:val="16"/>
                <w:lang w:eastAsia="en-AU"/>
              </w:rPr>
              <w:t>NR2</w:t>
            </w:r>
          </w:p>
        </w:tc>
        <w:tc>
          <w:tcPr>
            <w:tcW w:w="2737" w:type="dxa"/>
            <w:shd w:val="clear" w:color="auto" w:fill="DBE5F1"/>
          </w:tcPr>
          <w:p w:rsidR="007C72D1" w:rsidRPr="002C466C" w:rsidRDefault="007C72D1" w:rsidP="00587288">
            <w:pPr>
              <w:pStyle w:val="AERtabletextleft"/>
              <w:rPr>
                <w:rStyle w:val="AERbody"/>
                <w:lang w:eastAsia="en-AU"/>
              </w:rPr>
            </w:pPr>
            <w:r w:rsidRPr="002C466C">
              <w:rPr>
                <w:lang w:eastAsia="en-AU"/>
              </w:rPr>
              <w:t>Persons selling metered energy to ten or more residential customers within the limits of a site that they own, occupy or operate.</w:t>
            </w:r>
          </w:p>
        </w:tc>
        <w:tc>
          <w:tcPr>
            <w:tcW w:w="3412" w:type="dxa"/>
            <w:shd w:val="clear" w:color="auto" w:fill="DBE5F1"/>
          </w:tcPr>
          <w:p w:rsidR="007C72D1" w:rsidRPr="002C466C" w:rsidRDefault="007C72D1" w:rsidP="00587288">
            <w:pPr>
              <w:pStyle w:val="AERtabletextleft"/>
              <w:rPr>
                <w:lang w:eastAsia="en-AU"/>
              </w:rPr>
            </w:pPr>
            <w:r w:rsidRPr="002C466C">
              <w:rPr>
                <w:lang w:eastAsia="en-AU"/>
              </w:rPr>
              <w:t>Registrable for current sellers and those who commence selling before 1 January 2015</w:t>
            </w:r>
          </w:p>
        </w:tc>
        <w:tc>
          <w:tcPr>
            <w:tcW w:w="2449" w:type="dxa"/>
            <w:shd w:val="clear" w:color="auto" w:fill="DBE5F1"/>
          </w:tcPr>
          <w:p w:rsidR="007C72D1" w:rsidRPr="002C466C" w:rsidRDefault="007C72D1" w:rsidP="00587288">
            <w:pPr>
              <w:pStyle w:val="AERtabletextleft"/>
              <w:rPr>
                <w:lang w:eastAsia="en-AU"/>
              </w:rPr>
            </w:pPr>
            <w:r w:rsidRPr="002C466C">
              <w:rPr>
                <w:lang w:eastAsia="en-AU"/>
              </w:rPr>
              <w:t>Required for those who commence selling on or after 1 January 2015</w:t>
            </w:r>
          </w:p>
        </w:tc>
      </w:tr>
      <w:tr w:rsidR="007C72D1" w:rsidTr="00587288">
        <w:tc>
          <w:tcPr>
            <w:tcW w:w="644" w:type="dxa"/>
            <w:vAlign w:val="center"/>
          </w:tcPr>
          <w:p w:rsidR="007C72D1" w:rsidRPr="00AB619E" w:rsidRDefault="007C72D1" w:rsidP="00587288">
            <w:pPr>
              <w:pStyle w:val="AERtabletextleft"/>
              <w:rPr>
                <w:rStyle w:val="AERbody"/>
                <w:sz w:val="16"/>
                <w:szCs w:val="16"/>
                <w:lang w:eastAsia="en-AU"/>
              </w:rPr>
            </w:pPr>
            <w:r w:rsidRPr="00AB619E">
              <w:rPr>
                <w:rStyle w:val="AERbody"/>
                <w:sz w:val="16"/>
                <w:szCs w:val="16"/>
                <w:lang w:eastAsia="en-AU"/>
              </w:rPr>
              <w:t>NR3</w:t>
            </w:r>
          </w:p>
        </w:tc>
        <w:tc>
          <w:tcPr>
            <w:tcW w:w="2737" w:type="dxa"/>
          </w:tcPr>
          <w:p w:rsidR="007C72D1" w:rsidRPr="002C466C" w:rsidRDefault="007C72D1" w:rsidP="00587288">
            <w:pPr>
              <w:pStyle w:val="AERtabletextleft"/>
              <w:rPr>
                <w:rStyle w:val="AERbody"/>
                <w:lang w:eastAsia="en-AU"/>
              </w:rPr>
            </w:pPr>
            <w:r w:rsidRPr="002C466C">
              <w:rPr>
                <w:lang w:eastAsia="en-AU"/>
              </w:rPr>
              <w:t>Retirement villages selling metered energy to residential customers within the limits of a site that they own, occupy or operate.</w:t>
            </w:r>
          </w:p>
        </w:tc>
        <w:tc>
          <w:tcPr>
            <w:tcW w:w="3412" w:type="dxa"/>
          </w:tcPr>
          <w:p w:rsidR="007C72D1" w:rsidRPr="002C466C" w:rsidRDefault="007C72D1" w:rsidP="00587288">
            <w:pPr>
              <w:pStyle w:val="AERtabletextleft"/>
              <w:rPr>
                <w:lang w:eastAsia="en-AU"/>
              </w:rPr>
            </w:pPr>
            <w:r w:rsidRPr="002C466C">
              <w:rPr>
                <w:lang w:eastAsia="en-AU"/>
              </w:rPr>
              <w:t>Registrable for sellers commencing selling before 1 January 2015</w:t>
            </w:r>
          </w:p>
        </w:tc>
        <w:tc>
          <w:tcPr>
            <w:tcW w:w="2449" w:type="dxa"/>
          </w:tcPr>
          <w:p w:rsidR="007C72D1" w:rsidRPr="002C466C" w:rsidRDefault="007C72D1" w:rsidP="00587288">
            <w:pPr>
              <w:pStyle w:val="AERtabletextleft"/>
              <w:rPr>
                <w:lang w:eastAsia="en-AU"/>
              </w:rPr>
            </w:pPr>
            <w:r w:rsidRPr="002C466C">
              <w:rPr>
                <w:lang w:eastAsia="en-AU"/>
              </w:rPr>
              <w:t>Required for those who commence selling on or after 1 January 2015</w:t>
            </w:r>
          </w:p>
        </w:tc>
      </w:tr>
      <w:tr w:rsidR="007C72D1" w:rsidTr="00587288">
        <w:tc>
          <w:tcPr>
            <w:tcW w:w="644" w:type="dxa"/>
            <w:shd w:val="clear" w:color="auto" w:fill="DBE5F1"/>
            <w:vAlign w:val="center"/>
          </w:tcPr>
          <w:p w:rsidR="007C72D1" w:rsidRPr="00AB619E" w:rsidRDefault="007C72D1" w:rsidP="00587288">
            <w:pPr>
              <w:pStyle w:val="AERtabletextleft"/>
              <w:rPr>
                <w:rStyle w:val="AERbody"/>
                <w:sz w:val="16"/>
                <w:szCs w:val="16"/>
                <w:lang w:eastAsia="en-AU"/>
              </w:rPr>
            </w:pPr>
            <w:r w:rsidRPr="00AB619E">
              <w:rPr>
                <w:rStyle w:val="AERbody"/>
                <w:sz w:val="16"/>
                <w:szCs w:val="16"/>
                <w:lang w:eastAsia="en-AU"/>
              </w:rPr>
              <w:t>NR4</w:t>
            </w:r>
          </w:p>
        </w:tc>
        <w:tc>
          <w:tcPr>
            <w:tcW w:w="2737" w:type="dxa"/>
            <w:shd w:val="clear" w:color="auto" w:fill="DBE5F1"/>
          </w:tcPr>
          <w:p w:rsidR="007C72D1" w:rsidRPr="002C466C" w:rsidRDefault="007C72D1" w:rsidP="00587288">
            <w:pPr>
              <w:pStyle w:val="AERtabletextleft"/>
              <w:rPr>
                <w:rStyle w:val="AERbody"/>
                <w:lang w:eastAsia="en-AU"/>
              </w:rPr>
            </w:pPr>
            <w:r w:rsidRPr="002C466C">
              <w:rPr>
                <w:lang w:eastAsia="en-AU"/>
              </w:rPr>
              <w:t>Persons selling metered energy in caravan parks, residential parks and manufactured home estates to residents who principally reside there.</w:t>
            </w:r>
          </w:p>
        </w:tc>
        <w:tc>
          <w:tcPr>
            <w:tcW w:w="3412" w:type="dxa"/>
            <w:shd w:val="clear" w:color="auto" w:fill="DBE5F1"/>
          </w:tcPr>
          <w:p w:rsidR="007C72D1" w:rsidRPr="002C466C" w:rsidRDefault="007C72D1" w:rsidP="00587288">
            <w:pPr>
              <w:pStyle w:val="AERtabletextleft"/>
              <w:rPr>
                <w:lang w:eastAsia="en-AU"/>
              </w:rPr>
            </w:pPr>
            <w:r w:rsidRPr="002C466C">
              <w:rPr>
                <w:lang w:eastAsia="en-AU"/>
              </w:rPr>
              <w:t>Registrable for current and future sellers</w:t>
            </w:r>
          </w:p>
        </w:tc>
        <w:tc>
          <w:tcPr>
            <w:tcW w:w="2449" w:type="dxa"/>
            <w:shd w:val="clear" w:color="auto" w:fill="DBE5F1"/>
          </w:tcPr>
          <w:p w:rsidR="007C72D1" w:rsidRPr="002C466C" w:rsidRDefault="007C72D1" w:rsidP="00587288">
            <w:pPr>
              <w:pStyle w:val="AERtabletextleft"/>
              <w:rPr>
                <w:lang w:eastAsia="en-AU"/>
              </w:rPr>
            </w:pPr>
            <w:r w:rsidRPr="002C466C">
              <w:rPr>
                <w:lang w:eastAsia="en-AU"/>
              </w:rPr>
              <w:t>Only where exempt seller believes conditions of exemption are not appropriate for their situation</w:t>
            </w:r>
          </w:p>
        </w:tc>
      </w:tr>
      <w:tr w:rsidR="007C72D1" w:rsidTr="00587288">
        <w:tc>
          <w:tcPr>
            <w:tcW w:w="644" w:type="dxa"/>
            <w:vAlign w:val="center"/>
          </w:tcPr>
          <w:p w:rsidR="007C72D1" w:rsidRPr="00AB619E" w:rsidRDefault="007C72D1" w:rsidP="00587288">
            <w:pPr>
              <w:pStyle w:val="AERtabletextleft"/>
              <w:rPr>
                <w:rStyle w:val="AERbody"/>
                <w:sz w:val="16"/>
                <w:szCs w:val="16"/>
                <w:lang w:eastAsia="en-AU"/>
              </w:rPr>
            </w:pPr>
            <w:r w:rsidRPr="00AB619E">
              <w:rPr>
                <w:rStyle w:val="AERbody"/>
                <w:sz w:val="16"/>
                <w:szCs w:val="16"/>
                <w:lang w:eastAsia="en-AU"/>
              </w:rPr>
              <w:t>NR5</w:t>
            </w:r>
          </w:p>
        </w:tc>
        <w:tc>
          <w:tcPr>
            <w:tcW w:w="2737" w:type="dxa"/>
          </w:tcPr>
          <w:p w:rsidR="007C72D1" w:rsidRPr="002C466C" w:rsidRDefault="007C72D1" w:rsidP="00587288">
            <w:pPr>
              <w:pStyle w:val="AERtabletextleft"/>
              <w:rPr>
                <w:rStyle w:val="AERbody"/>
                <w:lang w:eastAsia="en-AU"/>
              </w:rPr>
            </w:pPr>
            <w:r w:rsidRPr="002C466C">
              <w:rPr>
                <w:lang w:eastAsia="en-AU"/>
              </w:rPr>
              <w:t>Persons selling metered energy to large customers.</w:t>
            </w:r>
          </w:p>
        </w:tc>
        <w:tc>
          <w:tcPr>
            <w:tcW w:w="3412" w:type="dxa"/>
          </w:tcPr>
          <w:p w:rsidR="007C72D1" w:rsidRPr="002C466C" w:rsidRDefault="007C72D1" w:rsidP="00587288">
            <w:pPr>
              <w:pStyle w:val="AERtabletextleft"/>
              <w:rPr>
                <w:lang w:eastAsia="en-AU"/>
              </w:rPr>
            </w:pPr>
            <w:r w:rsidRPr="002C466C">
              <w:rPr>
                <w:lang w:eastAsia="en-AU"/>
              </w:rPr>
              <w:t>Registrable for current and future sellers</w:t>
            </w:r>
          </w:p>
        </w:tc>
        <w:tc>
          <w:tcPr>
            <w:tcW w:w="2449" w:type="dxa"/>
          </w:tcPr>
          <w:p w:rsidR="007C72D1" w:rsidRPr="002C466C" w:rsidRDefault="007C72D1" w:rsidP="00587288">
            <w:pPr>
              <w:pStyle w:val="AERtabletextleft"/>
              <w:rPr>
                <w:lang w:eastAsia="en-AU"/>
              </w:rPr>
            </w:pPr>
            <w:r w:rsidRPr="002C466C">
              <w:rPr>
                <w:lang w:eastAsia="en-AU"/>
              </w:rPr>
              <w:t>Only where exempt seller believes conditions of exemption are not appropriate for their situation</w:t>
            </w:r>
          </w:p>
        </w:tc>
      </w:tr>
      <w:tr w:rsidR="007C72D1" w:rsidTr="00587288">
        <w:tc>
          <w:tcPr>
            <w:tcW w:w="644" w:type="dxa"/>
            <w:shd w:val="clear" w:color="auto" w:fill="DBE5F1"/>
            <w:vAlign w:val="center"/>
          </w:tcPr>
          <w:p w:rsidR="007C72D1" w:rsidRPr="00AB619E" w:rsidRDefault="007C72D1" w:rsidP="00587288">
            <w:pPr>
              <w:pStyle w:val="AERtabletextleft"/>
              <w:rPr>
                <w:rStyle w:val="AERbody"/>
                <w:sz w:val="16"/>
                <w:szCs w:val="16"/>
                <w:lang w:eastAsia="en-AU"/>
              </w:rPr>
            </w:pPr>
            <w:r w:rsidRPr="00AB619E">
              <w:rPr>
                <w:rStyle w:val="AERbody"/>
                <w:sz w:val="16"/>
                <w:szCs w:val="16"/>
                <w:lang w:eastAsia="en-AU"/>
              </w:rPr>
              <w:t>NR6</w:t>
            </w:r>
          </w:p>
        </w:tc>
        <w:tc>
          <w:tcPr>
            <w:tcW w:w="2737" w:type="dxa"/>
            <w:shd w:val="clear" w:color="auto" w:fill="DBE5F1"/>
          </w:tcPr>
          <w:p w:rsidR="007C72D1" w:rsidRPr="002C466C" w:rsidRDefault="007C72D1" w:rsidP="00587288">
            <w:pPr>
              <w:pStyle w:val="AERtabletextleft"/>
              <w:rPr>
                <w:rStyle w:val="AERbody"/>
                <w:lang w:eastAsia="en-AU"/>
              </w:rPr>
            </w:pPr>
            <w:r w:rsidRPr="002C466C">
              <w:rPr>
                <w:lang w:eastAsia="en-AU"/>
              </w:rPr>
              <w:t>Persons selling metered energy to small customers at a site or premises adjacent to a site that they own, occupy or operate.</w:t>
            </w:r>
          </w:p>
        </w:tc>
        <w:tc>
          <w:tcPr>
            <w:tcW w:w="3412" w:type="dxa"/>
            <w:shd w:val="clear" w:color="auto" w:fill="DBE5F1"/>
          </w:tcPr>
          <w:p w:rsidR="007C72D1" w:rsidRPr="002C466C" w:rsidRDefault="007C72D1" w:rsidP="00587288">
            <w:pPr>
              <w:pStyle w:val="AERtabletextleft"/>
              <w:rPr>
                <w:lang w:eastAsia="en-AU"/>
              </w:rPr>
            </w:pPr>
            <w:r w:rsidRPr="002C466C">
              <w:rPr>
                <w:lang w:eastAsia="en-AU"/>
              </w:rPr>
              <w:t>Registrable for current and future sellers</w:t>
            </w:r>
          </w:p>
        </w:tc>
        <w:tc>
          <w:tcPr>
            <w:tcW w:w="2449" w:type="dxa"/>
            <w:shd w:val="clear" w:color="auto" w:fill="DBE5F1"/>
          </w:tcPr>
          <w:p w:rsidR="007C72D1" w:rsidRPr="002C466C" w:rsidRDefault="007C72D1" w:rsidP="00587288">
            <w:pPr>
              <w:pStyle w:val="AERtabletextleft"/>
              <w:rPr>
                <w:lang w:eastAsia="en-AU"/>
              </w:rPr>
            </w:pPr>
            <w:r w:rsidRPr="002C466C">
              <w:rPr>
                <w:lang w:eastAsia="en-AU"/>
              </w:rPr>
              <w:t>Only where exempt seller believes conditions of exemption are not appropriate for their situation</w:t>
            </w:r>
          </w:p>
        </w:tc>
      </w:tr>
      <w:tr w:rsidR="007C72D1" w:rsidTr="00587288">
        <w:tc>
          <w:tcPr>
            <w:tcW w:w="644" w:type="dxa"/>
            <w:vAlign w:val="center"/>
          </w:tcPr>
          <w:p w:rsidR="007C72D1" w:rsidRPr="00AB619E" w:rsidRDefault="007C72D1" w:rsidP="00587288">
            <w:pPr>
              <w:pStyle w:val="AERtabletextleft"/>
              <w:rPr>
                <w:rStyle w:val="AERbody"/>
                <w:sz w:val="16"/>
                <w:szCs w:val="16"/>
                <w:lang w:eastAsia="en-AU"/>
              </w:rPr>
            </w:pPr>
            <w:r w:rsidRPr="00AB619E">
              <w:rPr>
                <w:rStyle w:val="AERbody"/>
                <w:sz w:val="16"/>
                <w:szCs w:val="16"/>
                <w:lang w:eastAsia="en-AU"/>
              </w:rPr>
              <w:t>NR7</w:t>
            </w:r>
          </w:p>
        </w:tc>
        <w:tc>
          <w:tcPr>
            <w:tcW w:w="2737" w:type="dxa"/>
          </w:tcPr>
          <w:p w:rsidR="007C72D1" w:rsidRPr="002C466C" w:rsidRDefault="007C72D1" w:rsidP="00587288">
            <w:pPr>
              <w:pStyle w:val="AERtabletextleft"/>
              <w:rPr>
                <w:rStyle w:val="AERbody"/>
                <w:lang w:eastAsia="en-AU"/>
              </w:rPr>
            </w:pPr>
            <w:r w:rsidRPr="002C466C">
              <w:rPr>
                <w:lang w:eastAsia="en-AU"/>
              </w:rPr>
              <w:t>Persons selling unmetered energy to small commercial/retail customers at a site that they own, occupy or operate.</w:t>
            </w:r>
          </w:p>
        </w:tc>
        <w:tc>
          <w:tcPr>
            <w:tcW w:w="3412" w:type="dxa"/>
          </w:tcPr>
          <w:p w:rsidR="007C72D1" w:rsidRPr="002C466C" w:rsidRDefault="007C72D1" w:rsidP="00587288">
            <w:pPr>
              <w:pStyle w:val="AERtabletextleft"/>
              <w:rPr>
                <w:lang w:eastAsia="en-AU"/>
              </w:rPr>
            </w:pPr>
            <w:r w:rsidRPr="002C466C">
              <w:rPr>
                <w:lang w:eastAsia="en-AU"/>
              </w:rPr>
              <w:t xml:space="preserve">Registrable for current sellers, until </w:t>
            </w:r>
            <w:r>
              <w:rPr>
                <w:lang w:eastAsia="en-AU"/>
              </w:rPr>
              <w:t>1 January 2015.</w:t>
            </w:r>
          </w:p>
        </w:tc>
        <w:tc>
          <w:tcPr>
            <w:tcW w:w="2449" w:type="dxa"/>
          </w:tcPr>
          <w:p w:rsidR="007C72D1" w:rsidRPr="002C466C" w:rsidRDefault="007C72D1" w:rsidP="00587288">
            <w:pPr>
              <w:pStyle w:val="AERtabletextleft"/>
              <w:rPr>
                <w:lang w:eastAsia="en-AU"/>
              </w:rPr>
            </w:pPr>
            <w:r>
              <w:rPr>
                <w:lang w:eastAsia="en-AU"/>
              </w:rPr>
              <w:t>The AER does not support unmetered energy sales to small customers.</w:t>
            </w:r>
          </w:p>
        </w:tc>
      </w:tr>
    </w:tbl>
    <w:p w:rsidR="007C72D1" w:rsidRPr="00CC2505" w:rsidRDefault="007C72D1" w:rsidP="007C72D1">
      <w:pPr>
        <w:pStyle w:val="AERtablesource"/>
      </w:pPr>
      <w:r w:rsidRPr="002C466C">
        <w:t>Note:</w:t>
      </w:r>
      <w:r>
        <w:t xml:space="preserve"> </w:t>
      </w:r>
      <w:r w:rsidRPr="002C466C">
        <w:tab/>
        <w:t>Classes of exemption labelled ‘NR_’ are ‘network registrable’ classes. Classes NR1 to NR7 are aligned to the Exempt Selling Guideline. The activity description and application criteria in this table are indicative only. Applicants should refer to the Exempt Selling Guideline to determine eligibility for a registrable exemption.</w:t>
      </w:r>
    </w:p>
    <w:p w:rsidR="007C72D1" w:rsidRPr="00747F76" w:rsidRDefault="007C72D1" w:rsidP="007C72D1">
      <w:r>
        <w:lastRenderedPageBreak/>
        <w:t xml:space="preserve">As discussed later in section </w:t>
      </w:r>
      <w:r w:rsidRPr="00747F76">
        <w:t xml:space="preserve">4, the AER does not anticipate the conditions associated with network exemption categories NR2 and NR3 will necessarily be amended from 1 January 2015. The application and approval process is subject to change to maintain consistency with the retail </w:t>
      </w:r>
      <w:r>
        <w:t>exempt selling</w:t>
      </w:r>
      <w:r w:rsidRPr="00747F76">
        <w:t xml:space="preserve"> guideline.</w:t>
      </w:r>
      <w:r>
        <w:t xml:space="preserve"> Thus, under the AER’s consolidated application process, an application for a retail individual exemption will trigger a requirement to apply for an individual network exemption. As noted in section</w:t>
      </w:r>
      <w:r w:rsidR="000844E8">
        <w:t xml:space="preserve"> </w:t>
      </w:r>
      <w:r w:rsidR="000844E8">
        <w:fldChar w:fldCharType="begin"/>
      </w:r>
      <w:r w:rsidR="000844E8">
        <w:instrText xml:space="preserve"> REF _Ref361831288 \r \h </w:instrText>
      </w:r>
      <w:r w:rsidR="000844E8">
        <w:fldChar w:fldCharType="separate"/>
      </w:r>
      <w:r w:rsidR="00D94AAA">
        <w:t>3.3</w:t>
      </w:r>
      <w:r w:rsidR="000844E8">
        <w:fldChar w:fldCharType="end"/>
      </w:r>
      <w:r>
        <w:t>, prior to 1 January 2015 the AER will seek to minimise the need for this application.</w:t>
      </w:r>
    </w:p>
    <w:p w:rsidR="007C72D1" w:rsidRDefault="007C72D1" w:rsidP="007C72D1">
      <w:r w:rsidRPr="00747F76">
        <w:t xml:space="preserve">For Class NR7, </w:t>
      </w:r>
      <w:r>
        <w:t xml:space="preserve">note that </w:t>
      </w:r>
      <w:r w:rsidRPr="00747F76">
        <w:t>the AER does not support the sale of unmetered energy</w:t>
      </w:r>
      <w:r>
        <w:t xml:space="preserve"> to small customers. We</w:t>
      </w:r>
      <w:r w:rsidRPr="00747F76">
        <w:t xml:space="preserve"> will only consider approving an </w:t>
      </w:r>
      <w:r>
        <w:t xml:space="preserve">individual </w:t>
      </w:r>
      <w:r w:rsidRPr="00747F76">
        <w:t>exemption for unmetered selling in exceptional circumstances</w:t>
      </w:r>
      <w:r>
        <w:t xml:space="preserve">, based on an application made in accordance with sections </w:t>
      </w:r>
      <w:r w:rsidR="000844E8">
        <w:fldChar w:fldCharType="begin"/>
      </w:r>
      <w:r w:rsidR="000844E8">
        <w:instrText xml:space="preserve"> REF _Ref361831288 \r \h </w:instrText>
      </w:r>
      <w:r w:rsidR="000844E8">
        <w:fldChar w:fldCharType="separate"/>
      </w:r>
      <w:r w:rsidR="00D94AAA">
        <w:t>3.3</w:t>
      </w:r>
      <w:r w:rsidR="000844E8">
        <w:fldChar w:fldCharType="end"/>
      </w:r>
      <w:r w:rsidR="000844E8">
        <w:t xml:space="preserve"> </w:t>
      </w:r>
      <w:r>
        <w:t>and</w:t>
      </w:r>
      <w:r w:rsidR="000844E8">
        <w:t xml:space="preserve"> </w:t>
      </w:r>
      <w:r w:rsidR="000844E8">
        <w:fldChar w:fldCharType="begin"/>
      </w:r>
      <w:r w:rsidR="000844E8">
        <w:instrText xml:space="preserve"> REF _Ref361831452 \r \h </w:instrText>
      </w:r>
      <w:r w:rsidR="000844E8">
        <w:fldChar w:fldCharType="separate"/>
      </w:r>
      <w:r w:rsidR="00D94AAA">
        <w:t>5.2</w:t>
      </w:r>
      <w:r w:rsidR="000844E8">
        <w:fldChar w:fldCharType="end"/>
      </w:r>
      <w:r w:rsidRPr="00747F76">
        <w:t>. Class NR7 excludes networks in Queensland that are deemed exempt under Class ND6 in Table 1.</w:t>
      </w:r>
      <w:r>
        <w:t xml:space="preserve"> </w:t>
      </w:r>
    </w:p>
    <w:p w:rsidR="007C72D1" w:rsidRDefault="007C72D1" w:rsidP="007C72D1">
      <w:pPr>
        <w:pStyle w:val="Caption"/>
      </w:pPr>
      <w:r w:rsidRPr="00C9334E">
        <w:t>Table 4 – Registrable classes of exemption – other situations</w:t>
      </w:r>
    </w:p>
    <w:tbl>
      <w:tblPr>
        <w:tblW w:w="0" w:type="auto"/>
        <w:tblBorders>
          <w:bottom w:val="single" w:sz="4" w:space="0" w:color="365F91"/>
        </w:tblBorders>
        <w:tblLook w:val="04A0" w:firstRow="1" w:lastRow="0" w:firstColumn="1" w:lastColumn="0" w:noHBand="0" w:noVBand="1"/>
      </w:tblPr>
      <w:tblGrid>
        <w:gridCol w:w="772"/>
        <w:gridCol w:w="3888"/>
        <w:gridCol w:w="2501"/>
        <w:gridCol w:w="2081"/>
      </w:tblGrid>
      <w:tr w:rsidR="007C72D1" w:rsidTr="00587288">
        <w:tc>
          <w:tcPr>
            <w:tcW w:w="0" w:type="auto"/>
            <w:shd w:val="clear" w:color="auto" w:fill="365F91"/>
            <w:vAlign w:val="center"/>
          </w:tcPr>
          <w:p w:rsidR="007C72D1" w:rsidRPr="00870F97" w:rsidRDefault="007C72D1" w:rsidP="00587288">
            <w:pPr>
              <w:pStyle w:val="AERtabletextleft"/>
              <w:rPr>
                <w:b/>
                <w:color w:val="FFFFFF"/>
                <w:lang w:eastAsia="en-AU"/>
              </w:rPr>
            </w:pPr>
            <w:r w:rsidRPr="00870F97">
              <w:rPr>
                <w:b/>
                <w:color w:val="FFFFFF"/>
                <w:lang w:eastAsia="en-AU"/>
              </w:rPr>
              <w:t>Class</w:t>
            </w:r>
          </w:p>
        </w:tc>
        <w:tc>
          <w:tcPr>
            <w:tcW w:w="0" w:type="auto"/>
            <w:shd w:val="clear" w:color="auto" w:fill="365F91"/>
            <w:vAlign w:val="center"/>
          </w:tcPr>
          <w:p w:rsidR="007C72D1" w:rsidRPr="00870F97" w:rsidRDefault="007C72D1" w:rsidP="00587288">
            <w:pPr>
              <w:pStyle w:val="AERtabletextleft"/>
              <w:rPr>
                <w:b/>
                <w:color w:val="FFFFFF"/>
                <w:lang w:eastAsia="en-AU"/>
              </w:rPr>
            </w:pPr>
            <w:r w:rsidRPr="00870F97">
              <w:rPr>
                <w:b/>
                <w:color w:val="FFFFFF"/>
                <w:lang w:eastAsia="en-AU"/>
              </w:rPr>
              <w:t>Activity</w:t>
            </w:r>
          </w:p>
        </w:tc>
        <w:tc>
          <w:tcPr>
            <w:tcW w:w="0" w:type="auto"/>
            <w:shd w:val="clear" w:color="auto" w:fill="365F91"/>
            <w:vAlign w:val="center"/>
          </w:tcPr>
          <w:p w:rsidR="007C72D1" w:rsidRPr="00870F97" w:rsidRDefault="007C72D1" w:rsidP="00587288">
            <w:pPr>
              <w:pStyle w:val="AERtabletextleft"/>
              <w:rPr>
                <w:b/>
                <w:color w:val="FFFFFF"/>
                <w:lang w:eastAsia="en-AU"/>
              </w:rPr>
            </w:pPr>
            <w:r w:rsidRPr="00870F97">
              <w:rPr>
                <w:b/>
                <w:color w:val="FFFFFF"/>
                <w:lang w:eastAsia="en-AU"/>
              </w:rPr>
              <w:t>Registrable exemption</w:t>
            </w:r>
          </w:p>
        </w:tc>
        <w:tc>
          <w:tcPr>
            <w:tcW w:w="0" w:type="auto"/>
            <w:shd w:val="clear" w:color="auto" w:fill="365F91"/>
            <w:vAlign w:val="center"/>
          </w:tcPr>
          <w:p w:rsidR="007C72D1" w:rsidRPr="00870F97" w:rsidRDefault="007C72D1" w:rsidP="00587288">
            <w:pPr>
              <w:pStyle w:val="AERtabletextleft"/>
              <w:rPr>
                <w:b/>
                <w:color w:val="FFFFFF"/>
                <w:lang w:eastAsia="en-AU"/>
              </w:rPr>
            </w:pPr>
            <w:r w:rsidRPr="00870F97">
              <w:rPr>
                <w:b/>
                <w:color w:val="FFFFFF"/>
                <w:lang w:eastAsia="en-AU"/>
              </w:rPr>
              <w:t>Application for individual exemption</w:t>
            </w:r>
          </w:p>
        </w:tc>
      </w:tr>
      <w:tr w:rsidR="007C72D1" w:rsidTr="00587288">
        <w:tc>
          <w:tcPr>
            <w:tcW w:w="0" w:type="auto"/>
          </w:tcPr>
          <w:p w:rsidR="007C72D1" w:rsidRPr="00870F97" w:rsidRDefault="007C72D1" w:rsidP="00587288">
            <w:pPr>
              <w:spacing w:before="120"/>
              <w:rPr>
                <w:sz w:val="16"/>
                <w:lang w:eastAsia="en-AU"/>
              </w:rPr>
            </w:pPr>
            <w:r w:rsidRPr="00870F97">
              <w:rPr>
                <w:sz w:val="16"/>
                <w:lang w:eastAsia="en-AU"/>
              </w:rPr>
              <w:t>NRO1</w:t>
            </w:r>
            <w:r w:rsidRPr="00870F97">
              <w:rPr>
                <w:rStyle w:val="FootnoteReference"/>
                <w:sz w:val="16"/>
                <w:lang w:eastAsia="en-AU"/>
              </w:rPr>
              <w:footnoteReference w:id="24"/>
            </w:r>
          </w:p>
        </w:tc>
        <w:tc>
          <w:tcPr>
            <w:tcW w:w="0" w:type="auto"/>
          </w:tcPr>
          <w:p w:rsidR="007C72D1" w:rsidRPr="00747F76" w:rsidRDefault="007C72D1" w:rsidP="00587288">
            <w:pPr>
              <w:pStyle w:val="AERtabletextleft"/>
              <w:rPr>
                <w:lang w:eastAsia="en-AU"/>
              </w:rPr>
            </w:pPr>
            <w:r w:rsidRPr="00747F76">
              <w:rPr>
                <w:lang w:eastAsia="en-AU"/>
              </w:rPr>
              <w:t>Off-market energy generation by equipment owned, operated or controlled by a third-party and connected to the NEM via a private electricity connection</w:t>
            </w:r>
          </w:p>
        </w:tc>
        <w:tc>
          <w:tcPr>
            <w:tcW w:w="0" w:type="auto"/>
          </w:tcPr>
          <w:p w:rsidR="007C72D1" w:rsidRPr="00747F76" w:rsidRDefault="007C72D1" w:rsidP="00587288">
            <w:pPr>
              <w:pStyle w:val="AERtabletextleft"/>
              <w:rPr>
                <w:lang w:eastAsia="en-AU"/>
              </w:rPr>
            </w:pPr>
            <w:r w:rsidRPr="00747F76">
              <w:rPr>
                <w:lang w:eastAsia="en-AU"/>
              </w:rPr>
              <w:t>Energy generation installations intended to supply network support or demand management services to the NEM</w:t>
            </w:r>
          </w:p>
        </w:tc>
        <w:tc>
          <w:tcPr>
            <w:tcW w:w="0" w:type="auto"/>
          </w:tcPr>
          <w:p w:rsidR="007C72D1" w:rsidRPr="00747F76" w:rsidRDefault="007C72D1" w:rsidP="00587288">
            <w:pPr>
              <w:pStyle w:val="AERtabletextleft"/>
              <w:rPr>
                <w:lang w:eastAsia="en-AU"/>
              </w:rPr>
            </w:pPr>
            <w:r w:rsidRPr="00747F76">
              <w:rPr>
                <w:lang w:eastAsia="en-AU"/>
              </w:rPr>
              <w:t>Only where exempt party believes conditions of exemption are not appropriate for their situation</w:t>
            </w:r>
          </w:p>
        </w:tc>
      </w:tr>
      <w:tr w:rsidR="007C72D1" w:rsidTr="00587288">
        <w:tc>
          <w:tcPr>
            <w:tcW w:w="0" w:type="auto"/>
            <w:shd w:val="clear" w:color="auto" w:fill="DBE5F1"/>
          </w:tcPr>
          <w:p w:rsidR="007C72D1" w:rsidRPr="00870F97" w:rsidRDefault="007C72D1" w:rsidP="00587288">
            <w:pPr>
              <w:spacing w:before="120"/>
              <w:rPr>
                <w:sz w:val="16"/>
                <w:lang w:eastAsia="en-AU"/>
              </w:rPr>
            </w:pPr>
            <w:r w:rsidRPr="00870F97">
              <w:rPr>
                <w:sz w:val="16"/>
                <w:lang w:eastAsia="en-AU"/>
              </w:rPr>
              <w:t>NRO2</w:t>
            </w:r>
            <w:r w:rsidRPr="00870F97">
              <w:rPr>
                <w:rStyle w:val="FootnoteReference"/>
                <w:sz w:val="16"/>
                <w:lang w:eastAsia="en-AU"/>
              </w:rPr>
              <w:footnoteReference w:id="25"/>
            </w:r>
          </w:p>
        </w:tc>
        <w:tc>
          <w:tcPr>
            <w:tcW w:w="0" w:type="auto"/>
            <w:shd w:val="clear" w:color="auto" w:fill="DBE5F1"/>
          </w:tcPr>
          <w:p w:rsidR="007C72D1" w:rsidRPr="00747F76" w:rsidRDefault="007C72D1" w:rsidP="00587288">
            <w:pPr>
              <w:pStyle w:val="AERtabletextleft"/>
              <w:rPr>
                <w:lang w:eastAsia="en-AU"/>
              </w:rPr>
            </w:pPr>
            <w:r w:rsidRPr="00747F76">
              <w:rPr>
                <w:lang w:eastAsia="en-AU"/>
              </w:rPr>
              <w:t>On-market energy generation by equipment owned, operated or controlled by a third-party and connected to the NEM via a private electricity connection</w:t>
            </w:r>
          </w:p>
        </w:tc>
        <w:tc>
          <w:tcPr>
            <w:tcW w:w="0" w:type="auto"/>
            <w:shd w:val="clear" w:color="auto" w:fill="DBE5F1"/>
          </w:tcPr>
          <w:p w:rsidR="007C72D1" w:rsidRPr="00747F76" w:rsidRDefault="007C72D1" w:rsidP="00587288">
            <w:pPr>
              <w:pStyle w:val="AERtabletextleft"/>
              <w:rPr>
                <w:lang w:eastAsia="en-AU"/>
              </w:rPr>
            </w:pPr>
            <w:r w:rsidRPr="00747F76">
              <w:rPr>
                <w:lang w:eastAsia="en-AU"/>
              </w:rPr>
              <w:t>Energy generation installations required to be registered with AEMO under clause 2.5.2 of the NER</w:t>
            </w:r>
          </w:p>
        </w:tc>
        <w:tc>
          <w:tcPr>
            <w:tcW w:w="0" w:type="auto"/>
            <w:shd w:val="clear" w:color="auto" w:fill="DBE5F1"/>
          </w:tcPr>
          <w:p w:rsidR="007C72D1" w:rsidRPr="00747F76" w:rsidRDefault="007C72D1" w:rsidP="00587288">
            <w:pPr>
              <w:pStyle w:val="AERtabletextleft"/>
              <w:rPr>
                <w:lang w:eastAsia="en-AU"/>
              </w:rPr>
            </w:pPr>
            <w:r w:rsidRPr="00747F76">
              <w:rPr>
                <w:lang w:eastAsia="en-AU"/>
              </w:rPr>
              <w:t>Only where exempt party believes conditions of exemption are not appropriate for their situation</w:t>
            </w:r>
          </w:p>
        </w:tc>
      </w:tr>
      <w:tr w:rsidR="007C72D1" w:rsidTr="00587288">
        <w:tc>
          <w:tcPr>
            <w:tcW w:w="0" w:type="auto"/>
          </w:tcPr>
          <w:p w:rsidR="007C72D1" w:rsidRPr="00870F97" w:rsidRDefault="007C72D1" w:rsidP="00587288">
            <w:pPr>
              <w:spacing w:before="120"/>
              <w:rPr>
                <w:sz w:val="16"/>
                <w:lang w:eastAsia="en-AU"/>
              </w:rPr>
            </w:pPr>
            <w:r w:rsidRPr="00870F97">
              <w:rPr>
                <w:sz w:val="16"/>
                <w:lang w:eastAsia="en-AU"/>
              </w:rPr>
              <w:t>NRO3</w:t>
            </w:r>
          </w:p>
        </w:tc>
        <w:tc>
          <w:tcPr>
            <w:tcW w:w="0" w:type="auto"/>
          </w:tcPr>
          <w:p w:rsidR="007C72D1" w:rsidRPr="00747F76" w:rsidRDefault="007C72D1" w:rsidP="00587288">
            <w:pPr>
              <w:pStyle w:val="AERtabletextleft"/>
              <w:rPr>
                <w:lang w:eastAsia="en-AU"/>
              </w:rPr>
            </w:pPr>
            <w:r w:rsidRPr="00747F76">
              <w:rPr>
                <w:lang w:eastAsia="en-AU"/>
              </w:rPr>
              <w:t>Ongoing supply to a mining or primary production facility and associated residential, commercial, industrial, processing and ancillary support facilities</w:t>
            </w:r>
            <w:r w:rsidRPr="00747F76">
              <w:rPr>
                <w:rStyle w:val="FootnoteReference"/>
                <w:lang w:eastAsia="en-AU"/>
              </w:rPr>
              <w:footnoteReference w:id="26"/>
            </w:r>
            <w:r w:rsidRPr="00747F76">
              <w:rPr>
                <w:lang w:eastAsia="en-AU"/>
              </w:rPr>
              <w:t xml:space="preserve"> in areas with restricted access to NEM supply</w:t>
            </w:r>
          </w:p>
        </w:tc>
        <w:tc>
          <w:tcPr>
            <w:tcW w:w="0" w:type="auto"/>
          </w:tcPr>
          <w:p w:rsidR="007C72D1" w:rsidRPr="00747F76" w:rsidRDefault="007C72D1" w:rsidP="00587288">
            <w:pPr>
              <w:pStyle w:val="AERtabletextleft"/>
              <w:rPr>
                <w:lang w:eastAsia="en-AU"/>
              </w:rPr>
            </w:pPr>
            <w:r w:rsidRPr="00747F76">
              <w:rPr>
                <w:lang w:eastAsia="en-AU"/>
              </w:rPr>
              <w:t>All bona fide installations, subject to demonstrable circumstances of remoteness from existing NEM supply infrastructure</w:t>
            </w:r>
          </w:p>
        </w:tc>
        <w:tc>
          <w:tcPr>
            <w:tcW w:w="0" w:type="auto"/>
          </w:tcPr>
          <w:p w:rsidR="007C72D1" w:rsidRPr="00747F76" w:rsidRDefault="007C72D1" w:rsidP="00587288">
            <w:pPr>
              <w:pStyle w:val="AERtabletextleft"/>
              <w:rPr>
                <w:lang w:eastAsia="en-AU"/>
              </w:rPr>
            </w:pPr>
            <w:r w:rsidRPr="00747F76">
              <w:rPr>
                <w:lang w:eastAsia="en-AU"/>
              </w:rPr>
              <w:t>Only where exempt party believes conditions of exemption are not appropriate for their situation</w:t>
            </w:r>
          </w:p>
        </w:tc>
      </w:tr>
      <w:tr w:rsidR="007C72D1" w:rsidTr="00587288">
        <w:tc>
          <w:tcPr>
            <w:tcW w:w="0" w:type="auto"/>
            <w:shd w:val="clear" w:color="auto" w:fill="DBE5F1"/>
          </w:tcPr>
          <w:p w:rsidR="007C72D1" w:rsidRPr="00870F97" w:rsidRDefault="007C72D1" w:rsidP="00587288">
            <w:pPr>
              <w:spacing w:before="120"/>
              <w:rPr>
                <w:sz w:val="16"/>
                <w:lang w:eastAsia="en-AU"/>
              </w:rPr>
            </w:pPr>
            <w:r w:rsidRPr="00870F97">
              <w:rPr>
                <w:sz w:val="16"/>
                <w:lang w:eastAsia="en-AU"/>
              </w:rPr>
              <w:t>NRO4</w:t>
            </w:r>
          </w:p>
        </w:tc>
        <w:tc>
          <w:tcPr>
            <w:tcW w:w="0" w:type="auto"/>
            <w:shd w:val="clear" w:color="auto" w:fill="DBE5F1"/>
          </w:tcPr>
          <w:p w:rsidR="007C72D1" w:rsidRPr="00747F76" w:rsidRDefault="007C72D1" w:rsidP="00587288">
            <w:pPr>
              <w:pStyle w:val="AERtabletextleft"/>
              <w:rPr>
                <w:lang w:eastAsia="en-AU"/>
              </w:rPr>
            </w:pPr>
            <w:r w:rsidRPr="00747F76">
              <w:rPr>
                <w:lang w:eastAsia="en-AU"/>
              </w:rPr>
              <w:t xml:space="preserve">Industrial, commercial and ‘mixed-use’ facilities but not including </w:t>
            </w:r>
            <w:r>
              <w:rPr>
                <w:lang w:eastAsia="en-AU"/>
              </w:rPr>
              <w:t xml:space="preserve">residential or </w:t>
            </w:r>
            <w:r w:rsidRPr="00747F76">
              <w:rPr>
                <w:lang w:eastAsia="en-AU"/>
              </w:rPr>
              <w:t>energy generation activity and any activity listed in table 3.</w:t>
            </w:r>
            <w:r>
              <w:rPr>
                <w:lang w:eastAsia="en-AU"/>
              </w:rPr>
              <w:t xml:space="preserve"> Includes the unmetered supply of energy under an agreed commercial scheme between large customers.</w:t>
            </w:r>
          </w:p>
        </w:tc>
        <w:tc>
          <w:tcPr>
            <w:tcW w:w="0" w:type="auto"/>
            <w:shd w:val="clear" w:color="auto" w:fill="DBE5F1"/>
          </w:tcPr>
          <w:p w:rsidR="007C72D1" w:rsidRPr="00747F76" w:rsidRDefault="007C72D1" w:rsidP="00587288">
            <w:pPr>
              <w:pStyle w:val="AERtabletextleft"/>
              <w:rPr>
                <w:lang w:eastAsia="en-AU"/>
              </w:rPr>
            </w:pPr>
            <w:r w:rsidRPr="00747F76">
              <w:rPr>
                <w:lang w:eastAsia="en-AU"/>
              </w:rPr>
              <w:t>All installations</w:t>
            </w:r>
          </w:p>
        </w:tc>
        <w:tc>
          <w:tcPr>
            <w:tcW w:w="0" w:type="auto"/>
            <w:shd w:val="clear" w:color="auto" w:fill="DBE5F1"/>
          </w:tcPr>
          <w:p w:rsidR="007C72D1" w:rsidRPr="00747F76" w:rsidRDefault="007C72D1" w:rsidP="00587288">
            <w:pPr>
              <w:pStyle w:val="AERtabletextleft"/>
              <w:rPr>
                <w:lang w:eastAsia="en-AU"/>
              </w:rPr>
            </w:pPr>
            <w:r w:rsidRPr="00747F76">
              <w:rPr>
                <w:lang w:eastAsia="en-AU"/>
              </w:rPr>
              <w:t>Only where exempt party believes conditions of exemption are not appropriate for their situation</w:t>
            </w:r>
          </w:p>
        </w:tc>
      </w:tr>
      <w:tr w:rsidR="007C72D1" w:rsidTr="00587288">
        <w:tc>
          <w:tcPr>
            <w:tcW w:w="0" w:type="auto"/>
          </w:tcPr>
          <w:p w:rsidR="007C72D1" w:rsidRPr="00870F97" w:rsidRDefault="007C72D1" w:rsidP="00587288">
            <w:pPr>
              <w:spacing w:before="120"/>
              <w:rPr>
                <w:sz w:val="16"/>
                <w:lang w:eastAsia="en-AU"/>
              </w:rPr>
            </w:pPr>
            <w:r w:rsidRPr="00870F97">
              <w:rPr>
                <w:sz w:val="16"/>
                <w:lang w:eastAsia="en-AU"/>
              </w:rPr>
              <w:t>NRO5</w:t>
            </w:r>
          </w:p>
        </w:tc>
        <w:tc>
          <w:tcPr>
            <w:tcW w:w="0" w:type="auto"/>
          </w:tcPr>
          <w:p w:rsidR="007C72D1" w:rsidRPr="00747F76" w:rsidRDefault="007C72D1" w:rsidP="00587288">
            <w:pPr>
              <w:pStyle w:val="AERtabletextleft"/>
              <w:rPr>
                <w:lang w:eastAsia="en-AU"/>
              </w:rPr>
            </w:pPr>
            <w:r w:rsidRPr="00747F76">
              <w:rPr>
                <w:lang w:eastAsia="en-AU"/>
              </w:rPr>
              <w:t>Metered energy selling to customers in networks with metering infrastructure enabling access to full retail competition in a jurisdiction</w:t>
            </w:r>
            <w:r w:rsidRPr="00747F76">
              <w:rPr>
                <w:rStyle w:val="FootnoteReference"/>
                <w:lang w:eastAsia="en-AU"/>
              </w:rPr>
              <w:footnoteReference w:id="27"/>
            </w:r>
          </w:p>
        </w:tc>
        <w:tc>
          <w:tcPr>
            <w:tcW w:w="0" w:type="auto"/>
          </w:tcPr>
          <w:p w:rsidR="007C72D1" w:rsidRPr="00747F76" w:rsidRDefault="007C72D1" w:rsidP="00587288">
            <w:pPr>
              <w:pStyle w:val="AERtabletextleft"/>
              <w:rPr>
                <w:lang w:eastAsia="en-AU"/>
              </w:rPr>
            </w:pPr>
            <w:r w:rsidRPr="00747F76">
              <w:rPr>
                <w:lang w:eastAsia="en-AU"/>
              </w:rPr>
              <w:t>All installations</w:t>
            </w:r>
          </w:p>
        </w:tc>
        <w:tc>
          <w:tcPr>
            <w:tcW w:w="0" w:type="auto"/>
          </w:tcPr>
          <w:p w:rsidR="007C72D1" w:rsidRPr="00747F76" w:rsidRDefault="007C72D1" w:rsidP="00587288">
            <w:pPr>
              <w:pStyle w:val="AERtabletextleft"/>
              <w:rPr>
                <w:lang w:eastAsia="en-AU"/>
              </w:rPr>
            </w:pPr>
            <w:r w:rsidRPr="00747F76">
              <w:rPr>
                <w:lang w:eastAsia="en-AU"/>
              </w:rPr>
              <w:t>Only where exempt party believes conditions of exemption are not appropriate for their situation</w:t>
            </w:r>
          </w:p>
        </w:tc>
      </w:tr>
    </w:tbl>
    <w:p w:rsidR="007C72D1" w:rsidRDefault="007C72D1" w:rsidP="007C72D1">
      <w:pPr>
        <w:pStyle w:val="AERtablesource"/>
        <w:spacing w:after="120"/>
        <w:contextualSpacing w:val="0"/>
      </w:pPr>
      <w:r w:rsidRPr="00BF1CBF">
        <w:t>Note:</w:t>
      </w:r>
      <w:r>
        <w:t xml:space="preserve"> </w:t>
      </w:r>
      <w:r>
        <w:tab/>
      </w:r>
      <w:r w:rsidRPr="00747F76">
        <w:t>Classes of exemption labelled ‘NRO_’ are ‘network registrable other’ classes, and have no equivalent class in the Exempt Selling Guideline. Eligibility for a network registrable exemption is set out in this table.</w:t>
      </w:r>
    </w:p>
    <w:p w:rsidR="007C72D1" w:rsidRDefault="007C72D1" w:rsidP="007C72D1">
      <w:r>
        <w:lastRenderedPageBreak/>
        <w:t xml:space="preserve">The supply of </w:t>
      </w:r>
      <w:r w:rsidRPr="00747F76">
        <w:t>network services in accordance with a commercial agreement between private parties is permitted for each class listed in Table 4, except class NRO5.</w:t>
      </w:r>
    </w:p>
    <w:p w:rsidR="007C72D1" w:rsidRPr="00747F76" w:rsidRDefault="007C72D1" w:rsidP="007C72D1">
      <w:pPr>
        <w:pStyle w:val="Heading2"/>
        <w:numPr>
          <w:ilvl w:val="2"/>
          <w:numId w:val="9"/>
        </w:numPr>
      </w:pPr>
      <w:bookmarkStart w:id="18" w:name="_Ref361831288"/>
      <w:bookmarkStart w:id="19" w:name="_Ref361831397"/>
      <w:bookmarkStart w:id="20" w:name="_Toc365299418"/>
      <w:r w:rsidRPr="00747F76">
        <w:t>Individual exemption</w:t>
      </w:r>
      <w:bookmarkEnd w:id="18"/>
      <w:bookmarkEnd w:id="19"/>
      <w:bookmarkEnd w:id="20"/>
      <w:r w:rsidRPr="00747F76">
        <w:t xml:space="preserve"> </w:t>
      </w:r>
    </w:p>
    <w:p w:rsidR="007C72D1" w:rsidRPr="00747F76" w:rsidRDefault="007C72D1" w:rsidP="007C72D1">
      <w:r w:rsidRPr="00747F76">
        <w:t xml:space="preserve">Class NRI in Table 5 refers to network exemptions specific to the circumstances of the applicant. This will apply in circumstances where an applicant is unable to conform to all of the conditions applicable to any relevant class of registrable exemption or where no class exists which covers the activities for which the applicant seeks exemption. </w:t>
      </w:r>
    </w:p>
    <w:p w:rsidR="007C72D1" w:rsidRPr="00747F76" w:rsidRDefault="007C72D1" w:rsidP="007C72D1">
      <w:r w:rsidRPr="00BF1CBF">
        <w:t>The conditions set out in sections</w:t>
      </w:r>
      <w:r w:rsidR="000844E8">
        <w:t xml:space="preserve"> </w:t>
      </w:r>
      <w:r w:rsidR="000844E8">
        <w:fldChar w:fldCharType="begin"/>
      </w:r>
      <w:r w:rsidR="000844E8">
        <w:instrText xml:space="preserve"> REF _Ref361908096 \r \h </w:instrText>
      </w:r>
      <w:r w:rsidR="000844E8">
        <w:fldChar w:fldCharType="separate"/>
      </w:r>
      <w:r w:rsidR="00D94AAA">
        <w:t>4.1</w:t>
      </w:r>
      <w:r w:rsidR="000844E8">
        <w:fldChar w:fldCharType="end"/>
      </w:r>
      <w:r w:rsidR="00AC1913">
        <w:t xml:space="preserve"> </w:t>
      </w:r>
      <w:r w:rsidR="00AC1913" w:rsidRPr="00C9334E">
        <w:t>–</w:t>
      </w:r>
      <w:r w:rsidR="00AC1913">
        <w:t xml:space="preserve"> </w:t>
      </w:r>
      <w:r w:rsidR="00AC1913">
        <w:fldChar w:fldCharType="begin"/>
      </w:r>
      <w:r w:rsidR="00AC1913">
        <w:instrText xml:space="preserve"> REF _Ref361908133 \r \h </w:instrText>
      </w:r>
      <w:r w:rsidR="00AC1913">
        <w:fldChar w:fldCharType="separate"/>
      </w:r>
      <w:r w:rsidR="00D94AAA">
        <w:t>4.6</w:t>
      </w:r>
      <w:r w:rsidR="00AC1913">
        <w:fldChar w:fldCharType="end"/>
      </w:r>
      <w:r w:rsidRPr="00BF1CBF">
        <w:t xml:space="preserve"> of Part B of the Guideline</w:t>
      </w:r>
      <w:r w:rsidRPr="00BF1CBF" w:rsidDel="008314B9">
        <w:t xml:space="preserve"> </w:t>
      </w:r>
      <w:r w:rsidRPr="00BF1CBF">
        <w:t xml:space="preserve">apply to all </w:t>
      </w:r>
      <w:r>
        <w:t xml:space="preserve">individual network </w:t>
      </w:r>
      <w:r w:rsidRPr="00BF1CBF">
        <w:t xml:space="preserve">exemptions unless specifically varied by a decision of the AER. </w:t>
      </w:r>
      <w:r w:rsidRPr="00747F76">
        <w:t>Where an application for an individual network exemption or for a variation of conditions is required, it must be made in the form set out in section </w:t>
      </w:r>
      <w:r w:rsidR="00AC1913">
        <w:fldChar w:fldCharType="begin"/>
      </w:r>
      <w:r w:rsidR="00AC1913">
        <w:instrText xml:space="preserve"> REF _Ref361831452 \r \h </w:instrText>
      </w:r>
      <w:r w:rsidR="00AC1913">
        <w:fldChar w:fldCharType="separate"/>
      </w:r>
      <w:r w:rsidR="00D94AAA">
        <w:t>5.2</w:t>
      </w:r>
      <w:r w:rsidR="00AC1913">
        <w:fldChar w:fldCharType="end"/>
      </w:r>
      <w:r w:rsidRPr="00747F76">
        <w:t xml:space="preserve"> in Part C of </w:t>
      </w:r>
      <w:r w:rsidRPr="00BF1CBF">
        <w:t>th</w:t>
      </w:r>
      <w:r>
        <w:t>is</w:t>
      </w:r>
      <w:r w:rsidRPr="00BF1CBF">
        <w:t xml:space="preserve"> Guideline</w:t>
      </w:r>
      <w:r w:rsidRPr="00747F76">
        <w:t xml:space="preserve">. </w:t>
      </w:r>
    </w:p>
    <w:p w:rsidR="007C72D1" w:rsidRPr="00747F76" w:rsidRDefault="007C72D1" w:rsidP="007C72D1">
      <w:r w:rsidRPr="00747F76">
        <w:t xml:space="preserve">Parties who assume control of a private network subject to an individual exemption must, within not more than </w:t>
      </w:r>
      <w:r>
        <w:t>2</w:t>
      </w:r>
      <w:r w:rsidRPr="00747F76">
        <w:t xml:space="preserve">0 business days of commencing to own, operate or control that private network, make an application for exemption in the form set out in section </w:t>
      </w:r>
      <w:r w:rsidR="00AC1913">
        <w:fldChar w:fldCharType="begin"/>
      </w:r>
      <w:r w:rsidR="00AC1913">
        <w:instrText xml:space="preserve"> REF _Ref361908335 \r \h </w:instrText>
      </w:r>
      <w:r w:rsidR="00AC1913">
        <w:fldChar w:fldCharType="separate"/>
      </w:r>
      <w:r w:rsidR="00D94AAA">
        <w:t>5</w:t>
      </w:r>
      <w:r w:rsidR="00AC1913">
        <w:fldChar w:fldCharType="end"/>
      </w:r>
      <w:r w:rsidRPr="00747F76">
        <w:t xml:space="preserve"> in Part C of </w:t>
      </w:r>
      <w:r w:rsidRPr="00BF1CBF">
        <w:t>th</w:t>
      </w:r>
      <w:r>
        <w:t>is</w:t>
      </w:r>
      <w:r w:rsidRPr="00BF1CBF">
        <w:t xml:space="preserve"> Guideline</w:t>
      </w:r>
      <w:r>
        <w:t>.</w:t>
      </w:r>
    </w:p>
    <w:p w:rsidR="007C72D1" w:rsidRDefault="007C72D1" w:rsidP="007C72D1">
      <w:pPr>
        <w:pStyle w:val="Caption"/>
      </w:pPr>
      <w:r w:rsidRPr="00C9334E">
        <w:t xml:space="preserve">Table 5 – Individual network exemption class </w:t>
      </w:r>
    </w:p>
    <w:tbl>
      <w:tblPr>
        <w:tblW w:w="0" w:type="auto"/>
        <w:tblBorders>
          <w:bottom w:val="single" w:sz="4" w:space="0" w:color="365F91"/>
        </w:tblBorders>
        <w:tblLook w:val="04A0" w:firstRow="1" w:lastRow="0" w:firstColumn="1" w:lastColumn="0" w:noHBand="0" w:noVBand="1"/>
      </w:tblPr>
      <w:tblGrid>
        <w:gridCol w:w="644"/>
        <w:gridCol w:w="3894"/>
        <w:gridCol w:w="1907"/>
        <w:gridCol w:w="2797"/>
      </w:tblGrid>
      <w:tr w:rsidR="007C72D1" w:rsidTr="00587288">
        <w:tc>
          <w:tcPr>
            <w:tcW w:w="0" w:type="auto"/>
            <w:shd w:val="clear" w:color="auto" w:fill="365F91"/>
            <w:vAlign w:val="center"/>
          </w:tcPr>
          <w:p w:rsidR="007C72D1" w:rsidRPr="00870F97" w:rsidRDefault="007C72D1" w:rsidP="00587288">
            <w:pPr>
              <w:pStyle w:val="AERtabletextleft"/>
              <w:rPr>
                <w:b/>
                <w:color w:val="FFFFFF"/>
                <w:lang w:eastAsia="en-AU"/>
              </w:rPr>
            </w:pPr>
            <w:r w:rsidRPr="00870F97">
              <w:rPr>
                <w:b/>
                <w:color w:val="FFFFFF"/>
                <w:lang w:eastAsia="en-AU"/>
              </w:rPr>
              <w:t>Class</w:t>
            </w:r>
          </w:p>
        </w:tc>
        <w:tc>
          <w:tcPr>
            <w:tcW w:w="0" w:type="auto"/>
            <w:shd w:val="clear" w:color="auto" w:fill="365F91"/>
            <w:vAlign w:val="center"/>
          </w:tcPr>
          <w:p w:rsidR="007C72D1" w:rsidRPr="00870F97" w:rsidRDefault="007C72D1" w:rsidP="00587288">
            <w:pPr>
              <w:pStyle w:val="AERtabletextleft"/>
              <w:rPr>
                <w:b/>
                <w:color w:val="FFFFFF"/>
                <w:lang w:eastAsia="en-AU"/>
              </w:rPr>
            </w:pPr>
            <w:r w:rsidRPr="00870F97">
              <w:rPr>
                <w:b/>
                <w:color w:val="FFFFFF"/>
                <w:lang w:eastAsia="en-AU"/>
              </w:rPr>
              <w:t>Activity</w:t>
            </w:r>
          </w:p>
        </w:tc>
        <w:tc>
          <w:tcPr>
            <w:tcW w:w="0" w:type="auto"/>
            <w:shd w:val="clear" w:color="auto" w:fill="365F91"/>
            <w:vAlign w:val="center"/>
          </w:tcPr>
          <w:p w:rsidR="007C72D1" w:rsidRPr="00870F97" w:rsidRDefault="007C72D1" w:rsidP="00587288">
            <w:pPr>
              <w:pStyle w:val="AERtabletextleft"/>
              <w:rPr>
                <w:b/>
                <w:color w:val="FFFFFF"/>
                <w:lang w:eastAsia="en-AU"/>
              </w:rPr>
            </w:pPr>
            <w:r w:rsidRPr="00870F97">
              <w:rPr>
                <w:b/>
                <w:color w:val="FFFFFF"/>
                <w:lang w:eastAsia="en-AU"/>
              </w:rPr>
              <w:t>Registrable exemption</w:t>
            </w:r>
          </w:p>
        </w:tc>
        <w:tc>
          <w:tcPr>
            <w:tcW w:w="0" w:type="auto"/>
            <w:shd w:val="clear" w:color="auto" w:fill="365F91"/>
            <w:vAlign w:val="center"/>
          </w:tcPr>
          <w:p w:rsidR="007C72D1" w:rsidRPr="00870F97" w:rsidRDefault="007C72D1" w:rsidP="00587288">
            <w:pPr>
              <w:pStyle w:val="AERtabletextleft"/>
              <w:rPr>
                <w:b/>
                <w:color w:val="FFFFFF"/>
                <w:lang w:eastAsia="en-AU"/>
              </w:rPr>
            </w:pPr>
            <w:r w:rsidRPr="00870F97">
              <w:rPr>
                <w:b/>
                <w:color w:val="FFFFFF"/>
                <w:lang w:eastAsia="en-AU"/>
              </w:rPr>
              <w:t>Application for individual exemption</w:t>
            </w:r>
          </w:p>
        </w:tc>
      </w:tr>
      <w:tr w:rsidR="007C72D1" w:rsidTr="00587288">
        <w:tc>
          <w:tcPr>
            <w:tcW w:w="0" w:type="auto"/>
          </w:tcPr>
          <w:p w:rsidR="007C72D1" w:rsidRPr="00870F97" w:rsidRDefault="007C72D1" w:rsidP="00587288">
            <w:pPr>
              <w:spacing w:before="120"/>
              <w:rPr>
                <w:sz w:val="16"/>
                <w:lang w:eastAsia="en-AU"/>
              </w:rPr>
            </w:pPr>
            <w:r w:rsidRPr="00870F97">
              <w:rPr>
                <w:sz w:val="16"/>
                <w:lang w:eastAsia="en-AU"/>
              </w:rPr>
              <w:t>NRI</w:t>
            </w:r>
          </w:p>
        </w:tc>
        <w:tc>
          <w:tcPr>
            <w:tcW w:w="0" w:type="auto"/>
          </w:tcPr>
          <w:p w:rsidR="007C72D1" w:rsidRPr="00747F76" w:rsidRDefault="007C72D1" w:rsidP="00587288">
            <w:pPr>
              <w:pStyle w:val="AERtabletextleft"/>
              <w:rPr>
                <w:lang w:eastAsia="en-AU"/>
              </w:rPr>
            </w:pPr>
            <w:r w:rsidRPr="00747F76">
              <w:rPr>
                <w:lang w:eastAsia="en-AU"/>
              </w:rPr>
              <w:t>Specific exemption of a network not otherwise described</w:t>
            </w:r>
          </w:p>
        </w:tc>
        <w:tc>
          <w:tcPr>
            <w:tcW w:w="0" w:type="auto"/>
          </w:tcPr>
          <w:p w:rsidR="007C72D1" w:rsidRPr="00747F76" w:rsidRDefault="007C72D1" w:rsidP="00587288">
            <w:pPr>
              <w:pStyle w:val="AERtabletextleft"/>
              <w:rPr>
                <w:lang w:eastAsia="en-AU"/>
              </w:rPr>
            </w:pPr>
            <w:r w:rsidRPr="00747F76">
              <w:rPr>
                <w:lang w:eastAsia="en-AU"/>
              </w:rPr>
              <w:t>All approved applications</w:t>
            </w:r>
          </w:p>
        </w:tc>
        <w:tc>
          <w:tcPr>
            <w:tcW w:w="0" w:type="auto"/>
          </w:tcPr>
          <w:p w:rsidR="007C72D1" w:rsidRPr="00747F76" w:rsidRDefault="007C72D1" w:rsidP="00587288">
            <w:pPr>
              <w:pStyle w:val="AERtabletextleft"/>
              <w:rPr>
                <w:lang w:eastAsia="en-AU"/>
              </w:rPr>
            </w:pPr>
            <w:r w:rsidRPr="00747F76">
              <w:rPr>
                <w:lang w:eastAsia="en-AU"/>
              </w:rPr>
              <w:t>Detailed application required</w:t>
            </w:r>
          </w:p>
        </w:tc>
      </w:tr>
    </w:tbl>
    <w:p w:rsidR="007C72D1" w:rsidRPr="00747F76" w:rsidRDefault="007C72D1" w:rsidP="007C72D1">
      <w:pPr>
        <w:pStyle w:val="AERtablesource"/>
      </w:pPr>
      <w:r w:rsidRPr="00747F76">
        <w:t xml:space="preserve">Note: </w:t>
      </w:r>
      <w:r w:rsidRPr="00747F76">
        <w:tab/>
        <w:t xml:space="preserve">Exemption class ‘NRI’ is ‘network registrable individual’ exemption and has no equivalent in the Exempt Selling Guidelines. It applies to exemptions to individuals made in accordance with clause 2.5.1 of the NER. </w:t>
      </w:r>
    </w:p>
    <w:p w:rsidR="007C72D1" w:rsidRDefault="007C72D1" w:rsidP="007C72D1"/>
    <w:p w:rsidR="007C72D1" w:rsidRPr="003F304F" w:rsidRDefault="007C72D1" w:rsidP="007C72D1">
      <w:r>
        <w:t>From</w:t>
      </w:r>
      <w:r w:rsidRPr="003F304F">
        <w:t xml:space="preserve"> 1 January 2015 the AER will move to individual exemptions for retail selling. </w:t>
      </w:r>
      <w:r>
        <w:t>Allied to this w</w:t>
      </w:r>
      <w:r w:rsidRPr="003F304F">
        <w:t>e will review the conditions applicable to table</w:t>
      </w:r>
      <w:r>
        <w:t>s</w:t>
      </w:r>
      <w:r w:rsidRPr="003F304F">
        <w:t xml:space="preserve"> 1</w:t>
      </w:r>
      <w:r>
        <w:t xml:space="preserve"> </w:t>
      </w:r>
      <w:r w:rsidRPr="003F304F">
        <w:t xml:space="preserve">and </w:t>
      </w:r>
      <w:r>
        <w:t>3</w:t>
      </w:r>
      <w:r w:rsidRPr="003F304F">
        <w:t xml:space="preserve"> </w:t>
      </w:r>
      <w:r>
        <w:t xml:space="preserve">of this guideline </w:t>
      </w:r>
      <w:r w:rsidRPr="003F304F">
        <w:t>to determine whether those conditions should continue to apply post</w:t>
      </w:r>
      <w:r>
        <w:rPr>
          <w:rFonts w:cs="Gautami"/>
        </w:rPr>
        <w:t>–</w:t>
      </w:r>
      <w:r w:rsidRPr="003F304F">
        <w:t>2015</w:t>
      </w:r>
      <w:r>
        <w:t>.</w:t>
      </w:r>
      <w:r w:rsidRPr="003F304F">
        <w:t xml:space="preserve"> </w:t>
      </w:r>
    </w:p>
    <w:p w:rsidR="007C72D1" w:rsidRDefault="007C72D1" w:rsidP="007C72D1">
      <w:r w:rsidRPr="003F304F">
        <w:t xml:space="preserve">Our intention is to predefine the network element of the conditions to apply to each class of retail selling activity </w:t>
      </w:r>
      <w:r>
        <w:t xml:space="preserve">from </w:t>
      </w:r>
      <w:r w:rsidRPr="003F304F">
        <w:t xml:space="preserve">1 January 2015. </w:t>
      </w:r>
      <w:r>
        <w:t>If it is found that is not necessary to change the network conditions we will not do so.</w:t>
      </w:r>
    </w:p>
    <w:p w:rsidR="007C72D1" w:rsidRPr="003F304F" w:rsidRDefault="007C72D1" w:rsidP="007C72D1">
      <w:r>
        <w:t>Consistent with this, w</w:t>
      </w:r>
      <w:r w:rsidRPr="003F304F">
        <w:t>e do not propose requiring a</w:t>
      </w:r>
      <w:r>
        <w:t>n</w:t>
      </w:r>
      <w:r w:rsidRPr="003F304F">
        <w:t xml:space="preserve"> application for</w:t>
      </w:r>
      <w:r>
        <w:t xml:space="preserve"> an</w:t>
      </w:r>
      <w:r w:rsidRPr="003F304F">
        <w:t xml:space="preserve"> individual </w:t>
      </w:r>
      <w:r>
        <w:t xml:space="preserve">network (as distinct from retail) </w:t>
      </w:r>
      <w:r w:rsidRPr="003F304F">
        <w:t>exemption for network activities linked to retail selling post</w:t>
      </w:r>
      <w:r>
        <w:t xml:space="preserve"> 1 January </w:t>
      </w:r>
      <w:r w:rsidRPr="003F304F">
        <w:t>2015, except where a variation of conditions is sought.</w:t>
      </w:r>
    </w:p>
    <w:p w:rsidR="007C72D1" w:rsidRPr="007334C5" w:rsidRDefault="007C72D1" w:rsidP="007C72D1">
      <w:pPr>
        <w:pStyle w:val="Heading1"/>
        <w:numPr>
          <w:ilvl w:val="1"/>
          <w:numId w:val="9"/>
        </w:numPr>
      </w:pPr>
      <w:bookmarkStart w:id="21" w:name="_Ref361909753"/>
      <w:bookmarkStart w:id="22" w:name="_Toc365299419"/>
      <w:r w:rsidRPr="007334C5">
        <w:lastRenderedPageBreak/>
        <w:t>Part B – Conditions</w:t>
      </w:r>
      <w:bookmarkEnd w:id="21"/>
      <w:bookmarkEnd w:id="22"/>
    </w:p>
    <w:p w:rsidR="007C72D1" w:rsidRPr="00747F76" w:rsidRDefault="007C72D1" w:rsidP="007C72D1">
      <w:pPr>
        <w:pStyle w:val="Heading2"/>
        <w:numPr>
          <w:ilvl w:val="2"/>
          <w:numId w:val="9"/>
        </w:numPr>
        <w:jc w:val="both"/>
      </w:pPr>
      <w:bookmarkStart w:id="23" w:name="_Ref361906951"/>
      <w:bookmarkStart w:id="24" w:name="_Ref361906980"/>
      <w:bookmarkStart w:id="25" w:name="_Ref361908096"/>
      <w:bookmarkStart w:id="26" w:name="_Ref361908520"/>
      <w:bookmarkStart w:id="27" w:name="_Ref361908883"/>
      <w:bookmarkStart w:id="28" w:name="_Ref362009072"/>
      <w:bookmarkStart w:id="29" w:name="_Toc365299420"/>
      <w:r w:rsidRPr="00747F76">
        <w:t>General requirements</w:t>
      </w:r>
      <w:bookmarkEnd w:id="23"/>
      <w:bookmarkEnd w:id="24"/>
      <w:bookmarkEnd w:id="25"/>
      <w:bookmarkEnd w:id="26"/>
      <w:bookmarkEnd w:id="27"/>
      <w:bookmarkEnd w:id="28"/>
      <w:bookmarkEnd w:id="29"/>
    </w:p>
    <w:p w:rsidR="007C72D1" w:rsidRDefault="007C72D1" w:rsidP="007C72D1">
      <w:r w:rsidRPr="00BF1CBF">
        <w:t xml:space="preserve">The following conditions are applicable to all </w:t>
      </w:r>
      <w:r>
        <w:t xml:space="preserve">private </w:t>
      </w:r>
      <w:r w:rsidRPr="00BF1CBF">
        <w:t xml:space="preserve">networks </w:t>
      </w:r>
      <w:r>
        <w:t>as set out in tables 6, 7, 8 &amp; 9 for the respective exemption class</w:t>
      </w:r>
      <w:r w:rsidRPr="00BF1CBF">
        <w:t>. These conditions will only be varied in response to a written application (see section</w:t>
      </w:r>
      <w:r>
        <w:t>s</w:t>
      </w:r>
      <w:r w:rsidR="00AC1913">
        <w:t xml:space="preserve"> </w:t>
      </w:r>
      <w:r w:rsidR="00AC1913">
        <w:fldChar w:fldCharType="begin"/>
      </w:r>
      <w:r w:rsidR="00AC1913">
        <w:instrText xml:space="preserve"> REF _Ref361831288 \r \h </w:instrText>
      </w:r>
      <w:r w:rsidR="00AC1913">
        <w:fldChar w:fldCharType="separate"/>
      </w:r>
      <w:r w:rsidR="00D94AAA">
        <w:t>3.3</w:t>
      </w:r>
      <w:r w:rsidR="00AC1913">
        <w:fldChar w:fldCharType="end"/>
      </w:r>
      <w:r>
        <w:t xml:space="preserve"> and</w:t>
      </w:r>
      <w:r w:rsidR="00AC1913">
        <w:t xml:space="preserve"> </w:t>
      </w:r>
      <w:r w:rsidR="00AC1913">
        <w:fldChar w:fldCharType="begin"/>
      </w:r>
      <w:r w:rsidR="00AC1913">
        <w:instrText xml:space="preserve"> REF _Ref361831452 \r \h </w:instrText>
      </w:r>
      <w:r w:rsidR="00AC1913">
        <w:fldChar w:fldCharType="separate"/>
      </w:r>
      <w:r w:rsidR="00D94AAA">
        <w:t>5.2</w:t>
      </w:r>
      <w:r w:rsidR="00AC1913">
        <w:fldChar w:fldCharType="end"/>
      </w:r>
      <w:r w:rsidRPr="00BF1CBF">
        <w:t xml:space="preserve">) demonstrating that exceptional circumstances apply such that a material detriment to customers will be significantly reduced or eliminated by varying these conditions. </w:t>
      </w:r>
    </w:p>
    <w:p w:rsidR="007C72D1" w:rsidRPr="00BF1CBF" w:rsidRDefault="007C72D1" w:rsidP="007C72D1">
      <w:r>
        <w:t>Words in italics are primarily intended as commentary to assist understanding of a condition but they also form part of the condition. Where a tick appears in a table the numbered condition applies to the named exemption activity class. Where the words “Not applicable” appear</w:t>
      </w:r>
      <w:r w:rsidRPr="00BE6083">
        <w:t xml:space="preserve"> </w:t>
      </w:r>
      <w:r>
        <w:t>in any of tables 6, 7, 8 or 9, the numbered condition does not apply to that class of activity. Where a clause reference appears, only that specific clause applies.</w:t>
      </w:r>
    </w:p>
    <w:p w:rsidR="007C72D1" w:rsidRDefault="007C72D1" w:rsidP="007C72D1">
      <w:pPr>
        <w:pStyle w:val="AERnumberedlistfirststyle"/>
        <w:spacing w:before="0"/>
      </w:pPr>
      <w:r>
        <w:t>A</w:t>
      </w:r>
      <w:r w:rsidRPr="00747F76">
        <w:t xml:space="preserve">ll meters used for the measurement of electrical energy whether delivered to, or exported by, a customer must comply with the requirements of the </w:t>
      </w:r>
      <w:r w:rsidRPr="00C73C98">
        <w:rPr>
          <w:i/>
        </w:rPr>
        <w:t xml:space="preserve">National Measurement Act </w:t>
      </w:r>
      <w:r w:rsidR="00C73C98" w:rsidRPr="00C73C98">
        <w:rPr>
          <w:i/>
        </w:rPr>
        <w:t>1960 (Cth)</w:t>
      </w:r>
      <w:r w:rsidR="00C73C98">
        <w:t xml:space="preserve"> </w:t>
      </w:r>
      <w:r w:rsidRPr="00747F76">
        <w:t xml:space="preserve">and regulations made under that Act for electricity meters and sub-meters and with the requirements set out in schedule 7.2 of the NER. </w:t>
      </w:r>
    </w:p>
    <w:p w:rsidR="007C72D1" w:rsidRPr="007C2444" w:rsidRDefault="007C72D1" w:rsidP="007C72D1">
      <w:pPr>
        <w:pStyle w:val="AERnumberedlistfirststyle"/>
        <w:numPr>
          <w:ilvl w:val="0"/>
          <w:numId w:val="0"/>
        </w:numPr>
        <w:spacing w:before="0"/>
        <w:ind w:left="357"/>
        <w:rPr>
          <w:i/>
        </w:rPr>
      </w:pPr>
      <w:r w:rsidRPr="007C2444">
        <w:rPr>
          <w:i/>
        </w:rPr>
        <w:t>This condition applies to all metered energy situations. It does not apply if an unmetered supply is permitted by the AER.</w:t>
      </w:r>
    </w:p>
    <w:p w:rsidR="007C72D1" w:rsidRDefault="007C72D1" w:rsidP="007C72D1">
      <w:pPr>
        <w:pStyle w:val="AERnumberedlistfirststyle"/>
        <w:spacing w:before="0"/>
      </w:pPr>
      <w:r w:rsidRPr="00BF1CBF">
        <w:t xml:space="preserve">All </w:t>
      </w:r>
      <w:r>
        <w:t xml:space="preserve">paid energy consumption </w:t>
      </w:r>
      <w:r w:rsidRPr="00BF1CBF">
        <w:t xml:space="preserve">must be metered </w:t>
      </w:r>
      <w:r w:rsidRPr="00747F76">
        <w:t>except where the AER has determined an unmetered supply is permitted</w:t>
      </w:r>
      <w:r>
        <w:t xml:space="preserve">. </w:t>
      </w:r>
    </w:p>
    <w:p w:rsidR="007C72D1" w:rsidRPr="007C2444" w:rsidRDefault="007C72D1" w:rsidP="007C72D1">
      <w:pPr>
        <w:pStyle w:val="AERnumberedlistfirststyle"/>
        <w:numPr>
          <w:ilvl w:val="0"/>
          <w:numId w:val="0"/>
        </w:numPr>
        <w:ind w:left="357"/>
        <w:rPr>
          <w:i/>
        </w:rPr>
      </w:pPr>
      <w:r w:rsidRPr="007C2444">
        <w:rPr>
          <w:i/>
        </w:rPr>
        <w:t xml:space="preserve">Note that the AER does not approve unmetered supplies except in unique or exceptional circumstances. Metering is not required if no charge is levied for electricity or recovery of supply costs from a tenant or co-tenant. </w:t>
      </w:r>
    </w:p>
    <w:p w:rsidR="00464DE6" w:rsidRDefault="007C72D1" w:rsidP="007C72D1">
      <w:pPr>
        <w:pStyle w:val="AERnumberedlistfirststyle"/>
      </w:pPr>
      <w:r w:rsidRPr="00BF1CBF">
        <w:t xml:space="preserve">All </w:t>
      </w:r>
      <w:r w:rsidRPr="00747F76">
        <w:t xml:space="preserve">private networks must, at all times, be installed, operated and maintained in accordance with all applicable requirements </w:t>
      </w:r>
      <w:r w:rsidR="004645CF">
        <w:t>(</w:t>
      </w:r>
      <w:r w:rsidRPr="00747F76">
        <w:t>within the jurisdiction in which the network is located</w:t>
      </w:r>
      <w:r w:rsidR="004645CF">
        <w:t>)</w:t>
      </w:r>
      <w:r w:rsidRPr="00747F76">
        <w:t xml:space="preserve"> for the safety of persons and property</w:t>
      </w:r>
      <w:r w:rsidR="00C73C98">
        <w:t>. This</w:t>
      </w:r>
      <w:r w:rsidRPr="00747F76">
        <w:t xml:space="preserve"> includ</w:t>
      </w:r>
      <w:r w:rsidR="00C73C98">
        <w:t>e</w:t>
      </w:r>
      <w:r w:rsidR="00545A10">
        <w:t>s</w:t>
      </w:r>
      <w:r w:rsidR="00C73C98">
        <w:t>,</w:t>
      </w:r>
      <w:r w:rsidRPr="00747F76">
        <w:t xml:space="preserve"> where relevant</w:t>
      </w:r>
      <w:r w:rsidR="00C73C98">
        <w:t>,</w:t>
      </w:r>
      <w:r w:rsidRPr="00747F76">
        <w:t xml:space="preserve"> an industry Code or Guideline otherwise applicable to a network service provider providing similar services. </w:t>
      </w:r>
    </w:p>
    <w:p w:rsidR="007C72D1" w:rsidRDefault="00464DE6" w:rsidP="00464DE6">
      <w:pPr>
        <w:pStyle w:val="AERnumberedlistfirststyle"/>
        <w:numPr>
          <w:ilvl w:val="0"/>
          <w:numId w:val="0"/>
        </w:numPr>
        <w:ind w:left="357"/>
      </w:pPr>
      <w:r>
        <w:t>In some jurisdictions larger networks may also have</w:t>
      </w:r>
      <w:r w:rsidRPr="00747F76">
        <w:t xml:space="preserve"> </w:t>
      </w:r>
      <w:r w:rsidR="007C72D1" w:rsidRPr="00747F76">
        <w:t xml:space="preserve">an obligation to have current, and/or maintain, a safety management plan or similar, with a competent safety authority or regulatory agency within that jurisdiction. </w:t>
      </w:r>
      <w:r>
        <w:t xml:space="preserve">You must obey these local safety requirements. </w:t>
      </w:r>
    </w:p>
    <w:p w:rsidR="007C72D1" w:rsidRDefault="007C72D1" w:rsidP="007C72D1">
      <w:pPr>
        <w:pStyle w:val="AERnumberedlistfirststyle"/>
        <w:numPr>
          <w:ilvl w:val="0"/>
          <w:numId w:val="0"/>
        </w:numPr>
        <w:ind w:left="357"/>
      </w:pPr>
      <w:r>
        <w:t xml:space="preserve">All owners and operators of private networks must comply with the reasonable requests of a local Distribution Network Service Provider (DNSP) for demand forecasting data, relevant details of the physical network infrastructure and assets and any other data relevant to the control, operation or maintenance of the network. </w:t>
      </w:r>
    </w:p>
    <w:p w:rsidR="007C72D1" w:rsidRDefault="007C72D1" w:rsidP="007C72D1">
      <w:pPr>
        <w:pStyle w:val="AERnumberedlistfirststyle"/>
        <w:numPr>
          <w:ilvl w:val="0"/>
          <w:numId w:val="0"/>
        </w:numPr>
        <w:ind w:left="357"/>
      </w:pPr>
      <w:r>
        <w:t>Electrical networks may be subject to mandatory load shedding requirements in emergency situations, in accordance with the NER.  This requirement will generally be specified by the local DNSP in the connection agreement for the connection to the NEM system.</w:t>
      </w:r>
    </w:p>
    <w:p w:rsidR="007C72D1" w:rsidRPr="007C2444" w:rsidRDefault="007C72D1" w:rsidP="007C72D1">
      <w:pPr>
        <w:pStyle w:val="AERnumberedlistfirststyle"/>
        <w:numPr>
          <w:ilvl w:val="0"/>
          <w:numId w:val="0"/>
        </w:numPr>
        <w:spacing w:before="0"/>
        <w:ind w:left="357"/>
        <w:rPr>
          <w:i/>
        </w:rPr>
      </w:pPr>
      <w:r w:rsidRPr="007C2444">
        <w:rPr>
          <w:i/>
        </w:rPr>
        <w:t>There are no exceptions to th</w:t>
      </w:r>
      <w:r w:rsidR="00A76FAF">
        <w:rPr>
          <w:i/>
        </w:rPr>
        <w:t>ese</w:t>
      </w:r>
      <w:r w:rsidRPr="007C2444">
        <w:rPr>
          <w:i/>
        </w:rPr>
        <w:t xml:space="preserve"> </w:t>
      </w:r>
      <w:r>
        <w:rPr>
          <w:i/>
        </w:rPr>
        <w:t xml:space="preserve">safety </w:t>
      </w:r>
      <w:r w:rsidRPr="007C2444">
        <w:rPr>
          <w:i/>
        </w:rPr>
        <w:t>requirement</w:t>
      </w:r>
      <w:r w:rsidR="00A76FAF">
        <w:rPr>
          <w:i/>
        </w:rPr>
        <w:t>s</w:t>
      </w:r>
      <w:r w:rsidRPr="007C2444">
        <w:rPr>
          <w:i/>
        </w:rPr>
        <w:t>.</w:t>
      </w:r>
    </w:p>
    <w:p w:rsidR="007C72D1" w:rsidRDefault="007C72D1" w:rsidP="007C72D1">
      <w:pPr>
        <w:pStyle w:val="AERnumberedlistfirststyle"/>
        <w:spacing w:before="0"/>
      </w:pPr>
      <w:r>
        <w:t>Any generation source located within a</w:t>
      </w:r>
      <w:r w:rsidRPr="00747F76">
        <w:t xml:space="preserve"> </w:t>
      </w:r>
      <w:r w:rsidR="00C73C98">
        <w:t xml:space="preserve">NSP’s </w:t>
      </w:r>
      <w:r w:rsidRPr="00747F76">
        <w:t xml:space="preserve">private network must be designed in the event of a loss of supply from the local </w:t>
      </w:r>
      <w:r w:rsidR="00C73C98">
        <w:t xml:space="preserve">DNSP’s </w:t>
      </w:r>
      <w:r w:rsidRPr="00747F76">
        <w:t>network to either</w:t>
      </w:r>
      <w:r>
        <w:t>:</w:t>
      </w:r>
      <w:r w:rsidRPr="00747F76">
        <w:t xml:space="preserve"> </w:t>
      </w:r>
    </w:p>
    <w:p w:rsidR="007C72D1" w:rsidRDefault="007C72D1" w:rsidP="007C72D1">
      <w:pPr>
        <w:pStyle w:val="AERnumberedlistsecondstyle"/>
        <w:spacing w:before="0"/>
      </w:pPr>
      <w:r w:rsidRPr="00747F76">
        <w:lastRenderedPageBreak/>
        <w:t xml:space="preserve">shutdown entirely or </w:t>
      </w:r>
    </w:p>
    <w:p w:rsidR="007C72D1" w:rsidRDefault="007C72D1" w:rsidP="007C72D1">
      <w:pPr>
        <w:pStyle w:val="AERnumberedlistsecondstyle"/>
        <w:spacing w:before="0"/>
      </w:pPr>
      <w:r w:rsidRPr="00747F76">
        <w:t>disconnect from that other network (i.e. ‘island’) and not reconnect except in accordance with arrangements approved by the relevant NEM registered network service provider.</w:t>
      </w:r>
    </w:p>
    <w:p w:rsidR="007C72D1" w:rsidRPr="007C2444" w:rsidRDefault="007C72D1" w:rsidP="007C72D1">
      <w:pPr>
        <w:pStyle w:val="AERnumberedlistfirststyle"/>
        <w:numPr>
          <w:ilvl w:val="0"/>
          <w:numId w:val="0"/>
        </w:numPr>
        <w:spacing w:before="0"/>
        <w:ind w:left="357"/>
        <w:rPr>
          <w:i/>
        </w:rPr>
      </w:pPr>
      <w:r>
        <w:rPr>
          <w:i/>
        </w:rPr>
        <w:t>Applies whenever a private network contains a generation source of any kind.</w:t>
      </w:r>
    </w:p>
    <w:p w:rsidR="007C72D1" w:rsidRPr="00747F76" w:rsidRDefault="007C72D1" w:rsidP="007C72D1">
      <w:pPr>
        <w:pStyle w:val="AERnumberedlistfirststyle"/>
        <w:spacing w:before="0"/>
      </w:pPr>
      <w:r w:rsidRPr="00BF1CBF">
        <w:t xml:space="preserve">All </w:t>
      </w:r>
      <w:r>
        <w:t>selling</w:t>
      </w:r>
      <w:r w:rsidRPr="00747F76">
        <w:t xml:space="preserve"> </w:t>
      </w:r>
      <w:r>
        <w:t xml:space="preserve">of electricity </w:t>
      </w:r>
      <w:r w:rsidRPr="00747F76">
        <w:t>conducted within a private network must be undertaken by:</w:t>
      </w:r>
    </w:p>
    <w:p w:rsidR="007C72D1" w:rsidRPr="00BF1CBF" w:rsidRDefault="007C72D1" w:rsidP="007C72D1">
      <w:pPr>
        <w:pStyle w:val="AERnumberedlistsecondstyle"/>
        <w:spacing w:before="0"/>
      </w:pPr>
      <w:r w:rsidRPr="00BF1CBF">
        <w:t>a registered market retailer</w:t>
      </w:r>
      <w:r>
        <w:t>,</w:t>
      </w:r>
      <w:r w:rsidRPr="00BF1CBF">
        <w:t xml:space="preserve"> or </w:t>
      </w:r>
    </w:p>
    <w:p w:rsidR="007C72D1" w:rsidRPr="00BF1CBF" w:rsidRDefault="007C72D1" w:rsidP="007C72D1">
      <w:pPr>
        <w:pStyle w:val="AERnumberedlistsecondstyle"/>
        <w:spacing w:before="0"/>
      </w:pPr>
      <w:r w:rsidRPr="00BF1CBF">
        <w:t xml:space="preserve">by the holder of a valid retail exemption </w:t>
      </w:r>
      <w:r>
        <w:t xml:space="preserve">or authorisation </w:t>
      </w:r>
      <w:r w:rsidRPr="00BF1CBF">
        <w:t>registered with the AER</w:t>
      </w:r>
      <w:r>
        <w:t>,</w:t>
      </w:r>
      <w:r w:rsidRPr="00BF1CBF">
        <w:t xml:space="preserve"> or </w:t>
      </w:r>
    </w:p>
    <w:p w:rsidR="007C72D1" w:rsidRDefault="007C72D1" w:rsidP="007C72D1">
      <w:pPr>
        <w:pStyle w:val="AERnumberedlistsecondstyle"/>
        <w:spacing w:before="0"/>
      </w:pPr>
      <w:r w:rsidRPr="00BF1CBF">
        <w:t xml:space="preserve">by a party or parties entitled to a deemed retail </w:t>
      </w:r>
      <w:r>
        <w:t>selling</w:t>
      </w:r>
      <w:r w:rsidRPr="00747F76">
        <w:t xml:space="preserve"> exemption in accordance with the current AER Exempt Selling Guideline</w:t>
      </w:r>
      <w:r>
        <w:t xml:space="preserve">, or </w:t>
      </w:r>
    </w:p>
    <w:p w:rsidR="007C72D1" w:rsidRDefault="007C72D1" w:rsidP="007C72D1">
      <w:pPr>
        <w:pStyle w:val="AERnumberedlistsecondstyle"/>
        <w:spacing w:before="0"/>
      </w:pPr>
      <w:r>
        <w:t>a person authorised to on-sell electricity in accordance with regulations in force in a jurisdiction where the National Electricity Retail Law does not apply</w:t>
      </w:r>
      <w:r w:rsidRPr="00747F76">
        <w:t>.</w:t>
      </w:r>
    </w:p>
    <w:p w:rsidR="007C72D1" w:rsidRPr="00747F76" w:rsidRDefault="007C72D1" w:rsidP="007C72D1">
      <w:pPr>
        <w:pStyle w:val="AERnumberedlistsecondstyle"/>
        <w:numPr>
          <w:ilvl w:val="0"/>
          <w:numId w:val="0"/>
        </w:numPr>
        <w:spacing w:before="0"/>
        <w:ind w:left="357"/>
      </w:pPr>
      <w:r w:rsidRPr="007C2444">
        <w:rPr>
          <w:i/>
        </w:rPr>
        <w:t>Applies whenever energy is exchanged for money across a private network</w:t>
      </w:r>
      <w:r w:rsidRPr="007C2444">
        <w:t>.</w:t>
      </w:r>
    </w:p>
    <w:p w:rsidR="007C72D1" w:rsidRDefault="007C72D1" w:rsidP="004645CF">
      <w:pPr>
        <w:pStyle w:val="AERnumberedlistfirststyle"/>
        <w:spacing w:before="0"/>
      </w:pPr>
      <w:r w:rsidRPr="00BF1CBF">
        <w:t xml:space="preserve">A </w:t>
      </w:r>
      <w:r w:rsidRPr="00747F76">
        <w:t xml:space="preserve">private network must have in place dispute resolution procedures which customers can access at no cost or on a fee for service basis. Where retail </w:t>
      </w:r>
      <w:r>
        <w:t>on–selling</w:t>
      </w:r>
      <w:r w:rsidRPr="00747F76">
        <w:t xml:space="preserve"> is occurring under the Retail Law and a dispute resolution mechanism is available under that Law, the same arrangement may apply for the resolution of disputes. In all other circumstances a suitable dispute resolution mechanism must be specified in the formal agreements between the network owner or its appointed agent and the end-use customer.</w:t>
      </w:r>
      <w:r w:rsidR="00C21EFC">
        <w:t xml:space="preserve"> </w:t>
      </w:r>
      <w:r w:rsidR="00C21EFC" w:rsidRPr="00C73C98">
        <w:t>These procedures must allow a customer to request, and be provided with, written details of all charges applicable to that customer.</w:t>
      </w:r>
    </w:p>
    <w:p w:rsidR="007C72D1" w:rsidRPr="008404EC" w:rsidRDefault="007C72D1" w:rsidP="007C72D1">
      <w:pPr>
        <w:pStyle w:val="AERbodytextindent1"/>
        <w:rPr>
          <w:i/>
        </w:rPr>
      </w:pPr>
      <w:r w:rsidRPr="008404EC">
        <w:rPr>
          <w:i/>
        </w:rPr>
        <w:t xml:space="preserve">A suitable dispute resolution mechanism does not require express approval by the AER, but must be of a type ordinarily applicable to disputes of the kind, be reasonably accessible, timely, binding on the parties to the dispute and not subject to excessive or unnecessary costs nor to costs disproportionate to the amount in dispute. </w:t>
      </w:r>
    </w:p>
    <w:p w:rsidR="007C72D1" w:rsidRPr="008404EC" w:rsidRDefault="007C72D1" w:rsidP="007C72D1">
      <w:pPr>
        <w:pStyle w:val="AERbodytextindent1"/>
        <w:spacing w:after="240" w:line="240" w:lineRule="auto"/>
        <w:rPr>
          <w:rStyle w:val="AERbody"/>
          <w:i/>
        </w:rPr>
      </w:pPr>
      <w:r w:rsidRPr="008404EC">
        <w:rPr>
          <w:i/>
        </w:rPr>
        <w:t>Where a network owner or operator appoints an agent the</w:t>
      </w:r>
      <w:r>
        <w:rPr>
          <w:i/>
        </w:rPr>
        <w:t>y, as the</w:t>
      </w:r>
      <w:r w:rsidRPr="008404EC">
        <w:rPr>
          <w:i/>
        </w:rPr>
        <w:t xml:space="preserve"> principal</w:t>
      </w:r>
      <w:r>
        <w:rPr>
          <w:i/>
        </w:rPr>
        <w:t>, remain</w:t>
      </w:r>
      <w:r w:rsidRPr="008404EC">
        <w:rPr>
          <w:i/>
        </w:rPr>
        <w:t xml:space="preserve"> responsible for ensuring this condition is satisfied.</w:t>
      </w:r>
    </w:p>
    <w:p w:rsidR="007C72D1" w:rsidRDefault="007C72D1" w:rsidP="007C72D1">
      <w:pPr>
        <w:pStyle w:val="AERnumberedlistfirststyle"/>
        <w:spacing w:before="0"/>
      </w:pPr>
      <w:r w:rsidRPr="00BF1CBF">
        <w:t>Where a single customer has energy delivered to adjoining sites</w:t>
      </w:r>
      <w:r w:rsidRPr="00747F76">
        <w:t xml:space="preserve"> or to multiple exempt sites within a jurisdiction and the sites are subject to a common supply arrangement and suitable metering is installed, meter readings for that customer may be aggregated for corresponding time periods. </w:t>
      </w:r>
    </w:p>
    <w:p w:rsidR="007C72D1" w:rsidRDefault="007C72D1" w:rsidP="007C72D1">
      <w:pPr>
        <w:pStyle w:val="AERnumberedlistfirststyle"/>
        <w:numPr>
          <w:ilvl w:val="0"/>
          <w:numId w:val="0"/>
        </w:numPr>
        <w:spacing w:before="0"/>
        <w:ind w:left="357"/>
        <w:rPr>
          <w:i/>
        </w:rPr>
      </w:pPr>
      <w:r w:rsidRPr="007C2444">
        <w:rPr>
          <w:i/>
        </w:rPr>
        <w:t xml:space="preserve">Suitable metering’ means meters that record energy to the same accuracy class and equivalent time intervals, but not necessarily meters of identical design. ‘Exempt sites’ refers to private networks. </w:t>
      </w:r>
    </w:p>
    <w:p w:rsidR="007C72D1" w:rsidRPr="007C2444" w:rsidRDefault="007C72D1" w:rsidP="007C72D1">
      <w:pPr>
        <w:pStyle w:val="AERnumberedlistfirststyle"/>
        <w:numPr>
          <w:ilvl w:val="0"/>
          <w:numId w:val="0"/>
        </w:numPr>
        <w:spacing w:before="0"/>
        <w:ind w:left="357"/>
        <w:rPr>
          <w:i/>
        </w:rPr>
      </w:pPr>
      <w:r>
        <w:rPr>
          <w:i/>
        </w:rPr>
        <w:t xml:space="preserve">This condition is permissive in its operation: it allows a proprietor </w:t>
      </w:r>
      <w:r w:rsidR="00464DE6">
        <w:rPr>
          <w:i/>
        </w:rPr>
        <w:t xml:space="preserve">or customer </w:t>
      </w:r>
      <w:r>
        <w:rPr>
          <w:i/>
        </w:rPr>
        <w:t xml:space="preserve">of </w:t>
      </w:r>
      <w:r w:rsidR="00464DE6">
        <w:rPr>
          <w:i/>
        </w:rPr>
        <w:t xml:space="preserve">one or </w:t>
      </w:r>
      <w:r>
        <w:rPr>
          <w:i/>
        </w:rPr>
        <w:t>more private network</w:t>
      </w:r>
      <w:r w:rsidR="00464DE6">
        <w:rPr>
          <w:i/>
        </w:rPr>
        <w:t>s</w:t>
      </w:r>
      <w:r>
        <w:rPr>
          <w:i/>
        </w:rPr>
        <w:t xml:space="preserve"> to negotiate a bulk pricing arrangement with a willing retailer. </w:t>
      </w:r>
      <w:r w:rsidRPr="007C2444">
        <w:rPr>
          <w:i/>
        </w:rPr>
        <w:t>This condition does not require that meter readings must be aggregated: it only permits them to be aggregated if a commercial agreement exists to do so. Note also that this condition does not require any NEM service provider or AEMO to modify its systems or procedures to facilitate aggregation.</w:t>
      </w:r>
    </w:p>
    <w:p w:rsidR="007C72D1" w:rsidRDefault="007C72D1" w:rsidP="007C72D1">
      <w:pPr>
        <w:pStyle w:val="AERnumberedlistfirststyle"/>
        <w:spacing w:before="0"/>
      </w:pPr>
      <w:r>
        <w:t>A</w:t>
      </w:r>
      <w:r w:rsidRPr="00747F76">
        <w:t xml:space="preserve">n application for registration is to be made within </w:t>
      </w:r>
      <w:r>
        <w:t>2</w:t>
      </w:r>
      <w:r w:rsidRPr="00747F76">
        <w:t>0 business days of acquiring a requirement to register</w:t>
      </w:r>
      <w:r>
        <w:t xml:space="preserve">. </w:t>
      </w:r>
      <w:r w:rsidRPr="00BF1CBF">
        <w:t xml:space="preserve"> Applications for exemption are personal to the applicant. They are not transferable.</w:t>
      </w:r>
      <w:r w:rsidRPr="00747F76">
        <w:t xml:space="preserve"> </w:t>
      </w:r>
    </w:p>
    <w:p w:rsidR="007C72D1" w:rsidRPr="00FC3B0A" w:rsidRDefault="007C72D1" w:rsidP="007C72D1">
      <w:pPr>
        <w:pStyle w:val="AERnumberedlistfirststyle"/>
        <w:numPr>
          <w:ilvl w:val="0"/>
          <w:numId w:val="0"/>
        </w:numPr>
        <w:spacing w:before="0"/>
        <w:ind w:left="357"/>
        <w:rPr>
          <w:i/>
        </w:rPr>
      </w:pPr>
      <w:r>
        <w:rPr>
          <w:i/>
        </w:rPr>
        <w:lastRenderedPageBreak/>
        <w:t>Note that r</w:t>
      </w:r>
      <w:r w:rsidRPr="00FC3B0A">
        <w:rPr>
          <w:i/>
        </w:rPr>
        <w:t xml:space="preserve">egistrable exemptions require minimal effort for </w:t>
      </w:r>
      <w:r>
        <w:rPr>
          <w:i/>
        </w:rPr>
        <w:t>the</w:t>
      </w:r>
      <w:r w:rsidRPr="00FC3B0A">
        <w:rPr>
          <w:i/>
        </w:rPr>
        <w:t xml:space="preserve"> new proprietor of an existing registered exempt network to obtain and therefore</w:t>
      </w:r>
      <w:r>
        <w:rPr>
          <w:i/>
        </w:rPr>
        <w:t>, there is no practical impact in requiring a new application</w:t>
      </w:r>
      <w:r w:rsidRPr="00FC3B0A">
        <w:rPr>
          <w:i/>
        </w:rPr>
        <w:t>. No</w:t>
      </w:r>
      <w:r>
        <w:rPr>
          <w:i/>
        </w:rPr>
        <w:t>te also that no</w:t>
      </w:r>
      <w:r w:rsidRPr="00FC3B0A">
        <w:rPr>
          <w:i/>
        </w:rPr>
        <w:t xml:space="preserve"> application is required for a deemed exemption</w:t>
      </w:r>
      <w:r>
        <w:rPr>
          <w:i/>
        </w:rPr>
        <w:t xml:space="preserve"> category</w:t>
      </w:r>
      <w:r w:rsidRPr="00FC3B0A">
        <w:rPr>
          <w:i/>
        </w:rPr>
        <w:t>.</w:t>
      </w:r>
    </w:p>
    <w:p w:rsidR="007C72D1" w:rsidRDefault="007C72D1" w:rsidP="007C72D1">
      <w:pPr>
        <w:pStyle w:val="AERnumberedlistfirststyle"/>
        <w:spacing w:before="0"/>
      </w:pPr>
      <w:r w:rsidRPr="00BF1CBF">
        <w:t xml:space="preserve">The AER may revoke </w:t>
      </w:r>
      <w:r w:rsidRPr="00747F76">
        <w:t xml:space="preserve">or amend an exemption at any time or may vary the conditions from time to time. </w:t>
      </w:r>
    </w:p>
    <w:p w:rsidR="007C72D1" w:rsidRPr="007D4A13" w:rsidRDefault="007C72D1" w:rsidP="007C72D1">
      <w:pPr>
        <w:pStyle w:val="AERnumberedlistfirststyle"/>
        <w:numPr>
          <w:ilvl w:val="0"/>
          <w:numId w:val="0"/>
        </w:numPr>
        <w:spacing w:before="0"/>
        <w:ind w:left="357"/>
        <w:rPr>
          <w:i/>
        </w:rPr>
      </w:pPr>
      <w:r w:rsidRPr="007D4A13">
        <w:rPr>
          <w:i/>
        </w:rPr>
        <w:t xml:space="preserve">If the AER does so it will notify a registered applicant using the registered contact details or otherwise, in accordance with the procedures set out in </w:t>
      </w:r>
      <w:r>
        <w:rPr>
          <w:i/>
        </w:rPr>
        <w:t xml:space="preserve">this Guideline and </w:t>
      </w:r>
      <w:r w:rsidRPr="007D4A13">
        <w:rPr>
          <w:i/>
        </w:rPr>
        <w:t>the NER.</w:t>
      </w:r>
      <w:r>
        <w:rPr>
          <w:i/>
        </w:rPr>
        <w:t xml:space="preserve"> There are no exceptions to this requirement.</w:t>
      </w:r>
    </w:p>
    <w:p w:rsidR="007C72D1" w:rsidRDefault="007C72D1" w:rsidP="007C72D1">
      <w:pPr>
        <w:pStyle w:val="AERnumberedlistfirststyle"/>
        <w:spacing w:before="0"/>
      </w:pPr>
      <w:r w:rsidRPr="00BF1CBF">
        <w:t xml:space="preserve">Where notified by a customer </w:t>
      </w:r>
      <w:r w:rsidRPr="00747F76">
        <w:t xml:space="preserve">(‘life support customer’) of the existence of a requirement to maintain supply for life support equipment, the private network operator must, without undue delay, promptly notify the local DNSP of the existence of a life support requirement in accordance with the reasonable requirements of the local DNSP. </w:t>
      </w:r>
    </w:p>
    <w:p w:rsidR="007C72D1" w:rsidRPr="007D4A13" w:rsidRDefault="007C72D1" w:rsidP="007C72D1">
      <w:pPr>
        <w:pStyle w:val="AERnumberedlistfirststyle"/>
        <w:numPr>
          <w:ilvl w:val="0"/>
          <w:numId w:val="0"/>
        </w:numPr>
        <w:spacing w:before="0"/>
        <w:ind w:left="357"/>
        <w:rPr>
          <w:i/>
        </w:rPr>
      </w:pPr>
      <w:r w:rsidRPr="007D4A13">
        <w:rPr>
          <w:i/>
        </w:rPr>
        <w:t>Applies whenever electricity is provided to across a private network to an eligible retail customer.</w:t>
      </w:r>
    </w:p>
    <w:p w:rsidR="007C72D1" w:rsidRDefault="007C72D1" w:rsidP="007C72D1">
      <w:pPr>
        <w:pStyle w:val="AERnumberedlistfirststyle"/>
        <w:spacing w:before="0"/>
        <w:rPr>
          <w:rStyle w:val="AERbody"/>
        </w:rPr>
      </w:pPr>
      <w:r w:rsidRPr="00D55A90">
        <w:rPr>
          <w:rStyle w:val="AERbody"/>
        </w:rPr>
        <w:t>A private network operator must not disconnect supply to a life support custo</w:t>
      </w:r>
      <w:r>
        <w:rPr>
          <w:rStyle w:val="AERbody"/>
        </w:rPr>
        <w:t xml:space="preserve">mer without making arrangements </w:t>
      </w:r>
      <w:r w:rsidRPr="00D55A90">
        <w:rPr>
          <w:rStyle w:val="AERbody"/>
        </w:rPr>
        <w:t>for the safety of a life support customer.</w:t>
      </w:r>
    </w:p>
    <w:p w:rsidR="007C72D1" w:rsidRPr="007D4A13" w:rsidRDefault="007C72D1" w:rsidP="007C72D1">
      <w:pPr>
        <w:pStyle w:val="AERnumberedlistfirststyle"/>
        <w:numPr>
          <w:ilvl w:val="0"/>
          <w:numId w:val="0"/>
        </w:numPr>
        <w:spacing w:before="0"/>
        <w:ind w:left="357"/>
        <w:rPr>
          <w:i/>
        </w:rPr>
      </w:pPr>
      <w:r w:rsidRPr="007D4A13">
        <w:rPr>
          <w:i/>
        </w:rPr>
        <w:t>Applies whenever electricity is provided to across a private network to an eligible retail customer.</w:t>
      </w:r>
    </w:p>
    <w:p w:rsidR="007C72D1" w:rsidRDefault="007C72D1" w:rsidP="007C72D1">
      <w:pPr>
        <w:pStyle w:val="AERnumberedlistfirststyle"/>
        <w:spacing w:before="0"/>
        <w:rPr>
          <w:rStyle w:val="AERbody"/>
        </w:rPr>
      </w:pPr>
      <w:bookmarkStart w:id="30" w:name="_Ref362011716"/>
      <w:r>
        <w:rPr>
          <w:rStyle w:val="AERbody"/>
        </w:rPr>
        <w:t xml:space="preserve">A private network operator must not impede </w:t>
      </w:r>
      <w:r w:rsidR="00D45256">
        <w:rPr>
          <w:rStyle w:val="AERbody"/>
        </w:rPr>
        <w:t xml:space="preserve">a </w:t>
      </w:r>
      <w:r w:rsidR="00915B83">
        <w:rPr>
          <w:rStyle w:val="AERbody"/>
        </w:rPr>
        <w:t>customer</w:t>
      </w:r>
      <w:r w:rsidR="00D45256">
        <w:rPr>
          <w:rStyle w:val="AERbody"/>
        </w:rPr>
        <w:t>’</w:t>
      </w:r>
      <w:r w:rsidR="00915B83">
        <w:rPr>
          <w:rStyle w:val="AERbody"/>
        </w:rPr>
        <w:t xml:space="preserve">s </w:t>
      </w:r>
      <w:r>
        <w:rPr>
          <w:rStyle w:val="AERbody"/>
        </w:rPr>
        <w:t>access to retail competition where it is available in a jurisdiction.</w:t>
      </w:r>
      <w:r w:rsidRPr="00ED4E79">
        <w:rPr>
          <w:rStyle w:val="FootnoteReference"/>
        </w:rPr>
        <w:footnoteReference w:id="28"/>
      </w:r>
      <w:bookmarkEnd w:id="30"/>
      <w:r>
        <w:rPr>
          <w:rStyle w:val="AERbody"/>
        </w:rPr>
        <w:t xml:space="preserve"> </w:t>
      </w:r>
    </w:p>
    <w:p w:rsidR="007C72D1" w:rsidRDefault="007C72D1" w:rsidP="007C72D1">
      <w:pPr>
        <w:pStyle w:val="AERnumberedlistfirststyle"/>
        <w:numPr>
          <w:ilvl w:val="0"/>
          <w:numId w:val="0"/>
        </w:numPr>
        <w:spacing w:before="0"/>
        <w:ind w:left="357"/>
        <w:rPr>
          <w:rStyle w:val="AERbody"/>
        </w:rPr>
      </w:pPr>
      <w:r w:rsidRPr="008D234C">
        <w:rPr>
          <w:rStyle w:val="AERbody"/>
        </w:rPr>
        <w:t xml:space="preserve">When requested by a </w:t>
      </w:r>
      <w:r>
        <w:rPr>
          <w:rStyle w:val="AERbody"/>
        </w:rPr>
        <w:t xml:space="preserve">customer or </w:t>
      </w:r>
      <w:r w:rsidRPr="008D234C">
        <w:rPr>
          <w:rStyle w:val="AERbody"/>
        </w:rPr>
        <w:t xml:space="preserve">tenant connected to the private network </w:t>
      </w:r>
      <w:r>
        <w:rPr>
          <w:rStyle w:val="AERbody"/>
        </w:rPr>
        <w:t xml:space="preserve">(or a person acting on behalf of the customer or tenant) </w:t>
      </w:r>
      <w:r w:rsidRPr="008D234C">
        <w:rPr>
          <w:rStyle w:val="AERbody"/>
        </w:rPr>
        <w:t xml:space="preserve">for details of the National Metering Identifier of the gate meter, the private network owner or operator must, without undue delay, </w:t>
      </w:r>
      <w:r>
        <w:rPr>
          <w:rStyle w:val="AERbody"/>
        </w:rPr>
        <w:t xml:space="preserve">accurately </w:t>
      </w:r>
      <w:r w:rsidRPr="008D234C">
        <w:rPr>
          <w:rStyle w:val="AERbody"/>
        </w:rPr>
        <w:t xml:space="preserve">provide the </w:t>
      </w:r>
      <w:r>
        <w:rPr>
          <w:rStyle w:val="AERbody"/>
        </w:rPr>
        <w:t xml:space="preserve">relevant </w:t>
      </w:r>
      <w:r w:rsidRPr="008D234C">
        <w:rPr>
          <w:rStyle w:val="AERbody"/>
        </w:rPr>
        <w:t>details of that meter to th</w:t>
      </w:r>
      <w:r>
        <w:rPr>
          <w:rStyle w:val="AERbody"/>
        </w:rPr>
        <w:t>at</w:t>
      </w:r>
      <w:r w:rsidRPr="008D234C">
        <w:rPr>
          <w:rStyle w:val="AERbody"/>
        </w:rPr>
        <w:t xml:space="preserve"> </w:t>
      </w:r>
      <w:r>
        <w:rPr>
          <w:rStyle w:val="AERbody"/>
        </w:rPr>
        <w:t xml:space="preserve">customer, </w:t>
      </w:r>
      <w:r w:rsidRPr="008D234C">
        <w:rPr>
          <w:rStyle w:val="AERbody"/>
        </w:rPr>
        <w:t xml:space="preserve">tenant </w:t>
      </w:r>
      <w:r>
        <w:rPr>
          <w:rStyle w:val="AERbody"/>
        </w:rPr>
        <w:t>or other person, as appropriate</w:t>
      </w:r>
      <w:r w:rsidRPr="008D234C">
        <w:rPr>
          <w:rStyle w:val="AERbody"/>
        </w:rPr>
        <w:t>.</w:t>
      </w:r>
    </w:p>
    <w:p w:rsidR="007C72D1" w:rsidRDefault="007C72D1" w:rsidP="001B4A36">
      <w:pPr>
        <w:pStyle w:val="AERnumberedlistfirststyle"/>
        <w:numPr>
          <w:ilvl w:val="0"/>
          <w:numId w:val="0"/>
        </w:numPr>
        <w:ind w:left="357"/>
        <w:rPr>
          <w:rStyle w:val="AERbody"/>
        </w:rPr>
      </w:pPr>
      <w:r>
        <w:rPr>
          <w:rStyle w:val="AERbody"/>
        </w:rPr>
        <w:t xml:space="preserve">A private network owner or operator or agent must not alter the electrical supply arrangement to a customer or tenant in a private network directly connected to a registered distributor without the written consent of that customer or tenant, freely given. </w:t>
      </w:r>
    </w:p>
    <w:p w:rsidR="007C72D1" w:rsidRPr="00282A9C" w:rsidRDefault="007C72D1" w:rsidP="007C72D1">
      <w:pPr>
        <w:pStyle w:val="AERnumberedlistfirststyle"/>
        <w:numPr>
          <w:ilvl w:val="0"/>
          <w:numId w:val="0"/>
        </w:numPr>
        <w:spacing w:before="0"/>
        <w:ind w:left="357"/>
        <w:rPr>
          <w:rStyle w:val="AERbody"/>
          <w:i/>
        </w:rPr>
      </w:pPr>
      <w:r>
        <w:rPr>
          <w:rStyle w:val="AERbody"/>
          <w:i/>
        </w:rPr>
        <w:t xml:space="preserve">This condition means that a private network operator must actively facilitate access to retail competition if requested to do so. Also, a customer or tenant of commercial, industrial or residential premises cannot be compelled to become part of a private network or subject to an exempt selling regime without the express written consent of that customer or tenant. </w:t>
      </w:r>
    </w:p>
    <w:p w:rsidR="007C72D1" w:rsidRPr="00D55A90" w:rsidRDefault="007C72D1" w:rsidP="007C72D1">
      <w:pPr>
        <w:pStyle w:val="AERnumberedlistfirststyle"/>
        <w:numPr>
          <w:ilvl w:val="0"/>
          <w:numId w:val="0"/>
        </w:numPr>
        <w:spacing w:before="0"/>
        <w:ind w:left="357"/>
        <w:rPr>
          <w:rStyle w:val="AERbody"/>
        </w:rPr>
        <w:sectPr w:rsidR="007C72D1" w:rsidRPr="00D55A90" w:rsidSect="00D43145">
          <w:footerReference w:type="default" r:id="rId14"/>
          <w:pgSz w:w="11906" w:h="16838"/>
          <w:pgMar w:top="1440" w:right="1440" w:bottom="993" w:left="1440" w:header="709" w:footer="709" w:gutter="0"/>
          <w:cols w:space="708"/>
          <w:docGrid w:linePitch="360"/>
        </w:sectPr>
      </w:pPr>
      <w:r>
        <w:rPr>
          <w:rStyle w:val="AERbody"/>
        </w:rPr>
        <w:br/>
      </w:r>
    </w:p>
    <w:p w:rsidR="007C72D1" w:rsidRPr="00043BB1" w:rsidRDefault="007C72D1" w:rsidP="007C72D1">
      <w:pPr>
        <w:pStyle w:val="Heading3"/>
        <w:numPr>
          <w:ilvl w:val="3"/>
          <w:numId w:val="9"/>
        </w:numPr>
      </w:pPr>
      <w:r w:rsidRPr="00043BB1">
        <w:lastRenderedPageBreak/>
        <w:t>Exemption class conditions</w:t>
      </w:r>
    </w:p>
    <w:p w:rsidR="007C72D1" w:rsidRPr="00A46038" w:rsidRDefault="007C72D1" w:rsidP="00A46038">
      <w:pPr>
        <w:rPr>
          <w:b/>
        </w:rPr>
      </w:pPr>
      <w:r w:rsidRPr="00A46038">
        <w:rPr>
          <w:b/>
        </w:rPr>
        <w:t>Table 6 – Deemed classes of exemption – energy selling</w:t>
      </w:r>
    </w:p>
    <w:tbl>
      <w:tblPr>
        <w:tblW w:w="12694" w:type="dxa"/>
        <w:tblInd w:w="93" w:type="dxa"/>
        <w:tblLook w:val="04A0" w:firstRow="1" w:lastRow="0" w:firstColumn="1" w:lastColumn="0" w:noHBand="0" w:noVBand="1"/>
      </w:tblPr>
      <w:tblGrid>
        <w:gridCol w:w="972"/>
        <w:gridCol w:w="960"/>
        <w:gridCol w:w="960"/>
        <w:gridCol w:w="960"/>
        <w:gridCol w:w="960"/>
        <w:gridCol w:w="960"/>
        <w:gridCol w:w="1162"/>
        <w:gridCol w:w="960"/>
        <w:gridCol w:w="960"/>
        <w:gridCol w:w="960"/>
        <w:gridCol w:w="960"/>
        <w:gridCol w:w="960"/>
        <w:gridCol w:w="960"/>
      </w:tblGrid>
      <w:tr w:rsidR="007C72D1" w:rsidRPr="003358FB" w:rsidTr="00587288">
        <w:trPr>
          <w:trHeight w:val="567"/>
        </w:trPr>
        <w:tc>
          <w:tcPr>
            <w:tcW w:w="972" w:type="dxa"/>
            <w:tcBorders>
              <w:top w:val="nil"/>
              <w:left w:val="nil"/>
              <w:bottom w:val="single" w:sz="12" w:space="0" w:color="FFFFFF"/>
              <w:right w:val="nil"/>
            </w:tcBorders>
            <w:shd w:val="clear" w:color="000000" w:fill="365F91"/>
            <w:noWrap/>
            <w:vAlign w:val="center"/>
            <w:hideMark/>
          </w:tcPr>
          <w:p w:rsidR="007C72D1" w:rsidRPr="003358FB" w:rsidRDefault="007C72D1" w:rsidP="00587288">
            <w:pPr>
              <w:rPr>
                <w:b/>
                <w:sz w:val="16"/>
                <w:szCs w:val="16"/>
              </w:rPr>
            </w:pPr>
            <w:r w:rsidRPr="003358FB">
              <w:rPr>
                <w:b/>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3358FB" w:rsidRDefault="007C72D1" w:rsidP="00587288">
            <w:pPr>
              <w:rPr>
                <w:b/>
                <w:sz w:val="16"/>
                <w:szCs w:val="16"/>
              </w:rPr>
            </w:pPr>
          </w:p>
        </w:tc>
        <w:tc>
          <w:tcPr>
            <w:tcW w:w="960" w:type="dxa"/>
            <w:tcBorders>
              <w:top w:val="nil"/>
              <w:left w:val="nil"/>
              <w:bottom w:val="single" w:sz="12" w:space="0" w:color="FFFFFF"/>
              <w:right w:val="nil"/>
            </w:tcBorders>
            <w:shd w:val="clear" w:color="000000" w:fill="365F91"/>
            <w:noWrap/>
            <w:vAlign w:val="center"/>
            <w:hideMark/>
          </w:tcPr>
          <w:p w:rsidR="007C72D1" w:rsidRPr="003358FB" w:rsidRDefault="007C72D1" w:rsidP="00587288">
            <w:pPr>
              <w:rPr>
                <w:b/>
                <w:sz w:val="16"/>
                <w:szCs w:val="16"/>
              </w:rPr>
            </w:pPr>
          </w:p>
        </w:tc>
        <w:tc>
          <w:tcPr>
            <w:tcW w:w="960" w:type="dxa"/>
            <w:tcBorders>
              <w:top w:val="nil"/>
              <w:left w:val="nil"/>
              <w:bottom w:val="single" w:sz="12" w:space="0" w:color="FFFFFF"/>
              <w:right w:val="nil"/>
            </w:tcBorders>
            <w:shd w:val="clear" w:color="000000" w:fill="365F91"/>
            <w:noWrap/>
            <w:vAlign w:val="center"/>
            <w:hideMark/>
          </w:tcPr>
          <w:p w:rsidR="007C72D1" w:rsidRPr="003358FB" w:rsidRDefault="007C72D1" w:rsidP="00587288">
            <w:pPr>
              <w:rPr>
                <w:b/>
                <w:sz w:val="16"/>
                <w:szCs w:val="16"/>
              </w:rPr>
            </w:pPr>
          </w:p>
        </w:tc>
        <w:tc>
          <w:tcPr>
            <w:tcW w:w="960" w:type="dxa"/>
            <w:tcBorders>
              <w:top w:val="nil"/>
              <w:left w:val="nil"/>
              <w:bottom w:val="single" w:sz="12" w:space="0" w:color="FFFFFF"/>
              <w:right w:val="nil"/>
            </w:tcBorders>
            <w:shd w:val="clear" w:color="000000" w:fill="365F91"/>
            <w:noWrap/>
            <w:vAlign w:val="center"/>
            <w:hideMark/>
          </w:tcPr>
          <w:p w:rsidR="007C72D1" w:rsidRPr="003358FB" w:rsidRDefault="007C72D1" w:rsidP="00587288">
            <w:pPr>
              <w:rPr>
                <w:b/>
                <w:sz w:val="16"/>
                <w:szCs w:val="16"/>
              </w:rPr>
            </w:pPr>
          </w:p>
        </w:tc>
        <w:tc>
          <w:tcPr>
            <w:tcW w:w="960" w:type="dxa"/>
            <w:tcBorders>
              <w:top w:val="nil"/>
              <w:left w:val="nil"/>
              <w:bottom w:val="single" w:sz="12" w:space="0" w:color="FFFFFF"/>
              <w:right w:val="nil"/>
            </w:tcBorders>
            <w:shd w:val="clear" w:color="000000" w:fill="365F91"/>
            <w:noWrap/>
            <w:vAlign w:val="center"/>
            <w:hideMark/>
          </w:tcPr>
          <w:p w:rsidR="007C72D1" w:rsidRPr="003358FB" w:rsidRDefault="007C72D1" w:rsidP="00587288">
            <w:pPr>
              <w:rPr>
                <w:b/>
                <w:color w:val="FFFFFF"/>
                <w:sz w:val="16"/>
                <w:szCs w:val="16"/>
              </w:rPr>
            </w:pPr>
          </w:p>
        </w:tc>
        <w:tc>
          <w:tcPr>
            <w:tcW w:w="1162" w:type="dxa"/>
            <w:tcBorders>
              <w:top w:val="nil"/>
              <w:left w:val="nil"/>
              <w:bottom w:val="single" w:sz="12" w:space="0" w:color="FFFFFF"/>
              <w:right w:val="nil"/>
            </w:tcBorders>
            <w:shd w:val="clear" w:color="000000" w:fill="365F91"/>
            <w:noWrap/>
            <w:vAlign w:val="center"/>
            <w:hideMark/>
          </w:tcPr>
          <w:p w:rsidR="007C72D1" w:rsidRPr="003358FB" w:rsidRDefault="007C72D1" w:rsidP="00587288">
            <w:pPr>
              <w:rPr>
                <w:b/>
                <w:color w:val="FFFFFF"/>
                <w:sz w:val="16"/>
                <w:szCs w:val="16"/>
              </w:rPr>
            </w:pPr>
            <w:r w:rsidRPr="003358FB">
              <w:rPr>
                <w:b/>
                <w:color w:val="FFFFFF"/>
                <w:sz w:val="16"/>
                <w:szCs w:val="16"/>
              </w:rPr>
              <w:t>Conditions</w:t>
            </w:r>
          </w:p>
        </w:tc>
        <w:tc>
          <w:tcPr>
            <w:tcW w:w="960" w:type="dxa"/>
            <w:tcBorders>
              <w:top w:val="nil"/>
              <w:left w:val="nil"/>
              <w:bottom w:val="single" w:sz="12" w:space="0" w:color="FFFFFF"/>
              <w:right w:val="nil"/>
            </w:tcBorders>
            <w:shd w:val="clear" w:color="000000" w:fill="365F91"/>
            <w:noWrap/>
            <w:vAlign w:val="center"/>
            <w:hideMark/>
          </w:tcPr>
          <w:p w:rsidR="007C72D1" w:rsidRPr="003358FB" w:rsidRDefault="007C72D1" w:rsidP="00587288">
            <w:pPr>
              <w:rPr>
                <w:b/>
                <w:color w:val="FFFFFF"/>
                <w:sz w:val="16"/>
                <w:szCs w:val="16"/>
              </w:rPr>
            </w:pPr>
          </w:p>
        </w:tc>
        <w:tc>
          <w:tcPr>
            <w:tcW w:w="960" w:type="dxa"/>
            <w:tcBorders>
              <w:top w:val="nil"/>
              <w:left w:val="nil"/>
              <w:bottom w:val="single" w:sz="12" w:space="0" w:color="FFFFFF"/>
              <w:right w:val="nil"/>
            </w:tcBorders>
            <w:shd w:val="clear" w:color="000000" w:fill="365F91"/>
            <w:noWrap/>
            <w:vAlign w:val="center"/>
            <w:hideMark/>
          </w:tcPr>
          <w:p w:rsidR="007C72D1" w:rsidRPr="003358FB" w:rsidRDefault="007C72D1" w:rsidP="00587288">
            <w:pPr>
              <w:rPr>
                <w:b/>
                <w:sz w:val="16"/>
                <w:szCs w:val="16"/>
              </w:rPr>
            </w:pPr>
          </w:p>
        </w:tc>
        <w:tc>
          <w:tcPr>
            <w:tcW w:w="960" w:type="dxa"/>
            <w:tcBorders>
              <w:top w:val="nil"/>
              <w:left w:val="nil"/>
              <w:bottom w:val="single" w:sz="12" w:space="0" w:color="FFFFFF"/>
              <w:right w:val="nil"/>
            </w:tcBorders>
            <w:shd w:val="clear" w:color="000000" w:fill="365F91"/>
            <w:noWrap/>
            <w:vAlign w:val="center"/>
            <w:hideMark/>
          </w:tcPr>
          <w:p w:rsidR="007C72D1" w:rsidRPr="003358FB" w:rsidRDefault="007C72D1" w:rsidP="00587288">
            <w:pPr>
              <w:rPr>
                <w:b/>
                <w:sz w:val="16"/>
                <w:szCs w:val="16"/>
              </w:rPr>
            </w:pPr>
          </w:p>
        </w:tc>
        <w:tc>
          <w:tcPr>
            <w:tcW w:w="960" w:type="dxa"/>
            <w:tcBorders>
              <w:top w:val="nil"/>
              <w:left w:val="nil"/>
              <w:bottom w:val="single" w:sz="12" w:space="0" w:color="FFFFFF"/>
              <w:right w:val="nil"/>
            </w:tcBorders>
            <w:shd w:val="clear" w:color="000000" w:fill="365F91"/>
            <w:noWrap/>
            <w:vAlign w:val="center"/>
            <w:hideMark/>
          </w:tcPr>
          <w:p w:rsidR="007C72D1" w:rsidRPr="003358FB" w:rsidRDefault="007C72D1" w:rsidP="00587288">
            <w:pPr>
              <w:rPr>
                <w:b/>
                <w:sz w:val="16"/>
                <w:szCs w:val="16"/>
              </w:rPr>
            </w:pPr>
          </w:p>
        </w:tc>
        <w:tc>
          <w:tcPr>
            <w:tcW w:w="960" w:type="dxa"/>
            <w:tcBorders>
              <w:top w:val="nil"/>
              <w:left w:val="nil"/>
              <w:bottom w:val="single" w:sz="12" w:space="0" w:color="FFFFFF"/>
              <w:right w:val="nil"/>
            </w:tcBorders>
            <w:shd w:val="clear" w:color="000000" w:fill="365F91"/>
            <w:noWrap/>
            <w:vAlign w:val="center"/>
            <w:hideMark/>
          </w:tcPr>
          <w:p w:rsidR="007C72D1" w:rsidRPr="003358FB" w:rsidRDefault="007C72D1" w:rsidP="00587288">
            <w:pPr>
              <w:rPr>
                <w:b/>
                <w:sz w:val="16"/>
                <w:szCs w:val="16"/>
              </w:rPr>
            </w:pPr>
          </w:p>
        </w:tc>
        <w:tc>
          <w:tcPr>
            <w:tcW w:w="960" w:type="dxa"/>
            <w:tcBorders>
              <w:top w:val="nil"/>
              <w:left w:val="nil"/>
              <w:bottom w:val="single" w:sz="12" w:space="0" w:color="FFFFFF"/>
              <w:right w:val="nil"/>
            </w:tcBorders>
            <w:shd w:val="clear" w:color="000000" w:fill="365F91"/>
            <w:noWrap/>
            <w:vAlign w:val="center"/>
            <w:hideMark/>
          </w:tcPr>
          <w:p w:rsidR="007C72D1" w:rsidRPr="003358FB" w:rsidRDefault="007C72D1" w:rsidP="00587288">
            <w:pPr>
              <w:rPr>
                <w:b/>
                <w:sz w:val="16"/>
                <w:szCs w:val="16"/>
              </w:rPr>
            </w:pPr>
          </w:p>
        </w:tc>
      </w:tr>
      <w:tr w:rsidR="007C72D1" w:rsidRPr="003358FB" w:rsidTr="00587288">
        <w:trPr>
          <w:trHeight w:val="567"/>
        </w:trPr>
        <w:tc>
          <w:tcPr>
            <w:tcW w:w="972" w:type="dxa"/>
            <w:tcBorders>
              <w:top w:val="nil"/>
              <w:left w:val="nil"/>
              <w:bottom w:val="single" w:sz="8" w:space="0" w:color="365F91"/>
              <w:right w:val="nil"/>
            </w:tcBorders>
            <w:shd w:val="clear" w:color="000000" w:fill="365F91"/>
            <w:vAlign w:val="center"/>
            <w:hideMark/>
          </w:tcPr>
          <w:p w:rsidR="007C72D1" w:rsidRPr="003358FB" w:rsidRDefault="007C72D1" w:rsidP="00587288">
            <w:pPr>
              <w:jc w:val="center"/>
              <w:rPr>
                <w:b/>
                <w:color w:val="FFFFFF"/>
                <w:sz w:val="16"/>
                <w:szCs w:val="16"/>
              </w:rPr>
            </w:pPr>
            <w:r>
              <w:rPr>
                <w:b/>
                <w:color w:val="FFFFFF"/>
                <w:sz w:val="16"/>
                <w:szCs w:val="16"/>
              </w:rPr>
              <w:t>Class</w:t>
            </w:r>
          </w:p>
        </w:tc>
        <w:tc>
          <w:tcPr>
            <w:tcW w:w="960" w:type="dxa"/>
            <w:tcBorders>
              <w:top w:val="nil"/>
              <w:left w:val="nil"/>
              <w:bottom w:val="single" w:sz="8" w:space="0" w:color="365F91"/>
              <w:right w:val="nil"/>
            </w:tcBorders>
            <w:shd w:val="clear" w:color="000000" w:fill="365F91"/>
            <w:noWrap/>
            <w:vAlign w:val="center"/>
            <w:hideMark/>
          </w:tcPr>
          <w:p w:rsidR="007C72D1" w:rsidRPr="003358FB" w:rsidRDefault="007C72D1" w:rsidP="00587288">
            <w:pPr>
              <w:jc w:val="center"/>
              <w:rPr>
                <w:b/>
                <w:color w:val="FFFFFF"/>
                <w:sz w:val="16"/>
                <w:szCs w:val="16"/>
              </w:rPr>
            </w:pPr>
            <w:r w:rsidRPr="003358FB">
              <w:rPr>
                <w:b/>
                <w:color w:val="FFFFFF"/>
                <w:sz w:val="16"/>
                <w:szCs w:val="16"/>
              </w:rPr>
              <w:t>1</w:t>
            </w:r>
          </w:p>
        </w:tc>
        <w:tc>
          <w:tcPr>
            <w:tcW w:w="960" w:type="dxa"/>
            <w:tcBorders>
              <w:top w:val="nil"/>
              <w:left w:val="nil"/>
              <w:bottom w:val="single" w:sz="8" w:space="0" w:color="365F91"/>
              <w:right w:val="nil"/>
            </w:tcBorders>
            <w:shd w:val="clear" w:color="000000" w:fill="365F91"/>
            <w:noWrap/>
            <w:vAlign w:val="center"/>
            <w:hideMark/>
          </w:tcPr>
          <w:p w:rsidR="007C72D1" w:rsidRPr="003358FB" w:rsidRDefault="007C72D1" w:rsidP="00587288">
            <w:pPr>
              <w:jc w:val="center"/>
              <w:rPr>
                <w:b/>
                <w:color w:val="FFFFFF"/>
                <w:sz w:val="16"/>
                <w:szCs w:val="16"/>
              </w:rPr>
            </w:pPr>
            <w:r w:rsidRPr="003358FB">
              <w:rPr>
                <w:b/>
                <w:color w:val="FFFFFF"/>
                <w:sz w:val="16"/>
                <w:szCs w:val="16"/>
              </w:rPr>
              <w:t>2</w:t>
            </w:r>
          </w:p>
        </w:tc>
        <w:tc>
          <w:tcPr>
            <w:tcW w:w="960" w:type="dxa"/>
            <w:tcBorders>
              <w:top w:val="nil"/>
              <w:left w:val="nil"/>
              <w:bottom w:val="single" w:sz="8" w:space="0" w:color="365F91"/>
              <w:right w:val="nil"/>
            </w:tcBorders>
            <w:shd w:val="clear" w:color="000000" w:fill="365F91"/>
            <w:noWrap/>
            <w:vAlign w:val="center"/>
            <w:hideMark/>
          </w:tcPr>
          <w:p w:rsidR="007C72D1" w:rsidRPr="003358FB" w:rsidRDefault="007C72D1" w:rsidP="00587288">
            <w:pPr>
              <w:jc w:val="center"/>
              <w:rPr>
                <w:b/>
                <w:color w:val="FFFFFF"/>
                <w:sz w:val="16"/>
                <w:szCs w:val="16"/>
              </w:rPr>
            </w:pPr>
            <w:r w:rsidRPr="003358FB">
              <w:rPr>
                <w:b/>
                <w:color w:val="FFFFFF"/>
                <w:sz w:val="16"/>
                <w:szCs w:val="16"/>
              </w:rPr>
              <w:t>3</w:t>
            </w:r>
          </w:p>
        </w:tc>
        <w:tc>
          <w:tcPr>
            <w:tcW w:w="960" w:type="dxa"/>
            <w:tcBorders>
              <w:top w:val="nil"/>
              <w:left w:val="nil"/>
              <w:bottom w:val="single" w:sz="8" w:space="0" w:color="365F91"/>
              <w:right w:val="nil"/>
            </w:tcBorders>
            <w:shd w:val="clear" w:color="000000" w:fill="365F91"/>
            <w:noWrap/>
            <w:vAlign w:val="center"/>
            <w:hideMark/>
          </w:tcPr>
          <w:p w:rsidR="007C72D1" w:rsidRPr="003358FB" w:rsidRDefault="007C72D1" w:rsidP="00587288">
            <w:pPr>
              <w:jc w:val="center"/>
              <w:rPr>
                <w:b/>
                <w:color w:val="FFFFFF"/>
                <w:sz w:val="16"/>
                <w:szCs w:val="16"/>
              </w:rPr>
            </w:pPr>
            <w:r w:rsidRPr="003358FB">
              <w:rPr>
                <w:b/>
                <w:color w:val="FFFFFF"/>
                <w:sz w:val="16"/>
                <w:szCs w:val="16"/>
              </w:rPr>
              <w:t>4</w:t>
            </w:r>
          </w:p>
        </w:tc>
        <w:tc>
          <w:tcPr>
            <w:tcW w:w="960" w:type="dxa"/>
            <w:tcBorders>
              <w:top w:val="nil"/>
              <w:left w:val="nil"/>
              <w:bottom w:val="single" w:sz="8" w:space="0" w:color="365F91"/>
              <w:right w:val="nil"/>
            </w:tcBorders>
            <w:shd w:val="clear" w:color="000000" w:fill="365F91"/>
            <w:noWrap/>
            <w:vAlign w:val="center"/>
            <w:hideMark/>
          </w:tcPr>
          <w:p w:rsidR="007C72D1" w:rsidRPr="003358FB" w:rsidRDefault="007C72D1" w:rsidP="00587288">
            <w:pPr>
              <w:jc w:val="center"/>
              <w:rPr>
                <w:b/>
                <w:color w:val="FFFFFF"/>
                <w:sz w:val="16"/>
                <w:szCs w:val="16"/>
              </w:rPr>
            </w:pPr>
            <w:r w:rsidRPr="003358FB">
              <w:rPr>
                <w:b/>
                <w:color w:val="FFFFFF"/>
                <w:sz w:val="16"/>
                <w:szCs w:val="16"/>
              </w:rPr>
              <w:t>5</w:t>
            </w:r>
          </w:p>
        </w:tc>
        <w:tc>
          <w:tcPr>
            <w:tcW w:w="1162" w:type="dxa"/>
            <w:tcBorders>
              <w:top w:val="nil"/>
              <w:left w:val="nil"/>
              <w:bottom w:val="single" w:sz="8" w:space="0" w:color="365F91"/>
              <w:right w:val="nil"/>
            </w:tcBorders>
            <w:shd w:val="clear" w:color="000000" w:fill="365F91"/>
            <w:noWrap/>
            <w:vAlign w:val="center"/>
            <w:hideMark/>
          </w:tcPr>
          <w:p w:rsidR="007C72D1" w:rsidRPr="003358FB" w:rsidRDefault="007C72D1" w:rsidP="00587288">
            <w:pPr>
              <w:jc w:val="center"/>
              <w:rPr>
                <w:b/>
                <w:color w:val="FFFFFF"/>
                <w:sz w:val="16"/>
                <w:szCs w:val="16"/>
              </w:rPr>
            </w:pPr>
            <w:r w:rsidRPr="003358FB">
              <w:rPr>
                <w:b/>
                <w:color w:val="FFFFFF"/>
                <w:sz w:val="16"/>
                <w:szCs w:val="16"/>
              </w:rPr>
              <w:t>6</w:t>
            </w:r>
          </w:p>
        </w:tc>
        <w:tc>
          <w:tcPr>
            <w:tcW w:w="960" w:type="dxa"/>
            <w:tcBorders>
              <w:top w:val="nil"/>
              <w:left w:val="nil"/>
              <w:bottom w:val="single" w:sz="8" w:space="0" w:color="365F91"/>
              <w:right w:val="nil"/>
            </w:tcBorders>
            <w:shd w:val="clear" w:color="000000" w:fill="365F91"/>
            <w:noWrap/>
            <w:vAlign w:val="center"/>
            <w:hideMark/>
          </w:tcPr>
          <w:p w:rsidR="007C72D1" w:rsidRPr="003358FB" w:rsidRDefault="007C72D1" w:rsidP="00587288">
            <w:pPr>
              <w:jc w:val="center"/>
              <w:rPr>
                <w:b/>
                <w:color w:val="FFFFFF"/>
                <w:sz w:val="16"/>
                <w:szCs w:val="16"/>
              </w:rPr>
            </w:pPr>
            <w:r w:rsidRPr="003358FB">
              <w:rPr>
                <w:b/>
                <w:color w:val="FFFFFF"/>
                <w:sz w:val="16"/>
                <w:szCs w:val="16"/>
              </w:rPr>
              <w:t>7</w:t>
            </w:r>
          </w:p>
        </w:tc>
        <w:tc>
          <w:tcPr>
            <w:tcW w:w="960" w:type="dxa"/>
            <w:tcBorders>
              <w:top w:val="nil"/>
              <w:left w:val="nil"/>
              <w:bottom w:val="single" w:sz="8" w:space="0" w:color="365F91"/>
              <w:right w:val="nil"/>
            </w:tcBorders>
            <w:shd w:val="clear" w:color="000000" w:fill="365F91"/>
            <w:noWrap/>
            <w:vAlign w:val="center"/>
            <w:hideMark/>
          </w:tcPr>
          <w:p w:rsidR="007C72D1" w:rsidRPr="003358FB" w:rsidRDefault="007C72D1" w:rsidP="00587288">
            <w:pPr>
              <w:jc w:val="center"/>
              <w:rPr>
                <w:b/>
                <w:color w:val="FFFFFF"/>
                <w:sz w:val="16"/>
                <w:szCs w:val="16"/>
              </w:rPr>
            </w:pPr>
            <w:r w:rsidRPr="003358FB">
              <w:rPr>
                <w:b/>
                <w:color w:val="FFFFFF"/>
                <w:sz w:val="16"/>
                <w:szCs w:val="16"/>
              </w:rPr>
              <w:t>8</w:t>
            </w:r>
          </w:p>
        </w:tc>
        <w:tc>
          <w:tcPr>
            <w:tcW w:w="960" w:type="dxa"/>
            <w:tcBorders>
              <w:top w:val="nil"/>
              <w:left w:val="nil"/>
              <w:bottom w:val="single" w:sz="8" w:space="0" w:color="365F91"/>
              <w:right w:val="nil"/>
            </w:tcBorders>
            <w:shd w:val="clear" w:color="000000" w:fill="365F91"/>
            <w:noWrap/>
            <w:vAlign w:val="center"/>
            <w:hideMark/>
          </w:tcPr>
          <w:p w:rsidR="007C72D1" w:rsidRPr="003358FB" w:rsidRDefault="007C72D1" w:rsidP="00587288">
            <w:pPr>
              <w:jc w:val="center"/>
              <w:rPr>
                <w:b/>
                <w:color w:val="FFFFFF"/>
                <w:sz w:val="16"/>
                <w:szCs w:val="16"/>
              </w:rPr>
            </w:pPr>
            <w:r w:rsidRPr="003358FB">
              <w:rPr>
                <w:b/>
                <w:color w:val="FFFFFF"/>
                <w:sz w:val="16"/>
                <w:szCs w:val="16"/>
              </w:rPr>
              <w:t>9</w:t>
            </w:r>
          </w:p>
        </w:tc>
        <w:tc>
          <w:tcPr>
            <w:tcW w:w="960" w:type="dxa"/>
            <w:tcBorders>
              <w:top w:val="nil"/>
              <w:left w:val="nil"/>
              <w:bottom w:val="single" w:sz="8" w:space="0" w:color="365F91"/>
              <w:right w:val="nil"/>
            </w:tcBorders>
            <w:shd w:val="clear" w:color="000000" w:fill="365F91"/>
            <w:noWrap/>
            <w:vAlign w:val="center"/>
            <w:hideMark/>
          </w:tcPr>
          <w:p w:rsidR="007C72D1" w:rsidRPr="003358FB" w:rsidRDefault="007C72D1" w:rsidP="00587288">
            <w:pPr>
              <w:jc w:val="center"/>
              <w:rPr>
                <w:b/>
                <w:color w:val="FFFFFF"/>
                <w:sz w:val="16"/>
                <w:szCs w:val="16"/>
              </w:rPr>
            </w:pPr>
            <w:r w:rsidRPr="003358FB">
              <w:rPr>
                <w:b/>
                <w:color w:val="FFFFFF"/>
                <w:sz w:val="16"/>
                <w:szCs w:val="16"/>
              </w:rPr>
              <w:t>10</w:t>
            </w:r>
          </w:p>
        </w:tc>
        <w:tc>
          <w:tcPr>
            <w:tcW w:w="960" w:type="dxa"/>
            <w:tcBorders>
              <w:top w:val="nil"/>
              <w:left w:val="nil"/>
              <w:bottom w:val="single" w:sz="8" w:space="0" w:color="365F91"/>
              <w:right w:val="nil"/>
            </w:tcBorders>
            <w:shd w:val="clear" w:color="000000" w:fill="365F91"/>
            <w:noWrap/>
            <w:vAlign w:val="center"/>
            <w:hideMark/>
          </w:tcPr>
          <w:p w:rsidR="007C72D1" w:rsidRPr="003358FB" w:rsidRDefault="007C72D1" w:rsidP="00587288">
            <w:pPr>
              <w:jc w:val="center"/>
              <w:rPr>
                <w:b/>
                <w:color w:val="FFFFFF"/>
                <w:sz w:val="16"/>
                <w:szCs w:val="16"/>
              </w:rPr>
            </w:pPr>
            <w:r w:rsidRPr="003358FB">
              <w:rPr>
                <w:b/>
                <w:color w:val="FFFFFF"/>
                <w:sz w:val="16"/>
                <w:szCs w:val="16"/>
              </w:rPr>
              <w:t>11</w:t>
            </w:r>
          </w:p>
        </w:tc>
        <w:tc>
          <w:tcPr>
            <w:tcW w:w="960" w:type="dxa"/>
            <w:tcBorders>
              <w:top w:val="nil"/>
              <w:left w:val="nil"/>
              <w:bottom w:val="single" w:sz="8" w:space="0" w:color="365F91"/>
              <w:right w:val="nil"/>
            </w:tcBorders>
            <w:shd w:val="clear" w:color="000000" w:fill="365F91"/>
            <w:noWrap/>
            <w:vAlign w:val="center"/>
            <w:hideMark/>
          </w:tcPr>
          <w:p w:rsidR="007C72D1" w:rsidRPr="003358FB" w:rsidRDefault="007C72D1" w:rsidP="00587288">
            <w:pPr>
              <w:jc w:val="center"/>
              <w:rPr>
                <w:b/>
                <w:color w:val="FFFFFF"/>
                <w:sz w:val="16"/>
                <w:szCs w:val="16"/>
              </w:rPr>
            </w:pPr>
            <w:r w:rsidRPr="003358FB">
              <w:rPr>
                <w:b/>
                <w:color w:val="FFFFFF"/>
                <w:sz w:val="16"/>
                <w:szCs w:val="16"/>
              </w:rPr>
              <w:t>12</w:t>
            </w:r>
          </w:p>
        </w:tc>
      </w:tr>
      <w:tr w:rsidR="007C72D1" w:rsidRPr="003358FB" w:rsidTr="00587288">
        <w:trPr>
          <w:trHeight w:val="682"/>
        </w:trPr>
        <w:tc>
          <w:tcPr>
            <w:tcW w:w="972" w:type="dxa"/>
            <w:tcBorders>
              <w:top w:val="nil"/>
              <w:left w:val="nil"/>
              <w:bottom w:val="nil"/>
              <w:right w:val="nil"/>
            </w:tcBorders>
            <w:shd w:val="clear" w:color="auto" w:fill="auto"/>
            <w:vAlign w:val="bottom"/>
            <w:hideMark/>
          </w:tcPr>
          <w:p w:rsidR="007C72D1" w:rsidRPr="003358FB" w:rsidRDefault="007C72D1" w:rsidP="00587288">
            <w:pPr>
              <w:rPr>
                <w:sz w:val="16"/>
                <w:szCs w:val="16"/>
              </w:rPr>
            </w:pPr>
            <w:r w:rsidRPr="003358FB">
              <w:rPr>
                <w:sz w:val="16"/>
                <w:szCs w:val="16"/>
              </w:rPr>
              <w:t>ND1</w:t>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1162"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hideMark/>
          </w:tcPr>
          <w:p w:rsidR="007C72D1" w:rsidRPr="003358FB" w:rsidRDefault="007C72D1" w:rsidP="00587288">
            <w:pPr>
              <w:rPr>
                <w:sz w:val="16"/>
                <w:szCs w:val="16"/>
              </w:rPr>
            </w:pPr>
            <w:r w:rsidRPr="003358FB">
              <w:rPr>
                <w:rStyle w:val="AERtextsize8"/>
                <w:szCs w:val="16"/>
              </w:rPr>
              <w:t>Not applicable</w:t>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r>
      <w:tr w:rsidR="007C72D1" w:rsidRPr="003358FB" w:rsidTr="00587288">
        <w:trPr>
          <w:trHeight w:val="682"/>
        </w:trPr>
        <w:tc>
          <w:tcPr>
            <w:tcW w:w="972" w:type="dxa"/>
            <w:tcBorders>
              <w:top w:val="nil"/>
              <w:left w:val="nil"/>
              <w:bottom w:val="nil"/>
              <w:right w:val="nil"/>
            </w:tcBorders>
            <w:shd w:val="clear" w:color="000000" w:fill="DBE5F1"/>
            <w:vAlign w:val="bottom"/>
            <w:hideMark/>
          </w:tcPr>
          <w:p w:rsidR="007C72D1" w:rsidRPr="003358FB" w:rsidRDefault="007C72D1" w:rsidP="00587288">
            <w:pPr>
              <w:rPr>
                <w:sz w:val="16"/>
                <w:szCs w:val="16"/>
              </w:rPr>
            </w:pPr>
            <w:r w:rsidRPr="003358FB">
              <w:rPr>
                <w:sz w:val="16"/>
                <w:szCs w:val="16"/>
              </w:rPr>
              <w:t>ND2</w:t>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1162"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000000" w:fill="DBE5F1"/>
            <w:noWrap/>
            <w:hideMark/>
          </w:tcPr>
          <w:p w:rsidR="007C72D1" w:rsidRPr="003358FB" w:rsidRDefault="007C72D1" w:rsidP="00587288">
            <w:pPr>
              <w:rPr>
                <w:sz w:val="16"/>
                <w:szCs w:val="16"/>
              </w:rPr>
            </w:pPr>
            <w:r w:rsidRPr="003358FB">
              <w:rPr>
                <w:rStyle w:val="AERtextsize8"/>
                <w:szCs w:val="16"/>
              </w:rPr>
              <w:t>Not applicable</w:t>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r>
      <w:tr w:rsidR="007C72D1" w:rsidRPr="003358FB" w:rsidTr="00587288">
        <w:trPr>
          <w:trHeight w:val="682"/>
        </w:trPr>
        <w:tc>
          <w:tcPr>
            <w:tcW w:w="972" w:type="dxa"/>
            <w:tcBorders>
              <w:top w:val="nil"/>
              <w:left w:val="nil"/>
              <w:bottom w:val="nil"/>
              <w:right w:val="nil"/>
            </w:tcBorders>
            <w:shd w:val="clear" w:color="auto" w:fill="auto"/>
            <w:vAlign w:val="bottom"/>
            <w:hideMark/>
          </w:tcPr>
          <w:p w:rsidR="007C72D1" w:rsidRPr="003358FB" w:rsidRDefault="007C72D1" w:rsidP="00587288">
            <w:pPr>
              <w:rPr>
                <w:sz w:val="16"/>
                <w:szCs w:val="16"/>
              </w:rPr>
            </w:pPr>
            <w:r w:rsidRPr="003358FB">
              <w:rPr>
                <w:sz w:val="16"/>
                <w:szCs w:val="16"/>
              </w:rPr>
              <w:t>ND3</w:t>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1162"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hideMark/>
          </w:tcPr>
          <w:p w:rsidR="007C72D1" w:rsidRPr="003358FB" w:rsidRDefault="007C72D1" w:rsidP="00587288">
            <w:pPr>
              <w:rPr>
                <w:sz w:val="16"/>
                <w:szCs w:val="16"/>
              </w:rPr>
            </w:pPr>
            <w:r w:rsidRPr="003358FB">
              <w:rPr>
                <w:rStyle w:val="AERtextsize8"/>
                <w:szCs w:val="16"/>
              </w:rPr>
              <w:t>Not applicable</w:t>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r>
      <w:tr w:rsidR="007C72D1" w:rsidRPr="003358FB" w:rsidTr="00587288">
        <w:trPr>
          <w:trHeight w:val="682"/>
        </w:trPr>
        <w:tc>
          <w:tcPr>
            <w:tcW w:w="972" w:type="dxa"/>
            <w:tcBorders>
              <w:top w:val="nil"/>
              <w:left w:val="nil"/>
              <w:bottom w:val="nil"/>
              <w:right w:val="nil"/>
            </w:tcBorders>
            <w:shd w:val="clear" w:color="000000" w:fill="A6A6A6"/>
            <w:vAlign w:val="bottom"/>
            <w:hideMark/>
          </w:tcPr>
          <w:p w:rsidR="007C72D1" w:rsidRPr="003358FB" w:rsidRDefault="007C72D1" w:rsidP="00587288">
            <w:pPr>
              <w:rPr>
                <w:sz w:val="16"/>
                <w:szCs w:val="16"/>
              </w:rPr>
            </w:pPr>
            <w:r w:rsidRPr="003358FB">
              <w:rPr>
                <w:sz w:val="16"/>
                <w:szCs w:val="16"/>
              </w:rPr>
              <w:t>ND4</w:t>
            </w:r>
          </w:p>
        </w:tc>
        <w:tc>
          <w:tcPr>
            <w:tcW w:w="960" w:type="dxa"/>
            <w:tcBorders>
              <w:top w:val="nil"/>
              <w:left w:val="nil"/>
              <w:bottom w:val="nil"/>
              <w:right w:val="nil"/>
            </w:tcBorders>
            <w:shd w:val="clear" w:color="000000" w:fill="A6A6A6"/>
            <w:noWrap/>
            <w:vAlign w:val="center"/>
            <w:hideMark/>
          </w:tcPr>
          <w:p w:rsidR="007C72D1" w:rsidRPr="003358FB" w:rsidRDefault="007C72D1" w:rsidP="00587288">
            <w:pPr>
              <w:jc w:val="left"/>
              <w:rPr>
                <w:rStyle w:val="AERtextsize8"/>
                <w:szCs w:val="16"/>
              </w:rPr>
            </w:pPr>
            <w:r>
              <w:rPr>
                <w:rStyle w:val="AERtextsize8"/>
                <w:szCs w:val="16"/>
              </w:rPr>
              <w:t>Deleted</w:t>
            </w:r>
          </w:p>
        </w:tc>
        <w:tc>
          <w:tcPr>
            <w:tcW w:w="960" w:type="dxa"/>
            <w:tcBorders>
              <w:top w:val="nil"/>
              <w:left w:val="nil"/>
              <w:bottom w:val="nil"/>
              <w:right w:val="nil"/>
            </w:tcBorders>
            <w:shd w:val="clear" w:color="000000" w:fill="A6A6A6"/>
            <w:noWrap/>
            <w:vAlign w:val="center"/>
            <w:hideMark/>
          </w:tcPr>
          <w:p w:rsidR="007C72D1" w:rsidRDefault="007C72D1" w:rsidP="00587288">
            <w:pPr>
              <w:jc w:val="left"/>
            </w:pPr>
            <w:r w:rsidRPr="00130505">
              <w:rPr>
                <w:rStyle w:val="AERtextsize8"/>
                <w:szCs w:val="16"/>
              </w:rPr>
              <w:t>Deleted</w:t>
            </w:r>
          </w:p>
        </w:tc>
        <w:tc>
          <w:tcPr>
            <w:tcW w:w="960" w:type="dxa"/>
            <w:tcBorders>
              <w:top w:val="nil"/>
              <w:left w:val="nil"/>
              <w:bottom w:val="nil"/>
              <w:right w:val="nil"/>
            </w:tcBorders>
            <w:shd w:val="clear" w:color="000000" w:fill="A6A6A6"/>
            <w:noWrap/>
            <w:vAlign w:val="center"/>
            <w:hideMark/>
          </w:tcPr>
          <w:p w:rsidR="007C72D1" w:rsidRDefault="007C72D1" w:rsidP="00587288">
            <w:pPr>
              <w:jc w:val="left"/>
            </w:pPr>
            <w:r w:rsidRPr="00130505">
              <w:rPr>
                <w:rStyle w:val="AERtextsize8"/>
                <w:szCs w:val="16"/>
              </w:rPr>
              <w:t>Deleted</w:t>
            </w:r>
          </w:p>
        </w:tc>
        <w:tc>
          <w:tcPr>
            <w:tcW w:w="960" w:type="dxa"/>
            <w:tcBorders>
              <w:top w:val="nil"/>
              <w:left w:val="nil"/>
              <w:bottom w:val="nil"/>
              <w:right w:val="nil"/>
            </w:tcBorders>
            <w:shd w:val="clear" w:color="000000" w:fill="A6A6A6"/>
            <w:noWrap/>
            <w:vAlign w:val="center"/>
            <w:hideMark/>
          </w:tcPr>
          <w:p w:rsidR="007C72D1" w:rsidRDefault="007C72D1" w:rsidP="00587288">
            <w:pPr>
              <w:jc w:val="left"/>
            </w:pPr>
            <w:r w:rsidRPr="00130505">
              <w:rPr>
                <w:rStyle w:val="AERtextsize8"/>
                <w:szCs w:val="16"/>
              </w:rPr>
              <w:t>Deleted</w:t>
            </w:r>
          </w:p>
        </w:tc>
        <w:tc>
          <w:tcPr>
            <w:tcW w:w="960" w:type="dxa"/>
            <w:tcBorders>
              <w:top w:val="nil"/>
              <w:left w:val="nil"/>
              <w:bottom w:val="nil"/>
              <w:right w:val="nil"/>
            </w:tcBorders>
            <w:shd w:val="clear" w:color="000000" w:fill="A6A6A6"/>
            <w:noWrap/>
            <w:vAlign w:val="center"/>
            <w:hideMark/>
          </w:tcPr>
          <w:p w:rsidR="007C72D1" w:rsidRDefault="007C72D1" w:rsidP="00587288">
            <w:pPr>
              <w:jc w:val="left"/>
            </w:pPr>
            <w:r w:rsidRPr="00130505">
              <w:rPr>
                <w:rStyle w:val="AERtextsize8"/>
                <w:szCs w:val="16"/>
              </w:rPr>
              <w:t>Deleted</w:t>
            </w:r>
          </w:p>
        </w:tc>
        <w:tc>
          <w:tcPr>
            <w:tcW w:w="1162" w:type="dxa"/>
            <w:tcBorders>
              <w:top w:val="nil"/>
              <w:left w:val="nil"/>
              <w:bottom w:val="nil"/>
              <w:right w:val="nil"/>
            </w:tcBorders>
            <w:shd w:val="clear" w:color="000000" w:fill="A6A6A6"/>
            <w:noWrap/>
            <w:vAlign w:val="center"/>
            <w:hideMark/>
          </w:tcPr>
          <w:p w:rsidR="007C72D1" w:rsidRDefault="007C72D1" w:rsidP="00587288">
            <w:pPr>
              <w:jc w:val="left"/>
            </w:pPr>
            <w:r w:rsidRPr="00130505">
              <w:rPr>
                <w:rStyle w:val="AERtextsize8"/>
                <w:szCs w:val="16"/>
              </w:rPr>
              <w:t>Deleted</w:t>
            </w:r>
          </w:p>
        </w:tc>
        <w:tc>
          <w:tcPr>
            <w:tcW w:w="960" w:type="dxa"/>
            <w:tcBorders>
              <w:top w:val="nil"/>
              <w:left w:val="nil"/>
              <w:bottom w:val="nil"/>
              <w:right w:val="nil"/>
            </w:tcBorders>
            <w:shd w:val="clear" w:color="000000" w:fill="A6A6A6"/>
            <w:noWrap/>
            <w:vAlign w:val="center"/>
            <w:hideMark/>
          </w:tcPr>
          <w:p w:rsidR="007C72D1" w:rsidRDefault="007C72D1" w:rsidP="00587288">
            <w:pPr>
              <w:jc w:val="left"/>
            </w:pPr>
            <w:r w:rsidRPr="00130505">
              <w:rPr>
                <w:rStyle w:val="AERtextsize8"/>
                <w:szCs w:val="16"/>
              </w:rPr>
              <w:t>Deleted</w:t>
            </w:r>
          </w:p>
        </w:tc>
        <w:tc>
          <w:tcPr>
            <w:tcW w:w="960" w:type="dxa"/>
            <w:tcBorders>
              <w:top w:val="nil"/>
              <w:left w:val="nil"/>
              <w:bottom w:val="nil"/>
              <w:right w:val="nil"/>
            </w:tcBorders>
            <w:shd w:val="clear" w:color="000000" w:fill="A6A6A6"/>
            <w:noWrap/>
            <w:vAlign w:val="center"/>
            <w:hideMark/>
          </w:tcPr>
          <w:p w:rsidR="007C72D1" w:rsidRDefault="007C72D1" w:rsidP="00587288">
            <w:pPr>
              <w:jc w:val="left"/>
            </w:pPr>
            <w:r w:rsidRPr="00130505">
              <w:rPr>
                <w:rStyle w:val="AERtextsize8"/>
                <w:szCs w:val="16"/>
              </w:rPr>
              <w:t>Deleted</w:t>
            </w:r>
          </w:p>
        </w:tc>
        <w:tc>
          <w:tcPr>
            <w:tcW w:w="960" w:type="dxa"/>
            <w:tcBorders>
              <w:top w:val="nil"/>
              <w:left w:val="nil"/>
              <w:bottom w:val="nil"/>
              <w:right w:val="nil"/>
            </w:tcBorders>
            <w:shd w:val="clear" w:color="000000" w:fill="A6A6A6"/>
            <w:noWrap/>
            <w:vAlign w:val="center"/>
            <w:hideMark/>
          </w:tcPr>
          <w:p w:rsidR="007C72D1" w:rsidRDefault="007C72D1" w:rsidP="00587288">
            <w:pPr>
              <w:jc w:val="left"/>
            </w:pPr>
            <w:r w:rsidRPr="00130505">
              <w:rPr>
                <w:rStyle w:val="AERtextsize8"/>
                <w:szCs w:val="16"/>
              </w:rPr>
              <w:t>Deleted</w:t>
            </w:r>
          </w:p>
        </w:tc>
        <w:tc>
          <w:tcPr>
            <w:tcW w:w="960" w:type="dxa"/>
            <w:tcBorders>
              <w:top w:val="nil"/>
              <w:left w:val="nil"/>
              <w:bottom w:val="nil"/>
              <w:right w:val="nil"/>
            </w:tcBorders>
            <w:shd w:val="clear" w:color="000000" w:fill="A6A6A6"/>
            <w:noWrap/>
            <w:vAlign w:val="center"/>
            <w:hideMark/>
          </w:tcPr>
          <w:p w:rsidR="007C72D1" w:rsidRDefault="007C72D1" w:rsidP="00587288">
            <w:pPr>
              <w:jc w:val="left"/>
            </w:pPr>
            <w:r w:rsidRPr="00130505">
              <w:rPr>
                <w:rStyle w:val="AERtextsize8"/>
                <w:szCs w:val="16"/>
              </w:rPr>
              <w:t>Deleted</w:t>
            </w:r>
          </w:p>
        </w:tc>
        <w:tc>
          <w:tcPr>
            <w:tcW w:w="960" w:type="dxa"/>
            <w:tcBorders>
              <w:top w:val="nil"/>
              <w:left w:val="nil"/>
              <w:bottom w:val="nil"/>
              <w:right w:val="nil"/>
            </w:tcBorders>
            <w:shd w:val="clear" w:color="000000" w:fill="A6A6A6"/>
            <w:noWrap/>
            <w:vAlign w:val="center"/>
            <w:hideMark/>
          </w:tcPr>
          <w:p w:rsidR="007C72D1" w:rsidRDefault="007C72D1" w:rsidP="00587288">
            <w:pPr>
              <w:jc w:val="left"/>
            </w:pPr>
            <w:r w:rsidRPr="00130505">
              <w:rPr>
                <w:rStyle w:val="AERtextsize8"/>
                <w:szCs w:val="16"/>
              </w:rPr>
              <w:t>Deleted</w:t>
            </w:r>
          </w:p>
        </w:tc>
        <w:tc>
          <w:tcPr>
            <w:tcW w:w="960" w:type="dxa"/>
            <w:tcBorders>
              <w:top w:val="nil"/>
              <w:left w:val="nil"/>
              <w:bottom w:val="nil"/>
              <w:right w:val="nil"/>
            </w:tcBorders>
            <w:shd w:val="clear" w:color="000000" w:fill="A6A6A6"/>
            <w:noWrap/>
            <w:vAlign w:val="center"/>
            <w:hideMark/>
          </w:tcPr>
          <w:p w:rsidR="007C72D1" w:rsidRDefault="007C72D1" w:rsidP="00587288">
            <w:pPr>
              <w:jc w:val="left"/>
            </w:pPr>
            <w:r w:rsidRPr="00130505">
              <w:rPr>
                <w:rStyle w:val="AERtextsize8"/>
                <w:szCs w:val="16"/>
              </w:rPr>
              <w:t>Deleted</w:t>
            </w:r>
          </w:p>
        </w:tc>
      </w:tr>
      <w:tr w:rsidR="007C72D1" w:rsidRPr="003358FB" w:rsidTr="00587288">
        <w:trPr>
          <w:trHeight w:val="682"/>
        </w:trPr>
        <w:tc>
          <w:tcPr>
            <w:tcW w:w="972" w:type="dxa"/>
            <w:tcBorders>
              <w:top w:val="nil"/>
              <w:left w:val="nil"/>
              <w:bottom w:val="nil"/>
              <w:right w:val="nil"/>
            </w:tcBorders>
            <w:shd w:val="clear" w:color="auto" w:fill="auto"/>
            <w:vAlign w:val="bottom"/>
            <w:hideMark/>
          </w:tcPr>
          <w:p w:rsidR="007C72D1" w:rsidRPr="003358FB" w:rsidRDefault="007C72D1" w:rsidP="00587288">
            <w:pPr>
              <w:rPr>
                <w:sz w:val="16"/>
                <w:szCs w:val="16"/>
              </w:rPr>
            </w:pPr>
            <w:r w:rsidRPr="003358FB">
              <w:rPr>
                <w:sz w:val="16"/>
                <w:szCs w:val="16"/>
              </w:rPr>
              <w:t>ND5</w:t>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rStyle w:val="AERtextsize8"/>
                <w:szCs w:val="16"/>
              </w:rPr>
              <w:t>Not applicable</w:t>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rStyle w:val="AERtextsize8"/>
                <w:szCs w:val="16"/>
              </w:rPr>
              <w:t>Not applicable</w:t>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rStyle w:val="AERtextsize8"/>
                <w:szCs w:val="16"/>
              </w:rPr>
              <w:t>Not applicable</w:t>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rStyle w:val="AERtextsize8"/>
                <w:szCs w:val="16"/>
              </w:rPr>
              <w:t>Not applicable</w:t>
            </w:r>
          </w:p>
        </w:tc>
        <w:tc>
          <w:tcPr>
            <w:tcW w:w="1162"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rStyle w:val="AERtextsize8"/>
                <w:szCs w:val="16"/>
              </w:rPr>
              <w:t>Not applicable</w:t>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rStyle w:val="AERtextsize8"/>
                <w:szCs w:val="16"/>
              </w:rPr>
              <w:t>Not applicable</w:t>
            </w:r>
          </w:p>
        </w:tc>
        <w:tc>
          <w:tcPr>
            <w:tcW w:w="960" w:type="dxa"/>
            <w:tcBorders>
              <w:top w:val="nil"/>
              <w:left w:val="nil"/>
              <w:bottom w:val="nil"/>
              <w:right w:val="nil"/>
            </w:tcBorders>
            <w:shd w:val="clear" w:color="auto" w:fill="auto"/>
            <w:noWrap/>
            <w:hideMark/>
          </w:tcPr>
          <w:p w:rsidR="007C72D1" w:rsidRPr="003358FB" w:rsidRDefault="007C72D1" w:rsidP="00587288">
            <w:pPr>
              <w:rPr>
                <w:sz w:val="16"/>
                <w:szCs w:val="16"/>
              </w:rPr>
            </w:pPr>
            <w:r w:rsidRPr="003358FB">
              <w:rPr>
                <w:rStyle w:val="AERtextsize8"/>
                <w:szCs w:val="16"/>
              </w:rPr>
              <w:t>Not applicable</w:t>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hideMark/>
          </w:tcPr>
          <w:p w:rsidR="007C72D1" w:rsidRPr="003358FB" w:rsidRDefault="007C72D1" w:rsidP="00587288">
            <w:pPr>
              <w:rPr>
                <w:sz w:val="16"/>
                <w:szCs w:val="16"/>
              </w:rPr>
            </w:pPr>
            <w:r w:rsidRPr="003358FB">
              <w:rPr>
                <w:rStyle w:val="AERtextsize8"/>
                <w:szCs w:val="16"/>
              </w:rPr>
              <w:t>Not applicable</w:t>
            </w:r>
          </w:p>
        </w:tc>
        <w:tc>
          <w:tcPr>
            <w:tcW w:w="960" w:type="dxa"/>
            <w:tcBorders>
              <w:top w:val="nil"/>
              <w:left w:val="nil"/>
              <w:bottom w:val="nil"/>
              <w:right w:val="nil"/>
            </w:tcBorders>
            <w:shd w:val="clear" w:color="auto" w:fill="auto"/>
            <w:noWrap/>
            <w:hideMark/>
          </w:tcPr>
          <w:p w:rsidR="007C72D1" w:rsidRPr="003358FB" w:rsidRDefault="007C72D1" w:rsidP="00587288">
            <w:pPr>
              <w:rPr>
                <w:sz w:val="16"/>
                <w:szCs w:val="16"/>
              </w:rPr>
            </w:pPr>
            <w:r w:rsidRPr="003358FB">
              <w:rPr>
                <w:rStyle w:val="AERtextsize8"/>
                <w:szCs w:val="16"/>
              </w:rPr>
              <w:t>Not applicable</w:t>
            </w:r>
          </w:p>
        </w:tc>
        <w:tc>
          <w:tcPr>
            <w:tcW w:w="960" w:type="dxa"/>
            <w:tcBorders>
              <w:top w:val="nil"/>
              <w:left w:val="nil"/>
              <w:bottom w:val="nil"/>
              <w:right w:val="nil"/>
            </w:tcBorders>
            <w:shd w:val="clear" w:color="auto" w:fill="auto"/>
            <w:noWrap/>
            <w:hideMark/>
          </w:tcPr>
          <w:p w:rsidR="007C72D1" w:rsidRPr="003358FB" w:rsidRDefault="007C72D1" w:rsidP="00587288">
            <w:pPr>
              <w:rPr>
                <w:sz w:val="16"/>
                <w:szCs w:val="16"/>
              </w:rPr>
            </w:pPr>
            <w:r w:rsidRPr="003358FB">
              <w:rPr>
                <w:rStyle w:val="AERtextsize8"/>
                <w:szCs w:val="16"/>
              </w:rPr>
              <w:t>Not applicable</w:t>
            </w:r>
          </w:p>
        </w:tc>
      </w:tr>
      <w:tr w:rsidR="007C72D1" w:rsidRPr="003358FB" w:rsidTr="00587288">
        <w:trPr>
          <w:trHeight w:val="682"/>
        </w:trPr>
        <w:tc>
          <w:tcPr>
            <w:tcW w:w="972" w:type="dxa"/>
            <w:tcBorders>
              <w:top w:val="nil"/>
              <w:left w:val="nil"/>
              <w:bottom w:val="nil"/>
              <w:right w:val="nil"/>
            </w:tcBorders>
            <w:shd w:val="clear" w:color="000000" w:fill="DBE5F1"/>
            <w:vAlign w:val="bottom"/>
            <w:hideMark/>
          </w:tcPr>
          <w:p w:rsidR="007C72D1" w:rsidRPr="003358FB" w:rsidRDefault="007C72D1" w:rsidP="00587288">
            <w:pPr>
              <w:rPr>
                <w:sz w:val="16"/>
                <w:szCs w:val="16"/>
              </w:rPr>
            </w:pPr>
            <w:r w:rsidRPr="003358FB">
              <w:rPr>
                <w:sz w:val="16"/>
                <w:szCs w:val="16"/>
              </w:rPr>
              <w:t>ND6</w:t>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rStyle w:val="AERtextsize8"/>
                <w:szCs w:val="16"/>
              </w:rPr>
            </w:pPr>
            <w:r w:rsidRPr="003358FB">
              <w:rPr>
                <w:rStyle w:val="AERtextsize8"/>
                <w:szCs w:val="16"/>
              </w:rPr>
              <w:t>Not applicable</w:t>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rStyle w:val="AERtextsize8"/>
                <w:szCs w:val="16"/>
              </w:rPr>
              <w:t>Not applicable</w:t>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1162"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000000" w:fill="DBE5F1"/>
            <w:noWrap/>
            <w:hideMark/>
          </w:tcPr>
          <w:p w:rsidR="007C72D1" w:rsidRPr="003358FB" w:rsidRDefault="007C72D1" w:rsidP="00587288">
            <w:pPr>
              <w:rPr>
                <w:sz w:val="16"/>
                <w:szCs w:val="16"/>
              </w:rPr>
            </w:pPr>
            <w:r w:rsidRPr="003358FB">
              <w:rPr>
                <w:rStyle w:val="AERtextsize8"/>
                <w:szCs w:val="16"/>
              </w:rPr>
              <w:t>Not applicable</w:t>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r>
      <w:tr w:rsidR="007C72D1" w:rsidRPr="003358FB" w:rsidTr="00587288">
        <w:trPr>
          <w:trHeight w:val="682"/>
        </w:trPr>
        <w:tc>
          <w:tcPr>
            <w:tcW w:w="972" w:type="dxa"/>
            <w:tcBorders>
              <w:top w:val="nil"/>
              <w:left w:val="nil"/>
              <w:bottom w:val="nil"/>
              <w:right w:val="nil"/>
            </w:tcBorders>
            <w:shd w:val="clear" w:color="000000" w:fill="A6A6A6"/>
            <w:vAlign w:val="bottom"/>
            <w:hideMark/>
          </w:tcPr>
          <w:p w:rsidR="007C72D1" w:rsidRPr="003358FB" w:rsidRDefault="007C72D1" w:rsidP="00587288">
            <w:pPr>
              <w:rPr>
                <w:sz w:val="16"/>
                <w:szCs w:val="16"/>
              </w:rPr>
            </w:pPr>
            <w:r w:rsidRPr="003358FB">
              <w:rPr>
                <w:sz w:val="16"/>
                <w:szCs w:val="16"/>
              </w:rPr>
              <w:t>ND7</w:t>
            </w:r>
          </w:p>
        </w:tc>
        <w:tc>
          <w:tcPr>
            <w:tcW w:w="960" w:type="dxa"/>
            <w:tcBorders>
              <w:top w:val="nil"/>
              <w:left w:val="nil"/>
              <w:bottom w:val="nil"/>
              <w:right w:val="nil"/>
            </w:tcBorders>
            <w:shd w:val="clear" w:color="000000" w:fill="A6A6A6"/>
            <w:noWrap/>
            <w:vAlign w:val="center"/>
            <w:hideMark/>
          </w:tcPr>
          <w:p w:rsidR="007C72D1" w:rsidRDefault="007C72D1" w:rsidP="00587288">
            <w:pPr>
              <w:jc w:val="left"/>
            </w:pPr>
            <w:r w:rsidRPr="00AD304F">
              <w:rPr>
                <w:rStyle w:val="AERtextsize8"/>
                <w:szCs w:val="16"/>
              </w:rPr>
              <w:t>Deleted</w:t>
            </w:r>
          </w:p>
        </w:tc>
        <w:tc>
          <w:tcPr>
            <w:tcW w:w="960" w:type="dxa"/>
            <w:tcBorders>
              <w:top w:val="nil"/>
              <w:left w:val="nil"/>
              <w:bottom w:val="nil"/>
              <w:right w:val="nil"/>
            </w:tcBorders>
            <w:shd w:val="clear" w:color="000000" w:fill="A6A6A6"/>
            <w:noWrap/>
            <w:vAlign w:val="center"/>
            <w:hideMark/>
          </w:tcPr>
          <w:p w:rsidR="007C72D1" w:rsidRDefault="007C72D1" w:rsidP="00587288">
            <w:pPr>
              <w:jc w:val="left"/>
            </w:pPr>
            <w:r w:rsidRPr="00AD304F">
              <w:rPr>
                <w:rStyle w:val="AERtextsize8"/>
                <w:szCs w:val="16"/>
              </w:rPr>
              <w:t>Deleted</w:t>
            </w:r>
          </w:p>
        </w:tc>
        <w:tc>
          <w:tcPr>
            <w:tcW w:w="960" w:type="dxa"/>
            <w:tcBorders>
              <w:top w:val="nil"/>
              <w:left w:val="nil"/>
              <w:bottom w:val="nil"/>
              <w:right w:val="nil"/>
            </w:tcBorders>
            <w:shd w:val="clear" w:color="000000" w:fill="A6A6A6"/>
            <w:noWrap/>
            <w:vAlign w:val="center"/>
            <w:hideMark/>
          </w:tcPr>
          <w:p w:rsidR="007C72D1" w:rsidRDefault="007C72D1" w:rsidP="00587288">
            <w:pPr>
              <w:jc w:val="left"/>
            </w:pPr>
            <w:r w:rsidRPr="00AD304F">
              <w:rPr>
                <w:rStyle w:val="AERtextsize8"/>
                <w:szCs w:val="16"/>
              </w:rPr>
              <w:t>Deleted</w:t>
            </w:r>
          </w:p>
        </w:tc>
        <w:tc>
          <w:tcPr>
            <w:tcW w:w="960" w:type="dxa"/>
            <w:tcBorders>
              <w:top w:val="nil"/>
              <w:left w:val="nil"/>
              <w:bottom w:val="nil"/>
              <w:right w:val="nil"/>
            </w:tcBorders>
            <w:shd w:val="clear" w:color="000000" w:fill="A6A6A6"/>
            <w:noWrap/>
            <w:vAlign w:val="center"/>
            <w:hideMark/>
          </w:tcPr>
          <w:p w:rsidR="007C72D1" w:rsidRDefault="007C72D1" w:rsidP="00587288">
            <w:pPr>
              <w:jc w:val="left"/>
            </w:pPr>
            <w:r w:rsidRPr="00AD304F">
              <w:rPr>
                <w:rStyle w:val="AERtextsize8"/>
                <w:szCs w:val="16"/>
              </w:rPr>
              <w:t>Deleted</w:t>
            </w:r>
          </w:p>
        </w:tc>
        <w:tc>
          <w:tcPr>
            <w:tcW w:w="960" w:type="dxa"/>
            <w:tcBorders>
              <w:top w:val="nil"/>
              <w:left w:val="nil"/>
              <w:bottom w:val="nil"/>
              <w:right w:val="nil"/>
            </w:tcBorders>
            <w:shd w:val="clear" w:color="000000" w:fill="A6A6A6"/>
            <w:noWrap/>
            <w:vAlign w:val="center"/>
            <w:hideMark/>
          </w:tcPr>
          <w:p w:rsidR="007C72D1" w:rsidRDefault="007C72D1" w:rsidP="00587288">
            <w:pPr>
              <w:jc w:val="left"/>
            </w:pPr>
            <w:r w:rsidRPr="00AD304F">
              <w:rPr>
                <w:rStyle w:val="AERtextsize8"/>
                <w:szCs w:val="16"/>
              </w:rPr>
              <w:t>Deleted</w:t>
            </w:r>
          </w:p>
        </w:tc>
        <w:tc>
          <w:tcPr>
            <w:tcW w:w="1162" w:type="dxa"/>
            <w:tcBorders>
              <w:top w:val="nil"/>
              <w:left w:val="nil"/>
              <w:bottom w:val="nil"/>
              <w:right w:val="nil"/>
            </w:tcBorders>
            <w:shd w:val="clear" w:color="000000" w:fill="A6A6A6"/>
            <w:noWrap/>
            <w:vAlign w:val="center"/>
            <w:hideMark/>
          </w:tcPr>
          <w:p w:rsidR="007C72D1" w:rsidRDefault="007C72D1" w:rsidP="00587288">
            <w:pPr>
              <w:jc w:val="left"/>
            </w:pPr>
            <w:r w:rsidRPr="00AD304F">
              <w:rPr>
                <w:rStyle w:val="AERtextsize8"/>
                <w:szCs w:val="16"/>
              </w:rPr>
              <w:t>Deleted</w:t>
            </w:r>
          </w:p>
        </w:tc>
        <w:tc>
          <w:tcPr>
            <w:tcW w:w="960" w:type="dxa"/>
            <w:tcBorders>
              <w:top w:val="nil"/>
              <w:left w:val="nil"/>
              <w:bottom w:val="nil"/>
              <w:right w:val="nil"/>
            </w:tcBorders>
            <w:shd w:val="clear" w:color="000000" w:fill="A6A6A6"/>
            <w:noWrap/>
            <w:vAlign w:val="center"/>
            <w:hideMark/>
          </w:tcPr>
          <w:p w:rsidR="007C72D1" w:rsidRDefault="007C72D1" w:rsidP="00587288">
            <w:pPr>
              <w:jc w:val="left"/>
            </w:pPr>
            <w:r w:rsidRPr="00AD304F">
              <w:rPr>
                <w:rStyle w:val="AERtextsize8"/>
                <w:szCs w:val="16"/>
              </w:rPr>
              <w:t>Deleted</w:t>
            </w:r>
          </w:p>
        </w:tc>
        <w:tc>
          <w:tcPr>
            <w:tcW w:w="960" w:type="dxa"/>
            <w:tcBorders>
              <w:top w:val="nil"/>
              <w:left w:val="nil"/>
              <w:bottom w:val="nil"/>
              <w:right w:val="nil"/>
            </w:tcBorders>
            <w:shd w:val="clear" w:color="000000" w:fill="A6A6A6"/>
            <w:noWrap/>
            <w:vAlign w:val="center"/>
            <w:hideMark/>
          </w:tcPr>
          <w:p w:rsidR="007C72D1" w:rsidRDefault="007C72D1" w:rsidP="00587288">
            <w:pPr>
              <w:jc w:val="left"/>
            </w:pPr>
            <w:r w:rsidRPr="00AD304F">
              <w:rPr>
                <w:rStyle w:val="AERtextsize8"/>
                <w:szCs w:val="16"/>
              </w:rPr>
              <w:t>Deleted</w:t>
            </w:r>
          </w:p>
        </w:tc>
        <w:tc>
          <w:tcPr>
            <w:tcW w:w="960" w:type="dxa"/>
            <w:tcBorders>
              <w:top w:val="nil"/>
              <w:left w:val="nil"/>
              <w:bottom w:val="nil"/>
              <w:right w:val="nil"/>
            </w:tcBorders>
            <w:shd w:val="clear" w:color="000000" w:fill="A6A6A6"/>
            <w:noWrap/>
            <w:vAlign w:val="center"/>
            <w:hideMark/>
          </w:tcPr>
          <w:p w:rsidR="007C72D1" w:rsidRDefault="007C72D1" w:rsidP="00587288">
            <w:pPr>
              <w:jc w:val="left"/>
            </w:pPr>
            <w:r w:rsidRPr="00AD304F">
              <w:rPr>
                <w:rStyle w:val="AERtextsize8"/>
                <w:szCs w:val="16"/>
              </w:rPr>
              <w:t>Deleted</w:t>
            </w:r>
          </w:p>
        </w:tc>
        <w:tc>
          <w:tcPr>
            <w:tcW w:w="960" w:type="dxa"/>
            <w:tcBorders>
              <w:top w:val="nil"/>
              <w:left w:val="nil"/>
              <w:bottom w:val="nil"/>
              <w:right w:val="nil"/>
            </w:tcBorders>
            <w:shd w:val="clear" w:color="000000" w:fill="A6A6A6"/>
            <w:noWrap/>
            <w:vAlign w:val="center"/>
            <w:hideMark/>
          </w:tcPr>
          <w:p w:rsidR="007C72D1" w:rsidRDefault="007C72D1" w:rsidP="00587288">
            <w:pPr>
              <w:jc w:val="left"/>
            </w:pPr>
            <w:r w:rsidRPr="00AD304F">
              <w:rPr>
                <w:rStyle w:val="AERtextsize8"/>
                <w:szCs w:val="16"/>
              </w:rPr>
              <w:t>Deleted</w:t>
            </w:r>
          </w:p>
        </w:tc>
        <w:tc>
          <w:tcPr>
            <w:tcW w:w="960" w:type="dxa"/>
            <w:tcBorders>
              <w:top w:val="nil"/>
              <w:left w:val="nil"/>
              <w:bottom w:val="nil"/>
              <w:right w:val="nil"/>
            </w:tcBorders>
            <w:shd w:val="clear" w:color="000000" w:fill="A6A6A6"/>
            <w:noWrap/>
            <w:vAlign w:val="center"/>
            <w:hideMark/>
          </w:tcPr>
          <w:p w:rsidR="007C72D1" w:rsidRDefault="007C72D1" w:rsidP="00587288">
            <w:pPr>
              <w:jc w:val="left"/>
            </w:pPr>
            <w:r w:rsidRPr="00AD304F">
              <w:rPr>
                <w:rStyle w:val="AERtextsize8"/>
                <w:szCs w:val="16"/>
              </w:rPr>
              <w:t>Deleted</w:t>
            </w:r>
          </w:p>
        </w:tc>
        <w:tc>
          <w:tcPr>
            <w:tcW w:w="960" w:type="dxa"/>
            <w:tcBorders>
              <w:top w:val="nil"/>
              <w:left w:val="nil"/>
              <w:bottom w:val="nil"/>
              <w:right w:val="nil"/>
            </w:tcBorders>
            <w:shd w:val="clear" w:color="000000" w:fill="A6A6A6"/>
            <w:noWrap/>
            <w:vAlign w:val="center"/>
            <w:hideMark/>
          </w:tcPr>
          <w:p w:rsidR="007C72D1" w:rsidRDefault="007C72D1" w:rsidP="00587288">
            <w:pPr>
              <w:jc w:val="left"/>
            </w:pPr>
            <w:r w:rsidRPr="00AD304F">
              <w:rPr>
                <w:rStyle w:val="AERtextsize8"/>
                <w:szCs w:val="16"/>
              </w:rPr>
              <w:t>Deleted</w:t>
            </w:r>
          </w:p>
        </w:tc>
      </w:tr>
      <w:tr w:rsidR="007C72D1" w:rsidRPr="003358FB" w:rsidTr="00587288">
        <w:trPr>
          <w:trHeight w:val="682"/>
        </w:trPr>
        <w:tc>
          <w:tcPr>
            <w:tcW w:w="972" w:type="dxa"/>
            <w:tcBorders>
              <w:top w:val="nil"/>
              <w:left w:val="nil"/>
              <w:bottom w:val="nil"/>
              <w:right w:val="nil"/>
            </w:tcBorders>
            <w:shd w:val="clear" w:color="auto" w:fill="auto"/>
            <w:vAlign w:val="bottom"/>
            <w:hideMark/>
          </w:tcPr>
          <w:p w:rsidR="007C72D1" w:rsidRPr="003358FB" w:rsidRDefault="007C72D1" w:rsidP="00587288">
            <w:pPr>
              <w:rPr>
                <w:sz w:val="16"/>
                <w:szCs w:val="16"/>
              </w:rPr>
            </w:pPr>
            <w:r w:rsidRPr="003358FB">
              <w:rPr>
                <w:sz w:val="16"/>
                <w:szCs w:val="16"/>
              </w:rPr>
              <w:t>ND8</w:t>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1162"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hideMark/>
          </w:tcPr>
          <w:p w:rsidR="007C72D1" w:rsidRPr="003358FB" w:rsidRDefault="007C72D1" w:rsidP="00587288">
            <w:pPr>
              <w:rPr>
                <w:sz w:val="16"/>
                <w:szCs w:val="16"/>
              </w:rPr>
            </w:pPr>
            <w:r w:rsidRPr="003358FB">
              <w:rPr>
                <w:rStyle w:val="AERtextsize8"/>
                <w:szCs w:val="16"/>
              </w:rPr>
              <w:t>Not applicable</w:t>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r>
      <w:tr w:rsidR="007C72D1" w:rsidRPr="003358FB" w:rsidTr="00587288">
        <w:trPr>
          <w:trHeight w:val="682"/>
        </w:trPr>
        <w:tc>
          <w:tcPr>
            <w:tcW w:w="972" w:type="dxa"/>
            <w:tcBorders>
              <w:top w:val="nil"/>
              <w:left w:val="nil"/>
              <w:bottom w:val="nil"/>
              <w:right w:val="nil"/>
            </w:tcBorders>
            <w:shd w:val="clear" w:color="000000" w:fill="DBE5F1"/>
            <w:vAlign w:val="bottom"/>
            <w:hideMark/>
          </w:tcPr>
          <w:p w:rsidR="007C72D1" w:rsidRPr="003358FB" w:rsidRDefault="007C72D1" w:rsidP="00587288">
            <w:pPr>
              <w:rPr>
                <w:sz w:val="16"/>
                <w:szCs w:val="16"/>
              </w:rPr>
            </w:pPr>
            <w:r w:rsidRPr="003358FB">
              <w:rPr>
                <w:sz w:val="16"/>
                <w:szCs w:val="16"/>
              </w:rPr>
              <w:t>ND9</w:t>
            </w:r>
          </w:p>
        </w:tc>
        <w:tc>
          <w:tcPr>
            <w:tcW w:w="960" w:type="dxa"/>
            <w:tcBorders>
              <w:top w:val="nil"/>
              <w:left w:val="nil"/>
              <w:bottom w:val="nil"/>
              <w:right w:val="nil"/>
            </w:tcBorders>
            <w:shd w:val="clear" w:color="000000" w:fill="DBE5F1"/>
            <w:noWrap/>
            <w:hideMark/>
          </w:tcPr>
          <w:p w:rsidR="007C72D1" w:rsidRPr="003358FB" w:rsidRDefault="007C72D1" w:rsidP="00587288">
            <w:pPr>
              <w:rPr>
                <w:sz w:val="16"/>
                <w:szCs w:val="16"/>
              </w:rPr>
            </w:pPr>
            <w:r w:rsidRPr="003358FB">
              <w:rPr>
                <w:rStyle w:val="AERtextsize8"/>
                <w:szCs w:val="16"/>
              </w:rPr>
              <w:t>Not applicable</w:t>
            </w:r>
          </w:p>
        </w:tc>
        <w:tc>
          <w:tcPr>
            <w:tcW w:w="960" w:type="dxa"/>
            <w:tcBorders>
              <w:top w:val="nil"/>
              <w:left w:val="nil"/>
              <w:bottom w:val="nil"/>
              <w:right w:val="nil"/>
            </w:tcBorders>
            <w:shd w:val="clear" w:color="000000" w:fill="DBE5F1"/>
            <w:noWrap/>
            <w:hideMark/>
          </w:tcPr>
          <w:p w:rsidR="007C72D1" w:rsidRPr="003358FB" w:rsidRDefault="007C72D1" w:rsidP="00587288">
            <w:pPr>
              <w:rPr>
                <w:sz w:val="16"/>
                <w:szCs w:val="16"/>
              </w:rPr>
            </w:pPr>
            <w:r w:rsidRPr="003358FB">
              <w:rPr>
                <w:rStyle w:val="AERtextsize8"/>
                <w:szCs w:val="16"/>
              </w:rPr>
              <w:t>Not applicable</w:t>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rStyle w:val="AERtextsize8"/>
                <w:szCs w:val="16"/>
              </w:rPr>
              <w:t>Not applicable</w:t>
            </w:r>
          </w:p>
        </w:tc>
        <w:tc>
          <w:tcPr>
            <w:tcW w:w="1162"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000000" w:fill="DBE5F1"/>
            <w:noWrap/>
            <w:hideMark/>
          </w:tcPr>
          <w:p w:rsidR="007C72D1" w:rsidRPr="003358FB" w:rsidRDefault="007C72D1" w:rsidP="00587288">
            <w:pPr>
              <w:rPr>
                <w:sz w:val="16"/>
                <w:szCs w:val="16"/>
              </w:rPr>
            </w:pPr>
            <w:r w:rsidRPr="003358FB">
              <w:rPr>
                <w:rStyle w:val="AERtextsize8"/>
                <w:szCs w:val="16"/>
              </w:rPr>
              <w:t>Not applicable</w:t>
            </w:r>
          </w:p>
        </w:tc>
        <w:tc>
          <w:tcPr>
            <w:tcW w:w="960" w:type="dxa"/>
            <w:tcBorders>
              <w:top w:val="nil"/>
              <w:left w:val="nil"/>
              <w:bottom w:val="nil"/>
              <w:right w:val="nil"/>
            </w:tcBorders>
            <w:shd w:val="clear" w:color="000000" w:fill="DBE5F1"/>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nil"/>
              <w:right w:val="nil"/>
            </w:tcBorders>
            <w:shd w:val="clear" w:color="000000" w:fill="DBE5F1"/>
            <w:noWrap/>
            <w:hideMark/>
          </w:tcPr>
          <w:p w:rsidR="007C72D1" w:rsidRPr="003358FB" w:rsidRDefault="007C72D1" w:rsidP="00587288">
            <w:pPr>
              <w:rPr>
                <w:sz w:val="16"/>
                <w:szCs w:val="16"/>
              </w:rPr>
            </w:pPr>
            <w:r w:rsidRPr="003358FB">
              <w:rPr>
                <w:rStyle w:val="AERtextsize8"/>
                <w:szCs w:val="16"/>
              </w:rPr>
              <w:t>Not applicable</w:t>
            </w:r>
          </w:p>
        </w:tc>
        <w:tc>
          <w:tcPr>
            <w:tcW w:w="960" w:type="dxa"/>
            <w:tcBorders>
              <w:top w:val="nil"/>
              <w:left w:val="nil"/>
              <w:bottom w:val="nil"/>
              <w:right w:val="nil"/>
            </w:tcBorders>
            <w:shd w:val="clear" w:color="000000" w:fill="DBE5F1"/>
            <w:noWrap/>
            <w:hideMark/>
          </w:tcPr>
          <w:p w:rsidR="007C72D1" w:rsidRPr="003358FB" w:rsidRDefault="007C72D1" w:rsidP="00587288">
            <w:pPr>
              <w:rPr>
                <w:sz w:val="16"/>
                <w:szCs w:val="16"/>
              </w:rPr>
            </w:pPr>
            <w:r w:rsidRPr="003358FB">
              <w:rPr>
                <w:rStyle w:val="AERtextsize8"/>
                <w:szCs w:val="16"/>
              </w:rPr>
              <w:t>Not applicable</w:t>
            </w:r>
          </w:p>
        </w:tc>
        <w:tc>
          <w:tcPr>
            <w:tcW w:w="960" w:type="dxa"/>
            <w:tcBorders>
              <w:top w:val="nil"/>
              <w:left w:val="nil"/>
              <w:bottom w:val="nil"/>
              <w:right w:val="nil"/>
            </w:tcBorders>
            <w:shd w:val="clear" w:color="000000" w:fill="DBE5F1"/>
            <w:noWrap/>
            <w:hideMark/>
          </w:tcPr>
          <w:p w:rsidR="007C72D1" w:rsidRPr="003358FB" w:rsidRDefault="007C72D1" w:rsidP="00587288">
            <w:pPr>
              <w:rPr>
                <w:sz w:val="16"/>
                <w:szCs w:val="16"/>
              </w:rPr>
            </w:pPr>
            <w:r w:rsidRPr="003358FB">
              <w:rPr>
                <w:rStyle w:val="AERtextsize8"/>
                <w:szCs w:val="16"/>
              </w:rPr>
              <w:t>Not applicable</w:t>
            </w:r>
          </w:p>
        </w:tc>
      </w:tr>
      <w:tr w:rsidR="007C72D1" w:rsidRPr="003358FB" w:rsidTr="00587288">
        <w:trPr>
          <w:trHeight w:val="682"/>
        </w:trPr>
        <w:tc>
          <w:tcPr>
            <w:tcW w:w="972" w:type="dxa"/>
            <w:tcBorders>
              <w:top w:val="nil"/>
              <w:left w:val="nil"/>
              <w:bottom w:val="single" w:sz="8" w:space="0" w:color="0070C0"/>
              <w:right w:val="nil"/>
            </w:tcBorders>
            <w:shd w:val="clear" w:color="auto" w:fill="auto"/>
            <w:noWrap/>
            <w:vAlign w:val="bottom"/>
            <w:hideMark/>
          </w:tcPr>
          <w:p w:rsidR="007C72D1" w:rsidRPr="003358FB" w:rsidRDefault="007C72D1" w:rsidP="00587288">
            <w:pPr>
              <w:rPr>
                <w:sz w:val="16"/>
                <w:szCs w:val="16"/>
              </w:rPr>
            </w:pPr>
            <w:r w:rsidRPr="003358FB">
              <w:rPr>
                <w:sz w:val="16"/>
                <w:szCs w:val="16"/>
              </w:rPr>
              <w:t>ND10</w:t>
            </w:r>
          </w:p>
        </w:tc>
        <w:tc>
          <w:tcPr>
            <w:tcW w:w="960" w:type="dxa"/>
            <w:tcBorders>
              <w:top w:val="nil"/>
              <w:left w:val="nil"/>
              <w:bottom w:val="single" w:sz="8" w:space="0" w:color="0070C0"/>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1162" w:type="dxa"/>
            <w:tcBorders>
              <w:top w:val="nil"/>
              <w:left w:val="nil"/>
              <w:bottom w:val="single" w:sz="8" w:space="0" w:color="0070C0"/>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3358FB" w:rsidRDefault="007C72D1" w:rsidP="00587288">
            <w:pPr>
              <w:rPr>
                <w:rStyle w:val="AERtextsize8"/>
                <w:szCs w:val="16"/>
              </w:rPr>
            </w:pPr>
            <w:r w:rsidRPr="003358FB">
              <w:rPr>
                <w:sz w:val="16"/>
                <w:szCs w:val="16"/>
              </w:rPr>
              <w:sym w:font="Wingdings 2" w:char="0050"/>
            </w:r>
          </w:p>
        </w:tc>
        <w:tc>
          <w:tcPr>
            <w:tcW w:w="960" w:type="dxa"/>
            <w:tcBorders>
              <w:top w:val="nil"/>
              <w:left w:val="nil"/>
              <w:bottom w:val="single" w:sz="8" w:space="0" w:color="0070C0"/>
              <w:right w:val="nil"/>
            </w:tcBorders>
            <w:shd w:val="clear" w:color="auto" w:fill="auto"/>
            <w:noWrap/>
            <w:hideMark/>
          </w:tcPr>
          <w:p w:rsidR="007C72D1" w:rsidRPr="003358FB" w:rsidRDefault="007C72D1" w:rsidP="00587288">
            <w:pPr>
              <w:rPr>
                <w:sz w:val="16"/>
                <w:szCs w:val="16"/>
              </w:rPr>
            </w:pPr>
            <w:r w:rsidRPr="003358FB">
              <w:rPr>
                <w:rStyle w:val="AERtextsize8"/>
                <w:szCs w:val="16"/>
              </w:rPr>
              <w:t>Not applicable</w:t>
            </w:r>
          </w:p>
        </w:tc>
        <w:tc>
          <w:tcPr>
            <w:tcW w:w="960" w:type="dxa"/>
            <w:tcBorders>
              <w:top w:val="nil"/>
              <w:left w:val="nil"/>
              <w:bottom w:val="single" w:sz="8" w:space="0" w:color="0070C0"/>
              <w:right w:val="nil"/>
            </w:tcBorders>
            <w:shd w:val="clear" w:color="auto" w:fill="auto"/>
            <w:noWrap/>
            <w:vAlign w:val="center"/>
            <w:hideMark/>
          </w:tcPr>
          <w:p w:rsidR="007C72D1" w:rsidRPr="003358FB" w:rsidRDefault="007C72D1" w:rsidP="00587288">
            <w:pPr>
              <w:rPr>
                <w:sz w:val="16"/>
                <w:szCs w:val="16"/>
              </w:rPr>
            </w:pPr>
            <w:r w:rsidRPr="003358FB">
              <w:rPr>
                <w:sz w:val="16"/>
                <w:szCs w:val="16"/>
              </w:rPr>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3358FB" w:rsidRDefault="007C72D1" w:rsidP="00587288">
            <w:pPr>
              <w:rPr>
                <w:rStyle w:val="AERtextsize8"/>
                <w:szCs w:val="16"/>
              </w:rPr>
            </w:pPr>
            <w:r w:rsidRPr="003358FB">
              <w:rPr>
                <w:sz w:val="16"/>
                <w:szCs w:val="16"/>
              </w:rPr>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3358FB" w:rsidRDefault="007C72D1" w:rsidP="00587288">
            <w:pPr>
              <w:rPr>
                <w:rStyle w:val="AERtextsize8"/>
                <w:szCs w:val="16"/>
              </w:rPr>
            </w:pPr>
            <w:r w:rsidRPr="003358FB">
              <w:rPr>
                <w:sz w:val="16"/>
                <w:szCs w:val="16"/>
              </w:rPr>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3358FB" w:rsidRDefault="007C72D1" w:rsidP="00587288">
            <w:pPr>
              <w:rPr>
                <w:rStyle w:val="AERtextsize8"/>
                <w:szCs w:val="16"/>
              </w:rPr>
            </w:pPr>
            <w:r w:rsidRPr="003358FB">
              <w:rPr>
                <w:sz w:val="16"/>
                <w:szCs w:val="16"/>
              </w:rPr>
              <w:sym w:font="Wingdings 2" w:char="0050"/>
            </w:r>
          </w:p>
        </w:tc>
      </w:tr>
    </w:tbl>
    <w:p w:rsidR="007C72D1" w:rsidRPr="004C299A" w:rsidRDefault="007C72D1" w:rsidP="004C299A">
      <w:pPr>
        <w:pStyle w:val="AERquote"/>
        <w:rPr>
          <w:b/>
        </w:rPr>
      </w:pPr>
    </w:p>
    <w:p w:rsidR="007C72D1" w:rsidRPr="004C299A" w:rsidRDefault="007C72D1" w:rsidP="004C299A">
      <w:pPr>
        <w:pStyle w:val="AERquote"/>
        <w:ind w:left="0"/>
        <w:rPr>
          <w:b/>
          <w:sz w:val="20"/>
          <w:szCs w:val="20"/>
        </w:rPr>
      </w:pPr>
      <w:r w:rsidRPr="004C299A">
        <w:rPr>
          <w:b/>
          <w:sz w:val="20"/>
          <w:szCs w:val="20"/>
        </w:rPr>
        <w:t>Table 7 – Deemed classes of exemption – other situations</w:t>
      </w:r>
    </w:p>
    <w:tbl>
      <w:tblPr>
        <w:tblW w:w="12593" w:type="dxa"/>
        <w:tblInd w:w="93" w:type="dxa"/>
        <w:tblLook w:val="04A0" w:firstRow="1" w:lastRow="0" w:firstColumn="1" w:lastColumn="0" w:noHBand="0" w:noVBand="1"/>
      </w:tblPr>
      <w:tblGrid>
        <w:gridCol w:w="960"/>
        <w:gridCol w:w="960"/>
        <w:gridCol w:w="960"/>
        <w:gridCol w:w="960"/>
        <w:gridCol w:w="960"/>
        <w:gridCol w:w="960"/>
        <w:gridCol w:w="1073"/>
        <w:gridCol w:w="960"/>
        <w:gridCol w:w="960"/>
        <w:gridCol w:w="960"/>
        <w:gridCol w:w="960"/>
        <w:gridCol w:w="960"/>
        <w:gridCol w:w="960"/>
      </w:tblGrid>
      <w:tr w:rsidR="007C72D1" w:rsidRPr="00003190" w:rsidTr="00587288">
        <w:trPr>
          <w:trHeight w:val="315"/>
        </w:trPr>
        <w:tc>
          <w:tcPr>
            <w:tcW w:w="960" w:type="dxa"/>
            <w:tcBorders>
              <w:top w:val="nil"/>
              <w:left w:val="nil"/>
              <w:bottom w:val="single" w:sz="12" w:space="0" w:color="FFFFFF"/>
              <w:right w:val="nil"/>
            </w:tcBorders>
            <w:shd w:val="clear" w:color="000000" w:fill="365F91"/>
            <w:noWrap/>
            <w:vAlign w:val="center"/>
            <w:hideMark/>
          </w:tcPr>
          <w:p w:rsidR="007C72D1" w:rsidRPr="00747F76" w:rsidRDefault="007C72D1" w:rsidP="00587288">
            <w:r w:rsidRPr="00747F76">
              <w:t> </w:t>
            </w:r>
          </w:p>
        </w:tc>
        <w:tc>
          <w:tcPr>
            <w:tcW w:w="960" w:type="dxa"/>
            <w:tcBorders>
              <w:top w:val="nil"/>
              <w:left w:val="nil"/>
              <w:bottom w:val="single" w:sz="12" w:space="0" w:color="FFFFFF"/>
              <w:right w:val="nil"/>
            </w:tcBorders>
            <w:shd w:val="clear" w:color="000000" w:fill="365F91"/>
            <w:noWrap/>
            <w:vAlign w:val="center"/>
            <w:hideMark/>
          </w:tcPr>
          <w:p w:rsidR="007C72D1" w:rsidRPr="00747F76" w:rsidRDefault="007C72D1" w:rsidP="00587288">
            <w:r w:rsidRPr="00747F76">
              <w:t> </w:t>
            </w:r>
          </w:p>
        </w:tc>
        <w:tc>
          <w:tcPr>
            <w:tcW w:w="960" w:type="dxa"/>
            <w:tcBorders>
              <w:top w:val="nil"/>
              <w:left w:val="nil"/>
              <w:bottom w:val="single" w:sz="12" w:space="0" w:color="FFFFFF"/>
              <w:right w:val="nil"/>
            </w:tcBorders>
            <w:shd w:val="clear" w:color="000000" w:fill="365F91"/>
            <w:noWrap/>
            <w:vAlign w:val="center"/>
            <w:hideMark/>
          </w:tcPr>
          <w:p w:rsidR="007C72D1" w:rsidRPr="00747F76" w:rsidRDefault="007C72D1" w:rsidP="00587288">
            <w:r w:rsidRPr="00747F76">
              <w:t> </w:t>
            </w:r>
          </w:p>
        </w:tc>
        <w:tc>
          <w:tcPr>
            <w:tcW w:w="960" w:type="dxa"/>
            <w:tcBorders>
              <w:top w:val="nil"/>
              <w:left w:val="nil"/>
              <w:bottom w:val="single" w:sz="12" w:space="0" w:color="FFFFFF"/>
              <w:right w:val="nil"/>
            </w:tcBorders>
            <w:shd w:val="clear" w:color="000000" w:fill="365F91"/>
            <w:noWrap/>
            <w:vAlign w:val="center"/>
            <w:hideMark/>
          </w:tcPr>
          <w:p w:rsidR="007C72D1" w:rsidRPr="00747F76" w:rsidRDefault="007C72D1" w:rsidP="00587288">
            <w:r w:rsidRPr="00747F76">
              <w:t> </w:t>
            </w:r>
          </w:p>
        </w:tc>
        <w:tc>
          <w:tcPr>
            <w:tcW w:w="960" w:type="dxa"/>
            <w:tcBorders>
              <w:top w:val="nil"/>
              <w:left w:val="nil"/>
              <w:bottom w:val="single" w:sz="12" w:space="0" w:color="FFFFFF"/>
              <w:right w:val="nil"/>
            </w:tcBorders>
            <w:shd w:val="clear" w:color="000000" w:fill="365F91"/>
            <w:noWrap/>
            <w:vAlign w:val="center"/>
            <w:hideMark/>
          </w:tcPr>
          <w:p w:rsidR="007C72D1" w:rsidRPr="00747F76" w:rsidRDefault="007C72D1" w:rsidP="00587288">
            <w:r w:rsidRPr="00747F76">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color w:val="FFFFFF"/>
              </w:rPr>
            </w:pPr>
            <w:r w:rsidRPr="007334C5">
              <w:rPr>
                <w:color w:val="FFFFFF"/>
              </w:rPr>
              <w:t> </w:t>
            </w:r>
          </w:p>
        </w:tc>
        <w:tc>
          <w:tcPr>
            <w:tcW w:w="1073"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Conditions</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r>
      <w:tr w:rsidR="007C72D1" w:rsidRPr="00003190" w:rsidTr="00587288">
        <w:trPr>
          <w:trHeight w:val="567"/>
        </w:trPr>
        <w:tc>
          <w:tcPr>
            <w:tcW w:w="960" w:type="dxa"/>
            <w:tcBorders>
              <w:top w:val="nil"/>
              <w:left w:val="nil"/>
              <w:bottom w:val="single" w:sz="8" w:space="0" w:color="365F91"/>
              <w:right w:val="nil"/>
            </w:tcBorders>
            <w:shd w:val="clear" w:color="000000" w:fill="365F91"/>
            <w:noWrap/>
            <w:vAlign w:val="center"/>
          </w:tcPr>
          <w:p w:rsidR="007C72D1" w:rsidRPr="007334C5" w:rsidRDefault="007C72D1" w:rsidP="00587288">
            <w:pPr>
              <w:jc w:val="center"/>
              <w:rPr>
                <w:b/>
                <w:color w:val="FFFFFF"/>
                <w:sz w:val="16"/>
                <w:szCs w:val="16"/>
              </w:rPr>
            </w:pPr>
            <w:r>
              <w:rPr>
                <w:b/>
                <w:color w:val="FFFFFF"/>
                <w:sz w:val="16"/>
                <w:szCs w:val="16"/>
              </w:rPr>
              <w:t>Class</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jc w:val="center"/>
              <w:rPr>
                <w:b/>
                <w:color w:val="FFFFFF"/>
                <w:sz w:val="16"/>
                <w:szCs w:val="16"/>
              </w:rPr>
            </w:pPr>
            <w:r w:rsidRPr="007334C5">
              <w:rPr>
                <w:b/>
                <w:color w:val="FFFFFF"/>
                <w:sz w:val="16"/>
                <w:szCs w:val="16"/>
              </w:rPr>
              <w:t>1</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jc w:val="center"/>
              <w:rPr>
                <w:b/>
                <w:color w:val="FFFFFF"/>
                <w:sz w:val="16"/>
                <w:szCs w:val="16"/>
              </w:rPr>
            </w:pPr>
            <w:r w:rsidRPr="007334C5">
              <w:rPr>
                <w:b/>
                <w:color w:val="FFFFFF"/>
                <w:sz w:val="16"/>
                <w:szCs w:val="16"/>
              </w:rPr>
              <w:t>2</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jc w:val="center"/>
              <w:rPr>
                <w:b/>
                <w:color w:val="FFFFFF"/>
                <w:sz w:val="16"/>
                <w:szCs w:val="16"/>
              </w:rPr>
            </w:pPr>
            <w:r w:rsidRPr="007334C5">
              <w:rPr>
                <w:b/>
                <w:color w:val="FFFFFF"/>
                <w:sz w:val="16"/>
                <w:szCs w:val="16"/>
              </w:rPr>
              <w:t>3</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jc w:val="center"/>
              <w:rPr>
                <w:b/>
                <w:color w:val="FFFFFF"/>
                <w:sz w:val="16"/>
                <w:szCs w:val="16"/>
              </w:rPr>
            </w:pPr>
            <w:r w:rsidRPr="007334C5">
              <w:rPr>
                <w:b/>
                <w:color w:val="FFFFFF"/>
                <w:sz w:val="16"/>
                <w:szCs w:val="16"/>
              </w:rPr>
              <w:t>4</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jc w:val="center"/>
              <w:rPr>
                <w:b/>
                <w:color w:val="FFFFFF"/>
                <w:sz w:val="16"/>
                <w:szCs w:val="16"/>
              </w:rPr>
            </w:pPr>
            <w:r w:rsidRPr="007334C5">
              <w:rPr>
                <w:b/>
                <w:color w:val="FFFFFF"/>
                <w:sz w:val="16"/>
                <w:szCs w:val="16"/>
              </w:rPr>
              <w:t>5</w:t>
            </w:r>
          </w:p>
        </w:tc>
        <w:tc>
          <w:tcPr>
            <w:tcW w:w="1073"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jc w:val="center"/>
              <w:rPr>
                <w:b/>
                <w:color w:val="FFFFFF"/>
                <w:sz w:val="16"/>
                <w:szCs w:val="16"/>
              </w:rPr>
            </w:pPr>
            <w:r w:rsidRPr="007334C5">
              <w:rPr>
                <w:b/>
                <w:color w:val="FFFFFF"/>
                <w:sz w:val="16"/>
                <w:szCs w:val="16"/>
              </w:rPr>
              <w:t>6</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jc w:val="center"/>
              <w:rPr>
                <w:b/>
                <w:color w:val="FFFFFF"/>
                <w:sz w:val="16"/>
                <w:szCs w:val="16"/>
              </w:rPr>
            </w:pPr>
            <w:r w:rsidRPr="007334C5">
              <w:rPr>
                <w:b/>
                <w:color w:val="FFFFFF"/>
                <w:sz w:val="16"/>
                <w:szCs w:val="16"/>
              </w:rPr>
              <w:t>7</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jc w:val="center"/>
              <w:rPr>
                <w:b/>
                <w:color w:val="FFFFFF"/>
                <w:sz w:val="16"/>
                <w:szCs w:val="16"/>
              </w:rPr>
            </w:pPr>
            <w:r w:rsidRPr="007334C5">
              <w:rPr>
                <w:b/>
                <w:color w:val="FFFFFF"/>
                <w:sz w:val="16"/>
                <w:szCs w:val="16"/>
              </w:rPr>
              <w:t>8</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jc w:val="center"/>
              <w:rPr>
                <w:b/>
                <w:color w:val="FFFFFF"/>
                <w:sz w:val="16"/>
                <w:szCs w:val="16"/>
              </w:rPr>
            </w:pPr>
            <w:r w:rsidRPr="007334C5">
              <w:rPr>
                <w:b/>
                <w:color w:val="FFFFFF"/>
                <w:sz w:val="16"/>
                <w:szCs w:val="16"/>
              </w:rPr>
              <w:t>9</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jc w:val="center"/>
              <w:rPr>
                <w:b/>
                <w:color w:val="FFFFFF"/>
                <w:sz w:val="16"/>
                <w:szCs w:val="16"/>
              </w:rPr>
            </w:pPr>
            <w:r w:rsidRPr="007334C5">
              <w:rPr>
                <w:b/>
                <w:color w:val="FFFFFF"/>
                <w:sz w:val="16"/>
                <w:szCs w:val="16"/>
              </w:rPr>
              <w:t>10</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jc w:val="center"/>
              <w:rPr>
                <w:b/>
                <w:color w:val="FFFFFF"/>
                <w:sz w:val="16"/>
                <w:szCs w:val="16"/>
              </w:rPr>
            </w:pPr>
            <w:r w:rsidRPr="007334C5">
              <w:rPr>
                <w:b/>
                <w:color w:val="FFFFFF"/>
                <w:sz w:val="16"/>
                <w:szCs w:val="16"/>
              </w:rPr>
              <w:t>11</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jc w:val="center"/>
              <w:rPr>
                <w:b/>
                <w:color w:val="FFFFFF"/>
                <w:sz w:val="16"/>
                <w:szCs w:val="16"/>
              </w:rPr>
            </w:pPr>
            <w:r w:rsidRPr="007334C5">
              <w:rPr>
                <w:b/>
                <w:color w:val="FFFFFF"/>
                <w:sz w:val="16"/>
                <w:szCs w:val="16"/>
              </w:rPr>
              <w:t>12</w:t>
            </w:r>
          </w:p>
        </w:tc>
      </w:tr>
      <w:tr w:rsidR="007C72D1" w:rsidRPr="00003190" w:rsidTr="00587288">
        <w:trPr>
          <w:trHeight w:val="682"/>
        </w:trPr>
        <w:tc>
          <w:tcPr>
            <w:tcW w:w="960" w:type="dxa"/>
            <w:tcBorders>
              <w:top w:val="nil"/>
              <w:left w:val="nil"/>
              <w:bottom w:val="nil"/>
              <w:right w:val="nil"/>
            </w:tcBorders>
            <w:shd w:val="clear" w:color="auto" w:fill="auto"/>
            <w:vAlign w:val="bottom"/>
            <w:hideMark/>
          </w:tcPr>
          <w:p w:rsidR="007C72D1" w:rsidRPr="007334C5" w:rsidRDefault="007C72D1" w:rsidP="00587288">
            <w:pPr>
              <w:rPr>
                <w:b/>
                <w:color w:val="FFFFFF"/>
                <w:sz w:val="16"/>
                <w:szCs w:val="16"/>
              </w:rPr>
            </w:pPr>
            <w:r w:rsidRPr="007334C5">
              <w:rPr>
                <w:sz w:val="16"/>
                <w:szCs w:val="16"/>
              </w:rPr>
              <w:t>NDO1</w:t>
            </w:r>
          </w:p>
        </w:tc>
        <w:tc>
          <w:tcPr>
            <w:tcW w:w="960" w:type="dxa"/>
            <w:tcBorders>
              <w:top w:val="nil"/>
              <w:left w:val="nil"/>
              <w:bottom w:val="nil"/>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1073" w:type="dxa"/>
            <w:tcBorders>
              <w:top w:val="nil"/>
              <w:left w:val="nil"/>
              <w:bottom w:val="nil"/>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nil"/>
              <w:right w:val="nil"/>
            </w:tcBorders>
            <w:shd w:val="clear" w:color="auto" w:fill="auto"/>
            <w:noWrap/>
            <w:hideMark/>
          </w:tcPr>
          <w:p w:rsidR="007C72D1" w:rsidRPr="007334C5" w:rsidRDefault="007C72D1" w:rsidP="00587288">
            <w:pPr>
              <w:rPr>
                <w:b/>
                <w:color w:val="FFFFFF"/>
                <w:sz w:val="16"/>
                <w:szCs w:val="16"/>
              </w:rPr>
            </w:pPr>
            <w:r w:rsidRPr="001C656C">
              <w:rPr>
                <w:rStyle w:val="AERtextsize8"/>
              </w:rPr>
              <w:t>Not applicable</w:t>
            </w:r>
          </w:p>
        </w:tc>
        <w:tc>
          <w:tcPr>
            <w:tcW w:w="960" w:type="dxa"/>
            <w:tcBorders>
              <w:top w:val="nil"/>
              <w:left w:val="nil"/>
              <w:bottom w:val="nil"/>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nil"/>
              <w:right w:val="nil"/>
            </w:tcBorders>
            <w:shd w:val="clear" w:color="auto" w:fill="auto"/>
            <w:noWrap/>
            <w:hideMark/>
          </w:tcPr>
          <w:p w:rsidR="007C72D1" w:rsidRPr="007334C5" w:rsidRDefault="007C72D1" w:rsidP="00587288">
            <w:pPr>
              <w:rPr>
                <w:b/>
                <w:color w:val="FFFFFF"/>
                <w:sz w:val="16"/>
                <w:szCs w:val="16"/>
              </w:rPr>
            </w:pPr>
            <w:r w:rsidRPr="006F77A0">
              <w:rPr>
                <w:rStyle w:val="AERtextsize8"/>
              </w:rPr>
              <w:t>Not applicable</w:t>
            </w:r>
          </w:p>
        </w:tc>
        <w:tc>
          <w:tcPr>
            <w:tcW w:w="960" w:type="dxa"/>
            <w:tcBorders>
              <w:top w:val="nil"/>
              <w:left w:val="nil"/>
              <w:bottom w:val="nil"/>
              <w:right w:val="nil"/>
            </w:tcBorders>
            <w:shd w:val="clear" w:color="auto" w:fill="auto"/>
            <w:noWrap/>
            <w:hideMark/>
          </w:tcPr>
          <w:p w:rsidR="007C72D1" w:rsidRPr="007334C5" w:rsidRDefault="007C72D1" w:rsidP="00587288">
            <w:pPr>
              <w:rPr>
                <w:b/>
                <w:color w:val="FFFFFF"/>
                <w:sz w:val="16"/>
                <w:szCs w:val="16"/>
              </w:rPr>
            </w:pPr>
            <w:r w:rsidRPr="006F77A0">
              <w:rPr>
                <w:rStyle w:val="AERtextsize8"/>
              </w:rPr>
              <w:t>Not applicable</w:t>
            </w:r>
          </w:p>
        </w:tc>
        <w:tc>
          <w:tcPr>
            <w:tcW w:w="960" w:type="dxa"/>
            <w:tcBorders>
              <w:top w:val="nil"/>
              <w:left w:val="nil"/>
              <w:bottom w:val="nil"/>
              <w:right w:val="nil"/>
            </w:tcBorders>
            <w:shd w:val="clear" w:color="auto" w:fill="auto"/>
            <w:noWrap/>
            <w:hideMark/>
          </w:tcPr>
          <w:p w:rsidR="007C72D1" w:rsidRPr="007334C5" w:rsidRDefault="007C72D1" w:rsidP="00587288">
            <w:pPr>
              <w:rPr>
                <w:b/>
                <w:color w:val="FFFFFF"/>
                <w:sz w:val="16"/>
                <w:szCs w:val="16"/>
              </w:rPr>
            </w:pPr>
            <w:r w:rsidRPr="006F77A0">
              <w:rPr>
                <w:rStyle w:val="AERtextsize8"/>
              </w:rPr>
              <w:t>Not applicable</w:t>
            </w:r>
          </w:p>
        </w:tc>
      </w:tr>
      <w:tr w:rsidR="007C72D1" w:rsidRPr="00003190" w:rsidTr="00587288">
        <w:trPr>
          <w:trHeight w:val="682"/>
        </w:trPr>
        <w:tc>
          <w:tcPr>
            <w:tcW w:w="960" w:type="dxa"/>
            <w:tcBorders>
              <w:top w:val="nil"/>
              <w:left w:val="nil"/>
              <w:bottom w:val="nil"/>
              <w:right w:val="nil"/>
            </w:tcBorders>
            <w:shd w:val="clear" w:color="000000" w:fill="DBE5F1"/>
            <w:vAlign w:val="bottom"/>
            <w:hideMark/>
          </w:tcPr>
          <w:p w:rsidR="007C72D1" w:rsidRPr="007334C5" w:rsidRDefault="007C72D1" w:rsidP="00587288">
            <w:pPr>
              <w:rPr>
                <w:sz w:val="16"/>
                <w:szCs w:val="16"/>
              </w:rPr>
            </w:pPr>
            <w:r w:rsidRPr="007334C5">
              <w:rPr>
                <w:sz w:val="16"/>
                <w:szCs w:val="16"/>
              </w:rPr>
              <w:t>NDO2</w:t>
            </w:r>
          </w:p>
        </w:tc>
        <w:tc>
          <w:tcPr>
            <w:tcW w:w="960" w:type="dxa"/>
            <w:tcBorders>
              <w:top w:val="nil"/>
              <w:left w:val="nil"/>
              <w:bottom w:val="nil"/>
              <w:right w:val="nil"/>
            </w:tcBorders>
            <w:shd w:val="clear" w:color="000000" w:fill="DBE5F1"/>
            <w:noWrap/>
            <w:hideMark/>
          </w:tcPr>
          <w:p w:rsidR="007C72D1" w:rsidRPr="00747F76" w:rsidRDefault="007C72D1" w:rsidP="00587288">
            <w:r w:rsidRPr="00AE76DC">
              <w:rPr>
                <w:rStyle w:val="AERtextsize8"/>
              </w:rPr>
              <w:t>Not applicable</w:t>
            </w:r>
          </w:p>
        </w:tc>
        <w:tc>
          <w:tcPr>
            <w:tcW w:w="960" w:type="dxa"/>
            <w:tcBorders>
              <w:top w:val="nil"/>
              <w:left w:val="nil"/>
              <w:bottom w:val="nil"/>
              <w:right w:val="nil"/>
            </w:tcBorders>
            <w:shd w:val="clear" w:color="000000" w:fill="DBE5F1"/>
            <w:noWrap/>
            <w:hideMark/>
          </w:tcPr>
          <w:p w:rsidR="007C72D1" w:rsidRPr="00747F76" w:rsidRDefault="007C72D1" w:rsidP="00587288">
            <w:r w:rsidRPr="00AE76DC">
              <w:rPr>
                <w:rStyle w:val="AERtextsize8"/>
              </w:rPr>
              <w:t>Not applicable</w:t>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hideMark/>
          </w:tcPr>
          <w:p w:rsidR="007C72D1" w:rsidRPr="00747F76" w:rsidRDefault="007C72D1" w:rsidP="00587288">
            <w:r w:rsidRPr="008E45A0">
              <w:rPr>
                <w:rStyle w:val="AERtextsize8"/>
              </w:rPr>
              <w:t>Not applicable</w:t>
            </w:r>
          </w:p>
        </w:tc>
        <w:tc>
          <w:tcPr>
            <w:tcW w:w="960" w:type="dxa"/>
            <w:tcBorders>
              <w:top w:val="nil"/>
              <w:left w:val="nil"/>
              <w:bottom w:val="nil"/>
              <w:right w:val="nil"/>
            </w:tcBorders>
            <w:shd w:val="clear" w:color="000000" w:fill="DBE5F1"/>
            <w:noWrap/>
            <w:hideMark/>
          </w:tcPr>
          <w:p w:rsidR="007C72D1" w:rsidRPr="00747F76" w:rsidRDefault="007C72D1" w:rsidP="00587288">
            <w:r w:rsidRPr="008E45A0">
              <w:rPr>
                <w:rStyle w:val="AERtextsize8"/>
              </w:rPr>
              <w:t>Not applicable</w:t>
            </w:r>
          </w:p>
        </w:tc>
        <w:tc>
          <w:tcPr>
            <w:tcW w:w="1073" w:type="dxa"/>
            <w:tcBorders>
              <w:top w:val="nil"/>
              <w:left w:val="nil"/>
              <w:bottom w:val="nil"/>
              <w:right w:val="nil"/>
            </w:tcBorders>
            <w:shd w:val="clear" w:color="000000" w:fill="DBE5F1"/>
            <w:noWrap/>
            <w:hideMark/>
          </w:tcPr>
          <w:p w:rsidR="007C72D1" w:rsidRPr="00747F76" w:rsidRDefault="00452C0B" w:rsidP="00587288">
            <w:r w:rsidRPr="00747F76">
              <w:sym w:font="Wingdings 2" w:char="0050"/>
            </w:r>
          </w:p>
        </w:tc>
        <w:tc>
          <w:tcPr>
            <w:tcW w:w="960" w:type="dxa"/>
            <w:tcBorders>
              <w:top w:val="nil"/>
              <w:left w:val="nil"/>
              <w:bottom w:val="nil"/>
              <w:right w:val="nil"/>
            </w:tcBorders>
            <w:shd w:val="clear" w:color="000000" w:fill="DBE5F1"/>
            <w:noWrap/>
            <w:hideMark/>
          </w:tcPr>
          <w:p w:rsidR="007C72D1" w:rsidRPr="00747F76" w:rsidRDefault="007C72D1" w:rsidP="00587288">
            <w:r w:rsidRPr="008E45A0">
              <w:rPr>
                <w:rStyle w:val="AERtextsize8"/>
              </w:rPr>
              <w:t>Not applicable</w:t>
            </w:r>
          </w:p>
        </w:tc>
        <w:tc>
          <w:tcPr>
            <w:tcW w:w="960" w:type="dxa"/>
            <w:tcBorders>
              <w:top w:val="nil"/>
              <w:left w:val="nil"/>
              <w:bottom w:val="nil"/>
              <w:right w:val="nil"/>
            </w:tcBorders>
            <w:shd w:val="clear" w:color="000000" w:fill="DBE5F1"/>
            <w:noWrap/>
            <w:hideMark/>
          </w:tcPr>
          <w:p w:rsidR="007C72D1" w:rsidRDefault="007C72D1" w:rsidP="00587288">
            <w:r w:rsidRPr="001C656C">
              <w:rPr>
                <w:rStyle w:val="AERtextsize8"/>
              </w:rPr>
              <w:t>Not applicable</w:t>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hideMark/>
          </w:tcPr>
          <w:p w:rsidR="007C72D1" w:rsidRDefault="007C72D1" w:rsidP="00587288">
            <w:r w:rsidRPr="006F77A0">
              <w:rPr>
                <w:rStyle w:val="AERtextsize8"/>
              </w:rPr>
              <w:t>Not applicable</w:t>
            </w:r>
          </w:p>
        </w:tc>
        <w:tc>
          <w:tcPr>
            <w:tcW w:w="960" w:type="dxa"/>
            <w:tcBorders>
              <w:top w:val="nil"/>
              <w:left w:val="nil"/>
              <w:bottom w:val="nil"/>
              <w:right w:val="nil"/>
            </w:tcBorders>
            <w:shd w:val="clear" w:color="000000" w:fill="DBE5F1"/>
            <w:noWrap/>
            <w:hideMark/>
          </w:tcPr>
          <w:p w:rsidR="007C72D1" w:rsidRDefault="007C72D1" w:rsidP="00587288">
            <w:r w:rsidRPr="006F77A0">
              <w:rPr>
                <w:rStyle w:val="AERtextsize8"/>
              </w:rPr>
              <w:t>Not applicable</w:t>
            </w:r>
          </w:p>
        </w:tc>
        <w:tc>
          <w:tcPr>
            <w:tcW w:w="960" w:type="dxa"/>
            <w:tcBorders>
              <w:top w:val="nil"/>
              <w:left w:val="nil"/>
              <w:bottom w:val="nil"/>
              <w:right w:val="nil"/>
            </w:tcBorders>
            <w:shd w:val="clear" w:color="000000" w:fill="DBE5F1"/>
            <w:noWrap/>
            <w:hideMark/>
          </w:tcPr>
          <w:p w:rsidR="007C72D1" w:rsidRDefault="007C72D1" w:rsidP="00587288">
            <w:r w:rsidRPr="003358FB">
              <w:rPr>
                <w:sz w:val="16"/>
                <w:szCs w:val="16"/>
              </w:rPr>
              <w:sym w:font="Wingdings 2" w:char="0050"/>
            </w:r>
          </w:p>
        </w:tc>
      </w:tr>
      <w:tr w:rsidR="007C72D1" w:rsidRPr="00003190" w:rsidTr="00587288">
        <w:trPr>
          <w:trHeight w:val="682"/>
        </w:trPr>
        <w:tc>
          <w:tcPr>
            <w:tcW w:w="960" w:type="dxa"/>
            <w:tcBorders>
              <w:top w:val="nil"/>
              <w:left w:val="nil"/>
              <w:bottom w:val="nil"/>
              <w:right w:val="nil"/>
            </w:tcBorders>
            <w:shd w:val="clear" w:color="auto" w:fill="auto"/>
            <w:vAlign w:val="bottom"/>
            <w:hideMark/>
          </w:tcPr>
          <w:p w:rsidR="007C72D1" w:rsidRPr="007334C5" w:rsidRDefault="007C72D1" w:rsidP="00587288">
            <w:pPr>
              <w:rPr>
                <w:sz w:val="16"/>
                <w:szCs w:val="16"/>
              </w:rPr>
            </w:pPr>
            <w:r w:rsidRPr="007334C5">
              <w:rPr>
                <w:sz w:val="16"/>
                <w:szCs w:val="16"/>
              </w:rPr>
              <w:t>NDO3</w:t>
            </w:r>
          </w:p>
        </w:tc>
        <w:tc>
          <w:tcPr>
            <w:tcW w:w="960" w:type="dxa"/>
            <w:tcBorders>
              <w:top w:val="nil"/>
              <w:left w:val="nil"/>
              <w:bottom w:val="nil"/>
              <w:right w:val="nil"/>
            </w:tcBorders>
            <w:shd w:val="clear" w:color="auto" w:fill="auto"/>
            <w:noWrap/>
            <w:vAlign w:val="center"/>
            <w:hideMark/>
          </w:tcPr>
          <w:p w:rsidR="007C72D1"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Default="007C72D1" w:rsidP="00587288">
            <w:r w:rsidRPr="00747F76">
              <w:sym w:font="Wingdings 2" w:char="0050"/>
            </w:r>
          </w:p>
        </w:tc>
        <w:tc>
          <w:tcPr>
            <w:tcW w:w="1073" w:type="dxa"/>
            <w:tcBorders>
              <w:top w:val="nil"/>
              <w:left w:val="nil"/>
              <w:bottom w:val="nil"/>
              <w:right w:val="nil"/>
            </w:tcBorders>
            <w:shd w:val="clear" w:color="auto" w:fill="auto"/>
            <w:noWrap/>
            <w:vAlign w:val="center"/>
            <w:hideMark/>
          </w:tcPr>
          <w:p w:rsidR="007C72D1"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Default="007C72D1" w:rsidP="00587288">
            <w:r w:rsidRPr="00747F76">
              <w:sym w:font="Wingdings 2" w:char="0050"/>
            </w:r>
          </w:p>
        </w:tc>
        <w:tc>
          <w:tcPr>
            <w:tcW w:w="960" w:type="dxa"/>
            <w:tcBorders>
              <w:top w:val="nil"/>
              <w:left w:val="nil"/>
              <w:bottom w:val="nil"/>
              <w:right w:val="nil"/>
            </w:tcBorders>
            <w:shd w:val="clear" w:color="auto" w:fill="auto"/>
            <w:noWrap/>
            <w:hideMark/>
          </w:tcPr>
          <w:p w:rsidR="007C72D1" w:rsidRDefault="007C72D1" w:rsidP="00587288">
            <w:r w:rsidRPr="001C656C">
              <w:rPr>
                <w:rStyle w:val="AERtextsize8"/>
              </w:rPr>
              <w:t>Not applicable</w:t>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hideMark/>
          </w:tcPr>
          <w:p w:rsidR="007C72D1" w:rsidRDefault="007C72D1" w:rsidP="00587288">
            <w:r w:rsidRPr="00CD6AA1">
              <w:rPr>
                <w:rStyle w:val="AERtextsize8"/>
              </w:rPr>
              <w:t>Not applicable</w:t>
            </w:r>
          </w:p>
        </w:tc>
        <w:tc>
          <w:tcPr>
            <w:tcW w:w="960" w:type="dxa"/>
            <w:tcBorders>
              <w:top w:val="nil"/>
              <w:left w:val="nil"/>
              <w:bottom w:val="nil"/>
              <w:right w:val="nil"/>
            </w:tcBorders>
            <w:shd w:val="clear" w:color="auto" w:fill="auto"/>
            <w:noWrap/>
            <w:hideMark/>
          </w:tcPr>
          <w:p w:rsidR="007C72D1" w:rsidRDefault="007C72D1" w:rsidP="00587288">
            <w:r w:rsidRPr="00CD6AA1">
              <w:rPr>
                <w:rStyle w:val="AERtextsize8"/>
              </w:rPr>
              <w:t>Not applicable</w:t>
            </w:r>
          </w:p>
        </w:tc>
        <w:tc>
          <w:tcPr>
            <w:tcW w:w="960" w:type="dxa"/>
            <w:tcBorders>
              <w:top w:val="nil"/>
              <w:left w:val="nil"/>
              <w:bottom w:val="nil"/>
              <w:right w:val="nil"/>
            </w:tcBorders>
            <w:shd w:val="clear" w:color="auto" w:fill="auto"/>
            <w:noWrap/>
            <w:hideMark/>
          </w:tcPr>
          <w:p w:rsidR="007C72D1" w:rsidRDefault="007C72D1" w:rsidP="00587288">
            <w:r w:rsidRPr="003358FB">
              <w:rPr>
                <w:sz w:val="16"/>
                <w:szCs w:val="16"/>
              </w:rPr>
              <w:sym w:font="Wingdings 2" w:char="0050"/>
            </w:r>
          </w:p>
        </w:tc>
      </w:tr>
      <w:tr w:rsidR="007C72D1" w:rsidRPr="00003190" w:rsidTr="00587288">
        <w:trPr>
          <w:trHeight w:val="682"/>
        </w:trPr>
        <w:tc>
          <w:tcPr>
            <w:tcW w:w="960" w:type="dxa"/>
            <w:tcBorders>
              <w:top w:val="nil"/>
              <w:left w:val="nil"/>
              <w:bottom w:val="nil"/>
              <w:right w:val="nil"/>
            </w:tcBorders>
            <w:shd w:val="clear" w:color="000000" w:fill="DBE5F1"/>
            <w:vAlign w:val="bottom"/>
            <w:hideMark/>
          </w:tcPr>
          <w:p w:rsidR="007C72D1" w:rsidRPr="007334C5" w:rsidRDefault="007C72D1" w:rsidP="00587288">
            <w:pPr>
              <w:rPr>
                <w:sz w:val="16"/>
                <w:szCs w:val="16"/>
              </w:rPr>
            </w:pPr>
            <w:r w:rsidRPr="007334C5">
              <w:rPr>
                <w:sz w:val="16"/>
                <w:szCs w:val="16"/>
              </w:rPr>
              <w:t>NDO4</w:t>
            </w:r>
          </w:p>
        </w:tc>
        <w:tc>
          <w:tcPr>
            <w:tcW w:w="960" w:type="dxa"/>
            <w:tcBorders>
              <w:top w:val="nil"/>
              <w:left w:val="nil"/>
              <w:bottom w:val="nil"/>
              <w:right w:val="nil"/>
            </w:tcBorders>
            <w:shd w:val="clear" w:color="000000" w:fill="DBE5F1"/>
            <w:noWrap/>
            <w:hideMark/>
          </w:tcPr>
          <w:p w:rsidR="007C72D1" w:rsidRPr="00747F76" w:rsidRDefault="007C72D1" w:rsidP="00587288">
            <w:r w:rsidRPr="00D70287">
              <w:rPr>
                <w:rStyle w:val="AERtextsize8"/>
              </w:rPr>
              <w:t>Not applicable</w:t>
            </w:r>
          </w:p>
        </w:tc>
        <w:tc>
          <w:tcPr>
            <w:tcW w:w="960" w:type="dxa"/>
            <w:tcBorders>
              <w:top w:val="nil"/>
              <w:left w:val="nil"/>
              <w:bottom w:val="nil"/>
              <w:right w:val="nil"/>
            </w:tcBorders>
            <w:shd w:val="clear" w:color="000000" w:fill="DBE5F1"/>
            <w:noWrap/>
            <w:hideMark/>
          </w:tcPr>
          <w:p w:rsidR="007C72D1" w:rsidRPr="00747F76" w:rsidRDefault="007C72D1" w:rsidP="00587288">
            <w:r w:rsidRPr="00D70287">
              <w:rPr>
                <w:rStyle w:val="AERtextsize8"/>
              </w:rPr>
              <w:t>Not applicable</w:t>
            </w:r>
          </w:p>
        </w:tc>
        <w:tc>
          <w:tcPr>
            <w:tcW w:w="960" w:type="dxa"/>
            <w:tcBorders>
              <w:top w:val="nil"/>
              <w:left w:val="nil"/>
              <w:bottom w:val="nil"/>
              <w:right w:val="nil"/>
            </w:tcBorders>
            <w:shd w:val="clear" w:color="000000" w:fill="DBE5F1"/>
            <w:noWrap/>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1C656C">
              <w:rPr>
                <w:rStyle w:val="AERtextsize8"/>
              </w:rPr>
              <w:t>Not applicable</w:t>
            </w:r>
            <w:r w:rsidRPr="00747F76">
              <w:t xml:space="preserve"> </w:t>
            </w:r>
          </w:p>
        </w:tc>
        <w:tc>
          <w:tcPr>
            <w:tcW w:w="960" w:type="dxa"/>
            <w:tcBorders>
              <w:top w:val="nil"/>
              <w:left w:val="nil"/>
              <w:bottom w:val="nil"/>
              <w:right w:val="nil"/>
            </w:tcBorders>
            <w:shd w:val="clear" w:color="000000" w:fill="DBE5F1"/>
            <w:noWrap/>
            <w:hideMark/>
          </w:tcPr>
          <w:p w:rsidR="007C72D1" w:rsidRPr="00747F76" w:rsidRDefault="007C72D1" w:rsidP="00587288">
            <w:r w:rsidRPr="000475D3">
              <w:rPr>
                <w:rStyle w:val="AERtextsize8"/>
              </w:rPr>
              <w:t>Not applicable</w:t>
            </w:r>
          </w:p>
        </w:tc>
        <w:tc>
          <w:tcPr>
            <w:tcW w:w="1073" w:type="dxa"/>
            <w:tcBorders>
              <w:top w:val="nil"/>
              <w:left w:val="nil"/>
              <w:bottom w:val="nil"/>
              <w:right w:val="nil"/>
            </w:tcBorders>
            <w:shd w:val="clear" w:color="000000" w:fill="DBE5F1"/>
            <w:noWrap/>
            <w:hideMark/>
          </w:tcPr>
          <w:p w:rsidR="007C72D1" w:rsidRPr="00747F76" w:rsidRDefault="00452C0B" w:rsidP="00587288">
            <w:r w:rsidRPr="00747F76">
              <w:sym w:font="Wingdings 2" w:char="0050"/>
            </w:r>
          </w:p>
        </w:tc>
        <w:tc>
          <w:tcPr>
            <w:tcW w:w="960" w:type="dxa"/>
            <w:tcBorders>
              <w:top w:val="nil"/>
              <w:left w:val="nil"/>
              <w:bottom w:val="nil"/>
              <w:right w:val="nil"/>
            </w:tcBorders>
            <w:shd w:val="clear" w:color="000000" w:fill="DBE5F1"/>
            <w:noWrap/>
            <w:hideMark/>
          </w:tcPr>
          <w:p w:rsidR="007C72D1" w:rsidRPr="00747F76" w:rsidRDefault="007C72D1" w:rsidP="00587288">
            <w:r w:rsidRPr="000475D3">
              <w:rPr>
                <w:rStyle w:val="AERtextsize8"/>
              </w:rPr>
              <w:t>Not applicable</w:t>
            </w:r>
          </w:p>
        </w:tc>
        <w:tc>
          <w:tcPr>
            <w:tcW w:w="960" w:type="dxa"/>
            <w:tcBorders>
              <w:top w:val="nil"/>
              <w:left w:val="nil"/>
              <w:bottom w:val="nil"/>
              <w:right w:val="nil"/>
            </w:tcBorders>
            <w:shd w:val="clear" w:color="000000" w:fill="DBE5F1"/>
            <w:noWrap/>
            <w:hideMark/>
          </w:tcPr>
          <w:p w:rsidR="007C72D1" w:rsidRDefault="007C72D1" w:rsidP="00587288">
            <w:r w:rsidRPr="001C656C">
              <w:rPr>
                <w:rStyle w:val="AERtextsize8"/>
              </w:rPr>
              <w:t>Not applicable</w:t>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hideMark/>
          </w:tcPr>
          <w:p w:rsidR="007C72D1" w:rsidRDefault="007C72D1" w:rsidP="00587288">
            <w:r w:rsidRPr="006C6E9A">
              <w:rPr>
                <w:rStyle w:val="AERtextsize8"/>
              </w:rPr>
              <w:t>Not applicable</w:t>
            </w:r>
          </w:p>
        </w:tc>
        <w:tc>
          <w:tcPr>
            <w:tcW w:w="960" w:type="dxa"/>
            <w:tcBorders>
              <w:top w:val="nil"/>
              <w:left w:val="nil"/>
              <w:bottom w:val="nil"/>
              <w:right w:val="nil"/>
            </w:tcBorders>
            <w:shd w:val="clear" w:color="000000" w:fill="DBE5F1"/>
            <w:noWrap/>
            <w:hideMark/>
          </w:tcPr>
          <w:p w:rsidR="007C72D1" w:rsidRDefault="007C72D1" w:rsidP="00587288">
            <w:r w:rsidRPr="006C6E9A">
              <w:rPr>
                <w:rStyle w:val="AERtextsize8"/>
              </w:rPr>
              <w:t>Not applicable</w:t>
            </w:r>
          </w:p>
        </w:tc>
        <w:tc>
          <w:tcPr>
            <w:tcW w:w="960" w:type="dxa"/>
            <w:tcBorders>
              <w:top w:val="nil"/>
              <w:left w:val="nil"/>
              <w:bottom w:val="nil"/>
              <w:right w:val="nil"/>
            </w:tcBorders>
            <w:shd w:val="clear" w:color="000000" w:fill="DBE5F1"/>
            <w:noWrap/>
            <w:hideMark/>
          </w:tcPr>
          <w:p w:rsidR="007C72D1" w:rsidRDefault="007C72D1" w:rsidP="00587288">
            <w:r w:rsidRPr="006C6E9A">
              <w:rPr>
                <w:rStyle w:val="AERtextsize8"/>
              </w:rPr>
              <w:t>Not applicable</w:t>
            </w:r>
          </w:p>
        </w:tc>
      </w:tr>
      <w:tr w:rsidR="007C72D1" w:rsidRPr="00003190" w:rsidTr="00587288">
        <w:trPr>
          <w:trHeight w:val="682"/>
        </w:trPr>
        <w:tc>
          <w:tcPr>
            <w:tcW w:w="960" w:type="dxa"/>
            <w:tcBorders>
              <w:top w:val="nil"/>
              <w:left w:val="nil"/>
              <w:bottom w:val="nil"/>
              <w:right w:val="nil"/>
            </w:tcBorders>
            <w:shd w:val="clear" w:color="auto" w:fill="auto"/>
            <w:vAlign w:val="bottom"/>
            <w:hideMark/>
          </w:tcPr>
          <w:p w:rsidR="007C72D1" w:rsidRPr="007334C5" w:rsidRDefault="007C72D1" w:rsidP="00587288">
            <w:pPr>
              <w:rPr>
                <w:sz w:val="16"/>
                <w:szCs w:val="16"/>
              </w:rPr>
            </w:pPr>
            <w:r w:rsidRPr="007334C5">
              <w:rPr>
                <w:sz w:val="16"/>
                <w:szCs w:val="16"/>
              </w:rPr>
              <w:t>NDO5</w:t>
            </w:r>
          </w:p>
        </w:tc>
        <w:tc>
          <w:tcPr>
            <w:tcW w:w="960" w:type="dxa"/>
            <w:tcBorders>
              <w:top w:val="nil"/>
              <w:left w:val="nil"/>
              <w:bottom w:val="nil"/>
              <w:right w:val="nil"/>
            </w:tcBorders>
            <w:shd w:val="clear" w:color="auto" w:fill="auto"/>
            <w:noWrap/>
            <w:hideMark/>
          </w:tcPr>
          <w:p w:rsidR="007C72D1" w:rsidRDefault="007C72D1" w:rsidP="00587288">
            <w:r w:rsidRPr="003778E0">
              <w:rPr>
                <w:rStyle w:val="AERtextsize8"/>
              </w:rPr>
              <w:t>Not applicable</w:t>
            </w:r>
          </w:p>
        </w:tc>
        <w:tc>
          <w:tcPr>
            <w:tcW w:w="960" w:type="dxa"/>
            <w:tcBorders>
              <w:top w:val="nil"/>
              <w:left w:val="nil"/>
              <w:bottom w:val="nil"/>
              <w:right w:val="nil"/>
            </w:tcBorders>
            <w:shd w:val="clear" w:color="auto" w:fill="auto"/>
            <w:noWrap/>
            <w:hideMark/>
          </w:tcPr>
          <w:p w:rsidR="007C72D1" w:rsidRDefault="007C72D1" w:rsidP="00587288">
            <w:r w:rsidRPr="003778E0">
              <w:rPr>
                <w:rStyle w:val="AERtextsize8"/>
              </w:rPr>
              <w:t>Not applicable</w:t>
            </w:r>
          </w:p>
        </w:tc>
        <w:tc>
          <w:tcPr>
            <w:tcW w:w="960" w:type="dxa"/>
            <w:tcBorders>
              <w:top w:val="nil"/>
              <w:left w:val="nil"/>
              <w:bottom w:val="nil"/>
              <w:right w:val="nil"/>
            </w:tcBorders>
            <w:shd w:val="clear" w:color="auto" w:fill="auto"/>
            <w:noWrap/>
            <w:vAlign w:val="center"/>
            <w:hideMark/>
          </w:tcPr>
          <w:p w:rsidR="007C72D1" w:rsidRDefault="007C72D1" w:rsidP="00587288">
            <w:r w:rsidRPr="00747F76">
              <w:sym w:font="Wingdings 2" w:char="0050"/>
            </w:r>
          </w:p>
        </w:tc>
        <w:tc>
          <w:tcPr>
            <w:tcW w:w="960" w:type="dxa"/>
            <w:tcBorders>
              <w:top w:val="nil"/>
              <w:left w:val="nil"/>
              <w:bottom w:val="nil"/>
              <w:right w:val="nil"/>
            </w:tcBorders>
            <w:shd w:val="clear" w:color="auto" w:fill="auto"/>
            <w:noWrap/>
            <w:hideMark/>
          </w:tcPr>
          <w:p w:rsidR="007C72D1" w:rsidRPr="00747F76" w:rsidRDefault="007C72D1" w:rsidP="00587288">
            <w:r w:rsidRPr="001F2A37">
              <w:rPr>
                <w:rStyle w:val="AERtextsize8"/>
              </w:rPr>
              <w:t>Not applicable</w:t>
            </w:r>
          </w:p>
        </w:tc>
        <w:tc>
          <w:tcPr>
            <w:tcW w:w="960" w:type="dxa"/>
            <w:tcBorders>
              <w:top w:val="nil"/>
              <w:left w:val="nil"/>
              <w:bottom w:val="nil"/>
              <w:right w:val="nil"/>
            </w:tcBorders>
            <w:shd w:val="clear" w:color="auto" w:fill="auto"/>
            <w:noWrap/>
            <w:hideMark/>
          </w:tcPr>
          <w:p w:rsidR="007C72D1" w:rsidRDefault="007C72D1" w:rsidP="00587288">
            <w:r w:rsidRPr="001F2A37">
              <w:rPr>
                <w:rStyle w:val="AERtextsize8"/>
              </w:rPr>
              <w:t>Not applicable</w:t>
            </w:r>
          </w:p>
        </w:tc>
        <w:tc>
          <w:tcPr>
            <w:tcW w:w="1073" w:type="dxa"/>
            <w:tcBorders>
              <w:top w:val="nil"/>
              <w:left w:val="nil"/>
              <w:bottom w:val="nil"/>
              <w:right w:val="nil"/>
            </w:tcBorders>
            <w:shd w:val="clear" w:color="auto" w:fill="auto"/>
            <w:noWrap/>
            <w:hideMark/>
          </w:tcPr>
          <w:p w:rsidR="007C72D1" w:rsidRDefault="00452C0B" w:rsidP="00587288">
            <w:r w:rsidRPr="00747F76">
              <w:sym w:font="Wingdings 2" w:char="0050"/>
            </w:r>
          </w:p>
        </w:tc>
        <w:tc>
          <w:tcPr>
            <w:tcW w:w="960" w:type="dxa"/>
            <w:tcBorders>
              <w:top w:val="nil"/>
              <w:left w:val="nil"/>
              <w:bottom w:val="nil"/>
              <w:right w:val="nil"/>
            </w:tcBorders>
            <w:shd w:val="clear" w:color="auto" w:fill="auto"/>
            <w:noWrap/>
            <w:hideMark/>
          </w:tcPr>
          <w:p w:rsidR="007C72D1" w:rsidRDefault="007C72D1" w:rsidP="00587288">
            <w:r w:rsidRPr="001F2A37">
              <w:rPr>
                <w:rStyle w:val="AERtextsize8"/>
              </w:rPr>
              <w:t>Not applicable</w:t>
            </w:r>
          </w:p>
        </w:tc>
        <w:tc>
          <w:tcPr>
            <w:tcW w:w="960" w:type="dxa"/>
            <w:tcBorders>
              <w:top w:val="nil"/>
              <w:left w:val="nil"/>
              <w:bottom w:val="nil"/>
              <w:right w:val="nil"/>
            </w:tcBorders>
            <w:shd w:val="clear" w:color="auto" w:fill="auto"/>
            <w:noWrap/>
            <w:hideMark/>
          </w:tcPr>
          <w:p w:rsidR="007C72D1" w:rsidRDefault="007C72D1" w:rsidP="00587288">
            <w:r w:rsidRPr="001C656C">
              <w:rPr>
                <w:rStyle w:val="AERtextsize8"/>
              </w:rPr>
              <w:t>Not applicable</w:t>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hideMark/>
          </w:tcPr>
          <w:p w:rsidR="007C72D1" w:rsidRDefault="007C72D1" w:rsidP="00587288">
            <w:r w:rsidRPr="005E1381">
              <w:rPr>
                <w:rStyle w:val="AERtextsize8"/>
              </w:rPr>
              <w:t>Not applicable</w:t>
            </w:r>
          </w:p>
        </w:tc>
        <w:tc>
          <w:tcPr>
            <w:tcW w:w="960" w:type="dxa"/>
            <w:tcBorders>
              <w:top w:val="nil"/>
              <w:left w:val="nil"/>
              <w:bottom w:val="nil"/>
              <w:right w:val="nil"/>
            </w:tcBorders>
            <w:shd w:val="clear" w:color="auto" w:fill="auto"/>
            <w:noWrap/>
            <w:hideMark/>
          </w:tcPr>
          <w:p w:rsidR="007C72D1" w:rsidRDefault="007C72D1" w:rsidP="00587288">
            <w:r w:rsidRPr="005E1381">
              <w:rPr>
                <w:rStyle w:val="AERtextsize8"/>
              </w:rPr>
              <w:t>Not applicable</w:t>
            </w:r>
          </w:p>
        </w:tc>
        <w:tc>
          <w:tcPr>
            <w:tcW w:w="960" w:type="dxa"/>
            <w:tcBorders>
              <w:top w:val="nil"/>
              <w:left w:val="nil"/>
              <w:bottom w:val="nil"/>
              <w:right w:val="nil"/>
            </w:tcBorders>
            <w:shd w:val="clear" w:color="auto" w:fill="auto"/>
            <w:noWrap/>
            <w:hideMark/>
          </w:tcPr>
          <w:p w:rsidR="007C72D1" w:rsidRDefault="007C72D1" w:rsidP="00587288">
            <w:r w:rsidRPr="005E1381">
              <w:rPr>
                <w:rStyle w:val="AERtextsize8"/>
              </w:rPr>
              <w:t>Not applicable</w:t>
            </w:r>
          </w:p>
        </w:tc>
      </w:tr>
      <w:tr w:rsidR="007C72D1" w:rsidRPr="00003190" w:rsidTr="00587288">
        <w:trPr>
          <w:trHeight w:val="682"/>
        </w:trPr>
        <w:tc>
          <w:tcPr>
            <w:tcW w:w="960" w:type="dxa"/>
            <w:tcBorders>
              <w:top w:val="nil"/>
              <w:left w:val="nil"/>
              <w:right w:val="nil"/>
            </w:tcBorders>
            <w:shd w:val="clear" w:color="000000" w:fill="DBE5F1"/>
            <w:vAlign w:val="bottom"/>
            <w:hideMark/>
          </w:tcPr>
          <w:p w:rsidR="007C72D1" w:rsidRPr="007334C5" w:rsidRDefault="007C72D1" w:rsidP="00587288">
            <w:pPr>
              <w:rPr>
                <w:sz w:val="16"/>
                <w:szCs w:val="16"/>
              </w:rPr>
            </w:pPr>
            <w:r w:rsidRPr="007334C5">
              <w:rPr>
                <w:sz w:val="16"/>
                <w:szCs w:val="16"/>
              </w:rPr>
              <w:t>NDO6</w:t>
            </w:r>
          </w:p>
        </w:tc>
        <w:tc>
          <w:tcPr>
            <w:tcW w:w="960" w:type="dxa"/>
            <w:tcBorders>
              <w:top w:val="nil"/>
              <w:left w:val="nil"/>
              <w:right w:val="nil"/>
            </w:tcBorders>
            <w:shd w:val="clear" w:color="000000" w:fill="DBE5F1"/>
            <w:noWrap/>
            <w:vAlign w:val="center"/>
            <w:hideMark/>
          </w:tcPr>
          <w:p w:rsidR="007C72D1" w:rsidRPr="00B9423E" w:rsidRDefault="007C72D1" w:rsidP="00587288">
            <w:pPr>
              <w:rPr>
                <w:sz w:val="16"/>
                <w:szCs w:val="16"/>
              </w:rPr>
            </w:pPr>
            <w:r w:rsidRPr="00B9423E">
              <w:rPr>
                <w:sz w:val="16"/>
                <w:szCs w:val="16"/>
              </w:rPr>
              <w:t>4.2.1</w:t>
            </w:r>
          </w:p>
        </w:tc>
        <w:tc>
          <w:tcPr>
            <w:tcW w:w="960" w:type="dxa"/>
            <w:tcBorders>
              <w:top w:val="nil"/>
              <w:left w:val="nil"/>
              <w:right w:val="nil"/>
            </w:tcBorders>
            <w:shd w:val="clear" w:color="000000" w:fill="DBE5F1"/>
            <w:noWrap/>
            <w:vAlign w:val="center"/>
            <w:hideMark/>
          </w:tcPr>
          <w:p w:rsidR="007C72D1" w:rsidRDefault="007C72D1" w:rsidP="00587288">
            <w:r>
              <w:rPr>
                <w:rStyle w:val="AERtextsize8"/>
              </w:rPr>
              <w:t>4.2.1</w:t>
            </w:r>
          </w:p>
        </w:tc>
        <w:tc>
          <w:tcPr>
            <w:tcW w:w="960" w:type="dxa"/>
            <w:tcBorders>
              <w:top w:val="nil"/>
              <w:left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right w:val="nil"/>
            </w:tcBorders>
            <w:shd w:val="clear" w:color="000000" w:fill="DBE5F1"/>
            <w:noWrap/>
            <w:vAlign w:val="center"/>
            <w:hideMark/>
          </w:tcPr>
          <w:p w:rsidR="007C72D1" w:rsidRDefault="007C72D1" w:rsidP="00587288">
            <w:r w:rsidRPr="00CF172D">
              <w:rPr>
                <w:rStyle w:val="AERtextsize8"/>
              </w:rPr>
              <w:t>Not applicable</w:t>
            </w:r>
          </w:p>
        </w:tc>
        <w:tc>
          <w:tcPr>
            <w:tcW w:w="960" w:type="dxa"/>
            <w:tcBorders>
              <w:top w:val="nil"/>
              <w:left w:val="nil"/>
              <w:right w:val="nil"/>
            </w:tcBorders>
            <w:shd w:val="clear" w:color="000000" w:fill="DBE5F1"/>
            <w:noWrap/>
            <w:vAlign w:val="center"/>
            <w:hideMark/>
          </w:tcPr>
          <w:p w:rsidR="007C72D1" w:rsidRDefault="007C72D1" w:rsidP="00587288">
            <w:r w:rsidRPr="00CF172D">
              <w:rPr>
                <w:rStyle w:val="AERtextsize8"/>
              </w:rPr>
              <w:t>Not applicable</w:t>
            </w:r>
          </w:p>
        </w:tc>
        <w:tc>
          <w:tcPr>
            <w:tcW w:w="1073" w:type="dxa"/>
            <w:tcBorders>
              <w:top w:val="nil"/>
              <w:left w:val="nil"/>
              <w:right w:val="nil"/>
            </w:tcBorders>
            <w:shd w:val="clear" w:color="000000" w:fill="DBE5F1"/>
            <w:noWrap/>
            <w:vAlign w:val="center"/>
            <w:hideMark/>
          </w:tcPr>
          <w:p w:rsidR="007C72D1" w:rsidRDefault="007C72D1" w:rsidP="00587288">
            <w:r w:rsidRPr="00CF172D">
              <w:rPr>
                <w:rStyle w:val="AERtextsize8"/>
              </w:rPr>
              <w:t>Not applicable</w:t>
            </w:r>
          </w:p>
        </w:tc>
        <w:tc>
          <w:tcPr>
            <w:tcW w:w="960" w:type="dxa"/>
            <w:tcBorders>
              <w:top w:val="nil"/>
              <w:left w:val="nil"/>
              <w:right w:val="nil"/>
            </w:tcBorders>
            <w:shd w:val="clear" w:color="000000" w:fill="DBE5F1"/>
            <w:noWrap/>
            <w:vAlign w:val="center"/>
            <w:hideMark/>
          </w:tcPr>
          <w:p w:rsidR="007C72D1" w:rsidRDefault="007C72D1" w:rsidP="00587288">
            <w:r w:rsidRPr="00CF172D">
              <w:rPr>
                <w:rStyle w:val="AERtextsize8"/>
              </w:rPr>
              <w:t>Not applicable</w:t>
            </w:r>
          </w:p>
        </w:tc>
        <w:tc>
          <w:tcPr>
            <w:tcW w:w="960" w:type="dxa"/>
            <w:tcBorders>
              <w:top w:val="nil"/>
              <w:left w:val="nil"/>
              <w:right w:val="nil"/>
            </w:tcBorders>
            <w:shd w:val="clear" w:color="000000" w:fill="DBE5F1"/>
            <w:noWrap/>
            <w:hideMark/>
          </w:tcPr>
          <w:p w:rsidR="007C72D1" w:rsidRDefault="007C72D1" w:rsidP="00587288">
            <w:r w:rsidRPr="001C656C">
              <w:rPr>
                <w:rStyle w:val="AERtextsize8"/>
              </w:rPr>
              <w:t>Not applicable</w:t>
            </w:r>
          </w:p>
        </w:tc>
        <w:tc>
          <w:tcPr>
            <w:tcW w:w="960" w:type="dxa"/>
            <w:tcBorders>
              <w:top w:val="nil"/>
              <w:left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right w:val="nil"/>
            </w:tcBorders>
            <w:shd w:val="clear" w:color="000000" w:fill="DBE5F1"/>
            <w:noWrap/>
            <w:hideMark/>
          </w:tcPr>
          <w:p w:rsidR="007C72D1" w:rsidRDefault="007C72D1" w:rsidP="00587288">
            <w:r w:rsidRPr="009E1C40">
              <w:rPr>
                <w:rStyle w:val="AERtextsize8"/>
              </w:rPr>
              <w:t>Not applicable</w:t>
            </w:r>
          </w:p>
        </w:tc>
        <w:tc>
          <w:tcPr>
            <w:tcW w:w="960" w:type="dxa"/>
            <w:tcBorders>
              <w:top w:val="nil"/>
              <w:left w:val="nil"/>
              <w:right w:val="nil"/>
            </w:tcBorders>
            <w:shd w:val="clear" w:color="000000" w:fill="DBE5F1"/>
            <w:noWrap/>
            <w:hideMark/>
          </w:tcPr>
          <w:p w:rsidR="007C72D1" w:rsidRDefault="007C72D1" w:rsidP="00587288">
            <w:r w:rsidRPr="009E1C40">
              <w:rPr>
                <w:rStyle w:val="AERtextsize8"/>
              </w:rPr>
              <w:t>Not applicable</w:t>
            </w:r>
          </w:p>
        </w:tc>
        <w:tc>
          <w:tcPr>
            <w:tcW w:w="960" w:type="dxa"/>
            <w:tcBorders>
              <w:top w:val="nil"/>
              <w:left w:val="nil"/>
              <w:right w:val="nil"/>
            </w:tcBorders>
            <w:shd w:val="clear" w:color="000000" w:fill="DBE5F1"/>
            <w:noWrap/>
            <w:hideMark/>
          </w:tcPr>
          <w:p w:rsidR="007C72D1" w:rsidRDefault="007C72D1" w:rsidP="00587288">
            <w:r w:rsidRPr="009E1C40">
              <w:rPr>
                <w:rStyle w:val="AERtextsize8"/>
              </w:rPr>
              <w:t>Not applicable</w:t>
            </w:r>
          </w:p>
        </w:tc>
      </w:tr>
      <w:tr w:rsidR="007C72D1" w:rsidRPr="00003190" w:rsidTr="00587288">
        <w:trPr>
          <w:trHeight w:val="682"/>
        </w:trPr>
        <w:tc>
          <w:tcPr>
            <w:tcW w:w="960" w:type="dxa"/>
            <w:tcBorders>
              <w:top w:val="nil"/>
              <w:left w:val="nil"/>
              <w:bottom w:val="single" w:sz="8" w:space="0" w:color="0070C0"/>
              <w:right w:val="nil"/>
            </w:tcBorders>
            <w:shd w:val="clear" w:color="000000" w:fill="auto"/>
            <w:vAlign w:val="bottom"/>
            <w:hideMark/>
          </w:tcPr>
          <w:p w:rsidR="007C72D1" w:rsidRPr="007334C5" w:rsidRDefault="007C72D1" w:rsidP="00587288">
            <w:pPr>
              <w:rPr>
                <w:sz w:val="16"/>
                <w:szCs w:val="16"/>
              </w:rPr>
            </w:pPr>
            <w:r>
              <w:rPr>
                <w:sz w:val="16"/>
                <w:szCs w:val="16"/>
              </w:rPr>
              <w:t>NDO7</w:t>
            </w:r>
          </w:p>
        </w:tc>
        <w:tc>
          <w:tcPr>
            <w:tcW w:w="960" w:type="dxa"/>
            <w:tcBorders>
              <w:top w:val="nil"/>
              <w:left w:val="nil"/>
              <w:bottom w:val="single" w:sz="8" w:space="0" w:color="0070C0"/>
              <w:right w:val="nil"/>
            </w:tcBorders>
            <w:shd w:val="clear" w:color="000000" w:fill="auto"/>
            <w:noWrap/>
            <w:hideMark/>
          </w:tcPr>
          <w:p w:rsidR="007C72D1" w:rsidRPr="00747F76" w:rsidRDefault="007C72D1" w:rsidP="00587288">
            <w:r w:rsidRPr="003417A7">
              <w:sym w:font="Wingdings 2" w:char="0050"/>
            </w:r>
          </w:p>
        </w:tc>
        <w:tc>
          <w:tcPr>
            <w:tcW w:w="960" w:type="dxa"/>
            <w:tcBorders>
              <w:top w:val="nil"/>
              <w:left w:val="nil"/>
              <w:bottom w:val="single" w:sz="8" w:space="0" w:color="0070C0"/>
              <w:right w:val="nil"/>
            </w:tcBorders>
            <w:shd w:val="clear" w:color="000000" w:fill="auto"/>
            <w:noWrap/>
            <w:hideMark/>
          </w:tcPr>
          <w:p w:rsidR="007C72D1" w:rsidRPr="00747F76" w:rsidRDefault="007C72D1" w:rsidP="00587288">
            <w:r w:rsidRPr="003417A7">
              <w:sym w:font="Wingdings 2" w:char="0050"/>
            </w:r>
          </w:p>
        </w:tc>
        <w:tc>
          <w:tcPr>
            <w:tcW w:w="960" w:type="dxa"/>
            <w:tcBorders>
              <w:top w:val="nil"/>
              <w:left w:val="nil"/>
              <w:bottom w:val="single" w:sz="8" w:space="0" w:color="0070C0"/>
              <w:right w:val="nil"/>
            </w:tcBorders>
            <w:shd w:val="clear" w:color="000000" w:fill="auto"/>
            <w:noWrap/>
            <w:hideMark/>
          </w:tcPr>
          <w:p w:rsidR="007C72D1" w:rsidRPr="00747F76" w:rsidRDefault="007C72D1" w:rsidP="00587288">
            <w:r w:rsidRPr="003417A7">
              <w:sym w:font="Wingdings 2" w:char="0050"/>
            </w:r>
          </w:p>
        </w:tc>
        <w:tc>
          <w:tcPr>
            <w:tcW w:w="960" w:type="dxa"/>
            <w:tcBorders>
              <w:top w:val="nil"/>
              <w:left w:val="nil"/>
              <w:bottom w:val="single" w:sz="8" w:space="0" w:color="0070C0"/>
              <w:right w:val="nil"/>
            </w:tcBorders>
            <w:shd w:val="clear" w:color="000000" w:fill="auto"/>
            <w:noWrap/>
            <w:hideMark/>
          </w:tcPr>
          <w:p w:rsidR="007C72D1" w:rsidRPr="00747F76" w:rsidRDefault="007C72D1" w:rsidP="00587288">
            <w:r w:rsidRPr="003417A7">
              <w:sym w:font="Wingdings 2" w:char="0050"/>
            </w:r>
          </w:p>
        </w:tc>
        <w:tc>
          <w:tcPr>
            <w:tcW w:w="960" w:type="dxa"/>
            <w:tcBorders>
              <w:top w:val="nil"/>
              <w:left w:val="nil"/>
              <w:bottom w:val="single" w:sz="8" w:space="0" w:color="0070C0"/>
              <w:right w:val="nil"/>
            </w:tcBorders>
            <w:shd w:val="clear" w:color="000000" w:fill="auto"/>
            <w:noWrap/>
            <w:hideMark/>
          </w:tcPr>
          <w:p w:rsidR="007C72D1" w:rsidRPr="00CF172D" w:rsidRDefault="007C72D1" w:rsidP="00587288">
            <w:pPr>
              <w:rPr>
                <w:rStyle w:val="AERtextsize8"/>
              </w:rPr>
            </w:pPr>
            <w:r w:rsidRPr="003417A7">
              <w:sym w:font="Wingdings 2" w:char="0050"/>
            </w:r>
          </w:p>
        </w:tc>
        <w:tc>
          <w:tcPr>
            <w:tcW w:w="1073" w:type="dxa"/>
            <w:tcBorders>
              <w:top w:val="nil"/>
              <w:left w:val="nil"/>
              <w:bottom w:val="single" w:sz="8" w:space="0" w:color="0070C0"/>
              <w:right w:val="nil"/>
            </w:tcBorders>
            <w:shd w:val="clear" w:color="000000" w:fill="auto"/>
            <w:noWrap/>
            <w:hideMark/>
          </w:tcPr>
          <w:p w:rsidR="007C72D1" w:rsidRPr="00CF172D" w:rsidRDefault="007C72D1" w:rsidP="00587288">
            <w:pPr>
              <w:rPr>
                <w:rStyle w:val="AERtextsize8"/>
              </w:rPr>
            </w:pPr>
            <w:r w:rsidRPr="003417A7">
              <w:sym w:font="Wingdings 2" w:char="0050"/>
            </w:r>
          </w:p>
        </w:tc>
        <w:tc>
          <w:tcPr>
            <w:tcW w:w="960" w:type="dxa"/>
            <w:tcBorders>
              <w:top w:val="nil"/>
              <w:left w:val="nil"/>
              <w:bottom w:val="single" w:sz="8" w:space="0" w:color="0070C0"/>
              <w:right w:val="nil"/>
            </w:tcBorders>
            <w:shd w:val="clear" w:color="000000" w:fill="auto"/>
            <w:noWrap/>
            <w:hideMark/>
          </w:tcPr>
          <w:p w:rsidR="007C72D1" w:rsidRPr="00CF172D" w:rsidRDefault="007C72D1" w:rsidP="00587288">
            <w:pPr>
              <w:rPr>
                <w:rStyle w:val="AERtextsize8"/>
              </w:rPr>
            </w:pPr>
            <w:r w:rsidRPr="003417A7">
              <w:sym w:font="Wingdings 2" w:char="0050"/>
            </w:r>
          </w:p>
        </w:tc>
        <w:tc>
          <w:tcPr>
            <w:tcW w:w="960" w:type="dxa"/>
            <w:tcBorders>
              <w:top w:val="nil"/>
              <w:left w:val="nil"/>
              <w:bottom w:val="single" w:sz="8" w:space="0" w:color="0070C0"/>
              <w:right w:val="nil"/>
            </w:tcBorders>
            <w:shd w:val="clear" w:color="000000" w:fill="auto"/>
            <w:noWrap/>
            <w:hideMark/>
          </w:tcPr>
          <w:p w:rsidR="007C72D1" w:rsidRDefault="007C72D1" w:rsidP="00587288">
            <w:r w:rsidRPr="001C656C">
              <w:rPr>
                <w:rStyle w:val="AERtextsize8"/>
              </w:rPr>
              <w:t>Not applicable</w:t>
            </w:r>
          </w:p>
        </w:tc>
        <w:tc>
          <w:tcPr>
            <w:tcW w:w="960" w:type="dxa"/>
            <w:tcBorders>
              <w:top w:val="nil"/>
              <w:left w:val="nil"/>
              <w:bottom w:val="single" w:sz="8" w:space="0" w:color="0070C0"/>
              <w:right w:val="nil"/>
            </w:tcBorders>
            <w:shd w:val="clear" w:color="000000" w:fill="auto"/>
            <w:noWrap/>
            <w:hideMark/>
          </w:tcPr>
          <w:p w:rsidR="007C72D1" w:rsidRPr="00747F76" w:rsidRDefault="007C72D1" w:rsidP="00587288">
            <w:r w:rsidRPr="006A3B66">
              <w:sym w:font="Wingdings 2" w:char="0050"/>
            </w:r>
          </w:p>
        </w:tc>
        <w:tc>
          <w:tcPr>
            <w:tcW w:w="960" w:type="dxa"/>
            <w:tcBorders>
              <w:top w:val="nil"/>
              <w:left w:val="nil"/>
              <w:bottom w:val="single" w:sz="8" w:space="0" w:color="0070C0"/>
              <w:right w:val="nil"/>
            </w:tcBorders>
            <w:shd w:val="clear" w:color="000000" w:fill="auto"/>
            <w:noWrap/>
            <w:hideMark/>
          </w:tcPr>
          <w:p w:rsidR="007C72D1" w:rsidRDefault="007C72D1" w:rsidP="00587288">
            <w:r w:rsidRPr="008172BD">
              <w:rPr>
                <w:rStyle w:val="AERtextsize8"/>
              </w:rPr>
              <w:t>Not applicable</w:t>
            </w:r>
          </w:p>
        </w:tc>
        <w:tc>
          <w:tcPr>
            <w:tcW w:w="960" w:type="dxa"/>
            <w:tcBorders>
              <w:top w:val="nil"/>
              <w:left w:val="nil"/>
              <w:bottom w:val="single" w:sz="8" w:space="0" w:color="0070C0"/>
              <w:right w:val="nil"/>
            </w:tcBorders>
            <w:shd w:val="clear" w:color="000000" w:fill="auto"/>
            <w:noWrap/>
            <w:hideMark/>
          </w:tcPr>
          <w:p w:rsidR="007C72D1" w:rsidRDefault="007C72D1" w:rsidP="00587288">
            <w:r w:rsidRPr="008172BD">
              <w:rPr>
                <w:rStyle w:val="AERtextsize8"/>
              </w:rPr>
              <w:t>Not applicable</w:t>
            </w:r>
          </w:p>
        </w:tc>
        <w:tc>
          <w:tcPr>
            <w:tcW w:w="960" w:type="dxa"/>
            <w:tcBorders>
              <w:top w:val="nil"/>
              <w:left w:val="nil"/>
              <w:bottom w:val="single" w:sz="8" w:space="0" w:color="0070C0"/>
              <w:right w:val="nil"/>
            </w:tcBorders>
            <w:shd w:val="clear" w:color="000000" w:fill="auto"/>
            <w:noWrap/>
            <w:hideMark/>
          </w:tcPr>
          <w:p w:rsidR="007C72D1" w:rsidRDefault="007C72D1" w:rsidP="00587288">
            <w:r w:rsidRPr="003358FB">
              <w:rPr>
                <w:sz w:val="16"/>
                <w:szCs w:val="16"/>
              </w:rPr>
              <w:sym w:font="Wingdings 2" w:char="0050"/>
            </w:r>
          </w:p>
        </w:tc>
      </w:tr>
    </w:tbl>
    <w:p w:rsidR="007C72D1" w:rsidRPr="004C299A" w:rsidRDefault="007C72D1" w:rsidP="004C299A"/>
    <w:p w:rsidR="007C72D1" w:rsidRPr="00A46038" w:rsidRDefault="007C72D1" w:rsidP="004C299A">
      <w:pPr>
        <w:rPr>
          <w:b/>
        </w:rPr>
      </w:pPr>
      <w:r>
        <w:br w:type="column"/>
      </w:r>
      <w:r w:rsidRPr="00A46038">
        <w:rPr>
          <w:b/>
        </w:rPr>
        <w:lastRenderedPageBreak/>
        <w:t>Table 8 – Registrable classes of exemption – energy selling</w:t>
      </w:r>
    </w:p>
    <w:tbl>
      <w:tblPr>
        <w:tblW w:w="12572" w:type="dxa"/>
        <w:tblInd w:w="93" w:type="dxa"/>
        <w:tblLook w:val="04A0" w:firstRow="1" w:lastRow="0" w:firstColumn="1" w:lastColumn="0" w:noHBand="0" w:noVBand="1"/>
      </w:tblPr>
      <w:tblGrid>
        <w:gridCol w:w="960"/>
        <w:gridCol w:w="960"/>
        <w:gridCol w:w="960"/>
        <w:gridCol w:w="960"/>
        <w:gridCol w:w="960"/>
        <w:gridCol w:w="960"/>
        <w:gridCol w:w="1052"/>
        <w:gridCol w:w="960"/>
        <w:gridCol w:w="960"/>
        <w:gridCol w:w="960"/>
        <w:gridCol w:w="960"/>
        <w:gridCol w:w="960"/>
        <w:gridCol w:w="960"/>
      </w:tblGrid>
      <w:tr w:rsidR="007C72D1" w:rsidRPr="00003190" w:rsidTr="00587288">
        <w:trPr>
          <w:trHeight w:val="315"/>
        </w:trPr>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1052"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Conditions</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r>
      <w:tr w:rsidR="007C72D1" w:rsidRPr="00003190" w:rsidTr="00587288">
        <w:trPr>
          <w:trHeight w:val="567"/>
        </w:trPr>
        <w:tc>
          <w:tcPr>
            <w:tcW w:w="960" w:type="dxa"/>
            <w:tcBorders>
              <w:top w:val="nil"/>
              <w:left w:val="nil"/>
              <w:bottom w:val="single" w:sz="8" w:space="0" w:color="365F91"/>
              <w:right w:val="nil"/>
            </w:tcBorders>
            <w:shd w:val="clear" w:color="000000" w:fill="365F91"/>
            <w:vAlign w:val="bottom"/>
            <w:hideMark/>
          </w:tcPr>
          <w:p w:rsidR="007C72D1" w:rsidRPr="007334C5" w:rsidRDefault="007C72D1" w:rsidP="00587288">
            <w:pPr>
              <w:rPr>
                <w:b/>
                <w:color w:val="FFFFFF"/>
                <w:sz w:val="16"/>
                <w:szCs w:val="16"/>
              </w:rPr>
            </w:pPr>
            <w:r w:rsidRPr="007334C5">
              <w:rPr>
                <w:b/>
                <w:color w:val="FFFFFF"/>
                <w:sz w:val="16"/>
                <w:szCs w:val="16"/>
              </w:rPr>
              <w:t>Class</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1</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2</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3</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4</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5</w:t>
            </w:r>
          </w:p>
        </w:tc>
        <w:tc>
          <w:tcPr>
            <w:tcW w:w="1052"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6</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7</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8</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9</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10</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11</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12</w:t>
            </w:r>
          </w:p>
        </w:tc>
      </w:tr>
      <w:tr w:rsidR="007C72D1" w:rsidRPr="00003190" w:rsidTr="00587288">
        <w:trPr>
          <w:trHeight w:val="682"/>
        </w:trPr>
        <w:tc>
          <w:tcPr>
            <w:tcW w:w="960" w:type="dxa"/>
            <w:tcBorders>
              <w:top w:val="nil"/>
              <w:left w:val="nil"/>
              <w:bottom w:val="nil"/>
              <w:right w:val="nil"/>
            </w:tcBorders>
            <w:shd w:val="clear" w:color="auto" w:fill="auto"/>
            <w:vAlign w:val="center"/>
            <w:hideMark/>
          </w:tcPr>
          <w:p w:rsidR="007C72D1" w:rsidRPr="007334C5" w:rsidRDefault="007C72D1" w:rsidP="00587288">
            <w:pPr>
              <w:jc w:val="left"/>
              <w:rPr>
                <w:sz w:val="16"/>
                <w:szCs w:val="16"/>
              </w:rPr>
            </w:pPr>
            <w:r w:rsidRPr="007334C5">
              <w:rPr>
                <w:sz w:val="16"/>
                <w:szCs w:val="16"/>
              </w:rPr>
              <w:t>NR1</w:t>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1052"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hideMark/>
          </w:tcPr>
          <w:p w:rsidR="007C72D1" w:rsidRDefault="007C72D1" w:rsidP="00587288">
            <w:r w:rsidRPr="003A5FD0">
              <w:rPr>
                <w:rStyle w:val="AERtextsize8"/>
              </w:rPr>
              <w:t>Not applicable</w:t>
            </w:r>
          </w:p>
        </w:tc>
        <w:tc>
          <w:tcPr>
            <w:tcW w:w="960" w:type="dxa"/>
            <w:tcBorders>
              <w:top w:val="nil"/>
              <w:left w:val="nil"/>
              <w:bottom w:val="nil"/>
              <w:right w:val="nil"/>
            </w:tcBorders>
            <w:shd w:val="clear" w:color="auto" w:fill="auto"/>
            <w:noWrap/>
            <w:hideMark/>
          </w:tcPr>
          <w:p w:rsidR="007C72D1" w:rsidRDefault="007C72D1" w:rsidP="00587288">
            <w:r w:rsidRPr="003A5FD0">
              <w:rPr>
                <w:rStyle w:val="AERtextsize8"/>
              </w:rPr>
              <w:t>Not applicable</w:t>
            </w:r>
          </w:p>
        </w:tc>
        <w:tc>
          <w:tcPr>
            <w:tcW w:w="960" w:type="dxa"/>
            <w:tcBorders>
              <w:top w:val="nil"/>
              <w:left w:val="nil"/>
              <w:bottom w:val="nil"/>
              <w:right w:val="nil"/>
            </w:tcBorders>
            <w:shd w:val="clear" w:color="auto" w:fill="auto"/>
            <w:noWrap/>
            <w:hideMark/>
          </w:tcPr>
          <w:p w:rsidR="007C72D1" w:rsidRDefault="007C72D1" w:rsidP="00587288">
            <w:r w:rsidRPr="003358FB">
              <w:rPr>
                <w:sz w:val="16"/>
                <w:szCs w:val="16"/>
              </w:rPr>
              <w:sym w:font="Wingdings 2" w:char="0050"/>
            </w:r>
          </w:p>
        </w:tc>
      </w:tr>
      <w:tr w:rsidR="007C72D1" w:rsidRPr="00003190" w:rsidTr="00587288">
        <w:trPr>
          <w:trHeight w:val="682"/>
        </w:trPr>
        <w:tc>
          <w:tcPr>
            <w:tcW w:w="960" w:type="dxa"/>
            <w:tcBorders>
              <w:top w:val="nil"/>
              <w:left w:val="nil"/>
              <w:bottom w:val="nil"/>
              <w:right w:val="nil"/>
            </w:tcBorders>
            <w:shd w:val="clear" w:color="000000" w:fill="DBE5F1"/>
            <w:vAlign w:val="center"/>
            <w:hideMark/>
          </w:tcPr>
          <w:p w:rsidR="007C72D1" w:rsidRPr="007334C5" w:rsidRDefault="007C72D1" w:rsidP="00587288">
            <w:pPr>
              <w:jc w:val="left"/>
              <w:rPr>
                <w:sz w:val="16"/>
                <w:szCs w:val="16"/>
              </w:rPr>
            </w:pPr>
            <w:r w:rsidRPr="007334C5">
              <w:rPr>
                <w:sz w:val="16"/>
                <w:szCs w:val="16"/>
              </w:rPr>
              <w:t>NR2</w:t>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1052"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r>
      <w:tr w:rsidR="007C72D1" w:rsidRPr="00003190" w:rsidTr="00587288">
        <w:trPr>
          <w:trHeight w:val="682"/>
        </w:trPr>
        <w:tc>
          <w:tcPr>
            <w:tcW w:w="960" w:type="dxa"/>
            <w:tcBorders>
              <w:top w:val="nil"/>
              <w:left w:val="nil"/>
              <w:bottom w:val="nil"/>
              <w:right w:val="nil"/>
            </w:tcBorders>
            <w:shd w:val="clear" w:color="auto" w:fill="auto"/>
            <w:vAlign w:val="center"/>
            <w:hideMark/>
          </w:tcPr>
          <w:p w:rsidR="007C72D1" w:rsidRPr="007334C5" w:rsidRDefault="007C72D1" w:rsidP="00587288">
            <w:pPr>
              <w:jc w:val="left"/>
              <w:rPr>
                <w:sz w:val="16"/>
                <w:szCs w:val="16"/>
              </w:rPr>
            </w:pPr>
            <w:r w:rsidRPr="007334C5">
              <w:rPr>
                <w:sz w:val="16"/>
                <w:szCs w:val="16"/>
              </w:rPr>
              <w:t>NR3</w:t>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CF172D" w:rsidRDefault="007C72D1" w:rsidP="00587288">
            <w:pPr>
              <w:rPr>
                <w:rStyle w:val="AERtextsize8"/>
              </w:rPr>
            </w:pPr>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1052"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r>
      <w:tr w:rsidR="007C72D1" w:rsidRPr="00003190" w:rsidTr="00587288">
        <w:trPr>
          <w:trHeight w:val="682"/>
        </w:trPr>
        <w:tc>
          <w:tcPr>
            <w:tcW w:w="960" w:type="dxa"/>
            <w:tcBorders>
              <w:top w:val="nil"/>
              <w:left w:val="nil"/>
              <w:bottom w:val="nil"/>
              <w:right w:val="nil"/>
            </w:tcBorders>
            <w:shd w:val="clear" w:color="000000" w:fill="DBE5F1"/>
            <w:vAlign w:val="center"/>
            <w:hideMark/>
          </w:tcPr>
          <w:p w:rsidR="007C72D1" w:rsidRPr="007334C5" w:rsidRDefault="007C72D1" w:rsidP="00587288">
            <w:pPr>
              <w:jc w:val="left"/>
              <w:rPr>
                <w:sz w:val="16"/>
                <w:szCs w:val="16"/>
              </w:rPr>
            </w:pPr>
            <w:r w:rsidRPr="007334C5">
              <w:rPr>
                <w:sz w:val="16"/>
                <w:szCs w:val="16"/>
              </w:rPr>
              <w:t>NR4</w:t>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1052"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r>
      <w:tr w:rsidR="007C72D1" w:rsidRPr="00003190" w:rsidTr="00587288">
        <w:trPr>
          <w:trHeight w:val="682"/>
        </w:trPr>
        <w:tc>
          <w:tcPr>
            <w:tcW w:w="960" w:type="dxa"/>
            <w:tcBorders>
              <w:top w:val="nil"/>
              <w:left w:val="nil"/>
              <w:bottom w:val="nil"/>
              <w:right w:val="nil"/>
            </w:tcBorders>
            <w:shd w:val="clear" w:color="auto" w:fill="auto"/>
            <w:vAlign w:val="center"/>
            <w:hideMark/>
          </w:tcPr>
          <w:p w:rsidR="007C72D1" w:rsidRPr="007334C5" w:rsidRDefault="007C72D1" w:rsidP="00587288">
            <w:pPr>
              <w:jc w:val="left"/>
              <w:rPr>
                <w:sz w:val="16"/>
                <w:szCs w:val="16"/>
              </w:rPr>
            </w:pPr>
            <w:r w:rsidRPr="007334C5">
              <w:rPr>
                <w:sz w:val="16"/>
                <w:szCs w:val="16"/>
              </w:rPr>
              <w:t>NR5</w:t>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1052"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hideMark/>
          </w:tcPr>
          <w:p w:rsidR="007C72D1" w:rsidRDefault="007C72D1" w:rsidP="00587288">
            <w:r w:rsidRPr="003A5FD0">
              <w:rPr>
                <w:rStyle w:val="AERtextsize8"/>
              </w:rPr>
              <w:t>Not applicable</w:t>
            </w:r>
          </w:p>
        </w:tc>
        <w:tc>
          <w:tcPr>
            <w:tcW w:w="960" w:type="dxa"/>
            <w:tcBorders>
              <w:top w:val="nil"/>
              <w:left w:val="nil"/>
              <w:bottom w:val="nil"/>
              <w:right w:val="nil"/>
            </w:tcBorders>
            <w:shd w:val="clear" w:color="auto" w:fill="auto"/>
            <w:noWrap/>
            <w:hideMark/>
          </w:tcPr>
          <w:p w:rsidR="007C72D1" w:rsidRDefault="007C72D1" w:rsidP="00587288">
            <w:r w:rsidRPr="003A5FD0">
              <w:rPr>
                <w:rStyle w:val="AERtextsize8"/>
              </w:rPr>
              <w:t>Not applicable</w:t>
            </w:r>
          </w:p>
        </w:tc>
        <w:tc>
          <w:tcPr>
            <w:tcW w:w="960" w:type="dxa"/>
            <w:tcBorders>
              <w:top w:val="nil"/>
              <w:left w:val="nil"/>
              <w:bottom w:val="nil"/>
              <w:right w:val="nil"/>
            </w:tcBorders>
            <w:shd w:val="clear" w:color="auto" w:fill="auto"/>
            <w:noWrap/>
            <w:hideMark/>
          </w:tcPr>
          <w:p w:rsidR="007C72D1" w:rsidRDefault="007C72D1" w:rsidP="00587288">
            <w:r w:rsidRPr="003358FB">
              <w:rPr>
                <w:sz w:val="16"/>
                <w:szCs w:val="16"/>
              </w:rPr>
              <w:sym w:font="Wingdings 2" w:char="0050"/>
            </w:r>
          </w:p>
        </w:tc>
      </w:tr>
      <w:tr w:rsidR="007C72D1" w:rsidRPr="00003190" w:rsidTr="00587288">
        <w:trPr>
          <w:trHeight w:val="682"/>
        </w:trPr>
        <w:tc>
          <w:tcPr>
            <w:tcW w:w="960" w:type="dxa"/>
            <w:tcBorders>
              <w:top w:val="nil"/>
              <w:left w:val="nil"/>
              <w:bottom w:val="nil"/>
              <w:right w:val="nil"/>
            </w:tcBorders>
            <w:shd w:val="clear" w:color="000000" w:fill="DBE5F1"/>
            <w:vAlign w:val="center"/>
            <w:hideMark/>
          </w:tcPr>
          <w:p w:rsidR="007C72D1" w:rsidRPr="007334C5" w:rsidRDefault="007C72D1" w:rsidP="00587288">
            <w:pPr>
              <w:jc w:val="left"/>
              <w:rPr>
                <w:sz w:val="16"/>
                <w:szCs w:val="16"/>
              </w:rPr>
            </w:pPr>
            <w:r w:rsidRPr="007334C5">
              <w:rPr>
                <w:sz w:val="16"/>
                <w:szCs w:val="16"/>
              </w:rPr>
              <w:t>NR6</w:t>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1052"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r>
      <w:tr w:rsidR="007C72D1" w:rsidRPr="00003190" w:rsidTr="00587288">
        <w:trPr>
          <w:trHeight w:val="682"/>
        </w:trPr>
        <w:tc>
          <w:tcPr>
            <w:tcW w:w="960" w:type="dxa"/>
            <w:tcBorders>
              <w:top w:val="nil"/>
              <w:left w:val="nil"/>
              <w:bottom w:val="single" w:sz="8" w:space="0" w:color="0070C0"/>
              <w:right w:val="nil"/>
            </w:tcBorders>
            <w:shd w:val="clear" w:color="auto" w:fill="auto"/>
            <w:vAlign w:val="center"/>
            <w:hideMark/>
          </w:tcPr>
          <w:p w:rsidR="007C72D1" w:rsidRPr="007334C5" w:rsidRDefault="007C72D1" w:rsidP="00587288">
            <w:pPr>
              <w:jc w:val="left"/>
              <w:rPr>
                <w:sz w:val="16"/>
                <w:szCs w:val="16"/>
              </w:rPr>
            </w:pPr>
            <w:r w:rsidRPr="007334C5">
              <w:rPr>
                <w:sz w:val="16"/>
                <w:szCs w:val="16"/>
              </w:rPr>
              <w:t>NR7</w:t>
            </w:r>
          </w:p>
        </w:tc>
        <w:tc>
          <w:tcPr>
            <w:tcW w:w="960" w:type="dxa"/>
            <w:tcBorders>
              <w:top w:val="nil"/>
              <w:left w:val="nil"/>
              <w:bottom w:val="single" w:sz="8" w:space="0" w:color="0070C0"/>
              <w:right w:val="nil"/>
            </w:tcBorders>
            <w:shd w:val="clear" w:color="auto" w:fill="auto"/>
            <w:noWrap/>
            <w:hideMark/>
          </w:tcPr>
          <w:p w:rsidR="007C72D1" w:rsidRDefault="007C72D1" w:rsidP="00587288">
            <w:r w:rsidRPr="0074005B">
              <w:rPr>
                <w:rStyle w:val="AERtextsize8"/>
              </w:rPr>
              <w:t>Not applicable</w:t>
            </w:r>
          </w:p>
        </w:tc>
        <w:tc>
          <w:tcPr>
            <w:tcW w:w="960" w:type="dxa"/>
            <w:tcBorders>
              <w:top w:val="nil"/>
              <w:left w:val="nil"/>
              <w:bottom w:val="single" w:sz="8" w:space="0" w:color="0070C0"/>
              <w:right w:val="nil"/>
            </w:tcBorders>
            <w:shd w:val="clear" w:color="auto" w:fill="auto"/>
            <w:noWrap/>
            <w:hideMark/>
          </w:tcPr>
          <w:p w:rsidR="007C72D1" w:rsidRDefault="007C72D1" w:rsidP="00587288">
            <w:r w:rsidRPr="0074005B">
              <w:rPr>
                <w:rStyle w:val="AERtextsize8"/>
              </w:rPr>
              <w:t>Not applicable</w:t>
            </w:r>
          </w:p>
        </w:tc>
        <w:tc>
          <w:tcPr>
            <w:tcW w:w="960" w:type="dxa"/>
            <w:tcBorders>
              <w:top w:val="nil"/>
              <w:left w:val="nil"/>
              <w:bottom w:val="single" w:sz="8" w:space="0" w:color="0070C0"/>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47F76" w:rsidRDefault="007C72D1" w:rsidP="00587288">
            <w:r w:rsidRPr="00747F76">
              <w:sym w:font="Wingdings 2" w:char="0050"/>
            </w:r>
          </w:p>
        </w:tc>
        <w:tc>
          <w:tcPr>
            <w:tcW w:w="1052" w:type="dxa"/>
            <w:tcBorders>
              <w:top w:val="nil"/>
              <w:left w:val="nil"/>
              <w:bottom w:val="single" w:sz="8" w:space="0" w:color="0070C0"/>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single" w:sz="8" w:space="0" w:color="0070C0"/>
              <w:right w:val="nil"/>
            </w:tcBorders>
            <w:shd w:val="clear" w:color="auto" w:fill="auto"/>
            <w:noWrap/>
            <w:hideMark/>
          </w:tcPr>
          <w:p w:rsidR="007C72D1" w:rsidRDefault="007C72D1" w:rsidP="00587288">
            <w:r w:rsidRPr="003A5FD0">
              <w:rPr>
                <w:rStyle w:val="AERtextsize8"/>
              </w:rPr>
              <w:t>Not applicable</w:t>
            </w:r>
          </w:p>
        </w:tc>
        <w:tc>
          <w:tcPr>
            <w:tcW w:w="960" w:type="dxa"/>
            <w:tcBorders>
              <w:top w:val="nil"/>
              <w:left w:val="nil"/>
              <w:bottom w:val="single" w:sz="8" w:space="0" w:color="0070C0"/>
              <w:right w:val="nil"/>
            </w:tcBorders>
            <w:shd w:val="clear" w:color="auto" w:fill="auto"/>
            <w:noWrap/>
            <w:hideMark/>
          </w:tcPr>
          <w:p w:rsidR="007C72D1" w:rsidRDefault="007C72D1" w:rsidP="00587288">
            <w:r w:rsidRPr="003A5FD0">
              <w:rPr>
                <w:rStyle w:val="AERtextsize8"/>
              </w:rPr>
              <w:t>Not applicable</w:t>
            </w:r>
          </w:p>
        </w:tc>
        <w:tc>
          <w:tcPr>
            <w:tcW w:w="960" w:type="dxa"/>
            <w:tcBorders>
              <w:top w:val="nil"/>
              <w:left w:val="nil"/>
              <w:bottom w:val="single" w:sz="8" w:space="0" w:color="0070C0"/>
              <w:right w:val="nil"/>
            </w:tcBorders>
            <w:shd w:val="clear" w:color="auto" w:fill="auto"/>
            <w:noWrap/>
            <w:hideMark/>
          </w:tcPr>
          <w:p w:rsidR="007C72D1" w:rsidRDefault="007C72D1" w:rsidP="00587288">
            <w:r w:rsidRPr="003358FB">
              <w:rPr>
                <w:sz w:val="16"/>
                <w:szCs w:val="16"/>
              </w:rPr>
              <w:sym w:font="Wingdings 2" w:char="0050"/>
            </w:r>
          </w:p>
        </w:tc>
      </w:tr>
    </w:tbl>
    <w:p w:rsidR="007C72D1" w:rsidRDefault="007C72D1" w:rsidP="007C72D1"/>
    <w:p w:rsidR="007C72D1" w:rsidRPr="004C299A" w:rsidRDefault="007C72D1" w:rsidP="004C299A">
      <w:pPr>
        <w:rPr>
          <w:b/>
        </w:rPr>
      </w:pPr>
      <w:r>
        <w:br w:type="column"/>
      </w:r>
      <w:r w:rsidRPr="004C299A">
        <w:rPr>
          <w:b/>
        </w:rPr>
        <w:lastRenderedPageBreak/>
        <w:t>Table 9 – Registrable classes of exemption – other situations</w:t>
      </w:r>
    </w:p>
    <w:tbl>
      <w:tblPr>
        <w:tblW w:w="12572" w:type="dxa"/>
        <w:tblInd w:w="93" w:type="dxa"/>
        <w:tblLook w:val="04A0" w:firstRow="1" w:lastRow="0" w:firstColumn="1" w:lastColumn="0" w:noHBand="0" w:noVBand="1"/>
      </w:tblPr>
      <w:tblGrid>
        <w:gridCol w:w="960"/>
        <w:gridCol w:w="960"/>
        <w:gridCol w:w="960"/>
        <w:gridCol w:w="960"/>
        <w:gridCol w:w="960"/>
        <w:gridCol w:w="960"/>
        <w:gridCol w:w="1052"/>
        <w:gridCol w:w="960"/>
        <w:gridCol w:w="960"/>
        <w:gridCol w:w="960"/>
        <w:gridCol w:w="960"/>
        <w:gridCol w:w="960"/>
        <w:gridCol w:w="960"/>
      </w:tblGrid>
      <w:tr w:rsidR="007C72D1" w:rsidRPr="00003190" w:rsidTr="00587288">
        <w:trPr>
          <w:trHeight w:val="567"/>
        </w:trPr>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1052"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Conditions</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r>
      <w:tr w:rsidR="007C72D1" w:rsidRPr="00003190" w:rsidTr="00587288">
        <w:trPr>
          <w:trHeight w:val="567"/>
        </w:trPr>
        <w:tc>
          <w:tcPr>
            <w:tcW w:w="960" w:type="dxa"/>
            <w:tcBorders>
              <w:top w:val="nil"/>
              <w:left w:val="nil"/>
              <w:bottom w:val="single" w:sz="8" w:space="0" w:color="365F91"/>
              <w:right w:val="nil"/>
            </w:tcBorders>
            <w:shd w:val="clear" w:color="000000" w:fill="365F91"/>
            <w:noWrap/>
            <w:vAlign w:val="bottom"/>
            <w:hideMark/>
          </w:tcPr>
          <w:p w:rsidR="007C72D1" w:rsidRPr="007334C5" w:rsidRDefault="007C72D1" w:rsidP="00587288">
            <w:pPr>
              <w:rPr>
                <w:b/>
                <w:color w:val="FFFFFF"/>
                <w:sz w:val="16"/>
                <w:szCs w:val="16"/>
              </w:rPr>
            </w:pPr>
            <w:r w:rsidRPr="007334C5">
              <w:rPr>
                <w:b/>
                <w:color w:val="FFFFFF"/>
                <w:sz w:val="16"/>
                <w:szCs w:val="16"/>
              </w:rPr>
              <w:t>Class</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1</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2</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3</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4</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5</w:t>
            </w:r>
          </w:p>
        </w:tc>
        <w:tc>
          <w:tcPr>
            <w:tcW w:w="1052"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6</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7</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8</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9</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10</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11</w:t>
            </w:r>
          </w:p>
        </w:tc>
        <w:tc>
          <w:tcPr>
            <w:tcW w:w="960" w:type="dxa"/>
            <w:tcBorders>
              <w:top w:val="nil"/>
              <w:left w:val="nil"/>
              <w:bottom w:val="single" w:sz="8" w:space="0" w:color="365F91"/>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12</w:t>
            </w:r>
          </w:p>
        </w:tc>
      </w:tr>
      <w:tr w:rsidR="007C72D1" w:rsidRPr="00003190" w:rsidTr="00587288">
        <w:trPr>
          <w:trHeight w:val="540"/>
        </w:trPr>
        <w:tc>
          <w:tcPr>
            <w:tcW w:w="960" w:type="dxa"/>
            <w:tcBorders>
              <w:top w:val="nil"/>
              <w:left w:val="nil"/>
              <w:bottom w:val="nil"/>
              <w:right w:val="nil"/>
            </w:tcBorders>
            <w:shd w:val="clear" w:color="auto" w:fill="auto"/>
            <w:vAlign w:val="bottom"/>
            <w:hideMark/>
          </w:tcPr>
          <w:p w:rsidR="007C72D1" w:rsidRPr="007334C5" w:rsidRDefault="007C72D1" w:rsidP="00587288">
            <w:pPr>
              <w:rPr>
                <w:b/>
                <w:color w:val="FFFFFF"/>
                <w:sz w:val="16"/>
                <w:szCs w:val="16"/>
              </w:rPr>
            </w:pPr>
            <w:r w:rsidRPr="007334C5">
              <w:rPr>
                <w:sz w:val="16"/>
                <w:szCs w:val="16"/>
              </w:rPr>
              <w:t>NRO1</w:t>
            </w:r>
          </w:p>
        </w:tc>
        <w:tc>
          <w:tcPr>
            <w:tcW w:w="960" w:type="dxa"/>
            <w:tcBorders>
              <w:top w:val="nil"/>
              <w:left w:val="nil"/>
              <w:bottom w:val="nil"/>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1052" w:type="dxa"/>
            <w:tcBorders>
              <w:top w:val="nil"/>
              <w:left w:val="nil"/>
              <w:bottom w:val="nil"/>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nil"/>
              <w:right w:val="nil"/>
            </w:tcBorders>
            <w:shd w:val="clear" w:color="auto" w:fill="auto"/>
            <w:noWrap/>
            <w:hideMark/>
          </w:tcPr>
          <w:p w:rsidR="007C72D1" w:rsidRPr="007334C5" w:rsidRDefault="007C72D1" w:rsidP="00587288">
            <w:pPr>
              <w:rPr>
                <w:b/>
                <w:color w:val="FFFFFF"/>
                <w:sz w:val="16"/>
                <w:szCs w:val="16"/>
              </w:rPr>
            </w:pPr>
            <w:r w:rsidRPr="003A5FD0">
              <w:rPr>
                <w:rStyle w:val="AERtextsize8"/>
              </w:rPr>
              <w:t>Not applicable</w:t>
            </w:r>
          </w:p>
        </w:tc>
        <w:tc>
          <w:tcPr>
            <w:tcW w:w="960" w:type="dxa"/>
            <w:tcBorders>
              <w:top w:val="nil"/>
              <w:left w:val="nil"/>
              <w:bottom w:val="nil"/>
              <w:right w:val="nil"/>
            </w:tcBorders>
            <w:shd w:val="clear" w:color="auto" w:fill="auto"/>
            <w:noWrap/>
            <w:hideMark/>
          </w:tcPr>
          <w:p w:rsidR="007C72D1" w:rsidRPr="007334C5" w:rsidRDefault="007C72D1" w:rsidP="00587288">
            <w:pPr>
              <w:rPr>
                <w:b/>
                <w:color w:val="FFFFFF"/>
                <w:sz w:val="16"/>
                <w:szCs w:val="16"/>
              </w:rPr>
            </w:pPr>
            <w:r w:rsidRPr="003A5FD0">
              <w:rPr>
                <w:rStyle w:val="AERtextsize8"/>
              </w:rPr>
              <w:t>Not applicable</w:t>
            </w:r>
          </w:p>
        </w:tc>
        <w:tc>
          <w:tcPr>
            <w:tcW w:w="960" w:type="dxa"/>
            <w:tcBorders>
              <w:top w:val="nil"/>
              <w:left w:val="nil"/>
              <w:bottom w:val="nil"/>
              <w:right w:val="nil"/>
            </w:tcBorders>
            <w:shd w:val="clear" w:color="auto" w:fill="auto"/>
            <w:noWrap/>
            <w:hideMark/>
          </w:tcPr>
          <w:p w:rsidR="007C72D1" w:rsidRPr="007334C5" w:rsidRDefault="007C72D1" w:rsidP="00587288">
            <w:pPr>
              <w:rPr>
                <w:b/>
                <w:color w:val="FFFFFF"/>
                <w:sz w:val="16"/>
                <w:szCs w:val="16"/>
              </w:rPr>
            </w:pPr>
            <w:r w:rsidRPr="003A5FD0">
              <w:rPr>
                <w:rStyle w:val="AERtextsize8"/>
              </w:rPr>
              <w:t>Not applicable</w:t>
            </w:r>
          </w:p>
        </w:tc>
      </w:tr>
      <w:tr w:rsidR="007C72D1" w:rsidRPr="00003190" w:rsidTr="00587288">
        <w:trPr>
          <w:trHeight w:val="300"/>
        </w:trPr>
        <w:tc>
          <w:tcPr>
            <w:tcW w:w="960" w:type="dxa"/>
            <w:tcBorders>
              <w:top w:val="nil"/>
              <w:left w:val="nil"/>
              <w:bottom w:val="nil"/>
              <w:right w:val="nil"/>
            </w:tcBorders>
            <w:shd w:val="clear" w:color="000000" w:fill="DBE5F1"/>
            <w:vAlign w:val="bottom"/>
            <w:hideMark/>
          </w:tcPr>
          <w:p w:rsidR="007C72D1" w:rsidRPr="007334C5" w:rsidRDefault="007C72D1" w:rsidP="00587288">
            <w:pPr>
              <w:rPr>
                <w:sz w:val="16"/>
                <w:szCs w:val="16"/>
              </w:rPr>
            </w:pPr>
            <w:r w:rsidRPr="007334C5">
              <w:rPr>
                <w:sz w:val="16"/>
                <w:szCs w:val="16"/>
              </w:rPr>
              <w:t>NRO2</w:t>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1052"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hideMark/>
          </w:tcPr>
          <w:p w:rsidR="007C72D1" w:rsidRDefault="007C72D1" w:rsidP="00587288">
            <w:r w:rsidRPr="003A5FD0">
              <w:rPr>
                <w:rStyle w:val="AERtextsize8"/>
              </w:rPr>
              <w:t>Not applicable</w:t>
            </w:r>
          </w:p>
        </w:tc>
        <w:tc>
          <w:tcPr>
            <w:tcW w:w="960" w:type="dxa"/>
            <w:tcBorders>
              <w:top w:val="nil"/>
              <w:left w:val="nil"/>
              <w:bottom w:val="nil"/>
              <w:right w:val="nil"/>
            </w:tcBorders>
            <w:shd w:val="clear" w:color="000000" w:fill="DBE5F1"/>
            <w:noWrap/>
            <w:hideMark/>
          </w:tcPr>
          <w:p w:rsidR="007C72D1" w:rsidRDefault="007C72D1" w:rsidP="00587288">
            <w:r w:rsidRPr="003A5FD0">
              <w:rPr>
                <w:rStyle w:val="AERtextsize8"/>
              </w:rPr>
              <w:t>Not applicable</w:t>
            </w:r>
          </w:p>
        </w:tc>
        <w:tc>
          <w:tcPr>
            <w:tcW w:w="960" w:type="dxa"/>
            <w:tcBorders>
              <w:top w:val="nil"/>
              <w:left w:val="nil"/>
              <w:bottom w:val="nil"/>
              <w:right w:val="nil"/>
            </w:tcBorders>
            <w:shd w:val="clear" w:color="000000" w:fill="DBE5F1"/>
            <w:noWrap/>
            <w:hideMark/>
          </w:tcPr>
          <w:p w:rsidR="007C72D1" w:rsidRDefault="007C72D1" w:rsidP="00587288">
            <w:r w:rsidRPr="003A5FD0">
              <w:rPr>
                <w:rStyle w:val="AERtextsize8"/>
              </w:rPr>
              <w:t>Not applicable</w:t>
            </w:r>
          </w:p>
        </w:tc>
      </w:tr>
      <w:tr w:rsidR="007C72D1" w:rsidRPr="00003190" w:rsidTr="00587288">
        <w:trPr>
          <w:trHeight w:val="300"/>
        </w:trPr>
        <w:tc>
          <w:tcPr>
            <w:tcW w:w="960" w:type="dxa"/>
            <w:tcBorders>
              <w:top w:val="nil"/>
              <w:left w:val="nil"/>
              <w:bottom w:val="nil"/>
              <w:right w:val="nil"/>
            </w:tcBorders>
            <w:shd w:val="clear" w:color="auto" w:fill="auto"/>
            <w:vAlign w:val="bottom"/>
            <w:hideMark/>
          </w:tcPr>
          <w:p w:rsidR="007C72D1" w:rsidRPr="007334C5" w:rsidRDefault="007C72D1" w:rsidP="00587288">
            <w:pPr>
              <w:rPr>
                <w:sz w:val="16"/>
                <w:szCs w:val="16"/>
              </w:rPr>
            </w:pPr>
            <w:r w:rsidRPr="007334C5">
              <w:rPr>
                <w:sz w:val="16"/>
                <w:szCs w:val="16"/>
              </w:rPr>
              <w:t>NRO3</w:t>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3358FB">
              <w:rPr>
                <w:sz w:val="16"/>
                <w:szCs w:val="16"/>
              </w:rPr>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1052"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auto" w:fill="auto"/>
            <w:noWrap/>
            <w:hideMark/>
          </w:tcPr>
          <w:p w:rsidR="007C72D1" w:rsidRDefault="007C72D1" w:rsidP="00587288">
            <w:r w:rsidRPr="003A5FD0">
              <w:rPr>
                <w:rStyle w:val="AERtextsize8"/>
              </w:rPr>
              <w:t>Not applicable</w:t>
            </w:r>
          </w:p>
        </w:tc>
        <w:tc>
          <w:tcPr>
            <w:tcW w:w="960" w:type="dxa"/>
            <w:tcBorders>
              <w:top w:val="nil"/>
              <w:left w:val="nil"/>
              <w:bottom w:val="nil"/>
              <w:right w:val="nil"/>
            </w:tcBorders>
            <w:shd w:val="clear" w:color="auto" w:fill="auto"/>
            <w:noWrap/>
            <w:hideMark/>
          </w:tcPr>
          <w:p w:rsidR="007C72D1" w:rsidRDefault="007C72D1" w:rsidP="00587288">
            <w:r w:rsidRPr="003A5FD0">
              <w:rPr>
                <w:rStyle w:val="AERtextsize8"/>
              </w:rPr>
              <w:t>Not applicable</w:t>
            </w:r>
          </w:p>
        </w:tc>
        <w:tc>
          <w:tcPr>
            <w:tcW w:w="960" w:type="dxa"/>
            <w:tcBorders>
              <w:top w:val="nil"/>
              <w:left w:val="nil"/>
              <w:bottom w:val="nil"/>
              <w:right w:val="nil"/>
            </w:tcBorders>
            <w:shd w:val="clear" w:color="auto" w:fill="auto"/>
            <w:noWrap/>
            <w:hideMark/>
          </w:tcPr>
          <w:p w:rsidR="007C72D1" w:rsidRDefault="007C72D1" w:rsidP="00587288">
            <w:r w:rsidRPr="003A5FD0">
              <w:rPr>
                <w:rStyle w:val="AERtextsize8"/>
              </w:rPr>
              <w:t>Not applicable</w:t>
            </w:r>
          </w:p>
        </w:tc>
      </w:tr>
      <w:tr w:rsidR="007C72D1" w:rsidRPr="00003190" w:rsidTr="00587288">
        <w:trPr>
          <w:trHeight w:val="300"/>
        </w:trPr>
        <w:tc>
          <w:tcPr>
            <w:tcW w:w="960" w:type="dxa"/>
            <w:tcBorders>
              <w:top w:val="nil"/>
              <w:left w:val="nil"/>
              <w:bottom w:val="nil"/>
              <w:right w:val="nil"/>
            </w:tcBorders>
            <w:shd w:val="clear" w:color="000000" w:fill="DBE5F1"/>
            <w:vAlign w:val="bottom"/>
            <w:hideMark/>
          </w:tcPr>
          <w:p w:rsidR="007C72D1" w:rsidRPr="007334C5" w:rsidRDefault="007C72D1" w:rsidP="00587288">
            <w:pPr>
              <w:rPr>
                <w:sz w:val="16"/>
                <w:szCs w:val="16"/>
              </w:rPr>
            </w:pPr>
            <w:r w:rsidRPr="007334C5">
              <w:rPr>
                <w:sz w:val="16"/>
                <w:szCs w:val="16"/>
              </w:rPr>
              <w:t>NRO4</w:t>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1052"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vAlign w:val="center"/>
            <w:hideMark/>
          </w:tcPr>
          <w:p w:rsidR="007C72D1" w:rsidRPr="00747F76" w:rsidRDefault="007C72D1" w:rsidP="00587288">
            <w:r w:rsidRPr="00747F76">
              <w:sym w:font="Wingdings 2" w:char="0050"/>
            </w:r>
          </w:p>
        </w:tc>
        <w:tc>
          <w:tcPr>
            <w:tcW w:w="960" w:type="dxa"/>
            <w:tcBorders>
              <w:top w:val="nil"/>
              <w:left w:val="nil"/>
              <w:bottom w:val="nil"/>
              <w:right w:val="nil"/>
            </w:tcBorders>
            <w:shd w:val="clear" w:color="000000" w:fill="DBE5F1"/>
            <w:noWrap/>
            <w:hideMark/>
          </w:tcPr>
          <w:p w:rsidR="007C72D1" w:rsidRDefault="007C72D1" w:rsidP="00587288">
            <w:r w:rsidRPr="003A5FD0">
              <w:rPr>
                <w:rStyle w:val="AERtextsize8"/>
              </w:rPr>
              <w:t>Not applicable</w:t>
            </w:r>
          </w:p>
        </w:tc>
        <w:tc>
          <w:tcPr>
            <w:tcW w:w="960" w:type="dxa"/>
            <w:tcBorders>
              <w:top w:val="nil"/>
              <w:left w:val="nil"/>
              <w:bottom w:val="nil"/>
              <w:right w:val="nil"/>
            </w:tcBorders>
            <w:shd w:val="clear" w:color="000000" w:fill="DBE5F1"/>
            <w:noWrap/>
            <w:hideMark/>
          </w:tcPr>
          <w:p w:rsidR="007C72D1" w:rsidRDefault="007C72D1" w:rsidP="00587288">
            <w:r w:rsidRPr="003A5FD0">
              <w:rPr>
                <w:rStyle w:val="AERtextsize8"/>
              </w:rPr>
              <w:t>Not applicable</w:t>
            </w:r>
          </w:p>
        </w:tc>
        <w:tc>
          <w:tcPr>
            <w:tcW w:w="960" w:type="dxa"/>
            <w:tcBorders>
              <w:top w:val="nil"/>
              <w:left w:val="nil"/>
              <w:bottom w:val="nil"/>
              <w:right w:val="nil"/>
            </w:tcBorders>
            <w:shd w:val="clear" w:color="000000" w:fill="DBE5F1"/>
            <w:noWrap/>
            <w:hideMark/>
          </w:tcPr>
          <w:p w:rsidR="007C72D1" w:rsidRDefault="007C72D1" w:rsidP="00587288">
            <w:r w:rsidRPr="003358FB">
              <w:rPr>
                <w:sz w:val="16"/>
                <w:szCs w:val="16"/>
              </w:rPr>
              <w:sym w:font="Wingdings 2" w:char="0050"/>
            </w:r>
          </w:p>
        </w:tc>
      </w:tr>
      <w:tr w:rsidR="007C72D1" w:rsidRPr="00003190" w:rsidTr="00587288">
        <w:trPr>
          <w:trHeight w:val="300"/>
        </w:trPr>
        <w:tc>
          <w:tcPr>
            <w:tcW w:w="960" w:type="dxa"/>
            <w:tcBorders>
              <w:top w:val="nil"/>
              <w:left w:val="nil"/>
              <w:bottom w:val="single" w:sz="8" w:space="0" w:color="0070C0"/>
              <w:right w:val="nil"/>
            </w:tcBorders>
            <w:shd w:val="clear" w:color="auto" w:fill="auto"/>
            <w:vAlign w:val="bottom"/>
            <w:hideMark/>
          </w:tcPr>
          <w:p w:rsidR="007C72D1" w:rsidRPr="007334C5" w:rsidRDefault="007C72D1" w:rsidP="00587288">
            <w:pPr>
              <w:rPr>
                <w:sz w:val="16"/>
                <w:szCs w:val="16"/>
              </w:rPr>
            </w:pPr>
            <w:r w:rsidRPr="007334C5">
              <w:rPr>
                <w:sz w:val="16"/>
                <w:szCs w:val="16"/>
              </w:rPr>
              <w:t>NRO5</w:t>
            </w:r>
          </w:p>
        </w:tc>
        <w:tc>
          <w:tcPr>
            <w:tcW w:w="960" w:type="dxa"/>
            <w:tcBorders>
              <w:top w:val="nil"/>
              <w:left w:val="nil"/>
              <w:bottom w:val="single" w:sz="8" w:space="0" w:color="0070C0"/>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47F76" w:rsidRDefault="007C72D1" w:rsidP="00587288">
            <w:r w:rsidRPr="00747F76">
              <w:sym w:font="Wingdings 2" w:char="0050"/>
            </w:r>
          </w:p>
        </w:tc>
        <w:tc>
          <w:tcPr>
            <w:tcW w:w="1052" w:type="dxa"/>
            <w:tcBorders>
              <w:top w:val="nil"/>
              <w:left w:val="nil"/>
              <w:bottom w:val="single" w:sz="8" w:space="0" w:color="0070C0"/>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47F76" w:rsidRDefault="007C72D1" w:rsidP="00587288">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Default="007C72D1" w:rsidP="00587288">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Default="007C72D1" w:rsidP="00587288">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Default="007C72D1" w:rsidP="00587288">
            <w:r w:rsidRPr="00747F76">
              <w:sym w:font="Wingdings 2" w:char="0050"/>
            </w:r>
          </w:p>
        </w:tc>
      </w:tr>
    </w:tbl>
    <w:p w:rsidR="007C72D1" w:rsidRPr="00003190" w:rsidRDefault="007C72D1" w:rsidP="007C72D1"/>
    <w:p w:rsidR="007C72D1" w:rsidRPr="004C299A" w:rsidRDefault="007C72D1" w:rsidP="004C299A">
      <w:pPr>
        <w:rPr>
          <w:b/>
        </w:rPr>
      </w:pPr>
      <w:r w:rsidRPr="004C299A">
        <w:rPr>
          <w:b/>
        </w:rPr>
        <w:t xml:space="preserve">Table 10 – Individual network exemption class </w:t>
      </w:r>
    </w:p>
    <w:tbl>
      <w:tblPr>
        <w:tblW w:w="12694" w:type="dxa"/>
        <w:tblInd w:w="93" w:type="dxa"/>
        <w:tblLook w:val="04A0" w:firstRow="1" w:lastRow="0" w:firstColumn="1" w:lastColumn="0" w:noHBand="0" w:noVBand="1"/>
      </w:tblPr>
      <w:tblGrid>
        <w:gridCol w:w="972"/>
        <w:gridCol w:w="960"/>
        <w:gridCol w:w="960"/>
        <w:gridCol w:w="960"/>
        <w:gridCol w:w="960"/>
        <w:gridCol w:w="960"/>
        <w:gridCol w:w="1162"/>
        <w:gridCol w:w="960"/>
        <w:gridCol w:w="960"/>
        <w:gridCol w:w="960"/>
        <w:gridCol w:w="960"/>
        <w:gridCol w:w="960"/>
        <w:gridCol w:w="960"/>
      </w:tblGrid>
      <w:tr w:rsidR="007C72D1" w:rsidRPr="00003190" w:rsidTr="00587288">
        <w:trPr>
          <w:trHeight w:val="567"/>
        </w:trPr>
        <w:tc>
          <w:tcPr>
            <w:tcW w:w="972"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1162"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Conditions</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c>
          <w:tcPr>
            <w:tcW w:w="960" w:type="dxa"/>
            <w:tcBorders>
              <w:top w:val="nil"/>
              <w:left w:val="nil"/>
              <w:bottom w:val="single" w:sz="12" w:space="0" w:color="FFFFFF"/>
              <w:right w:val="nil"/>
            </w:tcBorders>
            <w:shd w:val="clear" w:color="000000" w:fill="365F91"/>
            <w:noWrap/>
            <w:vAlign w:val="center"/>
            <w:hideMark/>
          </w:tcPr>
          <w:p w:rsidR="007C72D1" w:rsidRPr="007334C5" w:rsidRDefault="007C72D1" w:rsidP="00587288">
            <w:pPr>
              <w:rPr>
                <w:b/>
                <w:color w:val="FFFFFF"/>
                <w:sz w:val="16"/>
                <w:szCs w:val="16"/>
              </w:rPr>
            </w:pPr>
            <w:r w:rsidRPr="007334C5">
              <w:rPr>
                <w:b/>
                <w:color w:val="FFFFFF"/>
                <w:sz w:val="16"/>
                <w:szCs w:val="16"/>
              </w:rPr>
              <w:t> </w:t>
            </w:r>
          </w:p>
        </w:tc>
      </w:tr>
      <w:tr w:rsidR="007C72D1" w:rsidRPr="00003190" w:rsidTr="00587288">
        <w:trPr>
          <w:trHeight w:val="567"/>
        </w:trPr>
        <w:tc>
          <w:tcPr>
            <w:tcW w:w="972" w:type="dxa"/>
            <w:tcBorders>
              <w:top w:val="nil"/>
              <w:left w:val="nil"/>
              <w:bottom w:val="single" w:sz="8" w:space="0" w:color="365F91"/>
              <w:right w:val="nil"/>
            </w:tcBorders>
            <w:shd w:val="clear" w:color="000000" w:fill="365F91"/>
            <w:noWrap/>
            <w:vAlign w:val="bottom"/>
          </w:tcPr>
          <w:p w:rsidR="007C72D1" w:rsidRPr="007334C5" w:rsidRDefault="007C72D1" w:rsidP="00587288">
            <w:pPr>
              <w:rPr>
                <w:b/>
                <w:color w:val="FFFFFF"/>
                <w:sz w:val="16"/>
                <w:szCs w:val="16"/>
              </w:rPr>
            </w:pPr>
            <w:r w:rsidRPr="007334C5">
              <w:rPr>
                <w:b/>
                <w:color w:val="FFFFFF"/>
                <w:sz w:val="16"/>
                <w:szCs w:val="16"/>
              </w:rPr>
              <w:t>Class</w:t>
            </w:r>
          </w:p>
        </w:tc>
        <w:tc>
          <w:tcPr>
            <w:tcW w:w="960" w:type="dxa"/>
            <w:tcBorders>
              <w:top w:val="nil"/>
              <w:left w:val="nil"/>
              <w:bottom w:val="single" w:sz="8" w:space="0" w:color="365F91"/>
              <w:right w:val="nil"/>
            </w:tcBorders>
            <w:shd w:val="clear" w:color="000000" w:fill="365F91"/>
            <w:noWrap/>
            <w:vAlign w:val="center"/>
          </w:tcPr>
          <w:p w:rsidR="007C72D1" w:rsidRPr="007334C5" w:rsidRDefault="007C72D1" w:rsidP="00587288">
            <w:pPr>
              <w:rPr>
                <w:b/>
                <w:color w:val="FFFFFF"/>
                <w:sz w:val="16"/>
                <w:szCs w:val="16"/>
              </w:rPr>
            </w:pPr>
            <w:r w:rsidRPr="007334C5">
              <w:rPr>
                <w:b/>
                <w:color w:val="FFFFFF"/>
                <w:sz w:val="16"/>
                <w:szCs w:val="16"/>
              </w:rPr>
              <w:t>1</w:t>
            </w:r>
          </w:p>
        </w:tc>
        <w:tc>
          <w:tcPr>
            <w:tcW w:w="960" w:type="dxa"/>
            <w:tcBorders>
              <w:top w:val="nil"/>
              <w:left w:val="nil"/>
              <w:bottom w:val="single" w:sz="8" w:space="0" w:color="365F91"/>
              <w:right w:val="nil"/>
            </w:tcBorders>
            <w:shd w:val="clear" w:color="000000" w:fill="365F91"/>
            <w:noWrap/>
            <w:vAlign w:val="center"/>
          </w:tcPr>
          <w:p w:rsidR="007C72D1" w:rsidRPr="007334C5" w:rsidRDefault="007C72D1" w:rsidP="00587288">
            <w:pPr>
              <w:rPr>
                <w:b/>
                <w:color w:val="FFFFFF"/>
                <w:sz w:val="16"/>
                <w:szCs w:val="16"/>
              </w:rPr>
            </w:pPr>
            <w:r w:rsidRPr="007334C5">
              <w:rPr>
                <w:b/>
                <w:color w:val="FFFFFF"/>
                <w:sz w:val="16"/>
                <w:szCs w:val="16"/>
              </w:rPr>
              <w:t>2</w:t>
            </w:r>
          </w:p>
        </w:tc>
        <w:tc>
          <w:tcPr>
            <w:tcW w:w="960" w:type="dxa"/>
            <w:tcBorders>
              <w:top w:val="nil"/>
              <w:left w:val="nil"/>
              <w:bottom w:val="single" w:sz="8" w:space="0" w:color="365F91"/>
              <w:right w:val="nil"/>
            </w:tcBorders>
            <w:shd w:val="clear" w:color="000000" w:fill="365F91"/>
            <w:noWrap/>
            <w:vAlign w:val="center"/>
          </w:tcPr>
          <w:p w:rsidR="007C72D1" w:rsidRPr="007334C5" w:rsidRDefault="007C72D1" w:rsidP="00587288">
            <w:pPr>
              <w:rPr>
                <w:b/>
                <w:color w:val="FFFFFF"/>
                <w:sz w:val="16"/>
                <w:szCs w:val="16"/>
              </w:rPr>
            </w:pPr>
            <w:r w:rsidRPr="007334C5">
              <w:rPr>
                <w:b/>
                <w:color w:val="FFFFFF"/>
                <w:sz w:val="16"/>
                <w:szCs w:val="16"/>
              </w:rPr>
              <w:t>3</w:t>
            </w:r>
          </w:p>
        </w:tc>
        <w:tc>
          <w:tcPr>
            <w:tcW w:w="960" w:type="dxa"/>
            <w:tcBorders>
              <w:top w:val="nil"/>
              <w:left w:val="nil"/>
              <w:bottom w:val="single" w:sz="8" w:space="0" w:color="365F91"/>
              <w:right w:val="nil"/>
            </w:tcBorders>
            <w:shd w:val="clear" w:color="000000" w:fill="365F91"/>
            <w:noWrap/>
            <w:vAlign w:val="center"/>
          </w:tcPr>
          <w:p w:rsidR="007C72D1" w:rsidRPr="007334C5" w:rsidRDefault="007C72D1" w:rsidP="00587288">
            <w:pPr>
              <w:rPr>
                <w:b/>
                <w:color w:val="FFFFFF"/>
                <w:sz w:val="16"/>
                <w:szCs w:val="16"/>
              </w:rPr>
            </w:pPr>
            <w:r w:rsidRPr="007334C5">
              <w:rPr>
                <w:b/>
                <w:color w:val="FFFFFF"/>
                <w:sz w:val="16"/>
                <w:szCs w:val="16"/>
              </w:rPr>
              <w:t>4</w:t>
            </w:r>
          </w:p>
        </w:tc>
        <w:tc>
          <w:tcPr>
            <w:tcW w:w="960" w:type="dxa"/>
            <w:tcBorders>
              <w:top w:val="nil"/>
              <w:left w:val="nil"/>
              <w:bottom w:val="single" w:sz="8" w:space="0" w:color="365F91"/>
              <w:right w:val="nil"/>
            </w:tcBorders>
            <w:shd w:val="clear" w:color="000000" w:fill="365F91"/>
            <w:noWrap/>
            <w:vAlign w:val="center"/>
          </w:tcPr>
          <w:p w:rsidR="007C72D1" w:rsidRPr="007334C5" w:rsidRDefault="007C72D1" w:rsidP="00587288">
            <w:pPr>
              <w:rPr>
                <w:b/>
                <w:color w:val="FFFFFF"/>
                <w:sz w:val="16"/>
                <w:szCs w:val="16"/>
              </w:rPr>
            </w:pPr>
            <w:r w:rsidRPr="007334C5">
              <w:rPr>
                <w:b/>
                <w:color w:val="FFFFFF"/>
                <w:sz w:val="16"/>
                <w:szCs w:val="16"/>
              </w:rPr>
              <w:t>5</w:t>
            </w:r>
          </w:p>
        </w:tc>
        <w:tc>
          <w:tcPr>
            <w:tcW w:w="1162" w:type="dxa"/>
            <w:tcBorders>
              <w:top w:val="nil"/>
              <w:left w:val="nil"/>
              <w:bottom w:val="single" w:sz="8" w:space="0" w:color="365F91"/>
              <w:right w:val="nil"/>
            </w:tcBorders>
            <w:shd w:val="clear" w:color="000000" w:fill="365F91"/>
            <w:noWrap/>
            <w:vAlign w:val="center"/>
          </w:tcPr>
          <w:p w:rsidR="007C72D1" w:rsidRPr="007334C5" w:rsidRDefault="007C72D1" w:rsidP="00587288">
            <w:pPr>
              <w:rPr>
                <w:b/>
                <w:color w:val="FFFFFF"/>
                <w:sz w:val="16"/>
                <w:szCs w:val="16"/>
              </w:rPr>
            </w:pPr>
            <w:r w:rsidRPr="007334C5">
              <w:rPr>
                <w:b/>
                <w:color w:val="FFFFFF"/>
                <w:sz w:val="16"/>
                <w:szCs w:val="16"/>
              </w:rPr>
              <w:t>6</w:t>
            </w:r>
          </w:p>
        </w:tc>
        <w:tc>
          <w:tcPr>
            <w:tcW w:w="960" w:type="dxa"/>
            <w:tcBorders>
              <w:top w:val="nil"/>
              <w:left w:val="nil"/>
              <w:bottom w:val="single" w:sz="8" w:space="0" w:color="365F91"/>
              <w:right w:val="nil"/>
            </w:tcBorders>
            <w:shd w:val="clear" w:color="000000" w:fill="365F91"/>
            <w:noWrap/>
            <w:vAlign w:val="center"/>
          </w:tcPr>
          <w:p w:rsidR="007C72D1" w:rsidRPr="007334C5" w:rsidRDefault="007C72D1" w:rsidP="00587288">
            <w:pPr>
              <w:rPr>
                <w:b/>
                <w:color w:val="FFFFFF"/>
                <w:sz w:val="16"/>
                <w:szCs w:val="16"/>
              </w:rPr>
            </w:pPr>
            <w:r w:rsidRPr="007334C5">
              <w:rPr>
                <w:b/>
                <w:color w:val="FFFFFF"/>
                <w:sz w:val="16"/>
                <w:szCs w:val="16"/>
              </w:rPr>
              <w:t>7</w:t>
            </w:r>
          </w:p>
        </w:tc>
        <w:tc>
          <w:tcPr>
            <w:tcW w:w="960" w:type="dxa"/>
            <w:tcBorders>
              <w:top w:val="nil"/>
              <w:left w:val="nil"/>
              <w:bottom w:val="single" w:sz="8" w:space="0" w:color="365F91"/>
              <w:right w:val="nil"/>
            </w:tcBorders>
            <w:shd w:val="clear" w:color="000000" w:fill="365F91"/>
            <w:noWrap/>
            <w:vAlign w:val="center"/>
          </w:tcPr>
          <w:p w:rsidR="007C72D1" w:rsidRPr="007334C5" w:rsidRDefault="007C72D1" w:rsidP="00587288">
            <w:pPr>
              <w:rPr>
                <w:b/>
                <w:color w:val="FFFFFF"/>
                <w:sz w:val="16"/>
                <w:szCs w:val="16"/>
              </w:rPr>
            </w:pPr>
            <w:r w:rsidRPr="007334C5">
              <w:rPr>
                <w:b/>
                <w:color w:val="FFFFFF"/>
                <w:sz w:val="16"/>
                <w:szCs w:val="16"/>
              </w:rPr>
              <w:t>8</w:t>
            </w:r>
          </w:p>
        </w:tc>
        <w:tc>
          <w:tcPr>
            <w:tcW w:w="960" w:type="dxa"/>
            <w:tcBorders>
              <w:top w:val="nil"/>
              <w:left w:val="nil"/>
              <w:bottom w:val="single" w:sz="8" w:space="0" w:color="365F91"/>
              <w:right w:val="nil"/>
            </w:tcBorders>
            <w:shd w:val="clear" w:color="000000" w:fill="365F91"/>
            <w:noWrap/>
            <w:vAlign w:val="center"/>
          </w:tcPr>
          <w:p w:rsidR="007C72D1" w:rsidRPr="007334C5" w:rsidRDefault="007C72D1" w:rsidP="00587288">
            <w:pPr>
              <w:rPr>
                <w:b/>
                <w:color w:val="FFFFFF"/>
                <w:sz w:val="16"/>
                <w:szCs w:val="16"/>
              </w:rPr>
            </w:pPr>
            <w:r w:rsidRPr="007334C5">
              <w:rPr>
                <w:b/>
                <w:color w:val="FFFFFF"/>
                <w:sz w:val="16"/>
                <w:szCs w:val="16"/>
              </w:rPr>
              <w:t>9</w:t>
            </w:r>
          </w:p>
        </w:tc>
        <w:tc>
          <w:tcPr>
            <w:tcW w:w="960" w:type="dxa"/>
            <w:tcBorders>
              <w:top w:val="nil"/>
              <w:left w:val="nil"/>
              <w:bottom w:val="single" w:sz="8" w:space="0" w:color="365F91"/>
              <w:right w:val="nil"/>
            </w:tcBorders>
            <w:shd w:val="clear" w:color="000000" w:fill="365F91"/>
            <w:noWrap/>
            <w:vAlign w:val="center"/>
          </w:tcPr>
          <w:p w:rsidR="007C72D1" w:rsidRPr="007334C5" w:rsidRDefault="007C72D1" w:rsidP="00587288">
            <w:pPr>
              <w:rPr>
                <w:b/>
                <w:color w:val="FFFFFF"/>
                <w:sz w:val="16"/>
                <w:szCs w:val="16"/>
              </w:rPr>
            </w:pPr>
            <w:r w:rsidRPr="007334C5">
              <w:rPr>
                <w:b/>
                <w:color w:val="FFFFFF"/>
                <w:sz w:val="16"/>
                <w:szCs w:val="16"/>
              </w:rPr>
              <w:t>10</w:t>
            </w:r>
          </w:p>
        </w:tc>
        <w:tc>
          <w:tcPr>
            <w:tcW w:w="960" w:type="dxa"/>
            <w:tcBorders>
              <w:top w:val="nil"/>
              <w:left w:val="nil"/>
              <w:bottom w:val="single" w:sz="8" w:space="0" w:color="365F91"/>
              <w:right w:val="nil"/>
            </w:tcBorders>
            <w:shd w:val="clear" w:color="000000" w:fill="365F91"/>
            <w:noWrap/>
            <w:vAlign w:val="center"/>
          </w:tcPr>
          <w:p w:rsidR="007C72D1" w:rsidRPr="007334C5" w:rsidRDefault="007C72D1" w:rsidP="00587288">
            <w:pPr>
              <w:rPr>
                <w:b/>
                <w:color w:val="FFFFFF"/>
                <w:sz w:val="16"/>
                <w:szCs w:val="16"/>
              </w:rPr>
            </w:pPr>
            <w:r w:rsidRPr="007334C5">
              <w:rPr>
                <w:b/>
                <w:color w:val="FFFFFF"/>
                <w:sz w:val="16"/>
                <w:szCs w:val="16"/>
              </w:rPr>
              <w:t>11</w:t>
            </w:r>
          </w:p>
        </w:tc>
        <w:tc>
          <w:tcPr>
            <w:tcW w:w="960" w:type="dxa"/>
            <w:tcBorders>
              <w:top w:val="nil"/>
              <w:left w:val="nil"/>
              <w:bottom w:val="single" w:sz="8" w:space="0" w:color="365F91"/>
              <w:right w:val="nil"/>
            </w:tcBorders>
            <w:shd w:val="clear" w:color="000000" w:fill="365F91"/>
            <w:noWrap/>
            <w:vAlign w:val="center"/>
          </w:tcPr>
          <w:p w:rsidR="007C72D1" w:rsidRPr="007334C5" w:rsidRDefault="007C72D1" w:rsidP="00587288">
            <w:pPr>
              <w:rPr>
                <w:b/>
                <w:color w:val="FFFFFF"/>
                <w:sz w:val="16"/>
                <w:szCs w:val="16"/>
              </w:rPr>
            </w:pPr>
            <w:r w:rsidRPr="007334C5">
              <w:rPr>
                <w:b/>
                <w:color w:val="FFFFFF"/>
                <w:sz w:val="16"/>
                <w:szCs w:val="16"/>
              </w:rPr>
              <w:t>12</w:t>
            </w:r>
          </w:p>
        </w:tc>
      </w:tr>
      <w:tr w:rsidR="007C72D1" w:rsidRPr="00003190" w:rsidTr="00587288">
        <w:trPr>
          <w:trHeight w:val="540"/>
        </w:trPr>
        <w:tc>
          <w:tcPr>
            <w:tcW w:w="972" w:type="dxa"/>
            <w:tcBorders>
              <w:top w:val="nil"/>
              <w:left w:val="nil"/>
              <w:bottom w:val="single" w:sz="8" w:space="0" w:color="0070C0"/>
              <w:right w:val="nil"/>
            </w:tcBorders>
            <w:shd w:val="clear" w:color="auto" w:fill="auto"/>
            <w:vAlign w:val="bottom"/>
            <w:hideMark/>
          </w:tcPr>
          <w:p w:rsidR="007C72D1" w:rsidRPr="007334C5" w:rsidRDefault="007C72D1" w:rsidP="00587288">
            <w:pPr>
              <w:rPr>
                <w:b/>
                <w:color w:val="FFFFFF"/>
                <w:sz w:val="16"/>
                <w:szCs w:val="16"/>
              </w:rPr>
            </w:pPr>
            <w:r w:rsidRPr="007334C5">
              <w:rPr>
                <w:sz w:val="16"/>
                <w:szCs w:val="16"/>
              </w:rPr>
              <w:t>NRI</w:t>
            </w:r>
          </w:p>
        </w:tc>
        <w:tc>
          <w:tcPr>
            <w:tcW w:w="960" w:type="dxa"/>
            <w:tcBorders>
              <w:top w:val="nil"/>
              <w:left w:val="nil"/>
              <w:bottom w:val="single" w:sz="8" w:space="0" w:color="0070C0"/>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1162" w:type="dxa"/>
            <w:tcBorders>
              <w:top w:val="nil"/>
              <w:left w:val="nil"/>
              <w:bottom w:val="single" w:sz="8" w:space="0" w:color="0070C0"/>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c>
          <w:tcPr>
            <w:tcW w:w="960" w:type="dxa"/>
            <w:tcBorders>
              <w:top w:val="nil"/>
              <w:left w:val="nil"/>
              <w:bottom w:val="single" w:sz="8" w:space="0" w:color="0070C0"/>
              <w:right w:val="nil"/>
            </w:tcBorders>
            <w:shd w:val="clear" w:color="auto" w:fill="auto"/>
            <w:noWrap/>
            <w:vAlign w:val="center"/>
            <w:hideMark/>
          </w:tcPr>
          <w:p w:rsidR="007C72D1" w:rsidRPr="007334C5" w:rsidRDefault="007C72D1" w:rsidP="00587288">
            <w:pPr>
              <w:rPr>
                <w:b/>
                <w:color w:val="FFFFFF"/>
                <w:sz w:val="16"/>
                <w:szCs w:val="16"/>
              </w:rPr>
            </w:pPr>
            <w:r w:rsidRPr="00747F76">
              <w:sym w:font="Wingdings 2" w:char="0050"/>
            </w:r>
          </w:p>
        </w:tc>
      </w:tr>
    </w:tbl>
    <w:p w:rsidR="007C72D1" w:rsidRDefault="007C72D1" w:rsidP="007C72D1"/>
    <w:p w:rsidR="007C72D1" w:rsidRDefault="007C72D1" w:rsidP="007C72D1">
      <w:r>
        <w:t>The AER decision on an individual exemption may nominate some, or all of these conditions apply. The default position is that all the numbered conditions apply. In the absence of a decision to omit a particular condition, the condition continues to apply.</w:t>
      </w:r>
    </w:p>
    <w:p w:rsidR="007C72D1" w:rsidRPr="00747F76" w:rsidRDefault="007C72D1" w:rsidP="007C72D1">
      <w:pPr>
        <w:sectPr w:rsidR="007C72D1" w:rsidRPr="00747F76" w:rsidSect="005C6303">
          <w:pgSz w:w="16838" w:h="11906" w:orient="landscape"/>
          <w:pgMar w:top="1440" w:right="1440" w:bottom="1440" w:left="1440" w:header="709" w:footer="709" w:gutter="0"/>
          <w:cols w:space="708"/>
          <w:docGrid w:linePitch="360"/>
        </w:sectPr>
      </w:pPr>
    </w:p>
    <w:p w:rsidR="007C72D1" w:rsidRPr="00747F76" w:rsidRDefault="007C72D1" w:rsidP="007C72D1">
      <w:pPr>
        <w:pStyle w:val="Heading2"/>
        <w:numPr>
          <w:ilvl w:val="2"/>
          <w:numId w:val="9"/>
        </w:numPr>
        <w:jc w:val="both"/>
      </w:pPr>
      <w:bookmarkStart w:id="31" w:name="_Ref361906955"/>
      <w:bookmarkStart w:id="32" w:name="_Ref361906984"/>
      <w:bookmarkStart w:id="33" w:name="_Ref361908101"/>
      <w:bookmarkStart w:id="34" w:name="_Toc365299421"/>
      <w:r w:rsidRPr="00747F76">
        <w:lastRenderedPageBreak/>
        <w:t>Metering installation</w:t>
      </w:r>
      <w:bookmarkEnd w:id="31"/>
      <w:bookmarkEnd w:id="32"/>
      <w:bookmarkEnd w:id="33"/>
      <w:bookmarkEnd w:id="34"/>
    </w:p>
    <w:p w:rsidR="007C72D1" w:rsidRDefault="007C72D1" w:rsidP="007C72D1">
      <w:r w:rsidRPr="00BF1CBF">
        <w:t xml:space="preserve">The following requirements relate to all new installations and to any reconfiguration of </w:t>
      </w:r>
      <w:r>
        <w:t xml:space="preserve">a metering installation within </w:t>
      </w:r>
      <w:r w:rsidRPr="00BF1CBF">
        <w:t xml:space="preserve">an existing </w:t>
      </w:r>
      <w:r>
        <w:t xml:space="preserve">private </w:t>
      </w:r>
      <w:r w:rsidRPr="00BF1CBF">
        <w:t xml:space="preserve">network. </w:t>
      </w:r>
      <w:r>
        <w:t xml:space="preserve">This clause applies to each activity class wherever condition </w:t>
      </w:r>
      <w:r w:rsidR="00D45256">
        <w:t>4.1</w:t>
      </w:r>
      <w:r w:rsidR="0008607C">
        <w:t>(</w:t>
      </w:r>
      <w:r w:rsidR="0008607C">
        <w:fldChar w:fldCharType="begin"/>
      </w:r>
      <w:r w:rsidR="0008607C">
        <w:instrText xml:space="preserve"> REF _Ref362011716 \r \h </w:instrText>
      </w:r>
      <w:r w:rsidR="0008607C">
        <w:fldChar w:fldCharType="separate"/>
      </w:r>
      <w:r w:rsidR="00D94AAA">
        <w:t>12</w:t>
      </w:r>
      <w:r w:rsidR="0008607C">
        <w:fldChar w:fldCharType="end"/>
      </w:r>
      <w:r w:rsidR="0008607C">
        <w:t xml:space="preserve">) </w:t>
      </w:r>
      <w:r>
        <w:t>applies, as set out in tables 6, 7, 8, 9 &amp; 10.</w:t>
      </w:r>
    </w:p>
    <w:p w:rsidR="007C72D1" w:rsidRDefault="007C72D1" w:rsidP="007C72D1">
      <w:r>
        <w:t xml:space="preserve">Metering at the connection point to the NEM is to be determined in conjunction with the relevant transmission or distribution network service provider’s requirements for connection of a customer. </w:t>
      </w:r>
    </w:p>
    <w:p w:rsidR="007C72D1" w:rsidRDefault="007C72D1" w:rsidP="007C72D1">
      <w:r w:rsidRPr="00BF1CBF">
        <w:t xml:space="preserve">Network </w:t>
      </w:r>
      <w:r w:rsidRPr="00747F76">
        <w:t xml:space="preserve">owners and operators must ensure that all metering installations used in private networks are fit for purpose and compliant with the requirements of the National Measurement Act, which is administered by the National Measurement Institute and the regulations in force under that Act. </w:t>
      </w:r>
    </w:p>
    <w:p w:rsidR="007C72D1" w:rsidRPr="00DA06AD" w:rsidRDefault="007C72D1" w:rsidP="007C72D1">
      <w:pPr>
        <w:rPr>
          <w:i/>
        </w:rPr>
      </w:pPr>
      <w:r w:rsidRPr="00DA06AD">
        <w:rPr>
          <w:i/>
        </w:rPr>
        <w:t xml:space="preserve">Please note: The AER does not require an existing metering installation to be upgraded; however, in the event of a billing dispute it will be incumbent on the network operator to demonstrate that the metering installation is accurate. This may require that you arrange for a specialised electrical contractor to install a calibrated ‘check meter’ for a period to compare the readings of your metering with the check meter. </w:t>
      </w:r>
      <w:r>
        <w:rPr>
          <w:i/>
        </w:rPr>
        <w:t>This cost must be borne by the private network owner/operator.</w:t>
      </w:r>
    </w:p>
    <w:p w:rsidR="007C72D1" w:rsidRPr="00BF1CBF" w:rsidRDefault="007C72D1" w:rsidP="007C72D1">
      <w:pPr>
        <w:pStyle w:val="Heading3"/>
        <w:numPr>
          <w:ilvl w:val="3"/>
          <w:numId w:val="9"/>
        </w:numPr>
      </w:pPr>
      <w:r w:rsidRPr="00BF1CBF">
        <w:t>Transmission networks</w:t>
      </w:r>
    </w:p>
    <w:p w:rsidR="007C72D1" w:rsidRPr="00747F76" w:rsidRDefault="007C72D1" w:rsidP="007C72D1">
      <w:pPr>
        <w:pStyle w:val="AERnumberedlistfirststyle"/>
        <w:numPr>
          <w:ilvl w:val="0"/>
          <w:numId w:val="0"/>
        </w:numPr>
      </w:pPr>
      <w:r w:rsidRPr="007334C5">
        <w:t>Regardless of whether a network is registered with AEMO or exempted from registration by the AER, all metering in electricity transmission networks must be installed in accordance with all reasonable requirements of AEMO and additionally, in accordance with the requirements specified in a connection agreement with a network service provider</w:t>
      </w:r>
      <w:r w:rsidRPr="00747F76">
        <w:t>.</w:t>
      </w:r>
      <w:r w:rsidRPr="00747F76">
        <w:rPr>
          <w:rStyle w:val="FootnoteReference"/>
        </w:rPr>
        <w:footnoteReference w:id="29"/>
      </w:r>
    </w:p>
    <w:p w:rsidR="007C72D1" w:rsidRDefault="007C72D1" w:rsidP="007C72D1">
      <w:pPr>
        <w:pStyle w:val="Heading3"/>
        <w:numPr>
          <w:ilvl w:val="3"/>
          <w:numId w:val="9"/>
        </w:numPr>
      </w:pPr>
      <w:bookmarkStart w:id="35" w:name="_Ref361908606"/>
      <w:r>
        <w:t>Distribution networks</w:t>
      </w:r>
      <w:bookmarkEnd w:id="35"/>
    </w:p>
    <w:p w:rsidR="007C72D1" w:rsidRDefault="007C72D1" w:rsidP="007C72D1">
      <w:pPr>
        <w:pStyle w:val="AERnumberedlistfirststyle"/>
        <w:numPr>
          <w:ilvl w:val="0"/>
          <w:numId w:val="0"/>
        </w:numPr>
      </w:pPr>
      <w:r w:rsidRPr="00BF1CBF">
        <w:t xml:space="preserve">In all </w:t>
      </w:r>
      <w:r>
        <w:t xml:space="preserve">private network </w:t>
      </w:r>
      <w:r w:rsidRPr="00747F76">
        <w:t>distribution situations meters must either:</w:t>
      </w:r>
    </w:p>
    <w:p w:rsidR="007C72D1" w:rsidRPr="00747F76" w:rsidRDefault="007C72D1" w:rsidP="007C72D1">
      <w:pPr>
        <w:pStyle w:val="AERnumberedlistfirststyle"/>
        <w:numPr>
          <w:ilvl w:val="1"/>
          <w:numId w:val="14"/>
        </w:numPr>
      </w:pPr>
      <w:r w:rsidRPr="00BF1CBF">
        <w:t xml:space="preserve">be installed in a reasonably accessible location with </w:t>
      </w:r>
      <w:r w:rsidRPr="00747F76">
        <w:t>safe, convenient and unhindered access to facilitate meter reading</w:t>
      </w:r>
      <w:r w:rsidR="00FC61C2">
        <w:t xml:space="preserve"> by the network operator and the customer or their </w:t>
      </w:r>
      <w:r w:rsidR="0008607C">
        <w:t xml:space="preserve">respective </w:t>
      </w:r>
      <w:r w:rsidR="00FC61C2">
        <w:t>agents</w:t>
      </w:r>
      <w:r w:rsidRPr="00747F76">
        <w:t>, testing and meter maintenance</w:t>
      </w:r>
      <w:r>
        <w:t>,</w:t>
      </w:r>
      <w:r w:rsidRPr="00747F76">
        <w:t xml:space="preserve"> or </w:t>
      </w:r>
    </w:p>
    <w:p w:rsidR="007C72D1" w:rsidRPr="00747F76" w:rsidRDefault="007C72D1" w:rsidP="007C72D1">
      <w:pPr>
        <w:pStyle w:val="AERnumberedlistfirststyle"/>
      </w:pPr>
      <w:r>
        <w:t xml:space="preserve">in private networks serving only private network customers, </w:t>
      </w:r>
      <w:r w:rsidRPr="00747F76">
        <w:t xml:space="preserve">meters may have remote facilities to permit access to current metering data </w:t>
      </w:r>
      <w:r w:rsidR="00FC61C2">
        <w:t xml:space="preserve">by customers </w:t>
      </w:r>
      <w:r w:rsidRPr="00747F76">
        <w:t>either by a readout device or by electronic means including via a web portal or other equivalent facility.</w:t>
      </w:r>
    </w:p>
    <w:p w:rsidR="007C72D1" w:rsidRDefault="007C72D1" w:rsidP="007C72D1">
      <w:r>
        <w:t>Where a meter is provided</w:t>
      </w:r>
      <w:r w:rsidRPr="0049615E">
        <w:t xml:space="preserve"> by a registered</w:t>
      </w:r>
      <w:r>
        <w:t xml:space="preserve"> retailer, clauses </w:t>
      </w:r>
      <w:r w:rsidR="003E41F0">
        <w:t xml:space="preserve">4.2.2 </w:t>
      </w:r>
      <w:r>
        <w:t>(</w:t>
      </w:r>
      <w:r w:rsidR="00AC1913">
        <w:t>1</w:t>
      </w:r>
      <w:r>
        <w:t>) &amp; (</w:t>
      </w:r>
      <w:r w:rsidR="00AC1913">
        <w:t>2</w:t>
      </w:r>
      <w:r>
        <w:t xml:space="preserve">) </w:t>
      </w:r>
      <w:r w:rsidR="00915B83">
        <w:t xml:space="preserve">of this </w:t>
      </w:r>
      <w:r w:rsidR="009A7FF4">
        <w:t>G</w:t>
      </w:r>
      <w:r w:rsidR="00915B83">
        <w:t xml:space="preserve">uideline </w:t>
      </w:r>
      <w:r>
        <w:t>do not apply. Instead, the meter must be installed consistent with the AEMO Metrology Procedure: Part A National Electricity Market. The metrology procedure and technical standards applicable to a metering installation remain subject to the laws of the jurisdiction in which the installation resides.</w:t>
      </w:r>
    </w:p>
    <w:p w:rsidR="00FC61C2" w:rsidRDefault="00FC61C2" w:rsidP="007C72D1">
      <w:r>
        <w:t>Where security or safety considerations result in limited access to metering, local arrangements must be made that allow customers or their agents ready access to metering on request.</w:t>
      </w:r>
    </w:p>
    <w:p w:rsidR="007C72D1" w:rsidRPr="00747F76" w:rsidRDefault="007C72D1" w:rsidP="007C72D1">
      <w:pPr>
        <w:pStyle w:val="Heading3"/>
        <w:numPr>
          <w:ilvl w:val="3"/>
          <w:numId w:val="9"/>
        </w:numPr>
      </w:pPr>
      <w:bookmarkStart w:id="36" w:name="_Ref362011595"/>
      <w:r w:rsidRPr="00BF1CBF">
        <w:lastRenderedPageBreak/>
        <w:t xml:space="preserve">Off-market </w:t>
      </w:r>
      <w:r w:rsidRPr="00747F76">
        <w:t>and on-market energy generation</w:t>
      </w:r>
      <w:bookmarkEnd w:id="36"/>
    </w:p>
    <w:p w:rsidR="007C72D1" w:rsidRDefault="007C72D1" w:rsidP="007C72D1">
      <w:r w:rsidRPr="00BF1CBF">
        <w:t xml:space="preserve">All </w:t>
      </w:r>
      <w:r>
        <w:t xml:space="preserve">generation (i.e. all </w:t>
      </w:r>
      <w:r w:rsidRPr="007334C5">
        <w:rPr>
          <w:i/>
        </w:rPr>
        <w:t>off-market</w:t>
      </w:r>
      <w:r w:rsidRPr="00747F76">
        <w:t xml:space="preserve"> </w:t>
      </w:r>
      <w:r>
        <w:t>and</w:t>
      </w:r>
      <w:r w:rsidRPr="00747F76">
        <w:t xml:space="preserve"> </w:t>
      </w:r>
      <w:r w:rsidRPr="007334C5">
        <w:rPr>
          <w:i/>
        </w:rPr>
        <w:t>on-market energy generation</w:t>
      </w:r>
      <w:r>
        <w:t xml:space="preserve">) </w:t>
      </w:r>
      <w:r w:rsidRPr="00BF1CBF">
        <w:t xml:space="preserve">installations, whether connected directly or indirectly to a NEM distribution network, must be metered in accordance with the applicable requirements for connection to </w:t>
      </w:r>
      <w:r>
        <w:t>a</w:t>
      </w:r>
      <w:r w:rsidRPr="00BF1CBF">
        <w:t xml:space="preserve"> NEM distribution or where applicable</w:t>
      </w:r>
      <w:r>
        <w:t xml:space="preserve">, </w:t>
      </w:r>
      <w:r w:rsidRPr="00BF1CBF">
        <w:t xml:space="preserve">transmission network. </w:t>
      </w:r>
    </w:p>
    <w:p w:rsidR="007C72D1" w:rsidRDefault="007C72D1" w:rsidP="007C72D1">
      <w:r>
        <w:t xml:space="preserve">It is not intended that small generator installations within private networks should be exposed to unduly onerous metering requirements. For all generator installations adequate metering must be determined in consultation with the relevant NEM registered service provider. For small installations this may involve a bidirectional meter installed at the connection point to the local distribution network. </w:t>
      </w:r>
    </w:p>
    <w:p w:rsidR="0008607C" w:rsidRPr="0008607C" w:rsidRDefault="0008607C" w:rsidP="0008607C">
      <w:pPr>
        <w:keepLines/>
        <w:pBdr>
          <w:top w:val="single" w:sz="4" w:space="5" w:color="auto"/>
          <w:left w:val="single" w:sz="4" w:space="5" w:color="auto"/>
          <w:bottom w:val="single" w:sz="4" w:space="5" w:color="auto"/>
          <w:right w:val="single" w:sz="4" w:space="5" w:color="auto"/>
        </w:pBdr>
        <w:shd w:val="clear" w:color="auto" w:fill="CCCCCC"/>
        <w:spacing w:line="240" w:lineRule="auto"/>
        <w:jc w:val="left"/>
      </w:pPr>
      <w:r w:rsidRPr="00747F76">
        <w:t xml:space="preserve">A word of caution: Generator installations within private networks do not necessarily enjoy access to government incentive schemes. A generator </w:t>
      </w:r>
      <w:r>
        <w:t xml:space="preserve">or solar PV inverter system </w:t>
      </w:r>
      <w:r w:rsidRPr="00747F76">
        <w:t xml:space="preserve">not directly connected to the </w:t>
      </w:r>
      <w:r>
        <w:t xml:space="preserve">local distributor </w:t>
      </w:r>
      <w:r w:rsidRPr="00747F76">
        <w:t>may have no access, or restricted access, to government or industry incentive programs</w:t>
      </w:r>
      <w:r>
        <w:t>.</w:t>
      </w:r>
      <w:r w:rsidRPr="00747F76">
        <w:t xml:space="preserve"> In particular, access to feed-in tariffs may </w:t>
      </w:r>
      <w:r>
        <w:t>not be available</w:t>
      </w:r>
      <w:r w:rsidRPr="00747F76">
        <w:t xml:space="preserve"> for such generators.</w:t>
      </w:r>
      <w:r>
        <w:t xml:space="preserve"> This can be a problem </w:t>
      </w:r>
      <w:r w:rsidR="005E0C68">
        <w:t xml:space="preserve">for </w:t>
      </w:r>
      <w:r>
        <w:t>situations like retirement villages wh</w:t>
      </w:r>
      <w:r w:rsidR="005E0C68">
        <w:t>ich</w:t>
      </w:r>
      <w:r>
        <w:t xml:space="preserve"> install solar systems. </w:t>
      </w:r>
      <w:r w:rsidRPr="0008607C">
        <w:t>You should consult your local energy authorities before investing in such systems.</w:t>
      </w:r>
    </w:p>
    <w:p w:rsidR="007C72D1" w:rsidRDefault="007C72D1" w:rsidP="007C72D1">
      <w:r w:rsidRPr="00BF1CBF">
        <w:t xml:space="preserve">Further details </w:t>
      </w:r>
      <w:r>
        <w:t xml:space="preserve">of metering requirements must be obtained </w:t>
      </w:r>
      <w:r w:rsidRPr="00BF1CBF">
        <w:t xml:space="preserve">from the local electricity distribution or transmission network service provider. Additional requirements </w:t>
      </w:r>
      <w:r w:rsidR="008476B6">
        <w:t xml:space="preserve">set by </w:t>
      </w:r>
      <w:r w:rsidRPr="00BF1CBF">
        <w:t>AEMO apply</w:t>
      </w:r>
      <w:r>
        <w:t xml:space="preserve"> to generator installations larger than 30MW</w:t>
      </w:r>
      <w:r w:rsidRPr="00BF1CBF">
        <w:t>.</w:t>
      </w:r>
    </w:p>
    <w:p w:rsidR="007C72D1" w:rsidRPr="00747F76" w:rsidRDefault="007C72D1" w:rsidP="007C72D1">
      <w:pPr>
        <w:pStyle w:val="Heading3"/>
        <w:numPr>
          <w:ilvl w:val="3"/>
          <w:numId w:val="9"/>
        </w:numPr>
      </w:pPr>
      <w:r w:rsidRPr="00BF1CBF">
        <w:t>Electric vehicle</w:t>
      </w:r>
      <w:r w:rsidRPr="00747F76">
        <w:t xml:space="preserve"> charging facilities</w:t>
      </w:r>
    </w:p>
    <w:p w:rsidR="007C72D1" w:rsidRDefault="007C72D1" w:rsidP="007C72D1">
      <w:r>
        <w:t>As this is a deemed exemption category no application is required for exemption.</w:t>
      </w:r>
    </w:p>
    <w:p w:rsidR="007C72D1" w:rsidRDefault="007C72D1" w:rsidP="007C72D1">
      <w:r w:rsidRPr="00BF1CBF">
        <w:t xml:space="preserve">This </w:t>
      </w:r>
      <w:r>
        <w:t xml:space="preserve">classification </w:t>
      </w:r>
      <w:r w:rsidRPr="00BF1CBF">
        <w:t>only applies to a</w:t>
      </w:r>
      <w:r>
        <w:t xml:space="preserve"> private network </w:t>
      </w:r>
      <w:r w:rsidRPr="00BF1CBF">
        <w:t>with</w:t>
      </w:r>
      <w:r>
        <w:t xml:space="preserve"> a vehicle</w:t>
      </w:r>
      <w:r w:rsidRPr="00BF1CBF">
        <w:t xml:space="preserve"> charging facility </w:t>
      </w:r>
      <w:r>
        <w:t xml:space="preserve">owned by another party </w:t>
      </w:r>
      <w:r w:rsidRPr="00BF1CBF">
        <w:t>connected</w:t>
      </w:r>
      <w:r>
        <w:t xml:space="preserve"> to a private network</w:t>
      </w:r>
      <w:r w:rsidRPr="00BF1CBF">
        <w:t xml:space="preserve">. </w:t>
      </w:r>
      <w:r>
        <w:t xml:space="preserve">An example might be a shopping centre which allows a vehicle leasing company to install a charging system that can be used by members of the public. An exemption is required by the private network owner/operator (i.e. the shopping centre) because their private network sits between the DNSP and the charging facility. </w:t>
      </w:r>
    </w:p>
    <w:p w:rsidR="007C72D1" w:rsidRDefault="007C72D1" w:rsidP="007C72D1">
      <w:r>
        <w:t xml:space="preserve">On the other hand, no network exemption is required if the vehicle </w:t>
      </w:r>
      <w:r w:rsidRPr="00BF1CBF">
        <w:t>charging facilit</w:t>
      </w:r>
      <w:r>
        <w:t>y is</w:t>
      </w:r>
      <w:r w:rsidRPr="00BF1CBF">
        <w:t xml:space="preserve"> directly connected to the</w:t>
      </w:r>
      <w:r w:rsidR="0008607C">
        <w:t xml:space="preserve"> local distribution network</w:t>
      </w:r>
      <w:r>
        <w:t xml:space="preserve">. It </w:t>
      </w:r>
      <w:r w:rsidRPr="00BF1CBF">
        <w:t xml:space="preserve">will be </w:t>
      </w:r>
      <w:r>
        <w:t xml:space="preserve">directly </w:t>
      </w:r>
      <w:r w:rsidRPr="00BF1CBF">
        <w:t xml:space="preserve">metered </w:t>
      </w:r>
      <w:r>
        <w:t>by the local DNSP. This applies wherever there is a direct relationship between the DNSP and the charging facility</w:t>
      </w:r>
      <w:r w:rsidRPr="00BF1CBF">
        <w:t xml:space="preserve">. </w:t>
      </w:r>
    </w:p>
    <w:p w:rsidR="007C72D1" w:rsidRDefault="007C72D1" w:rsidP="007C72D1">
      <w:r>
        <w:t>Note that t</w:t>
      </w:r>
      <w:r w:rsidRPr="00BF1CBF">
        <w:t xml:space="preserve">he supply of electricity </w:t>
      </w:r>
      <w:r w:rsidRPr="00981C4D">
        <w:t>from</w:t>
      </w:r>
      <w:r w:rsidRPr="00BF1CBF">
        <w:t xml:space="preserve"> a charging facility </w:t>
      </w:r>
      <w:r>
        <w:t xml:space="preserve">to a vehicle </w:t>
      </w:r>
      <w:r w:rsidRPr="00BF1CBF">
        <w:t>is a service to the transport sector, which is not regulated by the AER.</w:t>
      </w:r>
      <w:r>
        <w:t xml:space="preserve"> </w:t>
      </w:r>
    </w:p>
    <w:p w:rsidR="007C72D1" w:rsidRDefault="007C72D1" w:rsidP="007C72D1">
      <w:r>
        <w:t xml:space="preserve">Where the facility operates only as a load, metering and charging arrangements within the private network may be determined by agreement between the network owner/operator and the proprietor of the charging facility. Although the AER prefers all connections be metered, we permit commercial and industrial (but not residential) </w:t>
      </w:r>
      <w:r w:rsidR="0008607C">
        <w:t xml:space="preserve">vehicle charging </w:t>
      </w:r>
      <w:r>
        <w:t xml:space="preserve">arrangements which include an unmetered connection.  </w:t>
      </w:r>
    </w:p>
    <w:p w:rsidR="007C72D1" w:rsidRPr="00BF1CBF" w:rsidRDefault="007C72D1" w:rsidP="007C72D1">
      <w:r>
        <w:t xml:space="preserve">A vehicle charging facility which has a capacity to export electricity into the local distribution network must also comply with the metering requirements in clause </w:t>
      </w:r>
      <w:r w:rsidR="00D45256">
        <w:t>4.2.3</w:t>
      </w:r>
      <w:r w:rsidR="0008607C">
        <w:t xml:space="preserve"> </w:t>
      </w:r>
      <w:r>
        <w:t>for energy generation sources.</w:t>
      </w:r>
    </w:p>
    <w:p w:rsidR="007C72D1" w:rsidRPr="00747F76" w:rsidRDefault="007C72D1" w:rsidP="007C72D1">
      <w:pPr>
        <w:pStyle w:val="Heading2"/>
        <w:numPr>
          <w:ilvl w:val="2"/>
          <w:numId w:val="9"/>
        </w:numPr>
        <w:jc w:val="both"/>
      </w:pPr>
      <w:bookmarkStart w:id="37" w:name="_Ref361906958"/>
      <w:bookmarkStart w:id="38" w:name="_Ref361906986"/>
      <w:bookmarkStart w:id="39" w:name="_Toc365299422"/>
      <w:r w:rsidRPr="00747F76">
        <w:t>Metering accuracy</w:t>
      </w:r>
      <w:bookmarkEnd w:id="37"/>
      <w:bookmarkEnd w:id="38"/>
      <w:bookmarkEnd w:id="39"/>
    </w:p>
    <w:p w:rsidR="007C72D1" w:rsidRDefault="007C72D1" w:rsidP="007C72D1">
      <w:r>
        <w:t xml:space="preserve">This section applies wherever a meter is required to be installed. Otherwise, it does not apply. </w:t>
      </w:r>
    </w:p>
    <w:p w:rsidR="007C72D1" w:rsidRPr="00747F76" w:rsidRDefault="007C72D1" w:rsidP="007C72D1">
      <w:r w:rsidRPr="00BF1CBF">
        <w:t xml:space="preserve">Meters used within </w:t>
      </w:r>
      <w:r>
        <w:t xml:space="preserve">private </w:t>
      </w:r>
      <w:r w:rsidRPr="00BF1CBF">
        <w:t xml:space="preserve">networks must be pattern approved, consistent with the requirements of the </w:t>
      </w:r>
      <w:r w:rsidRPr="00915B83">
        <w:rPr>
          <w:i/>
        </w:rPr>
        <w:t>National Measurement Act</w:t>
      </w:r>
      <w:r>
        <w:t xml:space="preserve"> </w:t>
      </w:r>
      <w:r w:rsidR="00915B83">
        <w:t xml:space="preserve">1960 (Cth) </w:t>
      </w:r>
      <w:r>
        <w:t>and regulations made under that Act</w:t>
      </w:r>
      <w:r w:rsidRPr="00BF1CBF">
        <w:t xml:space="preserve">, in accordance with </w:t>
      </w:r>
      <w:r w:rsidRPr="00BF1CBF">
        <w:lastRenderedPageBreak/>
        <w:t>the equivalent requirements for NEM electricity meters and to accuracy classes as stipulated in schedule 7.2 of the NER, unless otherwise exempted by the National Measurement Institute.</w:t>
      </w:r>
      <w:r>
        <w:rPr>
          <w:rStyle w:val="FootnoteReference"/>
        </w:rPr>
        <w:footnoteReference w:id="30"/>
      </w:r>
    </w:p>
    <w:p w:rsidR="007C72D1" w:rsidRPr="00747F76" w:rsidRDefault="007C72D1" w:rsidP="007C72D1">
      <w:pPr>
        <w:pStyle w:val="Heading2"/>
        <w:numPr>
          <w:ilvl w:val="2"/>
          <w:numId w:val="9"/>
        </w:numPr>
        <w:jc w:val="both"/>
      </w:pPr>
      <w:bookmarkStart w:id="40" w:name="_Ref361906960"/>
      <w:bookmarkStart w:id="41" w:name="_Ref361906988"/>
      <w:bookmarkStart w:id="42" w:name="_Toc365299423"/>
      <w:r w:rsidRPr="00747F76">
        <w:t xml:space="preserve">AEMO and </w:t>
      </w:r>
      <w:r>
        <w:t>retail competition</w:t>
      </w:r>
      <w:bookmarkEnd w:id="40"/>
      <w:bookmarkEnd w:id="41"/>
      <w:bookmarkEnd w:id="42"/>
    </w:p>
    <w:p w:rsidR="007C72D1" w:rsidRDefault="007C72D1" w:rsidP="007C72D1">
      <w:r>
        <w:t xml:space="preserve">This clause applies wherever a customer has access to retail competition, even if located within a private network. Currently, this </w:t>
      </w:r>
      <w:r w:rsidR="00DB2C17">
        <w:t xml:space="preserve">applies in </w:t>
      </w:r>
      <w:r>
        <w:t>New South Wales, South Australia and Victoria. Registration in class</w:t>
      </w:r>
      <w:r w:rsidR="00110B36">
        <w:t xml:space="preserve"> </w:t>
      </w:r>
      <w:r>
        <w:t xml:space="preserve">NR05 is optional if no customers exercise their right to accept a market offer. </w:t>
      </w:r>
      <w:r w:rsidR="00B51C28">
        <w:t xml:space="preserve">However, </w:t>
      </w:r>
      <w:r w:rsidR="005B4897">
        <w:br/>
      </w:r>
      <w:r w:rsidR="00B51C28">
        <w:t>p</w:t>
      </w:r>
      <w:r>
        <w:t>re-registration is recommended</w:t>
      </w:r>
      <w:r w:rsidR="00B51C28">
        <w:t xml:space="preserve"> because it saves later paperwork</w:t>
      </w:r>
      <w:r>
        <w:t>. Registration (within 20 business days) becomes compulsory if a customer chooses to exercise this right.</w:t>
      </w:r>
    </w:p>
    <w:p w:rsidR="007C72D1" w:rsidRDefault="007C72D1" w:rsidP="007C72D1">
      <w:r>
        <w:t xml:space="preserve">Billing and settlement of meters in a private network is complex. Explaining how the metering and settlement system operates is beyond the scope of this guideline. </w:t>
      </w:r>
    </w:p>
    <w:p w:rsidR="007C72D1" w:rsidRDefault="007C72D1" w:rsidP="007C72D1">
      <w:r>
        <w:t xml:space="preserve">If a tenant or customer of a private network decides to take supply from a market retailer the following requirements </w:t>
      </w:r>
      <w:r w:rsidR="002227A7">
        <w:t xml:space="preserve">will </w:t>
      </w:r>
      <w:r>
        <w:t xml:space="preserve">apply.  </w:t>
      </w:r>
    </w:p>
    <w:p w:rsidR="007C72D1" w:rsidRDefault="007C72D1" w:rsidP="007C72D1">
      <w:r>
        <w:t>The m</w:t>
      </w:r>
      <w:r w:rsidRPr="00BF1CBF">
        <w:t xml:space="preserve">etering </w:t>
      </w:r>
      <w:r w:rsidRPr="00747F76">
        <w:t>arrangements for customers obtaining supply from a NEM registered retailer must comply with all applicable AEMO requirements for</w:t>
      </w:r>
      <w:bookmarkStart w:id="43" w:name="_GoBack"/>
      <w:bookmarkEnd w:id="43"/>
      <w:r w:rsidRPr="00747F76">
        <w:t xml:space="preserve"> the installation and maintenance of a metering installation, the registration of meters, provision of metering data and, where necessary, the transfer of the customer to another retailer. </w:t>
      </w:r>
    </w:p>
    <w:p w:rsidR="007C72D1" w:rsidRPr="00747F76" w:rsidRDefault="007C72D1" w:rsidP="007C72D1">
      <w:r w:rsidRPr="00747F76">
        <w:t>Th</w:t>
      </w:r>
      <w:r>
        <w:t>ese</w:t>
      </w:r>
      <w:r w:rsidRPr="00747F76">
        <w:t xml:space="preserve"> requirements </w:t>
      </w:r>
      <w:r>
        <w:t xml:space="preserve">are </w:t>
      </w:r>
      <w:r w:rsidRPr="00747F76">
        <w:t>published by AEMO in a metrology procedure</w:t>
      </w:r>
      <w:r w:rsidR="00DB2C17">
        <w:t xml:space="preserve"> and the associated AEMO embedded network guideline</w:t>
      </w:r>
      <w:r w:rsidRPr="00747F76">
        <w:t>.</w:t>
      </w:r>
      <w:r w:rsidR="002227A7" w:rsidRPr="00747F76">
        <w:rPr>
          <w:rStyle w:val="FootnoteReference"/>
        </w:rPr>
        <w:footnoteReference w:id="31"/>
      </w:r>
      <w:r w:rsidR="002227A7">
        <w:t xml:space="preserve"> </w:t>
      </w:r>
      <w:r w:rsidRPr="00747F76">
        <w:t xml:space="preserve"> A private network operator is required to permit reasonable access</w:t>
      </w:r>
      <w:r w:rsidR="00DB2C17">
        <w:t xml:space="preserve"> and provide details of the </w:t>
      </w:r>
      <w:r w:rsidR="002227A7">
        <w:t xml:space="preserve">‘gate’ (i.e. </w:t>
      </w:r>
      <w:r w:rsidR="00DB2C17">
        <w:t>‘parent’</w:t>
      </w:r>
      <w:r w:rsidR="002227A7">
        <w:t>)</w:t>
      </w:r>
      <w:r w:rsidR="00DB2C17">
        <w:t xml:space="preserve"> meter</w:t>
      </w:r>
      <w:r w:rsidRPr="00747F76">
        <w:t xml:space="preserve"> to an accredited metering service provider or a registered NEM participant or an agent, as appropriate, appointed by the ‘Responsible Person’ for the provision, installation, registration, reading and maintenance of the metering installation.</w:t>
      </w:r>
      <w:r w:rsidRPr="00747F76">
        <w:rPr>
          <w:rStyle w:val="FootnoteReference"/>
        </w:rPr>
        <w:footnoteReference w:id="32"/>
      </w:r>
      <w:r w:rsidRPr="00747F76">
        <w:t xml:space="preserve"> </w:t>
      </w:r>
    </w:p>
    <w:p w:rsidR="007C72D1" w:rsidRDefault="007C72D1" w:rsidP="007C72D1">
      <w:r>
        <w:t xml:space="preserve">In </w:t>
      </w:r>
      <w:r w:rsidR="00DB2C17">
        <w:t xml:space="preserve">private </w:t>
      </w:r>
      <w:r>
        <w:t xml:space="preserve">networks where none of the customers obtain supply from a NEM registered retailer there is </w:t>
      </w:r>
      <w:r w:rsidR="00DB2C17">
        <w:t>no</w:t>
      </w:r>
      <w:r>
        <w:t xml:space="preserve"> immediate need to apply unique metering identifiers </w:t>
      </w:r>
      <w:r w:rsidR="00DB2C17">
        <w:t>(NMIs) to the metering installation apart from the ‘parent’ meter.</w:t>
      </w:r>
      <w:r w:rsidR="00DB2C17">
        <w:rPr>
          <w:rStyle w:val="FootnoteReference"/>
        </w:rPr>
        <w:footnoteReference w:id="33"/>
      </w:r>
      <w:r w:rsidR="00DB2C17">
        <w:t xml:space="preserve"> </w:t>
      </w:r>
      <w:r>
        <w:t xml:space="preserve">However, as soon as a customer within a private network commits to obtain supply from a NEM registered retailer there is an immediate need for both the ‘parent’ and the ‘child’ meter </w:t>
      </w:r>
      <w:r w:rsidRPr="005E0C68">
        <w:rPr>
          <w:b/>
        </w:rPr>
        <w:t>for that customer</w:t>
      </w:r>
      <w:r>
        <w:t xml:space="preserve"> to be recorded in the metering and settlements system. </w:t>
      </w:r>
      <w:r w:rsidR="00B51C28">
        <w:t>This will normally be arranged by the retailer for the customer in the first instance.</w:t>
      </w:r>
      <w:r w:rsidR="005E0C68">
        <w:t xml:space="preserve"> Other customers are unaffected.</w:t>
      </w:r>
    </w:p>
    <w:p w:rsidR="00B51C28" w:rsidRDefault="007C72D1" w:rsidP="007C72D1">
      <w:r>
        <w:t xml:space="preserve">Note that condition </w:t>
      </w:r>
      <w:r w:rsidR="00762C8C">
        <w:fldChar w:fldCharType="begin"/>
      </w:r>
      <w:r w:rsidR="00762C8C">
        <w:instrText xml:space="preserve"> REF _Ref361908883 \r \h </w:instrText>
      </w:r>
      <w:r w:rsidR="00762C8C">
        <w:fldChar w:fldCharType="separate"/>
      </w:r>
      <w:r w:rsidR="00D94AAA">
        <w:t>4.1</w:t>
      </w:r>
      <w:r w:rsidR="00762C8C">
        <w:fldChar w:fldCharType="end"/>
      </w:r>
      <w:r>
        <w:t>(12) applies to a</w:t>
      </w:r>
      <w:r w:rsidR="00B51C28">
        <w:t>ll</w:t>
      </w:r>
      <w:r>
        <w:t xml:space="preserve"> private network</w:t>
      </w:r>
      <w:r w:rsidR="00B51C28">
        <w:t>s</w:t>
      </w:r>
      <w:r>
        <w:t xml:space="preserve"> </w:t>
      </w:r>
      <w:r w:rsidR="00B51C28">
        <w:t xml:space="preserve">in New South Wales, South Australia and Victoria </w:t>
      </w:r>
      <w:r>
        <w:t xml:space="preserve">where a customer </w:t>
      </w:r>
      <w:r w:rsidR="00B51C28">
        <w:t xml:space="preserve">in the private network </w:t>
      </w:r>
      <w:r>
        <w:t>has elected to obtain supply from a NEM registered retailer.</w:t>
      </w:r>
      <w:r w:rsidR="00DA431A">
        <w:t xml:space="preserve"> </w:t>
      </w:r>
      <w:r w:rsidR="00B51C28">
        <w:t>This condition requires the network owner to facilitate access to retail competition.</w:t>
      </w:r>
    </w:p>
    <w:p w:rsidR="007C72D1" w:rsidRDefault="00DA431A" w:rsidP="007C72D1">
      <w:r>
        <w:t>The right of a customer to access retail competition is absolute. A private network owner or their agent must not impede a customer who has chosen to exercise that right nor may they impose unfair or unreasonable conditions on the customer.</w:t>
      </w:r>
    </w:p>
    <w:p w:rsidR="007C72D1" w:rsidRPr="00747F76" w:rsidRDefault="007C72D1" w:rsidP="007C72D1">
      <w:pPr>
        <w:pStyle w:val="Heading2"/>
        <w:numPr>
          <w:ilvl w:val="2"/>
          <w:numId w:val="9"/>
        </w:numPr>
        <w:jc w:val="both"/>
      </w:pPr>
      <w:bookmarkStart w:id="44" w:name="_Ref361906962"/>
      <w:bookmarkStart w:id="45" w:name="_Ref361906990"/>
      <w:bookmarkStart w:id="46" w:name="_Toc365299424"/>
      <w:r w:rsidRPr="00747F76">
        <w:lastRenderedPageBreak/>
        <w:t>Distribution loss factors</w:t>
      </w:r>
      <w:bookmarkEnd w:id="44"/>
      <w:bookmarkEnd w:id="45"/>
      <w:bookmarkEnd w:id="46"/>
    </w:p>
    <w:p w:rsidR="007C72D1" w:rsidRPr="00801585" w:rsidRDefault="007C72D1" w:rsidP="007C72D1">
      <w:pPr>
        <w:pStyle w:val="AERDecisionBox"/>
        <w:rPr>
          <w:rStyle w:val="AERbody"/>
        </w:rPr>
      </w:pPr>
      <w:r>
        <w:rPr>
          <w:rStyle w:val="AERbody"/>
        </w:rPr>
        <w:t xml:space="preserve">Unless you are setting up a large new private network, you own a large generator in a private network or you are very large load in a private network (think large factory) this section does not apply to you. Your distribution loss factor is the ‘standard’ loss factor applied by the local distributor to other customers similar to you. See sub-clause </w:t>
      </w:r>
      <w:r w:rsidR="003E41F0">
        <w:rPr>
          <w:rStyle w:val="AERbody"/>
        </w:rPr>
        <w:t>4.5.1 below.</w:t>
      </w:r>
    </w:p>
    <w:p w:rsidR="007C72D1" w:rsidRDefault="002E1CC3" w:rsidP="007C72D1">
      <w:r>
        <w:t>N</w:t>
      </w:r>
      <w:r w:rsidRPr="00BF1CBF">
        <w:t xml:space="preserve">etwork losses </w:t>
      </w:r>
      <w:r>
        <w:t xml:space="preserve">in </w:t>
      </w:r>
      <w:r w:rsidR="00B7604B">
        <w:t xml:space="preserve">a </w:t>
      </w:r>
      <w:r>
        <w:t xml:space="preserve">small private network </w:t>
      </w:r>
      <w:r w:rsidRPr="00BF1CBF">
        <w:t xml:space="preserve">will generally not be of sufficient magnitude to warrant </w:t>
      </w:r>
      <w:r>
        <w:t xml:space="preserve">calculating </w:t>
      </w:r>
      <w:r w:rsidRPr="00BF1CBF">
        <w:t xml:space="preserve">a distribution loss factor </w:t>
      </w:r>
      <w:r>
        <w:t xml:space="preserve">(DLF) for meters </w:t>
      </w:r>
      <w:r w:rsidRPr="00BF1CBF">
        <w:t>within th</w:t>
      </w:r>
      <w:r>
        <w:t xml:space="preserve">at </w:t>
      </w:r>
      <w:r w:rsidRPr="00BF1CBF">
        <w:t>network</w:t>
      </w:r>
      <w:r>
        <w:t>.</w:t>
      </w:r>
      <w:r w:rsidRPr="00BF1CBF">
        <w:t xml:space="preserve"> </w:t>
      </w:r>
      <w:r>
        <w:t xml:space="preserve">DLFs </w:t>
      </w:r>
      <w:r w:rsidR="007C72D1" w:rsidRPr="00BF1CBF">
        <w:t>are governed by clause 3.6.3 of the NER. Under clause 3.6.3(b)(2)(</w:t>
      </w:r>
      <w:proofErr w:type="spellStart"/>
      <w:r w:rsidR="007C72D1" w:rsidRPr="00BF1CBF">
        <w:t>i</w:t>
      </w:r>
      <w:proofErr w:type="spellEnd"/>
      <w:r w:rsidR="007C72D1" w:rsidRPr="00BF1CBF">
        <w:t>)(B) a ‘small load’ is any load or a collection of loads which, in total, is less than 10MW peak demand or 40 </w:t>
      </w:r>
      <w:proofErr w:type="spellStart"/>
      <w:r w:rsidR="007C72D1" w:rsidRPr="00BF1CBF">
        <w:t>GWh</w:t>
      </w:r>
      <w:proofErr w:type="spellEnd"/>
      <w:r w:rsidR="007C72D1" w:rsidRPr="00BF1CBF">
        <w:t xml:space="preserve"> per annum. </w:t>
      </w:r>
      <w:r w:rsidR="007C72D1">
        <w:t>It is rare for a private network to exceed this size.</w:t>
      </w:r>
    </w:p>
    <w:p w:rsidR="007C72D1" w:rsidRDefault="007C72D1" w:rsidP="007C72D1">
      <w:r w:rsidRPr="00BF1CBF">
        <w:t xml:space="preserve">In </w:t>
      </w:r>
      <w:r>
        <w:t xml:space="preserve">private </w:t>
      </w:r>
      <w:r w:rsidRPr="00BF1CBF">
        <w:t>networks which</w:t>
      </w:r>
      <w:r w:rsidR="002E1CC3">
        <w:t xml:space="preserve"> </w:t>
      </w:r>
      <w:r w:rsidRPr="00BF1CBF">
        <w:t>constitute a ‘small load’ and which serve a number of smaller loads (‘children’)</w:t>
      </w:r>
      <w:r>
        <w:t>,</w:t>
      </w:r>
      <w:r w:rsidRPr="00BF1CBF">
        <w:t xml:space="preserve"> </w:t>
      </w:r>
      <w:r w:rsidR="00673697">
        <w:t>your</w:t>
      </w:r>
      <w:r>
        <w:t xml:space="preserve"> DLF </w:t>
      </w:r>
      <w:r w:rsidR="00673697">
        <w:t>is</w:t>
      </w:r>
      <w:r w:rsidRPr="00BF1CBF">
        <w:t xml:space="preserve"> the </w:t>
      </w:r>
      <w:r>
        <w:t>DLF</w:t>
      </w:r>
      <w:r w:rsidRPr="00BF1CBF">
        <w:t xml:space="preserve"> that </w:t>
      </w:r>
      <w:r>
        <w:t xml:space="preserve">would be applied by the local DNSP </w:t>
      </w:r>
      <w:r w:rsidRPr="00BF1CBF">
        <w:t>at the metered point of connection</w:t>
      </w:r>
      <w:r>
        <w:t xml:space="preserve">. If this cannot be readily ascertained, the DLF is the DLF otherwise applicable to the connection </w:t>
      </w:r>
      <w:r w:rsidRPr="00BF1CBF">
        <w:t>of the embedded network to the local distribution network</w:t>
      </w:r>
      <w:r>
        <w:t xml:space="preserve">, </w:t>
      </w:r>
      <w:r w:rsidRPr="00BF1CBF">
        <w:t xml:space="preserve">i.e. at the ‘parent’ meter. </w:t>
      </w:r>
    </w:p>
    <w:p w:rsidR="007C72D1" w:rsidRDefault="007C72D1" w:rsidP="00670D99">
      <w:pPr>
        <w:pStyle w:val="AERnumberedlistfirststyle"/>
        <w:numPr>
          <w:ilvl w:val="1"/>
          <w:numId w:val="43"/>
        </w:numPr>
      </w:pPr>
      <w:r w:rsidRPr="00BF1CBF">
        <w:t xml:space="preserve">For </w:t>
      </w:r>
      <w:r>
        <w:t xml:space="preserve">all </w:t>
      </w:r>
      <w:r w:rsidRPr="00BF1CBF">
        <w:t xml:space="preserve">small loads the </w:t>
      </w:r>
      <w:r>
        <w:t xml:space="preserve">standard </w:t>
      </w:r>
      <w:r w:rsidRPr="00747F76">
        <w:t xml:space="preserve">DLF applicable to the ‘child’ meters within the installation is the </w:t>
      </w:r>
      <w:r w:rsidR="00A5123A">
        <w:t xml:space="preserve">approved </w:t>
      </w:r>
      <w:r w:rsidRPr="00747F76">
        <w:t>DLF as would be determined by the local DNSP</w:t>
      </w:r>
      <w:r w:rsidR="00673697">
        <w:t xml:space="preserve"> if the local DNSP were supplying that metering installation</w:t>
      </w:r>
      <w:r w:rsidRPr="00747F76">
        <w:t>.</w:t>
      </w:r>
      <w:r w:rsidR="00A5123A">
        <w:rPr>
          <w:rStyle w:val="FootnoteReference"/>
        </w:rPr>
        <w:footnoteReference w:id="34"/>
      </w:r>
      <w:r w:rsidRPr="00747F76">
        <w:t xml:space="preserve"> </w:t>
      </w:r>
      <w:r>
        <w:t>T</w:t>
      </w:r>
      <w:r w:rsidRPr="00747F76">
        <w:t xml:space="preserve">he operator of a private network </w:t>
      </w:r>
      <w:r>
        <w:t xml:space="preserve">does not need </w:t>
      </w:r>
      <w:r w:rsidRPr="00747F76">
        <w:t xml:space="preserve">to calculate and seek annual approval of a DLF for the child meters within that network.  </w:t>
      </w:r>
    </w:p>
    <w:p w:rsidR="007C72D1" w:rsidRDefault="007C72D1" w:rsidP="007C72D1">
      <w:pPr>
        <w:rPr>
          <w:rStyle w:val="AERtextbold"/>
        </w:rPr>
      </w:pPr>
      <w:r>
        <w:t xml:space="preserve">Annual approval of DLFs is not required for private networks applying clause </w:t>
      </w:r>
      <w:r>
        <w:rPr>
          <w:rStyle w:val="AERbody"/>
        </w:rPr>
        <w:t>4.5</w:t>
      </w:r>
      <w:r w:rsidR="003E41F0">
        <w:rPr>
          <w:rStyle w:val="AERbody"/>
        </w:rPr>
        <w:t>.1</w:t>
      </w:r>
      <w:r>
        <w:rPr>
          <w:rStyle w:val="AERbody"/>
        </w:rPr>
        <w:t>.</w:t>
      </w:r>
    </w:p>
    <w:p w:rsidR="007C72D1" w:rsidRPr="003F2FCD" w:rsidRDefault="007C72D1" w:rsidP="007C72D1">
      <w:pPr>
        <w:rPr>
          <w:rStyle w:val="AERtextbold"/>
        </w:rPr>
      </w:pPr>
      <w:r w:rsidRPr="003F2FCD">
        <w:rPr>
          <w:rStyle w:val="AERtextbold"/>
        </w:rPr>
        <w:t>Larg</w:t>
      </w:r>
      <w:r>
        <w:rPr>
          <w:rStyle w:val="AERtextbold"/>
        </w:rPr>
        <w:t>e</w:t>
      </w:r>
      <w:r w:rsidRPr="003F2FCD">
        <w:rPr>
          <w:rStyle w:val="AERtextbold"/>
        </w:rPr>
        <w:t xml:space="preserve"> loads, generators and site specific loss factors</w:t>
      </w:r>
    </w:p>
    <w:p w:rsidR="007C72D1" w:rsidRPr="00BF1CBF" w:rsidRDefault="007C72D1" w:rsidP="007C72D1">
      <w:pPr>
        <w:pStyle w:val="AERbodytext"/>
      </w:pPr>
      <w:r>
        <w:t xml:space="preserve">If </w:t>
      </w:r>
      <w:r w:rsidRPr="00BF1CBF">
        <w:t>the combined loading result</w:t>
      </w:r>
      <w:r>
        <w:t>s</w:t>
      </w:r>
      <w:r w:rsidRPr="00BF1CBF">
        <w:t xml:space="preserve"> in an embedded network becoming a significant load, clause</w:t>
      </w:r>
      <w:r>
        <w:t xml:space="preserve"> 4.5 </w:t>
      </w:r>
      <w:r w:rsidRPr="00BF1CBF">
        <w:t xml:space="preserve">(2) or </w:t>
      </w:r>
      <w:r>
        <w:t xml:space="preserve">4.5 </w:t>
      </w:r>
      <w:r w:rsidRPr="00BF1CBF">
        <w:t xml:space="preserve">(3) </w:t>
      </w:r>
      <w:r>
        <w:t xml:space="preserve">can </w:t>
      </w:r>
      <w:r w:rsidRPr="00BF1CBF">
        <w:t>apply.</w:t>
      </w:r>
    </w:p>
    <w:p w:rsidR="007C72D1" w:rsidRPr="003F2FCD" w:rsidRDefault="007C72D1" w:rsidP="007C72D1">
      <w:pPr>
        <w:pStyle w:val="AERbodytext"/>
        <w:rPr>
          <w:rStyle w:val="AERbody"/>
        </w:rPr>
      </w:pPr>
      <w:r>
        <w:rPr>
          <w:rStyle w:val="AERbody"/>
        </w:rPr>
        <w:t>C</w:t>
      </w:r>
      <w:r w:rsidRPr="003F2FCD">
        <w:rPr>
          <w:rStyle w:val="AERbody"/>
        </w:rPr>
        <w:t>lause 3.6.3(b)(2)(</w:t>
      </w:r>
      <w:proofErr w:type="spellStart"/>
      <w:r w:rsidRPr="003F2FCD">
        <w:rPr>
          <w:rStyle w:val="AERbody"/>
        </w:rPr>
        <w:t>i</w:t>
      </w:r>
      <w:proofErr w:type="spellEnd"/>
      <w:r w:rsidRPr="003F2FCD">
        <w:rPr>
          <w:rStyle w:val="AERbody"/>
        </w:rPr>
        <w:t xml:space="preserve">) of the NER </w:t>
      </w:r>
      <w:r>
        <w:rPr>
          <w:rStyle w:val="AERbody"/>
        </w:rPr>
        <w:t xml:space="preserve">governs </w:t>
      </w:r>
      <w:r w:rsidRPr="003F2FCD">
        <w:rPr>
          <w:rStyle w:val="AERbody"/>
        </w:rPr>
        <w:t>the calculation of a DLF for large loads and generators connected to a network. In private networks involving loads or generators otherwise described in clause 3.6.3(b)(2)(</w:t>
      </w:r>
      <w:proofErr w:type="spellStart"/>
      <w:r w:rsidRPr="003F2FCD">
        <w:rPr>
          <w:rStyle w:val="AERbody"/>
        </w:rPr>
        <w:t>i</w:t>
      </w:r>
      <w:proofErr w:type="spellEnd"/>
      <w:r w:rsidRPr="003F2FCD">
        <w:rPr>
          <w:rStyle w:val="AERbody"/>
        </w:rPr>
        <w:t>), a site-specific DLF for those loads or generators must be calculated in accordance with clause 3.6.3(b)(2)(</w:t>
      </w:r>
      <w:proofErr w:type="spellStart"/>
      <w:r w:rsidRPr="003F2FCD">
        <w:rPr>
          <w:rStyle w:val="AERbody"/>
        </w:rPr>
        <w:t>i</w:t>
      </w:r>
      <w:proofErr w:type="spellEnd"/>
      <w:r w:rsidRPr="003F2FCD">
        <w:rPr>
          <w:rStyle w:val="AERbody"/>
        </w:rPr>
        <w:t>) using the methodology published for this purpose by the local DNSP.</w:t>
      </w:r>
    </w:p>
    <w:p w:rsidR="007C72D1" w:rsidRDefault="007C72D1" w:rsidP="00670D99">
      <w:pPr>
        <w:pStyle w:val="AERnumberedlistfirststyle"/>
        <w:numPr>
          <w:ilvl w:val="1"/>
          <w:numId w:val="44"/>
        </w:numPr>
      </w:pPr>
      <w:r w:rsidRPr="003F304F">
        <w:t xml:space="preserve">The </w:t>
      </w:r>
      <w:r>
        <w:t xml:space="preserve">methodology for calculating a DLF is the same </w:t>
      </w:r>
      <w:r w:rsidR="005A20C5">
        <w:t>as that published by local DNSP; or</w:t>
      </w:r>
      <w:r w:rsidR="005A20C5">
        <w:rPr>
          <w:rStyle w:val="FootnoteReference"/>
        </w:rPr>
        <w:footnoteReference w:id="35"/>
      </w:r>
    </w:p>
    <w:p w:rsidR="007C72D1" w:rsidRPr="003F2FCD" w:rsidRDefault="007C72D1" w:rsidP="007C72D1">
      <w:pPr>
        <w:pStyle w:val="AERnumberedlistfirststyle"/>
        <w:rPr>
          <w:rStyle w:val="AERbody"/>
        </w:rPr>
      </w:pPr>
      <w:r w:rsidRPr="003F2FCD">
        <w:rPr>
          <w:rStyle w:val="AERbody"/>
        </w:rPr>
        <w:t>Where the methodology of the local DNSP is not suitable for the calculation of a site-specific DLF for any reason, the network operator and the connecting party may jointly approach the AER and seek approval of an alternative methodology for determining the applicable allocation of electrical losses between the parties. Approval by the AER will be subject to there being no material impact on the rights of another party as a consequence of the alternative mechanism.</w:t>
      </w:r>
    </w:p>
    <w:p w:rsidR="007C72D1" w:rsidRDefault="007C72D1" w:rsidP="007C72D1">
      <w:r>
        <w:t>DLFs</w:t>
      </w:r>
      <w:r w:rsidRPr="00BF1CBF">
        <w:t>, including site</w:t>
      </w:r>
      <w:r>
        <w:t>-</w:t>
      </w:r>
      <w:r w:rsidRPr="00BF1CBF">
        <w:t xml:space="preserve">specific </w:t>
      </w:r>
      <w:r>
        <w:t>DLFs</w:t>
      </w:r>
      <w:r w:rsidRPr="00BF1CBF">
        <w:t xml:space="preserve">, </w:t>
      </w:r>
      <w:r>
        <w:t xml:space="preserve">calculated in accordance with this section </w:t>
      </w:r>
      <w:r w:rsidRPr="00BF1CBF">
        <w:t>must be approved annually by the AER in accordance with the NER, clause 3.6.3(</w:t>
      </w:r>
      <w:proofErr w:type="spellStart"/>
      <w:r w:rsidRPr="00BF1CBF">
        <w:t>i</w:t>
      </w:r>
      <w:proofErr w:type="spellEnd"/>
      <w:r w:rsidRPr="00BF1CBF">
        <w:t xml:space="preserve">). </w:t>
      </w:r>
      <w:r w:rsidR="00A5123A">
        <w:t>Where the customers are small customers or a DLF is needed for settlement via the AEMO market settlement systems</w:t>
      </w:r>
      <w:r w:rsidR="001E4CB8">
        <w:t>,</w:t>
      </w:r>
      <w:r w:rsidR="00A5123A">
        <w:t xml:space="preserve"> the DLF </w:t>
      </w:r>
      <w:r w:rsidR="00A5123A">
        <w:lastRenderedPageBreak/>
        <w:t xml:space="preserve">calculated will be subject to the AER’s annual audit requirements for DLFs. </w:t>
      </w:r>
      <w:r w:rsidR="004E68F7">
        <w:t xml:space="preserve">The methodology will be subject to approval by the AER. </w:t>
      </w:r>
      <w:r w:rsidR="00DA431A">
        <w:t>Where the parties are large corporate entities or large customers applying charging group C</w:t>
      </w:r>
      <w:r w:rsidR="00A5123A">
        <w:t xml:space="preserve"> and settlement is </w:t>
      </w:r>
      <w:r w:rsidR="0084466E">
        <w:t>handled privately</w:t>
      </w:r>
      <w:r w:rsidR="00DA431A">
        <w:t xml:space="preserve">, </w:t>
      </w:r>
      <w:r w:rsidR="00A5123A">
        <w:t xml:space="preserve">approval </w:t>
      </w:r>
      <w:r w:rsidR="005A20C5">
        <w:t xml:space="preserve">of </w:t>
      </w:r>
      <w:r w:rsidR="004E68F7">
        <w:t xml:space="preserve">an agreed </w:t>
      </w:r>
      <w:r w:rsidR="005A20C5">
        <w:t xml:space="preserve">methodology </w:t>
      </w:r>
      <w:r w:rsidR="004E68F7">
        <w:t xml:space="preserve">is not required. Annual approval </w:t>
      </w:r>
      <w:r w:rsidR="00DA431A">
        <w:t xml:space="preserve">may take the form of </w:t>
      </w:r>
      <w:r w:rsidR="004E68F7">
        <w:t xml:space="preserve">an </w:t>
      </w:r>
      <w:r w:rsidR="00DA431A">
        <w:t>annual confirmation</w:t>
      </w:r>
      <w:r w:rsidRPr="00BF1CBF">
        <w:t xml:space="preserve"> </w:t>
      </w:r>
      <w:r w:rsidR="00DA431A">
        <w:t xml:space="preserve">that the </w:t>
      </w:r>
      <w:r w:rsidR="002E1CC3">
        <w:t xml:space="preserve">pre-agreed </w:t>
      </w:r>
      <w:r w:rsidR="00DA431A">
        <w:t xml:space="preserve">methodology </w:t>
      </w:r>
      <w:r w:rsidR="002E1CC3">
        <w:t xml:space="preserve">for calculation continues to apply. </w:t>
      </w:r>
    </w:p>
    <w:p w:rsidR="007C72D1" w:rsidRPr="00747F76" w:rsidRDefault="007C72D1" w:rsidP="007C72D1">
      <w:pPr>
        <w:pStyle w:val="Heading2"/>
        <w:numPr>
          <w:ilvl w:val="2"/>
          <w:numId w:val="9"/>
        </w:numPr>
        <w:jc w:val="both"/>
      </w:pPr>
      <w:r w:rsidRPr="00747F76">
        <w:t xml:space="preserve"> </w:t>
      </w:r>
      <w:bookmarkStart w:id="47" w:name="_Ref361906964"/>
      <w:bookmarkStart w:id="48" w:name="_Ref361906972"/>
      <w:bookmarkStart w:id="49" w:name="_Ref361906992"/>
      <w:bookmarkStart w:id="50" w:name="_Ref361908133"/>
      <w:bookmarkStart w:id="51" w:name="_Ref361909776"/>
      <w:bookmarkStart w:id="52" w:name="_Toc365299425"/>
      <w:r w:rsidRPr="00747F76">
        <w:t>Pricing</w:t>
      </w:r>
      <w:bookmarkEnd w:id="47"/>
      <w:bookmarkEnd w:id="48"/>
      <w:bookmarkEnd w:id="49"/>
      <w:bookmarkEnd w:id="50"/>
      <w:bookmarkEnd w:id="51"/>
      <w:bookmarkEnd w:id="52"/>
    </w:p>
    <w:p w:rsidR="007C72D1" w:rsidRDefault="007C72D1" w:rsidP="007C72D1">
      <w:r w:rsidRPr="00BF1CBF">
        <w:t xml:space="preserve">The following paragraphs describe predefined pricing arrangements accepted by the AER for network charges in </w:t>
      </w:r>
      <w:r>
        <w:t>private</w:t>
      </w:r>
      <w:r w:rsidRPr="00BF1CBF">
        <w:t xml:space="preserve"> networks. </w:t>
      </w:r>
      <w:r>
        <w:t xml:space="preserve">Table 11 sets out the charge groups which may apply to private networks. </w:t>
      </w:r>
    </w:p>
    <w:p w:rsidR="007C72D1" w:rsidRPr="00BF1CBF" w:rsidRDefault="007C72D1" w:rsidP="007C72D1">
      <w:r>
        <w:t>Our agreement to</w:t>
      </w:r>
      <w:r w:rsidRPr="00BF1CBF">
        <w:t xml:space="preserve"> a network charging mechanism is predicated on a requirement that there must not be a sustained over-recovery of any network charge. Where an over-recovery occurs, it is required to be rebated to customers at intervals of not more than annually.</w:t>
      </w:r>
      <w:r>
        <w:t xml:space="preserve"> Note that the energy component of any charge is subject to the </w:t>
      </w:r>
      <w:r w:rsidR="001E4CB8">
        <w:t xml:space="preserve">Retail </w:t>
      </w:r>
      <w:r>
        <w:t>Exempt Selling Guideline.</w:t>
      </w:r>
    </w:p>
    <w:p w:rsidR="007C72D1" w:rsidRDefault="007C72D1" w:rsidP="007C72D1">
      <w:pPr>
        <w:pStyle w:val="Caption"/>
      </w:pPr>
      <w:r>
        <w:t>Table 11</w:t>
      </w:r>
      <w:r w:rsidRPr="00747F76">
        <w:t xml:space="preserve"> – Network charges – applicable charge groupings</w:t>
      </w:r>
    </w:p>
    <w:tbl>
      <w:tblPr>
        <w:tblW w:w="0" w:type="auto"/>
        <w:tblBorders>
          <w:bottom w:val="single" w:sz="4" w:space="0" w:color="365F91"/>
        </w:tblBorders>
        <w:tblLook w:val="04A0" w:firstRow="1" w:lastRow="0" w:firstColumn="1" w:lastColumn="0" w:noHBand="0" w:noVBand="1"/>
      </w:tblPr>
      <w:tblGrid>
        <w:gridCol w:w="928"/>
        <w:gridCol w:w="1789"/>
        <w:gridCol w:w="6525"/>
      </w:tblGrid>
      <w:tr w:rsidR="007C72D1" w:rsidTr="00587288">
        <w:tc>
          <w:tcPr>
            <w:tcW w:w="0" w:type="auto"/>
            <w:shd w:val="clear" w:color="auto" w:fill="365F91"/>
          </w:tcPr>
          <w:p w:rsidR="007C72D1" w:rsidRPr="00AB619E" w:rsidRDefault="007C72D1" w:rsidP="00587288">
            <w:pPr>
              <w:rPr>
                <w:b/>
                <w:color w:val="FFFFFF"/>
                <w:sz w:val="16"/>
                <w:szCs w:val="16"/>
              </w:rPr>
            </w:pPr>
            <w:r w:rsidRPr="00AB619E">
              <w:rPr>
                <w:b/>
                <w:color w:val="FFFFFF"/>
                <w:sz w:val="16"/>
                <w:szCs w:val="16"/>
              </w:rPr>
              <w:t>Charge Group</w:t>
            </w:r>
          </w:p>
        </w:tc>
        <w:tc>
          <w:tcPr>
            <w:tcW w:w="0" w:type="auto"/>
            <w:shd w:val="clear" w:color="auto" w:fill="365F91"/>
          </w:tcPr>
          <w:p w:rsidR="007C72D1" w:rsidRPr="00AB619E" w:rsidRDefault="007C72D1" w:rsidP="00587288">
            <w:pPr>
              <w:rPr>
                <w:b/>
                <w:color w:val="FFFFFF"/>
                <w:sz w:val="16"/>
                <w:szCs w:val="16"/>
              </w:rPr>
            </w:pPr>
            <w:r w:rsidRPr="00AB619E">
              <w:rPr>
                <w:b/>
                <w:color w:val="FFFFFF"/>
                <w:sz w:val="16"/>
                <w:szCs w:val="16"/>
              </w:rPr>
              <w:t>Description</w:t>
            </w:r>
          </w:p>
        </w:tc>
        <w:tc>
          <w:tcPr>
            <w:tcW w:w="0" w:type="auto"/>
            <w:shd w:val="clear" w:color="auto" w:fill="365F91"/>
          </w:tcPr>
          <w:p w:rsidR="007C72D1" w:rsidRPr="00AB619E" w:rsidRDefault="007C72D1" w:rsidP="00587288">
            <w:pPr>
              <w:rPr>
                <w:b/>
                <w:color w:val="FFFFFF"/>
                <w:sz w:val="16"/>
                <w:szCs w:val="16"/>
              </w:rPr>
            </w:pPr>
            <w:r w:rsidRPr="00AB619E">
              <w:rPr>
                <w:b/>
                <w:color w:val="FFFFFF"/>
                <w:sz w:val="16"/>
                <w:szCs w:val="16"/>
              </w:rPr>
              <w:t>Applicable situations</w:t>
            </w:r>
          </w:p>
        </w:tc>
      </w:tr>
      <w:tr w:rsidR="007C72D1" w:rsidTr="00587288">
        <w:tc>
          <w:tcPr>
            <w:tcW w:w="0" w:type="auto"/>
            <w:tcBorders>
              <w:bottom w:val="nil"/>
            </w:tcBorders>
          </w:tcPr>
          <w:p w:rsidR="007C72D1" w:rsidRPr="00AB619E" w:rsidRDefault="007C72D1" w:rsidP="00587288">
            <w:pPr>
              <w:pStyle w:val="AERtabletextleft"/>
              <w:rPr>
                <w:rStyle w:val="AERbody"/>
                <w:sz w:val="16"/>
                <w:lang w:eastAsia="en-AU"/>
              </w:rPr>
            </w:pPr>
            <w:r w:rsidRPr="00AB619E">
              <w:rPr>
                <w:rStyle w:val="AERbody"/>
                <w:sz w:val="16"/>
                <w:lang w:eastAsia="en-AU"/>
              </w:rPr>
              <w:t>A</w:t>
            </w:r>
          </w:p>
        </w:tc>
        <w:tc>
          <w:tcPr>
            <w:tcW w:w="0" w:type="auto"/>
            <w:tcBorders>
              <w:bottom w:val="nil"/>
            </w:tcBorders>
          </w:tcPr>
          <w:p w:rsidR="007C72D1" w:rsidRPr="00AB619E" w:rsidRDefault="007C72D1" w:rsidP="00587288">
            <w:pPr>
              <w:pStyle w:val="AERtabletextleft"/>
              <w:rPr>
                <w:rStyle w:val="AERbody"/>
                <w:sz w:val="16"/>
                <w:lang w:eastAsia="en-AU"/>
              </w:rPr>
            </w:pPr>
            <w:r w:rsidRPr="00AB619E">
              <w:rPr>
                <w:rStyle w:val="AERbody"/>
                <w:sz w:val="16"/>
                <w:lang w:eastAsia="en-AU"/>
              </w:rPr>
              <w:t>Bundled energy and external network tariff</w:t>
            </w:r>
          </w:p>
        </w:tc>
        <w:tc>
          <w:tcPr>
            <w:tcW w:w="0" w:type="auto"/>
            <w:tcBorders>
              <w:bottom w:val="nil"/>
            </w:tcBorders>
          </w:tcPr>
          <w:p w:rsidR="007C72D1" w:rsidRPr="00AB619E" w:rsidRDefault="007C72D1" w:rsidP="00587288">
            <w:pPr>
              <w:pStyle w:val="AERtabletextleft"/>
              <w:rPr>
                <w:rStyle w:val="AERbody"/>
                <w:sz w:val="16"/>
                <w:lang w:eastAsia="en-AU"/>
              </w:rPr>
            </w:pPr>
            <w:r w:rsidRPr="00AB619E">
              <w:rPr>
                <w:rStyle w:val="AERbody"/>
                <w:sz w:val="16"/>
                <w:lang w:eastAsia="en-AU"/>
              </w:rPr>
              <w:t>All retail selling</w:t>
            </w:r>
            <w:r>
              <w:t xml:space="preserve"> (i.e. the vast majority of situations whereby energy is sold to customers within a private network).</w:t>
            </w:r>
          </w:p>
        </w:tc>
      </w:tr>
      <w:tr w:rsidR="007C72D1" w:rsidTr="00587288">
        <w:tc>
          <w:tcPr>
            <w:tcW w:w="0" w:type="auto"/>
            <w:tcBorders>
              <w:bottom w:val="nil"/>
            </w:tcBorders>
            <w:shd w:val="clear" w:color="auto" w:fill="DBE5F1"/>
          </w:tcPr>
          <w:p w:rsidR="007C72D1" w:rsidRPr="00AB619E" w:rsidRDefault="007C72D1" w:rsidP="00587288">
            <w:pPr>
              <w:pStyle w:val="AERtabletextleft"/>
              <w:rPr>
                <w:rStyle w:val="AERbody"/>
                <w:sz w:val="16"/>
                <w:lang w:eastAsia="en-AU"/>
              </w:rPr>
            </w:pPr>
            <w:r w:rsidRPr="00AB619E">
              <w:rPr>
                <w:rStyle w:val="AERbody"/>
                <w:sz w:val="16"/>
                <w:lang w:eastAsia="en-AU"/>
              </w:rPr>
              <w:t>B</w:t>
            </w:r>
          </w:p>
        </w:tc>
        <w:tc>
          <w:tcPr>
            <w:tcW w:w="0" w:type="auto"/>
            <w:tcBorders>
              <w:bottom w:val="nil"/>
            </w:tcBorders>
            <w:shd w:val="clear" w:color="auto" w:fill="DBE5F1"/>
          </w:tcPr>
          <w:p w:rsidR="007C72D1" w:rsidRPr="00AB619E" w:rsidRDefault="007C72D1" w:rsidP="00587288">
            <w:pPr>
              <w:pStyle w:val="AERtabletextleft"/>
              <w:rPr>
                <w:rStyle w:val="AERbody"/>
                <w:sz w:val="16"/>
                <w:lang w:eastAsia="en-AU"/>
              </w:rPr>
            </w:pPr>
            <w:r w:rsidRPr="00AB619E">
              <w:rPr>
                <w:rStyle w:val="AERbody"/>
                <w:sz w:val="16"/>
                <w:lang w:eastAsia="en-AU"/>
              </w:rPr>
              <w:t xml:space="preserve">No additional network charge </w:t>
            </w:r>
          </w:p>
        </w:tc>
        <w:tc>
          <w:tcPr>
            <w:tcW w:w="0" w:type="auto"/>
            <w:tcBorders>
              <w:bottom w:val="nil"/>
            </w:tcBorders>
            <w:shd w:val="clear" w:color="auto" w:fill="DBE5F1"/>
          </w:tcPr>
          <w:p w:rsidR="007C72D1" w:rsidRPr="00AB619E" w:rsidRDefault="007C72D1" w:rsidP="00587288">
            <w:pPr>
              <w:pStyle w:val="AERtabletextleft"/>
              <w:rPr>
                <w:rStyle w:val="AERbody"/>
                <w:sz w:val="16"/>
                <w:lang w:eastAsia="en-AU"/>
              </w:rPr>
            </w:pPr>
            <w:r w:rsidRPr="00AB619E">
              <w:rPr>
                <w:rStyle w:val="AERbody"/>
                <w:sz w:val="16"/>
                <w:lang w:eastAsia="en-AU"/>
              </w:rPr>
              <w:t>Unrestricted</w:t>
            </w:r>
            <w:r>
              <w:rPr>
                <w:rStyle w:val="AERbody"/>
                <w:sz w:val="16"/>
                <w:lang w:eastAsia="en-AU"/>
              </w:rPr>
              <w:t>:</w:t>
            </w:r>
            <w:r>
              <w:t xml:space="preserve"> there is no charge for the network or, the applicant is billed for network services by a distributor and is passing that cost on to customers in proportion to their metered energy use or</w:t>
            </w:r>
            <w:r w:rsidRPr="00AB619E">
              <w:rPr>
                <w:rStyle w:val="AERbody"/>
                <w:sz w:val="16"/>
                <w:lang w:eastAsia="en-AU"/>
              </w:rPr>
              <w:t>, the pass-through of costs incurred to meet c</w:t>
            </w:r>
            <w:r>
              <w:rPr>
                <w:rStyle w:val="AERbody"/>
                <w:sz w:val="16"/>
                <w:lang w:eastAsia="en-AU"/>
              </w:rPr>
              <w:t>ustomer requirements.</w:t>
            </w:r>
          </w:p>
        </w:tc>
      </w:tr>
      <w:tr w:rsidR="007C72D1" w:rsidTr="00587288">
        <w:tc>
          <w:tcPr>
            <w:tcW w:w="0" w:type="auto"/>
            <w:tcBorders>
              <w:top w:val="nil"/>
              <w:bottom w:val="nil"/>
            </w:tcBorders>
          </w:tcPr>
          <w:p w:rsidR="007C72D1" w:rsidRPr="00AB619E" w:rsidRDefault="007C72D1" w:rsidP="00587288">
            <w:pPr>
              <w:pStyle w:val="AERtabletextleft"/>
              <w:rPr>
                <w:rStyle w:val="AERbody"/>
                <w:sz w:val="16"/>
                <w:lang w:eastAsia="en-AU"/>
              </w:rPr>
            </w:pPr>
            <w:r w:rsidRPr="00AB619E">
              <w:rPr>
                <w:rStyle w:val="AERbody"/>
                <w:sz w:val="16"/>
                <w:lang w:eastAsia="en-AU"/>
              </w:rPr>
              <w:t>C</w:t>
            </w:r>
          </w:p>
        </w:tc>
        <w:tc>
          <w:tcPr>
            <w:tcW w:w="0" w:type="auto"/>
            <w:tcBorders>
              <w:top w:val="nil"/>
              <w:bottom w:val="nil"/>
            </w:tcBorders>
          </w:tcPr>
          <w:p w:rsidR="007C72D1" w:rsidRPr="00AB619E" w:rsidRDefault="007C72D1" w:rsidP="00587288">
            <w:pPr>
              <w:pStyle w:val="AERtabletextleft"/>
              <w:rPr>
                <w:rStyle w:val="AERbody"/>
                <w:sz w:val="16"/>
                <w:lang w:eastAsia="en-AU"/>
              </w:rPr>
            </w:pPr>
            <w:r w:rsidRPr="00AB619E">
              <w:rPr>
                <w:rStyle w:val="AERbody"/>
                <w:sz w:val="16"/>
                <w:lang w:eastAsia="en-AU"/>
              </w:rPr>
              <w:t>Value added services</w:t>
            </w:r>
          </w:p>
        </w:tc>
        <w:tc>
          <w:tcPr>
            <w:tcW w:w="0" w:type="auto"/>
            <w:tcBorders>
              <w:top w:val="nil"/>
              <w:bottom w:val="nil"/>
            </w:tcBorders>
          </w:tcPr>
          <w:p w:rsidR="007C72D1" w:rsidRPr="00AB619E" w:rsidRDefault="007C72D1" w:rsidP="00587288">
            <w:pPr>
              <w:pStyle w:val="AERtabletextleft"/>
              <w:rPr>
                <w:rStyle w:val="AERbody"/>
                <w:sz w:val="16"/>
                <w:lang w:eastAsia="en-AU"/>
              </w:rPr>
            </w:pPr>
            <w:r>
              <w:t>Large customers and network specific activities subject to commercial arrangements agreed between consenting, well informed (i.e. sophisticated) customers.</w:t>
            </w:r>
            <w:r w:rsidRPr="00AB619E">
              <w:rPr>
                <w:rStyle w:val="AERbody"/>
                <w:sz w:val="16"/>
                <w:lang w:eastAsia="en-AU"/>
              </w:rPr>
              <w:t xml:space="preserve"> Eligible private networks only. Restricted application (see text).</w:t>
            </w:r>
          </w:p>
          <w:p w:rsidR="007C72D1" w:rsidRPr="00AB619E" w:rsidRDefault="007C72D1" w:rsidP="00587288">
            <w:pPr>
              <w:pStyle w:val="AERtabletextleft"/>
              <w:rPr>
                <w:rStyle w:val="AERbody"/>
                <w:sz w:val="16"/>
                <w:lang w:eastAsia="en-AU"/>
              </w:rPr>
            </w:pPr>
            <w:r w:rsidRPr="00AB619E">
              <w:rPr>
                <w:rStyle w:val="AERbody"/>
                <w:sz w:val="16"/>
                <w:lang w:eastAsia="en-AU"/>
              </w:rPr>
              <w:t>Charging mechanism for network charges is specified in a commercial agreement.</w:t>
            </w:r>
          </w:p>
        </w:tc>
      </w:tr>
      <w:tr w:rsidR="007C72D1" w:rsidTr="00587288">
        <w:tc>
          <w:tcPr>
            <w:tcW w:w="0" w:type="auto"/>
            <w:tcBorders>
              <w:bottom w:val="nil"/>
            </w:tcBorders>
            <w:shd w:val="clear" w:color="auto" w:fill="DBE5F1"/>
          </w:tcPr>
          <w:p w:rsidR="007C72D1" w:rsidRPr="00AB619E" w:rsidRDefault="007C72D1" w:rsidP="00587288">
            <w:pPr>
              <w:pStyle w:val="AERtabletextleft"/>
              <w:rPr>
                <w:rStyle w:val="AERbody"/>
                <w:sz w:val="16"/>
                <w:lang w:eastAsia="en-AU"/>
              </w:rPr>
            </w:pPr>
            <w:r w:rsidRPr="00AB619E">
              <w:rPr>
                <w:rStyle w:val="AERbody"/>
                <w:sz w:val="16"/>
                <w:lang w:eastAsia="en-AU"/>
              </w:rPr>
              <w:t>D</w:t>
            </w:r>
          </w:p>
        </w:tc>
        <w:tc>
          <w:tcPr>
            <w:tcW w:w="0" w:type="auto"/>
            <w:tcBorders>
              <w:bottom w:val="nil"/>
            </w:tcBorders>
            <w:shd w:val="clear" w:color="auto" w:fill="DBE5F1"/>
          </w:tcPr>
          <w:p w:rsidR="007C72D1" w:rsidRPr="00AB619E" w:rsidRDefault="007C72D1" w:rsidP="00587288">
            <w:pPr>
              <w:pStyle w:val="AERtabletextleft"/>
              <w:rPr>
                <w:rStyle w:val="AERbody"/>
                <w:sz w:val="16"/>
                <w:lang w:eastAsia="en-AU"/>
              </w:rPr>
            </w:pPr>
            <w:r w:rsidRPr="00AB619E">
              <w:rPr>
                <w:rStyle w:val="AERbody"/>
                <w:sz w:val="16"/>
                <w:lang w:eastAsia="en-AU"/>
              </w:rPr>
              <w:t>Separate charge for private network facilities</w:t>
            </w:r>
          </w:p>
        </w:tc>
        <w:tc>
          <w:tcPr>
            <w:tcW w:w="0" w:type="auto"/>
            <w:tcBorders>
              <w:bottom w:val="nil"/>
            </w:tcBorders>
            <w:shd w:val="clear" w:color="auto" w:fill="DBE5F1"/>
          </w:tcPr>
          <w:p w:rsidR="007C72D1" w:rsidRPr="00AB619E" w:rsidRDefault="007C72D1" w:rsidP="00587288">
            <w:pPr>
              <w:pStyle w:val="AERtabletextleft"/>
              <w:rPr>
                <w:rStyle w:val="AERbody"/>
                <w:sz w:val="16"/>
                <w:lang w:eastAsia="en-AU"/>
              </w:rPr>
            </w:pPr>
            <w:r w:rsidRPr="00AB619E">
              <w:rPr>
                <w:rStyle w:val="AERbody"/>
                <w:sz w:val="16"/>
                <w:lang w:eastAsia="en-AU"/>
              </w:rPr>
              <w:t>Registered &amp; individually exempted networks.</w:t>
            </w:r>
            <w:r w:rsidRPr="00AB619E" w:rsidDel="00F54D69">
              <w:rPr>
                <w:rStyle w:val="AERbody"/>
                <w:sz w:val="16"/>
                <w:lang w:eastAsia="en-AU"/>
              </w:rPr>
              <w:t xml:space="preserve"> </w:t>
            </w:r>
            <w:r w:rsidRPr="00AB619E">
              <w:rPr>
                <w:rStyle w:val="AERbody"/>
                <w:sz w:val="16"/>
                <w:lang w:eastAsia="en-AU"/>
              </w:rPr>
              <w:t>Pricing determined by the AER.</w:t>
            </w:r>
          </w:p>
        </w:tc>
      </w:tr>
      <w:tr w:rsidR="007C72D1" w:rsidTr="00587288">
        <w:tc>
          <w:tcPr>
            <w:tcW w:w="0" w:type="auto"/>
            <w:tcBorders>
              <w:top w:val="nil"/>
            </w:tcBorders>
          </w:tcPr>
          <w:p w:rsidR="007C72D1" w:rsidRPr="00AB619E" w:rsidRDefault="007C72D1" w:rsidP="00587288">
            <w:pPr>
              <w:pStyle w:val="AERtabletextleft"/>
              <w:rPr>
                <w:rStyle w:val="AERbody"/>
                <w:sz w:val="16"/>
                <w:lang w:eastAsia="en-AU"/>
              </w:rPr>
            </w:pPr>
            <w:r>
              <w:rPr>
                <w:rStyle w:val="AERbody"/>
                <w:sz w:val="16"/>
                <w:lang w:eastAsia="en-AU"/>
              </w:rPr>
              <w:t>E</w:t>
            </w:r>
          </w:p>
        </w:tc>
        <w:tc>
          <w:tcPr>
            <w:tcW w:w="0" w:type="auto"/>
            <w:tcBorders>
              <w:top w:val="nil"/>
            </w:tcBorders>
          </w:tcPr>
          <w:p w:rsidR="007C72D1" w:rsidRDefault="007C72D1" w:rsidP="00587288">
            <w:r w:rsidRPr="00A82293">
              <w:rPr>
                <w:rFonts w:ascii="Arial" w:hAnsi="Arial" w:cs="Arial"/>
                <w:sz w:val="16"/>
                <w:szCs w:val="16"/>
                <w:lang w:eastAsia="en-AU"/>
              </w:rPr>
              <w:t xml:space="preserve">Rebate for exported energy </w:t>
            </w:r>
          </w:p>
        </w:tc>
        <w:tc>
          <w:tcPr>
            <w:tcW w:w="0" w:type="auto"/>
            <w:tcBorders>
              <w:top w:val="nil"/>
            </w:tcBorders>
          </w:tcPr>
          <w:p w:rsidR="007C72D1" w:rsidRDefault="007C72D1" w:rsidP="00587288">
            <w:r w:rsidRPr="00A82293">
              <w:rPr>
                <w:rFonts w:ascii="Arial" w:hAnsi="Arial" w:cs="Arial"/>
                <w:sz w:val="16"/>
                <w:szCs w:val="16"/>
                <w:lang w:eastAsia="en-AU"/>
              </w:rPr>
              <w:t>Unrestricted</w:t>
            </w:r>
            <w:r>
              <w:rPr>
                <w:rFonts w:ascii="Arial" w:hAnsi="Arial" w:cs="Arial"/>
                <w:sz w:val="16"/>
                <w:szCs w:val="16"/>
                <w:lang w:eastAsia="en-AU"/>
              </w:rPr>
              <w:t>.</w:t>
            </w:r>
          </w:p>
        </w:tc>
      </w:tr>
    </w:tbl>
    <w:p w:rsidR="007C72D1" w:rsidRDefault="007C72D1" w:rsidP="007C72D1">
      <w:pPr>
        <w:pStyle w:val="AERbodytext"/>
        <w:numPr>
          <w:ilvl w:val="0"/>
          <w:numId w:val="7"/>
        </w:numPr>
        <w:spacing w:before="0" w:after="240"/>
        <w:rPr>
          <w:rStyle w:val="AERtextbold"/>
        </w:rPr>
      </w:pPr>
    </w:p>
    <w:p w:rsidR="007C72D1" w:rsidRPr="00A46038" w:rsidRDefault="007C72D1" w:rsidP="00A46038">
      <w:pPr>
        <w:rPr>
          <w:b/>
        </w:rPr>
      </w:pPr>
      <w:r w:rsidRPr="00A46038">
        <w:rPr>
          <w:b/>
        </w:rPr>
        <w:t>Group A</w:t>
      </w:r>
    </w:p>
    <w:p w:rsidR="007C72D1" w:rsidRDefault="007C72D1" w:rsidP="007C72D1">
      <w:r w:rsidRPr="00BF1CBF">
        <w:t xml:space="preserve">May apply to any retail </w:t>
      </w:r>
      <w:r>
        <w:t>on–selling</w:t>
      </w:r>
      <w:r w:rsidRPr="00747F76">
        <w:t xml:space="preserve"> situation where customers are charged an energy only charge or all-inclusive tariff which includes external network charges. </w:t>
      </w:r>
      <w:r>
        <w:t>This is the most common category of charging.</w:t>
      </w:r>
    </w:p>
    <w:p w:rsidR="007C72D1" w:rsidRPr="00747F76" w:rsidRDefault="007C72D1" w:rsidP="007C72D1">
      <w:r w:rsidRPr="00EF62EE">
        <w:rPr>
          <w:i/>
        </w:rPr>
        <w:t xml:space="preserve">Many energy consumers are ultimately concerned with the overall expense of their energy consumption. The critical point of comparison in this situation is the bundled price of energy and </w:t>
      </w:r>
      <w:r w:rsidRPr="00EF62EE">
        <w:rPr>
          <w:i/>
        </w:rPr>
        <w:lastRenderedPageBreak/>
        <w:t>network charges. We consider that bundled tariffs which include all network charges are unlikely to be contrary to the long term interests of consumers.</w:t>
      </w:r>
      <w:r w:rsidRPr="00747F76">
        <w:rPr>
          <w:rStyle w:val="FootnoteReference"/>
        </w:rPr>
        <w:footnoteReference w:id="36"/>
      </w:r>
    </w:p>
    <w:p w:rsidR="007C72D1" w:rsidRPr="00AB619E" w:rsidRDefault="007C72D1" w:rsidP="007C72D1">
      <w:pPr>
        <w:pStyle w:val="AERbodytext"/>
        <w:numPr>
          <w:ilvl w:val="0"/>
          <w:numId w:val="7"/>
        </w:numPr>
        <w:spacing w:before="0" w:after="240"/>
        <w:rPr>
          <w:rStyle w:val="AERtextbold"/>
        </w:rPr>
      </w:pPr>
      <w:r w:rsidRPr="00AB619E">
        <w:rPr>
          <w:rStyle w:val="AERtextbold"/>
        </w:rPr>
        <w:t>Group B</w:t>
      </w:r>
    </w:p>
    <w:p w:rsidR="007C72D1" w:rsidRPr="00747F76" w:rsidRDefault="007C72D1" w:rsidP="007C72D1">
      <w:r w:rsidRPr="00BF1CBF">
        <w:t xml:space="preserve">No charge is made for the </w:t>
      </w:r>
      <w:r w:rsidRPr="00747F76">
        <w:t xml:space="preserve">private network assets. </w:t>
      </w:r>
      <w:r>
        <w:t>However, externally imposed charges may be applied pro-rata to customers as per section</w:t>
      </w:r>
      <w:r w:rsidR="00762C8C">
        <w:t xml:space="preserve"> </w:t>
      </w:r>
      <w:r w:rsidR="00762C8C">
        <w:fldChar w:fldCharType="begin"/>
      </w:r>
      <w:r w:rsidR="00762C8C">
        <w:instrText xml:space="preserve"> REF _Ref361908948 \r \h </w:instrText>
      </w:r>
      <w:r w:rsidR="00762C8C">
        <w:fldChar w:fldCharType="separate"/>
      </w:r>
      <w:r w:rsidR="00D94AAA">
        <w:t>4.6.1</w:t>
      </w:r>
      <w:r w:rsidR="00762C8C">
        <w:fldChar w:fldCharType="end"/>
      </w:r>
      <w:r>
        <w:t>. This m</w:t>
      </w:r>
      <w:r w:rsidRPr="00747F76">
        <w:t xml:space="preserve">ay apply in any private network situation. </w:t>
      </w:r>
    </w:p>
    <w:p w:rsidR="007C72D1" w:rsidRPr="00BF1CBF" w:rsidRDefault="007C72D1" w:rsidP="007C72D1">
      <w:r w:rsidRPr="00EF62EE">
        <w:rPr>
          <w:i/>
        </w:rPr>
        <w:t xml:space="preserve">Note that the agreed cost for the </w:t>
      </w:r>
      <w:r w:rsidR="00110B36">
        <w:rPr>
          <w:i/>
        </w:rPr>
        <w:t xml:space="preserve">initial </w:t>
      </w:r>
      <w:r w:rsidRPr="00EF62EE">
        <w:rPr>
          <w:i/>
        </w:rPr>
        <w:t>establishment or upgrade of a network to meet customer requirements may still occur, i.e. may be passed through to the customer, in accordance with a bona fide lease or ancillary agreement between the network owner, operator or controller (as appropriate) and the network customer. Such charges may be subject to normal commercial financing arrangements</w:t>
      </w:r>
      <w:r w:rsidRPr="00BF1CBF">
        <w:t xml:space="preserve">. </w:t>
      </w:r>
    </w:p>
    <w:p w:rsidR="007C72D1" w:rsidRPr="00AB619E" w:rsidRDefault="007C72D1" w:rsidP="007C72D1">
      <w:pPr>
        <w:pStyle w:val="AERbodytext"/>
        <w:numPr>
          <w:ilvl w:val="0"/>
          <w:numId w:val="7"/>
        </w:numPr>
        <w:spacing w:before="0" w:after="240"/>
        <w:rPr>
          <w:rStyle w:val="AERtextbold"/>
        </w:rPr>
      </w:pPr>
      <w:r w:rsidRPr="00AB619E">
        <w:rPr>
          <w:rStyle w:val="AERtextbold"/>
        </w:rPr>
        <w:t>Group C</w:t>
      </w:r>
    </w:p>
    <w:p w:rsidR="007C72D1" w:rsidRDefault="007C72D1" w:rsidP="007C72D1">
      <w:r w:rsidRPr="00BF1CBF">
        <w:t xml:space="preserve">Applicable to </w:t>
      </w:r>
      <w:r>
        <w:t xml:space="preserve">network charges for </w:t>
      </w:r>
      <w:r w:rsidRPr="00BF1CBF">
        <w:t>exempt network</w:t>
      </w:r>
      <w:r>
        <w:t xml:space="preserve"> classes NDO1, NDO2, NDO3, NDO4, NDO5, NDO6, NR5, NRO1, NRO2, NRO3 and NRO4 and individual exemptions approved by the AER in accordance with section </w:t>
      </w:r>
      <w:r w:rsidR="00762C8C">
        <w:fldChar w:fldCharType="begin"/>
      </w:r>
      <w:r w:rsidR="00762C8C">
        <w:instrText xml:space="preserve"> REF _Ref361831452 \r \h </w:instrText>
      </w:r>
      <w:r w:rsidR="00762C8C">
        <w:fldChar w:fldCharType="separate"/>
      </w:r>
      <w:r w:rsidR="00D94AAA">
        <w:t>5.2</w:t>
      </w:r>
      <w:r w:rsidR="00762C8C">
        <w:fldChar w:fldCharType="end"/>
      </w:r>
      <w:r>
        <w:t xml:space="preserve"> of this Guideline</w:t>
      </w:r>
      <w:r w:rsidRPr="00BF1CBF">
        <w:t>. The network proprietor provides additional services to customers of the network such as on-site fault repair services</w:t>
      </w:r>
      <w:r>
        <w:t xml:space="preserve"> or charging is based on a commercial agreement freely entered into on mutually agreed terms</w:t>
      </w:r>
      <w:r w:rsidRPr="00BF1CBF">
        <w:t xml:space="preserve">. </w:t>
      </w:r>
    </w:p>
    <w:p w:rsidR="007C72D1" w:rsidRPr="00EF62EE" w:rsidRDefault="007C72D1" w:rsidP="007C72D1">
      <w:pPr>
        <w:rPr>
          <w:i/>
        </w:rPr>
      </w:pPr>
      <w:r w:rsidRPr="00EF62EE">
        <w:rPr>
          <w:i/>
        </w:rPr>
        <w:t xml:space="preserve">This group is intended to apply to commercial, industrial and mining situations and private networks serving large customers or on-site generation exporting to the NEM. The general principle which applies here is that commercial arrangements between parties with similar bargaining power should not be regulated. Energy on–selling to small customers is not permitted within this charge group in accordance with the relevant provisions of the AER’s </w:t>
      </w:r>
      <w:r w:rsidR="001E4CB8">
        <w:rPr>
          <w:i/>
        </w:rPr>
        <w:t xml:space="preserve">Retail </w:t>
      </w:r>
      <w:r w:rsidRPr="00EF62EE">
        <w:rPr>
          <w:i/>
        </w:rPr>
        <w:t xml:space="preserve">Exempt Selling Guideline. </w:t>
      </w:r>
    </w:p>
    <w:p w:rsidR="007C72D1" w:rsidRPr="00BF1CBF" w:rsidRDefault="007C72D1" w:rsidP="007C72D1">
      <w:r w:rsidRPr="00EF62EE">
        <w:rPr>
          <w:i/>
        </w:rPr>
        <w:t>Where it can be demonstrated that access to the NEM would not otherwise be available except at significant cost to the affected customers, the network may also service supporting infrastructure, isolated communities, emergency services, farms and pastoral holdings and unrelated loads or generators on reasonable commercial terms.</w:t>
      </w:r>
    </w:p>
    <w:p w:rsidR="007C72D1" w:rsidRPr="00AB619E" w:rsidRDefault="007C72D1" w:rsidP="007C72D1">
      <w:pPr>
        <w:pStyle w:val="AERbodytext"/>
        <w:numPr>
          <w:ilvl w:val="0"/>
          <w:numId w:val="7"/>
        </w:numPr>
        <w:spacing w:before="0" w:after="240"/>
        <w:rPr>
          <w:rStyle w:val="AERtextbold"/>
        </w:rPr>
      </w:pPr>
      <w:r w:rsidRPr="00AB619E">
        <w:rPr>
          <w:rStyle w:val="AERtextbold"/>
        </w:rPr>
        <w:t>Group D</w:t>
      </w:r>
    </w:p>
    <w:p w:rsidR="007C72D1" w:rsidRPr="00BF1CBF" w:rsidRDefault="007C72D1" w:rsidP="007C72D1">
      <w:r>
        <w:t xml:space="preserve">Charge group D is for new individual exemptions only. </w:t>
      </w:r>
      <w:r w:rsidRPr="00BF1CBF">
        <w:t xml:space="preserve">Exemptions in this category will only be contemplated in exceptional circumstances </w:t>
      </w:r>
      <w:r>
        <w:t xml:space="preserve">and require individual approval by the AER in accordance with section </w:t>
      </w:r>
      <w:r w:rsidR="00762C8C">
        <w:fldChar w:fldCharType="begin"/>
      </w:r>
      <w:r w:rsidR="00762C8C">
        <w:instrText xml:space="preserve"> REF _Ref361831452 \r \h </w:instrText>
      </w:r>
      <w:r w:rsidR="00762C8C">
        <w:fldChar w:fldCharType="separate"/>
      </w:r>
      <w:r w:rsidR="00D94AAA">
        <w:t>5.2</w:t>
      </w:r>
      <w:r w:rsidR="00762C8C">
        <w:fldChar w:fldCharType="end"/>
      </w:r>
      <w:r>
        <w:t xml:space="preserve"> of this Guideline.</w:t>
      </w:r>
      <w:r w:rsidRPr="00BF1CBF">
        <w:t xml:space="preserve"> Parties wishing to earn a commercial return on network assets should generally </w:t>
      </w:r>
      <w:r>
        <w:t xml:space="preserve">be </w:t>
      </w:r>
      <w:r w:rsidRPr="00BF1CBF">
        <w:t>register</w:t>
      </w:r>
      <w:r>
        <w:t>ed</w:t>
      </w:r>
      <w:r w:rsidRPr="00BF1CBF">
        <w:t xml:space="preserve"> as a network service provider</w:t>
      </w:r>
      <w:r>
        <w:t xml:space="preserve"> and be subject to the operation of chapter 6 or chapter 6A of the NER.</w:t>
      </w:r>
      <w:r w:rsidRPr="00BF1CBF">
        <w:t xml:space="preserve"> </w:t>
      </w:r>
      <w:r>
        <w:t xml:space="preserve">Applicants in this charge group </w:t>
      </w:r>
      <w:r w:rsidRPr="00BF1CBF">
        <w:t xml:space="preserve">would need to demonstrate </w:t>
      </w:r>
      <w:r>
        <w:t xml:space="preserve">that </w:t>
      </w:r>
      <w:r w:rsidRPr="00BF1CBF">
        <w:t>NEM registration and compliance costs would be disproportionate to the size of the community to be served by the network and that compelling grounds exist for an exemption to be considered.</w:t>
      </w:r>
    </w:p>
    <w:p w:rsidR="007C72D1" w:rsidRPr="00AB619E" w:rsidRDefault="007C72D1" w:rsidP="007C72D1">
      <w:pPr>
        <w:pStyle w:val="AERbodytext"/>
        <w:numPr>
          <w:ilvl w:val="0"/>
          <w:numId w:val="7"/>
        </w:numPr>
        <w:spacing w:before="0" w:after="240"/>
        <w:rPr>
          <w:rStyle w:val="AERtextbold"/>
        </w:rPr>
      </w:pPr>
      <w:r w:rsidRPr="00AB619E">
        <w:rPr>
          <w:rStyle w:val="AERtextbold"/>
        </w:rPr>
        <w:t>Group E</w:t>
      </w:r>
    </w:p>
    <w:p w:rsidR="007C72D1" w:rsidRDefault="007C72D1" w:rsidP="007C72D1">
      <w:r w:rsidRPr="00BF1CBF">
        <w:t xml:space="preserve">Where a generator within </w:t>
      </w:r>
      <w:r w:rsidRPr="00747F76">
        <w:t xml:space="preserve">a private network earns credits for energy exported to the NEM all credits remain the property of the embedded generator. All credits must be rebated to the embedded generator or, if more than one, to each embedded generator in proportion to the credits earned. This </w:t>
      </w:r>
      <w:r w:rsidRPr="00747F76">
        <w:lastRenderedPageBreak/>
        <w:t>requirement does not prevent the embedded generator from entering into an agreement with another party to reallocate those credits.</w:t>
      </w:r>
    </w:p>
    <w:p w:rsidR="007C72D1" w:rsidRPr="00EF62EE" w:rsidRDefault="007C72D1" w:rsidP="007C72D1">
      <w:pPr>
        <w:rPr>
          <w:i/>
        </w:rPr>
      </w:pPr>
      <w:r w:rsidRPr="00EF62EE">
        <w:rPr>
          <w:i/>
        </w:rPr>
        <w:t>For example, a retirement village may develop a community scheme whereby each resident with a PV system surrenders their rights to the credits earned on appropriate terms.</w:t>
      </w:r>
    </w:p>
    <w:p w:rsidR="007C72D1" w:rsidRPr="00EF62EE" w:rsidRDefault="007C72D1" w:rsidP="007C72D1">
      <w:pPr>
        <w:rPr>
          <w:i/>
        </w:rPr>
      </w:pPr>
      <w:r w:rsidRPr="00EF62EE">
        <w:rPr>
          <w:i/>
        </w:rPr>
        <w:t>This group applies in addition to any other applicable charge group.</w:t>
      </w:r>
    </w:p>
    <w:p w:rsidR="007C72D1" w:rsidRPr="00747F76" w:rsidRDefault="007C72D1" w:rsidP="007C72D1">
      <w:pPr>
        <w:pStyle w:val="Heading3"/>
        <w:numPr>
          <w:ilvl w:val="3"/>
          <w:numId w:val="9"/>
        </w:numPr>
      </w:pPr>
      <w:bookmarkStart w:id="53" w:name="_Ref361908948"/>
      <w:r w:rsidRPr="00747F76">
        <w:t>External network charges</w:t>
      </w:r>
      <w:bookmarkEnd w:id="53"/>
    </w:p>
    <w:p w:rsidR="007C72D1" w:rsidRDefault="007C72D1" w:rsidP="007C72D1">
      <w:r w:rsidRPr="00BF1CBF">
        <w:t xml:space="preserve">External network charges may be levied by a registered NEM network service provider and charged to the parent meter </w:t>
      </w:r>
      <w:r>
        <w:t>of</w:t>
      </w:r>
      <w:r w:rsidRPr="00BF1CBF">
        <w:t xml:space="preserve"> a</w:t>
      </w:r>
      <w:r>
        <w:t xml:space="preserve"> private</w:t>
      </w:r>
      <w:r w:rsidRPr="00BF1CBF">
        <w:t xml:space="preserve"> network. These charges are known variously as ‘transmission use of system charges’ (TUOS), ‘distribution use of system charges’ (DUOS) and ‘network use of system’ (NUOS) charges depending on the State in which the network is located. Such charges may be apportioned to each customer in a</w:t>
      </w:r>
      <w:r>
        <w:t xml:space="preserve"> private</w:t>
      </w:r>
      <w:r w:rsidRPr="00BF1CBF">
        <w:t xml:space="preserve"> network on a ‘causer pays’ basis in proportion to the metered energy consumption of each customer over the equivalent period</w:t>
      </w:r>
      <w:r w:rsidRPr="006A74F3">
        <w:t xml:space="preserve"> </w:t>
      </w:r>
      <w:r>
        <w:t>no matter which charge group or groups apply (see Table 11)</w:t>
      </w:r>
      <w:r w:rsidRPr="00BF1CBF">
        <w:t>.</w:t>
      </w:r>
      <w:r>
        <w:t xml:space="preserve"> Alternatively, the charges borne by each customer may be determined on a ‘shadow price’ basis. In this context a ‘shadow price’ is charging each customer a tariff no greater than the tariff that would have applied had that customer obtained supply directly from the local NEM registered distribution or, where appropriate, transmission company.</w:t>
      </w:r>
    </w:p>
    <w:p w:rsidR="007C72D1" w:rsidRDefault="007C72D1" w:rsidP="007C72D1">
      <w:r>
        <w:t>We</w:t>
      </w:r>
      <w:r w:rsidRPr="003F304F">
        <w:t xml:space="preserve"> recognise </w:t>
      </w:r>
      <w:r>
        <w:t xml:space="preserve">that </w:t>
      </w:r>
      <w:r w:rsidRPr="003F304F">
        <w:t>these charges may be difficult to apportion on a precise basis, especially where time variable charges apply. The shadow price approach may be simpler to implement in those situations or in situations where bulk supply is obtained at a different voltage level.</w:t>
      </w:r>
    </w:p>
    <w:p w:rsidR="007C72D1" w:rsidRPr="00747F76" w:rsidRDefault="007C72D1" w:rsidP="007C72D1">
      <w:pPr>
        <w:pStyle w:val="Heading3"/>
        <w:numPr>
          <w:ilvl w:val="3"/>
          <w:numId w:val="9"/>
        </w:numPr>
      </w:pPr>
      <w:r w:rsidRPr="00747F76">
        <w:t>Internal network charges</w:t>
      </w:r>
    </w:p>
    <w:p w:rsidR="007C72D1" w:rsidRPr="00BF1CBF" w:rsidRDefault="007C72D1" w:rsidP="007C72D1">
      <w:r>
        <w:t>We do</w:t>
      </w:r>
      <w:r w:rsidRPr="00BF1CBF">
        <w:t xml:space="preserve"> not encourage separate network charges for </w:t>
      </w:r>
      <w:r>
        <w:t xml:space="preserve">private </w:t>
      </w:r>
      <w:r w:rsidRPr="00BF1CBF">
        <w:t>networks. Few, if any, situations currently exist where such charges are warranted. The formal determination of network charges by the AER is a complex and involved process, the costs of which will usually be disproportionate to the scale of a</w:t>
      </w:r>
      <w:r>
        <w:t xml:space="preserve"> private</w:t>
      </w:r>
      <w:r w:rsidRPr="00BF1CBF">
        <w:t xml:space="preserve"> network.</w:t>
      </w:r>
    </w:p>
    <w:p w:rsidR="007C72D1" w:rsidRPr="00BF1CBF" w:rsidRDefault="007C72D1" w:rsidP="007C72D1">
      <w:r w:rsidRPr="00BF1CBF">
        <w:t xml:space="preserve">Where an embedded network exists within a commercial building, shopping centre, </w:t>
      </w:r>
      <w:r w:rsidR="00077591">
        <w:t xml:space="preserve">airport, </w:t>
      </w:r>
      <w:r w:rsidR="000C4ADF">
        <w:t xml:space="preserve">residential apartment building, </w:t>
      </w:r>
      <w:r w:rsidRPr="00BF1CBF">
        <w:t>retirement village or the like</w:t>
      </w:r>
      <w:r>
        <w:t>,</w:t>
      </w:r>
      <w:r w:rsidRPr="00BF1CBF">
        <w:t xml:space="preserve"> the AER considers the network development costs to have been met in the initial establishment of the facility. Such costs are capital in nature and are normally recoverable through lease payments, fit-out charges or the like. A charge for network services is not appropriate as it may result in the customer being charged twice for the same facility. Accordingly, no charge is permitted for energy network services.</w:t>
      </w:r>
    </w:p>
    <w:p w:rsidR="007C72D1" w:rsidRDefault="007C72D1" w:rsidP="007C72D1">
      <w:pPr>
        <w:pStyle w:val="Heading3"/>
        <w:numPr>
          <w:ilvl w:val="3"/>
          <w:numId w:val="9"/>
        </w:numPr>
      </w:pPr>
      <w:r>
        <w:t>Charging customers</w:t>
      </w:r>
    </w:p>
    <w:p w:rsidR="007C72D1" w:rsidRDefault="007C72D1" w:rsidP="007C72D1">
      <w:pPr>
        <w:pStyle w:val="AERbodytext"/>
      </w:pPr>
      <w:r>
        <w:t xml:space="preserve">The most frequently asked question is what can I charge customers? </w:t>
      </w:r>
      <w:r w:rsidR="00D45256">
        <w:t>Our pricing condition permits the network owner or operator to charge</w:t>
      </w:r>
      <w:r>
        <w:t>:</w:t>
      </w:r>
    </w:p>
    <w:p w:rsidR="007C72D1" w:rsidRPr="00F072BD" w:rsidRDefault="007C72D1" w:rsidP="007C72D1">
      <w:pPr>
        <w:pStyle w:val="AERbodytext"/>
        <w:spacing w:after="0"/>
        <w:rPr>
          <w:b/>
        </w:rPr>
      </w:pPr>
      <w:r w:rsidRPr="00F072BD">
        <w:rPr>
          <w:b/>
        </w:rPr>
        <w:t>Small customers</w:t>
      </w:r>
    </w:p>
    <w:p w:rsidR="007C72D1" w:rsidRDefault="007C72D1" w:rsidP="007C72D1">
      <w:pPr>
        <w:pStyle w:val="AERbodytext"/>
        <w:numPr>
          <w:ilvl w:val="0"/>
          <w:numId w:val="42"/>
        </w:numPr>
        <w:spacing w:after="0"/>
      </w:pPr>
      <w:r>
        <w:t>A bundled energy tariff (Group A)</w:t>
      </w:r>
    </w:p>
    <w:p w:rsidR="007C72D1" w:rsidRDefault="007C72D1" w:rsidP="007C72D1">
      <w:pPr>
        <w:pStyle w:val="AERbodytext"/>
        <w:numPr>
          <w:ilvl w:val="0"/>
          <w:numId w:val="42"/>
        </w:numPr>
        <w:spacing w:after="0"/>
      </w:pPr>
      <w:r>
        <w:t xml:space="preserve">Actual costs incurred in making metering changes or service capacity upgrades requested by the tenant (Group A or </w:t>
      </w:r>
      <w:r w:rsidR="005A20C5">
        <w:t xml:space="preserve">Group </w:t>
      </w:r>
      <w:r>
        <w:t>B)</w:t>
      </w:r>
    </w:p>
    <w:p w:rsidR="007C72D1" w:rsidRDefault="007C72D1" w:rsidP="007C72D1">
      <w:pPr>
        <w:pStyle w:val="AERbodytext"/>
        <w:numPr>
          <w:ilvl w:val="0"/>
          <w:numId w:val="42"/>
        </w:numPr>
        <w:spacing w:after="0"/>
      </w:pPr>
      <w:r>
        <w:lastRenderedPageBreak/>
        <w:t>A pro-rata charge levied by a registered distributor no greater than the charge the distributor would have made to the customer had the distributor serviced the customer directly (</w:t>
      </w:r>
      <w:r w:rsidR="00762C8C">
        <w:fldChar w:fldCharType="begin"/>
      </w:r>
      <w:r w:rsidR="00762C8C">
        <w:instrText xml:space="preserve"> REF _Ref361908948 \r \h </w:instrText>
      </w:r>
      <w:r w:rsidR="00762C8C">
        <w:fldChar w:fldCharType="separate"/>
      </w:r>
      <w:r w:rsidR="00D94AAA">
        <w:t>4.6.1</w:t>
      </w:r>
      <w:r w:rsidR="00762C8C">
        <w:fldChar w:fldCharType="end"/>
      </w:r>
      <w:r>
        <w:t>)</w:t>
      </w:r>
    </w:p>
    <w:p w:rsidR="007C72D1" w:rsidRDefault="007C72D1" w:rsidP="007C72D1">
      <w:pPr>
        <w:pStyle w:val="AERbodytext"/>
        <w:numPr>
          <w:ilvl w:val="0"/>
          <w:numId w:val="42"/>
        </w:numPr>
        <w:spacing w:after="0"/>
      </w:pPr>
      <w:r>
        <w:t>Charges specified in a residential or commercial lease, tenancy agreement or similar instrument but only where such charges are permitted under relevant jurisdictional legislation.</w:t>
      </w:r>
    </w:p>
    <w:p w:rsidR="007C72D1" w:rsidRDefault="007C72D1" w:rsidP="007C72D1">
      <w:pPr>
        <w:spacing w:after="0"/>
        <w:rPr>
          <w:b/>
        </w:rPr>
      </w:pPr>
    </w:p>
    <w:p w:rsidR="007C72D1" w:rsidRDefault="007C72D1" w:rsidP="007C72D1">
      <w:pPr>
        <w:spacing w:after="0"/>
      </w:pPr>
      <w:r w:rsidRPr="00F072BD">
        <w:rPr>
          <w:b/>
        </w:rPr>
        <w:t>Large customers</w:t>
      </w:r>
    </w:p>
    <w:p w:rsidR="007C72D1" w:rsidRDefault="007C72D1" w:rsidP="007C72D1">
      <w:pPr>
        <w:pStyle w:val="AERbodytext"/>
        <w:numPr>
          <w:ilvl w:val="0"/>
          <w:numId w:val="42"/>
        </w:numPr>
        <w:spacing w:after="0"/>
      </w:pPr>
      <w:r>
        <w:t>A bundled energy tariff (Group A)</w:t>
      </w:r>
    </w:p>
    <w:p w:rsidR="007C72D1" w:rsidRDefault="007C72D1" w:rsidP="007C72D1">
      <w:pPr>
        <w:pStyle w:val="AERbodytext"/>
        <w:numPr>
          <w:ilvl w:val="0"/>
          <w:numId w:val="42"/>
        </w:numPr>
        <w:spacing w:after="0"/>
      </w:pPr>
      <w:r>
        <w:t xml:space="preserve">Actual costs incurred in making metering changes or service capacity upgrades requested by the tenant (Group A or </w:t>
      </w:r>
      <w:r w:rsidR="005A20C5">
        <w:t xml:space="preserve">Group </w:t>
      </w:r>
      <w:r>
        <w:t>B)</w:t>
      </w:r>
    </w:p>
    <w:p w:rsidR="007C72D1" w:rsidRDefault="007C72D1" w:rsidP="007C72D1">
      <w:pPr>
        <w:pStyle w:val="AERbodytext"/>
        <w:numPr>
          <w:ilvl w:val="0"/>
          <w:numId w:val="42"/>
        </w:numPr>
        <w:spacing w:after="0"/>
      </w:pPr>
      <w:r>
        <w:t>A pro-rata charge levied by a registered distributor no greater than the charge the distributor would have made to the customer had the distributor serviced the customer directly (</w:t>
      </w:r>
      <w:r w:rsidR="00762C8C">
        <w:fldChar w:fldCharType="begin"/>
      </w:r>
      <w:r w:rsidR="00762C8C">
        <w:instrText xml:space="preserve"> REF _Ref361908948 \r \h </w:instrText>
      </w:r>
      <w:r w:rsidR="00762C8C">
        <w:fldChar w:fldCharType="separate"/>
      </w:r>
      <w:r w:rsidR="00D94AAA">
        <w:t>4.6.1</w:t>
      </w:r>
      <w:r w:rsidR="00762C8C">
        <w:fldChar w:fldCharType="end"/>
      </w:r>
      <w:r>
        <w:t>)</w:t>
      </w:r>
    </w:p>
    <w:p w:rsidR="007C72D1" w:rsidRDefault="007C72D1" w:rsidP="007C72D1">
      <w:pPr>
        <w:pStyle w:val="AERbodytext"/>
        <w:numPr>
          <w:ilvl w:val="0"/>
          <w:numId w:val="42"/>
        </w:numPr>
        <w:spacing w:after="0"/>
      </w:pPr>
      <w:r>
        <w:t>Mutually agreed additional charges or value added servic</w:t>
      </w:r>
      <w:r w:rsidR="00CA576E">
        <w:t>es under a commercial agreement (Group C).</w:t>
      </w:r>
    </w:p>
    <w:p w:rsidR="007C72D1" w:rsidRDefault="007C72D1" w:rsidP="007C72D1">
      <w:pPr>
        <w:spacing w:after="0"/>
        <w:rPr>
          <w:b/>
        </w:rPr>
      </w:pPr>
    </w:p>
    <w:p w:rsidR="007C72D1" w:rsidRDefault="007C72D1" w:rsidP="007C72D1">
      <w:pPr>
        <w:spacing w:after="0"/>
        <w:rPr>
          <w:b/>
        </w:rPr>
      </w:pPr>
      <w:r w:rsidRPr="00F072BD">
        <w:rPr>
          <w:b/>
        </w:rPr>
        <w:t>Large corporate enterprise</w:t>
      </w:r>
      <w:r>
        <w:rPr>
          <w:b/>
        </w:rPr>
        <w:t>s</w:t>
      </w:r>
    </w:p>
    <w:p w:rsidR="007C72D1" w:rsidRDefault="007C72D1" w:rsidP="007C72D1">
      <w:pPr>
        <w:pStyle w:val="AERbodytext"/>
        <w:numPr>
          <w:ilvl w:val="0"/>
          <w:numId w:val="42"/>
        </w:numPr>
        <w:spacing w:after="0"/>
      </w:pPr>
      <w:r w:rsidRPr="00F072BD">
        <w:t>Charges agreed com</w:t>
      </w:r>
      <w:r>
        <w:t>m</w:t>
      </w:r>
      <w:r w:rsidRPr="00F072BD">
        <w:t>ercially between the parties</w:t>
      </w:r>
      <w:r w:rsidR="00CA576E">
        <w:t xml:space="preserve"> (</w:t>
      </w:r>
      <w:r w:rsidR="001E4CB8">
        <w:t xml:space="preserve">Group C: </w:t>
      </w:r>
      <w:r w:rsidR="001E5CF3">
        <w:t xml:space="preserve">charging </w:t>
      </w:r>
      <w:r w:rsidR="005A20C5">
        <w:t xml:space="preserve">not </w:t>
      </w:r>
      <w:r w:rsidR="00CA576E">
        <w:t>restricted)</w:t>
      </w:r>
      <w:r w:rsidR="005A20C5">
        <w:t>.</w:t>
      </w:r>
    </w:p>
    <w:p w:rsidR="00CA576E" w:rsidRDefault="00CA576E" w:rsidP="00CA576E">
      <w:pPr>
        <w:pStyle w:val="AERbodytext"/>
        <w:numPr>
          <w:ilvl w:val="0"/>
          <w:numId w:val="0"/>
        </w:numPr>
        <w:spacing w:after="0"/>
      </w:pPr>
    </w:p>
    <w:p w:rsidR="00CA576E" w:rsidRDefault="00CA576E" w:rsidP="00CA576E">
      <w:pPr>
        <w:spacing w:after="0"/>
        <w:rPr>
          <w:b/>
        </w:rPr>
      </w:pPr>
      <w:r>
        <w:rPr>
          <w:b/>
        </w:rPr>
        <w:t>Individual Exemptions</w:t>
      </w:r>
    </w:p>
    <w:p w:rsidR="00CA576E" w:rsidRPr="00F072BD" w:rsidRDefault="00CA576E" w:rsidP="00CA576E">
      <w:pPr>
        <w:pStyle w:val="AERbodytext"/>
        <w:numPr>
          <w:ilvl w:val="0"/>
          <w:numId w:val="42"/>
        </w:numPr>
        <w:spacing w:after="0"/>
      </w:pPr>
      <w:r>
        <w:t>Other charging mechanisms as approved by the AER (Group D).</w:t>
      </w:r>
    </w:p>
    <w:p w:rsidR="007C72D1" w:rsidRPr="00AB619E" w:rsidRDefault="007C72D1" w:rsidP="007C72D1">
      <w:pPr>
        <w:pStyle w:val="Heading1"/>
        <w:numPr>
          <w:ilvl w:val="1"/>
          <w:numId w:val="9"/>
        </w:numPr>
      </w:pPr>
      <w:bookmarkStart w:id="54" w:name="_Ref361908335"/>
      <w:bookmarkStart w:id="55" w:name="_Toc365299426"/>
      <w:r w:rsidRPr="00AB619E">
        <w:lastRenderedPageBreak/>
        <w:t>Part C – Registration, Applications and Revocation</w:t>
      </w:r>
      <w:bookmarkEnd w:id="54"/>
      <w:bookmarkEnd w:id="55"/>
    </w:p>
    <w:p w:rsidR="009A7FF4" w:rsidRPr="007219D7" w:rsidRDefault="009A7FF4" w:rsidP="00CD10D9">
      <w:pPr>
        <w:pStyle w:val="Heading2"/>
      </w:pPr>
      <w:bookmarkStart w:id="56" w:name="_Toc365299427"/>
      <w:r w:rsidRPr="007219D7">
        <w:t>Pre-registration</w:t>
      </w:r>
      <w:bookmarkEnd w:id="56"/>
    </w:p>
    <w:p w:rsidR="009A7FF4" w:rsidRDefault="009A7FF4" w:rsidP="00CD10D9">
      <w:r w:rsidRPr="007219D7">
        <w:t xml:space="preserve">You can pre-register for a network exemption by following the processes outlined </w:t>
      </w:r>
      <w:r w:rsidR="00CD10D9">
        <w:t>in this Guideline</w:t>
      </w:r>
      <w:r w:rsidRPr="007219D7">
        <w:t xml:space="preserve">. </w:t>
      </w:r>
      <w:r>
        <w:t xml:space="preserve"> </w:t>
      </w:r>
      <w:bookmarkStart w:id="57" w:name="_Ref361909073"/>
    </w:p>
    <w:p w:rsidR="007C72D1" w:rsidRPr="00747F76" w:rsidRDefault="007C72D1" w:rsidP="007C72D1">
      <w:pPr>
        <w:pStyle w:val="Heading2"/>
        <w:numPr>
          <w:ilvl w:val="2"/>
          <w:numId w:val="9"/>
        </w:numPr>
        <w:jc w:val="both"/>
      </w:pPr>
      <w:bookmarkStart w:id="58" w:name="_Toc365299428"/>
      <w:r w:rsidRPr="00747F76">
        <w:t>Registrable exemption information requirements</w:t>
      </w:r>
      <w:bookmarkEnd w:id="57"/>
      <w:bookmarkEnd w:id="58"/>
    </w:p>
    <w:p w:rsidR="007C72D1" w:rsidRDefault="007C72D1" w:rsidP="007C72D1">
      <w:r>
        <w:t>Registrable exemptions do n</w:t>
      </w:r>
      <w:r w:rsidRPr="002452FC">
        <w:t>o</w:t>
      </w:r>
      <w:r>
        <w:t>t require an</w:t>
      </w:r>
      <w:r w:rsidRPr="002452FC">
        <w:t xml:space="preserve"> application to the AER, but </w:t>
      </w:r>
      <w:r>
        <w:t xml:space="preserve">cover network activities that must be registered with the AER to receive the benefit of an exemption. </w:t>
      </w:r>
    </w:p>
    <w:p w:rsidR="007C72D1" w:rsidRPr="00BF1CBF" w:rsidRDefault="007C72D1" w:rsidP="007C72D1">
      <w:r>
        <w:t xml:space="preserve">Applicants must submit </w:t>
      </w:r>
      <w:r w:rsidRPr="00BF1CBF">
        <w:t xml:space="preserve">the following </w:t>
      </w:r>
      <w:r>
        <w:t>information</w:t>
      </w:r>
      <w:r w:rsidRPr="00BF1CBF">
        <w:t xml:space="preserve"> </w:t>
      </w:r>
      <w:r>
        <w:t>to record a registrable exemption</w:t>
      </w:r>
      <w:r w:rsidRPr="00BF1CBF">
        <w:t>:</w:t>
      </w:r>
    </w:p>
    <w:p w:rsidR="007C72D1" w:rsidRDefault="007C72D1" w:rsidP="007C72D1">
      <w:pPr>
        <w:pStyle w:val="AERbulletlistfirststyle"/>
        <w:numPr>
          <w:ilvl w:val="0"/>
          <w:numId w:val="1"/>
        </w:numPr>
      </w:pPr>
      <w:r w:rsidRPr="00BF1CBF">
        <w:t xml:space="preserve">the name of </w:t>
      </w:r>
      <w:r w:rsidRPr="00747F76">
        <w:t>the party for whom exemption is sought</w:t>
      </w:r>
    </w:p>
    <w:p w:rsidR="007C72D1" w:rsidRPr="00747F76" w:rsidRDefault="007C72D1" w:rsidP="007C72D1">
      <w:pPr>
        <w:pStyle w:val="AERbulletlistfirststyle"/>
        <w:numPr>
          <w:ilvl w:val="0"/>
          <w:numId w:val="1"/>
        </w:numPr>
      </w:pPr>
      <w:r>
        <w:t>details of the company registration (ABN/ACN)</w:t>
      </w:r>
    </w:p>
    <w:p w:rsidR="007C72D1" w:rsidRPr="00747F76" w:rsidRDefault="007C72D1" w:rsidP="007C72D1">
      <w:pPr>
        <w:pStyle w:val="AERbulletlistfirststyle"/>
        <w:numPr>
          <w:ilvl w:val="0"/>
          <w:numId w:val="1"/>
        </w:numPr>
      </w:pPr>
      <w:r>
        <w:t xml:space="preserve">authorised representative </w:t>
      </w:r>
      <w:r w:rsidRPr="00747F76">
        <w:t>contact details, including physical address, email address, and telephone contact numbers</w:t>
      </w:r>
    </w:p>
    <w:p w:rsidR="007C72D1" w:rsidRPr="00747F76" w:rsidRDefault="007C72D1" w:rsidP="007C72D1">
      <w:pPr>
        <w:pStyle w:val="AERbulletlistfirststyle"/>
        <w:numPr>
          <w:ilvl w:val="0"/>
          <w:numId w:val="1"/>
        </w:numPr>
      </w:pPr>
      <w:r>
        <w:t>whether registering as owner or as the controller/operator of a network</w:t>
      </w:r>
    </w:p>
    <w:p w:rsidR="007C72D1" w:rsidRPr="00747F76" w:rsidRDefault="007C72D1" w:rsidP="007C72D1">
      <w:pPr>
        <w:pStyle w:val="AERbulletlistfirststyle"/>
        <w:numPr>
          <w:ilvl w:val="0"/>
          <w:numId w:val="1"/>
        </w:numPr>
      </w:pPr>
      <w:r w:rsidRPr="00BF1CBF">
        <w:t>location of the embedded or exempt network</w:t>
      </w:r>
    </w:p>
    <w:p w:rsidR="007C72D1" w:rsidRPr="00747F76" w:rsidRDefault="007C72D1" w:rsidP="007C72D1">
      <w:pPr>
        <w:pStyle w:val="AERbulletlistfirststyle"/>
        <w:numPr>
          <w:ilvl w:val="0"/>
          <w:numId w:val="1"/>
        </w:numPr>
      </w:pPr>
      <w:r w:rsidRPr="00BF1CBF">
        <w:t>the name of the NEM registered service provider to whom the network connects</w:t>
      </w:r>
    </w:p>
    <w:p w:rsidR="007C72D1" w:rsidRPr="00747F76" w:rsidRDefault="007C72D1" w:rsidP="007C72D1">
      <w:pPr>
        <w:pStyle w:val="AERbulletlistfirststyle"/>
        <w:numPr>
          <w:ilvl w:val="0"/>
          <w:numId w:val="1"/>
        </w:numPr>
      </w:pPr>
      <w:r w:rsidRPr="00BF1CBF">
        <w:t>nature of the activities conducted which require exemption</w:t>
      </w:r>
    </w:p>
    <w:p w:rsidR="007C72D1" w:rsidRPr="00747F76" w:rsidRDefault="007C72D1" w:rsidP="007C72D1">
      <w:pPr>
        <w:pStyle w:val="AERbulletlistfirststyle"/>
        <w:numPr>
          <w:ilvl w:val="0"/>
          <w:numId w:val="1"/>
        </w:numPr>
      </w:pPr>
      <w:r w:rsidRPr="00BF1CBF">
        <w:t>applicable class</w:t>
      </w:r>
      <w:r w:rsidRPr="00747F76">
        <w:t xml:space="preserve"> or classes of exemption</w:t>
      </w:r>
    </w:p>
    <w:p w:rsidR="007C72D1" w:rsidRPr="00747F76" w:rsidRDefault="007C72D1" w:rsidP="007C72D1">
      <w:pPr>
        <w:pStyle w:val="AERbulletlistfirststyle"/>
        <w:numPr>
          <w:ilvl w:val="0"/>
          <w:numId w:val="1"/>
        </w:numPr>
      </w:pPr>
      <w:r w:rsidRPr="00BF1CBF">
        <w:t>date activities commenced (may be ongoing)</w:t>
      </w:r>
    </w:p>
    <w:p w:rsidR="007C72D1" w:rsidRPr="00747F76" w:rsidRDefault="007C72D1" w:rsidP="007C72D1">
      <w:pPr>
        <w:pStyle w:val="AERbulletlistfirststyle"/>
        <w:numPr>
          <w:ilvl w:val="0"/>
          <w:numId w:val="1"/>
        </w:numPr>
      </w:pPr>
      <w:r w:rsidRPr="00BF1CBF">
        <w:t xml:space="preserve">applicable </w:t>
      </w:r>
      <w:r w:rsidRPr="00747F76">
        <w:t>dispute resolution mechanism</w:t>
      </w:r>
    </w:p>
    <w:p w:rsidR="007C72D1" w:rsidRPr="00747F76" w:rsidRDefault="007C72D1" w:rsidP="007C72D1">
      <w:pPr>
        <w:pStyle w:val="AERbulletlistfirststyle"/>
        <w:numPr>
          <w:ilvl w:val="0"/>
          <w:numId w:val="1"/>
        </w:numPr>
      </w:pPr>
      <w:r w:rsidRPr="00BF1CBF">
        <w:t xml:space="preserve">applicable </w:t>
      </w:r>
      <w:r w:rsidRPr="00747F76">
        <w:t>enhanced safety management obligations</w:t>
      </w:r>
    </w:p>
    <w:p w:rsidR="007C72D1" w:rsidRPr="00747F76" w:rsidRDefault="007C72D1" w:rsidP="007C72D1">
      <w:pPr>
        <w:pStyle w:val="AERbulletlistfirststyle"/>
        <w:numPr>
          <w:ilvl w:val="0"/>
          <w:numId w:val="1"/>
        </w:numPr>
      </w:pPr>
      <w:r w:rsidRPr="00BF1CBF">
        <w:t>charging group</w:t>
      </w:r>
      <w:r w:rsidRPr="00747F76">
        <w:t xml:space="preserve"> or groups</w:t>
      </w:r>
    </w:p>
    <w:p w:rsidR="007C72D1" w:rsidRPr="00747F76" w:rsidRDefault="007C72D1" w:rsidP="007C72D1">
      <w:pPr>
        <w:pStyle w:val="AERbulletlistfirststyle"/>
        <w:numPr>
          <w:ilvl w:val="0"/>
          <w:numId w:val="1"/>
        </w:numPr>
      </w:pPr>
      <w:r w:rsidRPr="00BF1CBF">
        <w:t xml:space="preserve">distribution loss factor </w:t>
      </w:r>
      <w:r>
        <w:t>calculation method if not ‘standard’,</w:t>
      </w:r>
      <w:r w:rsidRPr="00747F76">
        <w:t xml:space="preserve"> and</w:t>
      </w:r>
    </w:p>
    <w:p w:rsidR="007C72D1" w:rsidRPr="00747F76" w:rsidRDefault="007C72D1" w:rsidP="007C72D1">
      <w:pPr>
        <w:pStyle w:val="AERbulletlistfirststyle"/>
        <w:numPr>
          <w:ilvl w:val="0"/>
          <w:numId w:val="1"/>
        </w:numPr>
      </w:pPr>
      <w:r w:rsidRPr="00BF1CBF">
        <w:t xml:space="preserve">if relevant, </w:t>
      </w:r>
      <w:r w:rsidRPr="00747F76">
        <w:t>the name(s) of any NEM metering service provider(s).</w:t>
      </w:r>
    </w:p>
    <w:p w:rsidR="007C72D1" w:rsidRDefault="007C72D1" w:rsidP="007C72D1">
      <w:pPr>
        <w:pStyle w:val="AERbodytext"/>
        <w:numPr>
          <w:ilvl w:val="0"/>
          <w:numId w:val="7"/>
        </w:numPr>
        <w:spacing w:before="0" w:after="240"/>
      </w:pPr>
      <w:r>
        <w:t>Application forms can be downloaded from our website. Applications to register or amend a registration may be made in writing</w:t>
      </w:r>
      <w:r w:rsidRPr="00A73EC6">
        <w:t xml:space="preserve"> </w:t>
      </w:r>
      <w:r>
        <w:t xml:space="preserve">or submitted </w:t>
      </w:r>
      <w:r w:rsidRPr="0036277D">
        <w:t xml:space="preserve">electronically </w:t>
      </w:r>
      <w:r>
        <w:t xml:space="preserve">to us </w:t>
      </w:r>
      <w:r w:rsidRPr="0036277D">
        <w:t xml:space="preserve">at </w:t>
      </w:r>
      <w:hyperlink r:id="rId15" w:history="1">
        <w:r w:rsidRPr="00B237AC">
          <w:rPr>
            <w:rStyle w:val="AERbody"/>
          </w:rPr>
          <w:t>aerexemptions@aer.gov.au</w:t>
        </w:r>
      </w:hyperlink>
      <w:r>
        <w:t xml:space="preserve">, in accordance with </w:t>
      </w:r>
      <w:r w:rsidRPr="007E176E">
        <w:t>information</w:t>
      </w:r>
      <w:r>
        <w:t xml:space="preserve"> requirements set out above.</w:t>
      </w:r>
      <w:r w:rsidRPr="00BF2EA2">
        <w:t xml:space="preserve"> </w:t>
      </w:r>
      <w:r>
        <w:t xml:space="preserve">We will develop a unified registration </w:t>
      </w:r>
      <w:r w:rsidRPr="009D46D9">
        <w:t xml:space="preserve">process </w:t>
      </w:r>
      <w:r>
        <w:t xml:space="preserve">for both the network Guideline and Exempt Selling Guideline to facilitate </w:t>
      </w:r>
      <w:r w:rsidRPr="009D46D9">
        <w:t>applicant</w:t>
      </w:r>
      <w:r>
        <w:t>s</w:t>
      </w:r>
      <w:r w:rsidRPr="009D46D9">
        <w:t xml:space="preserve"> seeking an exemption from both sets of requirements</w:t>
      </w:r>
      <w:r>
        <w:t>.</w:t>
      </w:r>
    </w:p>
    <w:p w:rsidR="007C72D1" w:rsidRDefault="007C72D1" w:rsidP="007C72D1">
      <w:pPr>
        <w:pStyle w:val="AERbodytext"/>
        <w:numPr>
          <w:ilvl w:val="0"/>
          <w:numId w:val="7"/>
        </w:numPr>
        <w:spacing w:before="0" w:after="240"/>
        <w:rPr>
          <w:rStyle w:val="AERbody"/>
        </w:rPr>
      </w:pPr>
      <w:r w:rsidRPr="006D2519">
        <w:rPr>
          <w:rStyle w:val="AERbody"/>
        </w:rPr>
        <w:t xml:space="preserve">Parties who believe a registrable exemption is applicable to their current circumstances must, within not more than </w:t>
      </w:r>
      <w:r>
        <w:rPr>
          <w:rStyle w:val="AERbody"/>
        </w:rPr>
        <w:t>2</w:t>
      </w:r>
      <w:r w:rsidRPr="006D2519">
        <w:rPr>
          <w:rStyle w:val="AERbody"/>
        </w:rPr>
        <w:t>0 business days of commencing to own, operate or control a private network, complete the registration requirements. Multiple classes may apply to some private networks.</w:t>
      </w:r>
      <w:r>
        <w:rPr>
          <w:rStyle w:val="AERbody"/>
        </w:rPr>
        <w:t xml:space="preserve"> </w:t>
      </w:r>
    </w:p>
    <w:p w:rsidR="007C72D1" w:rsidRDefault="007C72D1" w:rsidP="007C72D1">
      <w:pPr>
        <w:pStyle w:val="AERbodytext"/>
        <w:numPr>
          <w:ilvl w:val="0"/>
          <w:numId w:val="7"/>
        </w:numPr>
        <w:spacing w:before="0" w:after="240"/>
      </w:pPr>
      <w:r>
        <w:lastRenderedPageBreak/>
        <w:t xml:space="preserve">We </w:t>
      </w:r>
      <w:r w:rsidRPr="00950A4D">
        <w:t xml:space="preserve">will acknowledge all </w:t>
      </w:r>
      <w:r>
        <w:t>registrations</w:t>
      </w:r>
      <w:r w:rsidRPr="00950A4D">
        <w:t xml:space="preserve"> </w:t>
      </w:r>
      <w:r>
        <w:t xml:space="preserve">with a reply </w:t>
      </w:r>
      <w:r w:rsidRPr="00950A4D">
        <w:t xml:space="preserve">email and provide details of a contact person </w:t>
      </w:r>
      <w:r>
        <w:t xml:space="preserve">within </w:t>
      </w:r>
      <w:r w:rsidRPr="00950A4D">
        <w:t xml:space="preserve">the AER who will respond to any </w:t>
      </w:r>
      <w:r>
        <w:t>i</w:t>
      </w:r>
      <w:r w:rsidRPr="00950A4D">
        <w:t xml:space="preserve">nquiries regarding </w:t>
      </w:r>
      <w:r>
        <w:t>the</w:t>
      </w:r>
      <w:r w:rsidRPr="00950A4D">
        <w:t xml:space="preserve"> </w:t>
      </w:r>
      <w:r w:rsidRPr="00EE4B79">
        <w:t xml:space="preserve">registration. </w:t>
      </w:r>
      <w:r>
        <w:t xml:space="preserve">If any of the information provided to us for the purposes of registration changes during or after registration, we should be notified within 20 business days of the change to ensure that the registered exemption remains valid. </w:t>
      </w:r>
    </w:p>
    <w:p w:rsidR="007C72D1" w:rsidRDefault="007C72D1" w:rsidP="007C72D1">
      <w:r>
        <w:t xml:space="preserve">The registered exemption applies to the owner and the operator (as appropriate) for a particular site from the time they are entered on the Register of Exempt Networks. </w:t>
      </w:r>
    </w:p>
    <w:p w:rsidR="007C72D1" w:rsidRDefault="007C72D1" w:rsidP="007C72D1">
      <w:r>
        <w:t>Should an affected party seek to vary any conditions associated with a registrable exemption, they</w:t>
      </w:r>
      <w:r w:rsidRPr="00B820A0">
        <w:t xml:space="preserve"> </w:t>
      </w:r>
      <w:r>
        <w:t xml:space="preserve">no longer meet the requirements for a registrable exemption and would need to apply for an individual exemption. </w:t>
      </w:r>
    </w:p>
    <w:p w:rsidR="007C72D1" w:rsidRPr="00747F76" w:rsidRDefault="007C72D1" w:rsidP="007C72D1">
      <w:pPr>
        <w:pStyle w:val="Heading2"/>
        <w:numPr>
          <w:ilvl w:val="2"/>
          <w:numId w:val="9"/>
        </w:numPr>
        <w:jc w:val="both"/>
      </w:pPr>
      <w:r w:rsidRPr="00747F76">
        <w:t xml:space="preserve">  </w:t>
      </w:r>
      <w:bookmarkStart w:id="59" w:name="_Ref361831452"/>
      <w:bookmarkStart w:id="60" w:name="_Toc365299429"/>
      <w:r w:rsidRPr="00747F76">
        <w:t>Application for individual exemption or variation of conditions</w:t>
      </w:r>
      <w:bookmarkEnd w:id="59"/>
      <w:bookmarkEnd w:id="60"/>
    </w:p>
    <w:p w:rsidR="007C72D1" w:rsidRDefault="007C72D1" w:rsidP="007C72D1">
      <w:pPr>
        <w:pStyle w:val="AERbodytext"/>
        <w:numPr>
          <w:ilvl w:val="0"/>
          <w:numId w:val="7"/>
        </w:numPr>
        <w:spacing w:before="0" w:after="240"/>
      </w:pPr>
      <w:r>
        <w:t xml:space="preserve">Individual exemptions are </w:t>
      </w:r>
      <w:r w:rsidRPr="001517C1">
        <w:t xml:space="preserve">granted </w:t>
      </w:r>
      <w:r>
        <w:t>by</w:t>
      </w:r>
      <w:r w:rsidRPr="001517C1">
        <w:t xml:space="preserve"> application </w:t>
      </w:r>
      <w:r>
        <w:t xml:space="preserve">to the AER </w:t>
      </w:r>
      <w:r w:rsidRPr="001517C1">
        <w:t>on a case-by-case basis</w:t>
      </w:r>
      <w:r>
        <w:t xml:space="preserve"> for network activities that do not meet the criteria for a deemed or registrable exemption.</w:t>
      </w:r>
    </w:p>
    <w:p w:rsidR="007C72D1" w:rsidRDefault="007C72D1" w:rsidP="007C72D1">
      <w:r>
        <w:t xml:space="preserve">Applicants must submit </w:t>
      </w:r>
      <w:r w:rsidRPr="00BF1CBF">
        <w:t xml:space="preserve">the following </w:t>
      </w:r>
      <w:r>
        <w:t>information</w:t>
      </w:r>
      <w:r w:rsidRPr="00BF1CBF">
        <w:t xml:space="preserve"> </w:t>
      </w:r>
      <w:r>
        <w:t>to apply for an individual exemption</w:t>
      </w:r>
      <w:r w:rsidRPr="00BF1CBF">
        <w:t>:</w:t>
      </w:r>
    </w:p>
    <w:p w:rsidR="007C72D1" w:rsidRPr="00BF1CBF" w:rsidRDefault="007C72D1" w:rsidP="007C72D1">
      <w:pPr>
        <w:pStyle w:val="AERbulletlistfirststyle"/>
        <w:numPr>
          <w:ilvl w:val="0"/>
          <w:numId w:val="1"/>
        </w:numPr>
      </w:pPr>
      <w:r w:rsidRPr="00BF1CBF">
        <w:t>the name of every party for whom exemption is sought</w:t>
      </w:r>
    </w:p>
    <w:p w:rsidR="007C72D1" w:rsidRPr="00BF1CBF" w:rsidRDefault="007C72D1" w:rsidP="007C72D1">
      <w:pPr>
        <w:pStyle w:val="AERbulletlistfirststyle"/>
        <w:numPr>
          <w:ilvl w:val="0"/>
          <w:numId w:val="1"/>
        </w:numPr>
      </w:pPr>
      <w:r w:rsidRPr="00BF1CBF">
        <w:t>the nature of the normal business activities of the applicant</w:t>
      </w:r>
    </w:p>
    <w:p w:rsidR="007C72D1" w:rsidRPr="00747F76" w:rsidRDefault="007C72D1" w:rsidP="007C72D1">
      <w:pPr>
        <w:pStyle w:val="AERbulletlistfirststyle"/>
        <w:numPr>
          <w:ilvl w:val="0"/>
          <w:numId w:val="1"/>
        </w:numPr>
      </w:pPr>
      <w:r w:rsidRPr="00BF1CBF">
        <w:t xml:space="preserve">if </w:t>
      </w:r>
      <w:r w:rsidRPr="00747F76">
        <w:t>the application is made by an authorised agent, proof of authority for the agent to act on behalf of each named applicant</w:t>
      </w:r>
    </w:p>
    <w:p w:rsidR="007C72D1" w:rsidRPr="00BF1CBF" w:rsidRDefault="007C72D1" w:rsidP="007C72D1">
      <w:pPr>
        <w:pStyle w:val="AERbulletlistfirststyle"/>
        <w:numPr>
          <w:ilvl w:val="0"/>
          <w:numId w:val="1"/>
        </w:numPr>
      </w:pPr>
      <w:r w:rsidRPr="00BF1CBF">
        <w:t>the precise network to be subject to the exemption, including circuit diagrams if necessary (in most circumstances less complex single-line diagrams will be sufficient)</w:t>
      </w:r>
    </w:p>
    <w:p w:rsidR="007C72D1" w:rsidRPr="00BF1CBF" w:rsidRDefault="007C72D1" w:rsidP="007C72D1">
      <w:pPr>
        <w:pStyle w:val="AERbulletlistfirststyle"/>
        <w:numPr>
          <w:ilvl w:val="0"/>
          <w:numId w:val="1"/>
        </w:numPr>
      </w:pPr>
      <w:r w:rsidRPr="00BF1CBF">
        <w:t>a description of the parties connected to, or likely to connect to, or otherwise obtain services from the network</w:t>
      </w:r>
    </w:p>
    <w:p w:rsidR="007C72D1" w:rsidRPr="00BF1CBF" w:rsidRDefault="007C72D1" w:rsidP="007C72D1">
      <w:pPr>
        <w:pStyle w:val="AERbulletlistfirststyle"/>
        <w:numPr>
          <w:ilvl w:val="0"/>
          <w:numId w:val="1"/>
        </w:numPr>
      </w:pPr>
      <w:r w:rsidRPr="00BF1CBF">
        <w:t>if an industrial or commercial situation, whether the proposed on-supply is subject to agreed commercial terms between consenting parties with appropriate recourse to professional advice</w:t>
      </w:r>
    </w:p>
    <w:p w:rsidR="007C72D1" w:rsidRPr="00747F76" w:rsidRDefault="007C72D1" w:rsidP="007C72D1">
      <w:pPr>
        <w:pStyle w:val="AERbulletlistfirststyle"/>
        <w:numPr>
          <w:ilvl w:val="0"/>
          <w:numId w:val="1"/>
        </w:numPr>
      </w:pPr>
      <w:r w:rsidRPr="00BF1CBF">
        <w:t>whether the</w:t>
      </w:r>
      <w:r w:rsidRPr="00747F76">
        <w:t xml:space="preserve"> applicants is seeking (or has received) exemptions from any other codes or regulations governing the ownership or operation of networks or metering requirements applicable within the relevant jurisdiction, including details of those exemptions or applications for exemptions</w:t>
      </w:r>
    </w:p>
    <w:p w:rsidR="007C72D1" w:rsidRPr="00747F76" w:rsidRDefault="007C72D1" w:rsidP="007C72D1">
      <w:pPr>
        <w:pStyle w:val="AERbulletlistfirststyle"/>
        <w:numPr>
          <w:ilvl w:val="0"/>
          <w:numId w:val="1"/>
        </w:numPr>
      </w:pPr>
      <w:r w:rsidRPr="00BF1CBF">
        <w:t>whether they are seeking exemption from the requirement to register as an</w:t>
      </w:r>
      <w:r w:rsidRPr="00747F76">
        <w:t xml:space="preserve"> NSP or from the application of chapter 5 </w:t>
      </w:r>
      <w:r>
        <w:t xml:space="preserve">of the NER </w:t>
      </w:r>
      <w:r w:rsidRPr="00747F76">
        <w:t>or if they are seeking to vary the conditions otherwise applicable to a defined exemption class (if so, which conditions and why a variation is justified)</w:t>
      </w:r>
    </w:p>
    <w:p w:rsidR="007C72D1" w:rsidRPr="00747F76" w:rsidRDefault="007C72D1" w:rsidP="007C72D1">
      <w:pPr>
        <w:pStyle w:val="AERbulletlistfirststyle"/>
        <w:numPr>
          <w:ilvl w:val="0"/>
          <w:numId w:val="1"/>
        </w:numPr>
      </w:pPr>
      <w:r w:rsidRPr="00BF1CBF">
        <w:t>details of the registered NSP to whom the network is, or will be, connected</w:t>
      </w:r>
    </w:p>
    <w:p w:rsidR="007C72D1" w:rsidRPr="00747F76" w:rsidRDefault="007C72D1" w:rsidP="007C72D1">
      <w:pPr>
        <w:pStyle w:val="AERbulletlistfirststyle"/>
        <w:numPr>
          <w:ilvl w:val="0"/>
          <w:numId w:val="1"/>
        </w:numPr>
      </w:pPr>
      <w:r w:rsidRPr="00BF1CBF">
        <w:t xml:space="preserve">details of any preliminary </w:t>
      </w:r>
      <w:r w:rsidRPr="00747F76">
        <w:t>discussions which have taken place between the applicant and the NSP</w:t>
      </w:r>
    </w:p>
    <w:p w:rsidR="007C72D1" w:rsidRPr="00747F76" w:rsidRDefault="007C72D1" w:rsidP="007C72D1">
      <w:pPr>
        <w:pStyle w:val="AERbulletlistfirststyle"/>
        <w:numPr>
          <w:ilvl w:val="0"/>
          <w:numId w:val="1"/>
        </w:numPr>
      </w:pPr>
      <w:r w:rsidRPr="00BF1CBF">
        <w:t xml:space="preserve">the </w:t>
      </w:r>
      <w:r w:rsidRPr="00747F76">
        <w:t xml:space="preserve">arrangements proposed for setting network charges for parties using the network </w:t>
      </w:r>
    </w:p>
    <w:p w:rsidR="007C72D1" w:rsidRPr="00BF1CBF" w:rsidRDefault="007C72D1" w:rsidP="007C72D1">
      <w:pPr>
        <w:pStyle w:val="AERbulletlistfirststyle"/>
        <w:numPr>
          <w:ilvl w:val="0"/>
          <w:numId w:val="1"/>
        </w:numPr>
      </w:pPr>
      <w:r w:rsidRPr="00BF1CBF">
        <w:lastRenderedPageBreak/>
        <w:t>mailing details for all stakeholders affected by the grant of an individual exemption</w:t>
      </w:r>
    </w:p>
    <w:p w:rsidR="007C72D1" w:rsidRPr="00747F76" w:rsidRDefault="007C72D1" w:rsidP="007C72D1">
      <w:pPr>
        <w:pStyle w:val="AERbulletlistfirststyle"/>
        <w:numPr>
          <w:ilvl w:val="0"/>
          <w:numId w:val="1"/>
        </w:numPr>
      </w:pPr>
      <w:r w:rsidRPr="00BF1CBF">
        <w:t xml:space="preserve">the </w:t>
      </w:r>
      <w:r w:rsidRPr="00747F76">
        <w:t>arrangements proposed for energy charges (e.g. fixed percentage of total costs or direct access to retailers by tenants)</w:t>
      </w:r>
      <w:r>
        <w:t>,</w:t>
      </w:r>
      <w:r w:rsidRPr="00747F76">
        <w:t xml:space="preserve"> and</w:t>
      </w:r>
    </w:p>
    <w:p w:rsidR="007C72D1" w:rsidRPr="00747F76" w:rsidRDefault="007C72D1" w:rsidP="007C72D1">
      <w:pPr>
        <w:pStyle w:val="AERbulletlistfirststyle"/>
        <w:numPr>
          <w:ilvl w:val="0"/>
          <w:numId w:val="1"/>
        </w:numPr>
      </w:pPr>
      <w:r w:rsidRPr="00BF1CBF">
        <w:t xml:space="preserve">detailed </w:t>
      </w:r>
      <w:r w:rsidRPr="00747F76">
        <w:t>supporting argument why exemption will serve the long-term interests of electricity consumers connected to the network and more generally, across the NEM.</w:t>
      </w:r>
    </w:p>
    <w:p w:rsidR="007C72D1" w:rsidRDefault="007C72D1" w:rsidP="007C72D1">
      <w:pPr>
        <w:pStyle w:val="AERbodytext"/>
        <w:numPr>
          <w:ilvl w:val="0"/>
          <w:numId w:val="7"/>
        </w:numPr>
        <w:spacing w:before="0" w:after="240"/>
      </w:pPr>
      <w:r>
        <w:t>An application for an individual exemption must be made in writing</w:t>
      </w:r>
      <w:r w:rsidRPr="00A73EC6">
        <w:t xml:space="preserve"> </w:t>
      </w:r>
      <w:r>
        <w:t xml:space="preserve">and may be submitted </w:t>
      </w:r>
      <w:r w:rsidRPr="0036277D">
        <w:t xml:space="preserve">electronically </w:t>
      </w:r>
      <w:r>
        <w:t xml:space="preserve">to us </w:t>
      </w:r>
      <w:r w:rsidRPr="0036277D">
        <w:t xml:space="preserve">at </w:t>
      </w:r>
      <w:hyperlink r:id="rId16" w:history="1">
        <w:r w:rsidRPr="00B237AC">
          <w:rPr>
            <w:rStyle w:val="AERbody"/>
          </w:rPr>
          <w:t>aerexemptions@aer.gov.au</w:t>
        </w:r>
      </w:hyperlink>
      <w:r>
        <w:t xml:space="preserve">. </w:t>
      </w:r>
    </w:p>
    <w:p w:rsidR="007C72D1" w:rsidRDefault="007C72D1" w:rsidP="007C72D1">
      <w:r>
        <w:t xml:space="preserve">We </w:t>
      </w:r>
      <w:r w:rsidRPr="00950A4D">
        <w:t xml:space="preserve">will acknowledge all </w:t>
      </w:r>
      <w:r>
        <w:t>individual exemption applications</w:t>
      </w:r>
      <w:r w:rsidRPr="00950A4D">
        <w:t xml:space="preserve"> </w:t>
      </w:r>
      <w:r>
        <w:t xml:space="preserve">with a reply </w:t>
      </w:r>
      <w:r w:rsidRPr="00950A4D">
        <w:t xml:space="preserve">email and provide details of a contact person </w:t>
      </w:r>
      <w:r>
        <w:t xml:space="preserve">within </w:t>
      </w:r>
      <w:r w:rsidRPr="00950A4D">
        <w:t xml:space="preserve">the AER who will respond to any </w:t>
      </w:r>
      <w:r>
        <w:t>i</w:t>
      </w:r>
      <w:r w:rsidRPr="00950A4D">
        <w:t xml:space="preserve">nquiries regarding </w:t>
      </w:r>
      <w:r>
        <w:t>the</w:t>
      </w:r>
      <w:r w:rsidRPr="00950A4D">
        <w:t xml:space="preserve"> </w:t>
      </w:r>
      <w:r>
        <w:t>application</w:t>
      </w:r>
      <w:r w:rsidRPr="00EE4B79">
        <w:t xml:space="preserve">. </w:t>
      </w:r>
      <w:r>
        <w:t xml:space="preserve">If any of the information provided to us for changes during or after the individual exemption application is made, we should be promptly notified of the change. </w:t>
      </w:r>
    </w:p>
    <w:p w:rsidR="007C72D1" w:rsidRPr="00747F76" w:rsidRDefault="007C72D1" w:rsidP="007C72D1">
      <w:r w:rsidRPr="00BF1CBF">
        <w:t xml:space="preserve">Applications for variation of conditions </w:t>
      </w:r>
      <w:r w:rsidRPr="00747F76">
        <w:t>must explain in persuasive terms why the pre-defined conditions will result in an excessive regulatory burden and demonstrate how relief from the conditions will better serve customers. We may request additional information from applicants prior to processing an application for exemption.</w:t>
      </w:r>
    </w:p>
    <w:p w:rsidR="007C72D1" w:rsidRPr="00747F76" w:rsidRDefault="007C72D1" w:rsidP="007C72D1">
      <w:pPr>
        <w:pStyle w:val="AERbodytext"/>
        <w:numPr>
          <w:ilvl w:val="0"/>
          <w:numId w:val="7"/>
        </w:numPr>
        <w:spacing w:before="0" w:after="240"/>
      </w:pPr>
      <w:r>
        <w:t>We are</w:t>
      </w:r>
      <w:r w:rsidRPr="00BF1CBF">
        <w:t xml:space="preserve"> empowered to consult affected stakeholders on any application for exemption.</w:t>
      </w:r>
      <w:r>
        <w:t xml:space="preserve"> As stated in section </w:t>
      </w:r>
      <w:r w:rsidR="00762C8C">
        <w:fldChar w:fldCharType="begin"/>
      </w:r>
      <w:r w:rsidR="00762C8C">
        <w:instrText xml:space="preserve"> REF _Ref361909031 \r \h </w:instrText>
      </w:r>
      <w:r w:rsidR="00762C8C">
        <w:fldChar w:fldCharType="separate"/>
      </w:r>
      <w:r w:rsidR="00D94AAA">
        <w:t>2.4.1</w:t>
      </w:r>
      <w:r w:rsidR="00762C8C">
        <w:fldChar w:fldCharType="end"/>
      </w:r>
      <w:r w:rsidR="00762C8C">
        <w:t xml:space="preserve"> </w:t>
      </w:r>
      <w:r>
        <w:t>we will seek written submissions on the application from interested stakeholders via a notice on our website.</w:t>
      </w:r>
      <w:r w:rsidRPr="00BF1CBF">
        <w:t xml:space="preserve"> Applications may contain confidential information. If so, a redacted version of each submission is required</w:t>
      </w:r>
      <w:r w:rsidRPr="00747F76">
        <w:t xml:space="preserve"> in a form suitable for publication electronically should the AER elect to consult widely on a particular application. </w:t>
      </w:r>
    </w:p>
    <w:p w:rsidR="007C72D1" w:rsidRDefault="007C72D1" w:rsidP="007C72D1">
      <w:pPr>
        <w:pStyle w:val="AERbodytext"/>
        <w:numPr>
          <w:ilvl w:val="0"/>
          <w:numId w:val="7"/>
        </w:numPr>
        <w:spacing w:before="0" w:after="240"/>
      </w:pPr>
      <w:r>
        <w:t>The individual exemption applies to an operator for a particular site from the time they are entered on the Register of Exempt Networks. We will inform the applicant o</w:t>
      </w:r>
      <w:r w:rsidRPr="00DB10E1">
        <w:t xml:space="preserve">f </w:t>
      </w:r>
      <w:r>
        <w:t>our</w:t>
      </w:r>
      <w:r w:rsidRPr="00DB10E1">
        <w:t xml:space="preserve"> decision</w:t>
      </w:r>
      <w:r>
        <w:t xml:space="preserve"> regarding the application</w:t>
      </w:r>
      <w:r w:rsidRPr="00653CD3">
        <w:t xml:space="preserve"> </w:t>
      </w:r>
      <w:r>
        <w:t xml:space="preserve">for </w:t>
      </w:r>
      <w:r w:rsidRPr="00DB10E1">
        <w:t xml:space="preserve">the </w:t>
      </w:r>
      <w:r>
        <w:t xml:space="preserve">grant or variation of the individual exemption. </w:t>
      </w:r>
    </w:p>
    <w:p w:rsidR="007C72D1" w:rsidRPr="00747F76" w:rsidRDefault="007C72D1" w:rsidP="007C72D1">
      <w:r>
        <w:t>An individual exemption is personal to the applicant, and does not apply to any other person that owns, controls or operates the network at the time of the decision or in the future. An individual exemption is no</w:t>
      </w:r>
      <w:r w:rsidRPr="00747F76">
        <w:t xml:space="preserve">t transferrable; however, we accept the need for transitional arrangements.  </w:t>
      </w:r>
    </w:p>
    <w:p w:rsidR="007C72D1" w:rsidRPr="00BF1CBF" w:rsidRDefault="007C72D1" w:rsidP="007C72D1">
      <w:r>
        <w:t>Where an application for individual exemption is for a network previously registered with us and we have not revoked that registration, the terms of the pre-existing arrangement will continue to apply to the new applicant until the effective date of a new exemption notified by us in response to the application.</w:t>
      </w:r>
    </w:p>
    <w:p w:rsidR="007C72D1" w:rsidRPr="00747F76" w:rsidRDefault="007C72D1" w:rsidP="007C72D1">
      <w:pPr>
        <w:pStyle w:val="Heading2"/>
        <w:numPr>
          <w:ilvl w:val="2"/>
          <w:numId w:val="9"/>
        </w:numPr>
        <w:jc w:val="both"/>
      </w:pPr>
      <w:r w:rsidRPr="00747F76">
        <w:t xml:space="preserve"> </w:t>
      </w:r>
      <w:bookmarkStart w:id="61" w:name="_Toc365299430"/>
      <w:r w:rsidRPr="00747F76">
        <w:t>Revocation of an exemption</w:t>
      </w:r>
      <w:bookmarkEnd w:id="61"/>
    </w:p>
    <w:p w:rsidR="007C72D1" w:rsidRPr="00BF1CBF" w:rsidRDefault="007C72D1" w:rsidP="007C72D1">
      <w:pPr>
        <w:pStyle w:val="AERbodytext"/>
        <w:numPr>
          <w:ilvl w:val="0"/>
          <w:numId w:val="7"/>
        </w:numPr>
        <w:spacing w:before="0" w:after="240"/>
      </w:pPr>
      <w:r>
        <w:t xml:space="preserve">We </w:t>
      </w:r>
      <w:r w:rsidRPr="00BF1CBF">
        <w:t xml:space="preserve">can revoke any network exemption granted including an exemption for a network operating under a deemed exemption or a registered exemption. The grounds for revocation are that </w:t>
      </w:r>
      <w:r>
        <w:t>we are</w:t>
      </w:r>
      <w:r w:rsidRPr="00BF1CBF">
        <w:t xml:space="preserve"> satisfied that there has been a failure by the exempt party to meet the conditions imposed on them. We will consider what constitutes a ‘failure’ on a case by case basis as matters come to our attention. In general, </w:t>
      </w:r>
      <w:r>
        <w:t>we</w:t>
      </w:r>
      <w:r w:rsidRPr="00BF1CBF">
        <w:t xml:space="preserve"> will conclude there to have been a failure by an exempt party where there is:</w:t>
      </w:r>
    </w:p>
    <w:p w:rsidR="007C72D1" w:rsidRDefault="007C72D1" w:rsidP="007C72D1">
      <w:pPr>
        <w:pStyle w:val="AERnumberedlistfirststyle"/>
        <w:numPr>
          <w:ilvl w:val="1"/>
          <w:numId w:val="16"/>
        </w:numPr>
      </w:pPr>
      <w:r w:rsidRPr="00BF1CBF">
        <w:t>an unacceptable impact on a connected network</w:t>
      </w:r>
      <w:r w:rsidRPr="00747F76">
        <w:t xml:space="preserve"> or</w:t>
      </w:r>
    </w:p>
    <w:p w:rsidR="007C72D1" w:rsidRPr="00747F76" w:rsidRDefault="007C72D1" w:rsidP="007C72D1">
      <w:pPr>
        <w:pStyle w:val="AERnumberedlistfirststyle"/>
        <w:numPr>
          <w:ilvl w:val="1"/>
          <w:numId w:val="16"/>
        </w:numPr>
      </w:pPr>
      <w:r>
        <w:t>a</w:t>
      </w:r>
      <w:r w:rsidRPr="00747F76">
        <w:t xml:space="preserve">n unacceptable impact on national electricity market operations as a result of the operation of the network or </w:t>
      </w:r>
    </w:p>
    <w:p w:rsidR="007C72D1" w:rsidRDefault="007C72D1" w:rsidP="007C72D1">
      <w:pPr>
        <w:pStyle w:val="AERnumberedlistfirststyle"/>
        <w:numPr>
          <w:ilvl w:val="1"/>
          <w:numId w:val="16"/>
        </w:numPr>
      </w:pPr>
      <w:r w:rsidRPr="00BF1CBF">
        <w:lastRenderedPageBreak/>
        <w:t>the</w:t>
      </w:r>
      <w:r w:rsidRPr="00747F76">
        <w:t xml:space="preserve"> exempt party has not complied with conditions imposed on them as part of their exemption and as a result, there has been a significant or widespread impact on their customers.</w:t>
      </w:r>
    </w:p>
    <w:p w:rsidR="007C72D1" w:rsidRPr="00747F76" w:rsidRDefault="007C72D1" w:rsidP="007C72D1">
      <w:r w:rsidRPr="00BF1CBF">
        <w:t>S</w:t>
      </w:r>
      <w:r w:rsidRPr="00747F76">
        <w:t xml:space="preserve">ubject always to there being no immediate threat to the health or safety of any party served by an exempt network and there being no adverse impact on a connected network or on market operations, </w:t>
      </w:r>
      <w:r>
        <w:t>we</w:t>
      </w:r>
      <w:r w:rsidRPr="00747F76">
        <w:t xml:space="preserve"> will align </w:t>
      </w:r>
      <w:r w:rsidR="00095E38">
        <w:t xml:space="preserve">the </w:t>
      </w:r>
      <w:r w:rsidRPr="00747F76">
        <w:t>process for revocation of a network exemption to the equivalent process imposed in Section 120 of the Retail Law for retail matters. This process includes the following steps:</w:t>
      </w:r>
    </w:p>
    <w:p w:rsidR="007C72D1" w:rsidRPr="00747F76" w:rsidRDefault="007C72D1" w:rsidP="007C72D1">
      <w:pPr>
        <w:pStyle w:val="AERnumberedlistfirststyle"/>
        <w:numPr>
          <w:ilvl w:val="1"/>
          <w:numId w:val="14"/>
        </w:numPr>
      </w:pPr>
      <w:r>
        <w:t>We</w:t>
      </w:r>
      <w:r w:rsidRPr="00747F76">
        <w:t xml:space="preserve"> will first give the exempt network proprietor a notice that it intends to revoke the exemption, and the reasons why the AER considers that grounds for revocation exist. </w:t>
      </w:r>
    </w:p>
    <w:p w:rsidR="007C72D1" w:rsidRPr="00747F76" w:rsidRDefault="007C72D1" w:rsidP="007C72D1">
      <w:pPr>
        <w:pStyle w:val="AERnumberedlistfirststyle"/>
        <w:numPr>
          <w:ilvl w:val="1"/>
          <w:numId w:val="14"/>
        </w:numPr>
      </w:pPr>
      <w:r w:rsidRPr="00BF1CBF">
        <w:t>The</w:t>
      </w:r>
      <w:r w:rsidRPr="00747F76">
        <w:t xml:space="preserve"> exempt network proprietor must respond to the notice in writing during the time specified by the AER, showing why the exemption should not be revoked and proposing actions the exempt network proprietor will take to rectify the problem.</w:t>
      </w:r>
    </w:p>
    <w:p w:rsidR="007C72D1" w:rsidRDefault="007C72D1" w:rsidP="007C72D1">
      <w:r w:rsidRPr="00BF1CBF">
        <w:t>If we are not satisfied with the exempt party’s response, we may fix a time for the revocation to take effect and inform the exempt party of any conditions with which they must comply. Where an exemption for an exempt party operating under a class exemption is revoked, the exempt party is no longer eligible to operate under that class. If they continue to operate the network, they will be in breach of section 11(2)(b) of the National Electricity Law, which prohibits the operation of a network without registration or exemption or a</w:t>
      </w:r>
      <w:r>
        <w:t>n approved</w:t>
      </w:r>
      <w:r w:rsidRPr="00BF1CBF">
        <w:t xml:space="preserve"> derogation.</w:t>
      </w:r>
      <w:r>
        <w:t xml:space="preserve"> </w:t>
      </w:r>
    </w:p>
    <w:p w:rsidR="007C72D1" w:rsidRDefault="007C72D1" w:rsidP="007C72D1">
      <w:r>
        <w:t>Following revocation of the network exemption, customers of the exempt network will either need to obtain supply from a NEM registered distribution or transmission network service provider or must otherwise satisfy the conditions necessary to qualify for a new deemed, registrable or individual exemption.</w:t>
      </w:r>
    </w:p>
    <w:p w:rsidR="007C72D1" w:rsidRDefault="007C72D1" w:rsidP="007C72D1">
      <w:r>
        <w:t>In situations where revocation may place undue hardship on customers of an embedded network, to the extent practicable, we will seek to minimise hardship on innocent parties while enforcement action is taken. This may involve the grant of a limited individual exemption to operate the network under restricted conditions. This will be assessed on a case-by-case basis.</w:t>
      </w:r>
    </w:p>
    <w:p w:rsidR="007C72D1" w:rsidRPr="00747F76" w:rsidRDefault="007C72D1" w:rsidP="007C72D1">
      <w:pPr>
        <w:pStyle w:val="Heading2"/>
        <w:numPr>
          <w:ilvl w:val="2"/>
          <w:numId w:val="9"/>
        </w:numPr>
        <w:jc w:val="both"/>
      </w:pPr>
      <w:r w:rsidRPr="00747F76">
        <w:t xml:space="preserve"> </w:t>
      </w:r>
      <w:bookmarkStart w:id="62" w:name="_Toc365299431"/>
      <w:r w:rsidRPr="00747F76">
        <w:t>Transfer, amendment or cessation of an exemption</w:t>
      </w:r>
      <w:bookmarkEnd w:id="62"/>
    </w:p>
    <w:p w:rsidR="007C72D1" w:rsidRDefault="007C72D1" w:rsidP="007C72D1">
      <w:pPr>
        <w:pStyle w:val="AERbodytext"/>
        <w:numPr>
          <w:ilvl w:val="0"/>
          <w:numId w:val="7"/>
        </w:numPr>
        <w:spacing w:before="0" w:after="240"/>
      </w:pPr>
      <w:r>
        <w:t>A notice addressed to the AER is required for all transfers of ownership, changes of accountabilities and/or registration details and for the cessation of operation of a registrable or individually exempt private network. No notice is required for a deemed exempt network.</w:t>
      </w:r>
    </w:p>
    <w:p w:rsidR="007C72D1" w:rsidRDefault="007C72D1" w:rsidP="007C72D1">
      <w:pPr>
        <w:pStyle w:val="AERbodytext"/>
        <w:numPr>
          <w:ilvl w:val="0"/>
          <w:numId w:val="7"/>
        </w:numPr>
        <w:spacing w:before="0" w:after="240"/>
      </w:pPr>
      <w:r>
        <w:t>The notice must detail the change of circumstances and should be submitted at the earliest opportunity whenever an exempt private network is to be subject to a transfer of ownership, change of registration details or a change or restructure of accountabilities. If a notice is incomplete or missing necessary detail, we may require further detail be provided before the notice is accepted and acted upon.</w:t>
      </w:r>
    </w:p>
    <w:p w:rsidR="007C72D1" w:rsidRDefault="007C72D1" w:rsidP="007C72D1">
      <w:pPr>
        <w:pStyle w:val="AERbodytext"/>
        <w:numPr>
          <w:ilvl w:val="0"/>
          <w:numId w:val="7"/>
        </w:numPr>
        <w:spacing w:before="0" w:after="240"/>
      </w:pPr>
      <w:r>
        <w:t xml:space="preserve">Note that the party acquiring an existing exempt private network is required to submit a registration application in accordance with </w:t>
      </w:r>
      <w:r w:rsidR="00762C8C">
        <w:t>s</w:t>
      </w:r>
      <w:r>
        <w:t>ection</w:t>
      </w:r>
      <w:r w:rsidR="00762C8C">
        <w:t>s</w:t>
      </w:r>
      <w:r>
        <w:t xml:space="preserve"> </w:t>
      </w:r>
      <w:r w:rsidR="00762C8C">
        <w:fldChar w:fldCharType="begin"/>
      </w:r>
      <w:r w:rsidR="00762C8C">
        <w:instrText xml:space="preserve"> REF _Ref361909073 \r \h </w:instrText>
      </w:r>
      <w:r w:rsidR="00762C8C">
        <w:fldChar w:fldCharType="separate"/>
      </w:r>
      <w:r w:rsidR="00D94AAA">
        <w:t>5.1</w:t>
      </w:r>
      <w:r w:rsidR="00762C8C">
        <w:fldChar w:fldCharType="end"/>
      </w:r>
      <w:r w:rsidR="00762C8C">
        <w:t xml:space="preserve"> or </w:t>
      </w:r>
      <w:r w:rsidR="00762C8C">
        <w:fldChar w:fldCharType="begin"/>
      </w:r>
      <w:r w:rsidR="00762C8C">
        <w:instrText xml:space="preserve"> REF _Ref361831452 \r \h </w:instrText>
      </w:r>
      <w:r w:rsidR="00762C8C">
        <w:fldChar w:fldCharType="separate"/>
      </w:r>
      <w:r w:rsidR="00D94AAA">
        <w:t>5.2</w:t>
      </w:r>
      <w:r w:rsidR="00762C8C">
        <w:fldChar w:fldCharType="end"/>
      </w:r>
      <w:r>
        <w:t>, as appropriate. The conditions for the operation of an existing exempt network continue to apply until we determine otherwise in response to the new application.</w:t>
      </w:r>
    </w:p>
    <w:p w:rsidR="007C72D1" w:rsidRDefault="007C72D1" w:rsidP="007C72D1">
      <w:pPr>
        <w:pStyle w:val="AERbodytext"/>
        <w:numPr>
          <w:ilvl w:val="0"/>
          <w:numId w:val="7"/>
        </w:numPr>
        <w:spacing w:before="0" w:after="240"/>
      </w:pPr>
      <w:r>
        <w:t>Where a registered private network is to cease operation, the authorised representative(s) should notify us of the planned or actual date for the network to cease operation. We will deregister the network from the date specified in a notice.</w:t>
      </w:r>
    </w:p>
    <w:p w:rsidR="007C72D1" w:rsidRDefault="007C72D1" w:rsidP="007C72D1">
      <w:pPr>
        <w:pStyle w:val="AERbodytext"/>
        <w:numPr>
          <w:ilvl w:val="0"/>
          <w:numId w:val="7"/>
        </w:numPr>
        <w:spacing w:before="0" w:after="240"/>
      </w:pPr>
      <w:r>
        <w:lastRenderedPageBreak/>
        <w:t>If the AER receives advice from any other party that a registered network has ceased operation we will attempt to contact the registered responsible person</w:t>
      </w:r>
      <w:r w:rsidRPr="00665FB4">
        <w:t xml:space="preserve"> </w:t>
      </w:r>
      <w:r>
        <w:t>to confirm the status of the network. This contact may be by telephone or by a written or electronic notice addressed to the registered authorised representative. If no response is received within 20 business days we may deregister that network without further notice.</w:t>
      </w:r>
    </w:p>
    <w:p w:rsidR="007C72D1" w:rsidRDefault="007C72D1" w:rsidP="007C72D1">
      <w:pPr>
        <w:pStyle w:val="AERbodytext"/>
        <w:numPr>
          <w:ilvl w:val="0"/>
          <w:numId w:val="7"/>
        </w:numPr>
        <w:spacing w:before="0" w:after="240"/>
      </w:pPr>
      <w:r>
        <w:t>If the AER later determines that a deregistered private network should be re-registered we may, at our discretion, re-register the network on the same or amended conditions or may require that a new application for a registrable or individual exemption be submitted.</w:t>
      </w:r>
    </w:p>
    <w:p w:rsidR="007C72D1" w:rsidRDefault="007C72D1" w:rsidP="007C72D1">
      <w:pPr>
        <w:pStyle w:val="AERbodytext"/>
        <w:numPr>
          <w:ilvl w:val="0"/>
          <w:numId w:val="7"/>
        </w:numPr>
        <w:spacing w:before="0" w:after="240"/>
      </w:pPr>
    </w:p>
    <w:p w:rsidR="007C72D1" w:rsidRPr="00BF1CBF" w:rsidRDefault="007C72D1" w:rsidP="007C72D1"/>
    <w:p w:rsidR="007C72D1" w:rsidRPr="00E63B20" w:rsidRDefault="007C72D1" w:rsidP="007C72D1">
      <w:pPr>
        <w:pStyle w:val="AERbodytext"/>
        <w:spacing w:before="0" w:after="240"/>
      </w:pPr>
    </w:p>
    <w:p w:rsidR="007C72D1" w:rsidRDefault="007C72D1" w:rsidP="007C72D1">
      <w:pPr>
        <w:pStyle w:val="UnnumberedHeading"/>
        <w:numPr>
          <w:ilvl w:val="0"/>
          <w:numId w:val="9"/>
        </w:numPr>
        <w:jc w:val="both"/>
      </w:pPr>
      <w:bookmarkStart w:id="63" w:name="_Toc365299432"/>
      <w:r>
        <w:lastRenderedPageBreak/>
        <w:t>Glossary</w:t>
      </w:r>
      <w:bookmarkEnd w:id="63"/>
    </w:p>
    <w:p w:rsidR="007C72D1" w:rsidRDefault="007C72D1" w:rsidP="007C72D1">
      <w:pPr>
        <w:pStyle w:val="AERbodytext"/>
        <w:spacing w:before="0" w:after="240"/>
      </w:pPr>
      <w:r>
        <w:t xml:space="preserve">This </w:t>
      </w:r>
      <w:r w:rsidRPr="00832E83">
        <w:rPr>
          <w:rStyle w:val="AERtextitalic"/>
          <w:i w:val="0"/>
        </w:rPr>
        <w:t>guideline</w:t>
      </w:r>
      <w:r>
        <w:t xml:space="preserve"> uses the following definitions</w:t>
      </w:r>
    </w:p>
    <w:tbl>
      <w:tblPr>
        <w:tblW w:w="0" w:type="auto"/>
        <w:tblBorders>
          <w:bottom w:val="single" w:sz="4" w:space="0" w:color="365F91"/>
        </w:tblBorders>
        <w:tblLook w:val="04A0" w:firstRow="1" w:lastRow="0" w:firstColumn="1" w:lastColumn="0" w:noHBand="0" w:noVBand="1"/>
      </w:tblPr>
      <w:tblGrid>
        <w:gridCol w:w="3510"/>
        <w:gridCol w:w="5732"/>
      </w:tblGrid>
      <w:tr w:rsidR="007C72D1" w:rsidTr="00587288">
        <w:tc>
          <w:tcPr>
            <w:tcW w:w="3510" w:type="dxa"/>
            <w:shd w:val="clear" w:color="auto" w:fill="365F91"/>
            <w:vAlign w:val="center"/>
          </w:tcPr>
          <w:p w:rsidR="007C72D1" w:rsidRPr="00870F97" w:rsidRDefault="007C72D1" w:rsidP="00587288">
            <w:pPr>
              <w:pStyle w:val="AERtabletextleft"/>
              <w:rPr>
                <w:b/>
                <w:color w:val="FFFFFF"/>
                <w:lang w:eastAsia="en-AU"/>
              </w:rPr>
            </w:pPr>
            <w:r w:rsidRPr="00870F97">
              <w:rPr>
                <w:b/>
                <w:color w:val="FFFFFF"/>
                <w:lang w:eastAsia="en-AU"/>
              </w:rPr>
              <w:t>Term</w:t>
            </w:r>
          </w:p>
        </w:tc>
        <w:tc>
          <w:tcPr>
            <w:tcW w:w="5732" w:type="dxa"/>
            <w:shd w:val="clear" w:color="auto" w:fill="365F91"/>
            <w:vAlign w:val="center"/>
          </w:tcPr>
          <w:p w:rsidR="007C72D1" w:rsidRPr="00870F97" w:rsidRDefault="007C72D1" w:rsidP="00587288">
            <w:pPr>
              <w:pStyle w:val="AERtabletextleft"/>
              <w:rPr>
                <w:b/>
                <w:color w:val="FFFFFF"/>
                <w:lang w:eastAsia="en-AU"/>
              </w:rPr>
            </w:pPr>
            <w:r w:rsidRPr="00870F97">
              <w:rPr>
                <w:b/>
                <w:color w:val="FFFFFF"/>
                <w:lang w:eastAsia="en-AU"/>
              </w:rPr>
              <w:t>Definition</w:t>
            </w:r>
          </w:p>
        </w:tc>
      </w:tr>
      <w:tr w:rsidR="007C72D1" w:rsidTr="00587288">
        <w:tc>
          <w:tcPr>
            <w:tcW w:w="3510" w:type="dxa"/>
          </w:tcPr>
          <w:p w:rsidR="007C72D1" w:rsidRPr="005C6303" w:rsidRDefault="007C72D1" w:rsidP="007C72D1">
            <w:pPr>
              <w:pStyle w:val="AERbodytext"/>
              <w:numPr>
                <w:ilvl w:val="0"/>
                <w:numId w:val="14"/>
              </w:numPr>
              <w:rPr>
                <w:sz w:val="16"/>
                <w:szCs w:val="16"/>
              </w:rPr>
            </w:pPr>
            <w:r w:rsidRPr="005C6303">
              <w:rPr>
                <w:sz w:val="16"/>
                <w:szCs w:val="16"/>
              </w:rPr>
              <w:t>ABN</w:t>
            </w:r>
          </w:p>
        </w:tc>
        <w:tc>
          <w:tcPr>
            <w:tcW w:w="5732" w:type="dxa"/>
          </w:tcPr>
          <w:p w:rsidR="007C72D1" w:rsidRPr="005C6303" w:rsidRDefault="007C72D1" w:rsidP="007C72D1">
            <w:pPr>
              <w:pStyle w:val="AERbodytext"/>
              <w:numPr>
                <w:ilvl w:val="0"/>
                <w:numId w:val="14"/>
              </w:numPr>
              <w:rPr>
                <w:sz w:val="16"/>
                <w:szCs w:val="16"/>
              </w:rPr>
            </w:pPr>
            <w:r w:rsidRPr="005C6303">
              <w:rPr>
                <w:sz w:val="16"/>
                <w:szCs w:val="16"/>
              </w:rPr>
              <w:t>Australian Business Number</w:t>
            </w:r>
          </w:p>
        </w:tc>
      </w:tr>
      <w:tr w:rsidR="007C72D1" w:rsidTr="00587288">
        <w:tc>
          <w:tcPr>
            <w:tcW w:w="3510" w:type="dxa"/>
            <w:shd w:val="clear" w:color="auto" w:fill="DBE5F1"/>
            <w:vAlign w:val="center"/>
          </w:tcPr>
          <w:p w:rsidR="007C72D1" w:rsidRPr="005C6303" w:rsidRDefault="007C72D1" w:rsidP="00587288">
            <w:pPr>
              <w:pStyle w:val="AERtabletextleft"/>
              <w:rPr>
                <w:rStyle w:val="AERbody"/>
                <w:sz w:val="16"/>
                <w:szCs w:val="16"/>
              </w:rPr>
            </w:pPr>
            <w:r w:rsidRPr="005C6303">
              <w:rPr>
                <w:rStyle w:val="AERbody"/>
                <w:sz w:val="16"/>
                <w:szCs w:val="16"/>
              </w:rPr>
              <w:t>ACN</w:t>
            </w:r>
          </w:p>
        </w:tc>
        <w:tc>
          <w:tcPr>
            <w:tcW w:w="5732" w:type="dxa"/>
            <w:shd w:val="clear" w:color="auto" w:fill="DBE5F1"/>
            <w:vAlign w:val="center"/>
          </w:tcPr>
          <w:p w:rsidR="007C72D1" w:rsidRPr="005C6303" w:rsidRDefault="007C72D1" w:rsidP="00587288">
            <w:pPr>
              <w:pStyle w:val="AERtabletextleft"/>
              <w:rPr>
                <w:rStyle w:val="AERbody"/>
                <w:sz w:val="16"/>
                <w:szCs w:val="16"/>
              </w:rPr>
            </w:pPr>
            <w:r w:rsidRPr="005C6303">
              <w:rPr>
                <w:rStyle w:val="AERbody"/>
                <w:sz w:val="16"/>
                <w:szCs w:val="16"/>
              </w:rPr>
              <w:t>Australian Company Number</w:t>
            </w:r>
          </w:p>
        </w:tc>
      </w:tr>
      <w:tr w:rsidR="007C72D1" w:rsidTr="0084466E">
        <w:tc>
          <w:tcPr>
            <w:tcW w:w="3510" w:type="dxa"/>
            <w:vAlign w:val="center"/>
          </w:tcPr>
          <w:p w:rsidR="007C72D1" w:rsidRPr="005C6303" w:rsidRDefault="007C72D1" w:rsidP="00587288">
            <w:pPr>
              <w:pStyle w:val="AERtabletextleft"/>
              <w:rPr>
                <w:szCs w:val="16"/>
                <w:lang w:eastAsia="en-AU"/>
              </w:rPr>
            </w:pPr>
            <w:r w:rsidRPr="005C6303">
              <w:rPr>
                <w:szCs w:val="16"/>
                <w:lang w:eastAsia="en-AU"/>
              </w:rPr>
              <w:t>AEMO</w:t>
            </w:r>
          </w:p>
        </w:tc>
        <w:tc>
          <w:tcPr>
            <w:tcW w:w="5732" w:type="dxa"/>
            <w:vAlign w:val="center"/>
          </w:tcPr>
          <w:p w:rsidR="007C72D1" w:rsidRPr="005C6303" w:rsidRDefault="007C72D1" w:rsidP="00587288">
            <w:pPr>
              <w:pStyle w:val="AERtabletextleft"/>
              <w:rPr>
                <w:szCs w:val="16"/>
                <w:lang w:eastAsia="en-AU"/>
              </w:rPr>
            </w:pPr>
            <w:r w:rsidRPr="005C6303">
              <w:rPr>
                <w:szCs w:val="16"/>
                <w:lang w:eastAsia="en-AU"/>
              </w:rPr>
              <w:t>Australian Energy Market Operator</w:t>
            </w:r>
          </w:p>
        </w:tc>
      </w:tr>
      <w:tr w:rsidR="007C72D1" w:rsidTr="0084466E">
        <w:tc>
          <w:tcPr>
            <w:tcW w:w="3510" w:type="dxa"/>
            <w:shd w:val="clear" w:color="auto" w:fill="DBE5F1"/>
            <w:vAlign w:val="center"/>
          </w:tcPr>
          <w:p w:rsidR="007C72D1" w:rsidRPr="005C6303" w:rsidRDefault="007C72D1" w:rsidP="00587288">
            <w:pPr>
              <w:pStyle w:val="AERtabletextleft"/>
              <w:rPr>
                <w:szCs w:val="16"/>
                <w:lang w:eastAsia="en-AU"/>
              </w:rPr>
            </w:pPr>
            <w:r w:rsidRPr="005C6303">
              <w:rPr>
                <w:szCs w:val="16"/>
                <w:lang w:eastAsia="en-AU"/>
              </w:rPr>
              <w:t>AER</w:t>
            </w:r>
          </w:p>
        </w:tc>
        <w:tc>
          <w:tcPr>
            <w:tcW w:w="5732" w:type="dxa"/>
            <w:shd w:val="clear" w:color="auto" w:fill="DBE5F1"/>
            <w:vAlign w:val="center"/>
          </w:tcPr>
          <w:p w:rsidR="007C72D1" w:rsidRPr="005C6303" w:rsidRDefault="007C72D1" w:rsidP="00587288">
            <w:pPr>
              <w:pStyle w:val="AERtabletextleft"/>
              <w:rPr>
                <w:szCs w:val="16"/>
                <w:lang w:eastAsia="en-AU"/>
              </w:rPr>
            </w:pPr>
            <w:r w:rsidRPr="005C6303">
              <w:rPr>
                <w:szCs w:val="16"/>
                <w:lang w:eastAsia="en-AU"/>
              </w:rPr>
              <w:t>Australian Energy Regulator</w:t>
            </w:r>
          </w:p>
        </w:tc>
      </w:tr>
      <w:tr w:rsidR="007C72D1" w:rsidTr="0084466E">
        <w:tc>
          <w:tcPr>
            <w:tcW w:w="3510" w:type="dxa"/>
            <w:vAlign w:val="center"/>
          </w:tcPr>
          <w:p w:rsidR="007C72D1" w:rsidRPr="005C6303" w:rsidRDefault="007C72D1" w:rsidP="00587288">
            <w:pPr>
              <w:pStyle w:val="AERtabletextleft"/>
              <w:rPr>
                <w:szCs w:val="16"/>
                <w:lang w:eastAsia="en-AU"/>
              </w:rPr>
            </w:pPr>
            <w:r w:rsidRPr="005C6303">
              <w:rPr>
                <w:szCs w:val="16"/>
                <w:lang w:eastAsia="en-AU"/>
              </w:rPr>
              <w:t>ACCC</w:t>
            </w:r>
          </w:p>
        </w:tc>
        <w:tc>
          <w:tcPr>
            <w:tcW w:w="5732" w:type="dxa"/>
            <w:vAlign w:val="center"/>
          </w:tcPr>
          <w:p w:rsidR="007C72D1" w:rsidRPr="005C6303" w:rsidRDefault="007C72D1" w:rsidP="00587288">
            <w:pPr>
              <w:pStyle w:val="AERtabletextleft"/>
              <w:rPr>
                <w:szCs w:val="16"/>
                <w:lang w:eastAsia="en-AU"/>
              </w:rPr>
            </w:pPr>
            <w:r w:rsidRPr="005C6303">
              <w:rPr>
                <w:szCs w:val="16"/>
                <w:lang w:eastAsia="en-AU"/>
              </w:rPr>
              <w:t>Australian Competition and Consumer Commission</w:t>
            </w:r>
          </w:p>
        </w:tc>
      </w:tr>
      <w:tr w:rsidR="007C72D1" w:rsidTr="0084466E">
        <w:tc>
          <w:tcPr>
            <w:tcW w:w="3510" w:type="dxa"/>
            <w:shd w:val="clear" w:color="auto" w:fill="DBE5F1"/>
            <w:vAlign w:val="center"/>
          </w:tcPr>
          <w:p w:rsidR="007C72D1" w:rsidRPr="005C6303" w:rsidRDefault="007C72D1" w:rsidP="00587288">
            <w:pPr>
              <w:pStyle w:val="AERtabletextleft"/>
              <w:rPr>
                <w:rStyle w:val="AERbody"/>
                <w:sz w:val="16"/>
              </w:rPr>
            </w:pPr>
            <w:r w:rsidRPr="005C6303">
              <w:rPr>
                <w:rStyle w:val="AERbody"/>
                <w:sz w:val="16"/>
              </w:rPr>
              <w:t>ASIC</w:t>
            </w:r>
          </w:p>
        </w:tc>
        <w:tc>
          <w:tcPr>
            <w:tcW w:w="5732" w:type="dxa"/>
            <w:shd w:val="clear" w:color="auto" w:fill="DBE5F1"/>
            <w:vAlign w:val="center"/>
          </w:tcPr>
          <w:p w:rsidR="007C72D1" w:rsidRPr="005C6303" w:rsidRDefault="007C72D1" w:rsidP="00587288">
            <w:pPr>
              <w:pStyle w:val="AERtabletextleft"/>
              <w:rPr>
                <w:rStyle w:val="AERbody"/>
                <w:sz w:val="16"/>
              </w:rPr>
            </w:pPr>
            <w:r w:rsidRPr="005C6303">
              <w:rPr>
                <w:rStyle w:val="AERbody"/>
                <w:sz w:val="16"/>
              </w:rPr>
              <w:t>Australian Securities and Investments Commission</w:t>
            </w:r>
          </w:p>
        </w:tc>
      </w:tr>
      <w:tr w:rsidR="007C72D1" w:rsidTr="0084466E">
        <w:tc>
          <w:tcPr>
            <w:tcW w:w="3510" w:type="dxa"/>
            <w:shd w:val="clear" w:color="auto" w:fill="FFFFFF"/>
            <w:vAlign w:val="center"/>
          </w:tcPr>
          <w:p w:rsidR="007C72D1" w:rsidRPr="005C6303" w:rsidRDefault="007C72D1" w:rsidP="00587288">
            <w:pPr>
              <w:pStyle w:val="AERtabletextleft"/>
              <w:rPr>
                <w:szCs w:val="16"/>
                <w:lang w:eastAsia="en-AU"/>
              </w:rPr>
            </w:pPr>
            <w:r w:rsidRPr="00DB02C6">
              <w:rPr>
                <w:rStyle w:val="AERbody"/>
                <w:sz w:val="16"/>
              </w:rPr>
              <w:t>Body Corporate</w:t>
            </w:r>
          </w:p>
        </w:tc>
        <w:tc>
          <w:tcPr>
            <w:tcW w:w="5732" w:type="dxa"/>
            <w:shd w:val="clear" w:color="auto" w:fill="FFFFFF"/>
            <w:vAlign w:val="center"/>
          </w:tcPr>
          <w:p w:rsidR="007C72D1" w:rsidRPr="005C6303" w:rsidRDefault="007C72D1" w:rsidP="00587288">
            <w:pPr>
              <w:pStyle w:val="AERtabletextleft"/>
              <w:rPr>
                <w:szCs w:val="16"/>
                <w:lang w:eastAsia="en-AU"/>
              </w:rPr>
            </w:pPr>
            <w:r>
              <w:rPr>
                <w:bCs/>
              </w:rPr>
              <w:t>M</w:t>
            </w:r>
            <w:r w:rsidRPr="00BF1CBF">
              <w:rPr>
                <w:bCs/>
              </w:rPr>
              <w:t xml:space="preserve">eans a controlling body of a scheme constituted under state or territory strata titles legislation, the members of which are lot owners (or their representatives), and includes an owners corporation but is not a body corporate for the purposes of the </w:t>
            </w:r>
            <w:r w:rsidRPr="00BF1CBF">
              <w:rPr>
                <w:bCs/>
                <w:i/>
              </w:rPr>
              <w:t>Corporations Act 2001</w:t>
            </w:r>
            <w:r w:rsidRPr="00BF1CBF">
              <w:rPr>
                <w:bCs/>
              </w:rPr>
              <w:t xml:space="preserve"> (Cwlth).</w:t>
            </w:r>
          </w:p>
        </w:tc>
      </w:tr>
      <w:tr w:rsidR="007C72D1" w:rsidTr="0084466E">
        <w:tc>
          <w:tcPr>
            <w:tcW w:w="3510" w:type="dxa"/>
            <w:shd w:val="clear" w:color="auto" w:fill="DBE5F1"/>
            <w:vAlign w:val="center"/>
          </w:tcPr>
          <w:p w:rsidR="007C72D1" w:rsidRPr="00DB02C6" w:rsidRDefault="007C72D1" w:rsidP="00587288">
            <w:pPr>
              <w:pStyle w:val="AERtabletextleft"/>
              <w:rPr>
                <w:rStyle w:val="AERbody"/>
                <w:sz w:val="16"/>
              </w:rPr>
            </w:pPr>
            <w:r w:rsidRPr="00DB02C6">
              <w:rPr>
                <w:rStyle w:val="AERbody"/>
                <w:sz w:val="16"/>
              </w:rPr>
              <w:t>Customer</w:t>
            </w:r>
          </w:p>
        </w:tc>
        <w:tc>
          <w:tcPr>
            <w:tcW w:w="5732" w:type="dxa"/>
            <w:shd w:val="clear" w:color="auto" w:fill="DBE5F1"/>
            <w:vAlign w:val="center"/>
          </w:tcPr>
          <w:p w:rsidR="007C72D1" w:rsidRPr="00DB02C6" w:rsidRDefault="007C72D1" w:rsidP="00587288">
            <w:pPr>
              <w:pStyle w:val="AERtabletextleft"/>
              <w:rPr>
                <w:rStyle w:val="AERbody"/>
                <w:sz w:val="16"/>
              </w:rPr>
            </w:pPr>
            <w:r w:rsidRPr="00DB02C6">
              <w:rPr>
                <w:rStyle w:val="AERbody"/>
                <w:sz w:val="16"/>
              </w:rPr>
              <w:t>Means a consumer of electricity for primary industry, domestic, commercial or industrial use but does not include a wholesale market customer who is registered by AEMO as a Customer under Chapter 2 of the NER.</w:t>
            </w:r>
          </w:p>
        </w:tc>
      </w:tr>
      <w:tr w:rsidR="007C72D1" w:rsidTr="0084466E">
        <w:tc>
          <w:tcPr>
            <w:tcW w:w="3510" w:type="dxa"/>
            <w:shd w:val="clear" w:color="auto" w:fill="FFFFFF"/>
            <w:vAlign w:val="center"/>
          </w:tcPr>
          <w:p w:rsidR="007C72D1" w:rsidRPr="005C6303" w:rsidRDefault="007C72D1" w:rsidP="00587288">
            <w:pPr>
              <w:pStyle w:val="AERtabletextleft"/>
              <w:rPr>
                <w:szCs w:val="16"/>
                <w:lang w:eastAsia="en-AU"/>
              </w:rPr>
            </w:pPr>
            <w:r w:rsidRPr="00DB02C6">
              <w:rPr>
                <w:szCs w:val="16"/>
                <w:lang w:eastAsia="en-AU"/>
              </w:rPr>
              <w:t>Disconnect, disconnection of premises</w:t>
            </w:r>
          </w:p>
        </w:tc>
        <w:tc>
          <w:tcPr>
            <w:tcW w:w="5732" w:type="dxa"/>
            <w:shd w:val="clear" w:color="auto" w:fill="FFFFFF"/>
            <w:vAlign w:val="center"/>
          </w:tcPr>
          <w:p w:rsidR="007C72D1" w:rsidRPr="005C6303" w:rsidRDefault="007C72D1" w:rsidP="00587288">
            <w:pPr>
              <w:pStyle w:val="AERtabletextleft"/>
              <w:rPr>
                <w:szCs w:val="16"/>
                <w:lang w:eastAsia="en-AU"/>
              </w:rPr>
            </w:pPr>
            <w:r>
              <w:rPr>
                <w:szCs w:val="16"/>
                <w:lang w:eastAsia="en-AU"/>
              </w:rPr>
              <w:t>M</w:t>
            </w:r>
            <w:r w:rsidRPr="00DB02C6">
              <w:rPr>
                <w:szCs w:val="16"/>
                <w:lang w:eastAsia="en-AU"/>
              </w:rPr>
              <w:t>eans in the case of electricity, the opening of a connection in order to prevent the flow of energy to the premises.</w:t>
            </w:r>
          </w:p>
        </w:tc>
      </w:tr>
      <w:tr w:rsidR="007C72D1" w:rsidTr="0084466E">
        <w:tc>
          <w:tcPr>
            <w:tcW w:w="3510" w:type="dxa"/>
            <w:shd w:val="clear" w:color="auto" w:fill="DBE5F1"/>
            <w:vAlign w:val="center"/>
          </w:tcPr>
          <w:p w:rsidR="007C72D1" w:rsidRPr="005C6303" w:rsidRDefault="007C72D1" w:rsidP="00587288">
            <w:pPr>
              <w:pStyle w:val="AERtabletextleft"/>
              <w:rPr>
                <w:szCs w:val="16"/>
                <w:lang w:eastAsia="en-AU"/>
              </w:rPr>
            </w:pPr>
            <w:r>
              <w:rPr>
                <w:szCs w:val="16"/>
                <w:lang w:eastAsia="en-AU"/>
              </w:rPr>
              <w:t>Embedded network</w:t>
            </w:r>
          </w:p>
        </w:tc>
        <w:tc>
          <w:tcPr>
            <w:tcW w:w="5732" w:type="dxa"/>
            <w:shd w:val="clear" w:color="auto" w:fill="DBE5F1"/>
            <w:vAlign w:val="center"/>
          </w:tcPr>
          <w:p w:rsidR="007C72D1" w:rsidRPr="005C6303" w:rsidRDefault="007C72D1" w:rsidP="00587288">
            <w:pPr>
              <w:pStyle w:val="AERtabletextleft"/>
              <w:rPr>
                <w:szCs w:val="16"/>
                <w:lang w:eastAsia="en-AU"/>
              </w:rPr>
            </w:pPr>
            <w:r>
              <w:rPr>
                <w:szCs w:val="16"/>
                <w:lang w:eastAsia="en-AU"/>
              </w:rPr>
              <w:t>See private network</w:t>
            </w:r>
          </w:p>
        </w:tc>
      </w:tr>
      <w:tr w:rsidR="007C72D1" w:rsidTr="0084466E">
        <w:tc>
          <w:tcPr>
            <w:tcW w:w="3510" w:type="dxa"/>
            <w:shd w:val="clear" w:color="auto" w:fill="FFFFFF"/>
            <w:vAlign w:val="center"/>
          </w:tcPr>
          <w:p w:rsidR="007C72D1" w:rsidRPr="005C6303" w:rsidRDefault="007C72D1" w:rsidP="00587288">
            <w:pPr>
              <w:pStyle w:val="AERtabletextleft"/>
              <w:rPr>
                <w:szCs w:val="16"/>
                <w:lang w:eastAsia="en-AU"/>
              </w:rPr>
            </w:pPr>
            <w:r>
              <w:rPr>
                <w:szCs w:val="16"/>
                <w:lang w:eastAsia="en-AU"/>
              </w:rPr>
              <w:t>Energy</w:t>
            </w:r>
          </w:p>
        </w:tc>
        <w:tc>
          <w:tcPr>
            <w:tcW w:w="5732" w:type="dxa"/>
            <w:shd w:val="clear" w:color="auto" w:fill="FFFFFF"/>
            <w:vAlign w:val="center"/>
          </w:tcPr>
          <w:p w:rsidR="007C72D1" w:rsidRPr="005C6303" w:rsidRDefault="007C72D1" w:rsidP="00587288">
            <w:pPr>
              <w:pStyle w:val="AERtabletextleft"/>
              <w:rPr>
                <w:szCs w:val="16"/>
                <w:lang w:eastAsia="en-AU"/>
              </w:rPr>
            </w:pPr>
            <w:r>
              <w:rPr>
                <w:szCs w:val="16"/>
                <w:lang w:eastAsia="en-AU"/>
              </w:rPr>
              <w:t>Means electricity</w:t>
            </w:r>
          </w:p>
        </w:tc>
      </w:tr>
      <w:tr w:rsidR="007C72D1" w:rsidTr="0084466E">
        <w:tc>
          <w:tcPr>
            <w:tcW w:w="3510" w:type="dxa"/>
            <w:shd w:val="clear" w:color="auto" w:fill="DBE5F1"/>
            <w:vAlign w:val="center"/>
          </w:tcPr>
          <w:p w:rsidR="007C72D1" w:rsidRPr="005C6303" w:rsidRDefault="007C72D1" w:rsidP="00587288">
            <w:pPr>
              <w:pStyle w:val="AERtabletextleft"/>
              <w:rPr>
                <w:szCs w:val="16"/>
                <w:lang w:eastAsia="en-AU"/>
              </w:rPr>
            </w:pPr>
            <w:r>
              <w:rPr>
                <w:szCs w:val="16"/>
                <w:lang w:eastAsia="en-AU"/>
              </w:rPr>
              <w:t>Exempt network</w:t>
            </w:r>
          </w:p>
        </w:tc>
        <w:tc>
          <w:tcPr>
            <w:tcW w:w="5732" w:type="dxa"/>
            <w:shd w:val="clear" w:color="auto" w:fill="DBE5F1"/>
            <w:vAlign w:val="center"/>
          </w:tcPr>
          <w:p w:rsidR="007C72D1" w:rsidRPr="005C6303" w:rsidRDefault="007C72D1" w:rsidP="00587288">
            <w:pPr>
              <w:pStyle w:val="AERtabletextleft"/>
              <w:rPr>
                <w:szCs w:val="16"/>
                <w:lang w:eastAsia="en-AU"/>
              </w:rPr>
            </w:pPr>
            <w:r>
              <w:rPr>
                <w:szCs w:val="16"/>
                <w:lang w:eastAsia="en-AU"/>
              </w:rPr>
              <w:t>See private network</w:t>
            </w:r>
          </w:p>
        </w:tc>
      </w:tr>
      <w:tr w:rsidR="007C72D1" w:rsidTr="0084466E">
        <w:tc>
          <w:tcPr>
            <w:tcW w:w="3510" w:type="dxa"/>
            <w:shd w:val="clear" w:color="auto" w:fill="FFFFFF"/>
            <w:vAlign w:val="center"/>
          </w:tcPr>
          <w:p w:rsidR="007C72D1" w:rsidRPr="005C6303" w:rsidRDefault="007C72D1" w:rsidP="00587288">
            <w:pPr>
              <w:pStyle w:val="AERtabletextleft"/>
              <w:rPr>
                <w:szCs w:val="16"/>
                <w:lang w:eastAsia="en-AU"/>
              </w:rPr>
            </w:pPr>
            <w:r>
              <w:rPr>
                <w:szCs w:val="16"/>
                <w:lang w:eastAsia="en-AU"/>
              </w:rPr>
              <w:t>Large customer</w:t>
            </w:r>
          </w:p>
        </w:tc>
        <w:tc>
          <w:tcPr>
            <w:tcW w:w="5732" w:type="dxa"/>
            <w:shd w:val="clear" w:color="auto" w:fill="FFFFFF"/>
            <w:vAlign w:val="center"/>
          </w:tcPr>
          <w:p w:rsidR="007C72D1" w:rsidRPr="005C6303" w:rsidRDefault="007C72D1" w:rsidP="00587288">
            <w:pPr>
              <w:pStyle w:val="AERtabletextleft"/>
              <w:rPr>
                <w:szCs w:val="16"/>
                <w:lang w:eastAsia="en-AU"/>
              </w:rPr>
            </w:pPr>
            <w:r>
              <w:rPr>
                <w:szCs w:val="16"/>
                <w:lang w:eastAsia="en-AU"/>
              </w:rPr>
              <w:t>M</w:t>
            </w:r>
            <w:r w:rsidRPr="00DB02C6">
              <w:rPr>
                <w:szCs w:val="16"/>
                <w:lang w:eastAsia="en-AU"/>
              </w:rPr>
              <w:t>eans a business customer who consumes energy at business premises at or above the upper consumption threshold, as defined by the relevant jurisdiction. If no threshold is defined, 100 megawatt hours per annum for electricity.</w:t>
            </w:r>
          </w:p>
        </w:tc>
      </w:tr>
      <w:tr w:rsidR="0084466E" w:rsidTr="0084466E">
        <w:tc>
          <w:tcPr>
            <w:tcW w:w="3510" w:type="dxa"/>
            <w:shd w:val="clear" w:color="auto" w:fill="DBE5F1"/>
            <w:vAlign w:val="center"/>
          </w:tcPr>
          <w:p w:rsidR="0084466E" w:rsidRDefault="0084466E" w:rsidP="00587288">
            <w:pPr>
              <w:pStyle w:val="AERtabletextleft"/>
              <w:rPr>
                <w:szCs w:val="16"/>
                <w:lang w:eastAsia="en-AU"/>
              </w:rPr>
            </w:pPr>
            <w:r>
              <w:rPr>
                <w:szCs w:val="16"/>
                <w:lang w:eastAsia="en-AU"/>
              </w:rPr>
              <w:t>Large corporate entity</w:t>
            </w:r>
          </w:p>
        </w:tc>
        <w:tc>
          <w:tcPr>
            <w:tcW w:w="5732" w:type="dxa"/>
            <w:shd w:val="clear" w:color="auto" w:fill="DBE5F1"/>
            <w:vAlign w:val="center"/>
          </w:tcPr>
          <w:p w:rsidR="0084466E" w:rsidRDefault="0084466E" w:rsidP="000175BF">
            <w:pPr>
              <w:pStyle w:val="AERtabletextleft"/>
              <w:rPr>
                <w:szCs w:val="16"/>
                <w:lang w:eastAsia="en-AU"/>
              </w:rPr>
            </w:pPr>
            <w:r>
              <w:t>A</w:t>
            </w:r>
            <w:r w:rsidR="000175BF">
              <w:t xml:space="preserve"> ‘large proprietary company’ as </w:t>
            </w:r>
            <w:r w:rsidR="00532D9A">
              <w:t>defined under clause 45A(3) of the Corporations Act 2001.</w:t>
            </w:r>
          </w:p>
        </w:tc>
      </w:tr>
      <w:tr w:rsidR="0084466E" w:rsidTr="0084466E">
        <w:tc>
          <w:tcPr>
            <w:tcW w:w="3510" w:type="dxa"/>
            <w:shd w:val="clear" w:color="auto" w:fill="FFFFFF"/>
            <w:vAlign w:val="center"/>
          </w:tcPr>
          <w:p w:rsidR="0084466E" w:rsidRPr="005C6303" w:rsidRDefault="0084466E" w:rsidP="0084466E">
            <w:pPr>
              <w:pStyle w:val="AERtabletextleft"/>
              <w:rPr>
                <w:szCs w:val="16"/>
                <w:lang w:eastAsia="en-AU"/>
              </w:rPr>
            </w:pPr>
            <w:r>
              <w:rPr>
                <w:szCs w:val="16"/>
                <w:lang w:eastAsia="en-AU"/>
              </w:rPr>
              <w:t>Meter</w:t>
            </w:r>
          </w:p>
        </w:tc>
        <w:tc>
          <w:tcPr>
            <w:tcW w:w="5732" w:type="dxa"/>
            <w:shd w:val="clear" w:color="auto" w:fill="FFFFFF"/>
            <w:vAlign w:val="center"/>
          </w:tcPr>
          <w:p w:rsidR="0084466E" w:rsidRPr="005C6303" w:rsidRDefault="0084466E" w:rsidP="0084466E">
            <w:pPr>
              <w:pStyle w:val="AERtabletextleft"/>
              <w:rPr>
                <w:szCs w:val="16"/>
                <w:lang w:eastAsia="en-AU"/>
              </w:rPr>
            </w:pPr>
            <w:r>
              <w:rPr>
                <w:szCs w:val="16"/>
                <w:lang w:eastAsia="en-AU"/>
              </w:rPr>
              <w:t>M</w:t>
            </w:r>
            <w:r w:rsidRPr="00DB02C6">
              <w:rPr>
                <w:szCs w:val="16"/>
                <w:lang w:eastAsia="en-AU"/>
              </w:rPr>
              <w:t>eans any device (compliant with metrology requirements and Australian standards) that measures the quantity of energy passing through it or records the consumption of energy at the customer’s premises.</w:t>
            </w:r>
          </w:p>
        </w:tc>
      </w:tr>
      <w:tr w:rsidR="0084466E" w:rsidTr="0084466E">
        <w:tc>
          <w:tcPr>
            <w:tcW w:w="3510" w:type="dxa"/>
            <w:shd w:val="clear" w:color="auto" w:fill="DBE5F1"/>
            <w:vAlign w:val="center"/>
          </w:tcPr>
          <w:p w:rsidR="0084466E" w:rsidRPr="005C6303" w:rsidRDefault="0084466E" w:rsidP="0084466E">
            <w:pPr>
              <w:pStyle w:val="AERtabletextleft"/>
              <w:rPr>
                <w:szCs w:val="16"/>
                <w:lang w:eastAsia="en-AU"/>
              </w:rPr>
            </w:pPr>
            <w:r w:rsidRPr="005C6303">
              <w:rPr>
                <w:szCs w:val="16"/>
                <w:lang w:eastAsia="en-AU"/>
              </w:rPr>
              <w:t>MWh</w:t>
            </w:r>
          </w:p>
        </w:tc>
        <w:tc>
          <w:tcPr>
            <w:tcW w:w="5732" w:type="dxa"/>
            <w:shd w:val="clear" w:color="auto" w:fill="DBE5F1"/>
            <w:vAlign w:val="center"/>
          </w:tcPr>
          <w:p w:rsidR="0084466E" w:rsidRPr="005C6303" w:rsidRDefault="0084466E" w:rsidP="0084466E">
            <w:pPr>
              <w:pStyle w:val="AERtabletextleft"/>
              <w:rPr>
                <w:szCs w:val="16"/>
                <w:lang w:eastAsia="en-AU"/>
              </w:rPr>
            </w:pPr>
            <w:r w:rsidRPr="005C6303">
              <w:rPr>
                <w:szCs w:val="16"/>
                <w:lang w:eastAsia="en-AU"/>
              </w:rPr>
              <w:t>Megawatt Hour</w:t>
            </w:r>
          </w:p>
        </w:tc>
      </w:tr>
      <w:tr w:rsidR="0084466E" w:rsidTr="0084466E">
        <w:tc>
          <w:tcPr>
            <w:tcW w:w="3510" w:type="dxa"/>
            <w:shd w:val="clear" w:color="auto" w:fill="FFFFFF"/>
            <w:vAlign w:val="center"/>
          </w:tcPr>
          <w:p w:rsidR="0084466E" w:rsidRPr="005C6303" w:rsidRDefault="0084466E" w:rsidP="00BB6AD5">
            <w:pPr>
              <w:pStyle w:val="AERtabletextleft"/>
              <w:rPr>
                <w:szCs w:val="16"/>
                <w:lang w:eastAsia="en-AU"/>
              </w:rPr>
            </w:pPr>
            <w:r w:rsidRPr="005C6303">
              <w:rPr>
                <w:szCs w:val="16"/>
                <w:lang w:eastAsia="en-AU"/>
              </w:rPr>
              <w:t>N</w:t>
            </w:r>
            <w:r w:rsidR="00BB6AD5">
              <w:rPr>
                <w:szCs w:val="16"/>
                <w:lang w:eastAsia="en-AU"/>
              </w:rPr>
              <w:t>EL</w:t>
            </w:r>
          </w:p>
        </w:tc>
        <w:tc>
          <w:tcPr>
            <w:tcW w:w="5732" w:type="dxa"/>
            <w:shd w:val="clear" w:color="auto" w:fill="FFFFFF"/>
            <w:vAlign w:val="center"/>
          </w:tcPr>
          <w:p w:rsidR="0084466E" w:rsidRPr="005C6303" w:rsidRDefault="0084466E" w:rsidP="00BB6AD5">
            <w:pPr>
              <w:pStyle w:val="AERtabletextleft"/>
              <w:rPr>
                <w:szCs w:val="16"/>
                <w:lang w:eastAsia="en-AU"/>
              </w:rPr>
            </w:pPr>
            <w:r w:rsidRPr="005C6303">
              <w:rPr>
                <w:szCs w:val="16"/>
                <w:lang w:eastAsia="en-AU"/>
              </w:rPr>
              <w:t>Nation</w:t>
            </w:r>
            <w:r w:rsidR="00A376B6">
              <w:rPr>
                <w:szCs w:val="16"/>
                <w:lang w:eastAsia="en-AU"/>
              </w:rPr>
              <w:t>al</w:t>
            </w:r>
            <w:r w:rsidRPr="005C6303">
              <w:rPr>
                <w:szCs w:val="16"/>
                <w:lang w:eastAsia="en-AU"/>
              </w:rPr>
              <w:t xml:space="preserve"> E</w:t>
            </w:r>
            <w:r w:rsidR="00BB6AD5">
              <w:rPr>
                <w:szCs w:val="16"/>
                <w:lang w:eastAsia="en-AU"/>
              </w:rPr>
              <w:t>lectricity Law</w:t>
            </w:r>
          </w:p>
        </w:tc>
      </w:tr>
      <w:tr w:rsidR="0084466E" w:rsidTr="0084466E">
        <w:tc>
          <w:tcPr>
            <w:tcW w:w="3510" w:type="dxa"/>
            <w:shd w:val="clear" w:color="auto" w:fill="DBE5F1"/>
            <w:vAlign w:val="center"/>
          </w:tcPr>
          <w:p w:rsidR="0084466E" w:rsidRPr="005C6303" w:rsidRDefault="0084466E" w:rsidP="00BB6AD5">
            <w:pPr>
              <w:pStyle w:val="AERtabletextleft"/>
              <w:rPr>
                <w:szCs w:val="16"/>
                <w:lang w:eastAsia="en-AU"/>
              </w:rPr>
            </w:pPr>
            <w:r w:rsidRPr="005C6303">
              <w:rPr>
                <w:szCs w:val="16"/>
                <w:lang w:eastAsia="en-AU"/>
              </w:rPr>
              <w:t>NE</w:t>
            </w:r>
            <w:r w:rsidR="00BB6AD5">
              <w:rPr>
                <w:szCs w:val="16"/>
                <w:lang w:eastAsia="en-AU"/>
              </w:rPr>
              <w:t>R</w:t>
            </w:r>
          </w:p>
        </w:tc>
        <w:tc>
          <w:tcPr>
            <w:tcW w:w="5732" w:type="dxa"/>
            <w:shd w:val="clear" w:color="auto" w:fill="DBE5F1"/>
            <w:vAlign w:val="center"/>
          </w:tcPr>
          <w:p w:rsidR="0084466E" w:rsidRPr="005C6303" w:rsidRDefault="0084466E" w:rsidP="00BB6AD5">
            <w:pPr>
              <w:pStyle w:val="AERtabletextleft"/>
              <w:rPr>
                <w:szCs w:val="16"/>
                <w:lang w:eastAsia="en-AU"/>
              </w:rPr>
            </w:pPr>
            <w:r w:rsidRPr="005C6303">
              <w:rPr>
                <w:szCs w:val="16"/>
                <w:lang w:eastAsia="en-AU"/>
              </w:rPr>
              <w:t xml:space="preserve">National Electricity </w:t>
            </w:r>
            <w:r w:rsidR="00BB6AD5">
              <w:rPr>
                <w:szCs w:val="16"/>
                <w:lang w:eastAsia="en-AU"/>
              </w:rPr>
              <w:t>Rules</w:t>
            </w:r>
          </w:p>
        </w:tc>
      </w:tr>
      <w:tr w:rsidR="0084466E" w:rsidTr="0084466E">
        <w:tc>
          <w:tcPr>
            <w:tcW w:w="3510" w:type="dxa"/>
            <w:shd w:val="clear" w:color="auto" w:fill="FFFFFF"/>
            <w:vAlign w:val="center"/>
          </w:tcPr>
          <w:p w:rsidR="0084466E" w:rsidRPr="005C6303" w:rsidRDefault="0084466E" w:rsidP="0084466E">
            <w:pPr>
              <w:pStyle w:val="AERtabletextleft"/>
              <w:rPr>
                <w:szCs w:val="16"/>
                <w:lang w:eastAsia="en-AU"/>
              </w:rPr>
            </w:pPr>
            <w:r>
              <w:rPr>
                <w:szCs w:val="16"/>
                <w:lang w:eastAsia="en-AU"/>
              </w:rPr>
              <w:t>Off–market energy generation</w:t>
            </w:r>
          </w:p>
        </w:tc>
        <w:tc>
          <w:tcPr>
            <w:tcW w:w="5732" w:type="dxa"/>
            <w:shd w:val="clear" w:color="auto" w:fill="FFFFFF"/>
            <w:vAlign w:val="center"/>
          </w:tcPr>
          <w:p w:rsidR="0084466E" w:rsidRPr="00DB02C6" w:rsidRDefault="0084466E" w:rsidP="0084466E">
            <w:pPr>
              <w:pStyle w:val="AERtabletextleft"/>
              <w:rPr>
                <w:szCs w:val="16"/>
                <w:lang w:eastAsia="en-AU"/>
              </w:rPr>
            </w:pPr>
            <w:r>
              <w:rPr>
                <w:szCs w:val="16"/>
                <w:lang w:eastAsia="en-AU"/>
              </w:rPr>
              <w:t>M</w:t>
            </w:r>
            <w:r w:rsidRPr="00DB02C6">
              <w:rPr>
                <w:szCs w:val="16"/>
                <w:lang w:eastAsia="en-AU"/>
              </w:rPr>
              <w:t xml:space="preserve">eans an energy generation option not required to be registered with AEMO under clause 2.5.2 of the NER and applicable AEMO guidelines. </w:t>
            </w:r>
          </w:p>
          <w:p w:rsidR="0084466E" w:rsidRDefault="0084466E" w:rsidP="0084466E">
            <w:pPr>
              <w:pStyle w:val="AERtabletextleft"/>
              <w:rPr>
                <w:i/>
                <w:szCs w:val="16"/>
                <w:lang w:eastAsia="en-AU"/>
              </w:rPr>
            </w:pPr>
            <w:r w:rsidRPr="00DB02C6">
              <w:rPr>
                <w:i/>
                <w:szCs w:val="16"/>
                <w:lang w:eastAsia="en-AU"/>
              </w:rPr>
              <w:t>Note: The category includes — but is not limited to — small scale diesel, petrol, bio-fuel, gas (including coal-seam and other methane sources), fuel cells, an electric vehicle inverter, thermal-electric, geothermal, solar (including photovoltaic), wind or hydro generation and cogeneration and tri-generation installations.</w:t>
            </w:r>
          </w:p>
          <w:p w:rsidR="0084466E" w:rsidRDefault="0084466E" w:rsidP="0084466E">
            <w:pPr>
              <w:pStyle w:val="AERtabletextleft"/>
              <w:rPr>
                <w:i/>
                <w:szCs w:val="16"/>
                <w:lang w:eastAsia="en-AU"/>
              </w:rPr>
            </w:pPr>
          </w:p>
          <w:p w:rsidR="0084466E" w:rsidRPr="00DB02C6" w:rsidRDefault="0084466E" w:rsidP="0084466E">
            <w:pPr>
              <w:pStyle w:val="AERtabletextleft"/>
              <w:rPr>
                <w:i/>
                <w:szCs w:val="16"/>
                <w:lang w:eastAsia="en-AU"/>
              </w:rPr>
            </w:pPr>
          </w:p>
        </w:tc>
      </w:tr>
      <w:tr w:rsidR="0084466E" w:rsidTr="0084466E">
        <w:tc>
          <w:tcPr>
            <w:tcW w:w="3510" w:type="dxa"/>
            <w:shd w:val="clear" w:color="auto" w:fill="DBE5F1"/>
            <w:vAlign w:val="center"/>
          </w:tcPr>
          <w:p w:rsidR="0084466E" w:rsidRDefault="0084466E" w:rsidP="0084466E">
            <w:pPr>
              <w:pStyle w:val="AERtabletextleft"/>
              <w:rPr>
                <w:szCs w:val="16"/>
                <w:lang w:eastAsia="en-AU"/>
              </w:rPr>
            </w:pPr>
            <w:r>
              <w:rPr>
                <w:szCs w:val="16"/>
                <w:lang w:eastAsia="en-AU"/>
              </w:rPr>
              <w:lastRenderedPageBreak/>
              <w:t>On–market energy generation</w:t>
            </w:r>
          </w:p>
        </w:tc>
        <w:tc>
          <w:tcPr>
            <w:tcW w:w="5732" w:type="dxa"/>
            <w:shd w:val="clear" w:color="auto" w:fill="DBE5F1"/>
            <w:vAlign w:val="center"/>
          </w:tcPr>
          <w:p w:rsidR="0084466E" w:rsidRPr="009D2A57" w:rsidRDefault="0084466E" w:rsidP="0084466E">
            <w:pPr>
              <w:pStyle w:val="AERtabletextleft"/>
              <w:rPr>
                <w:szCs w:val="16"/>
                <w:lang w:eastAsia="en-AU"/>
              </w:rPr>
            </w:pPr>
            <w:r>
              <w:rPr>
                <w:szCs w:val="16"/>
                <w:lang w:eastAsia="en-AU"/>
              </w:rPr>
              <w:t>M</w:t>
            </w:r>
            <w:r w:rsidRPr="009D2A57">
              <w:rPr>
                <w:szCs w:val="16"/>
                <w:lang w:eastAsia="en-AU"/>
              </w:rPr>
              <w:t>eans an energy generation option required to be registered with the AEMO under clause 2.5.2 of the NER and applicable AEMO guidelines. This category includes the four AEMO registration categories of scheduled generation, non-scheduled generation, market generation and non-market generation.</w:t>
            </w:r>
          </w:p>
          <w:p w:rsidR="0084466E" w:rsidRPr="009D2A57" w:rsidRDefault="0084466E" w:rsidP="0084466E">
            <w:pPr>
              <w:pStyle w:val="AERtabletextleft"/>
              <w:rPr>
                <w:i/>
                <w:szCs w:val="16"/>
                <w:lang w:eastAsia="en-AU"/>
              </w:rPr>
            </w:pPr>
            <w:r w:rsidRPr="009D2A57">
              <w:rPr>
                <w:i/>
                <w:szCs w:val="16"/>
                <w:lang w:eastAsia="en-AU"/>
              </w:rPr>
              <w:t xml:space="preserve">Note: The category includes — but is not limited to — small scale diesel, petrol, bio-fuel, gas (including coal-seam and other methane sources), fuel cells, an electric vehicle inverter,  thermal-electric, geothermal, solar (including photovoltaic), wind or hydro generation and cogeneration and tri-generation installations. </w:t>
            </w:r>
            <w:r>
              <w:rPr>
                <w:i/>
                <w:szCs w:val="16"/>
                <w:lang w:eastAsia="en-AU"/>
              </w:rPr>
              <w:t>Typically, this category relates to generation systems of 30MW or greater capacity.</w:t>
            </w:r>
            <w:r w:rsidRPr="009D2A57">
              <w:rPr>
                <w:i/>
                <w:szCs w:val="16"/>
                <w:lang w:eastAsia="en-AU"/>
              </w:rPr>
              <w:t xml:space="preserve"> </w:t>
            </w:r>
          </w:p>
        </w:tc>
      </w:tr>
      <w:tr w:rsidR="0084466E" w:rsidTr="0084466E">
        <w:tc>
          <w:tcPr>
            <w:tcW w:w="3510" w:type="dxa"/>
            <w:shd w:val="clear" w:color="auto" w:fill="FFFFFF"/>
            <w:vAlign w:val="center"/>
          </w:tcPr>
          <w:p w:rsidR="0084466E" w:rsidRPr="005C6303" w:rsidRDefault="0084466E" w:rsidP="003366C0">
            <w:pPr>
              <w:pStyle w:val="AERtabletextleft"/>
              <w:rPr>
                <w:szCs w:val="16"/>
                <w:lang w:eastAsia="en-AU"/>
              </w:rPr>
            </w:pPr>
            <w:r>
              <w:rPr>
                <w:szCs w:val="16"/>
                <w:lang w:eastAsia="en-AU"/>
              </w:rPr>
              <w:t>On</w:t>
            </w:r>
            <w:r w:rsidR="003366C0">
              <w:rPr>
                <w:szCs w:val="16"/>
                <w:lang w:eastAsia="en-AU"/>
              </w:rPr>
              <w:t>-</w:t>
            </w:r>
            <w:r>
              <w:rPr>
                <w:szCs w:val="16"/>
                <w:lang w:eastAsia="en-AU"/>
              </w:rPr>
              <w:t>selling, selling</w:t>
            </w:r>
          </w:p>
        </w:tc>
        <w:tc>
          <w:tcPr>
            <w:tcW w:w="5732" w:type="dxa"/>
            <w:shd w:val="clear" w:color="auto" w:fill="FFFFFF"/>
            <w:vAlign w:val="center"/>
          </w:tcPr>
          <w:p w:rsidR="0084466E" w:rsidRPr="005C6303" w:rsidRDefault="0084466E" w:rsidP="0084466E">
            <w:pPr>
              <w:pStyle w:val="AERtabletextleft"/>
              <w:rPr>
                <w:szCs w:val="16"/>
                <w:lang w:eastAsia="en-AU"/>
              </w:rPr>
            </w:pPr>
            <w:r>
              <w:rPr>
                <w:szCs w:val="16"/>
                <w:lang w:eastAsia="en-AU"/>
              </w:rPr>
              <w:t>On—selling</w:t>
            </w:r>
            <w:r w:rsidRPr="009D2A57">
              <w:rPr>
                <w:szCs w:val="16"/>
                <w:lang w:eastAsia="en-AU"/>
              </w:rPr>
              <w:t xml:space="preserve"> </w:t>
            </w:r>
            <w:r>
              <w:rPr>
                <w:szCs w:val="16"/>
                <w:lang w:eastAsia="en-AU"/>
              </w:rPr>
              <w:t xml:space="preserve">or selling </w:t>
            </w:r>
            <w:r w:rsidRPr="009D2A57">
              <w:rPr>
                <w:szCs w:val="16"/>
                <w:lang w:eastAsia="en-AU"/>
              </w:rPr>
              <w:t>means an arrangement where a person acquires energy from a retailer following which the person acquiring the energy or a person acting on their behalf sells energy for use within the limits of premises owned, occupied or operated by the person.</w:t>
            </w:r>
          </w:p>
        </w:tc>
      </w:tr>
      <w:tr w:rsidR="0084466E" w:rsidTr="0084466E">
        <w:tc>
          <w:tcPr>
            <w:tcW w:w="3510" w:type="dxa"/>
            <w:shd w:val="clear" w:color="auto" w:fill="DBE5F1"/>
            <w:vAlign w:val="center"/>
          </w:tcPr>
          <w:p w:rsidR="0084466E" w:rsidRPr="005C6303" w:rsidRDefault="0084466E" w:rsidP="0084466E">
            <w:pPr>
              <w:pStyle w:val="AERtabletextleft"/>
              <w:rPr>
                <w:szCs w:val="16"/>
                <w:lang w:eastAsia="en-AU"/>
              </w:rPr>
            </w:pPr>
            <w:r>
              <w:rPr>
                <w:szCs w:val="16"/>
                <w:lang w:eastAsia="en-AU"/>
              </w:rPr>
              <w:t>Private network</w:t>
            </w:r>
          </w:p>
        </w:tc>
        <w:tc>
          <w:tcPr>
            <w:tcW w:w="5732" w:type="dxa"/>
            <w:shd w:val="clear" w:color="auto" w:fill="DBE5F1"/>
            <w:vAlign w:val="center"/>
          </w:tcPr>
          <w:p w:rsidR="0084466E" w:rsidRPr="005C6303" w:rsidRDefault="0084466E" w:rsidP="0084466E">
            <w:pPr>
              <w:pStyle w:val="AERtabletextleft"/>
              <w:rPr>
                <w:szCs w:val="16"/>
                <w:lang w:eastAsia="en-AU"/>
              </w:rPr>
            </w:pPr>
            <w:r>
              <w:rPr>
                <w:szCs w:val="16"/>
                <w:lang w:eastAsia="en-AU"/>
              </w:rPr>
              <w:t>M</w:t>
            </w:r>
            <w:r w:rsidRPr="009D2A57">
              <w:rPr>
                <w:szCs w:val="16"/>
                <w:lang w:eastAsia="en-AU"/>
              </w:rPr>
              <w:t>eans any network connected to the NEM or an islanded network subject to regulation under the NER, supplying electrical energy to a third party, but not a transmission or distribution network registered with AEMO.</w:t>
            </w:r>
          </w:p>
        </w:tc>
      </w:tr>
      <w:tr w:rsidR="0084466E" w:rsidTr="0084466E">
        <w:tc>
          <w:tcPr>
            <w:tcW w:w="3510" w:type="dxa"/>
            <w:shd w:val="clear" w:color="auto" w:fill="FFFFFF"/>
            <w:vAlign w:val="center"/>
          </w:tcPr>
          <w:p w:rsidR="0084466E" w:rsidRPr="005C6303" w:rsidRDefault="0084466E" w:rsidP="0084466E">
            <w:pPr>
              <w:pStyle w:val="AERtabletextleft"/>
              <w:rPr>
                <w:szCs w:val="16"/>
                <w:lang w:eastAsia="en-AU"/>
              </w:rPr>
            </w:pPr>
            <w:r w:rsidRPr="005C6303">
              <w:rPr>
                <w:szCs w:val="16"/>
                <w:lang w:eastAsia="en-AU"/>
              </w:rPr>
              <w:t>Public Register</w:t>
            </w:r>
          </w:p>
        </w:tc>
        <w:tc>
          <w:tcPr>
            <w:tcW w:w="5732" w:type="dxa"/>
            <w:shd w:val="clear" w:color="auto" w:fill="FFFFFF"/>
            <w:vAlign w:val="center"/>
          </w:tcPr>
          <w:p w:rsidR="0084466E" w:rsidRPr="005C6303" w:rsidRDefault="0084466E" w:rsidP="00E73CDA">
            <w:pPr>
              <w:pStyle w:val="AERtabletextleft"/>
              <w:rPr>
                <w:szCs w:val="16"/>
                <w:lang w:eastAsia="en-AU"/>
              </w:rPr>
            </w:pPr>
            <w:r w:rsidRPr="005C6303">
              <w:rPr>
                <w:szCs w:val="16"/>
                <w:lang w:eastAsia="en-AU"/>
              </w:rPr>
              <w:t xml:space="preserve">Public Register of </w:t>
            </w:r>
            <w:r w:rsidR="00E73CDA">
              <w:rPr>
                <w:szCs w:val="16"/>
                <w:lang w:eastAsia="en-AU"/>
              </w:rPr>
              <w:t>network exemptions</w:t>
            </w:r>
          </w:p>
        </w:tc>
      </w:tr>
      <w:tr w:rsidR="0084466E" w:rsidTr="0084466E">
        <w:tc>
          <w:tcPr>
            <w:tcW w:w="3510" w:type="dxa"/>
            <w:shd w:val="clear" w:color="auto" w:fill="DBE5F1"/>
            <w:vAlign w:val="center"/>
          </w:tcPr>
          <w:p w:rsidR="0084466E" w:rsidRPr="005C6303" w:rsidRDefault="0084466E" w:rsidP="0084466E">
            <w:pPr>
              <w:pStyle w:val="AERtabletextleft"/>
              <w:rPr>
                <w:szCs w:val="16"/>
                <w:lang w:eastAsia="en-AU"/>
              </w:rPr>
            </w:pPr>
            <w:r>
              <w:rPr>
                <w:szCs w:val="16"/>
                <w:lang w:eastAsia="en-AU"/>
              </w:rPr>
              <w:t>Residential customer</w:t>
            </w:r>
          </w:p>
        </w:tc>
        <w:tc>
          <w:tcPr>
            <w:tcW w:w="5732" w:type="dxa"/>
            <w:shd w:val="clear" w:color="auto" w:fill="DBE5F1"/>
            <w:vAlign w:val="center"/>
          </w:tcPr>
          <w:p w:rsidR="0084466E" w:rsidRPr="005C6303" w:rsidRDefault="0084466E" w:rsidP="0084466E">
            <w:pPr>
              <w:pStyle w:val="AERtabletextleft"/>
              <w:rPr>
                <w:szCs w:val="16"/>
                <w:lang w:eastAsia="en-AU"/>
              </w:rPr>
            </w:pPr>
            <w:r>
              <w:rPr>
                <w:szCs w:val="16"/>
                <w:lang w:eastAsia="en-AU"/>
              </w:rPr>
              <w:t>M</w:t>
            </w:r>
            <w:r w:rsidRPr="009D2A57">
              <w:rPr>
                <w:szCs w:val="16"/>
                <w:lang w:eastAsia="en-AU"/>
              </w:rPr>
              <w:t>eans a customer who purchases energy principally for personal, household or domestic use at premises.</w:t>
            </w:r>
          </w:p>
        </w:tc>
      </w:tr>
      <w:tr w:rsidR="0084466E" w:rsidTr="0084466E">
        <w:tc>
          <w:tcPr>
            <w:tcW w:w="3510" w:type="dxa"/>
            <w:shd w:val="clear" w:color="auto" w:fill="FFFFFF"/>
            <w:vAlign w:val="center"/>
          </w:tcPr>
          <w:p w:rsidR="0084466E" w:rsidRPr="005C6303" w:rsidRDefault="0084466E" w:rsidP="0084466E">
            <w:pPr>
              <w:pStyle w:val="AERtabletextleft"/>
              <w:rPr>
                <w:szCs w:val="16"/>
                <w:lang w:eastAsia="en-AU"/>
              </w:rPr>
            </w:pPr>
            <w:r w:rsidRPr="009D2A57">
              <w:rPr>
                <w:szCs w:val="16"/>
                <w:lang w:eastAsia="en-AU"/>
              </w:rPr>
              <w:t xml:space="preserve">Responsible </w:t>
            </w:r>
            <w:r>
              <w:rPr>
                <w:szCs w:val="16"/>
                <w:lang w:eastAsia="en-AU"/>
              </w:rPr>
              <w:t>p</w:t>
            </w:r>
            <w:r w:rsidRPr="009D2A57">
              <w:rPr>
                <w:szCs w:val="16"/>
                <w:lang w:eastAsia="en-AU"/>
              </w:rPr>
              <w:t>erson</w:t>
            </w:r>
          </w:p>
        </w:tc>
        <w:tc>
          <w:tcPr>
            <w:tcW w:w="5732" w:type="dxa"/>
            <w:shd w:val="clear" w:color="auto" w:fill="FFFFFF"/>
            <w:vAlign w:val="center"/>
          </w:tcPr>
          <w:p w:rsidR="0084466E" w:rsidRPr="005C6303" w:rsidRDefault="0084466E" w:rsidP="0084466E">
            <w:pPr>
              <w:pStyle w:val="AERtabletextleft"/>
              <w:rPr>
                <w:szCs w:val="16"/>
                <w:lang w:eastAsia="en-AU"/>
              </w:rPr>
            </w:pPr>
            <w:r>
              <w:rPr>
                <w:szCs w:val="16"/>
                <w:lang w:eastAsia="en-AU"/>
              </w:rPr>
              <w:t>H</w:t>
            </w:r>
            <w:r w:rsidRPr="009D2A57">
              <w:rPr>
                <w:szCs w:val="16"/>
                <w:lang w:eastAsia="en-AU"/>
              </w:rPr>
              <w:t>as the meaning specified in clause 7.2.1(a) of the NER</w:t>
            </w:r>
          </w:p>
        </w:tc>
      </w:tr>
      <w:tr w:rsidR="0084466E" w:rsidTr="0084466E">
        <w:tc>
          <w:tcPr>
            <w:tcW w:w="3510" w:type="dxa"/>
            <w:shd w:val="clear" w:color="auto" w:fill="DBE5F1"/>
            <w:vAlign w:val="center"/>
          </w:tcPr>
          <w:p w:rsidR="0084466E" w:rsidRPr="005C6303" w:rsidRDefault="0084466E" w:rsidP="0084466E">
            <w:pPr>
              <w:pStyle w:val="AERtabletextleft"/>
              <w:rPr>
                <w:szCs w:val="16"/>
                <w:lang w:eastAsia="en-AU"/>
              </w:rPr>
            </w:pPr>
            <w:r>
              <w:rPr>
                <w:szCs w:val="16"/>
                <w:lang w:eastAsia="en-AU"/>
              </w:rPr>
              <w:t>Retailer</w:t>
            </w:r>
          </w:p>
        </w:tc>
        <w:tc>
          <w:tcPr>
            <w:tcW w:w="5732" w:type="dxa"/>
            <w:shd w:val="clear" w:color="auto" w:fill="DBE5F1"/>
            <w:vAlign w:val="center"/>
          </w:tcPr>
          <w:p w:rsidR="0084466E" w:rsidRPr="005C6303" w:rsidRDefault="0084466E" w:rsidP="0084466E">
            <w:pPr>
              <w:pStyle w:val="AERtabletextleft"/>
              <w:rPr>
                <w:szCs w:val="16"/>
                <w:lang w:eastAsia="en-AU"/>
              </w:rPr>
            </w:pPr>
            <w:r>
              <w:rPr>
                <w:szCs w:val="16"/>
                <w:lang w:eastAsia="en-AU"/>
              </w:rPr>
              <w:t>M</w:t>
            </w:r>
            <w:r w:rsidRPr="009D2A57">
              <w:rPr>
                <w:szCs w:val="16"/>
                <w:lang w:eastAsia="en-AU"/>
              </w:rPr>
              <w:t>eans a person who is the holder of a retailer authorisation for the purposes of section 88 of the Retail Law.</w:t>
            </w:r>
          </w:p>
        </w:tc>
      </w:tr>
      <w:tr w:rsidR="0084466E" w:rsidTr="0084466E">
        <w:tc>
          <w:tcPr>
            <w:tcW w:w="3510" w:type="dxa"/>
            <w:tcBorders>
              <w:bottom w:val="nil"/>
            </w:tcBorders>
            <w:shd w:val="clear" w:color="auto" w:fill="FFFFFF"/>
            <w:vAlign w:val="center"/>
          </w:tcPr>
          <w:p w:rsidR="0084466E" w:rsidRPr="005C6303" w:rsidRDefault="0084466E" w:rsidP="0084466E">
            <w:pPr>
              <w:pStyle w:val="AERtabletextleft"/>
              <w:rPr>
                <w:szCs w:val="16"/>
                <w:lang w:eastAsia="en-AU"/>
              </w:rPr>
            </w:pPr>
            <w:r w:rsidRPr="005C6303">
              <w:rPr>
                <w:szCs w:val="16"/>
                <w:lang w:eastAsia="en-AU"/>
              </w:rPr>
              <w:t>Retail Law</w:t>
            </w:r>
          </w:p>
        </w:tc>
        <w:tc>
          <w:tcPr>
            <w:tcW w:w="5732" w:type="dxa"/>
            <w:tcBorders>
              <w:bottom w:val="nil"/>
            </w:tcBorders>
            <w:shd w:val="clear" w:color="auto" w:fill="FFFFFF"/>
            <w:vAlign w:val="center"/>
          </w:tcPr>
          <w:p w:rsidR="0084466E" w:rsidRPr="005C6303" w:rsidRDefault="0084466E" w:rsidP="0084466E">
            <w:pPr>
              <w:pStyle w:val="AERtabletextleft"/>
              <w:rPr>
                <w:szCs w:val="16"/>
                <w:lang w:eastAsia="en-AU"/>
              </w:rPr>
            </w:pPr>
            <w:r w:rsidRPr="005C6303">
              <w:rPr>
                <w:szCs w:val="16"/>
                <w:lang w:eastAsia="en-AU"/>
              </w:rPr>
              <w:t>National Energy Retail Law</w:t>
            </w:r>
          </w:p>
        </w:tc>
      </w:tr>
      <w:tr w:rsidR="00DB2BAA" w:rsidTr="0084466E">
        <w:tc>
          <w:tcPr>
            <w:tcW w:w="3510" w:type="dxa"/>
            <w:shd w:val="clear" w:color="auto" w:fill="DBE5F1"/>
            <w:vAlign w:val="center"/>
          </w:tcPr>
          <w:p w:rsidR="00DB2BAA" w:rsidRPr="005C6303" w:rsidRDefault="00DB2BAA" w:rsidP="0084466E">
            <w:pPr>
              <w:pStyle w:val="AERtabletextleft"/>
              <w:rPr>
                <w:szCs w:val="16"/>
                <w:lang w:eastAsia="en-AU"/>
              </w:rPr>
            </w:pPr>
            <w:r w:rsidRPr="009D2A57">
              <w:rPr>
                <w:szCs w:val="16"/>
                <w:lang w:eastAsia="en-AU"/>
              </w:rPr>
              <w:t>Small customer</w:t>
            </w:r>
          </w:p>
        </w:tc>
        <w:tc>
          <w:tcPr>
            <w:tcW w:w="5732" w:type="dxa"/>
            <w:shd w:val="clear" w:color="auto" w:fill="DBE5F1"/>
            <w:vAlign w:val="center"/>
          </w:tcPr>
          <w:p w:rsidR="00DB2BAA" w:rsidRPr="009D2A57" w:rsidRDefault="00DB2BAA" w:rsidP="00B51C28">
            <w:pPr>
              <w:rPr>
                <w:sz w:val="16"/>
                <w:szCs w:val="16"/>
              </w:rPr>
            </w:pPr>
            <w:r>
              <w:rPr>
                <w:sz w:val="16"/>
                <w:szCs w:val="16"/>
              </w:rPr>
              <w:t>M</w:t>
            </w:r>
            <w:r w:rsidRPr="009D2A57">
              <w:rPr>
                <w:sz w:val="16"/>
                <w:szCs w:val="16"/>
              </w:rPr>
              <w:t>eans a customer—</w:t>
            </w:r>
          </w:p>
          <w:p w:rsidR="00DB2BAA" w:rsidRPr="009D2A57" w:rsidRDefault="00DB2BAA" w:rsidP="00B51C28">
            <w:pPr>
              <w:pStyle w:val="AERbulletlistfirststyle"/>
              <w:numPr>
                <w:ilvl w:val="0"/>
                <w:numId w:val="18"/>
              </w:numPr>
              <w:spacing w:before="0" w:line="240" w:lineRule="auto"/>
              <w:rPr>
                <w:sz w:val="16"/>
                <w:szCs w:val="16"/>
              </w:rPr>
            </w:pPr>
            <w:r w:rsidRPr="009D2A57">
              <w:rPr>
                <w:sz w:val="16"/>
                <w:szCs w:val="16"/>
              </w:rPr>
              <w:t xml:space="preserve">who is a residential customer, or </w:t>
            </w:r>
          </w:p>
          <w:p w:rsidR="00DB2BAA" w:rsidRPr="009D2A57" w:rsidRDefault="00DB2BAA" w:rsidP="00B51C28">
            <w:pPr>
              <w:pStyle w:val="AERbulletlistfirststyle"/>
              <w:numPr>
                <w:ilvl w:val="0"/>
                <w:numId w:val="18"/>
              </w:numPr>
              <w:spacing w:before="0" w:line="240" w:lineRule="auto"/>
              <w:jc w:val="left"/>
              <w:rPr>
                <w:sz w:val="16"/>
                <w:szCs w:val="16"/>
                <w:lang w:eastAsia="en-AU"/>
              </w:rPr>
            </w:pPr>
            <w:r w:rsidRPr="009D2A57">
              <w:rPr>
                <w:sz w:val="16"/>
                <w:szCs w:val="16"/>
              </w:rPr>
              <w:t>who is a business customer who consumes energy at business premises below the upper consumption threshold, as defined by the relevant jurisdiction. If no threshold is defined, 100 megawatt hours per annum for electricity.</w:t>
            </w:r>
          </w:p>
        </w:tc>
      </w:tr>
    </w:tbl>
    <w:p w:rsidR="005C6303" w:rsidRDefault="005C6303"/>
    <w:sectPr w:rsidR="005C6303" w:rsidSect="005C63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11D" w:rsidRDefault="000F611D" w:rsidP="007334C5">
      <w:pPr>
        <w:spacing w:after="0" w:line="240" w:lineRule="auto"/>
      </w:pPr>
      <w:r>
        <w:separator/>
      </w:r>
    </w:p>
  </w:endnote>
  <w:endnote w:type="continuationSeparator" w:id="0">
    <w:p w:rsidR="000F611D" w:rsidRDefault="000F611D" w:rsidP="00733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11D" w:rsidRDefault="000F611D">
    <w:pPr>
      <w:pStyle w:val="Footer"/>
      <w:jc w:val="right"/>
    </w:pPr>
    <w:r>
      <w:fldChar w:fldCharType="begin"/>
    </w:r>
    <w:r>
      <w:instrText xml:space="preserve"> PAGE   \* MERGEFORMAT </w:instrText>
    </w:r>
    <w:r>
      <w:fldChar w:fldCharType="separate"/>
    </w:r>
    <w:r w:rsidR="007B2479">
      <w:rPr>
        <w:noProof/>
      </w:rPr>
      <w:t>3</w:t>
    </w:r>
    <w:r>
      <w:rPr>
        <w:noProof/>
      </w:rPr>
      <w:fldChar w:fldCharType="end"/>
    </w:r>
  </w:p>
  <w:p w:rsidR="000F611D" w:rsidRDefault="000F6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11D" w:rsidRDefault="000F611D" w:rsidP="007334C5">
      <w:pPr>
        <w:spacing w:after="0" w:line="240" w:lineRule="auto"/>
      </w:pPr>
      <w:r>
        <w:separator/>
      </w:r>
    </w:p>
  </w:footnote>
  <w:footnote w:type="continuationSeparator" w:id="0">
    <w:p w:rsidR="000F611D" w:rsidRDefault="000F611D" w:rsidP="007334C5">
      <w:pPr>
        <w:spacing w:after="0" w:line="240" w:lineRule="auto"/>
      </w:pPr>
      <w:r>
        <w:continuationSeparator/>
      </w:r>
    </w:p>
  </w:footnote>
  <w:footnote w:id="1">
    <w:p w:rsidR="000F611D" w:rsidRDefault="000F611D">
      <w:pPr>
        <w:pStyle w:val="FootnoteText"/>
      </w:pPr>
      <w:r>
        <w:rPr>
          <w:rStyle w:val="FootnoteReference"/>
        </w:rPr>
        <w:footnoteRef/>
      </w:r>
      <w:r>
        <w:t xml:space="preserve"> </w:t>
      </w:r>
      <w:r>
        <w:tab/>
        <w:t xml:space="preserve">NEL section 11(2)(a) and </w:t>
      </w:r>
      <w:r w:rsidRPr="002873F0">
        <w:t>NER, clause 2.5.1(a)</w:t>
      </w:r>
      <w:r>
        <w:t xml:space="preserve"> </w:t>
      </w:r>
    </w:p>
  </w:footnote>
  <w:footnote w:id="2">
    <w:p w:rsidR="000F611D" w:rsidRDefault="000F611D">
      <w:pPr>
        <w:pStyle w:val="FootnoteText"/>
      </w:pPr>
      <w:r>
        <w:rPr>
          <w:rStyle w:val="FootnoteReference"/>
        </w:rPr>
        <w:footnoteRef/>
      </w:r>
      <w:r>
        <w:t xml:space="preserve"> </w:t>
      </w:r>
      <w:r>
        <w:tab/>
        <w:t xml:space="preserve">NEL section 11(2)(b) and </w:t>
      </w:r>
      <w:r w:rsidRPr="002873F0">
        <w:t>NER, clause 2.5.1(</w:t>
      </w:r>
      <w:r>
        <w:t>d</w:t>
      </w:r>
      <w:r w:rsidRPr="002873F0">
        <w:t>)</w:t>
      </w:r>
    </w:p>
  </w:footnote>
  <w:footnote w:id="3">
    <w:p w:rsidR="000F611D" w:rsidRDefault="000F611D" w:rsidP="0084690F">
      <w:pPr>
        <w:pStyle w:val="FootnoteText"/>
      </w:pPr>
      <w:r>
        <w:rPr>
          <w:rStyle w:val="FootnoteReference"/>
        </w:rPr>
        <w:footnoteRef/>
      </w:r>
      <w:r>
        <w:t xml:space="preserve"> </w:t>
      </w:r>
      <w:r>
        <w:tab/>
        <w:t>NEL sections 11(2)(a) and (b); NER, clauses 2.5.1(a) and (d)</w:t>
      </w:r>
    </w:p>
  </w:footnote>
  <w:footnote w:id="4">
    <w:p w:rsidR="000F611D" w:rsidRDefault="000F611D" w:rsidP="0084690F">
      <w:pPr>
        <w:pStyle w:val="FootnoteText"/>
      </w:pPr>
      <w:r>
        <w:rPr>
          <w:rStyle w:val="FootnoteReference"/>
        </w:rPr>
        <w:footnoteRef/>
      </w:r>
      <w:r>
        <w:t xml:space="preserve"> </w:t>
      </w:r>
      <w:r>
        <w:tab/>
        <w:t>An amount not exceeding $100 000; and an amount not exceeding $10 000 for every day during which the breach continues</w:t>
      </w:r>
    </w:p>
  </w:footnote>
  <w:footnote w:id="5">
    <w:p w:rsidR="000F611D" w:rsidRDefault="000F611D">
      <w:pPr>
        <w:pStyle w:val="FootnoteText"/>
      </w:pPr>
      <w:r>
        <w:rPr>
          <w:rStyle w:val="FootnoteReference"/>
        </w:rPr>
        <w:footnoteRef/>
      </w:r>
      <w:r>
        <w:t xml:space="preserve"> Available at: </w:t>
      </w:r>
      <w:hyperlink r:id="rId1" w:history="1">
        <w:r w:rsidRPr="00551D6A">
          <w:rPr>
            <w:rStyle w:val="Hyperlink"/>
          </w:rPr>
          <w:t>http://www.aer.gov.au/node/18677</w:t>
        </w:r>
      </w:hyperlink>
      <w:r>
        <w:t xml:space="preserve"> </w:t>
      </w:r>
    </w:p>
  </w:footnote>
  <w:footnote w:id="6">
    <w:p w:rsidR="000F611D" w:rsidRPr="006E72B7" w:rsidRDefault="000F611D" w:rsidP="007C72D1">
      <w:pPr>
        <w:pStyle w:val="FootnoteText"/>
        <w:rPr>
          <w:rStyle w:val="AERbody"/>
          <w:sz w:val="16"/>
          <w:szCs w:val="16"/>
        </w:rPr>
      </w:pPr>
      <w:r w:rsidRPr="00FC6244">
        <w:rPr>
          <w:rStyle w:val="AERbody"/>
          <w:sz w:val="16"/>
          <w:szCs w:val="16"/>
          <w:vertAlign w:val="superscript"/>
        </w:rPr>
        <w:footnoteRef/>
      </w:r>
      <w:r w:rsidRPr="006E72B7">
        <w:rPr>
          <w:rStyle w:val="AERbody"/>
          <w:sz w:val="16"/>
          <w:szCs w:val="16"/>
        </w:rPr>
        <w:t xml:space="preserve"> </w:t>
      </w:r>
      <w:r w:rsidRPr="006E72B7">
        <w:rPr>
          <w:rStyle w:val="AERbody"/>
          <w:sz w:val="16"/>
          <w:szCs w:val="16"/>
        </w:rPr>
        <w:tab/>
        <w:t xml:space="preserve">For further information, see </w:t>
      </w:r>
      <w:hyperlink r:id="rId2" w:history="1">
        <w:r w:rsidRPr="006E72B7">
          <w:rPr>
            <w:rStyle w:val="AERbody"/>
            <w:sz w:val="16"/>
            <w:szCs w:val="16"/>
          </w:rPr>
          <w:t>www.measurement.gov.au</w:t>
        </w:r>
      </w:hyperlink>
      <w:r w:rsidRPr="006E72B7">
        <w:rPr>
          <w:rStyle w:val="AERbody"/>
          <w:sz w:val="16"/>
          <w:szCs w:val="16"/>
        </w:rPr>
        <w:t>.</w:t>
      </w:r>
      <w:r>
        <w:rPr>
          <w:rStyle w:val="AERbody"/>
          <w:sz w:val="16"/>
          <w:szCs w:val="16"/>
        </w:rPr>
        <w:t xml:space="preserve"> </w:t>
      </w:r>
    </w:p>
  </w:footnote>
  <w:footnote w:id="7">
    <w:p w:rsidR="000F611D" w:rsidRDefault="000F611D" w:rsidP="007C72D1">
      <w:pPr>
        <w:pStyle w:val="FootnoteText"/>
      </w:pPr>
      <w:r>
        <w:rPr>
          <w:rStyle w:val="FootnoteReference"/>
        </w:rPr>
        <w:footnoteRef/>
      </w:r>
      <w:r>
        <w:t xml:space="preserve"> </w:t>
      </w:r>
      <w:r>
        <w:tab/>
        <w:t>A ‘parent’ metering point is a metering point through which the energy measured is supplied to a whole building or site. A ‘child’ metering point is a metering point serving one tenant in a building or on a site through the ‘parent’ meter.</w:t>
      </w:r>
    </w:p>
  </w:footnote>
  <w:footnote w:id="8">
    <w:p w:rsidR="000F611D" w:rsidRDefault="000F611D" w:rsidP="007C72D1">
      <w:pPr>
        <w:pStyle w:val="FootnoteText"/>
      </w:pPr>
      <w:r w:rsidRPr="00FC6244">
        <w:rPr>
          <w:rStyle w:val="AERbody"/>
          <w:sz w:val="16"/>
          <w:szCs w:val="16"/>
          <w:vertAlign w:val="superscript"/>
        </w:rPr>
        <w:footnoteRef/>
      </w:r>
      <w:r w:rsidRPr="000F66C6">
        <w:rPr>
          <w:rStyle w:val="AERbody"/>
          <w:sz w:val="16"/>
          <w:szCs w:val="16"/>
        </w:rPr>
        <w:t xml:space="preserve"> </w:t>
      </w:r>
      <w:r>
        <w:tab/>
        <w:t xml:space="preserve">AEMO, </w:t>
      </w:r>
      <w:r w:rsidRPr="000F66C6">
        <w:rPr>
          <w:i/>
        </w:rPr>
        <w:t>Metrology Procedure: Part A National Electricity Market</w:t>
      </w:r>
      <w:r>
        <w:rPr>
          <w:i/>
        </w:rPr>
        <w:t xml:space="preserve">, </w:t>
      </w:r>
      <w:r w:rsidRPr="000F66C6">
        <w:t>Section 2.5, pp</w:t>
      </w:r>
      <w:r>
        <w:t xml:space="preserve">. </w:t>
      </w:r>
      <w:r w:rsidRPr="000F66C6">
        <w:t>38-39</w:t>
      </w:r>
    </w:p>
  </w:footnote>
  <w:footnote w:id="9">
    <w:p w:rsidR="000F611D" w:rsidRDefault="000F611D" w:rsidP="007C72D1">
      <w:pPr>
        <w:pStyle w:val="FootnoteText"/>
      </w:pPr>
      <w:r w:rsidRPr="00FC6244">
        <w:rPr>
          <w:rStyle w:val="FootnoteReference"/>
          <w:b/>
        </w:rPr>
        <w:footnoteRef/>
      </w:r>
      <w:r>
        <w:t xml:space="preserve"> </w:t>
      </w:r>
      <w:r>
        <w:tab/>
        <w:t>‘Tenant’ is to be interpreted in the widest possible sense to include any tenant, lease holder, strata title occupier or the like, connected to a private network and who is subject to charges for electricity consumed.</w:t>
      </w:r>
    </w:p>
  </w:footnote>
  <w:footnote w:id="10">
    <w:p w:rsidR="000F611D" w:rsidRDefault="000F611D">
      <w:pPr>
        <w:pStyle w:val="FootnoteText"/>
      </w:pPr>
      <w:r>
        <w:rPr>
          <w:rStyle w:val="FootnoteReference"/>
        </w:rPr>
        <w:footnoteRef/>
      </w:r>
      <w:r>
        <w:t xml:space="preserve"> </w:t>
      </w:r>
      <w:r>
        <w:tab/>
        <w:t>See section 4.6.1.</w:t>
      </w:r>
    </w:p>
  </w:footnote>
  <w:footnote w:id="11">
    <w:p w:rsidR="000F611D" w:rsidRPr="006E72B7" w:rsidRDefault="000F611D" w:rsidP="007C72D1">
      <w:pPr>
        <w:pStyle w:val="FootnoteText"/>
        <w:rPr>
          <w:rFonts w:cs="Gautami"/>
          <w:szCs w:val="16"/>
        </w:rPr>
      </w:pPr>
      <w:r w:rsidRPr="00A86238">
        <w:rPr>
          <w:rStyle w:val="AERbody"/>
          <w:sz w:val="16"/>
          <w:szCs w:val="16"/>
          <w:vertAlign w:val="superscript"/>
        </w:rPr>
        <w:footnoteRef/>
      </w:r>
      <w:r w:rsidRPr="006E72B7">
        <w:rPr>
          <w:rStyle w:val="AERbody"/>
          <w:sz w:val="16"/>
          <w:szCs w:val="16"/>
        </w:rPr>
        <w:t xml:space="preserve"> </w:t>
      </w:r>
      <w:r w:rsidRPr="006E72B7">
        <w:rPr>
          <w:rStyle w:val="AERbody"/>
          <w:sz w:val="16"/>
          <w:szCs w:val="16"/>
        </w:rPr>
        <w:tab/>
        <w:t xml:space="preserve">The ‘agent’ operating or having control of the private network may, for example, be a property manager or a specialist energy services company engaged to arrange or provide energy services to customers. This role is generally distinct from the role of people or firms engaged by the owner or the agent to design, install or service a network such as architects, engineers and </w:t>
      </w:r>
      <w:r>
        <w:rPr>
          <w:rStyle w:val="AERbody"/>
          <w:sz w:val="16"/>
          <w:szCs w:val="16"/>
        </w:rPr>
        <w:t>electricians</w:t>
      </w:r>
      <w:r w:rsidRPr="006E72B7">
        <w:rPr>
          <w:rStyle w:val="AERbody"/>
          <w:sz w:val="16"/>
          <w:szCs w:val="16"/>
        </w:rPr>
        <w:t>. These latter activities do not normally require exemption.</w:t>
      </w:r>
    </w:p>
  </w:footnote>
  <w:footnote w:id="12">
    <w:p w:rsidR="000F611D" w:rsidRPr="006E72B7" w:rsidRDefault="000F611D" w:rsidP="007C72D1">
      <w:pPr>
        <w:pStyle w:val="FootnoteText"/>
        <w:rPr>
          <w:rFonts w:cs="Gautami"/>
          <w:szCs w:val="16"/>
        </w:rPr>
      </w:pPr>
      <w:r w:rsidRPr="00A86238">
        <w:rPr>
          <w:vertAlign w:val="superscript"/>
        </w:rPr>
        <w:footnoteRef/>
      </w:r>
      <w:r w:rsidRPr="006E72B7">
        <w:rPr>
          <w:rFonts w:cs="Gautami"/>
          <w:szCs w:val="16"/>
        </w:rPr>
        <w:t xml:space="preserve"> </w:t>
      </w:r>
      <w:r w:rsidRPr="006E72B7">
        <w:rPr>
          <w:rFonts w:cs="Gautami"/>
          <w:szCs w:val="16"/>
        </w:rPr>
        <w:tab/>
        <w:t xml:space="preserve">Unmetered </w:t>
      </w:r>
      <w:r>
        <w:rPr>
          <w:rFonts w:cs="Gautami"/>
          <w:szCs w:val="16"/>
        </w:rPr>
        <w:t>on–selling</w:t>
      </w:r>
      <w:r w:rsidRPr="006E72B7">
        <w:rPr>
          <w:rFonts w:cs="Gautami"/>
          <w:szCs w:val="16"/>
        </w:rPr>
        <w:t xml:space="preserve"> to residential customers is currently allowed in Queensland (provided certain conditions are met) under the Residential Tenancies and Rooming Accommodation Act 2008 (Qld), s. 165. </w:t>
      </w:r>
    </w:p>
  </w:footnote>
  <w:footnote w:id="13">
    <w:p w:rsidR="000F611D" w:rsidRPr="006E72B7" w:rsidRDefault="000F611D" w:rsidP="007C72D1">
      <w:pPr>
        <w:pStyle w:val="FootnoteText"/>
        <w:rPr>
          <w:rFonts w:cs="Gautami"/>
          <w:szCs w:val="16"/>
        </w:rPr>
      </w:pPr>
      <w:r w:rsidRPr="00A86238">
        <w:rPr>
          <w:vertAlign w:val="superscript"/>
        </w:rPr>
        <w:footnoteRef/>
      </w:r>
      <w:r w:rsidRPr="006E72B7">
        <w:rPr>
          <w:rFonts w:cs="Gautami"/>
          <w:szCs w:val="16"/>
        </w:rPr>
        <w:t xml:space="preserve"> </w:t>
      </w:r>
      <w:r w:rsidRPr="006E72B7">
        <w:rPr>
          <w:rFonts w:cs="Gautami"/>
          <w:szCs w:val="16"/>
        </w:rPr>
        <w:tab/>
        <w:t>A copy of our exemption registration form can be found here: http://www.aer.gov.au/node/476</w:t>
      </w:r>
    </w:p>
  </w:footnote>
  <w:footnote w:id="14">
    <w:p w:rsidR="000F611D" w:rsidRPr="006E72B7" w:rsidRDefault="000F611D" w:rsidP="007C72D1">
      <w:pPr>
        <w:pStyle w:val="FootnoteText"/>
        <w:spacing w:after="120"/>
        <w:rPr>
          <w:rFonts w:cs="Gautami"/>
          <w:szCs w:val="16"/>
        </w:rPr>
      </w:pPr>
      <w:r w:rsidRPr="00A86238">
        <w:rPr>
          <w:vertAlign w:val="superscript"/>
        </w:rPr>
        <w:footnoteRef/>
      </w:r>
      <w:r w:rsidRPr="006E72B7">
        <w:rPr>
          <w:rFonts w:cs="Gautami"/>
          <w:szCs w:val="16"/>
        </w:rPr>
        <w:t xml:space="preserve"> </w:t>
      </w:r>
      <w:r w:rsidRPr="006E72B7">
        <w:rPr>
          <w:rFonts w:cs="Gautami"/>
          <w:szCs w:val="16"/>
        </w:rPr>
        <w:tab/>
        <w:t xml:space="preserve">If you </w:t>
      </w:r>
      <w:r>
        <w:rPr>
          <w:rFonts w:cs="Gautami"/>
          <w:szCs w:val="16"/>
        </w:rPr>
        <w:t xml:space="preserve">also </w:t>
      </w:r>
      <w:r w:rsidRPr="006E72B7">
        <w:rPr>
          <w:rFonts w:cs="Gautami"/>
          <w:szCs w:val="16"/>
        </w:rPr>
        <w:t>sell energy</w:t>
      </w:r>
      <w:r>
        <w:rPr>
          <w:rFonts w:cs="Gautami"/>
          <w:szCs w:val="16"/>
        </w:rPr>
        <w:t xml:space="preserve"> </w:t>
      </w:r>
      <w:r w:rsidRPr="006E72B7">
        <w:rPr>
          <w:rFonts w:cs="Gautami"/>
          <w:szCs w:val="16"/>
        </w:rPr>
        <w:t xml:space="preserve">you may also need a </w:t>
      </w:r>
      <w:r>
        <w:rPr>
          <w:rFonts w:cs="Gautami"/>
          <w:szCs w:val="16"/>
        </w:rPr>
        <w:t>retail</w:t>
      </w:r>
      <w:r w:rsidRPr="006E72B7">
        <w:rPr>
          <w:rFonts w:cs="Gautami"/>
          <w:szCs w:val="16"/>
        </w:rPr>
        <w:t xml:space="preserve"> exemption (which can be obtained by completing Part </w:t>
      </w:r>
      <w:r>
        <w:rPr>
          <w:rFonts w:cs="Gautami"/>
          <w:szCs w:val="16"/>
        </w:rPr>
        <w:t>A</w:t>
      </w:r>
      <w:r w:rsidRPr="006E72B7">
        <w:rPr>
          <w:rFonts w:cs="Gautami"/>
          <w:szCs w:val="16"/>
        </w:rPr>
        <w:t xml:space="preserve"> of the form).. </w:t>
      </w:r>
    </w:p>
  </w:footnote>
  <w:footnote w:id="15">
    <w:p w:rsidR="000F611D" w:rsidRPr="006E72B7" w:rsidRDefault="000F611D" w:rsidP="007C72D1">
      <w:pPr>
        <w:pStyle w:val="FootnoteText"/>
        <w:spacing w:after="120"/>
        <w:rPr>
          <w:rFonts w:cs="Gautami"/>
          <w:szCs w:val="16"/>
        </w:rPr>
      </w:pPr>
      <w:r w:rsidRPr="00A86238">
        <w:rPr>
          <w:vertAlign w:val="superscript"/>
        </w:rPr>
        <w:footnoteRef/>
      </w:r>
      <w:r w:rsidRPr="006E72B7">
        <w:rPr>
          <w:rFonts w:cs="Gautami"/>
          <w:szCs w:val="16"/>
        </w:rPr>
        <w:t xml:space="preserve"> </w:t>
      </w:r>
      <w:r w:rsidRPr="006E72B7">
        <w:rPr>
          <w:rFonts w:cs="Gautami"/>
          <w:szCs w:val="16"/>
        </w:rPr>
        <w:tab/>
        <w:t xml:space="preserve">For example, retail shopping centre, residential apartment building, and caravan park or retirement village. </w:t>
      </w:r>
    </w:p>
  </w:footnote>
  <w:footnote w:id="16">
    <w:p w:rsidR="000F611D" w:rsidRPr="006E72B7" w:rsidRDefault="000F611D" w:rsidP="007C72D1">
      <w:pPr>
        <w:pStyle w:val="FootnoteText"/>
        <w:rPr>
          <w:rFonts w:cs="Gautami"/>
          <w:szCs w:val="16"/>
        </w:rPr>
      </w:pPr>
      <w:r w:rsidRPr="00A86238">
        <w:rPr>
          <w:vertAlign w:val="superscript"/>
        </w:rPr>
        <w:footnoteRef/>
      </w:r>
      <w:r w:rsidRPr="006E72B7">
        <w:rPr>
          <w:rFonts w:cs="Gautami"/>
          <w:szCs w:val="16"/>
        </w:rPr>
        <w:t xml:space="preserve"> </w:t>
      </w:r>
      <w:r w:rsidRPr="006E72B7">
        <w:rPr>
          <w:rFonts w:cs="Gautami"/>
          <w:szCs w:val="16"/>
        </w:rPr>
        <w:tab/>
        <w:t>The AER’s public register of exemptions can be found here: http://www.aer.gov.au/node/2446</w:t>
      </w:r>
      <w:r>
        <w:rPr>
          <w:rFonts w:cs="Gautami"/>
          <w:szCs w:val="16"/>
        </w:rPr>
        <w:t>.</w:t>
      </w:r>
    </w:p>
  </w:footnote>
  <w:footnote w:id="17">
    <w:p w:rsidR="000F611D" w:rsidRPr="00B9277F" w:rsidRDefault="000F611D" w:rsidP="007C72D1">
      <w:pPr>
        <w:pStyle w:val="FootnoteText"/>
        <w:rPr>
          <w:szCs w:val="16"/>
        </w:rPr>
      </w:pPr>
      <w:r w:rsidRPr="00A86238">
        <w:rPr>
          <w:rStyle w:val="FootnoteReference"/>
          <w:szCs w:val="16"/>
        </w:rPr>
        <w:footnoteRef/>
      </w:r>
      <w:r w:rsidRPr="00B9277F">
        <w:rPr>
          <w:szCs w:val="16"/>
        </w:rPr>
        <w:t xml:space="preserve"> </w:t>
      </w:r>
      <w:r w:rsidRPr="00B9277F">
        <w:rPr>
          <w:szCs w:val="16"/>
        </w:rPr>
        <w:tab/>
        <w:t xml:space="preserve">A copy of our exemption registration form can be found here: </w:t>
      </w:r>
      <w:r w:rsidRPr="00545A10">
        <w:rPr>
          <w:szCs w:val="16"/>
        </w:rPr>
        <w:t>http://www.aer.gov.au/node/476</w:t>
      </w:r>
    </w:p>
  </w:footnote>
  <w:footnote w:id="18">
    <w:p w:rsidR="000F611D" w:rsidRPr="006E72B7" w:rsidRDefault="000F611D" w:rsidP="007C72D1">
      <w:pPr>
        <w:pStyle w:val="FootnoteText"/>
        <w:spacing w:after="120"/>
        <w:rPr>
          <w:rFonts w:cs="Gautami"/>
          <w:szCs w:val="16"/>
        </w:rPr>
      </w:pPr>
      <w:r w:rsidRPr="00A86238">
        <w:rPr>
          <w:vertAlign w:val="superscript"/>
        </w:rPr>
        <w:footnoteRef/>
      </w:r>
      <w:r w:rsidRPr="006E72B7">
        <w:rPr>
          <w:rFonts w:cs="Gautami"/>
          <w:szCs w:val="16"/>
        </w:rPr>
        <w:t xml:space="preserve"> </w:t>
      </w:r>
      <w:r w:rsidRPr="006E72B7">
        <w:rPr>
          <w:rFonts w:cs="Gautami"/>
          <w:szCs w:val="16"/>
        </w:rPr>
        <w:tab/>
        <w:t xml:space="preserve">We will generally not commence processing your application until we have received all required information.  </w:t>
      </w:r>
    </w:p>
  </w:footnote>
  <w:footnote w:id="19">
    <w:p w:rsidR="000F611D" w:rsidRDefault="000F611D">
      <w:pPr>
        <w:pStyle w:val="FootnoteText"/>
      </w:pPr>
      <w:r>
        <w:rPr>
          <w:rStyle w:val="FootnoteReference"/>
        </w:rPr>
        <w:footnoteRef/>
      </w:r>
      <w:r>
        <w:t xml:space="preserve"> </w:t>
      </w:r>
      <w:r>
        <w:tab/>
      </w:r>
      <w:r w:rsidRPr="004645CF">
        <w:t>NER, clause 2.5.1(d)</w:t>
      </w:r>
    </w:p>
  </w:footnote>
  <w:footnote w:id="20">
    <w:p w:rsidR="000F611D" w:rsidRPr="006E72B7" w:rsidRDefault="000F611D" w:rsidP="007C72D1">
      <w:pPr>
        <w:pStyle w:val="FootnoteText"/>
        <w:rPr>
          <w:rFonts w:cs="Gautami"/>
          <w:szCs w:val="16"/>
        </w:rPr>
      </w:pPr>
      <w:r w:rsidRPr="00F2421A">
        <w:rPr>
          <w:vertAlign w:val="superscript"/>
        </w:rPr>
        <w:footnoteRef/>
      </w:r>
      <w:r w:rsidRPr="00F2421A">
        <w:rPr>
          <w:rFonts w:cs="Gautami"/>
          <w:szCs w:val="16"/>
          <w:vertAlign w:val="superscript"/>
        </w:rPr>
        <w:t xml:space="preserve"> </w:t>
      </w:r>
      <w:r w:rsidRPr="006E72B7">
        <w:rPr>
          <w:rFonts w:cs="Gautami"/>
          <w:szCs w:val="16"/>
        </w:rPr>
        <w:tab/>
        <w:t>This class applies only to the network to which the generator is connected. Generator registration and exemptions are handled by AEMO. Safety requirements are determined by each jurisdiction.</w:t>
      </w:r>
    </w:p>
  </w:footnote>
  <w:footnote w:id="21">
    <w:p w:rsidR="000F611D" w:rsidRPr="006E72B7" w:rsidRDefault="000F611D" w:rsidP="007C72D1">
      <w:pPr>
        <w:pStyle w:val="FootnoteText"/>
        <w:rPr>
          <w:rFonts w:cs="Gautami"/>
          <w:szCs w:val="16"/>
        </w:rPr>
      </w:pPr>
      <w:r w:rsidRPr="00F2421A">
        <w:rPr>
          <w:vertAlign w:val="superscript"/>
        </w:rPr>
        <w:footnoteRef/>
      </w:r>
      <w:r w:rsidRPr="006E72B7">
        <w:rPr>
          <w:rFonts w:cs="Gautami"/>
          <w:szCs w:val="16"/>
        </w:rPr>
        <w:t xml:space="preserve"> </w:t>
      </w:r>
      <w:r w:rsidRPr="006E72B7">
        <w:rPr>
          <w:rFonts w:cs="Gautami"/>
          <w:szCs w:val="16"/>
        </w:rPr>
        <w:tab/>
        <w:t xml:space="preserve">If you have a contract or agreement to supply network support or demand management services </w:t>
      </w:r>
      <w:r>
        <w:rPr>
          <w:rFonts w:cs="Gautami"/>
          <w:szCs w:val="16"/>
        </w:rPr>
        <w:t xml:space="preserve">based on a generator or inverter </w:t>
      </w:r>
      <w:r w:rsidRPr="006E72B7">
        <w:rPr>
          <w:rFonts w:cs="Gautami"/>
          <w:szCs w:val="16"/>
        </w:rPr>
        <w:t xml:space="preserve">you must register under the appropriate class </w:t>
      </w:r>
      <w:r>
        <w:rPr>
          <w:rFonts w:cs="Gautami"/>
          <w:szCs w:val="16"/>
        </w:rPr>
        <w:t xml:space="preserve">(NRO1) </w:t>
      </w:r>
      <w:r w:rsidRPr="006E72B7">
        <w:rPr>
          <w:rFonts w:cs="Gautami"/>
          <w:szCs w:val="16"/>
        </w:rPr>
        <w:t>of Table 4.</w:t>
      </w:r>
    </w:p>
  </w:footnote>
  <w:footnote w:id="22">
    <w:p w:rsidR="000F611D" w:rsidRPr="006E72B7" w:rsidRDefault="000F611D" w:rsidP="00587288">
      <w:pPr>
        <w:pStyle w:val="FootnoteText"/>
        <w:rPr>
          <w:rFonts w:cs="Gautami"/>
          <w:szCs w:val="16"/>
        </w:rPr>
      </w:pPr>
      <w:r w:rsidRPr="00F2421A">
        <w:rPr>
          <w:vertAlign w:val="superscript"/>
        </w:rPr>
        <w:footnoteRef/>
      </w:r>
      <w:r w:rsidRPr="006E72B7">
        <w:rPr>
          <w:rFonts w:cs="Gautami"/>
          <w:szCs w:val="16"/>
        </w:rPr>
        <w:t xml:space="preserve"> </w:t>
      </w:r>
      <w:r w:rsidRPr="006E72B7">
        <w:rPr>
          <w:rFonts w:cs="Gautami"/>
          <w:szCs w:val="16"/>
        </w:rPr>
        <w:tab/>
        <w:t xml:space="preserve">Note that no exemption is required if the charging facility is directly connected to a distributor. </w:t>
      </w:r>
    </w:p>
  </w:footnote>
  <w:footnote w:id="23">
    <w:p w:rsidR="000F611D" w:rsidRDefault="000F611D" w:rsidP="00587288">
      <w:pPr>
        <w:pStyle w:val="FootnoteText"/>
      </w:pPr>
      <w:r>
        <w:rPr>
          <w:rStyle w:val="FootnoteReference"/>
        </w:rPr>
        <w:footnoteRef/>
      </w:r>
      <w:r>
        <w:t xml:space="preserve"> </w:t>
      </w:r>
      <w:r>
        <w:tab/>
        <w:t>A ‘large proprietary company’ as defined under clause 45A(3) of the Corporations Act 2001.</w:t>
      </w:r>
    </w:p>
  </w:footnote>
  <w:footnote w:id="24">
    <w:p w:rsidR="000F611D" w:rsidRPr="006E72B7" w:rsidRDefault="000F611D" w:rsidP="007C72D1">
      <w:pPr>
        <w:pStyle w:val="FootnoteText"/>
        <w:spacing w:before="120"/>
        <w:ind w:left="425" w:hanging="425"/>
        <w:rPr>
          <w:rFonts w:cs="Gautami"/>
          <w:szCs w:val="16"/>
        </w:rPr>
      </w:pPr>
      <w:r w:rsidRPr="007B572A">
        <w:rPr>
          <w:vertAlign w:val="superscript"/>
        </w:rPr>
        <w:footnoteRef/>
      </w:r>
      <w:r w:rsidRPr="006E72B7">
        <w:rPr>
          <w:rFonts w:cs="Gautami"/>
          <w:szCs w:val="16"/>
        </w:rPr>
        <w:tab/>
        <w:t xml:space="preserve">This class applies only to the network to which the generator is connected. Generator registration and exemptions are administered by AEMO. Safety requirements are determined by each jurisdiction. </w:t>
      </w:r>
    </w:p>
  </w:footnote>
  <w:footnote w:id="25">
    <w:p w:rsidR="000F611D" w:rsidRPr="006E72B7" w:rsidRDefault="000F611D" w:rsidP="007C72D1">
      <w:pPr>
        <w:pStyle w:val="FootnoteText"/>
        <w:spacing w:before="120"/>
        <w:ind w:left="425" w:hanging="425"/>
        <w:rPr>
          <w:rFonts w:cs="Gautami"/>
          <w:szCs w:val="16"/>
        </w:rPr>
      </w:pPr>
      <w:r w:rsidRPr="007B572A">
        <w:rPr>
          <w:vertAlign w:val="superscript"/>
        </w:rPr>
        <w:footnoteRef/>
      </w:r>
      <w:r w:rsidRPr="006E72B7">
        <w:rPr>
          <w:rFonts w:cs="Gautami"/>
          <w:szCs w:val="16"/>
        </w:rPr>
        <w:t xml:space="preserve"> </w:t>
      </w:r>
      <w:r w:rsidRPr="006E72B7">
        <w:rPr>
          <w:rFonts w:cs="Gautami"/>
          <w:szCs w:val="16"/>
        </w:rPr>
        <w:tab/>
        <w:t>This class applies only to the network to which the generator is connected. Generator registration and exemptions are administered by AEMO. Safety requirements are determined by each jurisdiction.</w:t>
      </w:r>
    </w:p>
  </w:footnote>
  <w:footnote w:id="26">
    <w:p w:rsidR="000F611D" w:rsidRPr="006E72B7" w:rsidRDefault="000F611D" w:rsidP="007C72D1">
      <w:pPr>
        <w:pStyle w:val="FootnoteText"/>
        <w:spacing w:before="120"/>
        <w:ind w:left="425" w:hanging="425"/>
        <w:rPr>
          <w:rFonts w:cs="Gautami"/>
          <w:szCs w:val="16"/>
        </w:rPr>
      </w:pPr>
      <w:r w:rsidRPr="007B572A">
        <w:rPr>
          <w:vertAlign w:val="superscript"/>
        </w:rPr>
        <w:footnoteRef/>
      </w:r>
      <w:r w:rsidRPr="006E72B7">
        <w:rPr>
          <w:rFonts w:cs="Gautami"/>
          <w:szCs w:val="16"/>
        </w:rPr>
        <w:t xml:space="preserve"> </w:t>
      </w:r>
      <w:r w:rsidRPr="006E72B7">
        <w:rPr>
          <w:rFonts w:cs="Gautami"/>
          <w:szCs w:val="16"/>
        </w:rPr>
        <w:tab/>
        <w:t>The term ‘ancillary support facilities’ is intended to be interpreted broadly to encompass a wide range of sundry activities including, but not limited to, incidental supply to local residents, local tourism, communication, health, public safety and emergency services.</w:t>
      </w:r>
    </w:p>
  </w:footnote>
  <w:footnote w:id="27">
    <w:p w:rsidR="000F611D" w:rsidRPr="006E72B7" w:rsidRDefault="000F611D" w:rsidP="007C72D1">
      <w:pPr>
        <w:pStyle w:val="FootnoteText"/>
        <w:spacing w:before="120"/>
        <w:ind w:left="425" w:hanging="425"/>
        <w:rPr>
          <w:rFonts w:cs="Gautami"/>
          <w:szCs w:val="16"/>
        </w:rPr>
      </w:pPr>
      <w:r w:rsidRPr="007B572A">
        <w:rPr>
          <w:vertAlign w:val="superscript"/>
        </w:rPr>
        <w:footnoteRef/>
      </w:r>
      <w:r w:rsidRPr="006E72B7">
        <w:rPr>
          <w:rFonts w:cs="Gautami"/>
          <w:szCs w:val="16"/>
        </w:rPr>
        <w:t xml:space="preserve"> </w:t>
      </w:r>
      <w:r w:rsidRPr="006E72B7">
        <w:rPr>
          <w:rFonts w:cs="Gautami"/>
          <w:szCs w:val="16"/>
        </w:rPr>
        <w:tab/>
        <w:t>This class applies only to private networks where customers have access to full retail competition via ‘child’ metering registered in accordance with applicable AEMO requirements. It does not apply where a customer arranges direct connection to a NEM registered network service provider or where customers within a network do not require access to full retail competition. In all other circumstances, table 1 or table 3 applies.</w:t>
      </w:r>
    </w:p>
  </w:footnote>
  <w:footnote w:id="28">
    <w:p w:rsidR="000F611D" w:rsidRDefault="000F611D" w:rsidP="007C72D1">
      <w:pPr>
        <w:pStyle w:val="FootnoteText"/>
      </w:pPr>
      <w:r>
        <w:rPr>
          <w:rStyle w:val="FootnoteReference"/>
        </w:rPr>
        <w:footnoteRef/>
      </w:r>
      <w:r>
        <w:t xml:space="preserve"> </w:t>
      </w:r>
      <w:r>
        <w:tab/>
        <w:t>As of 1 July 2013, the relevant jurisdictions are New South Wales, South Australia and Victoria.</w:t>
      </w:r>
    </w:p>
  </w:footnote>
  <w:footnote w:id="29">
    <w:p w:rsidR="000F611D" w:rsidRPr="006E72B7" w:rsidRDefault="000F611D" w:rsidP="007C72D1">
      <w:pPr>
        <w:pStyle w:val="FootnoteText"/>
        <w:rPr>
          <w:rFonts w:cs="Gautami"/>
          <w:szCs w:val="16"/>
        </w:rPr>
      </w:pPr>
      <w:r w:rsidRPr="006E72B7">
        <w:footnoteRef/>
      </w:r>
      <w:r w:rsidRPr="006E72B7">
        <w:rPr>
          <w:rFonts w:cs="Gautami"/>
          <w:szCs w:val="16"/>
        </w:rPr>
        <w:t xml:space="preserve"> </w:t>
      </w:r>
      <w:r w:rsidRPr="006E72B7">
        <w:rPr>
          <w:rFonts w:cs="Gautami"/>
          <w:szCs w:val="16"/>
        </w:rPr>
        <w:tab/>
        <w:t>A transmission network as defined in the National Electricity Rules is nominally one which operates at voltages of 220 kV and above or, subject to a determination by the AER, at lower voltages in parallel with and providing support to the main transmission network.</w:t>
      </w:r>
    </w:p>
  </w:footnote>
  <w:footnote w:id="30">
    <w:p w:rsidR="000F611D" w:rsidRPr="006E72B7" w:rsidRDefault="000F611D" w:rsidP="007C72D1">
      <w:pPr>
        <w:pStyle w:val="FootnoteText"/>
        <w:rPr>
          <w:rStyle w:val="AERbody"/>
          <w:sz w:val="16"/>
        </w:rPr>
      </w:pPr>
      <w:r w:rsidRPr="008D234C">
        <w:rPr>
          <w:rStyle w:val="AERbody"/>
          <w:sz w:val="16"/>
          <w:vertAlign w:val="superscript"/>
        </w:rPr>
        <w:footnoteRef/>
      </w:r>
      <w:r w:rsidRPr="008D234C">
        <w:rPr>
          <w:rStyle w:val="AERbody"/>
          <w:sz w:val="16"/>
          <w:vertAlign w:val="superscript"/>
        </w:rPr>
        <w:t xml:space="preserve"> </w:t>
      </w:r>
      <w:r w:rsidRPr="006E72B7">
        <w:rPr>
          <w:rStyle w:val="AERbody"/>
          <w:sz w:val="16"/>
        </w:rPr>
        <w:tab/>
        <w:t>The requirement for pattern approval commence</w:t>
      </w:r>
      <w:r>
        <w:rPr>
          <w:rStyle w:val="AERbody"/>
          <w:sz w:val="16"/>
        </w:rPr>
        <w:t>d</w:t>
      </w:r>
      <w:r w:rsidRPr="006E72B7">
        <w:rPr>
          <w:rStyle w:val="AERbody"/>
          <w:sz w:val="16"/>
        </w:rPr>
        <w:t xml:space="preserve"> from 1 J</w:t>
      </w:r>
      <w:r>
        <w:rPr>
          <w:rStyle w:val="AERbody"/>
          <w:sz w:val="16"/>
        </w:rPr>
        <w:t>anuary 2013</w:t>
      </w:r>
      <w:r w:rsidRPr="006E72B7">
        <w:rPr>
          <w:rStyle w:val="AERbody"/>
          <w:sz w:val="16"/>
        </w:rPr>
        <w:t>.</w:t>
      </w:r>
    </w:p>
  </w:footnote>
  <w:footnote w:id="31">
    <w:p w:rsidR="000F611D" w:rsidRPr="006E72B7" w:rsidRDefault="000F611D" w:rsidP="002227A7">
      <w:pPr>
        <w:pStyle w:val="FootnoteText"/>
        <w:rPr>
          <w:rStyle w:val="AERbody"/>
          <w:sz w:val="16"/>
        </w:rPr>
      </w:pPr>
      <w:r w:rsidRPr="008D234C">
        <w:rPr>
          <w:rStyle w:val="AERbody"/>
          <w:sz w:val="16"/>
          <w:vertAlign w:val="superscript"/>
        </w:rPr>
        <w:footnoteRef/>
      </w:r>
      <w:r w:rsidRPr="006E72B7">
        <w:rPr>
          <w:rStyle w:val="AERbody"/>
          <w:sz w:val="16"/>
        </w:rPr>
        <w:t xml:space="preserve"> </w:t>
      </w:r>
      <w:r w:rsidRPr="006E72B7">
        <w:rPr>
          <w:rStyle w:val="AERbody"/>
          <w:sz w:val="16"/>
        </w:rPr>
        <w:tab/>
      </w:r>
      <w:r>
        <w:t xml:space="preserve">AEMO, </w:t>
      </w:r>
      <w:r w:rsidRPr="009B4B34">
        <w:t>Metrology Procedure: Part A</w:t>
      </w:r>
      <w:r>
        <w:t xml:space="preserve"> National Electricity Market.</w:t>
      </w:r>
    </w:p>
  </w:footnote>
  <w:footnote w:id="32">
    <w:p w:rsidR="000F611D" w:rsidRPr="006E72B7" w:rsidRDefault="000F611D" w:rsidP="007C72D1">
      <w:pPr>
        <w:pStyle w:val="FootnoteText"/>
        <w:rPr>
          <w:rStyle w:val="AERbody"/>
          <w:sz w:val="16"/>
        </w:rPr>
      </w:pPr>
      <w:r w:rsidRPr="008D234C">
        <w:rPr>
          <w:rStyle w:val="AERbody"/>
          <w:sz w:val="16"/>
          <w:vertAlign w:val="superscript"/>
        </w:rPr>
        <w:footnoteRef/>
      </w:r>
      <w:r w:rsidRPr="006E72B7">
        <w:rPr>
          <w:rStyle w:val="AERbody"/>
          <w:sz w:val="16"/>
        </w:rPr>
        <w:t xml:space="preserve"> </w:t>
      </w:r>
      <w:r w:rsidRPr="006E72B7">
        <w:rPr>
          <w:rStyle w:val="AERbody"/>
          <w:sz w:val="16"/>
        </w:rPr>
        <w:tab/>
        <w:t>The ‘Responsible Person’ is as specified in chapter 7 of the NER and in AEMO metrology procedures the NEM participant with financial responsibility for the energy used by a retail customer. Typically</w:t>
      </w:r>
      <w:r>
        <w:rPr>
          <w:rStyle w:val="AERbody"/>
          <w:sz w:val="16"/>
        </w:rPr>
        <w:t>, for embedded networks</w:t>
      </w:r>
      <w:r w:rsidRPr="006E72B7">
        <w:rPr>
          <w:rStyle w:val="AERbody"/>
          <w:sz w:val="16"/>
        </w:rPr>
        <w:t>, this is the NEM registered retailer</w:t>
      </w:r>
      <w:r>
        <w:rPr>
          <w:rStyle w:val="AERbody"/>
          <w:sz w:val="16"/>
        </w:rPr>
        <w:t xml:space="preserve"> and not the distributor</w:t>
      </w:r>
      <w:r w:rsidRPr="006E72B7">
        <w:rPr>
          <w:rStyle w:val="AERbody"/>
          <w:sz w:val="16"/>
        </w:rPr>
        <w:t>.</w:t>
      </w:r>
    </w:p>
  </w:footnote>
  <w:footnote w:id="33">
    <w:p w:rsidR="000F611D" w:rsidRDefault="000F611D">
      <w:pPr>
        <w:pStyle w:val="FootnoteText"/>
      </w:pPr>
      <w:r>
        <w:rPr>
          <w:rStyle w:val="FootnoteReference"/>
        </w:rPr>
        <w:footnoteRef/>
      </w:r>
      <w:r>
        <w:t xml:space="preserve"> </w:t>
      </w:r>
      <w:r>
        <w:tab/>
      </w:r>
      <w:r w:rsidRPr="00DB2C17">
        <w:t>NMIs are issued by the local DNSP and recorded in the market settlement system operated by AEMO.</w:t>
      </w:r>
    </w:p>
  </w:footnote>
  <w:footnote w:id="34">
    <w:p w:rsidR="000F611D" w:rsidRDefault="000F611D">
      <w:pPr>
        <w:pStyle w:val="FootnoteText"/>
      </w:pPr>
      <w:r>
        <w:rPr>
          <w:rStyle w:val="FootnoteReference"/>
        </w:rPr>
        <w:footnoteRef/>
      </w:r>
      <w:r>
        <w:t xml:space="preserve"> </w:t>
      </w:r>
      <w:r>
        <w:tab/>
        <w:t>See:</w:t>
      </w:r>
      <w:r w:rsidRPr="00A5123A">
        <w:t xml:space="preserve"> </w:t>
      </w:r>
      <w:hyperlink r:id="rId3" w:history="1">
        <w:r w:rsidRPr="00551D6A">
          <w:rPr>
            <w:rStyle w:val="Hyperlink"/>
          </w:rPr>
          <w:t>http://www.aer.gov.au/node/484</w:t>
        </w:r>
      </w:hyperlink>
      <w:r>
        <w:t>, select the category: ‘Distribution Loss Factors’ and the most recent year.</w:t>
      </w:r>
    </w:p>
  </w:footnote>
  <w:footnote w:id="35">
    <w:p w:rsidR="000F611D" w:rsidRDefault="000F611D">
      <w:pPr>
        <w:pStyle w:val="FootnoteText"/>
      </w:pPr>
      <w:r>
        <w:rPr>
          <w:rStyle w:val="FootnoteReference"/>
        </w:rPr>
        <w:footnoteRef/>
      </w:r>
      <w:r>
        <w:t xml:space="preserve"> </w:t>
      </w:r>
      <w:r>
        <w:tab/>
        <w:t xml:space="preserve">The </w:t>
      </w:r>
      <w:r w:rsidRPr="003F304F">
        <w:t xml:space="preserve">NER specifies that the methodology for the calculation of distribution loss factors is either the methodology published by the local DNSP or as published by the AER. </w:t>
      </w:r>
      <w:r>
        <w:t xml:space="preserve">However, we </w:t>
      </w:r>
      <w:r w:rsidRPr="003F304F">
        <w:t>consider publishing a single national methodology would result in significant disruption in a number of jurisdictions to existing pricing arrangements and unduly impact consumers</w:t>
      </w:r>
      <w:r>
        <w:t xml:space="preserve">. </w:t>
      </w:r>
    </w:p>
  </w:footnote>
  <w:footnote w:id="36">
    <w:p w:rsidR="000F611D" w:rsidRPr="006E72B7" w:rsidRDefault="000F611D" w:rsidP="007C72D1">
      <w:pPr>
        <w:pStyle w:val="FootnoteText"/>
        <w:rPr>
          <w:rStyle w:val="AERbody"/>
          <w:sz w:val="16"/>
        </w:rPr>
      </w:pPr>
      <w:r w:rsidRPr="008D234C">
        <w:rPr>
          <w:rStyle w:val="AERbody"/>
          <w:sz w:val="16"/>
          <w:vertAlign w:val="superscript"/>
        </w:rPr>
        <w:footnoteRef/>
      </w:r>
      <w:r w:rsidRPr="006E72B7">
        <w:rPr>
          <w:rStyle w:val="AERbody"/>
          <w:sz w:val="16"/>
        </w:rPr>
        <w:t xml:space="preserve"> </w:t>
      </w:r>
      <w:r>
        <w:rPr>
          <w:rStyle w:val="AERbody"/>
          <w:sz w:val="16"/>
        </w:rPr>
        <w:tab/>
      </w:r>
      <w:r w:rsidRPr="006E72B7">
        <w:rPr>
          <w:rStyle w:val="AERbody"/>
          <w:sz w:val="16"/>
        </w:rPr>
        <w:t>This charge implicitly is a form of ‘shadow price’. A customer is able to compare this price with other retail offers and thus can make an informed selection.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072957B5"/>
    <w:multiLevelType w:val="multilevel"/>
    <w:tmpl w:val="3B384114"/>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A0027C"/>
    <w:multiLevelType w:val="multilevel"/>
    <w:tmpl w:val="FAB24216"/>
    <w:lvl w:ilvl="0">
      <w:start w:val="1"/>
      <w:numFmt w:val="decimal"/>
      <w:lvlText w:val="%1."/>
      <w:lvlJc w:val="left"/>
      <w:pPr>
        <w:ind w:left="644" w:hanging="360"/>
      </w:pPr>
      <w:rPr>
        <w:rFonts w:hint="default"/>
        <w:color w:val="auto"/>
        <w:sz w:val="28"/>
        <w:szCs w:val="28"/>
      </w:rPr>
    </w:lvl>
    <w:lvl w:ilvl="1">
      <w:start w:val="1"/>
      <w:numFmt w:val="decimal"/>
      <w:isLgl/>
      <w:lvlText w:val="%1.%2"/>
      <w:lvlJc w:val="left"/>
      <w:pPr>
        <w:ind w:left="720" w:hanging="720"/>
      </w:pPr>
      <w:rPr>
        <w:rFonts w:hint="default"/>
        <w:color w:val="auto"/>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3597CF9"/>
    <w:multiLevelType w:val="multilevel"/>
    <w:tmpl w:val="4A2E5950"/>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C575E05"/>
    <w:multiLevelType w:val="hybridMultilevel"/>
    <w:tmpl w:val="602E3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744380"/>
    <w:multiLevelType w:val="multilevel"/>
    <w:tmpl w:val="5E80DCC2"/>
    <w:numStyleLink w:val="111111"/>
  </w:abstractNum>
  <w:abstractNum w:abstractNumId="6">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nsid w:val="31DB5EDA"/>
    <w:multiLevelType w:val="hybridMultilevel"/>
    <w:tmpl w:val="4624566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96358EE"/>
    <w:multiLevelType w:val="multilevel"/>
    <w:tmpl w:val="5E80DCC2"/>
    <w:styleLink w:val="StyleNumbered"/>
    <w:lvl w:ilvl="0">
      <w:start w:val="1"/>
      <w:numFmt w:val="decimal"/>
      <w:lvlText w:val="%1."/>
      <w:lvlJc w:val="left"/>
      <w:pPr>
        <w:tabs>
          <w:tab w:val="num" w:pos="780"/>
        </w:tabs>
        <w:ind w:left="780" w:hanging="360"/>
      </w:pPr>
      <w:rPr>
        <w:sz w:val="24"/>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1">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1731F6B"/>
    <w:multiLevelType w:val="hybridMultilevel"/>
    <w:tmpl w:val="0D84CD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42782AB4"/>
    <w:multiLevelType w:val="hybridMultilevel"/>
    <w:tmpl w:val="A6E89916"/>
    <w:lvl w:ilvl="0" w:tplc="55BA1E8A">
      <w:start w:val="1"/>
      <w:numFmt w:val="bullet"/>
      <w:lvlText w:val=""/>
      <w:lvlJc w:val="left"/>
      <w:pPr>
        <w:tabs>
          <w:tab w:val="num" w:pos="360"/>
        </w:tabs>
        <w:ind w:left="360" w:hanging="360"/>
      </w:pPr>
      <w:rPr>
        <w:rFonts w:ascii="Symbol" w:hAnsi="Symbol" w:hint="default"/>
        <w:b w:val="0"/>
        <w:i w:val="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9BC6575"/>
    <w:multiLevelType w:val="hybridMultilevel"/>
    <w:tmpl w:val="2B1AD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32649C"/>
    <w:multiLevelType w:val="hybridMultilevel"/>
    <w:tmpl w:val="1758C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487971"/>
    <w:multiLevelType w:val="multilevel"/>
    <w:tmpl w:val="B478DFE6"/>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6284D5C"/>
    <w:multiLevelType w:val="hybridMultilevel"/>
    <w:tmpl w:val="FB56A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AC70FB3"/>
    <w:multiLevelType w:val="hybridMultilevel"/>
    <w:tmpl w:val="DA1CE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FC47B44"/>
    <w:multiLevelType w:val="hybridMultilevel"/>
    <w:tmpl w:val="5E80DCC2"/>
    <w:styleLink w:val="111111"/>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0">
    <w:nsid w:val="778277D2"/>
    <w:multiLevelType w:val="hybridMultilevel"/>
    <w:tmpl w:val="0D2A5BE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AAC6DD7"/>
    <w:multiLevelType w:val="multilevel"/>
    <w:tmpl w:val="950A1C52"/>
    <w:numStyleLink w:val="AERHeadings"/>
  </w:abstractNum>
  <w:abstractNum w:abstractNumId="22">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1"/>
  </w:num>
  <w:num w:numId="4">
    <w:abstractNumId w:val="0"/>
  </w:num>
  <w:num w:numId="5">
    <w:abstractNumId w:val="7"/>
  </w:num>
  <w:num w:numId="6">
    <w:abstractNumId w:val="6"/>
  </w:num>
  <w:num w:numId="7">
    <w:abstractNumId w:val="16"/>
  </w:num>
  <w:num w:numId="8">
    <w:abstractNumId w:val="22"/>
  </w:num>
  <w:num w:numId="9">
    <w:abstractNumId w:val="21"/>
  </w:num>
  <w:num w:numId="10">
    <w:abstractNumId w:val="21"/>
  </w:num>
  <w:num w:numId="11">
    <w:abstractNumId w:val="3"/>
  </w:num>
  <w:num w:numId="12">
    <w:abstractNumId w:val="9"/>
  </w:num>
  <w:num w:numId="13">
    <w:abstractNumId w:val="1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2"/>
  </w:num>
  <w:num w:numId="21">
    <w:abstractNumId w:val="14"/>
  </w:num>
  <w:num w:numId="22">
    <w:abstractNumId w:val="15"/>
  </w:num>
  <w:num w:numId="23">
    <w:abstractNumId w:val="17"/>
  </w:num>
  <w:num w:numId="24">
    <w:abstractNumId w:val="8"/>
  </w:num>
  <w:num w:numId="25">
    <w:abstractNumId w:val="13"/>
  </w:num>
  <w:num w:numId="26">
    <w:abstractNumId w:val="18"/>
  </w:num>
  <w:num w:numId="27">
    <w:abstractNumId w:val="10"/>
  </w:num>
  <w:num w:numId="28">
    <w:abstractNumId w:val="1"/>
  </w:num>
  <w:num w:numId="29">
    <w:abstractNumId w:val="11"/>
  </w:num>
  <w:num w:numId="30">
    <w:abstractNumId w:val="11"/>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num>
  <w:num w:numId="34">
    <w:abstractNumId w:val="21"/>
  </w:num>
  <w:num w:numId="35">
    <w:abstractNumId w:val="21"/>
  </w:num>
  <w:num w:numId="36">
    <w:abstractNumId w:val="3"/>
  </w:num>
  <w:num w:numId="37">
    <w:abstractNumId w:val="3"/>
  </w:num>
  <w:num w:numId="38">
    <w:abstractNumId w:val="3"/>
  </w:num>
  <w:num w:numId="39">
    <w:abstractNumId w:val="11"/>
  </w:num>
  <w:num w:numId="40">
    <w:abstractNumId w:val="3"/>
  </w:num>
  <w:num w:numId="41">
    <w:abstractNumId w:val="4"/>
  </w:num>
  <w:num w:numId="42">
    <w:abstractNumId w:val="20"/>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3"/>
  </w:num>
  <w:num w:numId="4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oNotTrackMoves/>
  <w:defaultTabStop w:val="720"/>
  <w:characterSpacingControl w:val="doNotCompress"/>
  <w:hdrShapeDefaults>
    <o:shapedefaults v:ext="edit" spidmax="450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4C5"/>
    <w:rsid w:val="000033DE"/>
    <w:rsid w:val="00003E69"/>
    <w:rsid w:val="000056CE"/>
    <w:rsid w:val="00007109"/>
    <w:rsid w:val="00015A5D"/>
    <w:rsid w:val="000175BF"/>
    <w:rsid w:val="00020442"/>
    <w:rsid w:val="000209FE"/>
    <w:rsid w:val="00022578"/>
    <w:rsid w:val="00022F02"/>
    <w:rsid w:val="000248D8"/>
    <w:rsid w:val="00032D80"/>
    <w:rsid w:val="0003394F"/>
    <w:rsid w:val="00042313"/>
    <w:rsid w:val="0004244C"/>
    <w:rsid w:val="00043BB1"/>
    <w:rsid w:val="000448DC"/>
    <w:rsid w:val="0005352B"/>
    <w:rsid w:val="0005358B"/>
    <w:rsid w:val="00056668"/>
    <w:rsid w:val="000572FA"/>
    <w:rsid w:val="00057EF5"/>
    <w:rsid w:val="000632AB"/>
    <w:rsid w:val="00066BCB"/>
    <w:rsid w:val="0007426F"/>
    <w:rsid w:val="00077591"/>
    <w:rsid w:val="000844E8"/>
    <w:rsid w:val="0008607C"/>
    <w:rsid w:val="0008777F"/>
    <w:rsid w:val="0009237E"/>
    <w:rsid w:val="0009343A"/>
    <w:rsid w:val="00095E38"/>
    <w:rsid w:val="000968A5"/>
    <w:rsid w:val="0009737F"/>
    <w:rsid w:val="00097D13"/>
    <w:rsid w:val="000A126B"/>
    <w:rsid w:val="000B0912"/>
    <w:rsid w:val="000B4234"/>
    <w:rsid w:val="000B48E4"/>
    <w:rsid w:val="000B4CC5"/>
    <w:rsid w:val="000C3948"/>
    <w:rsid w:val="000C4ADF"/>
    <w:rsid w:val="000C5285"/>
    <w:rsid w:val="000D0A4A"/>
    <w:rsid w:val="000D457F"/>
    <w:rsid w:val="000D5FE3"/>
    <w:rsid w:val="000E06FA"/>
    <w:rsid w:val="000F08A9"/>
    <w:rsid w:val="000F0FA2"/>
    <w:rsid w:val="000F4251"/>
    <w:rsid w:val="000F611D"/>
    <w:rsid w:val="000F66C6"/>
    <w:rsid w:val="00100910"/>
    <w:rsid w:val="00110B36"/>
    <w:rsid w:val="0011196B"/>
    <w:rsid w:val="00112A0E"/>
    <w:rsid w:val="00113793"/>
    <w:rsid w:val="00115AB9"/>
    <w:rsid w:val="001240B0"/>
    <w:rsid w:val="0012467C"/>
    <w:rsid w:val="001344E5"/>
    <w:rsid w:val="001354C4"/>
    <w:rsid w:val="001364EE"/>
    <w:rsid w:val="00141A97"/>
    <w:rsid w:val="00143A18"/>
    <w:rsid w:val="001477BE"/>
    <w:rsid w:val="00153F75"/>
    <w:rsid w:val="00154695"/>
    <w:rsid w:val="00160982"/>
    <w:rsid w:val="00162D29"/>
    <w:rsid w:val="00164E23"/>
    <w:rsid w:val="00171D1B"/>
    <w:rsid w:val="00171E4C"/>
    <w:rsid w:val="00177B34"/>
    <w:rsid w:val="00177B3F"/>
    <w:rsid w:val="0018579A"/>
    <w:rsid w:val="0019595F"/>
    <w:rsid w:val="001A032A"/>
    <w:rsid w:val="001A275B"/>
    <w:rsid w:val="001A3240"/>
    <w:rsid w:val="001A46C1"/>
    <w:rsid w:val="001B099A"/>
    <w:rsid w:val="001B0EA2"/>
    <w:rsid w:val="001B44FE"/>
    <w:rsid w:val="001B4A36"/>
    <w:rsid w:val="001B64CF"/>
    <w:rsid w:val="001B6CB8"/>
    <w:rsid w:val="001D637D"/>
    <w:rsid w:val="001E4CB8"/>
    <w:rsid w:val="001E5CF3"/>
    <w:rsid w:val="001E7E02"/>
    <w:rsid w:val="001F090A"/>
    <w:rsid w:val="001F2AC9"/>
    <w:rsid w:val="00201BF7"/>
    <w:rsid w:val="00206B96"/>
    <w:rsid w:val="00210F71"/>
    <w:rsid w:val="0021407F"/>
    <w:rsid w:val="00217697"/>
    <w:rsid w:val="002201C2"/>
    <w:rsid w:val="00221FB0"/>
    <w:rsid w:val="002227A7"/>
    <w:rsid w:val="002321BD"/>
    <w:rsid w:val="00232440"/>
    <w:rsid w:val="00233AB0"/>
    <w:rsid w:val="00241A75"/>
    <w:rsid w:val="00245683"/>
    <w:rsid w:val="00250C58"/>
    <w:rsid w:val="0026273A"/>
    <w:rsid w:val="00276A79"/>
    <w:rsid w:val="00277338"/>
    <w:rsid w:val="00280C35"/>
    <w:rsid w:val="00282A9C"/>
    <w:rsid w:val="002873F0"/>
    <w:rsid w:val="002975A2"/>
    <w:rsid w:val="002A0718"/>
    <w:rsid w:val="002A2C24"/>
    <w:rsid w:val="002A34F4"/>
    <w:rsid w:val="002B01AE"/>
    <w:rsid w:val="002C0C7C"/>
    <w:rsid w:val="002C2055"/>
    <w:rsid w:val="002C30FE"/>
    <w:rsid w:val="002D6439"/>
    <w:rsid w:val="002D69DF"/>
    <w:rsid w:val="002E167A"/>
    <w:rsid w:val="002E1CC3"/>
    <w:rsid w:val="002E2B81"/>
    <w:rsid w:val="002E2CA7"/>
    <w:rsid w:val="002E50B2"/>
    <w:rsid w:val="002F0F88"/>
    <w:rsid w:val="002F57C0"/>
    <w:rsid w:val="002F6479"/>
    <w:rsid w:val="00300287"/>
    <w:rsid w:val="003058F2"/>
    <w:rsid w:val="0031616A"/>
    <w:rsid w:val="0031668F"/>
    <w:rsid w:val="0031771E"/>
    <w:rsid w:val="003226C9"/>
    <w:rsid w:val="00322838"/>
    <w:rsid w:val="00330132"/>
    <w:rsid w:val="00330DC0"/>
    <w:rsid w:val="003358FB"/>
    <w:rsid w:val="003366C0"/>
    <w:rsid w:val="003465F0"/>
    <w:rsid w:val="003568CD"/>
    <w:rsid w:val="00361294"/>
    <w:rsid w:val="0036315F"/>
    <w:rsid w:val="00364E09"/>
    <w:rsid w:val="003718BC"/>
    <w:rsid w:val="00375DF7"/>
    <w:rsid w:val="00380002"/>
    <w:rsid w:val="0038082C"/>
    <w:rsid w:val="003920A6"/>
    <w:rsid w:val="00396FCC"/>
    <w:rsid w:val="003972AC"/>
    <w:rsid w:val="003A537B"/>
    <w:rsid w:val="003A5E03"/>
    <w:rsid w:val="003B0194"/>
    <w:rsid w:val="003B47BC"/>
    <w:rsid w:val="003C0017"/>
    <w:rsid w:val="003C496E"/>
    <w:rsid w:val="003C4A4C"/>
    <w:rsid w:val="003D07B8"/>
    <w:rsid w:val="003D1965"/>
    <w:rsid w:val="003D25A6"/>
    <w:rsid w:val="003D4365"/>
    <w:rsid w:val="003D6941"/>
    <w:rsid w:val="003E040F"/>
    <w:rsid w:val="003E41F0"/>
    <w:rsid w:val="003E55BE"/>
    <w:rsid w:val="003E6F59"/>
    <w:rsid w:val="003F0ED4"/>
    <w:rsid w:val="003F14FC"/>
    <w:rsid w:val="003F2366"/>
    <w:rsid w:val="003F2FCD"/>
    <w:rsid w:val="003F304F"/>
    <w:rsid w:val="003F4FE5"/>
    <w:rsid w:val="00401A32"/>
    <w:rsid w:val="00403B69"/>
    <w:rsid w:val="0040477A"/>
    <w:rsid w:val="00407C3E"/>
    <w:rsid w:val="00413E87"/>
    <w:rsid w:val="00421089"/>
    <w:rsid w:val="0042353B"/>
    <w:rsid w:val="00423FCF"/>
    <w:rsid w:val="00424BFC"/>
    <w:rsid w:val="00430680"/>
    <w:rsid w:val="004323B4"/>
    <w:rsid w:val="00432426"/>
    <w:rsid w:val="00432D65"/>
    <w:rsid w:val="00435A0E"/>
    <w:rsid w:val="00437CE4"/>
    <w:rsid w:val="00447065"/>
    <w:rsid w:val="00447595"/>
    <w:rsid w:val="00452C0B"/>
    <w:rsid w:val="00452F70"/>
    <w:rsid w:val="00453011"/>
    <w:rsid w:val="00454281"/>
    <w:rsid w:val="00455C9B"/>
    <w:rsid w:val="00460DA5"/>
    <w:rsid w:val="00462366"/>
    <w:rsid w:val="00463204"/>
    <w:rsid w:val="004645CF"/>
    <w:rsid w:val="00464DE6"/>
    <w:rsid w:val="00467232"/>
    <w:rsid w:val="004708F8"/>
    <w:rsid w:val="00475CAA"/>
    <w:rsid w:val="00477A30"/>
    <w:rsid w:val="00482804"/>
    <w:rsid w:val="00483166"/>
    <w:rsid w:val="0048539A"/>
    <w:rsid w:val="004867C2"/>
    <w:rsid w:val="0048744E"/>
    <w:rsid w:val="00487B50"/>
    <w:rsid w:val="004936ED"/>
    <w:rsid w:val="00496470"/>
    <w:rsid w:val="004A0940"/>
    <w:rsid w:val="004A1FDB"/>
    <w:rsid w:val="004A2D39"/>
    <w:rsid w:val="004B10F9"/>
    <w:rsid w:val="004B12E4"/>
    <w:rsid w:val="004B4148"/>
    <w:rsid w:val="004B43BC"/>
    <w:rsid w:val="004C0B28"/>
    <w:rsid w:val="004C299A"/>
    <w:rsid w:val="004C3B2B"/>
    <w:rsid w:val="004C5EE7"/>
    <w:rsid w:val="004D6425"/>
    <w:rsid w:val="004D68EC"/>
    <w:rsid w:val="004E10E5"/>
    <w:rsid w:val="004E4736"/>
    <w:rsid w:val="004E68F7"/>
    <w:rsid w:val="004F4B60"/>
    <w:rsid w:val="00503116"/>
    <w:rsid w:val="00514150"/>
    <w:rsid w:val="0051516D"/>
    <w:rsid w:val="00525632"/>
    <w:rsid w:val="00532BF4"/>
    <w:rsid w:val="00532D9A"/>
    <w:rsid w:val="00545A10"/>
    <w:rsid w:val="00557D86"/>
    <w:rsid w:val="00560553"/>
    <w:rsid w:val="005650E1"/>
    <w:rsid w:val="00566E27"/>
    <w:rsid w:val="00574132"/>
    <w:rsid w:val="00586953"/>
    <w:rsid w:val="00587288"/>
    <w:rsid w:val="00590562"/>
    <w:rsid w:val="00593ED5"/>
    <w:rsid w:val="005A0027"/>
    <w:rsid w:val="005A20C5"/>
    <w:rsid w:val="005B42D0"/>
    <w:rsid w:val="005B4897"/>
    <w:rsid w:val="005C6303"/>
    <w:rsid w:val="005C78B8"/>
    <w:rsid w:val="005D23A4"/>
    <w:rsid w:val="005D3F3B"/>
    <w:rsid w:val="005D6104"/>
    <w:rsid w:val="005E03DC"/>
    <w:rsid w:val="005E0C68"/>
    <w:rsid w:val="005E273D"/>
    <w:rsid w:val="005E3BEF"/>
    <w:rsid w:val="005E3E1A"/>
    <w:rsid w:val="005E77FE"/>
    <w:rsid w:val="005F2472"/>
    <w:rsid w:val="00603CA0"/>
    <w:rsid w:val="006070D2"/>
    <w:rsid w:val="00607FDD"/>
    <w:rsid w:val="0061203E"/>
    <w:rsid w:val="00612659"/>
    <w:rsid w:val="00621BE0"/>
    <w:rsid w:val="00622ED2"/>
    <w:rsid w:val="00624172"/>
    <w:rsid w:val="00626EBB"/>
    <w:rsid w:val="0063004E"/>
    <w:rsid w:val="00630BA7"/>
    <w:rsid w:val="00641575"/>
    <w:rsid w:val="0064667E"/>
    <w:rsid w:val="00646B0A"/>
    <w:rsid w:val="0065044D"/>
    <w:rsid w:val="006637B7"/>
    <w:rsid w:val="00663B4C"/>
    <w:rsid w:val="00670D99"/>
    <w:rsid w:val="00672FD6"/>
    <w:rsid w:val="00673697"/>
    <w:rsid w:val="00680511"/>
    <w:rsid w:val="00685009"/>
    <w:rsid w:val="00685C13"/>
    <w:rsid w:val="006872CE"/>
    <w:rsid w:val="00690BC5"/>
    <w:rsid w:val="00692147"/>
    <w:rsid w:val="006A0D70"/>
    <w:rsid w:val="006A6A88"/>
    <w:rsid w:val="006B0112"/>
    <w:rsid w:val="006B0F2D"/>
    <w:rsid w:val="006B4A26"/>
    <w:rsid w:val="006B75A9"/>
    <w:rsid w:val="006C35FF"/>
    <w:rsid w:val="006C44C1"/>
    <w:rsid w:val="006C7A88"/>
    <w:rsid w:val="006D0CD5"/>
    <w:rsid w:val="006D208C"/>
    <w:rsid w:val="006D3FE4"/>
    <w:rsid w:val="006D6213"/>
    <w:rsid w:val="006E0D31"/>
    <w:rsid w:val="006E1C62"/>
    <w:rsid w:val="006E4A65"/>
    <w:rsid w:val="006E72B7"/>
    <w:rsid w:val="006F0BA7"/>
    <w:rsid w:val="006F5EAA"/>
    <w:rsid w:val="006F7B00"/>
    <w:rsid w:val="00700211"/>
    <w:rsid w:val="007027BB"/>
    <w:rsid w:val="00703938"/>
    <w:rsid w:val="00706D81"/>
    <w:rsid w:val="00713852"/>
    <w:rsid w:val="007219D7"/>
    <w:rsid w:val="00725AF7"/>
    <w:rsid w:val="007270DA"/>
    <w:rsid w:val="007334C5"/>
    <w:rsid w:val="00734ECF"/>
    <w:rsid w:val="00736D2A"/>
    <w:rsid w:val="00742EE7"/>
    <w:rsid w:val="0074586B"/>
    <w:rsid w:val="00755AE5"/>
    <w:rsid w:val="007603E8"/>
    <w:rsid w:val="00762C8C"/>
    <w:rsid w:val="00775B64"/>
    <w:rsid w:val="0078106B"/>
    <w:rsid w:val="00794A30"/>
    <w:rsid w:val="00794C7D"/>
    <w:rsid w:val="007A0611"/>
    <w:rsid w:val="007A290F"/>
    <w:rsid w:val="007A743D"/>
    <w:rsid w:val="007A792C"/>
    <w:rsid w:val="007B0A90"/>
    <w:rsid w:val="007B2479"/>
    <w:rsid w:val="007B572A"/>
    <w:rsid w:val="007B61B0"/>
    <w:rsid w:val="007C09B5"/>
    <w:rsid w:val="007C2444"/>
    <w:rsid w:val="007C5845"/>
    <w:rsid w:val="007C72D1"/>
    <w:rsid w:val="007C7CAA"/>
    <w:rsid w:val="007D47A7"/>
    <w:rsid w:val="007D4A13"/>
    <w:rsid w:val="007E1480"/>
    <w:rsid w:val="007E2025"/>
    <w:rsid w:val="007E57DB"/>
    <w:rsid w:val="007E66D5"/>
    <w:rsid w:val="007E7498"/>
    <w:rsid w:val="007F4B32"/>
    <w:rsid w:val="00801585"/>
    <w:rsid w:val="00804487"/>
    <w:rsid w:val="00804E6B"/>
    <w:rsid w:val="00805EDC"/>
    <w:rsid w:val="00807E5D"/>
    <w:rsid w:val="00811244"/>
    <w:rsid w:val="00832E83"/>
    <w:rsid w:val="0083302A"/>
    <w:rsid w:val="008404EC"/>
    <w:rsid w:val="0084316F"/>
    <w:rsid w:val="0084466E"/>
    <w:rsid w:val="0084690F"/>
    <w:rsid w:val="008476B6"/>
    <w:rsid w:val="008534DA"/>
    <w:rsid w:val="0085586B"/>
    <w:rsid w:val="008607D5"/>
    <w:rsid w:val="00860B94"/>
    <w:rsid w:val="0086390F"/>
    <w:rsid w:val="00863AA4"/>
    <w:rsid w:val="008671D8"/>
    <w:rsid w:val="00870F97"/>
    <w:rsid w:val="008726B1"/>
    <w:rsid w:val="00873165"/>
    <w:rsid w:val="00876E60"/>
    <w:rsid w:val="008770F2"/>
    <w:rsid w:val="00882EEB"/>
    <w:rsid w:val="008A35D1"/>
    <w:rsid w:val="008A6C31"/>
    <w:rsid w:val="008C4610"/>
    <w:rsid w:val="008D060A"/>
    <w:rsid w:val="008D21EB"/>
    <w:rsid w:val="008D234C"/>
    <w:rsid w:val="008D7963"/>
    <w:rsid w:val="008E0340"/>
    <w:rsid w:val="008E0AC8"/>
    <w:rsid w:val="008E149B"/>
    <w:rsid w:val="008E19C3"/>
    <w:rsid w:val="008E4BA4"/>
    <w:rsid w:val="008E665A"/>
    <w:rsid w:val="008F0422"/>
    <w:rsid w:val="008F15B0"/>
    <w:rsid w:val="008F3F80"/>
    <w:rsid w:val="008F6EE0"/>
    <w:rsid w:val="009008AA"/>
    <w:rsid w:val="00902D24"/>
    <w:rsid w:val="0090568A"/>
    <w:rsid w:val="00906BA8"/>
    <w:rsid w:val="00912AFF"/>
    <w:rsid w:val="009135E1"/>
    <w:rsid w:val="00915B83"/>
    <w:rsid w:val="00916A09"/>
    <w:rsid w:val="00922C90"/>
    <w:rsid w:val="00930D57"/>
    <w:rsid w:val="00940ED3"/>
    <w:rsid w:val="009442D0"/>
    <w:rsid w:val="00950922"/>
    <w:rsid w:val="0095336F"/>
    <w:rsid w:val="009535D6"/>
    <w:rsid w:val="00953717"/>
    <w:rsid w:val="00954740"/>
    <w:rsid w:val="00955C76"/>
    <w:rsid w:val="0095735E"/>
    <w:rsid w:val="009641E3"/>
    <w:rsid w:val="00965D59"/>
    <w:rsid w:val="009708B6"/>
    <w:rsid w:val="009725B5"/>
    <w:rsid w:val="009821EC"/>
    <w:rsid w:val="00982819"/>
    <w:rsid w:val="00985721"/>
    <w:rsid w:val="00985A84"/>
    <w:rsid w:val="00992D53"/>
    <w:rsid w:val="00995190"/>
    <w:rsid w:val="00996564"/>
    <w:rsid w:val="009A181B"/>
    <w:rsid w:val="009A1A53"/>
    <w:rsid w:val="009A4868"/>
    <w:rsid w:val="009A5384"/>
    <w:rsid w:val="009A6416"/>
    <w:rsid w:val="009A73DC"/>
    <w:rsid w:val="009A77AB"/>
    <w:rsid w:val="009A77D0"/>
    <w:rsid w:val="009A7FF4"/>
    <w:rsid w:val="009B0DFA"/>
    <w:rsid w:val="009B1119"/>
    <w:rsid w:val="009B4B34"/>
    <w:rsid w:val="009B5A6F"/>
    <w:rsid w:val="009B7E4B"/>
    <w:rsid w:val="009C0966"/>
    <w:rsid w:val="009C2B27"/>
    <w:rsid w:val="009C5C5A"/>
    <w:rsid w:val="009C5CFF"/>
    <w:rsid w:val="009D0F1A"/>
    <w:rsid w:val="009D2200"/>
    <w:rsid w:val="009D2A57"/>
    <w:rsid w:val="009E2F20"/>
    <w:rsid w:val="009E3450"/>
    <w:rsid w:val="009E4B21"/>
    <w:rsid w:val="009E53E1"/>
    <w:rsid w:val="009F1A1D"/>
    <w:rsid w:val="009F3554"/>
    <w:rsid w:val="009F7A50"/>
    <w:rsid w:val="00A04339"/>
    <w:rsid w:val="00A149DA"/>
    <w:rsid w:val="00A23538"/>
    <w:rsid w:val="00A277A6"/>
    <w:rsid w:val="00A27E7C"/>
    <w:rsid w:val="00A376B6"/>
    <w:rsid w:val="00A416DD"/>
    <w:rsid w:val="00A42B96"/>
    <w:rsid w:val="00A43142"/>
    <w:rsid w:val="00A46038"/>
    <w:rsid w:val="00A5123A"/>
    <w:rsid w:val="00A53B3E"/>
    <w:rsid w:val="00A544B1"/>
    <w:rsid w:val="00A57F90"/>
    <w:rsid w:val="00A600B2"/>
    <w:rsid w:val="00A60208"/>
    <w:rsid w:val="00A60343"/>
    <w:rsid w:val="00A70BD9"/>
    <w:rsid w:val="00A76FAF"/>
    <w:rsid w:val="00A808E9"/>
    <w:rsid w:val="00A81BF6"/>
    <w:rsid w:val="00A81DF0"/>
    <w:rsid w:val="00A826F7"/>
    <w:rsid w:val="00A84DD7"/>
    <w:rsid w:val="00A86238"/>
    <w:rsid w:val="00A86BBA"/>
    <w:rsid w:val="00A9229D"/>
    <w:rsid w:val="00A93E6B"/>
    <w:rsid w:val="00A94092"/>
    <w:rsid w:val="00A94614"/>
    <w:rsid w:val="00A95647"/>
    <w:rsid w:val="00A972A2"/>
    <w:rsid w:val="00AA04C0"/>
    <w:rsid w:val="00AA0CF4"/>
    <w:rsid w:val="00AB619E"/>
    <w:rsid w:val="00AB7580"/>
    <w:rsid w:val="00AC1913"/>
    <w:rsid w:val="00AC2C67"/>
    <w:rsid w:val="00AC3379"/>
    <w:rsid w:val="00AC5340"/>
    <w:rsid w:val="00AC5F49"/>
    <w:rsid w:val="00AD093A"/>
    <w:rsid w:val="00AD460B"/>
    <w:rsid w:val="00AE17A4"/>
    <w:rsid w:val="00AE4B9D"/>
    <w:rsid w:val="00AE4E3E"/>
    <w:rsid w:val="00AE674B"/>
    <w:rsid w:val="00AE772E"/>
    <w:rsid w:val="00AF0AED"/>
    <w:rsid w:val="00B0118B"/>
    <w:rsid w:val="00B047EB"/>
    <w:rsid w:val="00B07B5B"/>
    <w:rsid w:val="00B105E9"/>
    <w:rsid w:val="00B1214E"/>
    <w:rsid w:val="00B146E5"/>
    <w:rsid w:val="00B2255E"/>
    <w:rsid w:val="00B237AC"/>
    <w:rsid w:val="00B24571"/>
    <w:rsid w:val="00B25F6F"/>
    <w:rsid w:val="00B26419"/>
    <w:rsid w:val="00B2696F"/>
    <w:rsid w:val="00B26D74"/>
    <w:rsid w:val="00B3466D"/>
    <w:rsid w:val="00B346E3"/>
    <w:rsid w:val="00B35330"/>
    <w:rsid w:val="00B35C78"/>
    <w:rsid w:val="00B42DA7"/>
    <w:rsid w:val="00B42E66"/>
    <w:rsid w:val="00B44E5A"/>
    <w:rsid w:val="00B51684"/>
    <w:rsid w:val="00B51C28"/>
    <w:rsid w:val="00B53ACA"/>
    <w:rsid w:val="00B54A75"/>
    <w:rsid w:val="00B54BCE"/>
    <w:rsid w:val="00B57198"/>
    <w:rsid w:val="00B60EEB"/>
    <w:rsid w:val="00B61285"/>
    <w:rsid w:val="00B61D16"/>
    <w:rsid w:val="00B723BB"/>
    <w:rsid w:val="00B75512"/>
    <w:rsid w:val="00B7604B"/>
    <w:rsid w:val="00B76B1F"/>
    <w:rsid w:val="00B77472"/>
    <w:rsid w:val="00B84190"/>
    <w:rsid w:val="00B846A9"/>
    <w:rsid w:val="00B87F2B"/>
    <w:rsid w:val="00B9265B"/>
    <w:rsid w:val="00B9277F"/>
    <w:rsid w:val="00B933C8"/>
    <w:rsid w:val="00B97FFA"/>
    <w:rsid w:val="00BA0E28"/>
    <w:rsid w:val="00BA1055"/>
    <w:rsid w:val="00BB1689"/>
    <w:rsid w:val="00BB205F"/>
    <w:rsid w:val="00BB4107"/>
    <w:rsid w:val="00BB46E2"/>
    <w:rsid w:val="00BB6AD5"/>
    <w:rsid w:val="00BC3723"/>
    <w:rsid w:val="00BD366A"/>
    <w:rsid w:val="00BD3E6E"/>
    <w:rsid w:val="00BD592B"/>
    <w:rsid w:val="00BE165C"/>
    <w:rsid w:val="00BE346C"/>
    <w:rsid w:val="00BE3DE8"/>
    <w:rsid w:val="00BE52A2"/>
    <w:rsid w:val="00BE6083"/>
    <w:rsid w:val="00BE7DD6"/>
    <w:rsid w:val="00BF0988"/>
    <w:rsid w:val="00BF2864"/>
    <w:rsid w:val="00BF746F"/>
    <w:rsid w:val="00C01DA0"/>
    <w:rsid w:val="00C04278"/>
    <w:rsid w:val="00C20017"/>
    <w:rsid w:val="00C21EFC"/>
    <w:rsid w:val="00C24558"/>
    <w:rsid w:val="00C30079"/>
    <w:rsid w:val="00C34B45"/>
    <w:rsid w:val="00C353A7"/>
    <w:rsid w:val="00C37088"/>
    <w:rsid w:val="00C413A7"/>
    <w:rsid w:val="00C4185A"/>
    <w:rsid w:val="00C4188C"/>
    <w:rsid w:val="00C433DF"/>
    <w:rsid w:val="00C45E70"/>
    <w:rsid w:val="00C476D0"/>
    <w:rsid w:val="00C600E5"/>
    <w:rsid w:val="00C62683"/>
    <w:rsid w:val="00C6307D"/>
    <w:rsid w:val="00C67BD2"/>
    <w:rsid w:val="00C73C98"/>
    <w:rsid w:val="00C83D1D"/>
    <w:rsid w:val="00C84AA1"/>
    <w:rsid w:val="00C92BCA"/>
    <w:rsid w:val="00C94D20"/>
    <w:rsid w:val="00C95578"/>
    <w:rsid w:val="00CA576E"/>
    <w:rsid w:val="00CA6814"/>
    <w:rsid w:val="00CA6B35"/>
    <w:rsid w:val="00CB0783"/>
    <w:rsid w:val="00CB188C"/>
    <w:rsid w:val="00CB35E5"/>
    <w:rsid w:val="00CB6AF0"/>
    <w:rsid w:val="00CC2505"/>
    <w:rsid w:val="00CC3434"/>
    <w:rsid w:val="00CC3D39"/>
    <w:rsid w:val="00CC40F4"/>
    <w:rsid w:val="00CC6BEC"/>
    <w:rsid w:val="00CD10D9"/>
    <w:rsid w:val="00CD39DE"/>
    <w:rsid w:val="00CE4397"/>
    <w:rsid w:val="00D048BF"/>
    <w:rsid w:val="00D057F1"/>
    <w:rsid w:val="00D05D58"/>
    <w:rsid w:val="00D078D6"/>
    <w:rsid w:val="00D124F0"/>
    <w:rsid w:val="00D1344E"/>
    <w:rsid w:val="00D14D17"/>
    <w:rsid w:val="00D150D1"/>
    <w:rsid w:val="00D1518A"/>
    <w:rsid w:val="00D164D2"/>
    <w:rsid w:val="00D20A7E"/>
    <w:rsid w:val="00D275AE"/>
    <w:rsid w:val="00D31C3A"/>
    <w:rsid w:val="00D33167"/>
    <w:rsid w:val="00D33FF5"/>
    <w:rsid w:val="00D414B2"/>
    <w:rsid w:val="00D43145"/>
    <w:rsid w:val="00D45256"/>
    <w:rsid w:val="00D531FE"/>
    <w:rsid w:val="00D53EC9"/>
    <w:rsid w:val="00D572A8"/>
    <w:rsid w:val="00D613D5"/>
    <w:rsid w:val="00D73413"/>
    <w:rsid w:val="00D7437A"/>
    <w:rsid w:val="00D746B3"/>
    <w:rsid w:val="00D8202C"/>
    <w:rsid w:val="00D94AAA"/>
    <w:rsid w:val="00DA06AD"/>
    <w:rsid w:val="00DA1D5E"/>
    <w:rsid w:val="00DA3B7F"/>
    <w:rsid w:val="00DA431A"/>
    <w:rsid w:val="00DB02C6"/>
    <w:rsid w:val="00DB2BAA"/>
    <w:rsid w:val="00DB2C17"/>
    <w:rsid w:val="00DB3CE4"/>
    <w:rsid w:val="00DC121A"/>
    <w:rsid w:val="00DC2390"/>
    <w:rsid w:val="00DC33A3"/>
    <w:rsid w:val="00DC4F76"/>
    <w:rsid w:val="00DC6C82"/>
    <w:rsid w:val="00DD0EDB"/>
    <w:rsid w:val="00DD7F9C"/>
    <w:rsid w:val="00DE022A"/>
    <w:rsid w:val="00DE2C84"/>
    <w:rsid w:val="00DE4314"/>
    <w:rsid w:val="00DE4BA8"/>
    <w:rsid w:val="00DF1D0C"/>
    <w:rsid w:val="00DF21AB"/>
    <w:rsid w:val="00DF23B1"/>
    <w:rsid w:val="00DF2A41"/>
    <w:rsid w:val="00E01393"/>
    <w:rsid w:val="00E0382F"/>
    <w:rsid w:val="00E07F64"/>
    <w:rsid w:val="00E176F7"/>
    <w:rsid w:val="00E208FC"/>
    <w:rsid w:val="00E23E86"/>
    <w:rsid w:val="00E24411"/>
    <w:rsid w:val="00E30AF7"/>
    <w:rsid w:val="00E351DB"/>
    <w:rsid w:val="00E4168A"/>
    <w:rsid w:val="00E43224"/>
    <w:rsid w:val="00E44CC4"/>
    <w:rsid w:val="00E474E5"/>
    <w:rsid w:val="00E478CF"/>
    <w:rsid w:val="00E558E5"/>
    <w:rsid w:val="00E57C0A"/>
    <w:rsid w:val="00E6600C"/>
    <w:rsid w:val="00E7246C"/>
    <w:rsid w:val="00E73CDA"/>
    <w:rsid w:val="00E75FD6"/>
    <w:rsid w:val="00E76E02"/>
    <w:rsid w:val="00E76EF5"/>
    <w:rsid w:val="00E80E37"/>
    <w:rsid w:val="00E83159"/>
    <w:rsid w:val="00E864A5"/>
    <w:rsid w:val="00E91D5E"/>
    <w:rsid w:val="00E94538"/>
    <w:rsid w:val="00E955F8"/>
    <w:rsid w:val="00EA2D9C"/>
    <w:rsid w:val="00EB3DDF"/>
    <w:rsid w:val="00EB5BD7"/>
    <w:rsid w:val="00EB7A4B"/>
    <w:rsid w:val="00EC1867"/>
    <w:rsid w:val="00EC1E2A"/>
    <w:rsid w:val="00ED4E79"/>
    <w:rsid w:val="00ED5E12"/>
    <w:rsid w:val="00ED725A"/>
    <w:rsid w:val="00EE0FD1"/>
    <w:rsid w:val="00EE3294"/>
    <w:rsid w:val="00EE6F5A"/>
    <w:rsid w:val="00EE7556"/>
    <w:rsid w:val="00EF62EE"/>
    <w:rsid w:val="00EF6D9F"/>
    <w:rsid w:val="00EF7751"/>
    <w:rsid w:val="00F00960"/>
    <w:rsid w:val="00F058AA"/>
    <w:rsid w:val="00F1336A"/>
    <w:rsid w:val="00F13DB2"/>
    <w:rsid w:val="00F16174"/>
    <w:rsid w:val="00F21E62"/>
    <w:rsid w:val="00F2421A"/>
    <w:rsid w:val="00F246FC"/>
    <w:rsid w:val="00F26167"/>
    <w:rsid w:val="00F279B4"/>
    <w:rsid w:val="00F309D0"/>
    <w:rsid w:val="00F332F5"/>
    <w:rsid w:val="00F35295"/>
    <w:rsid w:val="00F355A6"/>
    <w:rsid w:val="00F36AE1"/>
    <w:rsid w:val="00F404DA"/>
    <w:rsid w:val="00F52BBA"/>
    <w:rsid w:val="00F537CD"/>
    <w:rsid w:val="00F5710C"/>
    <w:rsid w:val="00F57E7F"/>
    <w:rsid w:val="00F606F6"/>
    <w:rsid w:val="00F63B6D"/>
    <w:rsid w:val="00F64EC9"/>
    <w:rsid w:val="00F67CFC"/>
    <w:rsid w:val="00F849DC"/>
    <w:rsid w:val="00F87757"/>
    <w:rsid w:val="00F902C8"/>
    <w:rsid w:val="00F9055A"/>
    <w:rsid w:val="00F90FC1"/>
    <w:rsid w:val="00F91642"/>
    <w:rsid w:val="00F93627"/>
    <w:rsid w:val="00F94C50"/>
    <w:rsid w:val="00F9617A"/>
    <w:rsid w:val="00F9744F"/>
    <w:rsid w:val="00FA0F52"/>
    <w:rsid w:val="00FA7AA3"/>
    <w:rsid w:val="00FB2C5E"/>
    <w:rsid w:val="00FB653C"/>
    <w:rsid w:val="00FC3B0A"/>
    <w:rsid w:val="00FC59FA"/>
    <w:rsid w:val="00FC61C2"/>
    <w:rsid w:val="00FC6244"/>
    <w:rsid w:val="00FD2B56"/>
    <w:rsid w:val="00FD45F8"/>
    <w:rsid w:val="00FD61B0"/>
    <w:rsid w:val="00FE0864"/>
    <w:rsid w:val="00FE2F22"/>
    <w:rsid w:val="00FE5E65"/>
    <w:rsid w:val="00FE78B9"/>
    <w:rsid w:val="00FF0C53"/>
    <w:rsid w:val="00FF1CB4"/>
    <w:rsid w:val="00FF30C1"/>
    <w:rsid w:val="00FF57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F4"/>
    <w:pPr>
      <w:spacing w:after="240" w:line="288" w:lineRule="auto"/>
      <w:jc w:val="both"/>
    </w:pPr>
    <w:rPr>
      <w:rFonts w:ascii="Gautami" w:hAnsi="Gautami"/>
      <w:lang w:eastAsia="en-US"/>
    </w:rPr>
  </w:style>
  <w:style w:type="paragraph" w:styleId="Heading1">
    <w:name w:val="heading 1"/>
    <w:next w:val="AERbodytext"/>
    <w:link w:val="Heading1Char"/>
    <w:uiPriority w:val="9"/>
    <w:qFormat/>
    <w:rsid w:val="00EB5BD7"/>
    <w:pPr>
      <w:keepNext/>
      <w:keepLines/>
      <w:pageBreakBefore/>
      <w:numPr>
        <w:ilvl w:val="1"/>
        <w:numId w:val="10"/>
      </w:numPr>
      <w:spacing w:before="120" w:after="120" w:line="288" w:lineRule="auto"/>
      <w:outlineLvl w:val="0"/>
    </w:pPr>
    <w:rPr>
      <w:rFonts w:ascii="Gautami" w:eastAsia="Times New Roman" w:hAnsi="Gautami"/>
      <w:b/>
      <w:bCs/>
      <w:color w:val="E36C0A"/>
      <w:sz w:val="36"/>
      <w:szCs w:val="28"/>
      <w:lang w:eastAsia="en-US"/>
    </w:rPr>
  </w:style>
  <w:style w:type="paragraph" w:styleId="Heading2">
    <w:name w:val="heading 2"/>
    <w:basedOn w:val="Heading1"/>
    <w:next w:val="AERbodytext"/>
    <w:link w:val="Heading2Char"/>
    <w:uiPriority w:val="9"/>
    <w:qFormat/>
    <w:rsid w:val="00EB5BD7"/>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EB5BD7"/>
    <w:pPr>
      <w:numPr>
        <w:ilvl w:val="3"/>
      </w:numPr>
      <w:outlineLvl w:val="2"/>
    </w:pPr>
    <w:rPr>
      <w:bCs/>
      <w:sz w:val="24"/>
    </w:rPr>
  </w:style>
  <w:style w:type="paragraph" w:styleId="Heading4">
    <w:name w:val="heading 4"/>
    <w:basedOn w:val="AERbodytext"/>
    <w:next w:val="AERbodytext"/>
    <w:link w:val="Heading4Char"/>
    <w:uiPriority w:val="9"/>
    <w:qFormat/>
    <w:rsid w:val="00EB5BD7"/>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EB5BD7"/>
    <w:pPr>
      <w:numPr>
        <w:ilvl w:val="5"/>
      </w:numPr>
      <w:outlineLvl w:val="4"/>
    </w:pPr>
    <w:rPr>
      <w:i/>
      <w:sz w:val="20"/>
    </w:rPr>
  </w:style>
  <w:style w:type="paragraph" w:styleId="Heading6">
    <w:name w:val="heading 6"/>
    <w:basedOn w:val="Heading5"/>
    <w:next w:val="AERbodytext"/>
    <w:link w:val="Heading6Char"/>
    <w:uiPriority w:val="9"/>
    <w:qFormat/>
    <w:rsid w:val="00EB5BD7"/>
    <w:pPr>
      <w:numPr>
        <w:ilvl w:val="6"/>
      </w:numPr>
      <w:outlineLvl w:val="5"/>
    </w:pPr>
    <w:rPr>
      <w:b w:val="0"/>
      <w:iCs w:val="0"/>
    </w:rPr>
  </w:style>
  <w:style w:type="paragraph" w:styleId="Heading7">
    <w:name w:val="heading 7"/>
    <w:basedOn w:val="UnnumberedHeading"/>
    <w:next w:val="AERbodytext"/>
    <w:link w:val="Heading7Char"/>
    <w:uiPriority w:val="9"/>
    <w:qFormat/>
    <w:rsid w:val="00EB5BD7"/>
    <w:pPr>
      <w:numPr>
        <w:ilvl w:val="4"/>
      </w:numPr>
      <w:outlineLvl w:val="6"/>
    </w:pPr>
    <w:rPr>
      <w:iCs/>
      <w:szCs w:val="24"/>
    </w:rPr>
  </w:style>
  <w:style w:type="paragraph" w:styleId="Heading8">
    <w:name w:val="heading 8"/>
    <w:basedOn w:val="Heading7"/>
    <w:next w:val="AERbodytext"/>
    <w:link w:val="Heading8Char"/>
    <w:uiPriority w:val="9"/>
    <w:qFormat/>
    <w:rsid w:val="00EB5BD7"/>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EB5BD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body">
    <w:name w:val="AER body"/>
    <w:qFormat/>
    <w:rsid w:val="00EB5BD7"/>
    <w:rPr>
      <w:rFonts w:ascii="Gautami" w:hAnsi="Gautami"/>
      <w:color w:val="auto"/>
      <w:sz w:val="20"/>
    </w:rPr>
  </w:style>
  <w:style w:type="paragraph" w:customStyle="1" w:styleId="AERbodytext">
    <w:name w:val="AER body text"/>
    <w:link w:val="AERbodytextChar"/>
    <w:qFormat/>
    <w:rsid w:val="00EB5BD7"/>
    <w:pPr>
      <w:numPr>
        <w:numId w:val="2"/>
      </w:numPr>
      <w:spacing w:before="240" w:after="60" w:line="288" w:lineRule="auto"/>
      <w:jc w:val="both"/>
    </w:pPr>
    <w:rPr>
      <w:rFonts w:ascii="Gautami" w:eastAsia="Times New Roman" w:hAnsi="Gautami"/>
      <w:szCs w:val="24"/>
      <w:lang w:eastAsia="en-US"/>
    </w:rPr>
  </w:style>
  <w:style w:type="paragraph" w:customStyle="1" w:styleId="AERbodytextindent1">
    <w:name w:val="AER body text (indent 1)"/>
    <w:basedOn w:val="AERbodytext"/>
    <w:qFormat/>
    <w:rsid w:val="00EB5BD7"/>
    <w:pPr>
      <w:numPr>
        <w:numId w:val="0"/>
      </w:numPr>
      <w:ind w:left="357"/>
    </w:pPr>
  </w:style>
  <w:style w:type="paragraph" w:customStyle="1" w:styleId="AERbodytextindent2">
    <w:name w:val="AER body text (indent 2)"/>
    <w:basedOn w:val="AERbodytextindent1"/>
    <w:qFormat/>
    <w:rsid w:val="00EB5BD7"/>
    <w:pPr>
      <w:ind w:left="709"/>
    </w:pPr>
  </w:style>
  <w:style w:type="paragraph" w:customStyle="1" w:styleId="AERbodytextindent3">
    <w:name w:val="AER body text (indent 3)"/>
    <w:basedOn w:val="AERbodytext"/>
    <w:qFormat/>
    <w:rsid w:val="00EB5BD7"/>
    <w:pPr>
      <w:numPr>
        <w:numId w:val="0"/>
      </w:numPr>
      <w:ind w:left="1077"/>
    </w:pPr>
  </w:style>
  <w:style w:type="paragraph" w:customStyle="1" w:styleId="AERbodytextnospace">
    <w:name w:val="AER body text no space"/>
    <w:basedOn w:val="AERbodytext"/>
    <w:qFormat/>
    <w:rsid w:val="00EB5BD7"/>
    <w:pPr>
      <w:numPr>
        <w:numId w:val="0"/>
      </w:numPr>
      <w:spacing w:after="0"/>
    </w:pPr>
  </w:style>
  <w:style w:type="paragraph" w:customStyle="1" w:styleId="AERbulletlistfirststyle">
    <w:name w:val="AER bullet list (first style)"/>
    <w:basedOn w:val="AERbodytext"/>
    <w:link w:val="AERbulletlistfirststyleChar"/>
    <w:qFormat/>
    <w:rsid w:val="00EB5BD7"/>
    <w:pPr>
      <w:numPr>
        <w:numId w:val="3"/>
      </w:numPr>
      <w:tabs>
        <w:tab w:val="left" w:pos="357"/>
      </w:tabs>
      <w:spacing w:after="200"/>
    </w:pPr>
  </w:style>
  <w:style w:type="character" w:customStyle="1" w:styleId="Heading5Char">
    <w:name w:val="Heading 5 Char"/>
    <w:link w:val="Heading5"/>
    <w:uiPriority w:val="9"/>
    <w:rsid w:val="00EB5BD7"/>
    <w:rPr>
      <w:rFonts w:ascii="Gautami" w:eastAsia="Times New Roman" w:hAnsi="Gautami" w:cs="Times New Roman"/>
      <w:b/>
      <w:i/>
      <w:iCs/>
      <w:color w:val="FF0000"/>
      <w:sz w:val="20"/>
      <w:szCs w:val="24"/>
    </w:rPr>
  </w:style>
  <w:style w:type="paragraph" w:customStyle="1" w:styleId="AERbulletlistsecondstyle">
    <w:name w:val="AER bullet list (second style)"/>
    <w:basedOn w:val="AERbodytext"/>
    <w:qFormat/>
    <w:rsid w:val="00EB5BD7"/>
    <w:pPr>
      <w:numPr>
        <w:numId w:val="4"/>
      </w:numPr>
      <w:tabs>
        <w:tab w:val="left" w:pos="709"/>
      </w:tabs>
      <w:spacing w:after="200"/>
    </w:pPr>
  </w:style>
  <w:style w:type="paragraph" w:customStyle="1" w:styleId="AERbulletlistthirdstyle">
    <w:name w:val="AER bullet list (third style)"/>
    <w:basedOn w:val="AERbodytext"/>
    <w:qFormat/>
    <w:rsid w:val="00EB5BD7"/>
    <w:pPr>
      <w:numPr>
        <w:numId w:val="5"/>
      </w:numPr>
      <w:tabs>
        <w:tab w:val="left" w:pos="1077"/>
      </w:tabs>
      <w:spacing w:after="200"/>
    </w:pPr>
  </w:style>
  <w:style w:type="numbering" w:customStyle="1" w:styleId="AERHeadings">
    <w:name w:val="AER Headings"/>
    <w:uiPriority w:val="99"/>
    <w:rsid w:val="00EB5BD7"/>
    <w:pPr>
      <w:numPr>
        <w:numId w:val="6"/>
      </w:numPr>
    </w:pPr>
  </w:style>
  <w:style w:type="numbering" w:customStyle="1" w:styleId="AERnumberedlist">
    <w:name w:val="AER numbered list"/>
    <w:uiPriority w:val="99"/>
    <w:rsid w:val="00EB5BD7"/>
    <w:pPr>
      <w:numPr>
        <w:numId w:val="7"/>
      </w:numPr>
    </w:pPr>
  </w:style>
  <w:style w:type="paragraph" w:customStyle="1" w:styleId="AERnumberedlistfirststyle">
    <w:name w:val="AER numbered list (first style)"/>
    <w:basedOn w:val="AERbodytext"/>
    <w:qFormat/>
    <w:rsid w:val="00EB5BD7"/>
    <w:pPr>
      <w:numPr>
        <w:ilvl w:val="1"/>
      </w:numPr>
      <w:spacing w:after="200"/>
    </w:pPr>
  </w:style>
  <w:style w:type="paragraph" w:customStyle="1" w:styleId="AERnumberedlistsecondstyle">
    <w:name w:val="AER numbered list (second style)"/>
    <w:basedOn w:val="AERnumberedlistfirststyle"/>
    <w:qFormat/>
    <w:rsid w:val="00EB5BD7"/>
    <w:pPr>
      <w:numPr>
        <w:ilvl w:val="2"/>
      </w:numPr>
    </w:pPr>
  </w:style>
  <w:style w:type="paragraph" w:customStyle="1" w:styleId="AERnumberedlistthirdstyle">
    <w:name w:val="AER numbered list (third style)"/>
    <w:basedOn w:val="AERnumberedlistsecondstyle"/>
    <w:qFormat/>
    <w:rsid w:val="00EB5BD7"/>
    <w:pPr>
      <w:numPr>
        <w:ilvl w:val="3"/>
      </w:numPr>
    </w:pPr>
  </w:style>
  <w:style w:type="paragraph" w:customStyle="1" w:styleId="AERnumberedlist2first">
    <w:name w:val="AER numbered list 2 first"/>
    <w:basedOn w:val="AERbodytext"/>
    <w:qFormat/>
    <w:rsid w:val="00EB5BD7"/>
    <w:pPr>
      <w:numPr>
        <w:ilvl w:val="4"/>
      </w:numPr>
    </w:pPr>
  </w:style>
  <w:style w:type="paragraph" w:customStyle="1" w:styleId="AERnumberedlist2second">
    <w:name w:val="AER numbered list 2 second"/>
    <w:basedOn w:val="AERnumberedlist2first"/>
    <w:qFormat/>
    <w:rsid w:val="00EB5BD7"/>
    <w:pPr>
      <w:numPr>
        <w:ilvl w:val="5"/>
      </w:numPr>
    </w:pPr>
  </w:style>
  <w:style w:type="paragraph" w:customStyle="1" w:styleId="AERnumberedlist2third">
    <w:name w:val="AER numbered list 2 third"/>
    <w:basedOn w:val="AERnumberedlist2second"/>
    <w:qFormat/>
    <w:rsid w:val="00EB5BD7"/>
    <w:pPr>
      <w:numPr>
        <w:ilvl w:val="6"/>
      </w:numPr>
    </w:pPr>
  </w:style>
  <w:style w:type="paragraph" w:customStyle="1" w:styleId="AERquote">
    <w:name w:val="AER quote"/>
    <w:next w:val="AERbodytext"/>
    <w:qFormat/>
    <w:rsid w:val="00EB5BD7"/>
    <w:pPr>
      <w:tabs>
        <w:tab w:val="num" w:pos="709"/>
      </w:tabs>
      <w:spacing w:before="240" w:after="160" w:line="288" w:lineRule="auto"/>
      <w:ind w:left="709" w:right="720"/>
      <w:jc w:val="both"/>
    </w:pPr>
    <w:rPr>
      <w:rFonts w:ascii="Gautami" w:eastAsia="Times New Roman" w:hAnsi="Gautami"/>
      <w:color w:val="000000"/>
      <w:sz w:val="16"/>
      <w:szCs w:val="24"/>
      <w:lang w:eastAsia="en-US"/>
    </w:rPr>
  </w:style>
  <w:style w:type="paragraph" w:customStyle="1" w:styleId="AERquoteindent1">
    <w:name w:val="AER quote (indent 1)"/>
    <w:basedOn w:val="AERquote"/>
    <w:qFormat/>
    <w:rsid w:val="00EB5BD7"/>
    <w:pPr>
      <w:tabs>
        <w:tab w:val="clear" w:pos="709"/>
        <w:tab w:val="num" w:pos="1077"/>
      </w:tabs>
      <w:ind w:left="1077" w:right="1440"/>
    </w:pPr>
  </w:style>
  <w:style w:type="paragraph" w:customStyle="1" w:styleId="AERquoteindent2">
    <w:name w:val="AER quote (indent 2)"/>
    <w:basedOn w:val="AERquoteindent1"/>
    <w:qFormat/>
    <w:rsid w:val="00EB5BD7"/>
    <w:pPr>
      <w:tabs>
        <w:tab w:val="clear" w:pos="1077"/>
        <w:tab w:val="left" w:pos="1440"/>
      </w:tabs>
      <w:ind w:left="1440" w:right="1797"/>
    </w:pPr>
  </w:style>
  <w:style w:type="paragraph" w:customStyle="1" w:styleId="AERquoteindent3">
    <w:name w:val="AER quote (indent 3)"/>
    <w:basedOn w:val="AERquoteindent2"/>
    <w:qFormat/>
    <w:rsid w:val="00EB5BD7"/>
    <w:pPr>
      <w:tabs>
        <w:tab w:val="clear" w:pos="1440"/>
        <w:tab w:val="left" w:pos="1803"/>
      </w:tabs>
      <w:ind w:left="1803" w:right="2160"/>
    </w:pPr>
  </w:style>
  <w:style w:type="paragraph" w:customStyle="1" w:styleId="AERquotebullet1">
    <w:name w:val="AER quote bullet 1"/>
    <w:basedOn w:val="Normal"/>
    <w:qFormat/>
    <w:rsid w:val="00EB5BD7"/>
    <w:pPr>
      <w:numPr>
        <w:numId w:val="8"/>
      </w:numPr>
      <w:tabs>
        <w:tab w:val="left" w:pos="1077"/>
      </w:tabs>
      <w:spacing w:line="200" w:lineRule="atLeast"/>
      <w:ind w:right="663"/>
    </w:pPr>
    <w:rPr>
      <w:rFonts w:eastAsia="Times New Roman"/>
      <w:sz w:val="16"/>
      <w:szCs w:val="16"/>
    </w:rPr>
  </w:style>
  <w:style w:type="paragraph" w:customStyle="1" w:styleId="AERrevisionbox">
    <w:name w:val="AER revision box"/>
    <w:basedOn w:val="AERbodytext"/>
    <w:qFormat/>
    <w:rsid w:val="00EB5BD7"/>
    <w:pPr>
      <w:numPr>
        <w:numId w:val="0"/>
      </w:num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EB5BD7"/>
    <w:rPr>
      <w:rFonts w:ascii="Gautami" w:hAnsi="Gautami"/>
      <w:vertAlign w:val="subscript"/>
    </w:rPr>
  </w:style>
  <w:style w:type="character" w:customStyle="1" w:styleId="AERsuperscript">
    <w:name w:val="AER superscript"/>
    <w:qFormat/>
    <w:rsid w:val="00EB5BD7"/>
    <w:rPr>
      <w:rFonts w:ascii="Gautami" w:hAnsi="Gautami"/>
      <w:vertAlign w:val="superscript"/>
    </w:rPr>
  </w:style>
  <w:style w:type="table" w:customStyle="1" w:styleId="AERtable-numbers">
    <w:name w:val="AER table - numbers"/>
    <w:basedOn w:val="TableNormal"/>
    <w:uiPriority w:val="99"/>
    <w:rsid w:val="00EB5BD7"/>
    <w:pPr>
      <w:spacing w:before="120" w:after="80"/>
      <w:jc w:val="right"/>
    </w:pPr>
    <w:rPr>
      <w:rFonts w:ascii="Gautami" w:hAnsi="Gautami"/>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customStyle="1" w:styleId="AERtable-text">
    <w:name w:val="AER table - text"/>
    <w:basedOn w:val="TableNormal"/>
    <w:uiPriority w:val="99"/>
    <w:rsid w:val="00EB5BD7"/>
    <w:pPr>
      <w:spacing w:before="120" w:after="80"/>
    </w:pPr>
    <w:rPr>
      <w:rFonts w:ascii="Gautami" w:hAnsi="Gautami"/>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source">
    <w:name w:val="AER table source"/>
    <w:next w:val="AERbodytext"/>
    <w:qFormat/>
    <w:rsid w:val="00EB5BD7"/>
    <w:pPr>
      <w:tabs>
        <w:tab w:val="left" w:pos="794"/>
      </w:tabs>
      <w:spacing w:before="40" w:after="60"/>
      <w:ind w:left="794" w:hanging="794"/>
      <w:contextualSpacing/>
      <w:jc w:val="both"/>
    </w:pPr>
    <w:rPr>
      <w:rFonts w:ascii="Gautami" w:eastAsia="Times New Roman" w:hAnsi="Gautami"/>
      <w:sz w:val="16"/>
      <w:szCs w:val="24"/>
      <w:lang w:eastAsia="en-US"/>
    </w:rPr>
  </w:style>
  <w:style w:type="paragraph" w:customStyle="1" w:styleId="AERtabletextleft">
    <w:name w:val="AER table text left"/>
    <w:qFormat/>
    <w:rsid w:val="00EB5BD7"/>
    <w:pPr>
      <w:spacing w:before="80" w:after="120" w:line="288" w:lineRule="auto"/>
    </w:pPr>
    <w:rPr>
      <w:rFonts w:ascii="Gautami" w:eastAsia="Times New Roman" w:hAnsi="Gautami"/>
      <w:sz w:val="16"/>
      <w:szCs w:val="24"/>
      <w:lang w:eastAsia="en-US"/>
    </w:rPr>
  </w:style>
  <w:style w:type="paragraph" w:customStyle="1" w:styleId="AERtabletextright">
    <w:name w:val="AER table text right"/>
    <w:basedOn w:val="AERtabletextleft"/>
    <w:qFormat/>
    <w:rsid w:val="00EB5BD7"/>
    <w:pPr>
      <w:spacing w:before="120" w:after="80"/>
      <w:jc w:val="right"/>
    </w:pPr>
  </w:style>
  <w:style w:type="character" w:customStyle="1" w:styleId="AERtextblue">
    <w:name w:val="AER text blue"/>
    <w:uiPriority w:val="1"/>
    <w:qFormat/>
    <w:rsid w:val="00EB5BD7"/>
    <w:rPr>
      <w:color w:val="365F91"/>
    </w:rPr>
  </w:style>
  <w:style w:type="character" w:customStyle="1" w:styleId="AERtextbold">
    <w:name w:val="AER text bold"/>
    <w:qFormat/>
    <w:rsid w:val="00EB5BD7"/>
    <w:rPr>
      <w:b/>
    </w:rPr>
  </w:style>
  <w:style w:type="character" w:customStyle="1" w:styleId="AERtextbolditalics">
    <w:name w:val="AER text bold italics"/>
    <w:qFormat/>
    <w:rsid w:val="00EB5BD7"/>
    <w:rPr>
      <w:b/>
      <w:i/>
    </w:rPr>
  </w:style>
  <w:style w:type="character" w:customStyle="1" w:styleId="AERtextboldunderline">
    <w:name w:val="AER text bold underline"/>
    <w:qFormat/>
    <w:rsid w:val="00EB5BD7"/>
    <w:rPr>
      <w:b/>
      <w:u w:val="single"/>
    </w:rPr>
  </w:style>
  <w:style w:type="character" w:customStyle="1" w:styleId="AERtextconfidential">
    <w:name w:val="AER text confidential"/>
    <w:qFormat/>
    <w:rsid w:val="00EB5BD7"/>
    <w:rPr>
      <w:bdr w:val="none" w:sz="0" w:space="0" w:color="auto"/>
      <w:shd w:val="clear" w:color="auto" w:fill="CCFFFF"/>
    </w:rPr>
  </w:style>
  <w:style w:type="character" w:customStyle="1" w:styleId="AERtexthighlight">
    <w:name w:val="AER text highlight"/>
    <w:qFormat/>
    <w:rsid w:val="00EB5BD7"/>
    <w:rPr>
      <w:bdr w:val="none" w:sz="0" w:space="0" w:color="auto"/>
      <w:shd w:val="clear" w:color="auto" w:fill="FFFF00"/>
    </w:rPr>
  </w:style>
  <w:style w:type="character" w:customStyle="1" w:styleId="AERtextitalic">
    <w:name w:val="AER text italic"/>
    <w:qFormat/>
    <w:rsid w:val="00EB5BD7"/>
    <w:rPr>
      <w:i/>
    </w:rPr>
  </w:style>
  <w:style w:type="character" w:customStyle="1" w:styleId="AERtextorange">
    <w:name w:val="AER text orange"/>
    <w:uiPriority w:val="1"/>
    <w:qFormat/>
    <w:rsid w:val="00EB5BD7"/>
    <w:rPr>
      <w:color w:val="E36C0A"/>
    </w:rPr>
  </w:style>
  <w:style w:type="character" w:customStyle="1" w:styleId="AERtextsize10">
    <w:name w:val="AER text size 10"/>
    <w:uiPriority w:val="1"/>
    <w:qFormat/>
    <w:rsid w:val="00EB5BD7"/>
    <w:rPr>
      <w:sz w:val="20"/>
    </w:rPr>
  </w:style>
  <w:style w:type="character" w:customStyle="1" w:styleId="AERtextsize8">
    <w:name w:val="AER text size 8"/>
    <w:uiPriority w:val="1"/>
    <w:qFormat/>
    <w:rsid w:val="00EB5BD7"/>
    <w:rPr>
      <w:sz w:val="16"/>
    </w:rPr>
  </w:style>
  <w:style w:type="character" w:customStyle="1" w:styleId="AERtextunderline">
    <w:name w:val="AER text underline"/>
    <w:qFormat/>
    <w:rsid w:val="00EB5BD7"/>
    <w:rPr>
      <w:u w:val="single"/>
    </w:rPr>
  </w:style>
  <w:style w:type="paragraph" w:customStyle="1" w:styleId="AERtitle1">
    <w:name w:val="AER title 1"/>
    <w:qFormat/>
    <w:rsid w:val="00EB5BD7"/>
    <w:pPr>
      <w:spacing w:before="240" w:after="60" w:line="288" w:lineRule="auto"/>
      <w:jc w:val="center"/>
    </w:pPr>
    <w:rPr>
      <w:rFonts w:ascii="Gautami" w:eastAsia="Times New Roman" w:hAnsi="Gautami"/>
      <w:b/>
      <w:sz w:val="40"/>
      <w:szCs w:val="24"/>
    </w:rPr>
  </w:style>
  <w:style w:type="paragraph" w:customStyle="1" w:styleId="AERtitle2">
    <w:name w:val="AER title 2"/>
    <w:qFormat/>
    <w:rsid w:val="00EB5BD7"/>
    <w:pPr>
      <w:spacing w:before="240" w:after="60" w:line="288" w:lineRule="auto"/>
      <w:jc w:val="center"/>
    </w:pPr>
    <w:rPr>
      <w:rFonts w:ascii="Gautami" w:eastAsia="Times New Roman" w:hAnsi="Gautami"/>
      <w:sz w:val="32"/>
      <w:szCs w:val="24"/>
      <w:lang w:eastAsia="en-US"/>
    </w:rPr>
  </w:style>
  <w:style w:type="paragraph" w:styleId="Caption">
    <w:name w:val="caption"/>
    <w:basedOn w:val="AERbodytext"/>
    <w:next w:val="AERbodytext"/>
    <w:uiPriority w:val="35"/>
    <w:qFormat/>
    <w:rsid w:val="00EB5BD7"/>
    <w:pPr>
      <w:keepNext/>
      <w:numPr>
        <w:numId w:val="0"/>
      </w:numPr>
      <w:tabs>
        <w:tab w:val="left" w:pos="1440"/>
      </w:tabs>
      <w:spacing w:before="120" w:after="120"/>
      <w:ind w:left="1440" w:hanging="1440"/>
    </w:pPr>
    <w:rPr>
      <w:b/>
      <w:bCs/>
      <w:szCs w:val="18"/>
    </w:rPr>
  </w:style>
  <w:style w:type="paragraph" w:styleId="Footer">
    <w:name w:val="footer"/>
    <w:basedOn w:val="Normal"/>
    <w:link w:val="FooterChar"/>
    <w:uiPriority w:val="99"/>
    <w:qFormat/>
    <w:rsid w:val="00EB5BD7"/>
    <w:pPr>
      <w:tabs>
        <w:tab w:val="center" w:pos="4513"/>
        <w:tab w:val="right" w:pos="9026"/>
      </w:tabs>
      <w:spacing w:after="0" w:line="240" w:lineRule="auto"/>
    </w:pPr>
  </w:style>
  <w:style w:type="character" w:customStyle="1" w:styleId="FooterChar">
    <w:name w:val="Footer Char"/>
    <w:link w:val="Footer"/>
    <w:uiPriority w:val="99"/>
    <w:rsid w:val="00EB5BD7"/>
    <w:rPr>
      <w:rFonts w:ascii="Gautami" w:eastAsia="Calibri" w:hAnsi="Gautami" w:cs="Times New Roman"/>
      <w:sz w:val="20"/>
      <w:szCs w:val="20"/>
    </w:rPr>
  </w:style>
  <w:style w:type="character" w:styleId="FootnoteReference">
    <w:name w:val="footnote reference"/>
    <w:uiPriority w:val="99"/>
    <w:semiHidden/>
    <w:unhideWhenUsed/>
    <w:rsid w:val="00EB5BD7"/>
    <w:rPr>
      <w:vertAlign w:val="superscript"/>
    </w:rPr>
  </w:style>
  <w:style w:type="paragraph" w:styleId="FootnoteText">
    <w:name w:val="footnote text"/>
    <w:basedOn w:val="AERbodytext"/>
    <w:link w:val="FootnoteTextChar"/>
    <w:uiPriority w:val="99"/>
    <w:qFormat/>
    <w:rsid w:val="00EB5BD7"/>
    <w:pPr>
      <w:numPr>
        <w:numId w:val="0"/>
      </w:numPr>
      <w:tabs>
        <w:tab w:val="left" w:pos="426"/>
      </w:tabs>
      <w:spacing w:after="0" w:line="240" w:lineRule="auto"/>
      <w:ind w:left="426" w:hanging="426"/>
    </w:pPr>
    <w:rPr>
      <w:sz w:val="16"/>
      <w:szCs w:val="20"/>
    </w:rPr>
  </w:style>
  <w:style w:type="character" w:customStyle="1" w:styleId="FootnoteTextChar">
    <w:name w:val="Footnote Text Char"/>
    <w:link w:val="FootnoteText"/>
    <w:uiPriority w:val="99"/>
    <w:rsid w:val="00EB5BD7"/>
    <w:rPr>
      <w:rFonts w:ascii="Gautami" w:eastAsia="Times New Roman" w:hAnsi="Gautami" w:cs="Times New Roman"/>
      <w:sz w:val="16"/>
      <w:szCs w:val="20"/>
    </w:rPr>
  </w:style>
  <w:style w:type="paragraph" w:styleId="Header">
    <w:name w:val="header"/>
    <w:basedOn w:val="Normal"/>
    <w:link w:val="HeaderChar"/>
    <w:uiPriority w:val="99"/>
    <w:unhideWhenUsed/>
    <w:rsid w:val="00EB5BD7"/>
    <w:pPr>
      <w:tabs>
        <w:tab w:val="center" w:pos="4513"/>
        <w:tab w:val="right" w:pos="9026"/>
      </w:tabs>
      <w:spacing w:after="0" w:line="240" w:lineRule="auto"/>
    </w:pPr>
  </w:style>
  <w:style w:type="character" w:customStyle="1" w:styleId="HeaderChar">
    <w:name w:val="Header Char"/>
    <w:link w:val="Header"/>
    <w:uiPriority w:val="99"/>
    <w:semiHidden/>
    <w:rsid w:val="00EB5BD7"/>
    <w:rPr>
      <w:rFonts w:ascii="Gautami" w:eastAsia="Calibri" w:hAnsi="Gautami" w:cs="Times New Roman"/>
      <w:sz w:val="20"/>
      <w:szCs w:val="20"/>
    </w:rPr>
  </w:style>
  <w:style w:type="character" w:customStyle="1" w:styleId="Heading1Char">
    <w:name w:val="Heading 1 Char"/>
    <w:link w:val="Heading1"/>
    <w:uiPriority w:val="9"/>
    <w:rsid w:val="00EB5BD7"/>
    <w:rPr>
      <w:rFonts w:ascii="Gautami" w:eastAsia="Times New Roman" w:hAnsi="Gautami"/>
      <w:b/>
      <w:bCs/>
      <w:color w:val="E36C0A"/>
      <w:sz w:val="36"/>
      <w:szCs w:val="28"/>
      <w:lang w:eastAsia="en-US"/>
    </w:rPr>
  </w:style>
  <w:style w:type="character" w:customStyle="1" w:styleId="Heading2Char">
    <w:name w:val="Heading 2 Char"/>
    <w:link w:val="Heading2"/>
    <w:uiPriority w:val="9"/>
    <w:rsid w:val="00EB5BD7"/>
    <w:rPr>
      <w:rFonts w:ascii="Gautami" w:eastAsia="Times New Roman" w:hAnsi="Gautami"/>
      <w:b/>
      <w:color w:val="E36C0A"/>
      <w:sz w:val="28"/>
      <w:szCs w:val="26"/>
      <w:lang w:eastAsia="en-US"/>
    </w:rPr>
  </w:style>
  <w:style w:type="character" w:customStyle="1" w:styleId="Heading3Char">
    <w:name w:val="Heading 3 Char"/>
    <w:link w:val="Heading3"/>
    <w:uiPriority w:val="9"/>
    <w:rsid w:val="00EB5BD7"/>
    <w:rPr>
      <w:rFonts w:ascii="Gautami" w:eastAsia="Times New Roman" w:hAnsi="Gautami"/>
      <w:b/>
      <w:bCs/>
      <w:color w:val="E36C0A"/>
      <w:sz w:val="24"/>
      <w:szCs w:val="26"/>
      <w:lang w:eastAsia="en-US"/>
    </w:rPr>
  </w:style>
  <w:style w:type="character" w:customStyle="1" w:styleId="Heading4Char">
    <w:name w:val="Heading 4 Char"/>
    <w:link w:val="Heading4"/>
    <w:uiPriority w:val="9"/>
    <w:rsid w:val="00EB5BD7"/>
    <w:rPr>
      <w:rFonts w:ascii="Gautami" w:eastAsia="Times New Roman" w:hAnsi="Gautami" w:cs="Times New Roman"/>
      <w:b/>
      <w:iCs/>
      <w:color w:val="FF0000"/>
      <w:szCs w:val="24"/>
    </w:rPr>
  </w:style>
  <w:style w:type="character" w:customStyle="1" w:styleId="Heading6Char">
    <w:name w:val="Heading 6 Char"/>
    <w:link w:val="Heading6"/>
    <w:uiPriority w:val="9"/>
    <w:rsid w:val="00EB5BD7"/>
    <w:rPr>
      <w:rFonts w:ascii="Gautami" w:eastAsia="Times New Roman" w:hAnsi="Gautami" w:cs="Times New Roman"/>
      <w:i/>
      <w:color w:val="FF0000"/>
      <w:sz w:val="20"/>
      <w:szCs w:val="24"/>
    </w:rPr>
  </w:style>
  <w:style w:type="paragraph" w:customStyle="1" w:styleId="UnnumberedHeading">
    <w:name w:val="Unnumbered Heading"/>
    <w:basedOn w:val="Heading1"/>
    <w:next w:val="AERbodytext"/>
    <w:link w:val="UnnumberedHeadingChar"/>
    <w:qFormat/>
    <w:rsid w:val="00EB5BD7"/>
    <w:pPr>
      <w:numPr>
        <w:ilvl w:val="0"/>
      </w:numPr>
    </w:pPr>
  </w:style>
  <w:style w:type="character" w:customStyle="1" w:styleId="Heading7Char">
    <w:name w:val="Heading 7 Char"/>
    <w:link w:val="Heading7"/>
    <w:uiPriority w:val="9"/>
    <w:rsid w:val="00EB5BD7"/>
    <w:rPr>
      <w:rFonts w:ascii="Gautami" w:eastAsia="Times New Roman" w:hAnsi="Gautami"/>
      <w:b/>
      <w:bCs/>
      <w:iCs/>
      <w:color w:val="E36C0A"/>
      <w:sz w:val="36"/>
      <w:szCs w:val="24"/>
      <w:lang w:eastAsia="en-US"/>
    </w:rPr>
  </w:style>
  <w:style w:type="character" w:customStyle="1" w:styleId="Heading8Char">
    <w:name w:val="Heading 8 Char"/>
    <w:link w:val="Heading8"/>
    <w:uiPriority w:val="9"/>
    <w:rsid w:val="00EB5BD7"/>
    <w:rPr>
      <w:rFonts w:ascii="Gautami" w:eastAsia="Times New Roman" w:hAnsi="Gautami"/>
      <w:b/>
      <w:bCs/>
      <w:iCs/>
      <w:color w:val="E36C0A"/>
      <w:sz w:val="28"/>
      <w:lang w:eastAsia="en-US"/>
    </w:rPr>
  </w:style>
  <w:style w:type="character" w:customStyle="1" w:styleId="Heading9Char">
    <w:name w:val="Heading 9 Char"/>
    <w:link w:val="Heading9"/>
    <w:uiPriority w:val="9"/>
    <w:rsid w:val="00EB5BD7"/>
    <w:rPr>
      <w:rFonts w:ascii="Gautami" w:eastAsia="Times New Roman" w:hAnsi="Gautami"/>
      <w:b/>
      <w:bCs/>
      <w:color w:val="E36C0A"/>
      <w:sz w:val="24"/>
      <w:lang w:eastAsia="en-US"/>
    </w:rPr>
  </w:style>
  <w:style w:type="paragraph" w:customStyle="1" w:styleId="HeadingBoldBlue">
    <w:name w:val="Heading Bold Blue"/>
    <w:basedOn w:val="AERbodytext"/>
    <w:next w:val="AERbodytext"/>
    <w:link w:val="HeadingBoldBlueChar"/>
    <w:qFormat/>
    <w:rsid w:val="00EB5BD7"/>
    <w:pPr>
      <w:keepNext/>
      <w:numPr>
        <w:numId w:val="0"/>
      </w:numPr>
    </w:pPr>
    <w:rPr>
      <w:b/>
      <w:color w:val="365F91"/>
      <w:sz w:val="22"/>
    </w:rPr>
  </w:style>
  <w:style w:type="paragraph" w:customStyle="1" w:styleId="HeadingBoldItalic">
    <w:name w:val="Heading Bold Italic"/>
    <w:basedOn w:val="AERbodytext"/>
    <w:next w:val="AERbodytext"/>
    <w:qFormat/>
    <w:rsid w:val="00EB5BD7"/>
    <w:pPr>
      <w:numPr>
        <w:numId w:val="0"/>
      </w:numPr>
    </w:pPr>
    <w:rPr>
      <w:b/>
      <w:i/>
    </w:rPr>
  </w:style>
  <w:style w:type="paragraph" w:customStyle="1" w:styleId="HeadingItalic">
    <w:name w:val="Heading Italic"/>
    <w:basedOn w:val="AERbodytext"/>
    <w:next w:val="AERbodytext"/>
    <w:qFormat/>
    <w:rsid w:val="00EB5BD7"/>
    <w:pPr>
      <w:numPr>
        <w:numId w:val="0"/>
      </w:numPr>
    </w:pPr>
    <w:rPr>
      <w:i/>
    </w:rPr>
  </w:style>
  <w:style w:type="character" w:styleId="Hyperlink">
    <w:name w:val="Hyperlink"/>
    <w:uiPriority w:val="99"/>
    <w:unhideWhenUsed/>
    <w:rsid w:val="00EB5BD7"/>
    <w:rPr>
      <w:color w:val="0000FF"/>
      <w:u w:val="single"/>
    </w:rPr>
  </w:style>
  <w:style w:type="character" w:styleId="PageNumber">
    <w:name w:val="page number"/>
    <w:rsid w:val="00EB5BD7"/>
    <w:rPr>
      <w:rFonts w:ascii="Gautami" w:hAnsi="Gautami"/>
      <w:sz w:val="18"/>
    </w:rPr>
  </w:style>
  <w:style w:type="table" w:styleId="TableGrid">
    <w:name w:val="Table Grid"/>
    <w:basedOn w:val="TableNormal"/>
    <w:uiPriority w:val="59"/>
    <w:rsid w:val="00EB5BD7"/>
    <w:rPr>
      <w:rFonts w:ascii="Gautami" w:hAnsi="Gautam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EB5BD7"/>
    <w:pPr>
      <w:spacing w:after="120"/>
      <w:jc w:val="left"/>
    </w:pPr>
    <w:rPr>
      <w:b/>
      <w:bCs/>
    </w:rPr>
  </w:style>
  <w:style w:type="paragraph" w:styleId="TOC2">
    <w:name w:val="toc 2"/>
    <w:basedOn w:val="Normal"/>
    <w:next w:val="Normal"/>
    <w:autoRedefine/>
    <w:uiPriority w:val="39"/>
    <w:unhideWhenUsed/>
    <w:qFormat/>
    <w:rsid w:val="00EB5BD7"/>
    <w:pPr>
      <w:spacing w:before="120" w:after="0"/>
      <w:ind w:left="200"/>
      <w:jc w:val="left"/>
    </w:pPr>
    <w:rPr>
      <w:iCs/>
    </w:rPr>
  </w:style>
  <w:style w:type="paragraph" w:styleId="TOC3">
    <w:name w:val="toc 3"/>
    <w:basedOn w:val="Normal"/>
    <w:next w:val="Normal"/>
    <w:autoRedefine/>
    <w:uiPriority w:val="39"/>
    <w:unhideWhenUsed/>
    <w:qFormat/>
    <w:rsid w:val="00EB5BD7"/>
    <w:pPr>
      <w:spacing w:after="0"/>
      <w:ind w:left="400"/>
      <w:jc w:val="left"/>
    </w:pPr>
  </w:style>
  <w:style w:type="numbering" w:customStyle="1" w:styleId="OldAERheadings">
    <w:name w:val="Old AER headings"/>
    <w:uiPriority w:val="99"/>
    <w:locked/>
    <w:rsid w:val="007334C5"/>
    <w:pPr>
      <w:numPr>
        <w:numId w:val="12"/>
      </w:numPr>
    </w:pPr>
  </w:style>
  <w:style w:type="paragraph" w:styleId="ListParagraph">
    <w:name w:val="List Paragraph"/>
    <w:basedOn w:val="Normal"/>
    <w:uiPriority w:val="34"/>
    <w:unhideWhenUsed/>
    <w:qFormat/>
    <w:rsid w:val="007334C5"/>
    <w:pPr>
      <w:ind w:left="720"/>
      <w:contextualSpacing/>
    </w:pPr>
  </w:style>
  <w:style w:type="character" w:customStyle="1" w:styleId="UnnumberedHeadingChar">
    <w:name w:val="Unnumbered Heading Char"/>
    <w:link w:val="UnnumberedHeading"/>
    <w:rsid w:val="007334C5"/>
    <w:rPr>
      <w:rFonts w:ascii="Gautami" w:eastAsia="Times New Roman" w:hAnsi="Gautami"/>
      <w:b/>
      <w:bCs/>
      <w:color w:val="E36C0A"/>
      <w:sz w:val="36"/>
      <w:szCs w:val="28"/>
      <w:lang w:eastAsia="en-US"/>
    </w:rPr>
  </w:style>
  <w:style w:type="table" w:styleId="TableGrid1">
    <w:name w:val="Table Grid 1"/>
    <w:basedOn w:val="TableNormal"/>
    <w:uiPriority w:val="99"/>
    <w:semiHidden/>
    <w:unhideWhenUsed/>
    <w:rsid w:val="007334C5"/>
    <w:rPr>
      <w:rFonts w:ascii="Gautami" w:hAnsi="Gautam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7334C5"/>
    <w:pPr>
      <w:pageBreakBefore w:val="0"/>
      <w:numPr>
        <w:ilvl w:val="0"/>
        <w:numId w:val="0"/>
      </w:numPr>
      <w:spacing w:before="480" w:after="0" w:line="276" w:lineRule="auto"/>
      <w:outlineLvl w:val="9"/>
    </w:pPr>
    <w:rPr>
      <w:rFonts w:ascii="Cambria" w:hAnsi="Cambria"/>
      <w:color w:val="365F91"/>
      <w:sz w:val="28"/>
      <w:lang w:val="en-US"/>
    </w:rPr>
  </w:style>
  <w:style w:type="paragraph" w:styleId="BalloonText">
    <w:name w:val="Balloon Text"/>
    <w:basedOn w:val="Normal"/>
    <w:link w:val="BalloonTextChar"/>
    <w:uiPriority w:val="99"/>
    <w:semiHidden/>
    <w:unhideWhenUsed/>
    <w:rsid w:val="007334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34C5"/>
    <w:rPr>
      <w:rFonts w:ascii="Tahoma" w:hAnsi="Tahoma" w:cs="Tahoma"/>
      <w:sz w:val="16"/>
      <w:szCs w:val="16"/>
    </w:rPr>
  </w:style>
  <w:style w:type="paragraph" w:styleId="TOC4">
    <w:name w:val="toc 4"/>
    <w:basedOn w:val="Normal"/>
    <w:next w:val="Normal"/>
    <w:autoRedefine/>
    <w:uiPriority w:val="39"/>
    <w:semiHidden/>
    <w:rsid w:val="007334C5"/>
    <w:pPr>
      <w:spacing w:after="0"/>
      <w:ind w:left="600"/>
      <w:jc w:val="left"/>
    </w:pPr>
    <w:rPr>
      <w:rFonts w:ascii="Calibri" w:hAnsi="Calibri"/>
    </w:rPr>
  </w:style>
  <w:style w:type="paragraph" w:styleId="TOC5">
    <w:name w:val="toc 5"/>
    <w:basedOn w:val="Normal"/>
    <w:next w:val="Normal"/>
    <w:autoRedefine/>
    <w:uiPriority w:val="39"/>
    <w:semiHidden/>
    <w:rsid w:val="007334C5"/>
    <w:pPr>
      <w:spacing w:after="0"/>
      <w:ind w:left="800"/>
      <w:jc w:val="left"/>
    </w:pPr>
    <w:rPr>
      <w:rFonts w:ascii="Calibri" w:hAnsi="Calibri"/>
    </w:rPr>
  </w:style>
  <w:style w:type="paragraph" w:styleId="TOC6">
    <w:name w:val="toc 6"/>
    <w:basedOn w:val="Normal"/>
    <w:next w:val="Normal"/>
    <w:autoRedefine/>
    <w:uiPriority w:val="39"/>
    <w:semiHidden/>
    <w:rsid w:val="007334C5"/>
    <w:pPr>
      <w:spacing w:after="0"/>
      <w:ind w:left="1000"/>
      <w:jc w:val="left"/>
    </w:pPr>
    <w:rPr>
      <w:rFonts w:ascii="Calibri" w:hAnsi="Calibri"/>
    </w:rPr>
  </w:style>
  <w:style w:type="paragraph" w:styleId="TOC7">
    <w:name w:val="toc 7"/>
    <w:basedOn w:val="Normal"/>
    <w:next w:val="Normal"/>
    <w:autoRedefine/>
    <w:uiPriority w:val="39"/>
    <w:semiHidden/>
    <w:rsid w:val="007334C5"/>
    <w:pPr>
      <w:spacing w:after="0"/>
      <w:ind w:left="1200"/>
      <w:jc w:val="left"/>
    </w:pPr>
    <w:rPr>
      <w:rFonts w:ascii="Calibri" w:hAnsi="Calibri"/>
    </w:rPr>
  </w:style>
  <w:style w:type="paragraph" w:styleId="TOC8">
    <w:name w:val="toc 8"/>
    <w:basedOn w:val="Normal"/>
    <w:next w:val="Normal"/>
    <w:autoRedefine/>
    <w:uiPriority w:val="39"/>
    <w:semiHidden/>
    <w:rsid w:val="007334C5"/>
    <w:pPr>
      <w:spacing w:after="0"/>
      <w:ind w:left="1400"/>
      <w:jc w:val="left"/>
    </w:pPr>
    <w:rPr>
      <w:rFonts w:ascii="Calibri" w:hAnsi="Calibri"/>
    </w:rPr>
  </w:style>
  <w:style w:type="paragraph" w:styleId="TOC9">
    <w:name w:val="toc 9"/>
    <w:basedOn w:val="Normal"/>
    <w:next w:val="Normal"/>
    <w:autoRedefine/>
    <w:uiPriority w:val="39"/>
    <w:semiHidden/>
    <w:rsid w:val="007334C5"/>
    <w:pPr>
      <w:spacing w:after="0"/>
      <w:ind w:left="1600"/>
      <w:jc w:val="left"/>
    </w:pPr>
    <w:rPr>
      <w:rFonts w:ascii="Calibri" w:hAnsi="Calibri"/>
    </w:rPr>
  </w:style>
  <w:style w:type="character" w:styleId="CommentReference">
    <w:name w:val="annotation reference"/>
    <w:uiPriority w:val="99"/>
    <w:semiHidden/>
    <w:unhideWhenUsed/>
    <w:rsid w:val="007334C5"/>
    <w:rPr>
      <w:sz w:val="16"/>
      <w:szCs w:val="16"/>
    </w:rPr>
  </w:style>
  <w:style w:type="paragraph" w:styleId="CommentText">
    <w:name w:val="annotation text"/>
    <w:basedOn w:val="Normal"/>
    <w:link w:val="CommentTextChar"/>
    <w:uiPriority w:val="99"/>
    <w:semiHidden/>
    <w:unhideWhenUsed/>
    <w:rsid w:val="007334C5"/>
    <w:pPr>
      <w:spacing w:line="240" w:lineRule="auto"/>
    </w:pPr>
  </w:style>
  <w:style w:type="character" w:customStyle="1" w:styleId="CommentTextChar">
    <w:name w:val="Comment Text Char"/>
    <w:link w:val="CommentText"/>
    <w:uiPriority w:val="99"/>
    <w:semiHidden/>
    <w:rsid w:val="007334C5"/>
    <w:rPr>
      <w:rFonts w:ascii="Gautam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7334C5"/>
    <w:rPr>
      <w:b/>
      <w:bCs/>
    </w:rPr>
  </w:style>
  <w:style w:type="character" w:customStyle="1" w:styleId="CommentSubjectChar">
    <w:name w:val="Comment Subject Char"/>
    <w:link w:val="CommentSubject"/>
    <w:uiPriority w:val="99"/>
    <w:semiHidden/>
    <w:rsid w:val="007334C5"/>
    <w:rPr>
      <w:rFonts w:ascii="Gautami" w:hAnsi="Gautami" w:cs="Times New Roman"/>
      <w:b/>
      <w:bCs/>
      <w:sz w:val="20"/>
      <w:szCs w:val="20"/>
    </w:rPr>
  </w:style>
  <w:style w:type="character" w:customStyle="1" w:styleId="AERbodytextChar">
    <w:name w:val="AER body text Char"/>
    <w:link w:val="AERbodytext"/>
    <w:rsid w:val="007334C5"/>
    <w:rPr>
      <w:rFonts w:ascii="Gautami" w:eastAsia="Times New Roman" w:hAnsi="Gautami"/>
      <w:szCs w:val="24"/>
      <w:lang w:eastAsia="en-US"/>
    </w:rPr>
  </w:style>
  <w:style w:type="character" w:customStyle="1" w:styleId="HeadingBoldBlueChar">
    <w:name w:val="Heading Bold Blue Char"/>
    <w:link w:val="HeadingBoldBlue"/>
    <w:rsid w:val="007334C5"/>
    <w:rPr>
      <w:rFonts w:ascii="Gautami" w:eastAsia="Times New Roman" w:hAnsi="Gautami"/>
      <w:b/>
      <w:color w:val="365F91"/>
      <w:szCs w:val="24"/>
      <w:lang w:eastAsia="en-US"/>
    </w:rPr>
  </w:style>
  <w:style w:type="paragraph" w:styleId="Revision">
    <w:name w:val="Revision"/>
    <w:hidden/>
    <w:uiPriority w:val="99"/>
    <w:semiHidden/>
    <w:rsid w:val="007334C5"/>
    <w:rPr>
      <w:rFonts w:ascii="Gautami" w:hAnsi="Gautami"/>
      <w:lang w:eastAsia="en-US"/>
    </w:rPr>
  </w:style>
  <w:style w:type="numbering" w:styleId="111111">
    <w:name w:val="Outline List 2"/>
    <w:basedOn w:val="NoList"/>
    <w:unhideWhenUsed/>
    <w:rsid w:val="007334C5"/>
    <w:pPr>
      <w:numPr>
        <w:numId w:val="13"/>
      </w:numPr>
    </w:pPr>
  </w:style>
  <w:style w:type="paragraph" w:styleId="TableofFigures">
    <w:name w:val="table of figures"/>
    <w:basedOn w:val="Normal"/>
    <w:next w:val="Normal"/>
    <w:uiPriority w:val="99"/>
    <w:semiHidden/>
    <w:unhideWhenUsed/>
    <w:rsid w:val="007334C5"/>
    <w:pPr>
      <w:spacing w:after="0"/>
    </w:pPr>
  </w:style>
  <w:style w:type="character" w:styleId="LineNumber">
    <w:name w:val="line number"/>
    <w:basedOn w:val="DefaultParagraphFont"/>
    <w:uiPriority w:val="99"/>
    <w:semiHidden/>
    <w:unhideWhenUsed/>
    <w:rsid w:val="007334C5"/>
  </w:style>
  <w:style w:type="paragraph" w:styleId="BodyText">
    <w:name w:val="Body Text"/>
    <w:basedOn w:val="Normal"/>
    <w:link w:val="BodyTextChar"/>
    <w:uiPriority w:val="99"/>
    <w:semiHidden/>
    <w:unhideWhenUsed/>
    <w:rsid w:val="007334C5"/>
    <w:pPr>
      <w:spacing w:after="120"/>
    </w:pPr>
  </w:style>
  <w:style w:type="character" w:customStyle="1" w:styleId="BodyTextChar">
    <w:name w:val="Body Text Char"/>
    <w:link w:val="BodyText"/>
    <w:uiPriority w:val="99"/>
    <w:semiHidden/>
    <w:rsid w:val="007334C5"/>
    <w:rPr>
      <w:rFonts w:ascii="Gautami" w:hAnsi="Gautami" w:cs="Times New Roman"/>
      <w:sz w:val="20"/>
      <w:szCs w:val="20"/>
    </w:rPr>
  </w:style>
  <w:style w:type="paragraph" w:styleId="Title">
    <w:name w:val="Title"/>
    <w:basedOn w:val="Normal"/>
    <w:next w:val="Normal"/>
    <w:link w:val="TitleChar"/>
    <w:uiPriority w:val="10"/>
    <w:unhideWhenUsed/>
    <w:rsid w:val="007334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7334C5"/>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unhideWhenUsed/>
    <w:qFormat/>
    <w:rsid w:val="007334C5"/>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7334C5"/>
    <w:rPr>
      <w:rFonts w:ascii="Cambria" w:eastAsia="Times New Roman" w:hAnsi="Cambria" w:cs="Times New Roman"/>
      <w:i/>
      <w:iCs/>
      <w:color w:val="4F81BD"/>
      <w:spacing w:val="15"/>
      <w:sz w:val="24"/>
      <w:szCs w:val="24"/>
    </w:rPr>
  </w:style>
  <w:style w:type="paragraph" w:styleId="TOAHeading">
    <w:name w:val="toa heading"/>
    <w:basedOn w:val="Normal"/>
    <w:next w:val="Normal"/>
    <w:uiPriority w:val="99"/>
    <w:semiHidden/>
    <w:unhideWhenUsed/>
    <w:rsid w:val="007334C5"/>
    <w:pPr>
      <w:spacing w:before="120"/>
    </w:pPr>
    <w:rPr>
      <w:rFonts w:ascii="Cambria" w:eastAsia="Times New Roman" w:hAnsi="Cambria"/>
      <w:b/>
      <w:bCs/>
      <w:sz w:val="24"/>
      <w:szCs w:val="24"/>
    </w:rPr>
  </w:style>
  <w:style w:type="character" w:customStyle="1" w:styleId="AERbulletlistfirststyleChar">
    <w:name w:val="AER bullet list (first style) Char"/>
    <w:link w:val="AERbulletlistfirststyle"/>
    <w:rsid w:val="00DB02C6"/>
    <w:rPr>
      <w:rFonts w:ascii="Gautami" w:eastAsia="Times New Roman" w:hAnsi="Gautami"/>
      <w:szCs w:val="24"/>
      <w:lang w:eastAsia="en-US"/>
    </w:rPr>
  </w:style>
  <w:style w:type="paragraph" w:customStyle="1" w:styleId="AERtabletext">
    <w:name w:val="AER table text"/>
    <w:basedOn w:val="Normal"/>
    <w:rsid w:val="006D0CD5"/>
    <w:pPr>
      <w:widowControl w:val="0"/>
      <w:tabs>
        <w:tab w:val="num" w:pos="360"/>
      </w:tabs>
      <w:spacing w:before="120" w:after="120"/>
      <w:ind w:left="360" w:hanging="360"/>
    </w:pPr>
  </w:style>
  <w:style w:type="paragraph" w:customStyle="1" w:styleId="AERDecisionBox">
    <w:name w:val="AER Decision Box"/>
    <w:basedOn w:val="AERbodytext"/>
    <w:rsid w:val="0031616A"/>
    <w:pPr>
      <w:keepLines/>
      <w:numPr>
        <w:numId w:val="0"/>
      </w:numPr>
      <w:pBdr>
        <w:top w:val="single" w:sz="4" w:space="5" w:color="auto"/>
        <w:left w:val="single" w:sz="4" w:space="5" w:color="auto"/>
        <w:bottom w:val="single" w:sz="4" w:space="5" w:color="auto"/>
        <w:right w:val="single" w:sz="4" w:space="5" w:color="auto"/>
      </w:pBdr>
      <w:shd w:val="clear" w:color="auto" w:fill="CCCCCC"/>
      <w:spacing w:before="0" w:after="240" w:line="240" w:lineRule="auto"/>
      <w:jc w:val="left"/>
    </w:pPr>
    <w:rPr>
      <w:rFonts w:ascii="Times New Roman" w:hAnsi="Times New Roman"/>
      <w:sz w:val="24"/>
    </w:rPr>
  </w:style>
  <w:style w:type="paragraph" w:customStyle="1" w:styleId="AERcopyrighttext">
    <w:name w:val="AER copyright text"/>
    <w:basedOn w:val="Normal"/>
    <w:rsid w:val="0031616A"/>
    <w:pPr>
      <w:spacing w:before="240" w:line="240" w:lineRule="auto"/>
      <w:jc w:val="left"/>
    </w:pPr>
    <w:rPr>
      <w:rFonts w:ascii="Times New Roman" w:eastAsia="Times New Roman" w:hAnsi="Times New Roman"/>
      <w:szCs w:val="24"/>
    </w:rPr>
  </w:style>
  <w:style w:type="numbering" w:customStyle="1" w:styleId="StyleNumbered">
    <w:name w:val="Style Numbered"/>
    <w:basedOn w:val="NoList"/>
    <w:rsid w:val="00CE4397"/>
    <w:pPr>
      <w:numPr>
        <w:numId w:val="27"/>
      </w:numPr>
    </w:pPr>
  </w:style>
  <w:style w:type="paragraph" w:styleId="DocumentMap">
    <w:name w:val="Document Map"/>
    <w:basedOn w:val="Normal"/>
    <w:link w:val="DocumentMapChar"/>
    <w:uiPriority w:val="99"/>
    <w:semiHidden/>
    <w:unhideWhenUsed/>
    <w:rsid w:val="00201BF7"/>
    <w:rPr>
      <w:rFonts w:ascii="Tahoma" w:hAnsi="Tahoma" w:cs="Tahoma"/>
      <w:sz w:val="16"/>
      <w:szCs w:val="16"/>
    </w:rPr>
  </w:style>
  <w:style w:type="character" w:customStyle="1" w:styleId="DocumentMapChar">
    <w:name w:val="Document Map Char"/>
    <w:link w:val="DocumentMap"/>
    <w:uiPriority w:val="99"/>
    <w:semiHidden/>
    <w:rsid w:val="00201BF7"/>
    <w:rPr>
      <w:rFonts w:ascii="Tahoma" w:hAnsi="Tahoma" w:cs="Tahoma"/>
      <w:sz w:val="16"/>
      <w:szCs w:val="16"/>
      <w:lang w:eastAsia="en-US"/>
    </w:rPr>
  </w:style>
  <w:style w:type="numbering" w:customStyle="1" w:styleId="AERnumberedlist1">
    <w:name w:val="AER numbered list1"/>
    <w:uiPriority w:val="99"/>
    <w:rsid w:val="00463204"/>
  </w:style>
  <w:style w:type="character" w:styleId="FollowedHyperlink">
    <w:name w:val="FollowedHyperlink"/>
    <w:uiPriority w:val="99"/>
    <w:semiHidden/>
    <w:unhideWhenUsed/>
    <w:rsid w:val="009D2200"/>
    <w:rPr>
      <w:color w:val="800080"/>
      <w:u w:val="single"/>
    </w:rPr>
  </w:style>
  <w:style w:type="numbering" w:customStyle="1" w:styleId="AERnumberedlist2">
    <w:name w:val="AER numbered list2"/>
    <w:uiPriority w:val="99"/>
    <w:rsid w:val="009B5A6F"/>
  </w:style>
  <w:style w:type="paragraph" w:styleId="EndnoteText">
    <w:name w:val="endnote text"/>
    <w:basedOn w:val="Normal"/>
    <w:link w:val="EndnoteTextChar"/>
    <w:uiPriority w:val="99"/>
    <w:semiHidden/>
    <w:unhideWhenUsed/>
    <w:rsid w:val="002873F0"/>
  </w:style>
  <w:style w:type="character" w:customStyle="1" w:styleId="EndnoteTextChar">
    <w:name w:val="Endnote Text Char"/>
    <w:basedOn w:val="DefaultParagraphFont"/>
    <w:link w:val="EndnoteText"/>
    <w:uiPriority w:val="99"/>
    <w:semiHidden/>
    <w:rsid w:val="002873F0"/>
    <w:rPr>
      <w:rFonts w:ascii="Gautami" w:hAnsi="Gautami"/>
      <w:lang w:eastAsia="en-US"/>
    </w:rPr>
  </w:style>
  <w:style w:type="character" w:styleId="EndnoteReference">
    <w:name w:val="endnote reference"/>
    <w:basedOn w:val="DefaultParagraphFont"/>
    <w:uiPriority w:val="99"/>
    <w:semiHidden/>
    <w:unhideWhenUsed/>
    <w:rsid w:val="002873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
    <w:name w:val="AERHeadings"/>
    <w:pPr>
      <w:numPr>
        <w:numId w:val="6"/>
      </w:numPr>
    </w:pPr>
  </w:style>
  <w:style w:type="numbering" w:customStyle="1" w:styleId="AERbodytext">
    <w:name w:val="OldAERheadings"/>
    <w:pPr>
      <w:numPr>
        <w:numId w:val="12"/>
      </w:numPr>
    </w:pPr>
  </w:style>
  <w:style w:type="numbering" w:customStyle="1" w:styleId="AERbodytextindent1">
    <w:name w:val="StyleNumbered"/>
    <w:pPr>
      <w:numPr>
        <w:numId w:val="27"/>
      </w:numPr>
    </w:pPr>
  </w:style>
  <w:style w:type="numbering" w:customStyle="1" w:styleId="AERbodytextindent2">
    <w:name w:val="AERnumberedlist"/>
    <w:pPr>
      <w:numPr>
        <w:numId w:val="7"/>
      </w:numPr>
    </w:pPr>
  </w:style>
  <w:style w:type="numbering" w:customStyle="1" w:styleId="AERbodytextindent3">
    <w:name w:val="11111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erexemptions@aer.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erexemptions@aer.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erexemptions@aer.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exemptions@aer.gov.au" TargetMode="External"/><Relationship Id="rId5" Type="http://schemas.openxmlformats.org/officeDocument/2006/relationships/settings" Target="settings.xml"/><Relationship Id="rId15" Type="http://schemas.openxmlformats.org/officeDocument/2006/relationships/hyperlink" Target="mailto:aerexemptions@aer.gov.au" TargetMode="Externa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484" TargetMode="External"/><Relationship Id="rId2" Type="http://schemas.openxmlformats.org/officeDocument/2006/relationships/hyperlink" Target="http://www.measurement.gov.au" TargetMode="External"/><Relationship Id="rId1" Type="http://schemas.openxmlformats.org/officeDocument/2006/relationships/hyperlink" Target="http://www.aer.gov.au/node/186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D1FF4-DD8F-4BD0-9433-605F2B00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15175</Words>
  <Characters>86504</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101477</CharactersWithSpaces>
  <SharedDoc>false</SharedDoc>
  <HLinks>
    <vt:vector size="156" baseType="variant">
      <vt:variant>
        <vt:i4>2555972</vt:i4>
      </vt:variant>
      <vt:variant>
        <vt:i4>258</vt:i4>
      </vt:variant>
      <vt:variant>
        <vt:i4>0</vt:i4>
      </vt:variant>
      <vt:variant>
        <vt:i4>5</vt:i4>
      </vt:variant>
      <vt:variant>
        <vt:lpwstr>mailto:AERInquiry@aer.gov.au</vt:lpwstr>
      </vt:variant>
      <vt:variant>
        <vt:lpwstr/>
      </vt:variant>
      <vt:variant>
        <vt:i4>2555972</vt:i4>
      </vt:variant>
      <vt:variant>
        <vt:i4>255</vt:i4>
      </vt:variant>
      <vt:variant>
        <vt:i4>0</vt:i4>
      </vt:variant>
      <vt:variant>
        <vt:i4>5</vt:i4>
      </vt:variant>
      <vt:variant>
        <vt:lpwstr>mailto:AERInquiry@aer.gov.au</vt:lpwstr>
      </vt:variant>
      <vt:variant>
        <vt:lpwstr/>
      </vt:variant>
      <vt:variant>
        <vt:i4>2555972</vt:i4>
      </vt:variant>
      <vt:variant>
        <vt:i4>138</vt:i4>
      </vt:variant>
      <vt:variant>
        <vt:i4>0</vt:i4>
      </vt:variant>
      <vt:variant>
        <vt:i4>5</vt:i4>
      </vt:variant>
      <vt:variant>
        <vt:lpwstr>mailto:aerinquiry@aer.gov.au</vt:lpwstr>
      </vt:variant>
      <vt:variant>
        <vt:lpwstr/>
      </vt:variant>
      <vt:variant>
        <vt:i4>2031676</vt:i4>
      </vt:variant>
      <vt:variant>
        <vt:i4>131</vt:i4>
      </vt:variant>
      <vt:variant>
        <vt:i4>0</vt:i4>
      </vt:variant>
      <vt:variant>
        <vt:i4>5</vt:i4>
      </vt:variant>
      <vt:variant>
        <vt:lpwstr/>
      </vt:variant>
      <vt:variant>
        <vt:lpwstr>_Toc358025589</vt:lpwstr>
      </vt:variant>
      <vt:variant>
        <vt:i4>2031676</vt:i4>
      </vt:variant>
      <vt:variant>
        <vt:i4>125</vt:i4>
      </vt:variant>
      <vt:variant>
        <vt:i4>0</vt:i4>
      </vt:variant>
      <vt:variant>
        <vt:i4>5</vt:i4>
      </vt:variant>
      <vt:variant>
        <vt:lpwstr/>
      </vt:variant>
      <vt:variant>
        <vt:lpwstr>_Toc358025588</vt:lpwstr>
      </vt:variant>
      <vt:variant>
        <vt:i4>2031676</vt:i4>
      </vt:variant>
      <vt:variant>
        <vt:i4>119</vt:i4>
      </vt:variant>
      <vt:variant>
        <vt:i4>0</vt:i4>
      </vt:variant>
      <vt:variant>
        <vt:i4>5</vt:i4>
      </vt:variant>
      <vt:variant>
        <vt:lpwstr/>
      </vt:variant>
      <vt:variant>
        <vt:lpwstr>_Toc358025587</vt:lpwstr>
      </vt:variant>
      <vt:variant>
        <vt:i4>2031676</vt:i4>
      </vt:variant>
      <vt:variant>
        <vt:i4>113</vt:i4>
      </vt:variant>
      <vt:variant>
        <vt:i4>0</vt:i4>
      </vt:variant>
      <vt:variant>
        <vt:i4>5</vt:i4>
      </vt:variant>
      <vt:variant>
        <vt:lpwstr/>
      </vt:variant>
      <vt:variant>
        <vt:lpwstr>_Toc358025586</vt:lpwstr>
      </vt:variant>
      <vt:variant>
        <vt:i4>2031676</vt:i4>
      </vt:variant>
      <vt:variant>
        <vt:i4>107</vt:i4>
      </vt:variant>
      <vt:variant>
        <vt:i4>0</vt:i4>
      </vt:variant>
      <vt:variant>
        <vt:i4>5</vt:i4>
      </vt:variant>
      <vt:variant>
        <vt:lpwstr/>
      </vt:variant>
      <vt:variant>
        <vt:lpwstr>_Toc358025585</vt:lpwstr>
      </vt:variant>
      <vt:variant>
        <vt:i4>2031676</vt:i4>
      </vt:variant>
      <vt:variant>
        <vt:i4>101</vt:i4>
      </vt:variant>
      <vt:variant>
        <vt:i4>0</vt:i4>
      </vt:variant>
      <vt:variant>
        <vt:i4>5</vt:i4>
      </vt:variant>
      <vt:variant>
        <vt:lpwstr/>
      </vt:variant>
      <vt:variant>
        <vt:lpwstr>_Toc358025584</vt:lpwstr>
      </vt:variant>
      <vt:variant>
        <vt:i4>2031676</vt:i4>
      </vt:variant>
      <vt:variant>
        <vt:i4>95</vt:i4>
      </vt:variant>
      <vt:variant>
        <vt:i4>0</vt:i4>
      </vt:variant>
      <vt:variant>
        <vt:i4>5</vt:i4>
      </vt:variant>
      <vt:variant>
        <vt:lpwstr/>
      </vt:variant>
      <vt:variant>
        <vt:lpwstr>_Toc358025583</vt:lpwstr>
      </vt:variant>
      <vt:variant>
        <vt:i4>2031676</vt:i4>
      </vt:variant>
      <vt:variant>
        <vt:i4>89</vt:i4>
      </vt:variant>
      <vt:variant>
        <vt:i4>0</vt:i4>
      </vt:variant>
      <vt:variant>
        <vt:i4>5</vt:i4>
      </vt:variant>
      <vt:variant>
        <vt:lpwstr/>
      </vt:variant>
      <vt:variant>
        <vt:lpwstr>_Toc358025582</vt:lpwstr>
      </vt:variant>
      <vt:variant>
        <vt:i4>2031676</vt:i4>
      </vt:variant>
      <vt:variant>
        <vt:i4>83</vt:i4>
      </vt:variant>
      <vt:variant>
        <vt:i4>0</vt:i4>
      </vt:variant>
      <vt:variant>
        <vt:i4>5</vt:i4>
      </vt:variant>
      <vt:variant>
        <vt:lpwstr/>
      </vt:variant>
      <vt:variant>
        <vt:lpwstr>_Toc358025581</vt:lpwstr>
      </vt:variant>
      <vt:variant>
        <vt:i4>2031676</vt:i4>
      </vt:variant>
      <vt:variant>
        <vt:i4>77</vt:i4>
      </vt:variant>
      <vt:variant>
        <vt:i4>0</vt:i4>
      </vt:variant>
      <vt:variant>
        <vt:i4>5</vt:i4>
      </vt:variant>
      <vt:variant>
        <vt:lpwstr/>
      </vt:variant>
      <vt:variant>
        <vt:lpwstr>_Toc358025580</vt:lpwstr>
      </vt:variant>
      <vt:variant>
        <vt:i4>1048636</vt:i4>
      </vt:variant>
      <vt:variant>
        <vt:i4>71</vt:i4>
      </vt:variant>
      <vt:variant>
        <vt:i4>0</vt:i4>
      </vt:variant>
      <vt:variant>
        <vt:i4>5</vt:i4>
      </vt:variant>
      <vt:variant>
        <vt:lpwstr/>
      </vt:variant>
      <vt:variant>
        <vt:lpwstr>_Toc358025579</vt:lpwstr>
      </vt:variant>
      <vt:variant>
        <vt:i4>1048636</vt:i4>
      </vt:variant>
      <vt:variant>
        <vt:i4>65</vt:i4>
      </vt:variant>
      <vt:variant>
        <vt:i4>0</vt:i4>
      </vt:variant>
      <vt:variant>
        <vt:i4>5</vt:i4>
      </vt:variant>
      <vt:variant>
        <vt:lpwstr/>
      </vt:variant>
      <vt:variant>
        <vt:lpwstr>_Toc358025578</vt:lpwstr>
      </vt:variant>
      <vt:variant>
        <vt:i4>1048636</vt:i4>
      </vt:variant>
      <vt:variant>
        <vt:i4>59</vt:i4>
      </vt:variant>
      <vt:variant>
        <vt:i4>0</vt:i4>
      </vt:variant>
      <vt:variant>
        <vt:i4>5</vt:i4>
      </vt:variant>
      <vt:variant>
        <vt:lpwstr/>
      </vt:variant>
      <vt:variant>
        <vt:lpwstr>_Toc358025577</vt:lpwstr>
      </vt:variant>
      <vt:variant>
        <vt:i4>1048636</vt:i4>
      </vt:variant>
      <vt:variant>
        <vt:i4>53</vt:i4>
      </vt:variant>
      <vt:variant>
        <vt:i4>0</vt:i4>
      </vt:variant>
      <vt:variant>
        <vt:i4>5</vt:i4>
      </vt:variant>
      <vt:variant>
        <vt:lpwstr/>
      </vt:variant>
      <vt:variant>
        <vt:lpwstr>_Toc358025576</vt:lpwstr>
      </vt:variant>
      <vt:variant>
        <vt:i4>1048636</vt:i4>
      </vt:variant>
      <vt:variant>
        <vt:i4>47</vt:i4>
      </vt:variant>
      <vt:variant>
        <vt:i4>0</vt:i4>
      </vt:variant>
      <vt:variant>
        <vt:i4>5</vt:i4>
      </vt:variant>
      <vt:variant>
        <vt:lpwstr/>
      </vt:variant>
      <vt:variant>
        <vt:lpwstr>_Toc358025575</vt:lpwstr>
      </vt:variant>
      <vt:variant>
        <vt:i4>1048636</vt:i4>
      </vt:variant>
      <vt:variant>
        <vt:i4>41</vt:i4>
      </vt:variant>
      <vt:variant>
        <vt:i4>0</vt:i4>
      </vt:variant>
      <vt:variant>
        <vt:i4>5</vt:i4>
      </vt:variant>
      <vt:variant>
        <vt:lpwstr/>
      </vt:variant>
      <vt:variant>
        <vt:lpwstr>_Toc358025574</vt:lpwstr>
      </vt:variant>
      <vt:variant>
        <vt:i4>1048636</vt:i4>
      </vt:variant>
      <vt:variant>
        <vt:i4>35</vt:i4>
      </vt:variant>
      <vt:variant>
        <vt:i4>0</vt:i4>
      </vt:variant>
      <vt:variant>
        <vt:i4>5</vt:i4>
      </vt:variant>
      <vt:variant>
        <vt:lpwstr/>
      </vt:variant>
      <vt:variant>
        <vt:lpwstr>_Toc358025573</vt:lpwstr>
      </vt:variant>
      <vt:variant>
        <vt:i4>1048636</vt:i4>
      </vt:variant>
      <vt:variant>
        <vt:i4>29</vt:i4>
      </vt:variant>
      <vt:variant>
        <vt:i4>0</vt:i4>
      </vt:variant>
      <vt:variant>
        <vt:i4>5</vt:i4>
      </vt:variant>
      <vt:variant>
        <vt:lpwstr/>
      </vt:variant>
      <vt:variant>
        <vt:lpwstr>_Toc358025572</vt:lpwstr>
      </vt:variant>
      <vt:variant>
        <vt:i4>1048636</vt:i4>
      </vt:variant>
      <vt:variant>
        <vt:i4>23</vt:i4>
      </vt:variant>
      <vt:variant>
        <vt:i4>0</vt:i4>
      </vt:variant>
      <vt:variant>
        <vt:i4>5</vt:i4>
      </vt:variant>
      <vt:variant>
        <vt:lpwstr/>
      </vt:variant>
      <vt:variant>
        <vt:lpwstr>_Toc358025571</vt:lpwstr>
      </vt:variant>
      <vt:variant>
        <vt:i4>1048636</vt:i4>
      </vt:variant>
      <vt:variant>
        <vt:i4>17</vt:i4>
      </vt:variant>
      <vt:variant>
        <vt:i4>0</vt:i4>
      </vt:variant>
      <vt:variant>
        <vt:i4>5</vt:i4>
      </vt:variant>
      <vt:variant>
        <vt:lpwstr/>
      </vt:variant>
      <vt:variant>
        <vt:lpwstr>_Toc358025570</vt:lpwstr>
      </vt:variant>
      <vt:variant>
        <vt:i4>1114172</vt:i4>
      </vt:variant>
      <vt:variant>
        <vt:i4>11</vt:i4>
      </vt:variant>
      <vt:variant>
        <vt:i4>0</vt:i4>
      </vt:variant>
      <vt:variant>
        <vt:i4>5</vt:i4>
      </vt:variant>
      <vt:variant>
        <vt:lpwstr/>
      </vt:variant>
      <vt:variant>
        <vt:lpwstr>_Toc358025569</vt:lpwstr>
      </vt:variant>
      <vt:variant>
        <vt:i4>1114172</vt:i4>
      </vt:variant>
      <vt:variant>
        <vt:i4>5</vt:i4>
      </vt:variant>
      <vt:variant>
        <vt:i4>0</vt:i4>
      </vt:variant>
      <vt:variant>
        <vt:i4>5</vt:i4>
      </vt:variant>
      <vt:variant>
        <vt:lpwstr/>
      </vt:variant>
      <vt:variant>
        <vt:lpwstr>_Toc358025568</vt:lpwstr>
      </vt:variant>
      <vt:variant>
        <vt:i4>2555972</vt:i4>
      </vt:variant>
      <vt:variant>
        <vt:i4>0</vt:i4>
      </vt:variant>
      <vt:variant>
        <vt:i4>0</vt:i4>
      </vt:variant>
      <vt:variant>
        <vt:i4>5</vt:i4>
      </vt:variant>
      <vt:variant>
        <vt:lpwstr>mailto:AERInquiry@aer.gov.au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vulam</dc:creator>
  <cp:keywords/>
  <dc:description/>
  <cp:lastModifiedBy>Pdunn</cp:lastModifiedBy>
  <cp:revision>3</cp:revision>
  <cp:lastPrinted>2013-07-19T04:36:00Z</cp:lastPrinted>
  <dcterms:created xsi:type="dcterms:W3CDTF">2013-08-28T07:40:00Z</dcterms:created>
  <dcterms:modified xsi:type="dcterms:W3CDTF">2013-08-28T07:40:00Z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8017943</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\\cbrvpwxfs01\home$\Pdunn\3.3.1 – attachment 1– network (D2013-00094889).docx</vt:lpwstr>
  </property>
</Properties>
</file>