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2C2" w:rsidRDefault="00EE72C2" w:rsidP="00EE72C2">
      <w:bookmarkStart w:id="0" w:name="_Toc387916729"/>
      <w:bookmarkStart w:id="1" w:name="_GoBack"/>
      <w:bookmarkEnd w:id="1"/>
      <w:r w:rsidRPr="00D3259C">
        <w:rPr>
          <w:noProof/>
          <w:lang w:eastAsia="en-AU"/>
        </w:rPr>
        <w:drawing>
          <wp:anchor distT="0" distB="0" distL="114300" distR="114300" simplePos="0" relativeHeight="251659264" behindDoc="1" locked="0" layoutInCell="1" allowOverlap="1" wp14:anchorId="2BD99B09" wp14:editId="561D6BDB">
            <wp:simplePos x="0" y="0"/>
            <wp:positionH relativeFrom="column">
              <wp:posOffset>-909985</wp:posOffset>
            </wp:positionH>
            <wp:positionV relativeFrom="paragraph">
              <wp:posOffset>-1001099</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EE72C2" w:rsidRDefault="00EE72C2" w:rsidP="00EE72C2"/>
    <w:p w:rsidR="00EE72C2" w:rsidRDefault="00EE72C2" w:rsidP="00EE72C2"/>
    <w:p w:rsidR="00EE72C2" w:rsidRDefault="00EE72C2" w:rsidP="00EE72C2"/>
    <w:p w:rsidR="00EE72C2" w:rsidRDefault="00EE72C2" w:rsidP="00EE72C2"/>
    <w:p w:rsidR="00EE72C2" w:rsidRPr="000A33B4" w:rsidRDefault="00EE72C2" w:rsidP="00EE72C2">
      <w:pPr>
        <w:pStyle w:val="AERtitle1"/>
      </w:pPr>
    </w:p>
    <w:p w:rsidR="00EE72C2" w:rsidRPr="000A33B4" w:rsidRDefault="00EE72C2" w:rsidP="00EE72C2">
      <w:pPr>
        <w:pStyle w:val="AERtitle1"/>
      </w:pPr>
    </w:p>
    <w:p w:rsidR="00EE72C2" w:rsidRPr="000A33B4" w:rsidRDefault="00EE72C2" w:rsidP="00EE72C2">
      <w:pPr>
        <w:pStyle w:val="AERtitle1"/>
      </w:pPr>
    </w:p>
    <w:p w:rsidR="00EE72C2" w:rsidRPr="000A33B4" w:rsidRDefault="00EE72C2" w:rsidP="00EE72C2">
      <w:pPr>
        <w:pStyle w:val="AERtitle1"/>
      </w:pPr>
      <w:r>
        <w:t>Draft Decision</w:t>
      </w:r>
    </w:p>
    <w:p w:rsidR="00EE72C2" w:rsidRDefault="00EE72C2" w:rsidP="00EE72C2">
      <w:pPr>
        <w:pStyle w:val="AERtitle1"/>
      </w:pPr>
      <w:r>
        <w:t>ActewAGL distribution determination</w:t>
      </w:r>
    </w:p>
    <w:p w:rsidR="00EE72C2" w:rsidRPr="000A33B4" w:rsidRDefault="00EE72C2" w:rsidP="00EE72C2">
      <w:pPr>
        <w:pStyle w:val="AERtitle1"/>
      </w:pPr>
      <w:r>
        <w:t>2015–16</w:t>
      </w:r>
      <w:r w:rsidRPr="000A33B4">
        <w:t xml:space="preserve"> to 201</w:t>
      </w:r>
      <w:r>
        <w:t>8–</w:t>
      </w:r>
      <w:r w:rsidRPr="000A33B4">
        <w:t>1</w:t>
      </w:r>
      <w:r>
        <w:t>9</w:t>
      </w:r>
    </w:p>
    <w:p w:rsidR="00EE72C2" w:rsidRPr="000A33B4" w:rsidRDefault="00EE72C2" w:rsidP="00EE72C2">
      <w:pPr>
        <w:pStyle w:val="AERtitle1"/>
      </w:pPr>
      <w:r>
        <w:t>Attachment 14: Control mechanisms</w:t>
      </w:r>
    </w:p>
    <w:p w:rsidR="00EE72C2" w:rsidRPr="000A33B4" w:rsidRDefault="00EE72C2" w:rsidP="00EE72C2">
      <w:pPr>
        <w:pStyle w:val="AERbodytext"/>
      </w:pPr>
    </w:p>
    <w:p w:rsidR="00EE72C2" w:rsidRPr="000A33B4" w:rsidRDefault="00EE72C2" w:rsidP="00EE72C2">
      <w:pPr>
        <w:pStyle w:val="AERtitle2"/>
      </w:pPr>
      <w:r w:rsidRPr="000A33B4">
        <w:t>November 2014</w:t>
      </w:r>
    </w:p>
    <w:p w:rsidR="00EE72C2" w:rsidRPr="000A33B4" w:rsidRDefault="00EE72C2" w:rsidP="00EE72C2">
      <w:pPr>
        <w:pStyle w:val="AERbodytext"/>
      </w:pPr>
    </w:p>
    <w:p w:rsidR="00EE72C2" w:rsidRPr="000A33B4" w:rsidRDefault="00EE72C2" w:rsidP="00EE72C2">
      <w:pPr>
        <w:pStyle w:val="AERbodytext"/>
      </w:pPr>
    </w:p>
    <w:p w:rsidR="00EE72C2" w:rsidRPr="000A33B4" w:rsidRDefault="00EE72C2" w:rsidP="00EE72C2">
      <w:pPr>
        <w:pStyle w:val="AERbodytext"/>
      </w:pPr>
      <w:r w:rsidRPr="000A33B4">
        <w:br w:type="page"/>
      </w:r>
    </w:p>
    <w:p w:rsidR="00EE72C2" w:rsidRPr="000A33B4" w:rsidRDefault="00EE72C2" w:rsidP="00EE72C2">
      <w:pPr>
        <w:pStyle w:val="AERbodytextnospace"/>
        <w:rPr>
          <w:rStyle w:val="AERtextbold"/>
        </w:rPr>
      </w:pPr>
      <w:r w:rsidRPr="000A33B4">
        <w:rPr>
          <w:rStyle w:val="AERtextbold"/>
        </w:rPr>
        <w:lastRenderedPageBreak/>
        <w:t>© Commonwealth of Australia 2014</w:t>
      </w:r>
    </w:p>
    <w:p w:rsidR="00EE72C2" w:rsidRPr="000A33B4" w:rsidRDefault="00EE72C2" w:rsidP="00EE72C2">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EE72C2" w:rsidRPr="000A33B4" w:rsidRDefault="00EE72C2" w:rsidP="00EE72C2">
      <w:pPr>
        <w:pStyle w:val="AERbulletlistfirststyle"/>
      </w:pPr>
      <w:r w:rsidRPr="000A33B4">
        <w:t>the Commonwealth Coat of Arms</w:t>
      </w:r>
    </w:p>
    <w:p w:rsidR="00EE72C2" w:rsidRDefault="00EE72C2" w:rsidP="00EE72C2">
      <w:pPr>
        <w:pStyle w:val="AERbulletlistfirststyle"/>
      </w:pPr>
      <w:r w:rsidRPr="000A33B4">
        <w:t>the ACCC and AER logos</w:t>
      </w:r>
    </w:p>
    <w:p w:rsidR="00EE72C2" w:rsidRPr="000A33B4" w:rsidRDefault="00EE72C2" w:rsidP="00EE72C2">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EE72C2" w:rsidRPr="000A33B4" w:rsidRDefault="00EE72C2" w:rsidP="00EE72C2">
      <w:pPr>
        <w:pStyle w:val="AERbodytext"/>
      </w:pPr>
      <w:r w:rsidRPr="000A33B4">
        <w:t>The details of the relevant licence conditions are available on the Creative Commons website, as is the full legal code for the CC BY 3.0 AU licence.</w:t>
      </w:r>
    </w:p>
    <w:p w:rsidR="00EE72C2" w:rsidRPr="000A33B4" w:rsidRDefault="00EE72C2" w:rsidP="00EE72C2">
      <w:pPr>
        <w:pStyle w:val="AERbodytext"/>
      </w:pPr>
      <w:r w:rsidRPr="000A33B4">
        <w:t>Requests and inquiries concerning reproduction and rights should be addressed to the Director, Corporate Communications, ACCC, GPO Box 3131, Canberra ACT 2601, or</w:t>
      </w:r>
    </w:p>
    <w:p w:rsidR="00EE72C2" w:rsidRPr="000A33B4" w:rsidRDefault="00EE72C2" w:rsidP="00EE72C2">
      <w:pPr>
        <w:pStyle w:val="AERbodytext"/>
      </w:pPr>
      <w:r w:rsidRPr="000A33B4">
        <w:t xml:space="preserve"> </w:t>
      </w:r>
      <w:r>
        <w:tab/>
      </w:r>
      <w:hyperlink r:id="rId9" w:history="1">
        <w:r w:rsidRPr="000A33B4">
          <w:t>publishing.unit@accc.gov.au</w:t>
        </w:r>
      </w:hyperlink>
      <w:r w:rsidRPr="000A33B4">
        <w:t xml:space="preserve"> .</w:t>
      </w:r>
    </w:p>
    <w:p w:rsidR="00EE72C2" w:rsidRPr="000A33B4" w:rsidRDefault="00EE72C2" w:rsidP="00EE72C2">
      <w:pPr>
        <w:pStyle w:val="AERbodytext"/>
      </w:pPr>
      <w:r w:rsidRPr="000A33B4">
        <w:t>Inquiries about this document should be addressed to:</w:t>
      </w:r>
    </w:p>
    <w:p w:rsidR="00EE72C2" w:rsidRPr="000A33B4" w:rsidRDefault="00EE72C2" w:rsidP="00EE72C2">
      <w:pPr>
        <w:pStyle w:val="AERbodytextnospace"/>
      </w:pPr>
      <w:r w:rsidRPr="000A33B4">
        <w:t>Australian Energy Regulator</w:t>
      </w:r>
    </w:p>
    <w:p w:rsidR="00EE72C2" w:rsidRPr="000A33B4" w:rsidRDefault="00EE72C2" w:rsidP="00EE72C2">
      <w:pPr>
        <w:pStyle w:val="AERbodytextnospace"/>
      </w:pPr>
      <w:r w:rsidRPr="000A33B4">
        <w:t>GPO Box 520</w:t>
      </w:r>
    </w:p>
    <w:p w:rsidR="00EE72C2" w:rsidRPr="000A33B4" w:rsidRDefault="00EE72C2" w:rsidP="00EE72C2">
      <w:pPr>
        <w:pStyle w:val="AERbodytextnospace"/>
      </w:pPr>
      <w:r w:rsidRPr="000A33B4">
        <w:t>Melbourne  Vic  3001</w:t>
      </w:r>
    </w:p>
    <w:p w:rsidR="00EE72C2" w:rsidRPr="000A33B4" w:rsidRDefault="00EE72C2" w:rsidP="00EE72C2">
      <w:pPr>
        <w:pStyle w:val="AERbodytextnospace"/>
      </w:pPr>
      <w:r w:rsidRPr="000A33B4">
        <w:t>Tel: (03) 9290 1444</w:t>
      </w:r>
    </w:p>
    <w:p w:rsidR="00EE72C2" w:rsidRPr="000A33B4" w:rsidRDefault="00EE72C2" w:rsidP="00EE72C2">
      <w:pPr>
        <w:pStyle w:val="AERbodytextnospace"/>
      </w:pPr>
      <w:r w:rsidRPr="000A33B4">
        <w:t>Fax: (03) 9290 1457</w:t>
      </w:r>
    </w:p>
    <w:p w:rsidR="00EE72C2" w:rsidRPr="000A33B4" w:rsidRDefault="00EE72C2" w:rsidP="00EE72C2">
      <w:pPr>
        <w:pStyle w:val="AERbodytextnospace"/>
      </w:pPr>
      <w:r w:rsidRPr="000A33B4">
        <w:t xml:space="preserve">Email: </w:t>
      </w:r>
      <w:hyperlink r:id="rId10" w:history="1">
        <w:r w:rsidRPr="000A33B4">
          <w:rPr>
            <w:rStyle w:val="Hyperlink"/>
          </w:rPr>
          <w:t>AERInquiry@aer.gov.au</w:t>
        </w:r>
      </w:hyperlink>
    </w:p>
    <w:p w:rsidR="00EE72C2" w:rsidRPr="000A33B4" w:rsidRDefault="00EE72C2" w:rsidP="00EE72C2">
      <w:pPr>
        <w:pStyle w:val="AERbodytext"/>
      </w:pPr>
    </w:p>
    <w:p w:rsidR="00EE72C2" w:rsidRDefault="00EE72C2" w:rsidP="00EE72C2">
      <w:pPr>
        <w:pStyle w:val="AERbodytext"/>
        <w:rPr>
          <w:rStyle w:val="AERbody"/>
        </w:rPr>
      </w:pPr>
      <w:r w:rsidRPr="000A33B4">
        <w:t>AER reference</w:t>
      </w:r>
      <w:r w:rsidRPr="000A33B4">
        <w:rPr>
          <w:rStyle w:val="AERbody"/>
        </w:rPr>
        <w:t xml:space="preserve">:  </w:t>
      </w:r>
      <w:r>
        <w:rPr>
          <w:rStyle w:val="AERbody"/>
        </w:rPr>
        <w:t>52254</w:t>
      </w:r>
    </w:p>
    <w:p w:rsidR="00EE72C2" w:rsidRDefault="00EE72C2" w:rsidP="00EE72C2">
      <w:pPr>
        <w:pStyle w:val="UnnumberedHeading"/>
      </w:pPr>
      <w:bookmarkStart w:id="2" w:name="_Toc404255894"/>
      <w:r>
        <w:lastRenderedPageBreak/>
        <w:t>Note</w:t>
      </w:r>
      <w:bookmarkEnd w:id="2"/>
    </w:p>
    <w:p w:rsidR="00EE72C2" w:rsidRDefault="00EE72C2" w:rsidP="00EE72C2">
      <w:pPr>
        <w:pStyle w:val="AERbodytext"/>
      </w:pPr>
      <w:r>
        <w:t>This attachment forms part of the AER's draft decision on ActewAGL’s 2015–19 distribution determination. It should be read with other parts of the draft decision.</w:t>
      </w:r>
    </w:p>
    <w:p w:rsidR="00EE72C2" w:rsidRDefault="00EE72C2" w:rsidP="00EE72C2">
      <w:pPr>
        <w:pStyle w:val="AERbodytext"/>
      </w:pPr>
      <w:r>
        <w:t>The draft decision includes the following documents:</w:t>
      </w:r>
    </w:p>
    <w:p w:rsidR="00EE72C2" w:rsidRDefault="00EE72C2" w:rsidP="00EE72C2">
      <w:pPr>
        <w:pStyle w:val="AERbodytext"/>
      </w:pPr>
      <w:r>
        <w:t>Overview</w:t>
      </w:r>
    </w:p>
    <w:p w:rsidR="00EE72C2" w:rsidRDefault="00EE72C2" w:rsidP="00EE72C2">
      <w:pPr>
        <w:pStyle w:val="AERbodytext"/>
      </w:pPr>
      <w:r>
        <w:t>Attachment 1 – Annual revenue requirement</w:t>
      </w:r>
    </w:p>
    <w:p w:rsidR="00EE72C2" w:rsidRDefault="00EE72C2" w:rsidP="00EE72C2">
      <w:pPr>
        <w:pStyle w:val="AERbodytext"/>
      </w:pPr>
      <w:r>
        <w:t>Attachment 2 – Regulatory asset base</w:t>
      </w:r>
    </w:p>
    <w:p w:rsidR="00EE72C2" w:rsidRDefault="00EE72C2" w:rsidP="00EE72C2">
      <w:pPr>
        <w:pStyle w:val="AERbodytext"/>
      </w:pPr>
      <w:r>
        <w:t>Attachment 3 – Rate of return</w:t>
      </w:r>
    </w:p>
    <w:p w:rsidR="00EE72C2" w:rsidRDefault="00EE72C2" w:rsidP="00EE72C2">
      <w:pPr>
        <w:pStyle w:val="AERbodytext"/>
      </w:pPr>
      <w:r>
        <w:t>Attachment 4 – Value of imputation credits</w:t>
      </w:r>
    </w:p>
    <w:p w:rsidR="00EE72C2" w:rsidRDefault="00EE72C2" w:rsidP="00EE72C2">
      <w:pPr>
        <w:pStyle w:val="AERbodytext"/>
      </w:pPr>
      <w:r>
        <w:t>Attachment 5 – Regulatory depreciation</w:t>
      </w:r>
    </w:p>
    <w:p w:rsidR="00EE72C2" w:rsidRDefault="00EE72C2" w:rsidP="00EE72C2">
      <w:pPr>
        <w:pStyle w:val="AERbodytext"/>
      </w:pPr>
      <w:r>
        <w:t xml:space="preserve">Attachment 6 – Capital expenditure </w:t>
      </w:r>
    </w:p>
    <w:p w:rsidR="00EE72C2" w:rsidRDefault="00EE72C2" w:rsidP="00EE72C2">
      <w:pPr>
        <w:pStyle w:val="AERbodytext"/>
      </w:pPr>
      <w:r>
        <w:t>Attachment 7 – Operating expenditure</w:t>
      </w:r>
    </w:p>
    <w:p w:rsidR="00EE72C2" w:rsidRDefault="00EE72C2" w:rsidP="00EE72C2">
      <w:pPr>
        <w:pStyle w:val="AERbodytext"/>
      </w:pPr>
      <w:r>
        <w:t>Attachment 8 – Corporate income tax</w:t>
      </w:r>
    </w:p>
    <w:p w:rsidR="00EE72C2" w:rsidRDefault="00EE72C2" w:rsidP="00EE72C2">
      <w:pPr>
        <w:pStyle w:val="AERbodytext"/>
      </w:pPr>
      <w:r>
        <w:t>Attachment 9 – Efficiency benefit sharing scheme</w:t>
      </w:r>
    </w:p>
    <w:p w:rsidR="00EE72C2" w:rsidRDefault="00EE72C2" w:rsidP="00EE72C2">
      <w:pPr>
        <w:pStyle w:val="AERbodytext"/>
      </w:pPr>
      <w:r>
        <w:t>Attachment 10 – Capital expenditure sharing scheme</w:t>
      </w:r>
    </w:p>
    <w:p w:rsidR="00EE72C2" w:rsidRDefault="00EE72C2" w:rsidP="00EE72C2">
      <w:pPr>
        <w:pStyle w:val="AERbodytext"/>
      </w:pPr>
      <w:r>
        <w:t>Attachment 11 – Service target performance incentive scheme</w:t>
      </w:r>
    </w:p>
    <w:p w:rsidR="00EE72C2" w:rsidRDefault="00EE72C2" w:rsidP="00EE72C2">
      <w:pPr>
        <w:pStyle w:val="AERbodytext"/>
      </w:pPr>
      <w:r>
        <w:t>Attachment 12 – Demand management incentive scheme</w:t>
      </w:r>
    </w:p>
    <w:p w:rsidR="00EE72C2" w:rsidRDefault="00EE72C2" w:rsidP="00EE72C2">
      <w:pPr>
        <w:pStyle w:val="AERbodytext"/>
      </w:pPr>
      <w:r>
        <w:t>Attachment 13 – Classification of services</w:t>
      </w:r>
    </w:p>
    <w:p w:rsidR="00EE72C2" w:rsidRDefault="00EE72C2" w:rsidP="00EE72C2">
      <w:pPr>
        <w:pStyle w:val="AERbodytext"/>
      </w:pPr>
      <w:r>
        <w:t>Attachment 14 – Control mechanism</w:t>
      </w:r>
    </w:p>
    <w:p w:rsidR="00EE72C2" w:rsidRDefault="00EE72C2" w:rsidP="00EE72C2">
      <w:pPr>
        <w:pStyle w:val="AERbodytext"/>
      </w:pPr>
      <w:r>
        <w:t>Attachment 15 – Pass through events</w:t>
      </w:r>
    </w:p>
    <w:p w:rsidR="00EE72C2" w:rsidRDefault="00EE72C2" w:rsidP="00EE72C2">
      <w:pPr>
        <w:pStyle w:val="AERbodytext"/>
      </w:pPr>
      <w:r>
        <w:t>Attachment 16 – Alternative control services</w:t>
      </w:r>
    </w:p>
    <w:p w:rsidR="00EE72C2" w:rsidRDefault="00EE72C2" w:rsidP="00EE72C2">
      <w:pPr>
        <w:pStyle w:val="AERbodytext"/>
      </w:pPr>
      <w:r>
        <w:t>Attachment 17 – Negotiated services framework and criteria</w:t>
      </w:r>
    </w:p>
    <w:p w:rsidR="00EE72C2" w:rsidRPr="008B6C33" w:rsidRDefault="00EE72C2" w:rsidP="00EE72C2">
      <w:pPr>
        <w:pStyle w:val="AERbodytext"/>
      </w:pPr>
      <w:r>
        <w:t>Attachment 18 – Connection methodology</w:t>
      </w:r>
    </w:p>
    <w:p w:rsidR="00EE72C2" w:rsidRPr="000A33B4" w:rsidRDefault="00EE72C2" w:rsidP="00EE72C2">
      <w:pPr>
        <w:pStyle w:val="AERbodytext"/>
      </w:pPr>
      <w:r>
        <w:t>Attachment 19 – Pricing methodology</w:t>
      </w:r>
    </w:p>
    <w:p w:rsidR="00EE72C2" w:rsidRPr="00223CC4" w:rsidRDefault="00EE72C2" w:rsidP="00EE72C2">
      <w:r>
        <w:br w:type="page"/>
      </w:r>
    </w:p>
    <w:p w:rsidR="00EE72C2" w:rsidRDefault="00EE72C2" w:rsidP="00EE72C2">
      <w:pPr>
        <w:pStyle w:val="UnnumberedHeading"/>
      </w:pPr>
      <w:bookmarkStart w:id="3" w:name="_Toc404255895"/>
      <w:r>
        <w:lastRenderedPageBreak/>
        <w:t>Contents</w:t>
      </w:r>
      <w:bookmarkEnd w:id="3"/>
    </w:p>
    <w:sdt>
      <w:sdtPr>
        <w:rPr>
          <w:b w:val="0"/>
          <w:bCs w:val="0"/>
        </w:rPr>
        <w:id w:val="1388831217"/>
        <w:docPartObj>
          <w:docPartGallery w:val="Table of Contents"/>
          <w:docPartUnique/>
        </w:docPartObj>
      </w:sdtPr>
      <w:sdtEndPr>
        <w:rPr>
          <w:b/>
          <w:bCs/>
        </w:rPr>
      </w:sdtEndPr>
      <w:sdtContent>
        <w:p w:rsidR="00C54017" w:rsidRDefault="00EE72C2">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\t "Heading 7,1,Heading 8,2,Heading 9,3" </w:instrText>
          </w:r>
          <w:r>
            <w:rPr>
              <w:lang w:val="en-US" w:eastAsia="ja-JP"/>
            </w:rPr>
            <w:fldChar w:fldCharType="separate"/>
          </w:r>
          <w:hyperlink w:anchor="_Toc404255894" w:history="1">
            <w:r w:rsidR="00C54017" w:rsidRPr="00F2029E">
              <w:rPr>
                <w:rStyle w:val="Hyperlink"/>
                <w:noProof/>
              </w:rPr>
              <w:t>Note</w:t>
            </w:r>
            <w:r w:rsidR="00C54017">
              <w:rPr>
                <w:noProof/>
                <w:webHidden/>
              </w:rPr>
              <w:tab/>
            </w:r>
            <w:r w:rsidR="00C54017">
              <w:rPr>
                <w:noProof/>
                <w:webHidden/>
              </w:rPr>
              <w:fldChar w:fldCharType="begin"/>
            </w:r>
            <w:r w:rsidR="00C54017">
              <w:rPr>
                <w:noProof/>
                <w:webHidden/>
              </w:rPr>
              <w:instrText xml:space="preserve"> PAGEREF _Toc404255894 \h </w:instrText>
            </w:r>
            <w:r w:rsidR="00C54017">
              <w:rPr>
                <w:noProof/>
                <w:webHidden/>
              </w:rPr>
            </w:r>
            <w:r w:rsidR="00C54017">
              <w:rPr>
                <w:noProof/>
                <w:webHidden/>
              </w:rPr>
              <w:fldChar w:fldCharType="separate"/>
            </w:r>
            <w:r w:rsidR="00C54017">
              <w:rPr>
                <w:noProof/>
                <w:webHidden/>
              </w:rPr>
              <w:t>14-3</w:t>
            </w:r>
            <w:r w:rsidR="00C54017">
              <w:rPr>
                <w:noProof/>
                <w:webHidden/>
              </w:rPr>
              <w:fldChar w:fldCharType="end"/>
            </w:r>
          </w:hyperlink>
        </w:p>
        <w:p w:rsidR="00C54017" w:rsidRDefault="003737A8">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55895" w:history="1">
            <w:r w:rsidR="00C54017" w:rsidRPr="00F2029E">
              <w:rPr>
                <w:rStyle w:val="Hyperlink"/>
                <w:noProof/>
              </w:rPr>
              <w:t>Contents</w:t>
            </w:r>
            <w:r w:rsidR="00C54017">
              <w:rPr>
                <w:noProof/>
                <w:webHidden/>
              </w:rPr>
              <w:tab/>
            </w:r>
            <w:r w:rsidR="00C54017">
              <w:rPr>
                <w:noProof/>
                <w:webHidden/>
              </w:rPr>
              <w:fldChar w:fldCharType="begin"/>
            </w:r>
            <w:r w:rsidR="00C54017">
              <w:rPr>
                <w:noProof/>
                <w:webHidden/>
              </w:rPr>
              <w:instrText xml:space="preserve"> PAGEREF _Toc404255895 \h </w:instrText>
            </w:r>
            <w:r w:rsidR="00C54017">
              <w:rPr>
                <w:noProof/>
                <w:webHidden/>
              </w:rPr>
            </w:r>
            <w:r w:rsidR="00C54017">
              <w:rPr>
                <w:noProof/>
                <w:webHidden/>
              </w:rPr>
              <w:fldChar w:fldCharType="separate"/>
            </w:r>
            <w:r w:rsidR="00C54017">
              <w:rPr>
                <w:noProof/>
                <w:webHidden/>
              </w:rPr>
              <w:t>14-4</w:t>
            </w:r>
            <w:r w:rsidR="00C54017">
              <w:rPr>
                <w:noProof/>
                <w:webHidden/>
              </w:rPr>
              <w:fldChar w:fldCharType="end"/>
            </w:r>
          </w:hyperlink>
        </w:p>
        <w:p w:rsidR="00C54017" w:rsidRDefault="003737A8">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55896" w:history="1">
            <w:r w:rsidR="00C54017" w:rsidRPr="00F2029E">
              <w:rPr>
                <w:rStyle w:val="Hyperlink"/>
                <w:noProof/>
              </w:rPr>
              <w:t>Shortened forms</w:t>
            </w:r>
            <w:r w:rsidR="00C54017">
              <w:rPr>
                <w:noProof/>
                <w:webHidden/>
              </w:rPr>
              <w:tab/>
            </w:r>
            <w:r w:rsidR="00C54017">
              <w:rPr>
                <w:noProof/>
                <w:webHidden/>
              </w:rPr>
              <w:fldChar w:fldCharType="begin"/>
            </w:r>
            <w:r w:rsidR="00C54017">
              <w:rPr>
                <w:noProof/>
                <w:webHidden/>
              </w:rPr>
              <w:instrText xml:space="preserve"> PAGEREF _Toc404255896 \h </w:instrText>
            </w:r>
            <w:r w:rsidR="00C54017">
              <w:rPr>
                <w:noProof/>
                <w:webHidden/>
              </w:rPr>
            </w:r>
            <w:r w:rsidR="00C54017">
              <w:rPr>
                <w:noProof/>
                <w:webHidden/>
              </w:rPr>
              <w:fldChar w:fldCharType="separate"/>
            </w:r>
            <w:r w:rsidR="00C54017">
              <w:rPr>
                <w:noProof/>
                <w:webHidden/>
              </w:rPr>
              <w:t>14-5</w:t>
            </w:r>
            <w:r w:rsidR="00C54017">
              <w:rPr>
                <w:noProof/>
                <w:webHidden/>
              </w:rPr>
              <w:fldChar w:fldCharType="end"/>
            </w:r>
          </w:hyperlink>
        </w:p>
        <w:p w:rsidR="00C54017" w:rsidRDefault="003737A8">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255897" w:history="1">
            <w:r w:rsidR="00C54017" w:rsidRPr="00F2029E">
              <w:rPr>
                <w:rStyle w:val="Hyperlink"/>
                <w:noProof/>
              </w:rPr>
              <w:t>14</w:t>
            </w:r>
            <w:r w:rsidR="00C54017">
              <w:rPr>
                <w:rFonts w:asciiTheme="minorHAnsi" w:eastAsiaTheme="minorEastAsia" w:hAnsiTheme="minorHAnsi" w:cstheme="minorBidi"/>
                <w:b w:val="0"/>
                <w:bCs w:val="0"/>
                <w:noProof/>
                <w:sz w:val="22"/>
                <w:szCs w:val="22"/>
                <w:lang w:eastAsia="en-AU"/>
              </w:rPr>
              <w:tab/>
            </w:r>
            <w:r w:rsidR="00C54017" w:rsidRPr="00F2029E">
              <w:rPr>
                <w:rStyle w:val="Hyperlink"/>
                <w:noProof/>
              </w:rPr>
              <w:t>Control mechanism for standard control services</w:t>
            </w:r>
            <w:r w:rsidR="00C54017">
              <w:rPr>
                <w:noProof/>
                <w:webHidden/>
              </w:rPr>
              <w:tab/>
            </w:r>
            <w:r w:rsidR="00C54017">
              <w:rPr>
                <w:noProof/>
                <w:webHidden/>
              </w:rPr>
              <w:fldChar w:fldCharType="begin"/>
            </w:r>
            <w:r w:rsidR="00C54017">
              <w:rPr>
                <w:noProof/>
                <w:webHidden/>
              </w:rPr>
              <w:instrText xml:space="preserve"> PAGEREF _Toc404255897 \h </w:instrText>
            </w:r>
            <w:r w:rsidR="00C54017">
              <w:rPr>
                <w:noProof/>
                <w:webHidden/>
              </w:rPr>
            </w:r>
            <w:r w:rsidR="00C54017">
              <w:rPr>
                <w:noProof/>
                <w:webHidden/>
              </w:rPr>
              <w:fldChar w:fldCharType="separate"/>
            </w:r>
            <w:r w:rsidR="00C54017">
              <w:rPr>
                <w:noProof/>
                <w:webHidden/>
              </w:rPr>
              <w:t>14-7</w:t>
            </w:r>
            <w:r w:rsidR="00C54017">
              <w:rPr>
                <w:noProof/>
                <w:webHidden/>
              </w:rPr>
              <w:fldChar w:fldCharType="end"/>
            </w:r>
          </w:hyperlink>
        </w:p>
        <w:p w:rsidR="00C54017" w:rsidRDefault="003737A8">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55898" w:history="1">
            <w:r w:rsidR="00C54017" w:rsidRPr="00F2029E">
              <w:rPr>
                <w:rStyle w:val="Hyperlink"/>
                <w:noProof/>
              </w:rPr>
              <w:t>14.1</w:t>
            </w:r>
            <w:r w:rsidR="00C54017">
              <w:rPr>
                <w:rFonts w:asciiTheme="minorHAnsi" w:eastAsiaTheme="minorEastAsia" w:hAnsiTheme="minorHAnsi" w:cstheme="minorBidi"/>
                <w:iCs w:val="0"/>
                <w:noProof/>
                <w:sz w:val="22"/>
                <w:szCs w:val="22"/>
                <w:lang w:eastAsia="en-AU"/>
              </w:rPr>
              <w:tab/>
            </w:r>
            <w:r w:rsidR="00C54017" w:rsidRPr="00F2029E">
              <w:rPr>
                <w:rStyle w:val="Hyperlink"/>
                <w:noProof/>
              </w:rPr>
              <w:t>Draft decision</w:t>
            </w:r>
            <w:r w:rsidR="00C54017">
              <w:rPr>
                <w:noProof/>
                <w:webHidden/>
              </w:rPr>
              <w:tab/>
            </w:r>
            <w:r w:rsidR="00C54017">
              <w:rPr>
                <w:noProof/>
                <w:webHidden/>
              </w:rPr>
              <w:fldChar w:fldCharType="begin"/>
            </w:r>
            <w:r w:rsidR="00C54017">
              <w:rPr>
                <w:noProof/>
                <w:webHidden/>
              </w:rPr>
              <w:instrText xml:space="preserve"> PAGEREF _Toc404255898 \h </w:instrText>
            </w:r>
            <w:r w:rsidR="00C54017">
              <w:rPr>
                <w:noProof/>
                <w:webHidden/>
              </w:rPr>
            </w:r>
            <w:r w:rsidR="00C54017">
              <w:rPr>
                <w:noProof/>
                <w:webHidden/>
              </w:rPr>
              <w:fldChar w:fldCharType="separate"/>
            </w:r>
            <w:r w:rsidR="00C54017">
              <w:rPr>
                <w:noProof/>
                <w:webHidden/>
              </w:rPr>
              <w:t>14-7</w:t>
            </w:r>
            <w:r w:rsidR="00C54017">
              <w:rPr>
                <w:noProof/>
                <w:webHidden/>
              </w:rPr>
              <w:fldChar w:fldCharType="end"/>
            </w:r>
          </w:hyperlink>
        </w:p>
        <w:p w:rsidR="00C54017" w:rsidRDefault="003737A8">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55899" w:history="1">
            <w:r w:rsidR="00C54017" w:rsidRPr="00F2029E">
              <w:rPr>
                <w:rStyle w:val="Hyperlink"/>
                <w:noProof/>
              </w:rPr>
              <w:t>14.2</w:t>
            </w:r>
            <w:r w:rsidR="00C54017">
              <w:rPr>
                <w:rFonts w:asciiTheme="minorHAnsi" w:eastAsiaTheme="minorEastAsia" w:hAnsiTheme="minorHAnsi" w:cstheme="minorBidi"/>
                <w:iCs w:val="0"/>
                <w:noProof/>
                <w:sz w:val="22"/>
                <w:szCs w:val="22"/>
                <w:lang w:eastAsia="en-AU"/>
              </w:rPr>
              <w:tab/>
            </w:r>
            <w:r w:rsidR="00C54017" w:rsidRPr="00F2029E">
              <w:rPr>
                <w:rStyle w:val="Hyperlink"/>
                <w:noProof/>
              </w:rPr>
              <w:t>ActewAGL's proposal</w:t>
            </w:r>
            <w:r w:rsidR="00C54017">
              <w:rPr>
                <w:noProof/>
                <w:webHidden/>
              </w:rPr>
              <w:tab/>
            </w:r>
            <w:r w:rsidR="00C54017">
              <w:rPr>
                <w:noProof/>
                <w:webHidden/>
              </w:rPr>
              <w:fldChar w:fldCharType="begin"/>
            </w:r>
            <w:r w:rsidR="00C54017">
              <w:rPr>
                <w:noProof/>
                <w:webHidden/>
              </w:rPr>
              <w:instrText xml:space="preserve"> PAGEREF _Toc404255899 \h </w:instrText>
            </w:r>
            <w:r w:rsidR="00C54017">
              <w:rPr>
                <w:noProof/>
                <w:webHidden/>
              </w:rPr>
            </w:r>
            <w:r w:rsidR="00C54017">
              <w:rPr>
                <w:noProof/>
                <w:webHidden/>
              </w:rPr>
              <w:fldChar w:fldCharType="separate"/>
            </w:r>
            <w:r w:rsidR="00C54017">
              <w:rPr>
                <w:noProof/>
                <w:webHidden/>
              </w:rPr>
              <w:t>14-8</w:t>
            </w:r>
            <w:r w:rsidR="00C54017">
              <w:rPr>
                <w:noProof/>
                <w:webHidden/>
              </w:rPr>
              <w:fldChar w:fldCharType="end"/>
            </w:r>
          </w:hyperlink>
        </w:p>
        <w:p w:rsidR="00C54017" w:rsidRDefault="003737A8">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55900" w:history="1">
            <w:r w:rsidR="00C54017" w:rsidRPr="00F2029E">
              <w:rPr>
                <w:rStyle w:val="Hyperlink"/>
                <w:noProof/>
              </w:rPr>
              <w:t>14.3</w:t>
            </w:r>
            <w:r w:rsidR="00C54017">
              <w:rPr>
                <w:rFonts w:asciiTheme="minorHAnsi" w:eastAsiaTheme="minorEastAsia" w:hAnsiTheme="minorHAnsi" w:cstheme="minorBidi"/>
                <w:iCs w:val="0"/>
                <w:noProof/>
                <w:sz w:val="22"/>
                <w:szCs w:val="22"/>
                <w:lang w:eastAsia="en-AU"/>
              </w:rPr>
              <w:tab/>
            </w:r>
            <w:r w:rsidR="00C54017" w:rsidRPr="00F2029E">
              <w:rPr>
                <w:rStyle w:val="Hyperlink"/>
                <w:noProof/>
              </w:rPr>
              <w:t>AER's assessment approach</w:t>
            </w:r>
            <w:r w:rsidR="00C54017">
              <w:rPr>
                <w:noProof/>
                <w:webHidden/>
              </w:rPr>
              <w:tab/>
            </w:r>
            <w:r w:rsidR="00C54017">
              <w:rPr>
                <w:noProof/>
                <w:webHidden/>
              </w:rPr>
              <w:fldChar w:fldCharType="begin"/>
            </w:r>
            <w:r w:rsidR="00C54017">
              <w:rPr>
                <w:noProof/>
                <w:webHidden/>
              </w:rPr>
              <w:instrText xml:space="preserve"> PAGEREF _Toc404255900 \h </w:instrText>
            </w:r>
            <w:r w:rsidR="00C54017">
              <w:rPr>
                <w:noProof/>
                <w:webHidden/>
              </w:rPr>
            </w:r>
            <w:r w:rsidR="00C54017">
              <w:rPr>
                <w:noProof/>
                <w:webHidden/>
              </w:rPr>
              <w:fldChar w:fldCharType="separate"/>
            </w:r>
            <w:r w:rsidR="00C54017">
              <w:rPr>
                <w:noProof/>
                <w:webHidden/>
              </w:rPr>
              <w:t>14-8</w:t>
            </w:r>
            <w:r w:rsidR="00C54017">
              <w:rPr>
                <w:noProof/>
                <w:webHidden/>
              </w:rPr>
              <w:fldChar w:fldCharType="end"/>
            </w:r>
          </w:hyperlink>
        </w:p>
        <w:p w:rsidR="00C54017" w:rsidRDefault="003737A8">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55901" w:history="1">
            <w:r w:rsidR="00C54017" w:rsidRPr="00F2029E">
              <w:rPr>
                <w:rStyle w:val="Hyperlink"/>
                <w:noProof/>
              </w:rPr>
              <w:t>14.4</w:t>
            </w:r>
            <w:r w:rsidR="00C54017">
              <w:rPr>
                <w:rFonts w:asciiTheme="minorHAnsi" w:eastAsiaTheme="minorEastAsia" w:hAnsiTheme="minorHAnsi" w:cstheme="minorBidi"/>
                <w:iCs w:val="0"/>
                <w:noProof/>
                <w:sz w:val="22"/>
                <w:szCs w:val="22"/>
                <w:lang w:eastAsia="en-AU"/>
              </w:rPr>
              <w:tab/>
            </w:r>
            <w:r w:rsidR="00C54017" w:rsidRPr="00F2029E">
              <w:rPr>
                <w:rStyle w:val="Hyperlink"/>
                <w:noProof/>
              </w:rPr>
              <w:t>Reasons for draft decision</w:t>
            </w:r>
            <w:r w:rsidR="00C54017">
              <w:rPr>
                <w:noProof/>
                <w:webHidden/>
              </w:rPr>
              <w:tab/>
            </w:r>
            <w:r w:rsidR="00C54017">
              <w:rPr>
                <w:noProof/>
                <w:webHidden/>
              </w:rPr>
              <w:fldChar w:fldCharType="begin"/>
            </w:r>
            <w:r w:rsidR="00C54017">
              <w:rPr>
                <w:noProof/>
                <w:webHidden/>
              </w:rPr>
              <w:instrText xml:space="preserve"> PAGEREF _Toc404255901 \h </w:instrText>
            </w:r>
            <w:r w:rsidR="00C54017">
              <w:rPr>
                <w:noProof/>
                <w:webHidden/>
              </w:rPr>
            </w:r>
            <w:r w:rsidR="00C54017">
              <w:rPr>
                <w:noProof/>
                <w:webHidden/>
              </w:rPr>
              <w:fldChar w:fldCharType="separate"/>
            </w:r>
            <w:r w:rsidR="00C54017">
              <w:rPr>
                <w:noProof/>
                <w:webHidden/>
              </w:rPr>
              <w:t>14-8</w:t>
            </w:r>
            <w:r w:rsidR="00C54017">
              <w:rPr>
                <w:noProof/>
                <w:webHidden/>
              </w:rPr>
              <w:fldChar w:fldCharType="end"/>
            </w:r>
          </w:hyperlink>
        </w:p>
        <w:p w:rsidR="00C54017" w:rsidRDefault="003737A8">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55902" w:history="1">
            <w:r w:rsidR="00C54017" w:rsidRPr="00F2029E">
              <w:rPr>
                <w:rStyle w:val="Hyperlink"/>
                <w:noProof/>
              </w:rPr>
              <w:t>14.5</w:t>
            </w:r>
            <w:r w:rsidR="00C54017">
              <w:rPr>
                <w:rFonts w:asciiTheme="minorHAnsi" w:eastAsiaTheme="minorEastAsia" w:hAnsiTheme="minorHAnsi" w:cstheme="minorBidi"/>
                <w:iCs w:val="0"/>
                <w:noProof/>
                <w:sz w:val="22"/>
                <w:szCs w:val="22"/>
                <w:lang w:eastAsia="en-AU"/>
              </w:rPr>
              <w:tab/>
            </w:r>
            <w:r w:rsidR="00C54017" w:rsidRPr="00F2029E">
              <w:rPr>
                <w:rStyle w:val="Hyperlink"/>
                <w:noProof/>
              </w:rPr>
              <w:t>Application of the revenue cap</w:t>
            </w:r>
            <w:r w:rsidR="00C54017">
              <w:rPr>
                <w:noProof/>
                <w:webHidden/>
              </w:rPr>
              <w:tab/>
            </w:r>
            <w:r w:rsidR="00C54017">
              <w:rPr>
                <w:noProof/>
                <w:webHidden/>
              </w:rPr>
              <w:fldChar w:fldCharType="begin"/>
            </w:r>
            <w:r w:rsidR="00C54017">
              <w:rPr>
                <w:noProof/>
                <w:webHidden/>
              </w:rPr>
              <w:instrText xml:space="preserve"> PAGEREF _Toc404255902 \h </w:instrText>
            </w:r>
            <w:r w:rsidR="00C54017">
              <w:rPr>
                <w:noProof/>
                <w:webHidden/>
              </w:rPr>
            </w:r>
            <w:r w:rsidR="00C54017">
              <w:rPr>
                <w:noProof/>
                <w:webHidden/>
              </w:rPr>
              <w:fldChar w:fldCharType="separate"/>
            </w:r>
            <w:r w:rsidR="00C54017">
              <w:rPr>
                <w:noProof/>
                <w:webHidden/>
              </w:rPr>
              <w:t>14-8</w:t>
            </w:r>
            <w:r w:rsidR="00C54017">
              <w:rPr>
                <w:noProof/>
                <w:webHidden/>
              </w:rPr>
              <w:fldChar w:fldCharType="end"/>
            </w:r>
          </w:hyperlink>
        </w:p>
        <w:p w:rsidR="00C54017" w:rsidRDefault="003737A8">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55903" w:history="1">
            <w:r w:rsidR="00C54017" w:rsidRPr="00F2029E">
              <w:rPr>
                <w:rStyle w:val="Hyperlink"/>
                <w:noProof/>
              </w:rPr>
              <w:t>14.5.1</w:t>
            </w:r>
            <w:r w:rsidR="00C54017">
              <w:rPr>
                <w:rFonts w:asciiTheme="minorHAnsi" w:eastAsiaTheme="minorEastAsia" w:hAnsiTheme="minorHAnsi" w:cstheme="minorBidi"/>
                <w:noProof/>
                <w:sz w:val="22"/>
                <w:szCs w:val="22"/>
                <w:lang w:eastAsia="en-AU"/>
              </w:rPr>
              <w:tab/>
            </w:r>
            <w:r w:rsidR="00C54017" w:rsidRPr="00F2029E">
              <w:rPr>
                <w:rStyle w:val="Hyperlink"/>
                <w:noProof/>
              </w:rPr>
              <w:t>Under and over recovery mechanism for DUoS</w:t>
            </w:r>
            <w:r w:rsidR="00C54017">
              <w:rPr>
                <w:noProof/>
                <w:webHidden/>
              </w:rPr>
              <w:tab/>
            </w:r>
            <w:r w:rsidR="00C54017">
              <w:rPr>
                <w:noProof/>
                <w:webHidden/>
              </w:rPr>
              <w:fldChar w:fldCharType="begin"/>
            </w:r>
            <w:r w:rsidR="00C54017">
              <w:rPr>
                <w:noProof/>
                <w:webHidden/>
              </w:rPr>
              <w:instrText xml:space="preserve"> PAGEREF _Toc404255903 \h </w:instrText>
            </w:r>
            <w:r w:rsidR="00C54017">
              <w:rPr>
                <w:noProof/>
                <w:webHidden/>
              </w:rPr>
            </w:r>
            <w:r w:rsidR="00C54017">
              <w:rPr>
                <w:noProof/>
                <w:webHidden/>
              </w:rPr>
              <w:fldChar w:fldCharType="separate"/>
            </w:r>
            <w:r w:rsidR="00C54017">
              <w:rPr>
                <w:noProof/>
                <w:webHidden/>
              </w:rPr>
              <w:t>14-10</w:t>
            </w:r>
            <w:r w:rsidR="00C54017">
              <w:rPr>
                <w:noProof/>
                <w:webHidden/>
              </w:rPr>
              <w:fldChar w:fldCharType="end"/>
            </w:r>
          </w:hyperlink>
        </w:p>
        <w:p w:rsidR="00C54017" w:rsidRDefault="003737A8">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55904" w:history="1">
            <w:r w:rsidR="00C54017" w:rsidRPr="00F2029E">
              <w:rPr>
                <w:rStyle w:val="Hyperlink"/>
                <w:noProof/>
              </w:rPr>
              <w:t>14.5.2</w:t>
            </w:r>
            <w:r w:rsidR="00C54017">
              <w:rPr>
                <w:rFonts w:asciiTheme="minorHAnsi" w:eastAsiaTheme="minorEastAsia" w:hAnsiTheme="minorHAnsi" w:cstheme="minorBidi"/>
                <w:noProof/>
                <w:sz w:val="22"/>
                <w:szCs w:val="22"/>
                <w:lang w:eastAsia="en-AU"/>
              </w:rPr>
              <w:tab/>
            </w:r>
            <w:r w:rsidR="00C54017" w:rsidRPr="00F2029E">
              <w:rPr>
                <w:rStyle w:val="Hyperlink"/>
                <w:noProof/>
              </w:rPr>
              <w:t>Under and over recovery mechanism for TUoS</w:t>
            </w:r>
            <w:r w:rsidR="00C54017">
              <w:rPr>
                <w:noProof/>
                <w:webHidden/>
              </w:rPr>
              <w:tab/>
            </w:r>
            <w:r w:rsidR="00C54017">
              <w:rPr>
                <w:noProof/>
                <w:webHidden/>
              </w:rPr>
              <w:fldChar w:fldCharType="begin"/>
            </w:r>
            <w:r w:rsidR="00C54017">
              <w:rPr>
                <w:noProof/>
                <w:webHidden/>
              </w:rPr>
              <w:instrText xml:space="preserve"> PAGEREF _Toc404255904 \h </w:instrText>
            </w:r>
            <w:r w:rsidR="00C54017">
              <w:rPr>
                <w:noProof/>
                <w:webHidden/>
              </w:rPr>
            </w:r>
            <w:r w:rsidR="00C54017">
              <w:rPr>
                <w:noProof/>
                <w:webHidden/>
              </w:rPr>
              <w:fldChar w:fldCharType="separate"/>
            </w:r>
            <w:r w:rsidR="00C54017">
              <w:rPr>
                <w:noProof/>
                <w:webHidden/>
              </w:rPr>
              <w:t>14-11</w:t>
            </w:r>
            <w:r w:rsidR="00C54017">
              <w:rPr>
                <w:noProof/>
                <w:webHidden/>
              </w:rPr>
              <w:fldChar w:fldCharType="end"/>
            </w:r>
          </w:hyperlink>
        </w:p>
        <w:p w:rsidR="00C54017" w:rsidRDefault="003737A8">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55905" w:history="1">
            <w:r w:rsidR="00C54017" w:rsidRPr="00F2029E">
              <w:rPr>
                <w:rStyle w:val="Hyperlink"/>
                <w:noProof/>
              </w:rPr>
              <w:t>14.5.3</w:t>
            </w:r>
            <w:r w:rsidR="00C54017">
              <w:rPr>
                <w:rFonts w:asciiTheme="minorHAnsi" w:eastAsiaTheme="minorEastAsia" w:hAnsiTheme="minorHAnsi" w:cstheme="minorBidi"/>
                <w:noProof/>
                <w:sz w:val="22"/>
                <w:szCs w:val="22"/>
                <w:lang w:eastAsia="en-AU"/>
              </w:rPr>
              <w:tab/>
            </w:r>
            <w:r w:rsidR="00C54017" w:rsidRPr="00F2029E">
              <w:rPr>
                <w:rStyle w:val="Hyperlink"/>
                <w:noProof/>
              </w:rPr>
              <w:t>Reporting on jurisdictional scheme amounts</w:t>
            </w:r>
            <w:r w:rsidR="00C54017">
              <w:rPr>
                <w:noProof/>
                <w:webHidden/>
              </w:rPr>
              <w:tab/>
            </w:r>
            <w:r w:rsidR="00C54017">
              <w:rPr>
                <w:noProof/>
                <w:webHidden/>
              </w:rPr>
              <w:fldChar w:fldCharType="begin"/>
            </w:r>
            <w:r w:rsidR="00C54017">
              <w:rPr>
                <w:noProof/>
                <w:webHidden/>
              </w:rPr>
              <w:instrText xml:space="preserve"> PAGEREF _Toc404255905 \h </w:instrText>
            </w:r>
            <w:r w:rsidR="00C54017">
              <w:rPr>
                <w:noProof/>
                <w:webHidden/>
              </w:rPr>
            </w:r>
            <w:r w:rsidR="00C54017">
              <w:rPr>
                <w:noProof/>
                <w:webHidden/>
              </w:rPr>
              <w:fldChar w:fldCharType="separate"/>
            </w:r>
            <w:r w:rsidR="00C54017">
              <w:rPr>
                <w:noProof/>
                <w:webHidden/>
              </w:rPr>
              <w:t>14-11</w:t>
            </w:r>
            <w:r w:rsidR="00C54017">
              <w:rPr>
                <w:noProof/>
                <w:webHidden/>
              </w:rPr>
              <w:fldChar w:fldCharType="end"/>
            </w:r>
          </w:hyperlink>
        </w:p>
        <w:p w:rsidR="00C54017" w:rsidRDefault="003737A8">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55906" w:history="1">
            <w:r w:rsidR="00C54017" w:rsidRPr="00F2029E">
              <w:rPr>
                <w:rStyle w:val="Hyperlink"/>
                <w:noProof/>
              </w:rPr>
              <w:t>14.5.4</w:t>
            </w:r>
            <w:r w:rsidR="00C54017">
              <w:rPr>
                <w:rFonts w:asciiTheme="minorHAnsi" w:eastAsiaTheme="minorEastAsia" w:hAnsiTheme="minorHAnsi" w:cstheme="minorBidi"/>
                <w:noProof/>
                <w:sz w:val="22"/>
                <w:szCs w:val="22"/>
                <w:lang w:eastAsia="en-AU"/>
              </w:rPr>
              <w:tab/>
            </w:r>
            <w:r w:rsidR="00C54017" w:rsidRPr="00F2029E">
              <w:rPr>
                <w:rStyle w:val="Hyperlink"/>
                <w:noProof/>
              </w:rPr>
              <w:t>Side Constraints</w:t>
            </w:r>
            <w:r w:rsidR="00C54017">
              <w:rPr>
                <w:noProof/>
                <w:webHidden/>
              </w:rPr>
              <w:tab/>
            </w:r>
            <w:r w:rsidR="00C54017">
              <w:rPr>
                <w:noProof/>
                <w:webHidden/>
              </w:rPr>
              <w:fldChar w:fldCharType="begin"/>
            </w:r>
            <w:r w:rsidR="00C54017">
              <w:rPr>
                <w:noProof/>
                <w:webHidden/>
              </w:rPr>
              <w:instrText xml:space="preserve"> PAGEREF _Toc404255906 \h </w:instrText>
            </w:r>
            <w:r w:rsidR="00C54017">
              <w:rPr>
                <w:noProof/>
                <w:webHidden/>
              </w:rPr>
            </w:r>
            <w:r w:rsidR="00C54017">
              <w:rPr>
                <w:noProof/>
                <w:webHidden/>
              </w:rPr>
              <w:fldChar w:fldCharType="separate"/>
            </w:r>
            <w:r w:rsidR="00C54017">
              <w:rPr>
                <w:noProof/>
                <w:webHidden/>
              </w:rPr>
              <w:t>14-11</w:t>
            </w:r>
            <w:r w:rsidR="00C54017">
              <w:rPr>
                <w:noProof/>
                <w:webHidden/>
              </w:rPr>
              <w:fldChar w:fldCharType="end"/>
            </w:r>
          </w:hyperlink>
        </w:p>
        <w:p w:rsidR="00C54017" w:rsidRDefault="003737A8">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55907" w:history="1">
            <w:r w:rsidR="00C54017" w:rsidRPr="00F2029E">
              <w:rPr>
                <w:rStyle w:val="Hyperlink"/>
                <w:noProof/>
              </w:rPr>
              <w:t>14.5.5</w:t>
            </w:r>
            <w:r w:rsidR="00C54017">
              <w:rPr>
                <w:rFonts w:asciiTheme="minorHAnsi" w:eastAsiaTheme="minorEastAsia" w:hAnsiTheme="minorHAnsi" w:cstheme="minorBidi"/>
                <w:noProof/>
                <w:sz w:val="22"/>
                <w:szCs w:val="22"/>
                <w:lang w:eastAsia="en-AU"/>
              </w:rPr>
              <w:tab/>
            </w:r>
            <w:r w:rsidR="00C54017" w:rsidRPr="00F2029E">
              <w:rPr>
                <w:rStyle w:val="Hyperlink"/>
                <w:noProof/>
              </w:rPr>
              <w:t>Control mechanism formulas</w:t>
            </w:r>
            <w:r w:rsidR="00C54017">
              <w:rPr>
                <w:noProof/>
                <w:webHidden/>
              </w:rPr>
              <w:tab/>
            </w:r>
            <w:r w:rsidR="00C54017">
              <w:rPr>
                <w:noProof/>
                <w:webHidden/>
              </w:rPr>
              <w:fldChar w:fldCharType="begin"/>
            </w:r>
            <w:r w:rsidR="00C54017">
              <w:rPr>
                <w:noProof/>
                <w:webHidden/>
              </w:rPr>
              <w:instrText xml:space="preserve"> PAGEREF _Toc404255907 \h </w:instrText>
            </w:r>
            <w:r w:rsidR="00C54017">
              <w:rPr>
                <w:noProof/>
                <w:webHidden/>
              </w:rPr>
            </w:r>
            <w:r w:rsidR="00C54017">
              <w:rPr>
                <w:noProof/>
                <w:webHidden/>
              </w:rPr>
              <w:fldChar w:fldCharType="separate"/>
            </w:r>
            <w:r w:rsidR="00C54017">
              <w:rPr>
                <w:noProof/>
                <w:webHidden/>
              </w:rPr>
              <w:t>14-11</w:t>
            </w:r>
            <w:r w:rsidR="00C54017">
              <w:rPr>
                <w:noProof/>
                <w:webHidden/>
              </w:rPr>
              <w:fldChar w:fldCharType="end"/>
            </w:r>
          </w:hyperlink>
        </w:p>
        <w:p w:rsidR="00C54017" w:rsidRDefault="003737A8">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55908" w:history="1">
            <w:r w:rsidR="00C54017" w:rsidRPr="00F2029E">
              <w:rPr>
                <w:rStyle w:val="Hyperlink"/>
                <w:noProof/>
              </w:rPr>
              <w:t>14.5.6</w:t>
            </w:r>
            <w:r w:rsidR="00C54017">
              <w:rPr>
                <w:rFonts w:asciiTheme="minorHAnsi" w:eastAsiaTheme="minorEastAsia" w:hAnsiTheme="minorHAnsi" w:cstheme="minorBidi"/>
                <w:noProof/>
                <w:sz w:val="22"/>
                <w:szCs w:val="22"/>
                <w:lang w:eastAsia="en-AU"/>
              </w:rPr>
              <w:tab/>
            </w:r>
            <w:r w:rsidR="00C54017" w:rsidRPr="00F2029E">
              <w:rPr>
                <w:rStyle w:val="Hyperlink"/>
                <w:noProof/>
              </w:rPr>
              <w:t>Control mechanism formulas</w:t>
            </w:r>
            <w:r w:rsidR="00C54017">
              <w:rPr>
                <w:noProof/>
                <w:webHidden/>
              </w:rPr>
              <w:tab/>
            </w:r>
            <w:r w:rsidR="00C54017">
              <w:rPr>
                <w:noProof/>
                <w:webHidden/>
              </w:rPr>
              <w:fldChar w:fldCharType="begin"/>
            </w:r>
            <w:r w:rsidR="00C54017">
              <w:rPr>
                <w:noProof/>
                <w:webHidden/>
              </w:rPr>
              <w:instrText xml:space="preserve"> PAGEREF _Toc404255908 \h </w:instrText>
            </w:r>
            <w:r w:rsidR="00C54017">
              <w:rPr>
                <w:noProof/>
                <w:webHidden/>
              </w:rPr>
            </w:r>
            <w:r w:rsidR="00C54017">
              <w:rPr>
                <w:noProof/>
                <w:webHidden/>
              </w:rPr>
              <w:fldChar w:fldCharType="separate"/>
            </w:r>
            <w:r w:rsidR="00C54017">
              <w:rPr>
                <w:noProof/>
                <w:webHidden/>
              </w:rPr>
              <w:t>14-11</w:t>
            </w:r>
            <w:r w:rsidR="00C54017">
              <w:rPr>
                <w:noProof/>
                <w:webHidden/>
              </w:rPr>
              <w:fldChar w:fldCharType="end"/>
            </w:r>
          </w:hyperlink>
        </w:p>
        <w:p w:rsidR="00C54017" w:rsidRDefault="003737A8">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255909" w:history="1">
            <w:r w:rsidR="00C54017" w:rsidRPr="00F2029E">
              <w:rPr>
                <w:rStyle w:val="Hyperlink"/>
                <w:noProof/>
              </w:rPr>
              <w:t>A</w:t>
            </w:r>
            <w:r w:rsidR="00C54017">
              <w:rPr>
                <w:rFonts w:asciiTheme="minorHAnsi" w:eastAsiaTheme="minorEastAsia" w:hAnsiTheme="minorHAnsi" w:cstheme="minorBidi"/>
                <w:b w:val="0"/>
                <w:bCs w:val="0"/>
                <w:noProof/>
                <w:sz w:val="22"/>
                <w:szCs w:val="22"/>
                <w:lang w:eastAsia="en-AU"/>
              </w:rPr>
              <w:tab/>
            </w:r>
            <w:r w:rsidR="00C54017" w:rsidRPr="00F2029E">
              <w:rPr>
                <w:rStyle w:val="Hyperlink"/>
                <w:noProof/>
              </w:rPr>
              <w:t>DUoS unders and overs account</w:t>
            </w:r>
            <w:r w:rsidR="00C54017">
              <w:rPr>
                <w:noProof/>
                <w:webHidden/>
              </w:rPr>
              <w:tab/>
            </w:r>
            <w:r w:rsidR="00C54017">
              <w:rPr>
                <w:noProof/>
                <w:webHidden/>
              </w:rPr>
              <w:fldChar w:fldCharType="begin"/>
            </w:r>
            <w:r w:rsidR="00C54017">
              <w:rPr>
                <w:noProof/>
                <w:webHidden/>
              </w:rPr>
              <w:instrText xml:space="preserve"> PAGEREF _Toc404255909 \h </w:instrText>
            </w:r>
            <w:r w:rsidR="00C54017">
              <w:rPr>
                <w:noProof/>
                <w:webHidden/>
              </w:rPr>
            </w:r>
            <w:r w:rsidR="00C54017">
              <w:rPr>
                <w:noProof/>
                <w:webHidden/>
              </w:rPr>
              <w:fldChar w:fldCharType="separate"/>
            </w:r>
            <w:r w:rsidR="00C54017">
              <w:rPr>
                <w:noProof/>
                <w:webHidden/>
              </w:rPr>
              <w:t>14-15</w:t>
            </w:r>
            <w:r w:rsidR="00C54017">
              <w:rPr>
                <w:noProof/>
                <w:webHidden/>
              </w:rPr>
              <w:fldChar w:fldCharType="end"/>
            </w:r>
          </w:hyperlink>
        </w:p>
        <w:p w:rsidR="00C54017" w:rsidRDefault="003737A8">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255910" w:history="1">
            <w:r w:rsidR="00C54017" w:rsidRPr="00F2029E">
              <w:rPr>
                <w:rStyle w:val="Hyperlink"/>
                <w:noProof/>
              </w:rPr>
              <w:t>B</w:t>
            </w:r>
            <w:r w:rsidR="00C54017">
              <w:rPr>
                <w:rFonts w:asciiTheme="minorHAnsi" w:eastAsiaTheme="minorEastAsia" w:hAnsiTheme="minorHAnsi" w:cstheme="minorBidi"/>
                <w:b w:val="0"/>
                <w:bCs w:val="0"/>
                <w:noProof/>
                <w:sz w:val="22"/>
                <w:szCs w:val="22"/>
                <w:lang w:eastAsia="en-AU"/>
              </w:rPr>
              <w:tab/>
            </w:r>
            <w:r w:rsidR="00C54017" w:rsidRPr="00F2029E">
              <w:rPr>
                <w:rStyle w:val="Hyperlink"/>
                <w:noProof/>
              </w:rPr>
              <w:t>TUoS unders and overs account</w:t>
            </w:r>
            <w:r w:rsidR="00C54017">
              <w:rPr>
                <w:noProof/>
                <w:webHidden/>
              </w:rPr>
              <w:tab/>
            </w:r>
            <w:r w:rsidR="00C54017">
              <w:rPr>
                <w:noProof/>
                <w:webHidden/>
              </w:rPr>
              <w:fldChar w:fldCharType="begin"/>
            </w:r>
            <w:r w:rsidR="00C54017">
              <w:rPr>
                <w:noProof/>
                <w:webHidden/>
              </w:rPr>
              <w:instrText xml:space="preserve"> PAGEREF _Toc404255910 \h </w:instrText>
            </w:r>
            <w:r w:rsidR="00C54017">
              <w:rPr>
                <w:noProof/>
                <w:webHidden/>
              </w:rPr>
            </w:r>
            <w:r w:rsidR="00C54017">
              <w:rPr>
                <w:noProof/>
                <w:webHidden/>
              </w:rPr>
              <w:fldChar w:fldCharType="separate"/>
            </w:r>
            <w:r w:rsidR="00C54017">
              <w:rPr>
                <w:noProof/>
                <w:webHidden/>
              </w:rPr>
              <w:t>14-17</w:t>
            </w:r>
            <w:r w:rsidR="00C54017">
              <w:rPr>
                <w:noProof/>
                <w:webHidden/>
              </w:rPr>
              <w:fldChar w:fldCharType="end"/>
            </w:r>
          </w:hyperlink>
        </w:p>
        <w:p w:rsidR="00C54017" w:rsidRDefault="003737A8">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255911" w:history="1">
            <w:r w:rsidR="00C54017" w:rsidRPr="00F2029E">
              <w:rPr>
                <w:rStyle w:val="Hyperlink"/>
                <w:noProof/>
              </w:rPr>
              <w:t>C</w:t>
            </w:r>
            <w:r w:rsidR="00C54017">
              <w:rPr>
                <w:rFonts w:asciiTheme="minorHAnsi" w:eastAsiaTheme="minorEastAsia" w:hAnsiTheme="minorHAnsi" w:cstheme="minorBidi"/>
                <w:b w:val="0"/>
                <w:bCs w:val="0"/>
                <w:noProof/>
                <w:sz w:val="22"/>
                <w:szCs w:val="22"/>
                <w:lang w:eastAsia="en-AU"/>
              </w:rPr>
              <w:tab/>
            </w:r>
            <w:r w:rsidR="00C54017" w:rsidRPr="00F2029E">
              <w:rPr>
                <w:rStyle w:val="Hyperlink"/>
                <w:noProof/>
              </w:rPr>
              <w:t>Reporting on recovery of jurisdictional schemes</w:t>
            </w:r>
            <w:r w:rsidR="00C54017">
              <w:rPr>
                <w:noProof/>
                <w:webHidden/>
              </w:rPr>
              <w:tab/>
            </w:r>
            <w:r w:rsidR="00C54017">
              <w:rPr>
                <w:noProof/>
                <w:webHidden/>
              </w:rPr>
              <w:fldChar w:fldCharType="begin"/>
            </w:r>
            <w:r w:rsidR="00C54017">
              <w:rPr>
                <w:noProof/>
                <w:webHidden/>
              </w:rPr>
              <w:instrText xml:space="preserve"> PAGEREF _Toc404255911 \h </w:instrText>
            </w:r>
            <w:r w:rsidR="00C54017">
              <w:rPr>
                <w:noProof/>
                <w:webHidden/>
              </w:rPr>
            </w:r>
            <w:r w:rsidR="00C54017">
              <w:rPr>
                <w:noProof/>
                <w:webHidden/>
              </w:rPr>
              <w:fldChar w:fldCharType="separate"/>
            </w:r>
            <w:r w:rsidR="00C54017">
              <w:rPr>
                <w:noProof/>
                <w:webHidden/>
              </w:rPr>
              <w:t>14-19</w:t>
            </w:r>
            <w:r w:rsidR="00C54017">
              <w:rPr>
                <w:noProof/>
                <w:webHidden/>
              </w:rPr>
              <w:fldChar w:fldCharType="end"/>
            </w:r>
          </w:hyperlink>
        </w:p>
        <w:p w:rsidR="00C54017" w:rsidRDefault="003737A8">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255912" w:history="1">
            <w:r w:rsidR="00C54017" w:rsidRPr="00F2029E">
              <w:rPr>
                <w:rStyle w:val="Hyperlink"/>
                <w:noProof/>
              </w:rPr>
              <w:t>D</w:t>
            </w:r>
            <w:r w:rsidR="00C54017">
              <w:rPr>
                <w:rFonts w:asciiTheme="minorHAnsi" w:eastAsiaTheme="minorEastAsia" w:hAnsiTheme="minorHAnsi" w:cstheme="minorBidi"/>
                <w:b w:val="0"/>
                <w:bCs w:val="0"/>
                <w:noProof/>
                <w:sz w:val="22"/>
                <w:szCs w:val="22"/>
                <w:lang w:eastAsia="en-AU"/>
              </w:rPr>
              <w:tab/>
            </w:r>
            <w:r w:rsidR="00C54017" w:rsidRPr="00F2029E">
              <w:rPr>
                <w:rStyle w:val="Hyperlink"/>
                <w:noProof/>
              </w:rPr>
              <w:t>Assigning retail customers to tariff classes</w:t>
            </w:r>
            <w:r w:rsidR="00C54017">
              <w:rPr>
                <w:noProof/>
                <w:webHidden/>
              </w:rPr>
              <w:tab/>
            </w:r>
            <w:r w:rsidR="00C54017">
              <w:rPr>
                <w:noProof/>
                <w:webHidden/>
              </w:rPr>
              <w:fldChar w:fldCharType="begin"/>
            </w:r>
            <w:r w:rsidR="00C54017">
              <w:rPr>
                <w:noProof/>
                <w:webHidden/>
              </w:rPr>
              <w:instrText xml:space="preserve"> PAGEREF _Toc404255912 \h </w:instrText>
            </w:r>
            <w:r w:rsidR="00C54017">
              <w:rPr>
                <w:noProof/>
                <w:webHidden/>
              </w:rPr>
            </w:r>
            <w:r w:rsidR="00C54017">
              <w:rPr>
                <w:noProof/>
                <w:webHidden/>
              </w:rPr>
              <w:fldChar w:fldCharType="separate"/>
            </w:r>
            <w:r w:rsidR="00C54017">
              <w:rPr>
                <w:noProof/>
                <w:webHidden/>
              </w:rPr>
              <w:t>14-21</w:t>
            </w:r>
            <w:r w:rsidR="00C54017">
              <w:rPr>
                <w:noProof/>
                <w:webHidden/>
              </w:rPr>
              <w:fldChar w:fldCharType="end"/>
            </w:r>
          </w:hyperlink>
        </w:p>
        <w:p w:rsidR="00C54017" w:rsidRDefault="003737A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55913" w:history="1">
            <w:r w:rsidR="00C54017" w:rsidRPr="00F2029E">
              <w:rPr>
                <w:rStyle w:val="Hyperlink"/>
                <w:noProof/>
              </w:rPr>
              <w:t>D.1</w:t>
            </w:r>
            <w:r w:rsidR="00C54017">
              <w:rPr>
                <w:rFonts w:asciiTheme="minorHAnsi" w:eastAsiaTheme="minorEastAsia" w:hAnsiTheme="minorHAnsi" w:cstheme="minorBidi"/>
                <w:iCs w:val="0"/>
                <w:noProof/>
                <w:sz w:val="22"/>
                <w:szCs w:val="22"/>
                <w:lang w:eastAsia="en-AU"/>
              </w:rPr>
              <w:tab/>
            </w:r>
            <w:r w:rsidR="00C54017" w:rsidRPr="00F2029E">
              <w:rPr>
                <w:rStyle w:val="Hyperlink"/>
                <w:noProof/>
              </w:rPr>
              <w:t>AER's assessment approach</w:t>
            </w:r>
            <w:r w:rsidR="00C54017">
              <w:rPr>
                <w:noProof/>
                <w:webHidden/>
              </w:rPr>
              <w:tab/>
            </w:r>
            <w:r w:rsidR="00C54017">
              <w:rPr>
                <w:noProof/>
                <w:webHidden/>
              </w:rPr>
              <w:fldChar w:fldCharType="begin"/>
            </w:r>
            <w:r w:rsidR="00C54017">
              <w:rPr>
                <w:noProof/>
                <w:webHidden/>
              </w:rPr>
              <w:instrText xml:space="preserve"> PAGEREF _Toc404255913 \h </w:instrText>
            </w:r>
            <w:r w:rsidR="00C54017">
              <w:rPr>
                <w:noProof/>
                <w:webHidden/>
              </w:rPr>
            </w:r>
            <w:r w:rsidR="00C54017">
              <w:rPr>
                <w:noProof/>
                <w:webHidden/>
              </w:rPr>
              <w:fldChar w:fldCharType="separate"/>
            </w:r>
            <w:r w:rsidR="00C54017">
              <w:rPr>
                <w:noProof/>
                <w:webHidden/>
              </w:rPr>
              <w:t>14-21</w:t>
            </w:r>
            <w:r w:rsidR="00C54017">
              <w:rPr>
                <w:noProof/>
                <w:webHidden/>
              </w:rPr>
              <w:fldChar w:fldCharType="end"/>
            </w:r>
          </w:hyperlink>
        </w:p>
        <w:p w:rsidR="00C54017" w:rsidRDefault="003737A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55914" w:history="1">
            <w:r w:rsidR="00C54017" w:rsidRPr="00F2029E">
              <w:rPr>
                <w:rStyle w:val="Hyperlink"/>
                <w:noProof/>
              </w:rPr>
              <w:t>D.2</w:t>
            </w:r>
            <w:r w:rsidR="00C54017">
              <w:rPr>
                <w:rFonts w:asciiTheme="minorHAnsi" w:eastAsiaTheme="minorEastAsia" w:hAnsiTheme="minorHAnsi" w:cstheme="minorBidi"/>
                <w:iCs w:val="0"/>
                <w:noProof/>
                <w:sz w:val="22"/>
                <w:szCs w:val="22"/>
                <w:lang w:eastAsia="en-AU"/>
              </w:rPr>
              <w:tab/>
            </w:r>
            <w:r w:rsidR="00C54017" w:rsidRPr="00F2029E">
              <w:rPr>
                <w:rStyle w:val="Hyperlink"/>
                <w:noProof/>
              </w:rPr>
              <w:t>Reasons for draft decision</w:t>
            </w:r>
            <w:r w:rsidR="00C54017">
              <w:rPr>
                <w:noProof/>
                <w:webHidden/>
              </w:rPr>
              <w:tab/>
            </w:r>
            <w:r w:rsidR="00C54017">
              <w:rPr>
                <w:noProof/>
                <w:webHidden/>
              </w:rPr>
              <w:fldChar w:fldCharType="begin"/>
            </w:r>
            <w:r w:rsidR="00C54017">
              <w:rPr>
                <w:noProof/>
                <w:webHidden/>
              </w:rPr>
              <w:instrText xml:space="preserve"> PAGEREF _Toc404255914 \h </w:instrText>
            </w:r>
            <w:r w:rsidR="00C54017">
              <w:rPr>
                <w:noProof/>
                <w:webHidden/>
              </w:rPr>
            </w:r>
            <w:r w:rsidR="00C54017">
              <w:rPr>
                <w:noProof/>
                <w:webHidden/>
              </w:rPr>
              <w:fldChar w:fldCharType="separate"/>
            </w:r>
            <w:r w:rsidR="00C54017">
              <w:rPr>
                <w:noProof/>
                <w:webHidden/>
              </w:rPr>
              <w:t>14-21</w:t>
            </w:r>
            <w:r w:rsidR="00C54017">
              <w:rPr>
                <w:noProof/>
                <w:webHidden/>
              </w:rPr>
              <w:fldChar w:fldCharType="end"/>
            </w:r>
          </w:hyperlink>
        </w:p>
        <w:p w:rsidR="00C54017" w:rsidRDefault="003737A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55915" w:history="1">
            <w:r w:rsidR="00C54017" w:rsidRPr="00F2029E">
              <w:rPr>
                <w:rStyle w:val="Hyperlink"/>
                <w:noProof/>
              </w:rPr>
              <w:t>D.3</w:t>
            </w:r>
            <w:r w:rsidR="00C54017">
              <w:rPr>
                <w:rFonts w:asciiTheme="minorHAnsi" w:eastAsiaTheme="minorEastAsia" w:hAnsiTheme="minorHAnsi" w:cstheme="minorBidi"/>
                <w:iCs w:val="0"/>
                <w:noProof/>
                <w:sz w:val="22"/>
                <w:szCs w:val="22"/>
                <w:lang w:eastAsia="en-AU"/>
              </w:rPr>
              <w:tab/>
            </w:r>
            <w:r w:rsidR="00C54017" w:rsidRPr="00F2029E">
              <w:rPr>
                <w:rStyle w:val="Hyperlink"/>
                <w:noProof/>
              </w:rPr>
              <w:t>Reassignment existing customers to a different tariff class</w:t>
            </w:r>
            <w:r w:rsidR="00C54017">
              <w:rPr>
                <w:noProof/>
                <w:webHidden/>
              </w:rPr>
              <w:tab/>
            </w:r>
            <w:r w:rsidR="00C54017">
              <w:rPr>
                <w:noProof/>
                <w:webHidden/>
              </w:rPr>
              <w:fldChar w:fldCharType="begin"/>
            </w:r>
            <w:r w:rsidR="00C54017">
              <w:rPr>
                <w:noProof/>
                <w:webHidden/>
              </w:rPr>
              <w:instrText xml:space="preserve"> PAGEREF _Toc404255915 \h </w:instrText>
            </w:r>
            <w:r w:rsidR="00C54017">
              <w:rPr>
                <w:noProof/>
                <w:webHidden/>
              </w:rPr>
            </w:r>
            <w:r w:rsidR="00C54017">
              <w:rPr>
                <w:noProof/>
                <w:webHidden/>
              </w:rPr>
              <w:fldChar w:fldCharType="separate"/>
            </w:r>
            <w:r w:rsidR="00C54017">
              <w:rPr>
                <w:noProof/>
                <w:webHidden/>
              </w:rPr>
              <w:t>14-21</w:t>
            </w:r>
            <w:r w:rsidR="00C54017">
              <w:rPr>
                <w:noProof/>
                <w:webHidden/>
              </w:rPr>
              <w:fldChar w:fldCharType="end"/>
            </w:r>
          </w:hyperlink>
        </w:p>
        <w:p w:rsidR="00C54017" w:rsidRDefault="003737A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55916" w:history="1">
            <w:r w:rsidR="00C54017" w:rsidRPr="00F2029E">
              <w:rPr>
                <w:rStyle w:val="Hyperlink"/>
                <w:noProof/>
              </w:rPr>
              <w:t>D.4</w:t>
            </w:r>
            <w:r w:rsidR="00C54017">
              <w:rPr>
                <w:rFonts w:asciiTheme="minorHAnsi" w:eastAsiaTheme="minorEastAsia" w:hAnsiTheme="minorHAnsi" w:cstheme="minorBidi"/>
                <w:iCs w:val="0"/>
                <w:noProof/>
                <w:sz w:val="22"/>
                <w:szCs w:val="22"/>
                <w:lang w:eastAsia="en-AU"/>
              </w:rPr>
              <w:tab/>
            </w:r>
            <w:r w:rsidR="00C54017" w:rsidRPr="00F2029E">
              <w:rPr>
                <w:rStyle w:val="Hyperlink"/>
                <w:noProof/>
              </w:rPr>
              <w:t>Procedures for assigning or reassigning retail customers to tariff classes</w:t>
            </w:r>
            <w:r w:rsidR="00C54017">
              <w:rPr>
                <w:noProof/>
                <w:webHidden/>
              </w:rPr>
              <w:tab/>
            </w:r>
            <w:r w:rsidR="00C54017">
              <w:rPr>
                <w:noProof/>
                <w:webHidden/>
              </w:rPr>
              <w:fldChar w:fldCharType="begin"/>
            </w:r>
            <w:r w:rsidR="00C54017">
              <w:rPr>
                <w:noProof/>
                <w:webHidden/>
              </w:rPr>
              <w:instrText xml:space="preserve"> PAGEREF _Toc404255916 \h </w:instrText>
            </w:r>
            <w:r w:rsidR="00C54017">
              <w:rPr>
                <w:noProof/>
                <w:webHidden/>
              </w:rPr>
            </w:r>
            <w:r w:rsidR="00C54017">
              <w:rPr>
                <w:noProof/>
                <w:webHidden/>
              </w:rPr>
              <w:fldChar w:fldCharType="separate"/>
            </w:r>
            <w:r w:rsidR="00C54017">
              <w:rPr>
                <w:noProof/>
                <w:webHidden/>
              </w:rPr>
              <w:t>14-22</w:t>
            </w:r>
            <w:r w:rsidR="00C54017">
              <w:rPr>
                <w:noProof/>
                <w:webHidden/>
              </w:rPr>
              <w:fldChar w:fldCharType="end"/>
            </w:r>
          </w:hyperlink>
        </w:p>
        <w:p w:rsidR="00EE72C2" w:rsidRDefault="00EE72C2" w:rsidP="00EE72C2">
          <w:pPr>
            <w:pStyle w:val="TOC1"/>
            <w:tabs>
              <w:tab w:val="right" w:leader="dot" w:pos="9016"/>
            </w:tabs>
          </w:pPr>
          <w:r>
            <w:rPr>
              <w:lang w:val="en-US" w:eastAsia="ja-JP"/>
            </w:rPr>
            <w:fldChar w:fldCharType="end"/>
          </w:r>
        </w:p>
      </w:sdtContent>
    </w:sdt>
    <w:p w:rsidR="00EE72C2" w:rsidRDefault="00EE72C2" w:rsidP="00EE72C2"/>
    <w:p w:rsidR="00EE72C2" w:rsidRDefault="00EE72C2" w:rsidP="00EE72C2"/>
    <w:p w:rsidR="00EE72C2" w:rsidRDefault="00EE72C2" w:rsidP="00EE72C2"/>
    <w:p w:rsidR="00EE72C2" w:rsidRDefault="00EE72C2" w:rsidP="00EE72C2"/>
    <w:p w:rsidR="00EE72C2" w:rsidRDefault="00EE72C2" w:rsidP="00EE72C2">
      <w:pPr>
        <w:pStyle w:val="UnnumberedHeading"/>
      </w:pPr>
      <w:bookmarkStart w:id="4" w:name="_Toc402538524"/>
      <w:bookmarkStart w:id="5" w:name="_Toc404255896"/>
      <w:r>
        <w:lastRenderedPageBreak/>
        <w:t>Shortened forms</w:t>
      </w:r>
      <w:bookmarkEnd w:id="4"/>
      <w:bookmarkEnd w:id="5"/>
    </w:p>
    <w:tbl>
      <w:tblPr>
        <w:tblStyle w:val="AERtable-numbers"/>
        <w:tblW w:w="0" w:type="auto"/>
        <w:tblLook w:val="04A0" w:firstRow="1" w:lastRow="0" w:firstColumn="1" w:lastColumn="0" w:noHBand="0" w:noVBand="1"/>
      </w:tblPr>
      <w:tblGrid>
        <w:gridCol w:w="4621"/>
        <w:gridCol w:w="4621"/>
      </w:tblGrid>
      <w:tr w:rsidR="00EE72C2" w:rsidTr="00EE72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bookmarkEnd w:id="0"/>
          <w:p w:rsidR="00EE72C2" w:rsidRDefault="00EE72C2" w:rsidP="00EE72C2">
            <w:pPr>
              <w:pStyle w:val="AERbodytext"/>
            </w:pPr>
            <w:r>
              <w:t>Shortened form</w:t>
            </w:r>
          </w:p>
        </w:tc>
        <w:tc>
          <w:tcPr>
            <w:tcW w:w="4621" w:type="dxa"/>
          </w:tcPr>
          <w:p w:rsidR="00EE72C2" w:rsidRDefault="00EE72C2" w:rsidP="00EE72C2">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AARR</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AEMC</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AEMO</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AER</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ASRR</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augex</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capex</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CCP</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CESS</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CPI</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CPI-X</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DRP</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DMIA</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DMIS</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distributor</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DUoS</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EBSS</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ERP</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expenditure assessment guideline</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 xml:space="preserve">expenditure forecast assessment guideline for electricity </w:t>
            </w:r>
            <w:r w:rsidR="00A92B82">
              <w:t>distribution</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F&amp;A</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MRP</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lastRenderedPageBreak/>
              <w:t>NEL</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NEM</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NEO</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NER</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NSP</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opex</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PPI</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PTRM</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RAB</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RBA</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repex</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RFM</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RIN</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RPP</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SAIDI</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SAIFI</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SLCAPM</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EE72C2" w:rsidTr="00EE72C2">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STPIS</w:t>
            </w:r>
          </w:p>
        </w:tc>
        <w:tc>
          <w:tcPr>
            <w:tcW w:w="4621" w:type="dxa"/>
          </w:tcPr>
          <w:p w:rsidR="00EE72C2" w:rsidRDefault="00EE72C2" w:rsidP="00EE72C2">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EE72C2" w:rsidTr="00EE72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72C2" w:rsidRDefault="00EE72C2" w:rsidP="00EE72C2">
            <w:pPr>
              <w:pStyle w:val="AERbodytext"/>
            </w:pPr>
            <w:r>
              <w:t>WACC</w:t>
            </w:r>
          </w:p>
        </w:tc>
        <w:tc>
          <w:tcPr>
            <w:tcW w:w="4621" w:type="dxa"/>
          </w:tcPr>
          <w:p w:rsidR="00EE72C2" w:rsidRDefault="00EE72C2" w:rsidP="00EE72C2">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C837B9" w:rsidRDefault="00C837B9" w:rsidP="00EE72C2">
      <w:pPr>
        <w:pStyle w:val="Heading1"/>
      </w:pPr>
      <w:bookmarkStart w:id="6" w:name="_Toc404255897"/>
      <w:r>
        <w:lastRenderedPageBreak/>
        <w:t>Control mechanism for standard control services</w:t>
      </w:r>
      <w:bookmarkEnd w:id="6"/>
    </w:p>
    <w:p w:rsidR="00C837B9" w:rsidRDefault="00C837B9" w:rsidP="00C837B9">
      <w:pPr>
        <w:pStyle w:val="AERbodytext"/>
        <w:rPr>
          <w:rStyle w:val="AERbody"/>
        </w:rPr>
      </w:pPr>
      <w:r w:rsidRPr="00F400FF">
        <w:rPr>
          <w:rStyle w:val="AERbody"/>
        </w:rPr>
        <w:t xml:space="preserve">The control mechanism imposes </w:t>
      </w:r>
      <w:r>
        <w:rPr>
          <w:rStyle w:val="AERbody"/>
        </w:rPr>
        <w:t>limits</w:t>
      </w:r>
      <w:r w:rsidRPr="00F400FF">
        <w:rPr>
          <w:rStyle w:val="AERbody"/>
        </w:rPr>
        <w:t xml:space="preserve"> over the prices of direct control and alternative control services, and/or the revenue to be derived from these services. </w:t>
      </w:r>
      <w:r>
        <w:rPr>
          <w:rStyle w:val="AERbody"/>
        </w:rPr>
        <w:t>Our</w:t>
      </w:r>
      <w:r w:rsidRPr="00F400FF">
        <w:rPr>
          <w:rStyle w:val="AERbody"/>
        </w:rPr>
        <w:t xml:space="preserve"> stage 1 framework and approach paper determined</w:t>
      </w:r>
      <w:r>
        <w:rPr>
          <w:rStyle w:val="AERbody"/>
        </w:rPr>
        <w:t xml:space="preserve"> that the control mechanism should:</w:t>
      </w:r>
    </w:p>
    <w:p w:rsidR="00C837B9" w:rsidRPr="00E67119" w:rsidRDefault="00C837B9" w:rsidP="00C837B9">
      <w:pPr>
        <w:pStyle w:val="AERbulletlistfirststyle"/>
        <w:rPr>
          <w:rStyle w:val="AERbody"/>
        </w:rPr>
      </w:pPr>
      <w:r w:rsidRPr="00E67119">
        <w:rPr>
          <w:rStyle w:val="AERbody"/>
        </w:rPr>
        <w:t>be of the prospective CPI-X form (or some incentive-based variant)</w:t>
      </w:r>
    </w:p>
    <w:p w:rsidR="00C837B9" w:rsidRPr="00E67119" w:rsidRDefault="00C837B9" w:rsidP="00C837B9">
      <w:pPr>
        <w:pStyle w:val="AERbulletlistfirststyle"/>
        <w:rPr>
          <w:rStyle w:val="AERbody"/>
        </w:rPr>
      </w:pPr>
      <w:r w:rsidRPr="00E67119">
        <w:rPr>
          <w:rStyle w:val="AERbody"/>
        </w:rPr>
        <w:t xml:space="preserve">accord with Part C of </w:t>
      </w:r>
      <w:r>
        <w:rPr>
          <w:rStyle w:val="AERbody"/>
        </w:rPr>
        <w:t xml:space="preserve">chapter 6 of </w:t>
      </w:r>
      <w:r w:rsidRPr="00E67119">
        <w:rPr>
          <w:rStyle w:val="AERbody"/>
        </w:rPr>
        <w:t>the NER</w:t>
      </w:r>
    </w:p>
    <w:p w:rsidR="00C837B9" w:rsidRPr="00C30158" w:rsidRDefault="00C837B9" w:rsidP="00C837B9">
      <w:pPr>
        <w:pStyle w:val="AERbulletlistfirststyle"/>
      </w:pPr>
      <w:r w:rsidRPr="00E67119">
        <w:rPr>
          <w:rStyle w:val="AERbody"/>
        </w:rPr>
        <w:t>have a basis as specified in the AER's draft and fi</w:t>
      </w:r>
      <w:r>
        <w:rPr>
          <w:rStyle w:val="AERbody"/>
        </w:rPr>
        <w:t>nal distribution determinations</w:t>
      </w:r>
      <w:r w:rsidRPr="00C30158">
        <w:t>.</w:t>
      </w:r>
      <w:r>
        <w:rPr>
          <w:rStyle w:val="FootnoteReference"/>
        </w:rPr>
        <w:footnoteReference w:id="1"/>
      </w:r>
    </w:p>
    <w:p w:rsidR="00C837B9" w:rsidRPr="00F400FF" w:rsidRDefault="00C837B9" w:rsidP="00C837B9">
      <w:pPr>
        <w:rPr>
          <w:rStyle w:val="AERbody"/>
        </w:rPr>
      </w:pPr>
      <w:r w:rsidRPr="00F400FF">
        <w:rPr>
          <w:rStyle w:val="AERbody"/>
        </w:rPr>
        <w:t xml:space="preserve">This chapter </w:t>
      </w:r>
      <w:r>
        <w:rPr>
          <w:rStyle w:val="AERbody"/>
        </w:rPr>
        <w:t>sets out the final</w:t>
      </w:r>
      <w:r w:rsidRPr="00F400FF">
        <w:rPr>
          <w:rStyle w:val="AERbody"/>
        </w:rPr>
        <w:t xml:space="preserve"> formulaic expression of the revenue cap </w:t>
      </w:r>
      <w:r>
        <w:rPr>
          <w:rStyle w:val="AERbody"/>
        </w:rPr>
        <w:t>for</w:t>
      </w:r>
      <w:r w:rsidRPr="00F400FF">
        <w:rPr>
          <w:rStyle w:val="AERbody"/>
        </w:rPr>
        <w:t xml:space="preserve"> the </w:t>
      </w:r>
      <w:r>
        <w:rPr>
          <w:rStyle w:val="AERbody"/>
        </w:rPr>
        <w:t>2015</w:t>
      </w:r>
      <w:r w:rsidRPr="00F400FF">
        <w:rPr>
          <w:rStyle w:val="AERbody"/>
        </w:rPr>
        <w:t xml:space="preserve">–19 regulatory control period. </w:t>
      </w:r>
      <w:r>
        <w:rPr>
          <w:rStyle w:val="AERbody"/>
        </w:rPr>
        <w:t>It</w:t>
      </w:r>
      <w:r w:rsidRPr="00F400FF">
        <w:rPr>
          <w:rStyle w:val="AERbody"/>
        </w:rPr>
        <w:t xml:space="preserve"> discusses:</w:t>
      </w:r>
    </w:p>
    <w:p w:rsidR="00C837B9" w:rsidRDefault="00C837B9" w:rsidP="00C837B9">
      <w:pPr>
        <w:pStyle w:val="AERbulletlistfirststyle"/>
      </w:pPr>
      <w:r w:rsidRPr="001D7F68">
        <w:t xml:space="preserve">how the </w:t>
      </w:r>
      <w:r>
        <w:t xml:space="preserve">average </w:t>
      </w:r>
      <w:r w:rsidRPr="001D7F68">
        <w:t xml:space="preserve">revenue cap will be applied </w:t>
      </w:r>
    </w:p>
    <w:p w:rsidR="00C837B9" w:rsidRPr="001D7F68" w:rsidRDefault="00C837B9" w:rsidP="00C837B9">
      <w:pPr>
        <w:pStyle w:val="AERbulletlistfirststyle"/>
      </w:pPr>
      <w:r w:rsidRPr="001D7F68">
        <w:t xml:space="preserve">how we will determine compliance with the price controls </w:t>
      </w:r>
    </w:p>
    <w:p w:rsidR="00C837B9" w:rsidRDefault="00C837B9" w:rsidP="00C837B9">
      <w:pPr>
        <w:pStyle w:val="AERbulletlistfirststyle"/>
      </w:pPr>
      <w:r w:rsidRPr="001D7F68">
        <w:t xml:space="preserve">the mechanism through which </w:t>
      </w:r>
      <w:r>
        <w:t xml:space="preserve">ActewAGL will </w:t>
      </w:r>
      <w:r w:rsidRPr="001D7F68">
        <w:t xml:space="preserve">recover transmission </w:t>
      </w:r>
      <w:r>
        <w:t>and distribution use of system charges (TUo</w:t>
      </w:r>
      <w:r w:rsidRPr="001D7F68">
        <w:t>S</w:t>
      </w:r>
      <w:r>
        <w:t xml:space="preserve"> and DUoS</w:t>
      </w:r>
      <w:r w:rsidRPr="001D7F68">
        <w:t xml:space="preserve">)—including adjustments for </w:t>
      </w:r>
      <w:r>
        <w:t xml:space="preserve">revenue </w:t>
      </w:r>
      <w:r w:rsidRPr="001D7F68">
        <w:t>under</w:t>
      </w:r>
      <w:r>
        <w:t xml:space="preserve"> </w:t>
      </w:r>
      <w:r w:rsidRPr="001D7F68">
        <w:t>or over recover</w:t>
      </w:r>
      <w:r>
        <w:t>y</w:t>
      </w:r>
      <w:r w:rsidRPr="001D7F68">
        <w:t xml:space="preserve">—in the </w:t>
      </w:r>
      <w:r>
        <w:t>2015–19 regulatory control period.</w:t>
      </w:r>
      <w:r>
        <w:rPr>
          <w:rStyle w:val="FootnoteReference"/>
        </w:rPr>
        <w:footnoteReference w:id="2"/>
      </w:r>
    </w:p>
    <w:p w:rsidR="00C837B9" w:rsidRPr="00C837B9" w:rsidRDefault="00C837B9" w:rsidP="00C837B9">
      <w:r w:rsidRPr="00C837B9">
        <w:rPr>
          <w:rStyle w:val="AERbody"/>
        </w:rPr>
        <w:t>Also discussed is how A</w:t>
      </w:r>
      <w:r>
        <w:rPr>
          <w:rStyle w:val="AERbody"/>
        </w:rPr>
        <w:t>ctewAGL</w:t>
      </w:r>
      <w:r w:rsidRPr="00C837B9">
        <w:rPr>
          <w:rStyle w:val="AERbody"/>
        </w:rPr>
        <w:t xml:space="preserve"> must report to us on its recovery of jurisdictional scheme amounts and its procedures for assigning or</w:t>
      </w:r>
      <w:r w:rsidRPr="00C837B9">
        <w:t xml:space="preserve"> reassigning retail customers to tariff classes.</w:t>
      </w:r>
      <w:r w:rsidRPr="00C837B9">
        <w:rPr>
          <w:rStyle w:val="FootnoteReference"/>
        </w:rPr>
        <w:footnoteReference w:id="3"/>
      </w:r>
      <w:r w:rsidRPr="00C837B9">
        <w:t xml:space="preserve"> </w:t>
      </w:r>
    </w:p>
    <w:p w:rsidR="00C837B9" w:rsidRDefault="00C837B9" w:rsidP="00C54017">
      <w:pPr>
        <w:pStyle w:val="Heading2"/>
        <w:numPr>
          <w:ilvl w:val="2"/>
          <w:numId w:val="8"/>
        </w:numPr>
      </w:pPr>
      <w:bookmarkStart w:id="7" w:name="_Toc387916741"/>
      <w:bookmarkStart w:id="8" w:name="_Toc404255898"/>
      <w:r>
        <w:t>D</w:t>
      </w:r>
      <w:r w:rsidRPr="00525604">
        <w:t>raft decision</w:t>
      </w:r>
      <w:bookmarkEnd w:id="7"/>
      <w:bookmarkEnd w:id="8"/>
    </w:p>
    <w:p w:rsidR="000318BF" w:rsidRDefault="000318BF" w:rsidP="00C837B9">
      <w:pPr>
        <w:pStyle w:val="AERbodytext"/>
      </w:pPr>
      <w:r>
        <w:t xml:space="preserve">Our draft decision for </w:t>
      </w:r>
      <w:r w:rsidR="00275933">
        <w:t>ActewAGL</w:t>
      </w:r>
      <w:r>
        <w:t xml:space="preserve"> is as follows</w:t>
      </w:r>
      <w:r w:rsidR="00FE2154">
        <w:t>:</w:t>
      </w:r>
    </w:p>
    <w:p w:rsidR="00C837B9" w:rsidRDefault="00C837B9" w:rsidP="00FE2154">
      <w:pPr>
        <w:pStyle w:val="AERbulletlistfirststyle"/>
      </w:pPr>
      <w:r>
        <w:t>T</w:t>
      </w:r>
      <w:r w:rsidRPr="00AA78C8">
        <w:t xml:space="preserve">he control mechanism for standard control services provided by </w:t>
      </w:r>
      <w:r>
        <w:t xml:space="preserve">ActewAGL </w:t>
      </w:r>
      <w:r w:rsidRPr="00AA78C8">
        <w:t>is a</w:t>
      </w:r>
      <w:r>
        <w:t>n average</w:t>
      </w:r>
      <w:r w:rsidRPr="00AA78C8">
        <w:t xml:space="preserve"> revenue cap.</w:t>
      </w:r>
      <w:r>
        <w:rPr>
          <w:rStyle w:val="FootnoteReference"/>
        </w:rPr>
        <w:footnoteReference w:id="4"/>
      </w:r>
      <w:r w:rsidR="000318BF">
        <w:t xml:space="preserve"> This was set out in or stage 1 framework and approach paper.</w:t>
      </w:r>
    </w:p>
    <w:p w:rsidR="00C837B9" w:rsidRPr="007A1A94" w:rsidRDefault="00275933" w:rsidP="00FE2154">
      <w:pPr>
        <w:pStyle w:val="AERbulletlistfirststyle"/>
      </w:pPr>
      <w:r w:rsidRPr="007A1A94">
        <w:t xml:space="preserve">The </w:t>
      </w:r>
      <w:r>
        <w:t xml:space="preserve">average </w:t>
      </w:r>
      <w:r w:rsidRPr="007A1A94">
        <w:t xml:space="preserve">revenue cap for any given regulatory year is the </w:t>
      </w:r>
      <w:r>
        <w:t>average annual revenue requirement (AARR) (for distribution services) plus the maximum average allowable revenue</w:t>
      </w:r>
      <w:r w:rsidRPr="007A1A94">
        <w:t xml:space="preserve"> </w:t>
      </w:r>
      <w:r>
        <w:t xml:space="preserve">(MAAR) (for transmission services) </w:t>
      </w:r>
      <w:r w:rsidRPr="007A1A94">
        <w:t xml:space="preserve">for that regulatory year (calculated using the formula in section </w:t>
      </w:r>
      <w:r>
        <w:fldChar w:fldCharType="begin"/>
      </w:r>
      <w:r>
        <w:instrText xml:space="preserve"> REF _Ref401753265 \r \h  \* MERGEFORMAT </w:instrText>
      </w:r>
      <w:r>
        <w:fldChar w:fldCharType="separate"/>
      </w:r>
      <w:r w:rsidR="00C54017">
        <w:t>14.5.5</w:t>
      </w:r>
      <w:r>
        <w:fldChar w:fldCharType="end"/>
      </w:r>
      <w:r w:rsidRPr="007A1A94">
        <w:t>) plus any adjustment required to move the DU</w:t>
      </w:r>
      <w:r>
        <w:t>o</w:t>
      </w:r>
      <w:r w:rsidRPr="007A1A94">
        <w:t>S</w:t>
      </w:r>
      <w:r>
        <w:t xml:space="preserve"> and TUoS</w:t>
      </w:r>
      <w:r w:rsidRPr="007A1A94">
        <w:t xml:space="preserve"> under/over account to zero.</w:t>
      </w:r>
    </w:p>
    <w:p w:rsidR="00630871" w:rsidRPr="00630871" w:rsidRDefault="00630871" w:rsidP="00FE2154">
      <w:pPr>
        <w:pStyle w:val="AERbulletlistfirststyle"/>
      </w:pPr>
      <w:r w:rsidRPr="00630871">
        <w:t xml:space="preserve">The side constraints applying to the price movements of each </w:t>
      </w:r>
      <w:r>
        <w:t>ActewAGL</w:t>
      </w:r>
      <w:r w:rsidR="00917AF2">
        <w:t>'s</w:t>
      </w:r>
      <w:r w:rsidRPr="00630871">
        <w:t xml:space="preserve"> tariff class must be consistent with the formula in section </w:t>
      </w:r>
      <w:r w:rsidR="000E20ED">
        <w:fldChar w:fldCharType="begin"/>
      </w:r>
      <w:r w:rsidR="000E20ED">
        <w:instrText xml:space="preserve"> REF _Ref401753265 \r \h </w:instrText>
      </w:r>
      <w:r w:rsidR="00FE2154">
        <w:instrText xml:space="preserve"> \* MERGEFORMAT </w:instrText>
      </w:r>
      <w:r w:rsidR="000E20ED">
        <w:fldChar w:fldCharType="separate"/>
      </w:r>
      <w:r w:rsidR="00C54017">
        <w:t>14.5.5</w:t>
      </w:r>
      <w:r w:rsidR="000E20ED">
        <w:fldChar w:fldCharType="end"/>
      </w:r>
      <w:r w:rsidRPr="00630871">
        <w:t>.</w:t>
      </w:r>
    </w:p>
    <w:p w:rsidR="00630871" w:rsidRPr="00630871" w:rsidRDefault="00630871" w:rsidP="00FE2154">
      <w:pPr>
        <w:pStyle w:val="AERbulletlistfirststyle"/>
      </w:pPr>
      <w:r>
        <w:t>ActewAGL</w:t>
      </w:r>
      <w:r w:rsidRPr="00630871">
        <w:t xml:space="preserve"> must demonstrate compliance with the control mechanism for standard control services in accordance with appendices A and B.</w:t>
      </w:r>
    </w:p>
    <w:p w:rsidR="00630871" w:rsidRPr="00630871" w:rsidRDefault="00630871" w:rsidP="00FE2154">
      <w:pPr>
        <w:pStyle w:val="AERbulletlistfirststyle"/>
      </w:pPr>
      <w:r>
        <w:t>ActewAGL</w:t>
      </w:r>
      <w:r w:rsidRPr="00630871">
        <w:t xml:space="preserve"> must submit, </w:t>
      </w:r>
      <w:r w:rsidR="000E20ED">
        <w:t xml:space="preserve">in </w:t>
      </w:r>
      <w:r w:rsidRPr="00630871">
        <w:t>its annual pricing proposal, a record of the amoun</w:t>
      </w:r>
      <w:r w:rsidR="00917AF2">
        <w:t>t of revenues recovered from TUo</w:t>
      </w:r>
      <w:r w:rsidRPr="00630871">
        <w:t>S charges and associated payments in accordance with appendix B.</w:t>
      </w:r>
    </w:p>
    <w:p w:rsidR="00630871" w:rsidRPr="00630871" w:rsidRDefault="00630871" w:rsidP="00FE2154">
      <w:pPr>
        <w:pStyle w:val="AERbulletlistfirststyle"/>
      </w:pPr>
      <w:r>
        <w:lastRenderedPageBreak/>
        <w:t>ActewAGL</w:t>
      </w:r>
      <w:r w:rsidRPr="00630871">
        <w:t xml:space="preserve"> must report to us its jurisdiction scheme amounts recove</w:t>
      </w:r>
      <w:r w:rsidR="00917AF2">
        <w:t>ry in accordance with appendix</w:t>
      </w:r>
      <w:r w:rsidRPr="00630871">
        <w:t xml:space="preserve"> C of this draft decision.</w:t>
      </w:r>
    </w:p>
    <w:p w:rsidR="00630871" w:rsidRPr="00630871" w:rsidRDefault="00630871" w:rsidP="00FE2154">
      <w:pPr>
        <w:pStyle w:val="AERbulletlistfirststyle"/>
      </w:pPr>
      <w:r w:rsidRPr="00630871">
        <w:t xml:space="preserve">The procedures to be applied by </w:t>
      </w:r>
      <w:r>
        <w:t>ActewAGL</w:t>
      </w:r>
      <w:r w:rsidRPr="00630871">
        <w:t xml:space="preserve"> for assigning retail customers to tariff classes or re-assigning retail customers from one tariff class to another are specified in appendix D.</w:t>
      </w:r>
    </w:p>
    <w:p w:rsidR="00C837B9" w:rsidRDefault="00C837B9" w:rsidP="00C837B9">
      <w:pPr>
        <w:pStyle w:val="Heading2"/>
      </w:pPr>
      <w:bookmarkStart w:id="9" w:name="_Toc404255899"/>
      <w:r>
        <w:t>ActewAGL's proposal</w:t>
      </w:r>
      <w:bookmarkEnd w:id="9"/>
    </w:p>
    <w:p w:rsidR="00C837B9" w:rsidRPr="00DF22FE" w:rsidRDefault="00C837B9" w:rsidP="00C837B9">
      <w:pPr>
        <w:pStyle w:val="AERbodytext"/>
      </w:pPr>
      <w:r>
        <w:t>A</w:t>
      </w:r>
      <w:r w:rsidR="00CB3789">
        <w:t>ctewAGL</w:t>
      </w:r>
      <w:r w:rsidRPr="00DF22FE">
        <w:t xml:space="preserve"> proposed a</w:t>
      </w:r>
      <w:r w:rsidR="00CB3789">
        <w:t>n average</w:t>
      </w:r>
      <w:r>
        <w:t xml:space="preserve"> </w:t>
      </w:r>
      <w:r w:rsidRPr="00DF22FE">
        <w:t>revenue cap</w:t>
      </w:r>
      <w:r>
        <w:t xml:space="preserve"> for standard control services</w:t>
      </w:r>
      <w:r w:rsidR="00796ADF">
        <w:t xml:space="preserve"> in accordance with our stage 1 framework and approach paper</w:t>
      </w:r>
      <w:r w:rsidRPr="00DF22FE">
        <w:t>.</w:t>
      </w:r>
      <w:r>
        <w:rPr>
          <w:rStyle w:val="FootnoteReference"/>
        </w:rPr>
        <w:footnoteReference w:id="5"/>
      </w:r>
    </w:p>
    <w:p w:rsidR="00C837B9" w:rsidRDefault="00C837B9" w:rsidP="00C837B9">
      <w:pPr>
        <w:pStyle w:val="Heading2"/>
      </w:pPr>
      <w:bookmarkStart w:id="10" w:name="_Toc404255900"/>
      <w:r>
        <w:t>AER's assessment approach</w:t>
      </w:r>
      <w:bookmarkEnd w:id="10"/>
    </w:p>
    <w:p w:rsidR="00C837B9" w:rsidRPr="00CD65AB" w:rsidRDefault="00C837B9" w:rsidP="00C837B9">
      <w:pPr>
        <w:pStyle w:val="AERbodytext"/>
      </w:pPr>
      <w:r>
        <w:t>Our</w:t>
      </w:r>
      <w:r w:rsidR="00630871">
        <w:t xml:space="preserve"> stage 1 f</w:t>
      </w:r>
      <w:r w:rsidRPr="00CD65AB">
        <w:t>ramework and approach paper</w:t>
      </w:r>
      <w:r>
        <w:t xml:space="preserve"> </w:t>
      </w:r>
      <w:r w:rsidRPr="00CD65AB">
        <w:t xml:space="preserve">decided the control mechanism </w:t>
      </w:r>
      <w:r>
        <w:t>for</w:t>
      </w:r>
      <w:r w:rsidRPr="00CD65AB">
        <w:t xml:space="preserve"> standard control services would be a</w:t>
      </w:r>
      <w:r>
        <w:t>n average</w:t>
      </w:r>
      <w:r w:rsidRPr="00CD65AB">
        <w:t xml:space="preserve"> revenue cap. </w:t>
      </w:r>
      <w:r>
        <w:t xml:space="preserve">We </w:t>
      </w:r>
      <w:r w:rsidRPr="00CD65AB">
        <w:t xml:space="preserve">also stated </w:t>
      </w:r>
      <w:r>
        <w:t xml:space="preserve">our </w:t>
      </w:r>
      <w:r w:rsidRPr="00CD65AB">
        <w:t>distribution determination would set out</w:t>
      </w:r>
      <w:r>
        <w:t xml:space="preserve"> </w:t>
      </w:r>
      <w:r w:rsidRPr="00CD65AB">
        <w:t>the basis of the control mechanism. The basis must be of the prospective CPI-X form (or some incentive-based variant).</w:t>
      </w:r>
      <w:r>
        <w:rPr>
          <w:rStyle w:val="FootnoteReference"/>
        </w:rPr>
        <w:footnoteReference w:id="6"/>
      </w:r>
      <w:r w:rsidRPr="00CD65AB">
        <w:t xml:space="preserve">  </w:t>
      </w:r>
    </w:p>
    <w:p w:rsidR="00C837B9" w:rsidRDefault="00CB3789" w:rsidP="00C837B9">
      <w:pPr>
        <w:pStyle w:val="AERbodytext"/>
      </w:pPr>
      <w:r>
        <w:t>ActewAGL</w:t>
      </w:r>
      <w:r w:rsidR="00C837B9">
        <w:t xml:space="preserve"> accepted our high level control mechanism for standard control services</w:t>
      </w:r>
      <w:r w:rsidR="00FE2154">
        <w:t xml:space="preserve"> as set out in our stage 1 framework and approach paper</w:t>
      </w:r>
      <w:r w:rsidR="00C837B9">
        <w:t>.</w:t>
      </w:r>
      <w:r w:rsidR="00C837B9">
        <w:rPr>
          <w:rStyle w:val="FootnoteReference"/>
        </w:rPr>
        <w:footnoteReference w:id="7"/>
      </w:r>
    </w:p>
    <w:p w:rsidR="00C837B9" w:rsidRDefault="00C837B9" w:rsidP="00C837B9">
      <w:pPr>
        <w:pStyle w:val="AERbodytext"/>
      </w:pPr>
      <w:r w:rsidRPr="00CD65AB">
        <w:t xml:space="preserve">In determining the control mechanism for standard control services, </w:t>
      </w:r>
      <w:r>
        <w:t>we</w:t>
      </w:r>
      <w:r w:rsidRPr="00CD65AB">
        <w:t xml:space="preserve"> must consider the factors in clause 6.2.5(c) of the NER for each revenue adjustment mechanism proposed and its application. This approach (1) satisfies the requirements of the NER and (2) reaffirms the framework and approach paper's decision to apply a revenue cap control mechanism for </w:t>
      </w:r>
      <w:r w:rsidR="00CB3789">
        <w:t>ActewAGL</w:t>
      </w:r>
      <w:r w:rsidRPr="00CD65AB">
        <w:t>'s standard control services in the next regulatory control period.</w:t>
      </w:r>
    </w:p>
    <w:p w:rsidR="00C837B9" w:rsidRDefault="00C837B9" w:rsidP="00C837B9">
      <w:pPr>
        <w:pStyle w:val="Heading2"/>
      </w:pPr>
      <w:bookmarkStart w:id="11" w:name="_Toc404255901"/>
      <w:r>
        <w:t>Reasons for draft decision</w:t>
      </w:r>
      <w:bookmarkEnd w:id="11"/>
    </w:p>
    <w:p w:rsidR="00C837B9" w:rsidRDefault="00C837B9" w:rsidP="00C837B9">
      <w:r w:rsidRPr="00286AFA">
        <w:t xml:space="preserve">Our </w:t>
      </w:r>
      <w:r>
        <w:t xml:space="preserve">stage 1 </w:t>
      </w:r>
      <w:r w:rsidRPr="00CD65AB">
        <w:t>framework and approach paper</w:t>
      </w:r>
      <w:r>
        <w:t xml:space="preserve"> deliberately </w:t>
      </w:r>
      <w:r w:rsidRPr="00286AFA">
        <w:t>set out a generic formula to give effect to the control mechanism for standard control service</w:t>
      </w:r>
      <w:r>
        <w:t>s</w:t>
      </w:r>
      <w:r w:rsidRPr="00286AFA">
        <w:t>.</w:t>
      </w:r>
      <w:r>
        <w:rPr>
          <w:rStyle w:val="FootnoteReference"/>
        </w:rPr>
        <w:footnoteReference w:id="8"/>
      </w:r>
      <w:r w:rsidRPr="00286AFA">
        <w:t xml:space="preserve"> </w:t>
      </w:r>
      <w:r>
        <w:t>The NER requires our framework and approach paper to include a control formula for the control mechanism even though the control formula requires parameters that would only be completed in our final distribution determination. T</w:t>
      </w:r>
      <w:r w:rsidRPr="00286AFA">
        <w:t xml:space="preserve">his draft decision </w:t>
      </w:r>
      <w:r>
        <w:t>clarifies</w:t>
      </w:r>
      <w:r w:rsidRPr="00286AFA">
        <w:t xml:space="preserve"> our position regarding the </w:t>
      </w:r>
      <w:r>
        <w:t xml:space="preserve">control formula and its respective </w:t>
      </w:r>
      <w:r w:rsidRPr="00286AFA">
        <w:t>parameters</w:t>
      </w:r>
      <w:r>
        <w:t xml:space="preserve">. </w:t>
      </w:r>
    </w:p>
    <w:p w:rsidR="00C837B9" w:rsidRDefault="00C837B9" w:rsidP="00C837B9">
      <w:pPr>
        <w:pStyle w:val="Heading2"/>
      </w:pPr>
      <w:bookmarkStart w:id="12" w:name="_Toc404255902"/>
      <w:r w:rsidRPr="0027596F">
        <w:t>Application of the revenue cap</w:t>
      </w:r>
      <w:bookmarkEnd w:id="12"/>
    </w:p>
    <w:p w:rsidR="00C837B9" w:rsidRDefault="00C837B9" w:rsidP="00C837B9">
      <w:pPr>
        <w:pStyle w:val="HeadingBoldBlue"/>
      </w:pPr>
      <w:r>
        <w:t>Annual revenue requirement as opposed to maximum allowable revenue</w:t>
      </w:r>
    </w:p>
    <w:p w:rsidR="00C837B9" w:rsidRPr="00CE57CF" w:rsidRDefault="00C837B9" w:rsidP="00C837B9">
      <w:pPr>
        <w:pStyle w:val="AERbodytext"/>
      </w:pPr>
      <w:r w:rsidRPr="00CE57CF">
        <w:t xml:space="preserve">The revenue cap for any given regulatory year is the </w:t>
      </w:r>
      <w:r w:rsidR="00917AF2">
        <w:t xml:space="preserve">average </w:t>
      </w:r>
      <w:r w:rsidRPr="00CE57CF">
        <w:t>annual revenue requirement (A</w:t>
      </w:r>
      <w:r w:rsidR="00917AF2">
        <w:t>A</w:t>
      </w:r>
      <w:r w:rsidRPr="00CE57CF">
        <w:t>RR) for distribution services</w:t>
      </w:r>
      <w:r>
        <w:t xml:space="preserve"> and not the maximum</w:t>
      </w:r>
      <w:r w:rsidR="00917AF2">
        <w:t xml:space="preserve"> average</w:t>
      </w:r>
      <w:r>
        <w:t xml:space="preserve"> allowable revenue (M</w:t>
      </w:r>
      <w:r w:rsidR="00917AF2">
        <w:t>A</w:t>
      </w:r>
      <w:r>
        <w:t>AR). We consider this change necessary to reflect chapter 6 of the NER.</w:t>
      </w:r>
    </w:p>
    <w:p w:rsidR="000E20ED" w:rsidRDefault="000E20ED" w:rsidP="000E20ED">
      <w:pPr>
        <w:pStyle w:val="HeadingBoldBlue"/>
      </w:pPr>
      <w:r>
        <w:t xml:space="preserve">Incentive Adjustment </w:t>
      </w:r>
    </w:p>
    <w:p w:rsidR="000E20ED" w:rsidRDefault="000E20ED" w:rsidP="000E20ED">
      <w:pPr>
        <w:pStyle w:val="AERbodytext"/>
      </w:pPr>
      <w:r>
        <w:t>ActewAGL</w:t>
      </w:r>
      <w:r w:rsidRPr="009029E6">
        <w:t xml:space="preserve"> </w:t>
      </w:r>
      <w:r>
        <w:t xml:space="preserve">accepted our decision that an annual adjustment should be applied to the </w:t>
      </w:r>
      <w:r w:rsidR="00192E24">
        <w:t>A</w:t>
      </w:r>
      <w:r>
        <w:t xml:space="preserve">ARR for revenue from distribution services, as a consequence of the operation of an incentive scheme. As </w:t>
      </w:r>
      <w:r>
        <w:lastRenderedPageBreak/>
        <w:t xml:space="preserve">stated in the service standards </w:t>
      </w:r>
      <w:r w:rsidR="00573F08">
        <w:t>attachment</w:t>
      </w:r>
      <w:r>
        <w:t xml:space="preserve"> we will apply a Service Target Performance Incentive Scheme (S-factor) to </w:t>
      </w:r>
      <w:r w:rsidR="00E826DC">
        <w:t>ActewAGL</w:t>
      </w:r>
      <w:r>
        <w:t xml:space="preserve"> in the 2015–19 period.</w:t>
      </w:r>
      <w:r>
        <w:rPr>
          <w:rStyle w:val="FootnoteReference"/>
        </w:rPr>
        <w:footnoteReference w:id="9"/>
      </w:r>
      <w:r>
        <w:t xml:space="preserve"> </w:t>
      </w:r>
    </w:p>
    <w:p w:rsidR="00C837B9" w:rsidRDefault="00C837B9" w:rsidP="00C837B9">
      <w:pPr>
        <w:pStyle w:val="HeadingBoldBlue"/>
      </w:pPr>
      <w:r>
        <w:t>Transitional Adjustment (T-factor)</w:t>
      </w:r>
    </w:p>
    <w:p w:rsidR="00FE2154" w:rsidRDefault="00FE2154" w:rsidP="00FE2154">
      <w:r w:rsidRPr="00FE2154">
        <w:t xml:space="preserve">We included a transitional adjustment parameter in our control formula to account for the difference in the notional revenue for the 2014-15 regulatory year established in this decision and the placeholder revenue in our transitional decision for NSW and ACT. We consider that a transitional adjustment parameter is no longer required as we have taken into account this difference as part of the true-up in establishing the smoothed total revenues over the 2015-19 period for this decision. Refer to </w:t>
      </w:r>
      <w:r w:rsidR="00412E09">
        <w:t xml:space="preserve">the revenue </w:t>
      </w:r>
      <w:r w:rsidRPr="00FE2154">
        <w:t>attachment for further details on the true-up.</w:t>
      </w:r>
    </w:p>
    <w:p w:rsidR="00C837B9" w:rsidRPr="00FC530C" w:rsidRDefault="00C837B9" w:rsidP="00C837B9">
      <w:pPr>
        <w:pStyle w:val="HeadingBoldBlue"/>
      </w:pPr>
      <w:r>
        <w:t xml:space="preserve">Annual adjustment (B-factor): pass through and metering residual values </w:t>
      </w:r>
    </w:p>
    <w:p w:rsidR="00C837B9" w:rsidRDefault="00C837B9" w:rsidP="00C837B9">
      <w:pPr>
        <w:pStyle w:val="AERbodytext"/>
      </w:pPr>
      <w:r w:rsidRPr="00FC530C">
        <w:t xml:space="preserve">Our </w:t>
      </w:r>
      <w:r w:rsidR="00917AF2">
        <w:t xml:space="preserve">stage 1 </w:t>
      </w:r>
      <w:r w:rsidRPr="00FC530C">
        <w:t xml:space="preserve">framework and approach paper included an annual adjustment (B-factor) to account for any differences </w:t>
      </w:r>
      <w:r>
        <w:t xml:space="preserve">in </w:t>
      </w:r>
      <w:r w:rsidRPr="00FC530C">
        <w:t xml:space="preserve">revenue recovered compared to </w:t>
      </w:r>
      <w:r>
        <w:t>A</w:t>
      </w:r>
      <w:r w:rsidR="00917AF2">
        <w:t>A</w:t>
      </w:r>
      <w:r>
        <w:t xml:space="preserve">RR </w:t>
      </w:r>
      <w:r w:rsidR="000E20ED">
        <w:t>f</w:t>
      </w:r>
      <w:r w:rsidRPr="00FC530C">
        <w:t xml:space="preserve">or </w:t>
      </w:r>
      <w:r w:rsidR="000E20ED">
        <w:t>any given year</w:t>
      </w:r>
      <w:r w:rsidRPr="00FC530C">
        <w:t>.</w:t>
      </w:r>
      <w:r>
        <w:t xml:space="preserve"> </w:t>
      </w:r>
      <w:r w:rsidRPr="00FC530C">
        <w:t xml:space="preserve">In its regulatory proposal </w:t>
      </w:r>
      <w:r w:rsidR="00CB3789">
        <w:t>ActewAGL</w:t>
      </w:r>
      <w:r w:rsidRPr="00FC530C">
        <w:t xml:space="preserve"> accepted our B-factor</w:t>
      </w:r>
      <w:r>
        <w:t>.</w:t>
      </w:r>
    </w:p>
    <w:p w:rsidR="00C837B9" w:rsidRDefault="00C837B9" w:rsidP="00C837B9">
      <w:pPr>
        <w:pStyle w:val="AERbodytext"/>
      </w:pPr>
      <w:r>
        <w:t xml:space="preserve">We </w:t>
      </w:r>
      <w:r w:rsidR="009A2645">
        <w:t>consider</w:t>
      </w:r>
      <w:r w:rsidDel="00DC41FC">
        <w:t xml:space="preserve"> </w:t>
      </w:r>
      <w:r>
        <w:t>that the B-factor should account for:</w:t>
      </w:r>
    </w:p>
    <w:p w:rsidR="00C837B9" w:rsidRDefault="00C837B9" w:rsidP="00C837B9">
      <w:pPr>
        <w:pStyle w:val="AERbulletlistfirststyle"/>
      </w:pPr>
      <w:r>
        <w:t>approved pass through amounts</w:t>
      </w:r>
    </w:p>
    <w:p w:rsidR="00C837B9" w:rsidRDefault="00C837B9" w:rsidP="00C837B9">
      <w:pPr>
        <w:pStyle w:val="AERbulletlistfirststyle"/>
      </w:pPr>
      <w:r>
        <w:t>residual metering asset costs from alternative control exit fees.</w:t>
      </w:r>
    </w:p>
    <w:p w:rsidR="009A2645" w:rsidRDefault="00C837B9" w:rsidP="009A2645">
      <w:r w:rsidRPr="009A2645">
        <w:t xml:space="preserve">Adding DUoS unders and overs to the B factor would over complicate the </w:t>
      </w:r>
      <w:r w:rsidR="00502697">
        <w:t>mechanism</w:t>
      </w:r>
      <w:r w:rsidRPr="009A2645">
        <w:t xml:space="preserve">. Consequently we consider that DUoS unders and overs recovery should be accounted for </w:t>
      </w:r>
      <w:r w:rsidR="00917AF2">
        <w:t>as</w:t>
      </w:r>
      <w:r w:rsidRPr="009A2645">
        <w:t xml:space="preserve"> an additional factor outlined in section </w:t>
      </w:r>
      <w:r w:rsidR="00917AF2">
        <w:fldChar w:fldCharType="begin"/>
      </w:r>
      <w:r w:rsidR="00917AF2">
        <w:instrText xml:space="preserve"> REF _Ref401740709 \r \h </w:instrText>
      </w:r>
      <w:r w:rsidR="00917AF2">
        <w:fldChar w:fldCharType="separate"/>
      </w:r>
      <w:r w:rsidR="00C54017">
        <w:t>14.5.1</w:t>
      </w:r>
      <w:r w:rsidR="00917AF2">
        <w:fldChar w:fldCharType="end"/>
      </w:r>
      <w:r w:rsidRPr="009A2645">
        <w:t xml:space="preserve"> below. </w:t>
      </w:r>
    </w:p>
    <w:p w:rsidR="00C837B9" w:rsidRDefault="00C837B9" w:rsidP="009A2645">
      <w:pPr>
        <w:pStyle w:val="HeadingBoldBlue"/>
      </w:pPr>
      <w:r>
        <w:t>Approved pass through amounts</w:t>
      </w:r>
    </w:p>
    <w:p w:rsidR="00C837B9" w:rsidRDefault="00C837B9" w:rsidP="00C837B9">
      <w:pPr>
        <w:pStyle w:val="AERbodytext"/>
      </w:pPr>
      <w:r>
        <w:t xml:space="preserve">The generic formulaic expression in our framework and approach paper does include a factor </w:t>
      </w:r>
      <w:r w:rsidR="00502697">
        <w:t xml:space="preserve">to adjust </w:t>
      </w:r>
      <w:r>
        <w:t>the A</w:t>
      </w:r>
      <w:r w:rsidR="00E64AD8">
        <w:t>A</w:t>
      </w:r>
      <w:r>
        <w:t>RR for approved pass through amounts. At that time we envisaged that any approved pass through amounts would be adjusted for as part of the B-factor. Approved pass throughs will be recovered via the B-factor during 2015–19.</w:t>
      </w:r>
    </w:p>
    <w:p w:rsidR="00C837B9" w:rsidRDefault="00C837B9" w:rsidP="00C837B9">
      <w:pPr>
        <w:pStyle w:val="AERbodytext"/>
      </w:pPr>
      <w:r w:rsidRPr="000B7048">
        <w:t xml:space="preserve">We consider </w:t>
      </w:r>
      <w:r>
        <w:t>that the control mechanism should be adjusted for any cost pass through amounts that we approve.</w:t>
      </w:r>
      <w:r w:rsidR="000E20ED">
        <w:t xml:space="preserve"> This is consistent with our previous decisions on distribution control mechanisms.</w:t>
      </w:r>
      <w:r>
        <w:t xml:space="preserve"> </w:t>
      </w:r>
    </w:p>
    <w:p w:rsidR="00C837B9" w:rsidRPr="00294CB8" w:rsidRDefault="00C837B9" w:rsidP="000E20ED">
      <w:pPr>
        <w:pStyle w:val="HeadingBoldBlue"/>
      </w:pPr>
      <w:r>
        <w:t>R</w:t>
      </w:r>
      <w:r w:rsidRPr="00294CB8">
        <w:t>esidual metering assets costs fro</w:t>
      </w:r>
      <w:r>
        <w:t>m alternative control exit fees</w:t>
      </w:r>
    </w:p>
    <w:p w:rsidR="00A84C94" w:rsidRPr="00A84C94" w:rsidRDefault="00A84C94" w:rsidP="00A84C94">
      <w:r w:rsidRPr="00A84C94">
        <w:t>We consider that recovering residual metering costs</w:t>
      </w:r>
      <w:r w:rsidRPr="00A84C94">
        <w:rPr>
          <w:rStyle w:val="FootnoteReference"/>
        </w:rPr>
        <w:footnoteReference w:id="10"/>
      </w:r>
      <w:r w:rsidRPr="00A84C94">
        <w:t xml:space="preserve"> by way of a lump sum unbundled exit fee in alternative control services would:</w:t>
      </w:r>
    </w:p>
    <w:p w:rsidR="00A84C94" w:rsidRPr="00A84C94" w:rsidRDefault="00A84C94" w:rsidP="00A84C94">
      <w:pPr>
        <w:pStyle w:val="AERbulletlistfirststyle"/>
      </w:pPr>
      <w:r w:rsidRPr="00A84C94">
        <w:t>not promote efficient long term outcomes for consumers and</w:t>
      </w:r>
    </w:p>
    <w:p w:rsidR="00A84C94" w:rsidRPr="00A84C94" w:rsidRDefault="00A84C94" w:rsidP="00A84C94">
      <w:pPr>
        <w:pStyle w:val="AERbulletlistfirststyle"/>
      </w:pPr>
      <w:r w:rsidRPr="00A84C94">
        <w:t xml:space="preserve">may also stymie meter switching given the lack of connection between a these costs and a customer’s exact metering specifications. </w:t>
      </w:r>
    </w:p>
    <w:p w:rsidR="00A84C94" w:rsidRPr="00A84C94" w:rsidRDefault="00A84C94" w:rsidP="00A84C94">
      <w:r w:rsidRPr="00A84C94">
        <w:t>We therefore consider that recovering these residual costs by way of an adjustment to standard control services would least distort efficient outcomes. Our detailed discussion on residual metering costs is found in the metering attachment of this draft decision.</w:t>
      </w:r>
    </w:p>
    <w:p w:rsidR="00C837B9" w:rsidRPr="00FC530C" w:rsidRDefault="000E20ED" w:rsidP="00C837B9">
      <w:pPr>
        <w:pStyle w:val="AERbodytext"/>
      </w:pPr>
      <w:r>
        <w:lastRenderedPageBreak/>
        <w:t xml:space="preserve">To limit price shocks we have determined that </w:t>
      </w:r>
      <w:r w:rsidR="00CB3789">
        <w:t>ActewAGL</w:t>
      </w:r>
      <w:r w:rsidR="00C837B9" w:rsidRPr="00FC530C">
        <w:t xml:space="preserve"> will implement tolerance limits to its </w:t>
      </w:r>
      <w:r w:rsidR="00C837B9">
        <w:t>recovery of r</w:t>
      </w:r>
      <w:r w:rsidR="00C837B9" w:rsidRPr="007F5B59">
        <w:t xml:space="preserve">esidual metering asset costs from alternative control </w:t>
      </w:r>
      <w:r w:rsidR="00C837B9">
        <w:t xml:space="preserve">service </w:t>
      </w:r>
      <w:r w:rsidR="00C837B9" w:rsidRPr="007F5B59">
        <w:t>exit fees</w:t>
      </w:r>
      <w:r w:rsidR="00C837B9">
        <w:t xml:space="preserve">. </w:t>
      </w:r>
      <w:r w:rsidR="00C837B9" w:rsidRPr="00FC530C">
        <w:t xml:space="preserve">If the </w:t>
      </w:r>
      <w:r w:rsidR="00C837B9">
        <w:t xml:space="preserve">residual metering asset costs </w:t>
      </w:r>
      <w:r w:rsidR="00C837B9" w:rsidRPr="00FC530C">
        <w:t>under/over</w:t>
      </w:r>
      <w:r w:rsidR="00C837B9">
        <w:t xml:space="preserve"> </w:t>
      </w:r>
      <w:r w:rsidR="00C837B9" w:rsidRPr="00FC530C">
        <w:t>recover</w:t>
      </w:r>
      <w:r w:rsidR="00C837B9">
        <w:t>y</w:t>
      </w:r>
      <w:r w:rsidR="00C837B9" w:rsidRPr="00FC530C">
        <w:t xml:space="preserve"> compared to the </w:t>
      </w:r>
      <w:r w:rsidR="00C837B9">
        <w:t>A</w:t>
      </w:r>
      <w:r w:rsidR="00917AF2">
        <w:t>A</w:t>
      </w:r>
      <w:r w:rsidR="00C837B9">
        <w:t>RR</w:t>
      </w:r>
      <w:r w:rsidR="00C837B9" w:rsidRPr="00FC530C">
        <w:t xml:space="preserve"> for year t are:</w:t>
      </w:r>
    </w:p>
    <w:p w:rsidR="00C837B9" w:rsidRPr="00FC530C" w:rsidRDefault="00C837B9" w:rsidP="00C837B9">
      <w:pPr>
        <w:pStyle w:val="AERbulletlistfirststyle"/>
      </w:pPr>
      <w:r w:rsidRPr="00FC530C">
        <w:t xml:space="preserve">less than </w:t>
      </w:r>
      <w:r>
        <w:t>two</w:t>
      </w:r>
      <w:r w:rsidRPr="00FC530C">
        <w:t xml:space="preserve"> per cent, the </w:t>
      </w:r>
      <w:r>
        <w:t xml:space="preserve">residual metering assets costs </w:t>
      </w:r>
      <w:r w:rsidRPr="00FC530C">
        <w:t>under/over recovery will be cleared within one regulatory year</w:t>
      </w:r>
    </w:p>
    <w:p w:rsidR="00C837B9" w:rsidRPr="00301F4F" w:rsidRDefault="00C837B9" w:rsidP="00C837B9">
      <w:pPr>
        <w:pStyle w:val="AERbulletlistfirststyle"/>
      </w:pPr>
      <w:r>
        <w:t>greater than two</w:t>
      </w:r>
      <w:r w:rsidRPr="00FC530C">
        <w:t xml:space="preserve"> </w:t>
      </w:r>
      <w:r>
        <w:t>per cent, the residual metering assets costs</w:t>
      </w:r>
      <w:r w:rsidRPr="00FC530C">
        <w:t xml:space="preserve"> under/over recovery </w:t>
      </w:r>
      <w:r>
        <w:t>will be recovered in the remainder of the regulatory control period.</w:t>
      </w:r>
    </w:p>
    <w:p w:rsidR="00C837B9" w:rsidRPr="00C80103" w:rsidRDefault="00C837B9" w:rsidP="00C837B9">
      <w:pPr>
        <w:pStyle w:val="Heading3"/>
      </w:pPr>
      <w:bookmarkStart w:id="13" w:name="_Ref401740709"/>
      <w:bookmarkStart w:id="14" w:name="_Toc404255903"/>
      <w:r w:rsidRPr="00C80103">
        <w:t xml:space="preserve">Under and over recovery mechanism </w:t>
      </w:r>
      <w:r>
        <w:t>for</w:t>
      </w:r>
      <w:r w:rsidRPr="00C80103">
        <w:t xml:space="preserve"> DU</w:t>
      </w:r>
      <w:r w:rsidR="000E20ED">
        <w:t>o</w:t>
      </w:r>
      <w:r w:rsidRPr="00C80103">
        <w:t>S</w:t>
      </w:r>
      <w:bookmarkEnd w:id="13"/>
      <w:bookmarkEnd w:id="14"/>
    </w:p>
    <w:p w:rsidR="00C837B9" w:rsidRDefault="00C837B9" w:rsidP="00A5309B">
      <w:pPr>
        <w:pStyle w:val="AERbodytext"/>
      </w:pPr>
      <w:r>
        <w:t xml:space="preserve">DUoS </w:t>
      </w:r>
      <w:r w:rsidRPr="00C20A0B">
        <w:t xml:space="preserve">charges are recovered from distribution customers through the pricing proposal. </w:t>
      </w:r>
      <w:r w:rsidR="00A5309B">
        <w:t xml:space="preserve">ActewAGL's proposal is silent on the </w:t>
      </w:r>
      <w:r w:rsidRPr="00C20A0B">
        <w:t>unders and overs mechanism</w:t>
      </w:r>
      <w:r w:rsidR="00A5309B">
        <w:t xml:space="preserve">. In accordance with the price controls we will apply an unders and overs mechanism in the side constraint formula because </w:t>
      </w:r>
      <w:r>
        <w:t xml:space="preserve">it reduces </w:t>
      </w:r>
      <w:r w:rsidRPr="00C226EE">
        <w:t xml:space="preserve">the likelihood of price shocks. This method </w:t>
      </w:r>
      <w:r>
        <w:t xml:space="preserve">also </w:t>
      </w:r>
      <w:r w:rsidRPr="00C226EE">
        <w:t xml:space="preserve">creates a smoothing of the </w:t>
      </w:r>
      <w:r>
        <w:t xml:space="preserve">DUoS </w:t>
      </w:r>
      <w:r w:rsidRPr="00C226EE">
        <w:t xml:space="preserve">under and over recovery </w:t>
      </w:r>
      <w:r>
        <w:t xml:space="preserve">amounts </w:t>
      </w:r>
      <w:r w:rsidRPr="00C226EE">
        <w:t xml:space="preserve">because it provides more updated and accurate estimated and </w:t>
      </w:r>
      <w:r>
        <w:t xml:space="preserve">forecast data. It is also consistent with our approach </w:t>
      </w:r>
      <w:r w:rsidR="00A5309B">
        <w:t>current approach for ActewAGL.</w:t>
      </w:r>
      <w:r>
        <w:t xml:space="preserve"> </w:t>
      </w:r>
    </w:p>
    <w:p w:rsidR="00C837B9" w:rsidRDefault="00C837B9" w:rsidP="00C837B9">
      <w:pPr>
        <w:pStyle w:val="AERbodytext"/>
      </w:pPr>
      <w:r>
        <w:t xml:space="preserve">We are also required to make a decision on how </w:t>
      </w:r>
      <w:r w:rsidR="00CB3789">
        <w:t>ActewAGL</w:t>
      </w:r>
      <w:r>
        <w:t xml:space="preserve"> will report to us on the </w:t>
      </w:r>
      <w:r w:rsidRPr="00FC72D4">
        <w:t xml:space="preserve">recovery of </w:t>
      </w:r>
      <w:r w:rsidR="006B0063">
        <w:t>designated pricing proposal char</w:t>
      </w:r>
      <w:r w:rsidRPr="00FC72D4">
        <w:t>ges</w:t>
      </w:r>
      <w:r w:rsidR="00502697">
        <w:t xml:space="preserve"> (DUo</w:t>
      </w:r>
      <w:r w:rsidR="00917AF2">
        <w:t>S</w:t>
      </w:r>
      <w:r>
        <w:t xml:space="preserve"> unders and overs account)</w:t>
      </w:r>
      <w:r w:rsidRPr="00FC72D4">
        <w:t>.</w:t>
      </w:r>
      <w:r>
        <w:rPr>
          <w:rStyle w:val="FootnoteReference"/>
        </w:rPr>
        <w:footnoteReference w:id="11"/>
      </w:r>
      <w:r>
        <w:t xml:space="preserve"> </w:t>
      </w:r>
      <w:r w:rsidRPr="00B01FFA">
        <w:t xml:space="preserve">The operation of this </w:t>
      </w:r>
      <w:r>
        <w:t xml:space="preserve">method </w:t>
      </w:r>
      <w:r w:rsidRPr="00B01FFA">
        <w:t xml:space="preserve">is detailed in appendix </w:t>
      </w:r>
      <w:r>
        <w:t>A</w:t>
      </w:r>
      <w:r w:rsidRPr="00B01FFA">
        <w:t>.</w:t>
      </w:r>
    </w:p>
    <w:p w:rsidR="00C837B9" w:rsidRDefault="00C837B9" w:rsidP="00C837B9">
      <w:pPr>
        <w:pStyle w:val="AERbodytext"/>
      </w:pPr>
      <w:r w:rsidRPr="0057057F">
        <w:t xml:space="preserve">In deciding on the control mechanism for standard control services, </w:t>
      </w:r>
      <w:r>
        <w:t>we</w:t>
      </w:r>
      <w:r w:rsidRPr="0057057F">
        <w:t xml:space="preserve"> must consider the five factors under clause 6.2.5 (c) of the NER. In deciding that the </w:t>
      </w:r>
      <w:r>
        <w:t>DUo</w:t>
      </w:r>
      <w:r w:rsidR="00917AF2">
        <w:t>S</w:t>
      </w:r>
      <w:r w:rsidRPr="0057057F">
        <w:t xml:space="preserve"> unders and overs mechanism should operate, </w:t>
      </w:r>
      <w:r>
        <w:t>we</w:t>
      </w:r>
      <w:r w:rsidRPr="0057057F">
        <w:t xml:space="preserve"> considered that the impact on efficient tariff structures and the desirability for a consistent regulatory approach. Consideration of these factors is outlined in </w:t>
      </w:r>
      <w:r w:rsidR="00C54017">
        <w:fldChar w:fldCharType="begin"/>
      </w:r>
      <w:r w:rsidR="00C54017">
        <w:instrText xml:space="preserve"> REF _Ref404255488 \h </w:instrText>
      </w:r>
      <w:r w:rsidR="00C54017">
        <w:fldChar w:fldCharType="separate"/>
      </w:r>
      <w:r w:rsidR="00E94F1B">
        <w:t xml:space="preserve">Table </w:t>
      </w:r>
      <w:r w:rsidR="00E94F1B">
        <w:rPr>
          <w:noProof/>
        </w:rPr>
        <w:t>14</w:t>
      </w:r>
      <w:r w:rsidR="00E94F1B">
        <w:t>.</w:t>
      </w:r>
      <w:r w:rsidR="00E94F1B">
        <w:rPr>
          <w:noProof/>
        </w:rPr>
        <w:t>1</w:t>
      </w:r>
      <w:r w:rsidR="00C54017">
        <w:fldChar w:fldCharType="end"/>
      </w:r>
      <w:r w:rsidR="00C54017">
        <w:t xml:space="preserve"> </w:t>
      </w:r>
      <w:r w:rsidRPr="0057057F">
        <w:t>below:</w:t>
      </w:r>
    </w:p>
    <w:p w:rsidR="00C837B9" w:rsidRPr="003F38D8" w:rsidRDefault="00C54017" w:rsidP="00C54017">
      <w:pPr>
        <w:pStyle w:val="Caption"/>
        <w:rPr>
          <w:rStyle w:val="AERtextbold"/>
        </w:rPr>
      </w:pPr>
      <w:bookmarkStart w:id="15" w:name="_Ref404255488"/>
      <w:r>
        <w:t xml:space="preserve">Table </w:t>
      </w:r>
      <w:r w:rsidR="003737A8">
        <w:fldChar w:fldCharType="begin"/>
      </w:r>
      <w:r w:rsidR="003737A8">
        <w:instrText xml:space="preserve"> STYLEREF 1 \s </w:instrText>
      </w:r>
      <w:r w:rsidR="003737A8">
        <w:fldChar w:fldCharType="separate"/>
      </w:r>
      <w:r>
        <w:rPr>
          <w:noProof/>
        </w:rPr>
        <w:t>14</w:t>
      </w:r>
      <w:r w:rsidR="003737A8">
        <w:rPr>
          <w:noProof/>
        </w:rPr>
        <w:fldChar w:fldCharType="end"/>
      </w:r>
      <w:r>
        <w:t>.</w:t>
      </w:r>
      <w:fldSimple w:instr=" SEQ Table \* ARABIC \s 1 ">
        <w:r w:rsidR="00E94F1B">
          <w:rPr>
            <w:noProof/>
          </w:rPr>
          <w:t>1</w:t>
        </w:r>
      </w:fldSimple>
      <w:bookmarkEnd w:id="15"/>
      <w:r>
        <w:tab/>
      </w:r>
      <w:r w:rsidRPr="00C54017">
        <w:t>NER factors and the DUoS unders and overs mechanism</w:t>
      </w:r>
    </w:p>
    <w:tbl>
      <w:tblPr>
        <w:tblStyle w:val="AERtable-text"/>
        <w:tblW w:w="0" w:type="auto"/>
        <w:tblLook w:val="04A0" w:firstRow="1" w:lastRow="0" w:firstColumn="1" w:lastColumn="0" w:noHBand="0" w:noVBand="1"/>
      </w:tblPr>
      <w:tblGrid>
        <w:gridCol w:w="1831"/>
        <w:gridCol w:w="7411"/>
      </w:tblGrid>
      <w:tr w:rsidR="00C837B9" w:rsidTr="00C837B9">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C837B9" w:rsidRPr="00C837B9" w:rsidRDefault="00C837B9" w:rsidP="00C837B9">
            <w:r w:rsidRPr="007735EB">
              <w:t>NER Factor</w:t>
            </w:r>
          </w:p>
        </w:tc>
        <w:tc>
          <w:tcPr>
            <w:tcW w:w="0" w:type="auto"/>
            <w:vAlign w:val="top"/>
          </w:tcPr>
          <w:p w:rsidR="00C837B9" w:rsidRPr="00C837B9" w:rsidRDefault="00C837B9" w:rsidP="00C837B9">
            <w:r w:rsidRPr="007735EB">
              <w:t>AER consideration</w:t>
            </w:r>
          </w:p>
        </w:tc>
      </w:tr>
      <w:tr w:rsidR="00C837B9" w:rsidTr="00C837B9">
        <w:trPr>
          <w:trHeight w:val="373"/>
        </w:trPr>
        <w:tc>
          <w:tcPr>
            <w:tcW w:w="0" w:type="auto"/>
          </w:tcPr>
          <w:p w:rsidR="00C837B9" w:rsidRPr="00C837B9" w:rsidRDefault="00C837B9" w:rsidP="00C837B9">
            <w:pPr>
              <w:pStyle w:val="AERtabletextleft"/>
            </w:pPr>
            <w:r w:rsidRPr="007735EB">
              <w:t>Efficient tariff structures</w:t>
            </w:r>
          </w:p>
          <w:p w:rsidR="00C837B9" w:rsidRPr="007735EB" w:rsidRDefault="00C837B9" w:rsidP="00C837B9">
            <w:pPr>
              <w:pStyle w:val="AERtabletextleft"/>
            </w:pPr>
          </w:p>
        </w:tc>
        <w:tc>
          <w:tcPr>
            <w:tcW w:w="0" w:type="auto"/>
          </w:tcPr>
          <w:p w:rsidR="00C837B9" w:rsidRPr="00C837B9" w:rsidRDefault="00C837B9" w:rsidP="00C837B9">
            <w:pPr>
              <w:pStyle w:val="AERtabletextleft"/>
            </w:pPr>
            <w:r>
              <w:t>We</w:t>
            </w:r>
            <w:r w:rsidRPr="00C837B9">
              <w:t xml:space="preserve"> consider efficient tariff structures should reflect the efficient costs of providing services. Mechanisms that do not result in changes in tariffs reflecting underlying changes in the costs of providing services distort the ability of tariffs to send appropriate signals to consumers. Such distortions are not consistent with the need to set efficient tariff structures.</w:t>
            </w:r>
          </w:p>
        </w:tc>
      </w:tr>
      <w:tr w:rsidR="00C837B9" w:rsidTr="00C837B9">
        <w:trPr>
          <w:cnfStyle w:val="000000010000" w:firstRow="0" w:lastRow="0" w:firstColumn="0" w:lastColumn="0" w:oddVBand="0" w:evenVBand="0" w:oddHBand="0" w:evenHBand="1" w:firstRowFirstColumn="0" w:firstRowLastColumn="0" w:lastRowFirstColumn="0" w:lastRowLastColumn="0"/>
        </w:trPr>
        <w:tc>
          <w:tcPr>
            <w:tcW w:w="0" w:type="auto"/>
          </w:tcPr>
          <w:p w:rsidR="00C837B9" w:rsidRPr="00C837B9" w:rsidRDefault="00C837B9" w:rsidP="00C837B9">
            <w:pPr>
              <w:pStyle w:val="AERtabletextleft"/>
            </w:pPr>
            <w:r w:rsidRPr="007735EB">
              <w:t>Administrative costs</w:t>
            </w:r>
          </w:p>
          <w:p w:rsidR="00C837B9" w:rsidRPr="007735EB" w:rsidRDefault="00C837B9" w:rsidP="00C837B9">
            <w:pPr>
              <w:pStyle w:val="AERtabletextleft"/>
            </w:pPr>
          </w:p>
        </w:tc>
        <w:tc>
          <w:tcPr>
            <w:tcW w:w="0" w:type="auto"/>
          </w:tcPr>
          <w:p w:rsidR="00C837B9" w:rsidRPr="00C837B9" w:rsidRDefault="00C837B9" w:rsidP="00C837B9">
            <w:pPr>
              <w:pStyle w:val="AERtabletextleft"/>
            </w:pPr>
            <w:r w:rsidRPr="007735EB">
              <w:t xml:space="preserve">There are no additional administrative costs associated with </w:t>
            </w:r>
            <w:r w:rsidR="00CB3789">
              <w:t>ActewAGL</w:t>
            </w:r>
            <w:r w:rsidRPr="00C837B9">
              <w:t>'s proposed approach to accounting for DUoS under and overs.</w:t>
            </w:r>
          </w:p>
        </w:tc>
      </w:tr>
      <w:tr w:rsidR="00C837B9" w:rsidTr="00C837B9">
        <w:tc>
          <w:tcPr>
            <w:tcW w:w="0" w:type="auto"/>
          </w:tcPr>
          <w:p w:rsidR="00C837B9" w:rsidRPr="00C837B9" w:rsidRDefault="00C837B9" w:rsidP="00C837B9">
            <w:pPr>
              <w:pStyle w:val="AERtabletextleft"/>
            </w:pPr>
            <w:r w:rsidRPr="007735EB">
              <w:t>Previous regulatory arrangements</w:t>
            </w:r>
          </w:p>
        </w:tc>
        <w:tc>
          <w:tcPr>
            <w:tcW w:w="0" w:type="auto"/>
          </w:tcPr>
          <w:p w:rsidR="00C837B9" w:rsidRPr="00C837B9" w:rsidRDefault="00C837B9" w:rsidP="00C837B9">
            <w:pPr>
              <w:pStyle w:val="AERtabletextleft"/>
            </w:pPr>
            <w:r>
              <w:t xml:space="preserve">We have </w:t>
            </w:r>
            <w:r w:rsidRPr="00C837B9">
              <w:t xml:space="preserve">applied </w:t>
            </w:r>
            <w:r w:rsidR="00CB3789">
              <w:t>ActewAGL</w:t>
            </w:r>
            <w:r w:rsidRPr="00C837B9">
              <w:t xml:space="preserve">'s proposed approach in the current regulatory period. </w:t>
            </w:r>
          </w:p>
        </w:tc>
      </w:tr>
      <w:tr w:rsidR="00C837B9" w:rsidTr="00C837B9">
        <w:trPr>
          <w:cnfStyle w:val="000000010000" w:firstRow="0" w:lastRow="0" w:firstColumn="0" w:lastColumn="0" w:oddVBand="0" w:evenVBand="0" w:oddHBand="0" w:evenHBand="1" w:firstRowFirstColumn="0" w:firstRowLastColumn="0" w:lastRowFirstColumn="0" w:lastRowLastColumn="0"/>
        </w:trPr>
        <w:tc>
          <w:tcPr>
            <w:tcW w:w="0" w:type="auto"/>
          </w:tcPr>
          <w:p w:rsidR="00C837B9" w:rsidRPr="00C837B9" w:rsidRDefault="00C837B9" w:rsidP="00C837B9">
            <w:pPr>
              <w:pStyle w:val="AERtabletextleft"/>
            </w:pPr>
            <w:r w:rsidRPr="007735EB">
              <w:t xml:space="preserve">Desirability for a consistent </w:t>
            </w:r>
            <w:r w:rsidRPr="00C837B9">
              <w:t>regulatory approach</w:t>
            </w:r>
          </w:p>
          <w:p w:rsidR="00C837B9" w:rsidRPr="007735EB" w:rsidRDefault="00C837B9" w:rsidP="00C837B9">
            <w:pPr>
              <w:pStyle w:val="AERtabletextleft"/>
            </w:pPr>
          </w:p>
        </w:tc>
        <w:tc>
          <w:tcPr>
            <w:tcW w:w="0" w:type="auto"/>
          </w:tcPr>
          <w:p w:rsidR="00C837B9" w:rsidRPr="00C837B9" w:rsidRDefault="00CB3789" w:rsidP="00C54017">
            <w:pPr>
              <w:pStyle w:val="AERtabletextleft"/>
            </w:pPr>
            <w:r>
              <w:t>ActewAGL</w:t>
            </w:r>
            <w:r w:rsidR="00C837B9">
              <w:t xml:space="preserve">, </w:t>
            </w:r>
            <w:r w:rsidR="00C837B9" w:rsidRPr="00C837B9">
              <w:t xml:space="preserve">Aurora and the Queensland </w:t>
            </w:r>
            <w:r w:rsidR="00C54017">
              <w:t>distributors</w:t>
            </w:r>
            <w:r w:rsidR="00C837B9" w:rsidRPr="00C837B9">
              <w:t xml:space="preserve"> are subject to revenue caps in the NEM. The Queensland </w:t>
            </w:r>
            <w:r w:rsidR="00C54017">
              <w:t>distributors</w:t>
            </w:r>
            <w:r w:rsidR="00C837B9" w:rsidRPr="00C837B9">
              <w:t xml:space="preserve"> and Aurora account for DUoS under and over recovery in the same way as proposed by </w:t>
            </w:r>
            <w:r>
              <w:t>ActewAGL</w:t>
            </w:r>
            <w:r w:rsidR="00C837B9" w:rsidRPr="00C837B9">
              <w:t>.</w:t>
            </w:r>
          </w:p>
        </w:tc>
      </w:tr>
      <w:tr w:rsidR="00C837B9" w:rsidTr="00C837B9">
        <w:tc>
          <w:tcPr>
            <w:tcW w:w="0" w:type="auto"/>
            <w:vAlign w:val="top"/>
          </w:tcPr>
          <w:p w:rsidR="00C837B9" w:rsidRPr="00C837B9" w:rsidRDefault="00C837B9" w:rsidP="00C837B9">
            <w:pPr>
              <w:pStyle w:val="AERtabletextleft"/>
            </w:pPr>
            <w:r w:rsidRPr="007735EB">
              <w:t>Any other relevant factor</w:t>
            </w:r>
          </w:p>
        </w:tc>
        <w:tc>
          <w:tcPr>
            <w:tcW w:w="0" w:type="auto"/>
          </w:tcPr>
          <w:p w:rsidR="00C837B9" w:rsidRPr="00C837B9" w:rsidRDefault="00C837B9" w:rsidP="00C837B9">
            <w:pPr>
              <w:pStyle w:val="AERtabletextleft"/>
            </w:pPr>
            <w:r w:rsidRPr="007735EB">
              <w:t>There are no other relevant factors.</w:t>
            </w:r>
          </w:p>
        </w:tc>
      </w:tr>
    </w:tbl>
    <w:p w:rsidR="00C837B9" w:rsidRDefault="00EE72C2" w:rsidP="00EE72C2">
      <w:pPr>
        <w:pStyle w:val="AERtablesource"/>
      </w:pPr>
      <w:r>
        <w:t>Source:</w:t>
      </w:r>
      <w:r>
        <w:tab/>
        <w:t>AER analysis.</w:t>
      </w:r>
    </w:p>
    <w:p w:rsidR="00C837B9" w:rsidRDefault="00C837B9" w:rsidP="00C837B9">
      <w:pPr>
        <w:pStyle w:val="Heading3"/>
      </w:pPr>
      <w:bookmarkStart w:id="16" w:name="_Toc404255904"/>
      <w:r w:rsidRPr="00520046">
        <w:lastRenderedPageBreak/>
        <w:t>Under and over recovery mechanism for</w:t>
      </w:r>
      <w:r>
        <w:t xml:space="preserve"> </w:t>
      </w:r>
      <w:r w:rsidRPr="00520046">
        <w:t>TU</w:t>
      </w:r>
      <w:r>
        <w:t>o</w:t>
      </w:r>
      <w:r w:rsidRPr="00520046">
        <w:t>S</w:t>
      </w:r>
      <w:bookmarkEnd w:id="16"/>
    </w:p>
    <w:p w:rsidR="00C837B9" w:rsidRDefault="00C837B9" w:rsidP="00C837B9">
      <w:pPr>
        <w:pStyle w:val="AERbodytext"/>
      </w:pPr>
      <w:r w:rsidRPr="0005278C">
        <w:t xml:space="preserve">We have decided to apply </w:t>
      </w:r>
      <w:r w:rsidR="00CB3789">
        <w:t>ActewAGL</w:t>
      </w:r>
      <w:r w:rsidRPr="0005278C">
        <w:t>'s proposed TUoS under and over recovery mechanism to smooth</w:t>
      </w:r>
      <w:r w:rsidRPr="00520046">
        <w:t xml:space="preserve"> the impact of over and under recovery into prices year on year. </w:t>
      </w:r>
      <w:r>
        <w:t>Our reasons are the same for the D</w:t>
      </w:r>
      <w:r w:rsidRPr="00520046">
        <w:t>U</w:t>
      </w:r>
      <w:r>
        <w:t>o</w:t>
      </w:r>
      <w:r w:rsidRPr="00520046">
        <w:t>S under and over recovery as set out above.</w:t>
      </w:r>
    </w:p>
    <w:p w:rsidR="00C837B9" w:rsidRDefault="00C837B9" w:rsidP="00C837B9">
      <w:pPr>
        <w:pStyle w:val="AERbodytext"/>
      </w:pPr>
      <w:r>
        <w:t>We</w:t>
      </w:r>
      <w:r w:rsidRPr="00B01FFA">
        <w:t xml:space="preserve"> ha</w:t>
      </w:r>
      <w:r>
        <w:t>ve developed a T</w:t>
      </w:r>
      <w:r w:rsidRPr="00B01FFA">
        <w:t>U</w:t>
      </w:r>
      <w:r>
        <w:t>o</w:t>
      </w:r>
      <w:r w:rsidRPr="00B01FFA">
        <w:t>S</w:t>
      </w:r>
      <w:r>
        <w:t xml:space="preserve"> </w:t>
      </w:r>
      <w:r w:rsidRPr="00B01FFA">
        <w:t xml:space="preserve">unders and overs account based on the approach used </w:t>
      </w:r>
      <w:r>
        <w:t>in the current regulatory control period</w:t>
      </w:r>
      <w:r w:rsidRPr="00B01FFA">
        <w:t xml:space="preserve">. </w:t>
      </w:r>
      <w:r>
        <w:t>See</w:t>
      </w:r>
      <w:r w:rsidRPr="00B01FFA">
        <w:t xml:space="preserve"> appendix </w:t>
      </w:r>
      <w:r>
        <w:t>B</w:t>
      </w:r>
      <w:r w:rsidRPr="00B01FFA">
        <w:t xml:space="preserve"> </w:t>
      </w:r>
      <w:r>
        <w:t xml:space="preserve">for a more detailed discussion. </w:t>
      </w:r>
    </w:p>
    <w:p w:rsidR="00C837B9" w:rsidRDefault="00C837B9" w:rsidP="00C837B9">
      <w:pPr>
        <w:pStyle w:val="Heading3"/>
      </w:pPr>
      <w:bookmarkStart w:id="17" w:name="_Toc404255905"/>
      <w:r w:rsidRPr="00B458E1">
        <w:t>Reporting on jurisdictional scheme amounts</w:t>
      </w:r>
      <w:bookmarkEnd w:id="17"/>
      <w:r w:rsidRPr="00B458E1">
        <w:t xml:space="preserve"> </w:t>
      </w:r>
    </w:p>
    <w:p w:rsidR="00C837B9" w:rsidRPr="005E2BD6" w:rsidRDefault="00C837B9" w:rsidP="00C837B9">
      <w:pPr>
        <w:pStyle w:val="AERbodytext"/>
      </w:pPr>
      <w:r w:rsidRPr="005E2BD6">
        <w:t xml:space="preserve">We must decide how </w:t>
      </w:r>
      <w:r w:rsidR="00CB3789">
        <w:t>ActewAGL</w:t>
      </w:r>
      <w:r w:rsidRPr="005E2BD6">
        <w:t xml:space="preserve"> will report recovery of jurisdictional scheme amounts for each year of the regulatory control period and adjustments necessary in subsequent pricing proposals to account for over or under recovery of those charges.</w:t>
      </w:r>
      <w:r w:rsidRPr="005E2BD6">
        <w:rPr>
          <w:rStyle w:val="FootnoteReference"/>
        </w:rPr>
        <w:footnoteReference w:id="12"/>
      </w:r>
    </w:p>
    <w:p w:rsidR="00C837B9" w:rsidRPr="005E2BD6" w:rsidRDefault="00C837B9" w:rsidP="00C837B9">
      <w:pPr>
        <w:pStyle w:val="AERbodytext"/>
      </w:pPr>
      <w:r w:rsidRPr="005E2BD6">
        <w:t xml:space="preserve">Jurisdictional schemes amounts are those </w:t>
      </w:r>
      <w:r w:rsidR="00CB3789">
        <w:t>ActewAGL</w:t>
      </w:r>
      <w:r w:rsidRPr="005E2BD6">
        <w:t xml:space="preserve"> are required to pay pursuant to jurisdictional requirements recognised by the rules or the AER as amounts which may be recovered as part of </w:t>
      </w:r>
      <w:r w:rsidR="00CB3789">
        <w:t>ActewAGL</w:t>
      </w:r>
      <w:r w:rsidRPr="005E2BD6">
        <w:t>’s pricing proposal.</w:t>
      </w:r>
      <w:r w:rsidRPr="005E2BD6">
        <w:rPr>
          <w:rStyle w:val="FootnoteReference"/>
        </w:rPr>
        <w:footnoteReference w:id="13"/>
      </w:r>
    </w:p>
    <w:p w:rsidR="00C837B9" w:rsidRPr="00B458E1" w:rsidRDefault="00C837B9" w:rsidP="00C837B9">
      <w:pPr>
        <w:pStyle w:val="AERbodytext"/>
      </w:pPr>
      <w:r>
        <w:t xml:space="preserve">We approve </w:t>
      </w:r>
      <w:r w:rsidR="00CB3789">
        <w:t>ActewAGL</w:t>
      </w:r>
      <w:r>
        <w:t xml:space="preserve">'s method of reporting on jurisdiction scheme amounts because it </w:t>
      </w:r>
      <w:r w:rsidR="000E20ED">
        <w:t xml:space="preserve">is </w:t>
      </w:r>
      <w:r>
        <w:t>similar to the current reporting method, which we have previously approved.</w:t>
      </w:r>
      <w:r>
        <w:rPr>
          <w:rStyle w:val="FootnoteReference"/>
        </w:rPr>
        <w:footnoteReference w:id="14"/>
      </w:r>
    </w:p>
    <w:p w:rsidR="00C837B9" w:rsidRPr="00C837B9" w:rsidRDefault="00C837B9" w:rsidP="00C837B9">
      <w:pPr>
        <w:pStyle w:val="Heading3"/>
      </w:pPr>
      <w:bookmarkStart w:id="18" w:name="_Toc404255906"/>
      <w:r w:rsidRPr="00C837B9">
        <w:t>Side Constraints</w:t>
      </w:r>
      <w:bookmarkEnd w:id="18"/>
      <w:r w:rsidRPr="00C837B9">
        <w:t xml:space="preserve"> </w:t>
      </w:r>
    </w:p>
    <w:p w:rsidR="00C837B9" w:rsidRDefault="00C837B9" w:rsidP="00C837B9">
      <w:r>
        <w:t>We</w:t>
      </w:r>
      <w:r w:rsidRPr="00C837B9">
        <w:t xml:space="preserve"> conside</w:t>
      </w:r>
      <w:r>
        <w:t>r</w:t>
      </w:r>
      <w:r w:rsidRPr="00C837B9">
        <w:t xml:space="preserve"> the application of the unders and overs in the side constraint formula provides for the appropriate treatment of these revenue adjustments</w:t>
      </w:r>
      <w:r w:rsidR="000E20ED">
        <w:t>,</w:t>
      </w:r>
      <w:r w:rsidRPr="00C837B9">
        <w:t xml:space="preserve"> in keeping with clause 6.18.6 of the NER. </w:t>
      </w:r>
    </w:p>
    <w:p w:rsidR="00A5309B" w:rsidRDefault="00A5309B" w:rsidP="00C837B9">
      <w:r w:rsidRPr="00A5309B">
        <w:t xml:space="preserve">For each year after the first year of each regulatory period, side constraints will apply to the weighted average revenue to be raised from each tariff class. In accordance with </w:t>
      </w:r>
      <w:r w:rsidR="006B0063">
        <w:t xml:space="preserve">the </w:t>
      </w:r>
      <w:r>
        <w:t>NER</w:t>
      </w:r>
      <w:r w:rsidRPr="00A5309B">
        <w:t>, the permissible percentage increase is the greater of CPI–X plus 2 per cent or CPI plus 2 per cent. Recovery of revenue to accommodate cost pass throughs and pass through of designated pricing proposal charges and jurisdictional scheme amounts is disregarded in deciding whether the permissible percentage has been exceeded.</w:t>
      </w:r>
    </w:p>
    <w:p w:rsidR="00C837B9" w:rsidRDefault="00C837B9" w:rsidP="00C837B9">
      <w:pPr>
        <w:pStyle w:val="Heading3"/>
      </w:pPr>
      <w:bookmarkStart w:id="19" w:name="_Ref401753265"/>
      <w:bookmarkStart w:id="20" w:name="_Toc404255907"/>
      <w:r w:rsidRPr="00FD60FB">
        <w:t>Control mechanism formulas</w:t>
      </w:r>
      <w:bookmarkEnd w:id="19"/>
      <w:bookmarkEnd w:id="20"/>
    </w:p>
    <w:p w:rsidR="00C837B9" w:rsidRPr="00172E48" w:rsidRDefault="00C837B9" w:rsidP="00C837B9">
      <w:pPr>
        <w:pStyle w:val="AERbodytext"/>
      </w:pPr>
      <w:r>
        <w:t xml:space="preserve">As </w:t>
      </w:r>
      <w:r w:rsidRPr="00172E48">
        <w:t>part of its pricing proposals</w:t>
      </w:r>
      <w:r>
        <w:t xml:space="preserve">, </w:t>
      </w:r>
      <w:r w:rsidR="00CB3789">
        <w:t>ActewAGL</w:t>
      </w:r>
      <w:r w:rsidRPr="00172E48">
        <w:t xml:space="preserve"> must submit to </w:t>
      </w:r>
      <w:r>
        <w:t xml:space="preserve">us </w:t>
      </w:r>
      <w:r w:rsidRPr="00172E48">
        <w:t xml:space="preserve">proposed tariffs and charging parameters which lead to expected revenues consistent with the </w:t>
      </w:r>
      <w:r>
        <w:t>A</w:t>
      </w:r>
      <w:r w:rsidR="00917AF2">
        <w:t>A</w:t>
      </w:r>
      <w:r>
        <w:t xml:space="preserve">RR (distribution services) and </w:t>
      </w:r>
      <w:r w:rsidRPr="00172E48">
        <w:t>M</w:t>
      </w:r>
      <w:r w:rsidR="00917AF2">
        <w:t>A</w:t>
      </w:r>
      <w:r w:rsidRPr="00172E48">
        <w:t xml:space="preserve">AR </w:t>
      </w:r>
      <w:r>
        <w:t xml:space="preserve">(transmission services) </w:t>
      </w:r>
      <w:r w:rsidRPr="00172E48">
        <w:t>formula</w:t>
      </w:r>
      <w:r>
        <w:t>s</w:t>
      </w:r>
      <w:r w:rsidRPr="00172E48">
        <w:t xml:space="preserve"> set out below</w:t>
      </w:r>
      <w:r>
        <w:t>,</w:t>
      </w:r>
      <w:r w:rsidRPr="00172E48">
        <w:t xml:space="preserve"> plus any unders and overs adjustment needed to move the balance of </w:t>
      </w:r>
      <w:r>
        <w:t>its DUo</w:t>
      </w:r>
      <w:r w:rsidRPr="00172E48">
        <w:t>S</w:t>
      </w:r>
      <w:r>
        <w:t xml:space="preserve"> and TUoS</w:t>
      </w:r>
      <w:r w:rsidRPr="00172E48">
        <w:t xml:space="preserve"> unders and overs account to zero</w:t>
      </w:r>
      <w:r>
        <w:t>.</w:t>
      </w:r>
    </w:p>
    <w:p w:rsidR="004A58B2" w:rsidRDefault="00FD60FB" w:rsidP="00FD60FB">
      <w:pPr>
        <w:pStyle w:val="Heading3"/>
      </w:pPr>
      <w:bookmarkStart w:id="21" w:name="_Toc404255908"/>
      <w:r w:rsidRPr="00FD60FB">
        <w:t>Control mechanism formulas</w:t>
      </w:r>
      <w:bookmarkEnd w:id="21"/>
    </w:p>
    <w:p w:rsidR="001376DB" w:rsidRPr="001376DB" w:rsidRDefault="001376DB" w:rsidP="001376DB">
      <w:pPr>
        <w:pStyle w:val="HeadingBoldBlue"/>
      </w:pPr>
      <w:r>
        <w:t>Distribution services</w:t>
      </w:r>
    </w:p>
    <w:p w:rsidR="00FD60FB" w:rsidRDefault="00FD60FB" w:rsidP="00FD60FB">
      <w:pPr>
        <w:pStyle w:val="AERbodytext"/>
      </w:pPr>
      <w:r>
        <w:t>ActewAGL</w:t>
      </w:r>
      <w:r w:rsidR="000E20ED">
        <w:t>'s</w:t>
      </w:r>
      <w:r>
        <w:t xml:space="preserve"> </w:t>
      </w:r>
      <w:r w:rsidRPr="00FD60FB">
        <w:t xml:space="preserve">pricing proposals must submit to the AER proposed tariffs and charging parameters. </w:t>
      </w:r>
      <w:r w:rsidR="000E20ED">
        <w:t>Its</w:t>
      </w:r>
      <w:r w:rsidRPr="00FD60FB">
        <w:t xml:space="preserve"> revenues must be consistent with the </w:t>
      </w:r>
      <w:r w:rsidR="00917AF2">
        <w:t>A</w:t>
      </w:r>
      <w:r w:rsidR="00C2294A">
        <w:t>A</w:t>
      </w:r>
      <w:r w:rsidR="00917AF2">
        <w:t>R</w:t>
      </w:r>
      <w:r w:rsidRPr="00FD60FB">
        <w:t>R formula set out below plus any unders and overs adjustment neede</w:t>
      </w:r>
      <w:r w:rsidR="00C2294A">
        <w:t xml:space="preserve">d to move the balance of its </w:t>
      </w:r>
      <w:r w:rsidR="00914E74">
        <w:t>DU</w:t>
      </w:r>
      <w:r w:rsidR="00A5309B">
        <w:t>o</w:t>
      </w:r>
      <w:r w:rsidR="00914E74">
        <w:t>S</w:t>
      </w:r>
      <w:r w:rsidRPr="00FD60FB">
        <w:t xml:space="preserve"> unders and overs account to zero.</w:t>
      </w:r>
    </w:p>
    <w:p w:rsidR="00E97D93" w:rsidRPr="00FD60FB" w:rsidRDefault="00E97D93" w:rsidP="00E97D93">
      <w:pPr>
        <w:pStyle w:val="Caption"/>
      </w:pPr>
      <w:r>
        <w:lastRenderedPageBreak/>
        <w:t xml:space="preserve">Figure </w:t>
      </w:r>
      <w:r w:rsidR="003737A8">
        <w:fldChar w:fldCharType="begin"/>
      </w:r>
      <w:r w:rsidR="003737A8">
        <w:instrText xml:space="preserve"> STYLEREF 1 \s </w:instrText>
      </w:r>
      <w:r w:rsidR="003737A8">
        <w:fldChar w:fldCharType="separate"/>
      </w:r>
      <w:r>
        <w:rPr>
          <w:noProof/>
        </w:rPr>
        <w:t>14</w:t>
      </w:r>
      <w:r w:rsidR="003737A8">
        <w:rPr>
          <w:noProof/>
        </w:rPr>
        <w:fldChar w:fldCharType="end"/>
      </w:r>
      <w:r>
        <w:t>.</w:t>
      </w:r>
      <w:fldSimple w:instr=" SEQ Figure \* ARABIC \s 1 ">
        <w:r>
          <w:rPr>
            <w:noProof/>
          </w:rPr>
          <w:t>1</w:t>
        </w:r>
      </w:fldSimple>
      <w:r>
        <w:tab/>
      </w:r>
      <w:r w:rsidRPr="00E97D93">
        <w:t>Average Revenue cap formula</w:t>
      </w:r>
    </w:p>
    <w:p w:rsidR="001376DB" w:rsidRDefault="00A5309B" w:rsidP="002455D4">
      <w:pPr>
        <w:pStyle w:val="AERnumberedlistfirststyle"/>
      </w:pPr>
      <w:r w:rsidRPr="00C65BBC">
        <w:rPr>
          <w:position w:val="-30"/>
        </w:rPr>
        <w:object w:dxaOrig="28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53.25pt" o:ole="">
            <v:imagedata r:id="rId11" o:title=""/>
          </v:shape>
          <o:OLEObject Type="Embed" ProgID="Equation.3" ShapeID="_x0000_i1025" DrawAspect="Content" ObjectID="_1478521643" r:id="rId12"/>
        </w:object>
      </w:r>
      <w:r w:rsidR="00C65BBC">
        <w:tab/>
      </w:r>
      <w:r w:rsidR="00C65BBC">
        <w:tab/>
      </w:r>
      <w:r w:rsidR="00C65BBC">
        <w:tab/>
      </w:r>
      <w:r w:rsidR="001376DB">
        <w:t>i=1,...,n and j=1,...,m</w:t>
      </w:r>
      <w:r w:rsidR="001376DB" w:rsidRPr="00467655" w:rsidDel="00467655">
        <w:t xml:space="preserve"> </w:t>
      </w:r>
      <w:r w:rsidR="001376DB">
        <w:t>and t=</w:t>
      </w:r>
      <w:r w:rsidR="00C837B9">
        <w:t>2</w:t>
      </w:r>
      <w:r w:rsidR="001376DB">
        <w:t>,...,5</w:t>
      </w:r>
    </w:p>
    <w:p w:rsidR="001376DB" w:rsidRDefault="00BC32A8" w:rsidP="002455D4">
      <w:pPr>
        <w:pStyle w:val="AERnumberedlistfirststyle"/>
      </w:pPr>
      <w:r w:rsidRPr="00C65BBC">
        <w:rPr>
          <w:position w:val="-30"/>
        </w:rPr>
        <w:object w:dxaOrig="3500" w:dyaOrig="680">
          <v:shape id="_x0000_i1026" type="#_x0000_t75" style="width:176.25pt;height:34.5pt" o:ole="">
            <v:imagedata r:id="rId13" o:title=""/>
          </v:shape>
          <o:OLEObject Type="Embed" ProgID="Equation.3" ShapeID="_x0000_i1026" DrawAspect="Content" ObjectID="_1478521644" r:id="rId14"/>
        </w:object>
      </w:r>
    </w:p>
    <w:p w:rsidR="001376DB" w:rsidRDefault="00DA1ACE" w:rsidP="002455D4">
      <w:pPr>
        <w:pStyle w:val="AERnumberedlistfirststyle"/>
      </w:pPr>
      <w:r w:rsidRPr="00BC32A8">
        <w:rPr>
          <w:position w:val="-12"/>
        </w:rPr>
        <w:object w:dxaOrig="3960" w:dyaOrig="360">
          <v:shape id="_x0000_i1027" type="#_x0000_t75" style="width:197.25pt;height:18.75pt" o:ole="">
            <v:imagedata r:id="rId15" o:title=""/>
          </v:shape>
          <o:OLEObject Type="Embed" ProgID="Equation.3" ShapeID="_x0000_i1027" DrawAspect="Content" ObjectID="_1478521645" r:id="rId16"/>
        </w:object>
      </w:r>
    </w:p>
    <w:p w:rsidR="001376DB" w:rsidRDefault="001376DB" w:rsidP="001376DB">
      <w:pPr>
        <w:pStyle w:val="AERbodytext"/>
      </w:pPr>
      <w:r>
        <w:t>Where:</w:t>
      </w:r>
    </w:p>
    <w:p w:rsidR="001376DB" w:rsidRPr="002455D4" w:rsidRDefault="00BC32A8" w:rsidP="001376DB">
      <w:pPr>
        <w:pStyle w:val="AERbodytext"/>
        <w:rPr>
          <w:rStyle w:val="AERbody"/>
        </w:rPr>
      </w:pPr>
      <w:r w:rsidRPr="00C837B9">
        <w:rPr>
          <w:rStyle w:val="AERbody"/>
        </w:rPr>
        <w:object w:dxaOrig="720" w:dyaOrig="360">
          <v:shape id="_x0000_i1028" type="#_x0000_t75" style="width:36pt;height:18.75pt" o:ole="">
            <v:imagedata r:id="rId17" o:title=""/>
          </v:shape>
          <o:OLEObject Type="Embed" ProgID="Equation.3" ShapeID="_x0000_i1028" DrawAspect="Content" ObjectID="_1478521646" r:id="rId18"/>
        </w:object>
      </w:r>
      <w:r w:rsidR="000B28EE">
        <w:rPr>
          <w:rStyle w:val="AERbody"/>
        </w:rPr>
        <w:tab/>
      </w:r>
      <w:r w:rsidR="00A5309B">
        <w:rPr>
          <w:rStyle w:val="AERbody"/>
        </w:rPr>
        <w:tab/>
      </w:r>
      <w:r w:rsidR="001376DB" w:rsidRPr="002455D4">
        <w:rPr>
          <w:rStyle w:val="AERbody"/>
        </w:rPr>
        <w:t xml:space="preserve">is the </w:t>
      </w:r>
      <w:r w:rsidR="00A5309B">
        <w:rPr>
          <w:rStyle w:val="AERbody"/>
        </w:rPr>
        <w:t>average annual revenue requirement</w:t>
      </w:r>
      <w:r w:rsidR="001376DB" w:rsidRPr="002455D4">
        <w:rPr>
          <w:rStyle w:val="AERbody"/>
        </w:rPr>
        <w:t xml:space="preserve"> in year t.</w:t>
      </w:r>
    </w:p>
    <w:p w:rsidR="001376DB" w:rsidRPr="002455D4" w:rsidRDefault="00BC32A8" w:rsidP="001376DB">
      <w:pPr>
        <w:pStyle w:val="AERbodytext"/>
        <w:rPr>
          <w:rStyle w:val="AERbody"/>
        </w:rPr>
      </w:pPr>
      <w:r w:rsidRPr="00BC32A8">
        <w:rPr>
          <w:rStyle w:val="AERbody"/>
        </w:rPr>
        <w:object w:dxaOrig="340" w:dyaOrig="380">
          <v:shape id="_x0000_i1029" type="#_x0000_t75" style="width:16.5pt;height:18.75pt" o:ole="">
            <v:imagedata r:id="rId19" o:title=""/>
          </v:shape>
          <o:OLEObject Type="Embed" ProgID="Equation.3" ShapeID="_x0000_i1029" DrawAspect="Content" ObjectID="_1478521647" r:id="rId20"/>
        </w:object>
      </w:r>
      <w:r w:rsidR="00C65BBC" w:rsidRPr="002455D4">
        <w:rPr>
          <w:rStyle w:val="AERbody"/>
        </w:rPr>
        <w:tab/>
      </w:r>
      <w:r w:rsidR="00C65BBC" w:rsidRPr="002455D4">
        <w:rPr>
          <w:rStyle w:val="AERbody"/>
        </w:rPr>
        <w:tab/>
      </w:r>
      <w:r>
        <w:rPr>
          <w:rStyle w:val="AERbody"/>
        </w:rPr>
        <w:tab/>
      </w:r>
      <w:r w:rsidR="001376DB" w:rsidRPr="002455D4">
        <w:rPr>
          <w:rStyle w:val="AERbody"/>
        </w:rPr>
        <w:t>is the price of component i of tariff j in year t.</w:t>
      </w:r>
    </w:p>
    <w:p w:rsidR="001376DB" w:rsidRPr="002455D4" w:rsidRDefault="00BC32A8" w:rsidP="001376DB">
      <w:pPr>
        <w:pStyle w:val="AERbodytext"/>
        <w:rPr>
          <w:rStyle w:val="AERbody"/>
        </w:rPr>
      </w:pPr>
      <w:r w:rsidRPr="00BC32A8">
        <w:rPr>
          <w:rStyle w:val="AERbody"/>
        </w:rPr>
        <w:object w:dxaOrig="400" w:dyaOrig="380">
          <v:shape id="_x0000_i1030" type="#_x0000_t75" style="width:20.25pt;height:18.75pt" o:ole="">
            <v:imagedata r:id="rId21" o:title=""/>
          </v:shape>
          <o:OLEObject Type="Embed" ProgID="Equation.3" ShapeID="_x0000_i1030" DrawAspect="Content" ObjectID="_1478521648" r:id="rId22"/>
        </w:object>
      </w:r>
      <w:r w:rsidR="00C65BBC" w:rsidRPr="002455D4">
        <w:rPr>
          <w:rStyle w:val="AERbody"/>
        </w:rPr>
        <w:tab/>
      </w:r>
      <w:r w:rsidR="00C65BBC" w:rsidRPr="002455D4">
        <w:rPr>
          <w:rStyle w:val="AERbody"/>
        </w:rPr>
        <w:tab/>
      </w:r>
      <w:r>
        <w:rPr>
          <w:rStyle w:val="AERbody"/>
        </w:rPr>
        <w:tab/>
      </w:r>
      <w:r w:rsidR="001376DB" w:rsidRPr="002455D4">
        <w:rPr>
          <w:rStyle w:val="AERbody"/>
        </w:rPr>
        <w:t>is the quantity of component i of tariff j in year t–2.</w:t>
      </w:r>
    </w:p>
    <w:p w:rsidR="000B28EE" w:rsidRPr="002455D4" w:rsidRDefault="000B28EE" w:rsidP="000B28EE">
      <w:pPr>
        <w:pStyle w:val="AERbodytext"/>
        <w:rPr>
          <w:rStyle w:val="AERbody"/>
        </w:rPr>
      </w:pPr>
      <w:r w:rsidRPr="00F11595">
        <w:rPr>
          <w:rStyle w:val="AERbody"/>
        </w:rPr>
        <w:object w:dxaOrig="1860" w:dyaOrig="360">
          <v:shape id="_x0000_i1031" type="#_x0000_t75" style="width:93pt;height:18.75pt" o:ole="">
            <v:imagedata r:id="rId23" o:title=""/>
          </v:shape>
          <o:OLEObject Type="Embed" ProgID="Equation.3" ShapeID="_x0000_i1031" DrawAspect="Content" ObjectID="_1478521649" r:id="rId24"/>
        </w:object>
      </w:r>
      <w:r w:rsidRPr="002455D4">
        <w:rPr>
          <w:rStyle w:val="AERbody"/>
        </w:rPr>
        <w:tab/>
        <w:t xml:space="preserve">is the </w:t>
      </w:r>
      <w:r w:rsidR="00502697">
        <w:rPr>
          <w:rStyle w:val="AERbody"/>
        </w:rPr>
        <w:t xml:space="preserve">audited </w:t>
      </w:r>
      <w:r w:rsidRPr="002455D4">
        <w:rPr>
          <w:rStyle w:val="AERbody"/>
        </w:rPr>
        <w:t>total kWh in year t–2.</w:t>
      </w:r>
    </w:p>
    <w:p w:rsidR="001376DB" w:rsidRPr="002455D4" w:rsidRDefault="00BC32A8" w:rsidP="001376DB">
      <w:pPr>
        <w:pStyle w:val="AERbodytext"/>
        <w:rPr>
          <w:rStyle w:val="AERbody"/>
        </w:rPr>
      </w:pPr>
      <w:r w:rsidRPr="00BC32A8">
        <w:rPr>
          <w:rStyle w:val="AERbody"/>
        </w:rPr>
        <w:object w:dxaOrig="580" w:dyaOrig="360">
          <v:shape id="_x0000_i1032" type="#_x0000_t75" style="width:28.5pt;height:18.75pt" o:ole="">
            <v:imagedata r:id="rId25" o:title=""/>
          </v:shape>
          <o:OLEObject Type="Embed" ProgID="Equation.3" ShapeID="_x0000_i1032" DrawAspect="Content" ObjectID="_1478521650" r:id="rId26"/>
        </w:object>
      </w:r>
      <w:r w:rsidR="00C65BBC" w:rsidRPr="002455D4">
        <w:rPr>
          <w:rStyle w:val="AERbody"/>
        </w:rPr>
        <w:tab/>
      </w:r>
      <w:r w:rsidR="00C65BBC" w:rsidRPr="002455D4">
        <w:rPr>
          <w:rStyle w:val="AERbody"/>
        </w:rPr>
        <w:tab/>
      </w:r>
      <w:r>
        <w:rPr>
          <w:rStyle w:val="AERbody"/>
        </w:rPr>
        <w:tab/>
      </w:r>
      <w:r w:rsidR="001376DB" w:rsidRPr="002455D4">
        <w:rPr>
          <w:rStyle w:val="AERbody"/>
        </w:rPr>
        <w:t xml:space="preserve">is the average </w:t>
      </w:r>
      <w:r>
        <w:rPr>
          <w:rStyle w:val="AERbody"/>
        </w:rPr>
        <w:t xml:space="preserve">annual smooth </w:t>
      </w:r>
      <w:r w:rsidR="001376DB" w:rsidRPr="002455D4">
        <w:rPr>
          <w:rStyle w:val="AERbody"/>
        </w:rPr>
        <w:t>revenue in year t.</w:t>
      </w:r>
    </w:p>
    <w:p w:rsidR="001376DB" w:rsidRPr="002455D4" w:rsidRDefault="00F11595" w:rsidP="001376DB">
      <w:pPr>
        <w:pStyle w:val="AERbodytext"/>
        <w:rPr>
          <w:rStyle w:val="AERbody"/>
        </w:rPr>
      </w:pPr>
      <w:r w:rsidRPr="00F11595">
        <w:rPr>
          <w:rStyle w:val="AERbody"/>
        </w:rPr>
        <w:object w:dxaOrig="1760" w:dyaOrig="360">
          <v:shape id="_x0000_i1033" type="#_x0000_t75" style="width:87.75pt;height:18.75pt" o:ole="">
            <v:imagedata r:id="rId27" o:title=""/>
          </v:shape>
          <o:OLEObject Type="Embed" ProgID="Equation.3" ShapeID="_x0000_i1033" DrawAspect="Content" ObjectID="_1478521651" r:id="rId28"/>
        </w:object>
      </w:r>
      <w:r w:rsidR="00C65BBC" w:rsidRPr="002455D4">
        <w:rPr>
          <w:rStyle w:val="AERbody"/>
        </w:rPr>
        <w:tab/>
      </w:r>
      <w:r w:rsidR="001376DB" w:rsidRPr="002455D4">
        <w:rPr>
          <w:rStyle w:val="AERbody"/>
        </w:rPr>
        <w:t>is the forecast total kWh in year t</w:t>
      </w:r>
      <w:r>
        <w:rPr>
          <w:rStyle w:val="AERbody"/>
        </w:rPr>
        <w:t>.</w:t>
      </w:r>
    </w:p>
    <w:p w:rsidR="00BC32A8" w:rsidRDefault="00723BCB" w:rsidP="00BC32A8">
      <w:pPr>
        <w:pStyle w:val="AERbodytext"/>
        <w:rPr>
          <w:rStyle w:val="AERbody"/>
        </w:rPr>
      </w:pPr>
      <w:r w:rsidRPr="00723BCB">
        <w:rPr>
          <w:rStyle w:val="AERbody"/>
        </w:rPr>
        <w:object w:dxaOrig="400" w:dyaOrig="380">
          <v:shape id="_x0000_i1034" type="#_x0000_t75" style="width:21pt;height:18.75pt" o:ole="">
            <v:imagedata r:id="rId29" o:title=""/>
          </v:shape>
          <o:OLEObject Type="Embed" ProgID="Equation.3" ShapeID="_x0000_i1034" DrawAspect="Content" ObjectID="_1478521652" r:id="rId30"/>
        </w:object>
      </w:r>
      <w:r w:rsidR="00BC32A8">
        <w:rPr>
          <w:rStyle w:val="AERbody"/>
        </w:rPr>
        <w:t>is:</w:t>
      </w:r>
    </w:p>
    <w:p w:rsidR="00BC32A8" w:rsidRDefault="00BC32A8" w:rsidP="00BC32A8">
      <w:pPr>
        <w:pStyle w:val="AERnumberedlistsecondstyle"/>
        <w:rPr>
          <w:rStyle w:val="AERbody"/>
        </w:rPr>
      </w:pPr>
      <w:r w:rsidRPr="002455D4">
        <w:rPr>
          <w:rStyle w:val="AERbody"/>
        </w:rPr>
        <w:t xml:space="preserve">the approved pass through amounts </w:t>
      </w:r>
      <w:r>
        <w:rPr>
          <w:rStyle w:val="AERbody"/>
        </w:rPr>
        <w:t xml:space="preserve">(positive or negative) </w:t>
      </w:r>
      <w:r w:rsidRPr="002455D4">
        <w:rPr>
          <w:rStyle w:val="AERbody"/>
        </w:rPr>
        <w:t>with respect to regulatory year t, as determined by the AER</w:t>
      </w:r>
      <w:r>
        <w:rPr>
          <w:rStyle w:val="AERbody"/>
        </w:rPr>
        <w:t xml:space="preserve">, plus </w:t>
      </w:r>
    </w:p>
    <w:p w:rsidR="00BC32A8" w:rsidRDefault="00BC32A8" w:rsidP="00BC32A8">
      <w:pPr>
        <w:pStyle w:val="AERnumberedlistsecondstyle"/>
        <w:rPr>
          <w:rStyle w:val="AERbody"/>
        </w:rPr>
      </w:pPr>
      <w:r>
        <w:rPr>
          <w:rStyle w:val="AERbody"/>
        </w:rPr>
        <w:t xml:space="preserve">the </w:t>
      </w:r>
      <w:r w:rsidRPr="000B28EE">
        <w:rPr>
          <w:rStyle w:val="AERbody"/>
        </w:rPr>
        <w:t xml:space="preserve">residual </w:t>
      </w:r>
      <w:r w:rsidR="00A84C94">
        <w:rPr>
          <w:rStyle w:val="AERbody"/>
        </w:rPr>
        <w:t>metering costs as defined in the metering attachment of this decision</w:t>
      </w:r>
      <w:r>
        <w:rPr>
          <w:rStyle w:val="AERbody"/>
        </w:rPr>
        <w:t>. This value is subjected to a tolerance limit as per section 1.</w:t>
      </w:r>
      <w:r w:rsidR="00A84C94">
        <w:rPr>
          <w:rStyle w:val="AERbody"/>
        </w:rPr>
        <w:t>5</w:t>
      </w:r>
      <w:r>
        <w:rPr>
          <w:rStyle w:val="AERbody"/>
        </w:rPr>
        <w:t xml:space="preserve"> above.</w:t>
      </w:r>
    </w:p>
    <w:p w:rsidR="00BC32A8" w:rsidRDefault="00DA1ACE" w:rsidP="00BC32A8">
      <w:pPr>
        <w:pStyle w:val="AERbodytext"/>
        <w:rPr>
          <w:rStyle w:val="AERbody"/>
        </w:rPr>
      </w:pPr>
      <w:r w:rsidRPr="00DA1ACE">
        <w:rPr>
          <w:rStyle w:val="AERbody"/>
        </w:rPr>
        <w:object w:dxaOrig="5720" w:dyaOrig="740">
          <v:shape id="_x0000_i1035" type="#_x0000_t75" style="width:290.25pt;height:38.25pt" o:ole="">
            <v:imagedata r:id="rId31" o:title=""/>
          </v:shape>
          <o:OLEObject Type="Embed" ProgID="Equation.3" ShapeID="_x0000_i1035" DrawAspect="Content" ObjectID="_1478521653" r:id="rId32"/>
        </w:object>
      </w:r>
    </w:p>
    <w:p w:rsidR="00BC32A8" w:rsidRPr="00BC32A8" w:rsidRDefault="00BC32A8" w:rsidP="00BC32A8">
      <w:pPr>
        <w:pStyle w:val="AERbodytext"/>
        <w:rPr>
          <w:rStyle w:val="AERbody"/>
        </w:rPr>
      </w:pPr>
      <w:r w:rsidRPr="00BC32A8">
        <w:rPr>
          <w:rStyle w:val="AERbody"/>
        </w:rPr>
        <w:object w:dxaOrig="560" w:dyaOrig="400">
          <v:shape id="_x0000_i1036" type="#_x0000_t75" style="width:27.75pt;height:20.25pt" o:ole="">
            <v:imagedata r:id="rId33" o:title=""/>
          </v:shape>
          <o:OLEObject Type="Embed" ProgID="Equation.3" ShapeID="_x0000_i1036" DrawAspect="Content" ObjectID="_1478521654" r:id="rId34"/>
        </w:object>
      </w:r>
      <w:r w:rsidRPr="00BC32A8">
        <w:rPr>
          <w:rStyle w:val="AERbody"/>
        </w:rPr>
        <w:tab/>
        <w:t>means the all groups index number for the weighted average of eight capital cities as published by the ABS, or if the ABS does not or ceases to publish the index, then CPI will mean an index which the AER considers is the best estimate of the index.</w:t>
      </w:r>
    </w:p>
    <w:p w:rsidR="00BC32A8" w:rsidRDefault="00BC32A8" w:rsidP="00412E09">
      <w:pPr>
        <w:pStyle w:val="AERbodytext"/>
        <w:rPr>
          <w:rStyle w:val="AERbody"/>
        </w:rPr>
      </w:pPr>
      <w:r w:rsidRPr="00BE39C1">
        <w:rPr>
          <w:rStyle w:val="AERbody"/>
        </w:rPr>
        <w:object w:dxaOrig="360" w:dyaOrig="380">
          <v:shape id="_x0000_i1037" type="#_x0000_t75" style="width:18.75pt;height:18.75pt" o:ole="">
            <v:imagedata r:id="rId35" o:title=""/>
          </v:shape>
          <o:OLEObject Type="Embed" ProgID="Equation.3" ShapeID="_x0000_i1037" DrawAspect="Content" ObjectID="_1478521655" r:id="rId36"/>
        </w:object>
      </w:r>
      <w:r>
        <w:rPr>
          <w:rStyle w:val="AERbody"/>
        </w:rPr>
        <w:tab/>
      </w:r>
      <w:r w:rsidR="00412E09" w:rsidRPr="00412E09">
        <w:rPr>
          <w:rStyle w:val="AERbody"/>
        </w:rPr>
        <w:t xml:space="preserve">the smoothing factor determined in accordance with the PTRM as approved in the AER's final decision, and annually revised for the return on debt update in accordance with the formula specified in the </w:t>
      </w:r>
      <w:r w:rsidR="00C54017">
        <w:rPr>
          <w:rStyle w:val="AERbody"/>
        </w:rPr>
        <w:t>rate of return attachment</w:t>
      </w:r>
      <w:r w:rsidR="00412E09" w:rsidRPr="00412E09">
        <w:rPr>
          <w:rStyle w:val="AERbody"/>
        </w:rPr>
        <w:t xml:space="preserve"> calculated for the relevant year.</w:t>
      </w:r>
    </w:p>
    <w:p w:rsidR="00E97D93" w:rsidRDefault="00E97D93" w:rsidP="00E97D93">
      <w:pPr>
        <w:pStyle w:val="Caption"/>
        <w:rPr>
          <w:rStyle w:val="AERbody"/>
        </w:rPr>
      </w:pPr>
      <w:r>
        <w:lastRenderedPageBreak/>
        <w:t xml:space="preserve">Figure </w:t>
      </w:r>
      <w:r w:rsidR="003737A8">
        <w:fldChar w:fldCharType="begin"/>
      </w:r>
      <w:r w:rsidR="003737A8">
        <w:instrText xml:space="preserve"> STYLEREF 1 \s </w:instrText>
      </w:r>
      <w:r w:rsidR="003737A8">
        <w:fldChar w:fldCharType="separate"/>
      </w:r>
      <w:r>
        <w:rPr>
          <w:noProof/>
        </w:rPr>
        <w:t>14</w:t>
      </w:r>
      <w:r w:rsidR="003737A8">
        <w:rPr>
          <w:noProof/>
        </w:rPr>
        <w:fldChar w:fldCharType="end"/>
      </w:r>
      <w:r>
        <w:t>.</w:t>
      </w:r>
      <w:fldSimple w:instr=" SEQ Figure \* ARABIC \s 1 ">
        <w:r>
          <w:rPr>
            <w:noProof/>
          </w:rPr>
          <w:t>2</w:t>
        </w:r>
      </w:fldSimple>
      <w:r>
        <w:tab/>
        <w:t>Side constraints</w:t>
      </w:r>
    </w:p>
    <w:p w:rsidR="00BC32A8" w:rsidRDefault="00F11595" w:rsidP="00BC32A8">
      <w:pPr>
        <w:pStyle w:val="AERbodytext"/>
        <w:rPr>
          <w:rStyle w:val="AERbody"/>
        </w:rPr>
      </w:pPr>
      <w:r>
        <w:rPr>
          <w:rStyle w:val="AERbody"/>
        </w:rPr>
        <w:t xml:space="preserve">ActewAGL will </w:t>
      </w:r>
      <w:r w:rsidRPr="00F11595">
        <w:rPr>
          <w:rStyle w:val="AERbody"/>
        </w:rPr>
        <w:t>be required to demonstrate in its pr</w:t>
      </w:r>
      <w:r w:rsidR="000E20ED">
        <w:rPr>
          <w:rStyle w:val="AERbody"/>
        </w:rPr>
        <w:t>icing proposal that proposed DU</w:t>
      </w:r>
      <w:r w:rsidR="003338FC">
        <w:rPr>
          <w:rStyle w:val="AERbody"/>
        </w:rPr>
        <w:t>o</w:t>
      </w:r>
      <w:r w:rsidR="000E20ED">
        <w:rPr>
          <w:rStyle w:val="AERbody"/>
        </w:rPr>
        <w:t>S</w:t>
      </w:r>
      <w:r w:rsidRPr="00F11595">
        <w:rPr>
          <w:rStyle w:val="AERbody"/>
        </w:rPr>
        <w:t xml:space="preserve"> prices for the next year (t) will meet the following side constraints formula (expressed in percentage terms) for each tariff class:</w:t>
      </w:r>
      <w:r w:rsidR="00BC32A8" w:rsidRPr="00BC32A8">
        <w:rPr>
          <w:rStyle w:val="AERbody"/>
        </w:rPr>
        <w:t xml:space="preserve"> </w:t>
      </w:r>
    </w:p>
    <w:p w:rsidR="00BC32A8" w:rsidRPr="00301F4F" w:rsidRDefault="00DA1ACE" w:rsidP="00BC32A8">
      <w:pPr>
        <w:pStyle w:val="AERbodytext"/>
        <w:rPr>
          <w:rStyle w:val="AERbody"/>
        </w:rPr>
      </w:pPr>
      <w:r w:rsidRPr="00DA1ACE">
        <w:rPr>
          <w:position w:val="-60"/>
        </w:rPr>
        <w:object w:dxaOrig="7180" w:dyaOrig="1320">
          <v:shape id="_x0000_i1038" type="#_x0000_t75" style="width:358.5pt;height:66.75pt" o:ole="">
            <v:imagedata r:id="rId37" o:title=""/>
          </v:shape>
          <o:OLEObject Type="Embed" ProgID="Equation.3" ShapeID="_x0000_i1038" DrawAspect="Content" ObjectID="_1478521656" r:id="rId38"/>
        </w:object>
      </w:r>
    </w:p>
    <w:p w:rsidR="00BC32A8" w:rsidRDefault="00BC32A8" w:rsidP="00BC32A8">
      <w:pPr>
        <w:pStyle w:val="AERbodytext"/>
      </w:pPr>
      <w:r w:rsidRPr="00E35E33">
        <w:t>where each tariff class ‘j’ has up to ‘m’ components, and where:</w:t>
      </w:r>
    </w:p>
    <w:p w:rsidR="00BC32A8" w:rsidRPr="007B6699" w:rsidRDefault="00BC32A8" w:rsidP="00BC32A8">
      <w:r w:rsidRPr="003E5763">
        <w:rPr>
          <w:rStyle w:val="AERbody"/>
        </w:rPr>
        <w:object w:dxaOrig="300" w:dyaOrig="380">
          <v:shape id="_x0000_i1039" type="#_x0000_t75" style="width:15pt;height:18.75pt" o:ole="">
            <v:imagedata r:id="rId39" o:title=""/>
          </v:shape>
          <o:OLEObject Type="Embed" ProgID="Equation.3" ShapeID="_x0000_i1039" DrawAspect="Content" ObjectID="_1478521657" r:id="rId40"/>
        </w:object>
      </w:r>
      <w:r w:rsidRPr="007B6699">
        <w:t xml:space="preserve"> </w:t>
      </w:r>
      <w:r>
        <w:tab/>
      </w:r>
      <w:r w:rsidRPr="007B6699">
        <w:t>is the proposed price for component ‘j’ of the tariff class for year t</w:t>
      </w:r>
    </w:p>
    <w:p w:rsidR="00BC32A8" w:rsidRPr="007B6699" w:rsidRDefault="00BC32A8" w:rsidP="00BC32A8">
      <w:r w:rsidRPr="003E5763">
        <w:rPr>
          <w:rStyle w:val="AERbody"/>
        </w:rPr>
        <w:object w:dxaOrig="400" w:dyaOrig="380">
          <v:shape id="_x0000_i1040" type="#_x0000_t75" style="width:20.25pt;height:18.75pt" o:ole="">
            <v:imagedata r:id="rId41" o:title=""/>
          </v:shape>
          <o:OLEObject Type="Embed" ProgID="Equation.3" ShapeID="_x0000_i1040" DrawAspect="Content" ObjectID="_1478521658" r:id="rId42"/>
        </w:object>
      </w:r>
      <w:r>
        <w:rPr>
          <w:rStyle w:val="AERbody"/>
        </w:rPr>
        <w:tab/>
      </w:r>
      <w:r w:rsidRPr="007B6699">
        <w:t xml:space="preserve"> is the price charged by </w:t>
      </w:r>
      <w:r w:rsidR="00917AF2">
        <w:t>ActewAGL</w:t>
      </w:r>
      <w:r w:rsidRPr="007B6699">
        <w:t xml:space="preserve"> for component ‘j’ of the tariff class in year t–1</w:t>
      </w:r>
    </w:p>
    <w:p w:rsidR="00BC32A8" w:rsidRPr="007B6699" w:rsidRDefault="00BC32A8" w:rsidP="00BC32A8">
      <w:r w:rsidRPr="003E5763">
        <w:rPr>
          <w:rStyle w:val="AERbody"/>
        </w:rPr>
        <w:object w:dxaOrig="300" w:dyaOrig="380">
          <v:shape id="_x0000_i1041" type="#_x0000_t75" style="width:15pt;height:18.75pt" o:ole="">
            <v:imagedata r:id="rId43" o:title=""/>
          </v:shape>
          <o:OLEObject Type="Embed" ProgID="Equation.3" ShapeID="_x0000_i1041" DrawAspect="Content" ObjectID="_1478521659" r:id="rId44"/>
        </w:object>
      </w:r>
      <w:r w:rsidRPr="007B6699">
        <w:t xml:space="preserve"> </w:t>
      </w:r>
      <w:r>
        <w:tab/>
      </w:r>
      <w:r w:rsidRPr="007B6699">
        <w:t>is the forecast quantity of component ‘j’ of the tariff class in year t</w:t>
      </w:r>
    </w:p>
    <w:p w:rsidR="00BC32A8" w:rsidRDefault="00F52D19" w:rsidP="00BC32A8">
      <w:pPr>
        <w:rPr>
          <w:rStyle w:val="AERbody"/>
        </w:rPr>
      </w:pPr>
      <w:r w:rsidRPr="00DA1ACE">
        <w:rPr>
          <w:rStyle w:val="AERbody"/>
        </w:rPr>
        <w:object w:dxaOrig="5720" w:dyaOrig="740">
          <v:shape id="_x0000_i1042" type="#_x0000_t75" style="width:290.25pt;height:38.25pt" o:ole="">
            <v:imagedata r:id="rId45" o:title=""/>
          </v:shape>
          <o:OLEObject Type="Embed" ProgID="Equation.3" ShapeID="_x0000_i1042" DrawAspect="Content" ObjectID="_1478521660" r:id="rId46"/>
        </w:object>
      </w:r>
      <w:r w:rsidR="00BC32A8">
        <w:rPr>
          <w:rStyle w:val="AERbody"/>
        </w:rPr>
        <w:tab/>
      </w:r>
    </w:p>
    <w:p w:rsidR="00BC32A8" w:rsidRPr="00462227" w:rsidRDefault="00BC32A8" w:rsidP="00BC32A8">
      <w:pPr>
        <w:pStyle w:val="AERbodytext"/>
        <w:rPr>
          <w:rStyle w:val="AERbody"/>
        </w:rPr>
      </w:pPr>
      <w:r w:rsidRPr="00462227">
        <w:rPr>
          <w:rStyle w:val="AERbody"/>
        </w:rPr>
        <w:object w:dxaOrig="560" w:dyaOrig="400">
          <v:shape id="_x0000_i1043" type="#_x0000_t75" style="width:27.75pt;height:20.25pt" o:ole="">
            <v:imagedata r:id="rId33" o:title=""/>
          </v:shape>
          <o:OLEObject Type="Embed" ProgID="Equation.3" ShapeID="_x0000_i1043" DrawAspect="Content" ObjectID="_1478521661" r:id="rId47"/>
        </w:object>
      </w:r>
      <w:r w:rsidRPr="00462227">
        <w:rPr>
          <w:rStyle w:val="AERbody"/>
        </w:rPr>
        <w:tab/>
        <w:t>means the all groups index number for the weighted average of eight capital cities as published by the ABS, or if the ABS does not or ceases to publish the index, then CPI will mean an index which the AER considers is the best estimate of the index.</w:t>
      </w:r>
    </w:p>
    <w:p w:rsidR="00BC32A8" w:rsidRDefault="00BC32A8" w:rsidP="00BC32A8">
      <w:r w:rsidRPr="007B6699">
        <w:rPr>
          <w:rStyle w:val="AERbody"/>
        </w:rPr>
        <w:object w:dxaOrig="320" w:dyaOrig="360">
          <v:shape id="_x0000_i1044" type="#_x0000_t75" style="width:15.75pt;height:18.75pt" o:ole="">
            <v:imagedata r:id="rId48" o:title=""/>
          </v:shape>
          <o:OLEObject Type="Embed" ProgID="Equation.3" ShapeID="_x0000_i1044" DrawAspect="Content" ObjectID="_1478521662" r:id="rId49"/>
        </w:object>
      </w:r>
      <w:r>
        <w:rPr>
          <w:rStyle w:val="AERbody"/>
        </w:rPr>
        <w:t xml:space="preserve"> </w:t>
      </w:r>
      <w:r>
        <w:rPr>
          <w:rStyle w:val="AERbody"/>
        </w:rPr>
        <w:tab/>
      </w:r>
      <w:r w:rsidR="00412E09" w:rsidRPr="00412E09">
        <w:t xml:space="preserve">the smoothing factor determined in accordance with the PTRM as approved in the AER's final decision, and annually revised for the return on debt update in accordance with the formula specified in the </w:t>
      </w:r>
      <w:r w:rsidR="00C54017">
        <w:rPr>
          <w:rStyle w:val="AERbody"/>
        </w:rPr>
        <w:t>rate of return attachment</w:t>
      </w:r>
      <w:r w:rsidR="00C54017" w:rsidRPr="00412E09">
        <w:t xml:space="preserve"> </w:t>
      </w:r>
      <w:r w:rsidR="00412E09" w:rsidRPr="00412E09">
        <w:t>c</w:t>
      </w:r>
      <w:r w:rsidR="00412E09">
        <w:t>alculated for the relevant year</w:t>
      </w:r>
    </w:p>
    <w:p w:rsidR="00BC32A8" w:rsidRPr="008C1EF7" w:rsidRDefault="00BC32A8" w:rsidP="00BC32A8">
      <w:pPr>
        <w:pStyle w:val="AERbodytext"/>
      </w:pPr>
      <w:r w:rsidRPr="00E67119">
        <w:rPr>
          <w:rStyle w:val="AERbody"/>
        </w:rPr>
        <w:object w:dxaOrig="400" w:dyaOrig="360">
          <v:shape id="_x0000_i1045" type="#_x0000_t75" style="width:20.25pt;height:18.75pt" o:ole="">
            <v:imagedata r:id="rId50" o:title=""/>
          </v:shape>
          <o:OLEObject Type="Embed" ProgID="Equation.3" ShapeID="_x0000_i1045" DrawAspect="Content" ObjectID="_1478521663" r:id="rId51"/>
        </w:object>
      </w:r>
      <w:r w:rsidR="00FE2154">
        <w:rPr>
          <w:rStyle w:val="AERbody"/>
        </w:rPr>
        <w:tab/>
      </w:r>
      <w:r w:rsidRPr="008C1EF7">
        <w:t>is an annual adjustment factor that reflects the pass through amounts approved by the AER with respect to regulatory year t</w:t>
      </w:r>
    </w:p>
    <w:p w:rsidR="00BC32A8" w:rsidRPr="007B6699" w:rsidRDefault="00BC32A8" w:rsidP="00BC32A8">
      <w:r w:rsidRPr="008A7EC8">
        <w:rPr>
          <w:rStyle w:val="AERbody"/>
        </w:rPr>
        <w:object w:dxaOrig="260" w:dyaOrig="360">
          <v:shape id="_x0000_i1046" type="#_x0000_t75" style="width:12.75pt;height:18.75pt" o:ole="">
            <v:imagedata r:id="rId52" o:title=""/>
          </v:shape>
          <o:OLEObject Type="Embed" ProgID="Equation.3" ShapeID="_x0000_i1046" DrawAspect="Content" ObjectID="_1478521664" r:id="rId53"/>
        </w:object>
      </w:r>
      <w:r>
        <w:rPr>
          <w:rStyle w:val="AERbody"/>
        </w:rPr>
        <w:tab/>
      </w:r>
      <w:r w:rsidRPr="002455D4">
        <w:rPr>
          <w:rStyle w:val="AERbody"/>
        </w:rPr>
        <w:t xml:space="preserve">is the </w:t>
      </w:r>
      <w:r w:rsidR="000E20ED">
        <w:rPr>
          <w:rStyle w:val="AERbody"/>
        </w:rPr>
        <w:t>STPIS factor sum of the raw S</w:t>
      </w:r>
      <w:r>
        <w:rPr>
          <w:rStyle w:val="AERbody"/>
        </w:rPr>
        <w:t xml:space="preserve">-factors for all reliability of supply and customer service parameters (as applicable) to be applied in </w:t>
      </w:r>
      <w:r w:rsidRPr="002455D4">
        <w:rPr>
          <w:rStyle w:val="AERbody"/>
        </w:rPr>
        <w:t>year t.</w:t>
      </w:r>
      <w:r>
        <w:rPr>
          <w:rStyle w:val="FootnoteReference"/>
        </w:rPr>
        <w:footnoteReference w:id="15"/>
      </w:r>
      <w:r>
        <w:rPr>
          <w:rStyle w:val="AERbody"/>
        </w:rPr>
        <w:t xml:space="preserve"> </w:t>
      </w:r>
      <w:r w:rsidRPr="008A7EC8">
        <w:rPr>
          <w:rStyle w:val="AERbody"/>
        </w:rPr>
        <w:object w:dxaOrig="300" w:dyaOrig="380">
          <v:shape id="_x0000_i1047" type="#_x0000_t75" style="width:15pt;height:18.75pt" o:ole="">
            <v:imagedata r:id="rId54" o:title=""/>
          </v:shape>
          <o:OLEObject Type="Embed" ProgID="Equation.3" ShapeID="_x0000_i1047" DrawAspect="Content" ObjectID="_1478521665" r:id="rId55"/>
        </w:object>
      </w:r>
      <w:r>
        <w:rPr>
          <w:rStyle w:val="AERbody"/>
        </w:rPr>
        <w:t>for 2015 and 2016 are set at zero.</w:t>
      </w:r>
    </w:p>
    <w:p w:rsidR="00BC32A8" w:rsidRDefault="00BC32A8" w:rsidP="00BC32A8">
      <w:r w:rsidRPr="00E67119">
        <w:rPr>
          <w:rStyle w:val="AERbody"/>
        </w:rPr>
        <w:object w:dxaOrig="720" w:dyaOrig="360">
          <v:shape id="_x0000_i1048" type="#_x0000_t75" style="width:35.25pt;height:18.75pt" o:ole="">
            <v:imagedata r:id="rId56" o:title=""/>
          </v:shape>
          <o:OLEObject Type="Embed" ProgID="Equation.3" ShapeID="_x0000_i1048" DrawAspect="Content" ObjectID="_1478521666" r:id="rId57"/>
        </w:object>
      </w:r>
      <w:r w:rsidRPr="007B6699">
        <w:t>is an annual adjustment factor r</w:t>
      </w:r>
      <w:r>
        <w:t>elated to the balance of the DUoS</w:t>
      </w:r>
      <w:r w:rsidRPr="007B6699">
        <w:t xml:space="preserve"> unders and overs account wi</w:t>
      </w:r>
      <w:r w:rsidR="00DA1ACE">
        <w:t>th respect to regulatory year t</w:t>
      </w:r>
    </w:p>
    <w:p w:rsidR="00DA1ACE" w:rsidRPr="007B6699" w:rsidRDefault="00DA1ACE" w:rsidP="00DA1ACE">
      <w:r w:rsidRPr="00DA1ACE">
        <w:rPr>
          <w:rStyle w:val="AERbody"/>
        </w:rPr>
        <w:object w:dxaOrig="660" w:dyaOrig="360">
          <v:shape id="_x0000_i1049" type="#_x0000_t75" style="width:32.25pt;height:18.75pt" o:ole="">
            <v:imagedata r:id="rId58" o:title=""/>
          </v:shape>
          <o:OLEObject Type="Embed" ProgID="Equation.3" ShapeID="_x0000_i1049" DrawAspect="Content" ObjectID="_1478521667" r:id="rId59"/>
        </w:object>
      </w:r>
      <w:r w:rsidRPr="007B6699">
        <w:t>is an annual adjustment factor r</w:t>
      </w:r>
      <w:r>
        <w:t>elated to the balance of the TUoS</w:t>
      </w:r>
      <w:r w:rsidRPr="007B6699">
        <w:t xml:space="preserve"> unders and overs account with respect to regulatory year t.</w:t>
      </w:r>
    </w:p>
    <w:p w:rsidR="00BC32A8" w:rsidRPr="00BB2CCA" w:rsidRDefault="00BC32A8" w:rsidP="00BC32A8">
      <w:pPr>
        <w:pStyle w:val="AERbodytext"/>
        <w:rPr>
          <w:rStyle w:val="AERbody"/>
        </w:rPr>
      </w:pPr>
      <w:r w:rsidRPr="00BB2CCA">
        <w:rPr>
          <w:rStyle w:val="AERbody"/>
        </w:rPr>
        <w:t xml:space="preserve">With the exception of the CPI and X factors, the percentage for each of the other factors above can be calculated by dividing the incremental revenues (as used in the </w:t>
      </w:r>
      <w:r>
        <w:rPr>
          <w:rStyle w:val="AERbody"/>
        </w:rPr>
        <w:t>A</w:t>
      </w:r>
      <w:r w:rsidR="00917AF2">
        <w:rPr>
          <w:rStyle w:val="AERbody"/>
        </w:rPr>
        <w:t>A</w:t>
      </w:r>
      <w:r>
        <w:rPr>
          <w:rStyle w:val="AERbody"/>
        </w:rPr>
        <w:t>R</w:t>
      </w:r>
      <w:r w:rsidRPr="00BB2CCA">
        <w:rPr>
          <w:rStyle w:val="AERbody"/>
        </w:rPr>
        <w:t xml:space="preserve"> formula) for each factor by</w:t>
      </w:r>
      <w:r>
        <w:rPr>
          <w:rStyle w:val="AERbody"/>
        </w:rPr>
        <w:t xml:space="preserve"> </w:t>
      </w:r>
      <w:r w:rsidRPr="00BB2CCA">
        <w:rPr>
          <w:rStyle w:val="AERbody"/>
        </w:rPr>
        <w:t>the expected revenues for regulatory year t–1 (based on the prices in year</w:t>
      </w:r>
      <w:r>
        <w:rPr>
          <w:rStyle w:val="AERbody"/>
        </w:rPr>
        <w:t> </w:t>
      </w:r>
      <w:r w:rsidRPr="00BB2CCA">
        <w:rPr>
          <w:rStyle w:val="AERbody"/>
        </w:rPr>
        <w:t>t–1 multiplied by the forecast quantities for year t).</w:t>
      </w:r>
    </w:p>
    <w:p w:rsidR="00BC32A8" w:rsidRDefault="00BC32A8" w:rsidP="00BC32A8">
      <w:pPr>
        <w:pStyle w:val="HeadingBoldBlue"/>
      </w:pPr>
      <w:r>
        <w:t>Prescribed (transmission) services</w:t>
      </w:r>
    </w:p>
    <w:p w:rsidR="00BC32A8" w:rsidRPr="001C234F" w:rsidRDefault="00BC32A8" w:rsidP="00BC32A8">
      <w:pPr>
        <w:pStyle w:val="AERbodytext"/>
      </w:pPr>
      <w:r w:rsidRPr="001C234F">
        <w:t>A</w:t>
      </w:r>
      <w:r>
        <w:t>ctewAGL</w:t>
      </w:r>
      <w:r w:rsidRPr="001C234F">
        <w:t xml:space="preserve"> has </w:t>
      </w:r>
      <w:r>
        <w:t xml:space="preserve">prescribed </w:t>
      </w:r>
      <w:r w:rsidRPr="001C234F">
        <w:t>transmission services</w:t>
      </w:r>
      <w:r>
        <w:t xml:space="preserve"> and must </w:t>
      </w:r>
      <w:r w:rsidRPr="001C234F">
        <w:t xml:space="preserve">apportion </w:t>
      </w:r>
      <w:r>
        <w:t>its</w:t>
      </w:r>
      <w:r w:rsidRPr="001C234F">
        <w:t xml:space="preserve"> revenue between </w:t>
      </w:r>
      <w:r>
        <w:t>its</w:t>
      </w:r>
      <w:r w:rsidRPr="001C234F">
        <w:t xml:space="preserve"> distribution and</w:t>
      </w:r>
      <w:r>
        <w:t xml:space="preserve"> </w:t>
      </w:r>
      <w:r w:rsidRPr="001C234F">
        <w:t>transmission services.</w:t>
      </w:r>
      <w:r>
        <w:t xml:space="preserve"> Therefore we are required to make a decision on the revenue cap formula for ActewAGL's transmission revenue.</w:t>
      </w:r>
      <w:r w:rsidRPr="001C234F">
        <w:t xml:space="preserve"> </w:t>
      </w:r>
    </w:p>
    <w:p w:rsidR="00BC32A8" w:rsidRDefault="00BC32A8" w:rsidP="00BC32A8">
      <w:pPr>
        <w:pStyle w:val="AERbodytext"/>
      </w:pPr>
      <w:r>
        <w:t xml:space="preserve">We </w:t>
      </w:r>
      <w:r w:rsidRPr="004037F5">
        <w:t xml:space="preserve">will apply the same revenue cap formula to </w:t>
      </w:r>
      <w:r>
        <w:t xml:space="preserve">ActewAGL for </w:t>
      </w:r>
      <w:r w:rsidRPr="004037F5">
        <w:t>prescribed</w:t>
      </w:r>
      <w:r>
        <w:t xml:space="preserve"> </w:t>
      </w:r>
      <w:r w:rsidRPr="004037F5">
        <w:t xml:space="preserve">(transmission) standard control services as that applied </w:t>
      </w:r>
      <w:r>
        <w:t xml:space="preserve">in the current regulatory control period. </w:t>
      </w:r>
    </w:p>
    <w:p w:rsidR="00BC32A8" w:rsidRPr="004037F5" w:rsidRDefault="00BC32A8" w:rsidP="00BC32A8">
      <w:pPr>
        <w:pStyle w:val="AERbodytext"/>
      </w:pPr>
      <w:r>
        <w:t xml:space="preserve"> </w:t>
      </w:r>
      <w:r w:rsidR="00717B6F" w:rsidRPr="00BC32A8">
        <w:rPr>
          <w:position w:val="-12"/>
        </w:rPr>
        <w:object w:dxaOrig="1840" w:dyaOrig="360">
          <v:shape id="_x0000_i1050" type="#_x0000_t75" style="width:93pt;height:18.75pt" o:ole="">
            <v:imagedata r:id="rId60" o:title=""/>
          </v:shape>
          <o:OLEObject Type="Embed" ProgID="Equation.3" ShapeID="_x0000_i1050" DrawAspect="Content" ObjectID="_1478521668" r:id="rId61"/>
        </w:object>
      </w:r>
    </w:p>
    <w:p w:rsidR="00BC32A8" w:rsidRDefault="00717B6F" w:rsidP="00BC32A8">
      <w:pPr>
        <w:pStyle w:val="AERbodytext"/>
      </w:pPr>
      <w:r w:rsidRPr="00BC32A8">
        <w:rPr>
          <w:position w:val="-12"/>
        </w:rPr>
        <w:object w:dxaOrig="3060" w:dyaOrig="360">
          <v:shape id="_x0000_i1051" type="#_x0000_t75" style="width:152.25pt;height:18.75pt" o:ole="">
            <v:imagedata r:id="rId62" o:title=""/>
          </v:shape>
          <o:OLEObject Type="Embed" ProgID="Equation.3" ShapeID="_x0000_i1051" DrawAspect="Content" ObjectID="_1478521669" r:id="rId63"/>
        </w:object>
      </w:r>
    </w:p>
    <w:p w:rsidR="00BC32A8" w:rsidRDefault="00BC32A8" w:rsidP="00BC32A8">
      <w:pPr>
        <w:pStyle w:val="AERbodytext"/>
      </w:pPr>
      <w:r>
        <w:t>Where:</w:t>
      </w:r>
    </w:p>
    <w:p w:rsidR="00BC32A8" w:rsidRDefault="00717B6F" w:rsidP="00BC32A8">
      <w:pPr>
        <w:pStyle w:val="AERbodytext"/>
        <w:rPr>
          <w:rStyle w:val="AERbody"/>
        </w:rPr>
      </w:pPr>
      <w:r w:rsidRPr="00717B6F">
        <w:rPr>
          <w:rStyle w:val="AERbody"/>
        </w:rPr>
        <w:object w:dxaOrig="620" w:dyaOrig="360">
          <v:shape id="_x0000_i1052" type="#_x0000_t75" style="width:30.75pt;height:18.75pt" o:ole="">
            <v:imagedata r:id="rId64" o:title=""/>
          </v:shape>
          <o:OLEObject Type="Embed" ProgID="Equation.3" ShapeID="_x0000_i1052" DrawAspect="Content" ObjectID="_1478521670" r:id="rId65"/>
        </w:object>
      </w:r>
      <w:r w:rsidR="00BC32A8">
        <w:rPr>
          <w:rStyle w:val="AERbody"/>
        </w:rPr>
        <w:tab/>
      </w:r>
      <w:r w:rsidR="00BC32A8" w:rsidRPr="002455D4">
        <w:rPr>
          <w:rStyle w:val="AERbody"/>
        </w:rPr>
        <w:t>is the maximum allo</w:t>
      </w:r>
      <w:r w:rsidR="00BC32A8">
        <w:rPr>
          <w:rStyle w:val="AERbody"/>
        </w:rPr>
        <w:t>wable revenue in year t</w:t>
      </w:r>
    </w:p>
    <w:p w:rsidR="00BC32A8" w:rsidRPr="00BC32A8" w:rsidRDefault="00717B6F" w:rsidP="00BC32A8">
      <w:pPr>
        <w:pStyle w:val="AERbodytext"/>
        <w:rPr>
          <w:rStyle w:val="AERtextitalic"/>
        </w:rPr>
      </w:pPr>
      <w:r w:rsidRPr="00717B6F">
        <w:rPr>
          <w:rStyle w:val="AERbody"/>
        </w:rPr>
        <w:object w:dxaOrig="480" w:dyaOrig="380">
          <v:shape id="_x0000_i1053" type="#_x0000_t75" style="width:24.75pt;height:20.25pt" o:ole="">
            <v:imagedata r:id="rId66" o:title=""/>
          </v:shape>
          <o:OLEObject Type="Embed" ProgID="Equation.3" ShapeID="_x0000_i1053" DrawAspect="Content" ObjectID="_1478521671" r:id="rId67"/>
        </w:object>
      </w:r>
      <w:r w:rsidR="00BC32A8">
        <w:rPr>
          <w:rStyle w:val="AERbody"/>
        </w:rPr>
        <w:t xml:space="preserve"> </w:t>
      </w:r>
      <w:r w:rsidR="006A0175">
        <w:rPr>
          <w:rStyle w:val="AERbody"/>
        </w:rPr>
        <w:tab/>
      </w:r>
      <w:r w:rsidR="00BC32A8" w:rsidRPr="002455D4">
        <w:rPr>
          <w:rStyle w:val="AERbody"/>
        </w:rPr>
        <w:t xml:space="preserve">is the </w:t>
      </w:r>
      <w:r w:rsidR="00BC32A8">
        <w:rPr>
          <w:rStyle w:val="AERbody"/>
        </w:rPr>
        <w:t xml:space="preserve">allowable revenue in year </w:t>
      </w:r>
      <w:r w:rsidR="00BC32A8" w:rsidRPr="008C1EF7">
        <w:rPr>
          <w:rStyle w:val="AERtextitalic"/>
        </w:rPr>
        <w:t>t</w:t>
      </w:r>
    </w:p>
    <w:p w:rsidR="00BC32A8" w:rsidRPr="008C1EF7" w:rsidRDefault="00BC32A8" w:rsidP="00BC32A8">
      <w:pPr>
        <w:pStyle w:val="AERbodytext"/>
      </w:pPr>
      <w:r w:rsidRPr="00E67119">
        <w:rPr>
          <w:rStyle w:val="AERbody"/>
        </w:rPr>
        <w:object w:dxaOrig="400" w:dyaOrig="360">
          <v:shape id="_x0000_i1054" type="#_x0000_t75" style="width:21pt;height:18.75pt" o:ole="">
            <v:imagedata r:id="rId68" o:title=""/>
          </v:shape>
          <o:OLEObject Type="Embed" ProgID="Equation.3" ShapeID="_x0000_i1054" DrawAspect="Content" ObjectID="_1478521672" r:id="rId69"/>
        </w:object>
      </w:r>
      <w:r>
        <w:rPr>
          <w:rStyle w:val="AERbody"/>
        </w:rPr>
        <w:tab/>
      </w:r>
      <w:r w:rsidRPr="008C1EF7">
        <w:t>is an annual adjustment factor that reflects the pass through amounts approved by the AER with respect to regulatory year t</w:t>
      </w:r>
    </w:p>
    <w:p w:rsidR="00BC32A8" w:rsidRDefault="00BC32A8" w:rsidP="00BC32A8">
      <w:pPr>
        <w:pStyle w:val="AERbodytext"/>
        <w:rPr>
          <w:rStyle w:val="AERbody"/>
        </w:rPr>
      </w:pPr>
      <w:r w:rsidRPr="00AD01C0">
        <w:rPr>
          <w:rStyle w:val="AERbody"/>
        </w:rPr>
        <w:object w:dxaOrig="720" w:dyaOrig="380">
          <v:shape id="_x0000_i1055" type="#_x0000_t75" style="width:36pt;height:20.25pt" o:ole="">
            <v:imagedata r:id="rId70" o:title=""/>
          </v:shape>
          <o:OLEObject Type="Embed" ProgID="Equation.3" ShapeID="_x0000_i1055" DrawAspect="Content" ObjectID="_1478521673" r:id="rId71"/>
        </w:object>
      </w:r>
      <w:r w:rsidR="00FE2154">
        <w:rPr>
          <w:rStyle w:val="AERbody"/>
        </w:rPr>
        <w:tab/>
      </w:r>
      <w:r w:rsidRPr="002455D4">
        <w:rPr>
          <w:rStyle w:val="AERbody"/>
        </w:rPr>
        <w:t>is the annual percentage change in the Australian Bureau of Statistics (ABS) Consumer Price Index All Groups, Weighted Average of Eight Capital Cities from December in year t–2 to December in year t–1</w:t>
      </w:r>
      <w:r>
        <w:rPr>
          <w:rStyle w:val="AERbody"/>
        </w:rPr>
        <w:t>.</w:t>
      </w:r>
    </w:p>
    <w:p w:rsidR="00BC32A8" w:rsidRPr="008C1EF7" w:rsidRDefault="00BC32A8" w:rsidP="00412E09">
      <w:pPr>
        <w:pStyle w:val="AERbodytext"/>
      </w:pPr>
      <w:r w:rsidRPr="008C1EF7">
        <w:rPr>
          <w:rStyle w:val="AERbody"/>
        </w:rPr>
        <w:object w:dxaOrig="320" w:dyaOrig="360">
          <v:shape id="_x0000_i1056" type="#_x0000_t75" style="width:15.75pt;height:18.75pt" o:ole="">
            <v:imagedata r:id="rId48" o:title=""/>
          </v:shape>
          <o:OLEObject Type="Embed" ProgID="Equation.3" ShapeID="_x0000_i1056" DrawAspect="Content" ObjectID="_1478521674" r:id="rId72"/>
        </w:object>
      </w:r>
      <w:r w:rsidRPr="008C1EF7">
        <w:rPr>
          <w:rStyle w:val="AERbody"/>
        </w:rPr>
        <w:t xml:space="preserve"> </w:t>
      </w:r>
      <w:r w:rsidRPr="008C1EF7">
        <w:rPr>
          <w:rStyle w:val="AERbody"/>
        </w:rPr>
        <w:tab/>
      </w:r>
      <w:r w:rsidR="00412E09" w:rsidRPr="00412E09">
        <w:t xml:space="preserve">the smoothing factor determined in accordance with the PTRM as approved in the AER's final decision, and annually revised for the return on debt update in accordance with the formula specified in the </w:t>
      </w:r>
      <w:r w:rsidR="00C54017">
        <w:rPr>
          <w:rStyle w:val="AERbody"/>
        </w:rPr>
        <w:t>rate of return attachment</w:t>
      </w:r>
      <w:r w:rsidR="00C54017" w:rsidRPr="00412E09">
        <w:t xml:space="preserve"> </w:t>
      </w:r>
      <w:r w:rsidR="00412E09" w:rsidRPr="00412E09">
        <w:t>calculated for the relevant year.</w:t>
      </w:r>
    </w:p>
    <w:p w:rsidR="00BC32A8" w:rsidRDefault="00BC32A8" w:rsidP="00BC32A8">
      <w:pPr>
        <w:pStyle w:val="AERbodytext"/>
      </w:pPr>
    </w:p>
    <w:p w:rsidR="00DA7987" w:rsidRPr="005E6780" w:rsidRDefault="00DA7987" w:rsidP="00BC32A8">
      <w:pPr>
        <w:pStyle w:val="Heading7"/>
      </w:pPr>
      <w:bookmarkStart w:id="22" w:name="_Toc404255909"/>
      <w:r>
        <w:lastRenderedPageBreak/>
        <w:t>DUoS</w:t>
      </w:r>
      <w:r w:rsidRPr="005E6780">
        <w:t xml:space="preserve"> under</w:t>
      </w:r>
      <w:r>
        <w:t>s</w:t>
      </w:r>
      <w:r w:rsidRPr="005E6780">
        <w:t xml:space="preserve"> and over</w:t>
      </w:r>
      <w:r>
        <w:t>s</w:t>
      </w:r>
      <w:r w:rsidRPr="005E6780">
        <w:t xml:space="preserve"> </w:t>
      </w:r>
      <w:r>
        <w:t>account</w:t>
      </w:r>
      <w:bookmarkEnd w:id="22"/>
    </w:p>
    <w:p w:rsidR="00DA7987" w:rsidRPr="005E6780" w:rsidRDefault="00DA7987" w:rsidP="00DA7987">
      <w:pPr>
        <w:pStyle w:val="AERbodytext"/>
      </w:pPr>
      <w:r w:rsidRPr="005E6780">
        <w:t xml:space="preserve">To demonstrate compliance with its distribution determination in the </w:t>
      </w:r>
      <w:r w:rsidR="00C1083C">
        <w:t>2015–19</w:t>
      </w:r>
      <w:r w:rsidRPr="005E6780">
        <w:t xml:space="preserve"> regulatory control period, </w:t>
      </w:r>
      <w:r>
        <w:t>we</w:t>
      </w:r>
      <w:r w:rsidRPr="005E6780">
        <w:t xml:space="preserve"> require </w:t>
      </w:r>
      <w:r w:rsidR="006A0175">
        <w:t>ActewAGL</w:t>
      </w:r>
      <w:r>
        <w:t xml:space="preserve"> to maintain a DUoS</w:t>
      </w:r>
      <w:r w:rsidRPr="005E6780">
        <w:t xml:space="preserve"> unders and overs account. </w:t>
      </w:r>
      <w:r>
        <w:t xml:space="preserve">It </w:t>
      </w:r>
      <w:r w:rsidRPr="005E6780">
        <w:t xml:space="preserve">must provide information on this account to </w:t>
      </w:r>
      <w:r>
        <w:t>us in</w:t>
      </w:r>
      <w:r w:rsidRPr="005E6780">
        <w:t xml:space="preserve"> its annual pricing proposal.</w:t>
      </w:r>
      <w:r>
        <w:rPr>
          <w:rStyle w:val="FootnoteReference"/>
        </w:rPr>
        <w:footnoteReference w:id="16"/>
      </w:r>
      <w:r w:rsidRPr="005E6780">
        <w:t xml:space="preserve"> </w:t>
      </w:r>
    </w:p>
    <w:p w:rsidR="00DA7987" w:rsidRPr="005E6780" w:rsidRDefault="006A0175" w:rsidP="00DA7987">
      <w:pPr>
        <w:pStyle w:val="AERbodytext"/>
      </w:pPr>
      <w:r>
        <w:t>ActewAGL</w:t>
      </w:r>
      <w:r w:rsidR="00DA7987" w:rsidRPr="005E6780">
        <w:t xml:space="preserve"> must provide the amounts for the following entries in </w:t>
      </w:r>
      <w:r w:rsidR="00DA7987">
        <w:t>its</w:t>
      </w:r>
      <w:r w:rsidR="00DA7987" w:rsidRPr="005E6780">
        <w:t xml:space="preserve"> </w:t>
      </w:r>
      <w:r w:rsidR="00DA7987">
        <w:t>DUoS</w:t>
      </w:r>
      <w:r w:rsidR="00DA7987" w:rsidRPr="005E6780">
        <w:t xml:space="preserve"> unders and overs account for the most recently completed regulatory year (t-2), the current regulatory year (t-1) and the next regulatory year (t):</w:t>
      </w:r>
    </w:p>
    <w:p w:rsidR="00DA7987" w:rsidRPr="005E6780" w:rsidRDefault="00DA7987" w:rsidP="00DA7987">
      <w:pPr>
        <w:pStyle w:val="AERnumberedlistfirststyle"/>
      </w:pPr>
      <w:r w:rsidRPr="005E6780">
        <w:t xml:space="preserve">opening balance for year t-2, year t-1 and year t; </w:t>
      </w:r>
    </w:p>
    <w:p w:rsidR="00DA7987" w:rsidRPr="005E6780" w:rsidRDefault="00DA7987" w:rsidP="00DA7987">
      <w:pPr>
        <w:pStyle w:val="AERnumberedlistfirststyle"/>
      </w:pPr>
      <w:r w:rsidRPr="005E6780">
        <w:t>an interest charge for one year on the opening balance in year t-2 and an interest charge for one year on the opening balance in year t-1. These adjustments are to be calculated using the approved nominal WACC. No such interest charge applies to the opening balance for year t;</w:t>
      </w:r>
    </w:p>
    <w:p w:rsidR="00DA7987" w:rsidRPr="005E6780" w:rsidRDefault="00DA7987" w:rsidP="00DA7987">
      <w:pPr>
        <w:pStyle w:val="AERnumberedlistfirststyle"/>
      </w:pPr>
      <w:r w:rsidRPr="005E6780">
        <w:t>the amou</w:t>
      </w:r>
      <w:r>
        <w:t>nt of revenue recovered from DUoS</w:t>
      </w:r>
      <w:r w:rsidRPr="005E6780">
        <w:t xml:space="preserve"> charges in respect of that year, less any under/over adjustments approved by the </w:t>
      </w:r>
      <w:r>
        <w:t>AER</w:t>
      </w:r>
      <w:r w:rsidRPr="005E6780">
        <w:t xml:space="preserve"> for year t-2 and year t</w:t>
      </w:r>
      <w:r w:rsidR="00E94F1B">
        <w:t>-</w:t>
      </w:r>
      <w:r w:rsidRPr="005E6780">
        <w:t xml:space="preserve">1, less the </w:t>
      </w:r>
      <w:r>
        <w:t>A</w:t>
      </w:r>
      <w:r w:rsidR="00917AF2">
        <w:t>A</w:t>
      </w:r>
      <w:r>
        <w:t>R</w:t>
      </w:r>
      <w:r w:rsidRPr="005E6780">
        <w:t xml:space="preserve"> for the year in question;</w:t>
      </w:r>
    </w:p>
    <w:p w:rsidR="00DA7987" w:rsidRPr="005E6780" w:rsidRDefault="00DA7987" w:rsidP="00DA7987">
      <w:pPr>
        <w:pStyle w:val="AERnumberedlistfirststyle"/>
      </w:pPr>
      <w:r w:rsidRPr="005E6780">
        <w:t>an interest charge for one year related to the net amounts in item 3 for year t-2 and an interest charge for one year for year t-1. These adjustments are to be calculated using the approved nominal WACC. No such charge applies to the net amount in item 2 for year t;</w:t>
      </w:r>
    </w:p>
    <w:p w:rsidR="00DA7987" w:rsidRPr="005E6780" w:rsidRDefault="00DA7987" w:rsidP="00DA7987">
      <w:pPr>
        <w:pStyle w:val="AERnumberedlistfirststyle"/>
      </w:pPr>
      <w:r w:rsidRPr="005E6780">
        <w:t>the total of items 1-4 to derive the closing balance for each year.</w:t>
      </w:r>
    </w:p>
    <w:p w:rsidR="00DA7987" w:rsidRPr="005E6780" w:rsidRDefault="006A0175" w:rsidP="00DA7987">
      <w:pPr>
        <w:pStyle w:val="AERbodytext"/>
      </w:pPr>
      <w:r>
        <w:t>ActewAGL</w:t>
      </w:r>
      <w:r w:rsidR="00DA7987" w:rsidRPr="005E6780">
        <w:t xml:space="preserve"> must provide details of calcula</w:t>
      </w:r>
      <w:r w:rsidR="00412E09">
        <w:t>tions in the format set out in</w:t>
      </w:r>
      <w:r w:rsidR="00C54017">
        <w:t xml:space="preserve"> </w:t>
      </w:r>
      <w:r w:rsidR="00C54017">
        <w:fldChar w:fldCharType="begin"/>
      </w:r>
      <w:r w:rsidR="00C54017">
        <w:instrText xml:space="preserve"> REF _Ref404255577 \h </w:instrText>
      </w:r>
      <w:r w:rsidR="00C54017">
        <w:fldChar w:fldCharType="separate"/>
      </w:r>
      <w:r w:rsidR="00E94F1B">
        <w:t xml:space="preserve">Table </w:t>
      </w:r>
      <w:r w:rsidR="00E94F1B">
        <w:rPr>
          <w:noProof/>
        </w:rPr>
        <w:t>14</w:t>
      </w:r>
      <w:r w:rsidR="00E94F1B">
        <w:t>.</w:t>
      </w:r>
      <w:r w:rsidR="00E94F1B">
        <w:rPr>
          <w:noProof/>
        </w:rPr>
        <w:t>2</w:t>
      </w:r>
      <w:r w:rsidR="00C54017">
        <w:fldChar w:fldCharType="end"/>
      </w:r>
      <w:r w:rsidR="00DA7987" w:rsidRPr="005E6780">
        <w:t xml:space="preserve">. All of </w:t>
      </w:r>
      <w:r>
        <w:t>ActewAGL</w:t>
      </w:r>
      <w:r w:rsidR="00DA7987" w:rsidRPr="005E6780">
        <w:t xml:space="preserve">'s approved revenue adjustments operate on a one year lag and are therefore to be </w:t>
      </w:r>
      <w:r w:rsidR="00DA7987">
        <w:t>entered in the DUoS</w:t>
      </w:r>
      <w:r w:rsidR="00DA7987" w:rsidRPr="005E6780">
        <w:t xml:space="preserve"> unders and overs account inclusive of a</w:t>
      </w:r>
      <w:r w:rsidR="00C1083C">
        <w:t xml:space="preserve"> single year</w:t>
      </w:r>
      <w:r w:rsidR="00DA7987" w:rsidRPr="005E6780">
        <w:t xml:space="preserve"> interest charge. Amounts provided for the most recently completed regulatory year (t-2) must be audited. Amounts provided for the current regulatory year (t-1) will be regarded as an estimate. Amounts provided for the next regulatory year (t) will be regarded as a forecast.</w:t>
      </w:r>
      <w:r w:rsidR="00C1083C">
        <w:t xml:space="preserve"> This is normal regulatory practice.</w:t>
      </w:r>
    </w:p>
    <w:p w:rsidR="00C1083C" w:rsidRPr="00C1083C" w:rsidRDefault="00DA7987" w:rsidP="00C1083C">
      <w:pPr>
        <w:pStyle w:val="AERbodytext"/>
      </w:pPr>
      <w:r w:rsidRPr="005E6780">
        <w:t>In proposing variations to</w:t>
      </w:r>
      <w:r>
        <w:t xml:space="preserve"> the amount and structure of DUoS</w:t>
      </w:r>
      <w:r w:rsidRPr="005E6780">
        <w:t xml:space="preserve"> charges, </w:t>
      </w:r>
      <w:r w:rsidR="006A0175">
        <w:t>ActewAGL</w:t>
      </w:r>
      <w:r>
        <w:t xml:space="preserve"> </w:t>
      </w:r>
      <w:r w:rsidRPr="005E6780">
        <w:t xml:space="preserve">must attempt to achieve an expected zero balance on their </w:t>
      </w:r>
      <w:r>
        <w:t>DUoS</w:t>
      </w:r>
      <w:r w:rsidRPr="005E6780">
        <w:t xml:space="preserve"> unders and overs accounts in each forecast year in its annual pricing proposals in the </w:t>
      </w:r>
      <w:r>
        <w:t xml:space="preserve">2015–19 regulatory control period, </w:t>
      </w:r>
      <w:r w:rsidRPr="00F4769B">
        <w:t xml:space="preserve">unless </w:t>
      </w:r>
      <w:r>
        <w:t>it</w:t>
      </w:r>
      <w:r w:rsidRPr="00F4769B">
        <w:t xml:space="preserve"> can demonstrate for a given year that such an adjustment exceeds the agreed tolerance limits set out in this decision. In such circumstances, the balance at the end of the regulatory control period will reflect the amount by which the adjustment exceeded the first tolerance limit (that is, the amount by which the under/over adjustment exceeded </w:t>
      </w:r>
      <w:r>
        <w:t>two</w:t>
      </w:r>
      <w:r w:rsidRPr="00F4769B">
        <w:t xml:space="preserve"> per cent of </w:t>
      </w:r>
      <w:r w:rsidR="006A0175">
        <w:t>ActewAGL</w:t>
      </w:r>
      <w:r w:rsidRPr="00F4769B">
        <w:t xml:space="preserve">’s </w:t>
      </w:r>
      <w:r>
        <w:t>A</w:t>
      </w:r>
      <w:r w:rsidR="00917AF2">
        <w:t>A</w:t>
      </w:r>
      <w:r>
        <w:t>R</w:t>
      </w:r>
      <w:r w:rsidRPr="00F4769B">
        <w:t xml:space="preserve"> for year t</w:t>
      </w:r>
      <w:r>
        <w:t>)</w:t>
      </w:r>
      <w:r w:rsidR="00C1083C" w:rsidRPr="00C1083C">
        <w:t>. That amount is to be cleared completely the following year. This has the effect of smoothing/delaying price changes for year one only. This guarantees end use customers do not face substantial price shocks many years after an unders or overs recovery was recorded.</w:t>
      </w:r>
    </w:p>
    <w:p w:rsidR="00DA7987" w:rsidRDefault="00DA7987" w:rsidP="00DA7987">
      <w:pPr>
        <w:pStyle w:val="AERbodytext"/>
      </w:pPr>
      <w:r w:rsidRPr="005E6780">
        <w:t xml:space="preserve">The proposed prices for year t are based on the sum of the </w:t>
      </w:r>
      <w:r>
        <w:t>A</w:t>
      </w:r>
      <w:r w:rsidR="00917AF2">
        <w:t>A</w:t>
      </w:r>
      <w:r>
        <w:t>RR</w:t>
      </w:r>
      <w:r w:rsidRPr="005E6780">
        <w:t xml:space="preserve"> for ye</w:t>
      </w:r>
      <w:r>
        <w:t>ar t plus any adjustment for DUoS</w:t>
      </w:r>
      <w:r w:rsidRPr="005E6780">
        <w:t xml:space="preserve"> under or over recoveries.</w:t>
      </w:r>
    </w:p>
    <w:p w:rsidR="00DA7987" w:rsidRDefault="00DA7987" w:rsidP="00DA7987">
      <w:pPr>
        <w:pStyle w:val="AERbodytext"/>
      </w:pPr>
    </w:p>
    <w:p w:rsidR="00DA7987" w:rsidRDefault="00DA7987" w:rsidP="00DA7987">
      <w:pPr>
        <w:pStyle w:val="AERbodytext"/>
      </w:pPr>
    </w:p>
    <w:p w:rsidR="00DA7987" w:rsidRPr="001D1F63" w:rsidRDefault="00EE72C2" w:rsidP="00EE72C2">
      <w:pPr>
        <w:pStyle w:val="Caption"/>
        <w:rPr>
          <w:rStyle w:val="AERtextbold"/>
        </w:rPr>
      </w:pPr>
      <w:bookmarkStart w:id="23" w:name="_Ref404255577"/>
      <w:r>
        <w:lastRenderedPageBreak/>
        <w:t xml:space="preserve">Table </w:t>
      </w:r>
      <w:r w:rsidR="003737A8">
        <w:fldChar w:fldCharType="begin"/>
      </w:r>
      <w:r w:rsidR="003737A8">
        <w:instrText xml:space="preserve"> STYLEREF 1 \s </w:instrText>
      </w:r>
      <w:r w:rsidR="003737A8">
        <w:fldChar w:fldCharType="separate"/>
      </w:r>
      <w:r w:rsidR="00C54017">
        <w:rPr>
          <w:noProof/>
        </w:rPr>
        <w:t>14</w:t>
      </w:r>
      <w:r w:rsidR="003737A8">
        <w:rPr>
          <w:noProof/>
        </w:rPr>
        <w:fldChar w:fldCharType="end"/>
      </w:r>
      <w:r w:rsidR="00C54017">
        <w:t>.</w:t>
      </w:r>
      <w:fldSimple w:instr=" SEQ Table \* ARABIC \s 1 ">
        <w:r w:rsidR="00E94F1B">
          <w:rPr>
            <w:noProof/>
          </w:rPr>
          <w:t>2</w:t>
        </w:r>
      </w:fldSimple>
      <w:bookmarkEnd w:id="23"/>
      <w:r>
        <w:tab/>
      </w:r>
      <w:r w:rsidRPr="00EE72C2">
        <w:t>Example calculation of DUoS unders and overs account ($000, nominal)</w:t>
      </w:r>
    </w:p>
    <w:tbl>
      <w:tblPr>
        <w:tblStyle w:val="AERtable-text"/>
        <w:tblW w:w="5000" w:type="pct"/>
        <w:tblLook w:val="04A0" w:firstRow="1" w:lastRow="0" w:firstColumn="1" w:lastColumn="0" w:noHBand="0" w:noVBand="1"/>
      </w:tblPr>
      <w:tblGrid>
        <w:gridCol w:w="5000"/>
        <w:gridCol w:w="1414"/>
        <w:gridCol w:w="1414"/>
        <w:gridCol w:w="1414"/>
      </w:tblGrid>
      <w:tr w:rsidR="00DA7987" w:rsidTr="00C837B9">
        <w:trPr>
          <w:cnfStyle w:val="100000000000" w:firstRow="1" w:lastRow="0" w:firstColumn="0" w:lastColumn="0" w:oddVBand="0" w:evenVBand="0" w:oddHBand="0" w:evenHBand="0" w:firstRowFirstColumn="0" w:firstRowLastColumn="0" w:lastRowFirstColumn="0" w:lastRowLastColumn="0"/>
        </w:trPr>
        <w:tc>
          <w:tcPr>
            <w:tcW w:w="2705" w:type="pct"/>
          </w:tcPr>
          <w:p w:rsidR="00DA7987" w:rsidRPr="00C366E5" w:rsidRDefault="00DA7987" w:rsidP="00DA7987">
            <w:pPr>
              <w:pStyle w:val="AERbodytext"/>
            </w:pPr>
          </w:p>
        </w:tc>
        <w:tc>
          <w:tcPr>
            <w:tcW w:w="765" w:type="pct"/>
            <w:vAlign w:val="top"/>
          </w:tcPr>
          <w:p w:rsidR="00DA7987" w:rsidRPr="00DA7987" w:rsidRDefault="00DA7987" w:rsidP="00DA7987">
            <w:pPr>
              <w:pStyle w:val="AERtabletextright"/>
            </w:pPr>
            <w:r>
              <w:t>Y</w:t>
            </w:r>
            <w:r w:rsidRPr="00DA7987">
              <w:t>ear t–2 (actual)</w:t>
            </w:r>
          </w:p>
        </w:tc>
        <w:tc>
          <w:tcPr>
            <w:tcW w:w="765" w:type="pct"/>
            <w:vAlign w:val="top"/>
          </w:tcPr>
          <w:p w:rsidR="00DA7987" w:rsidRPr="00DA7987" w:rsidRDefault="00DA7987" w:rsidP="00DA7987">
            <w:pPr>
              <w:pStyle w:val="AERtabletextright"/>
            </w:pPr>
            <w:r>
              <w:t>Y</w:t>
            </w:r>
            <w:r w:rsidRPr="00DA7987">
              <w:t>ear t-1 (estimate)</w:t>
            </w:r>
          </w:p>
        </w:tc>
        <w:tc>
          <w:tcPr>
            <w:tcW w:w="765" w:type="pct"/>
            <w:vAlign w:val="top"/>
          </w:tcPr>
          <w:p w:rsidR="00DA7987" w:rsidRPr="00DA7987" w:rsidRDefault="00DA7987" w:rsidP="00DA7987">
            <w:pPr>
              <w:pStyle w:val="AERtabletextright"/>
            </w:pPr>
            <w:r>
              <w:t>Y</w:t>
            </w:r>
            <w:r w:rsidRPr="00DA7987">
              <w:t>ear t (forecast)</w:t>
            </w:r>
          </w:p>
        </w:tc>
      </w:tr>
      <w:tr w:rsidR="00DA7987" w:rsidTr="00C837B9">
        <w:trPr>
          <w:trHeight w:val="373"/>
        </w:trPr>
        <w:tc>
          <w:tcPr>
            <w:tcW w:w="2705" w:type="pct"/>
            <w:vAlign w:val="top"/>
          </w:tcPr>
          <w:p w:rsidR="00DA7987" w:rsidRPr="00DA7987" w:rsidRDefault="00DA7987" w:rsidP="00C1083C">
            <w:pPr>
              <w:pStyle w:val="AERtabletextleft"/>
            </w:pPr>
            <w:r w:rsidRPr="00F60FD3">
              <w:t>Revenue</w:t>
            </w:r>
            <w:r w:rsidR="00C1083C">
              <w:t xml:space="preserve"> from DUoS</w:t>
            </w:r>
            <w:r w:rsidRPr="00DA7987">
              <w:t xml:space="preserve"> charges</w:t>
            </w:r>
          </w:p>
        </w:tc>
        <w:tc>
          <w:tcPr>
            <w:tcW w:w="765" w:type="pct"/>
            <w:vAlign w:val="top"/>
          </w:tcPr>
          <w:p w:rsidR="00DA7987" w:rsidRPr="00DA7987" w:rsidRDefault="00DA7987" w:rsidP="00DA7987">
            <w:pPr>
              <w:pStyle w:val="AERtabletextright"/>
            </w:pPr>
            <w:r w:rsidRPr="00F60FD3">
              <w:t>46,779</w:t>
            </w:r>
          </w:p>
        </w:tc>
        <w:tc>
          <w:tcPr>
            <w:tcW w:w="765" w:type="pct"/>
            <w:vAlign w:val="top"/>
          </w:tcPr>
          <w:p w:rsidR="00DA7987" w:rsidRPr="00DA7987" w:rsidRDefault="00DA7987" w:rsidP="00DA7987">
            <w:pPr>
              <w:pStyle w:val="AERtabletextright"/>
            </w:pPr>
            <w:r w:rsidRPr="00F60FD3">
              <w:t>37,297</w:t>
            </w:r>
          </w:p>
        </w:tc>
        <w:tc>
          <w:tcPr>
            <w:tcW w:w="765" w:type="pct"/>
            <w:vAlign w:val="top"/>
          </w:tcPr>
          <w:p w:rsidR="00DA7987" w:rsidRPr="00DA7987" w:rsidRDefault="00DA7987" w:rsidP="00DA7987">
            <w:pPr>
              <w:pStyle w:val="AERtabletextright"/>
            </w:pPr>
            <w:r w:rsidRPr="00F60FD3">
              <w:t>60,518</w:t>
            </w:r>
          </w:p>
        </w:tc>
      </w:tr>
      <w:tr w:rsidR="00DA7987" w:rsidTr="00C837B9">
        <w:trPr>
          <w:cnfStyle w:val="000000010000" w:firstRow="0" w:lastRow="0" w:firstColumn="0" w:lastColumn="0" w:oddVBand="0" w:evenVBand="0" w:oddHBand="0" w:evenHBand="1" w:firstRowFirstColumn="0" w:firstRowLastColumn="0" w:lastRowFirstColumn="0" w:lastRowLastColumn="0"/>
          <w:trHeight w:val="373"/>
        </w:trPr>
        <w:tc>
          <w:tcPr>
            <w:tcW w:w="2705" w:type="pct"/>
            <w:vAlign w:val="top"/>
          </w:tcPr>
          <w:p w:rsidR="00DA7987" w:rsidRPr="00DA7987" w:rsidRDefault="00DA7987" w:rsidP="00DA7987">
            <w:pPr>
              <w:pStyle w:val="AERtabletextleft"/>
            </w:pPr>
            <w:r w:rsidRPr="002C46DB">
              <w:t xml:space="preserve">Less under/over adjustment approved by the regulator </w:t>
            </w:r>
            <w:r w:rsidRPr="00DA7987">
              <w:t>for year t–2</w:t>
            </w:r>
          </w:p>
        </w:tc>
        <w:tc>
          <w:tcPr>
            <w:tcW w:w="765" w:type="pct"/>
            <w:vAlign w:val="top"/>
          </w:tcPr>
          <w:p w:rsidR="00DA7987" w:rsidRPr="00DA7987" w:rsidRDefault="00DA7987" w:rsidP="00DA7987">
            <w:pPr>
              <w:pStyle w:val="AERtabletextright"/>
            </w:pPr>
            <w:r>
              <w:t>800</w:t>
            </w:r>
            <w:r w:rsidRPr="00DA7987">
              <w:rPr>
                <w:rStyle w:val="AERsuperscript"/>
              </w:rPr>
              <w:t xml:space="preserve"> a</w:t>
            </w:r>
          </w:p>
        </w:tc>
        <w:tc>
          <w:tcPr>
            <w:tcW w:w="765" w:type="pct"/>
            <w:vAlign w:val="top"/>
          </w:tcPr>
          <w:p w:rsidR="00DA7987" w:rsidRPr="00C366E5" w:rsidRDefault="00DA7987" w:rsidP="00DA7987">
            <w:pPr>
              <w:pStyle w:val="AERtabletextright"/>
            </w:pPr>
          </w:p>
        </w:tc>
        <w:tc>
          <w:tcPr>
            <w:tcW w:w="765" w:type="pct"/>
            <w:vAlign w:val="top"/>
          </w:tcPr>
          <w:p w:rsidR="00DA7987" w:rsidRDefault="00DA7987" w:rsidP="00DA7987">
            <w:pPr>
              <w:pStyle w:val="AERtabletextright"/>
            </w:pPr>
          </w:p>
        </w:tc>
      </w:tr>
      <w:tr w:rsidR="00DA7987" w:rsidTr="00C837B9">
        <w:tc>
          <w:tcPr>
            <w:tcW w:w="2705" w:type="pct"/>
            <w:vAlign w:val="top"/>
          </w:tcPr>
          <w:p w:rsidR="00DA7987" w:rsidRPr="00DA7987" w:rsidRDefault="00DA7987" w:rsidP="00DA7987">
            <w:pPr>
              <w:pStyle w:val="AERtabletextleft"/>
            </w:pPr>
            <w:r w:rsidRPr="00F60FD3">
              <w:t xml:space="preserve">Less </w:t>
            </w:r>
            <w:r w:rsidR="00917AF2">
              <w:t>A</w:t>
            </w:r>
            <w:r w:rsidRPr="00F60FD3">
              <w:t>A</w:t>
            </w:r>
            <w:r w:rsidRPr="00DA7987">
              <w:t>RR for the relevant year</w:t>
            </w:r>
          </w:p>
        </w:tc>
        <w:tc>
          <w:tcPr>
            <w:tcW w:w="765" w:type="pct"/>
            <w:vAlign w:val="top"/>
          </w:tcPr>
          <w:p w:rsidR="00DA7987" w:rsidRPr="00DA7987" w:rsidRDefault="00DA7987" w:rsidP="00DA7987">
            <w:pPr>
              <w:pStyle w:val="AERtabletextright"/>
            </w:pPr>
            <w:r w:rsidRPr="00F60FD3">
              <w:t>43,039</w:t>
            </w:r>
          </w:p>
        </w:tc>
        <w:tc>
          <w:tcPr>
            <w:tcW w:w="765" w:type="pct"/>
            <w:vAlign w:val="top"/>
          </w:tcPr>
          <w:p w:rsidR="00DA7987" w:rsidRPr="00DA7987" w:rsidRDefault="00DA7987" w:rsidP="00DA7987">
            <w:pPr>
              <w:pStyle w:val="AERtabletextright"/>
            </w:pPr>
            <w:r w:rsidRPr="00F60FD3">
              <w:t>43,012</w:t>
            </w:r>
          </w:p>
        </w:tc>
        <w:tc>
          <w:tcPr>
            <w:tcW w:w="765" w:type="pct"/>
            <w:vAlign w:val="top"/>
          </w:tcPr>
          <w:p w:rsidR="00DA7987" w:rsidRPr="00DA7987" w:rsidRDefault="00DA7987" w:rsidP="00DA7987">
            <w:pPr>
              <w:pStyle w:val="AERtabletextright"/>
            </w:pPr>
            <w:r w:rsidRPr="00F60FD3">
              <w:t>59,927</w:t>
            </w: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DA7987" w:rsidP="00DA7987">
            <w:pPr>
              <w:pStyle w:val="AERtabletextleft"/>
            </w:pPr>
            <w:r>
              <w:t>Smooth</w:t>
            </w:r>
            <w:r w:rsidRPr="00DA7987">
              <w:t xml:space="preserve"> revenues (A</w:t>
            </w:r>
            <w:r w:rsidR="00917AF2">
              <w:t>A</w:t>
            </w:r>
            <w:r w:rsidRPr="00DA7987">
              <w:t>Rt)</w:t>
            </w:r>
          </w:p>
        </w:tc>
        <w:tc>
          <w:tcPr>
            <w:tcW w:w="765" w:type="pct"/>
            <w:vAlign w:val="top"/>
          </w:tcPr>
          <w:p w:rsidR="00DA7987" w:rsidRPr="00DA7987" w:rsidRDefault="00DA7987" w:rsidP="00DA7987">
            <w:pPr>
              <w:pStyle w:val="AERtabletextright"/>
            </w:pPr>
            <w:r w:rsidRPr="00F60FD3">
              <w:t>43,039</w:t>
            </w:r>
          </w:p>
        </w:tc>
        <w:tc>
          <w:tcPr>
            <w:tcW w:w="765" w:type="pct"/>
            <w:vAlign w:val="top"/>
          </w:tcPr>
          <w:p w:rsidR="00DA7987" w:rsidRPr="00DA7987" w:rsidRDefault="00DA7987" w:rsidP="00DA7987">
            <w:pPr>
              <w:pStyle w:val="AERtabletextright"/>
            </w:pPr>
            <w:r w:rsidRPr="00F60FD3">
              <w:t>43,010</w:t>
            </w:r>
          </w:p>
        </w:tc>
        <w:tc>
          <w:tcPr>
            <w:tcW w:w="765" w:type="pct"/>
            <w:vAlign w:val="top"/>
          </w:tcPr>
          <w:p w:rsidR="00DA7987" w:rsidRPr="00DA7987" w:rsidRDefault="00DA7987" w:rsidP="00DA7987">
            <w:pPr>
              <w:pStyle w:val="AERtabletextright"/>
            </w:pPr>
            <w:r w:rsidRPr="00F60FD3">
              <w:t>59,913</w:t>
            </w:r>
          </w:p>
        </w:tc>
      </w:tr>
      <w:tr w:rsidR="00DA7987" w:rsidTr="00C837B9">
        <w:tc>
          <w:tcPr>
            <w:tcW w:w="2705" w:type="pct"/>
            <w:vAlign w:val="top"/>
          </w:tcPr>
          <w:p w:rsidR="00DA7987" w:rsidRPr="00DA7987" w:rsidRDefault="00DA7987" w:rsidP="00DA7987">
            <w:r w:rsidRPr="00F60FD3">
              <w:t xml:space="preserve">     Approved pass throughs (pass through)</w:t>
            </w:r>
          </w:p>
        </w:tc>
        <w:tc>
          <w:tcPr>
            <w:tcW w:w="765" w:type="pct"/>
            <w:vAlign w:val="top"/>
          </w:tcPr>
          <w:p w:rsidR="00DA7987" w:rsidRPr="00DA7987" w:rsidRDefault="00DA7987" w:rsidP="00DA7987">
            <w:pPr>
              <w:pStyle w:val="AERtabletextright"/>
            </w:pPr>
            <w:r w:rsidRPr="00F60FD3">
              <w:t>0</w:t>
            </w:r>
          </w:p>
        </w:tc>
        <w:tc>
          <w:tcPr>
            <w:tcW w:w="765" w:type="pct"/>
            <w:vAlign w:val="top"/>
          </w:tcPr>
          <w:p w:rsidR="00DA7987" w:rsidRPr="00DA7987" w:rsidRDefault="00DA7987" w:rsidP="00DA7987">
            <w:pPr>
              <w:pStyle w:val="AERtabletextright"/>
            </w:pPr>
            <w:r w:rsidRPr="00F60FD3">
              <w:t>2</w:t>
            </w:r>
          </w:p>
        </w:tc>
        <w:tc>
          <w:tcPr>
            <w:tcW w:w="765" w:type="pct"/>
            <w:vAlign w:val="top"/>
          </w:tcPr>
          <w:p w:rsidR="00DA7987" w:rsidRPr="00DA7987" w:rsidRDefault="00DA7987" w:rsidP="00DA7987">
            <w:pPr>
              <w:pStyle w:val="AERtabletextright"/>
            </w:pPr>
            <w:r w:rsidRPr="00F60FD3">
              <w:t>14</w:t>
            </w: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DA7987" w:rsidP="00DA7987">
            <w:r w:rsidRPr="00F60FD3">
              <w:t>Under/over recovery for regulatory year</w:t>
            </w:r>
          </w:p>
        </w:tc>
        <w:tc>
          <w:tcPr>
            <w:tcW w:w="765" w:type="pct"/>
            <w:vAlign w:val="top"/>
          </w:tcPr>
          <w:p w:rsidR="00DA7987" w:rsidRPr="00DA7987" w:rsidRDefault="00DA7987" w:rsidP="00DA7987">
            <w:pPr>
              <w:pStyle w:val="AERtabletextright"/>
            </w:pPr>
            <w:r w:rsidRPr="00F60FD3">
              <w:t>2,940</w:t>
            </w:r>
          </w:p>
        </w:tc>
        <w:tc>
          <w:tcPr>
            <w:tcW w:w="765" w:type="pct"/>
            <w:vAlign w:val="top"/>
          </w:tcPr>
          <w:p w:rsidR="00DA7987" w:rsidRPr="00DA7987" w:rsidRDefault="00DA7987" w:rsidP="00DA7987">
            <w:pPr>
              <w:pStyle w:val="AERtabletextright"/>
            </w:pPr>
            <w:r w:rsidRPr="00F60FD3">
              <w:t>-5,715</w:t>
            </w:r>
          </w:p>
        </w:tc>
        <w:tc>
          <w:tcPr>
            <w:tcW w:w="765" w:type="pct"/>
            <w:vAlign w:val="top"/>
          </w:tcPr>
          <w:p w:rsidR="00DA7987" w:rsidRPr="00DA7987" w:rsidRDefault="00DA7987" w:rsidP="00DA7987">
            <w:pPr>
              <w:pStyle w:val="AERtabletextright"/>
            </w:pPr>
            <w:r w:rsidRPr="00F60FD3">
              <w:t>591</w:t>
            </w:r>
          </w:p>
        </w:tc>
      </w:tr>
      <w:tr w:rsidR="00DA7987" w:rsidTr="00C837B9">
        <w:tc>
          <w:tcPr>
            <w:tcW w:w="2705" w:type="pct"/>
            <w:vAlign w:val="top"/>
          </w:tcPr>
          <w:p w:rsidR="00DA7987" w:rsidRPr="00DA7987" w:rsidRDefault="00DA7987" w:rsidP="00C1083C">
            <w:r>
              <w:t>DU</w:t>
            </w:r>
            <w:r w:rsidR="00C1083C">
              <w:t>o</w:t>
            </w:r>
            <w:r>
              <w:t>S</w:t>
            </w:r>
            <w:r w:rsidRPr="00DA7987">
              <w:t xml:space="preserve"> unders and overs account</w:t>
            </w:r>
          </w:p>
        </w:tc>
        <w:tc>
          <w:tcPr>
            <w:tcW w:w="765" w:type="pct"/>
            <w:vAlign w:val="top"/>
          </w:tcPr>
          <w:p w:rsidR="00DA7987" w:rsidRPr="00534888" w:rsidRDefault="00DA7987" w:rsidP="00DA7987">
            <w:pPr>
              <w:pStyle w:val="AERtabletextright"/>
            </w:pPr>
          </w:p>
        </w:tc>
        <w:tc>
          <w:tcPr>
            <w:tcW w:w="765" w:type="pct"/>
            <w:vAlign w:val="top"/>
          </w:tcPr>
          <w:p w:rsidR="00DA7987" w:rsidRPr="00534888" w:rsidRDefault="00DA7987" w:rsidP="00DA7987">
            <w:pPr>
              <w:pStyle w:val="AERtabletextright"/>
            </w:pPr>
          </w:p>
        </w:tc>
        <w:tc>
          <w:tcPr>
            <w:tcW w:w="765" w:type="pct"/>
            <w:vAlign w:val="top"/>
          </w:tcPr>
          <w:p w:rsidR="00DA7987" w:rsidRPr="00534888" w:rsidRDefault="00DA7987" w:rsidP="00DA7987">
            <w:pPr>
              <w:pStyle w:val="AERtabletextright"/>
            </w:pP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DA7987" w:rsidP="00DA7987">
            <w:r w:rsidRPr="00F60FD3">
              <w:t>Nominal WACC</w:t>
            </w:r>
          </w:p>
        </w:tc>
        <w:tc>
          <w:tcPr>
            <w:tcW w:w="765" w:type="pct"/>
            <w:vAlign w:val="top"/>
          </w:tcPr>
          <w:p w:rsidR="00DA7987" w:rsidRPr="00DA7987" w:rsidRDefault="00DA7987" w:rsidP="00DA7987">
            <w:pPr>
              <w:pStyle w:val="AERtabletextright"/>
            </w:pPr>
            <w:r w:rsidRPr="00F60FD3">
              <w:t>8.79%</w:t>
            </w:r>
          </w:p>
        </w:tc>
        <w:tc>
          <w:tcPr>
            <w:tcW w:w="765" w:type="pct"/>
            <w:vAlign w:val="top"/>
          </w:tcPr>
          <w:p w:rsidR="00DA7987" w:rsidRPr="00DA7987" w:rsidRDefault="00DA7987" w:rsidP="00DA7987">
            <w:pPr>
              <w:pStyle w:val="AERtabletextright"/>
            </w:pPr>
            <w:r w:rsidRPr="00F60FD3">
              <w:t>8.79%</w:t>
            </w:r>
          </w:p>
        </w:tc>
        <w:tc>
          <w:tcPr>
            <w:tcW w:w="765" w:type="pct"/>
            <w:vAlign w:val="top"/>
          </w:tcPr>
          <w:p w:rsidR="00DA7987" w:rsidRPr="00DA7987" w:rsidRDefault="00DA7987" w:rsidP="00DA7987">
            <w:pPr>
              <w:pStyle w:val="AERtabletextright"/>
            </w:pPr>
            <w:r w:rsidRPr="00F60FD3">
              <w:t>8.06%</w:t>
            </w:r>
          </w:p>
        </w:tc>
      </w:tr>
      <w:tr w:rsidR="00DA7987" w:rsidTr="00C837B9">
        <w:tc>
          <w:tcPr>
            <w:tcW w:w="2705" w:type="pct"/>
            <w:vAlign w:val="top"/>
          </w:tcPr>
          <w:p w:rsidR="00DA7987" w:rsidRPr="00DA7987" w:rsidRDefault="00DA7987" w:rsidP="00DA7987">
            <w:r w:rsidRPr="00F60FD3">
              <w:t>Opening balance</w:t>
            </w:r>
          </w:p>
        </w:tc>
        <w:tc>
          <w:tcPr>
            <w:tcW w:w="765" w:type="pct"/>
            <w:vAlign w:val="top"/>
          </w:tcPr>
          <w:p w:rsidR="00DA7987" w:rsidRPr="00DA7987" w:rsidRDefault="00DA7987" w:rsidP="00DA7987">
            <w:pPr>
              <w:pStyle w:val="AERtabletextright"/>
            </w:pPr>
            <w:r w:rsidRPr="00F60FD3">
              <w:t>1,737</w:t>
            </w:r>
          </w:p>
        </w:tc>
        <w:tc>
          <w:tcPr>
            <w:tcW w:w="765" w:type="pct"/>
            <w:vAlign w:val="top"/>
          </w:tcPr>
          <w:p w:rsidR="00DA7987" w:rsidRPr="00DA7987" w:rsidRDefault="00DA7987" w:rsidP="00DA7987">
            <w:pPr>
              <w:pStyle w:val="AERtabletextright"/>
            </w:pPr>
            <w:r w:rsidRPr="00F60FD3">
              <w:t>4,956</w:t>
            </w:r>
          </w:p>
        </w:tc>
        <w:tc>
          <w:tcPr>
            <w:tcW w:w="765" w:type="pct"/>
            <w:vAlign w:val="top"/>
          </w:tcPr>
          <w:p w:rsidR="00DA7987" w:rsidRPr="00DA7987" w:rsidRDefault="00DA7987" w:rsidP="00DA7987">
            <w:pPr>
              <w:pStyle w:val="AERtabletextright"/>
            </w:pPr>
            <w:r w:rsidRPr="00F60FD3">
              <w:t>-569</w:t>
            </w: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DA7987" w:rsidP="00DA7987">
            <w:r w:rsidRPr="00F60FD3">
              <w:t>Interest on opening balance</w:t>
            </w:r>
          </w:p>
        </w:tc>
        <w:tc>
          <w:tcPr>
            <w:tcW w:w="765" w:type="pct"/>
            <w:vAlign w:val="top"/>
          </w:tcPr>
          <w:p w:rsidR="00DA7987" w:rsidRPr="00DA7987" w:rsidRDefault="00DA7987" w:rsidP="00DA7987">
            <w:pPr>
              <w:pStyle w:val="AERtabletextright"/>
            </w:pPr>
            <w:r w:rsidRPr="00F60FD3">
              <w:t>153</w:t>
            </w:r>
          </w:p>
        </w:tc>
        <w:tc>
          <w:tcPr>
            <w:tcW w:w="765" w:type="pct"/>
            <w:vAlign w:val="top"/>
          </w:tcPr>
          <w:p w:rsidR="00DA7987" w:rsidRPr="00DA7987" w:rsidRDefault="00DA7987" w:rsidP="00DA7987">
            <w:pPr>
              <w:pStyle w:val="AERtabletextright"/>
            </w:pPr>
            <w:r w:rsidRPr="00F60FD3">
              <w:t>436</w:t>
            </w:r>
          </w:p>
        </w:tc>
        <w:tc>
          <w:tcPr>
            <w:tcW w:w="765" w:type="pct"/>
            <w:vAlign w:val="top"/>
          </w:tcPr>
          <w:p w:rsidR="00DA7987" w:rsidRPr="00DA7987" w:rsidRDefault="00DA7987" w:rsidP="00DA7987">
            <w:pPr>
              <w:pStyle w:val="AERtabletextright"/>
            </w:pPr>
            <w:r w:rsidRPr="00F60FD3">
              <w:t>-46</w:t>
            </w:r>
          </w:p>
        </w:tc>
      </w:tr>
      <w:tr w:rsidR="00DA7987" w:rsidTr="00C837B9">
        <w:tc>
          <w:tcPr>
            <w:tcW w:w="2705" w:type="pct"/>
            <w:vAlign w:val="top"/>
          </w:tcPr>
          <w:p w:rsidR="00DA7987" w:rsidRPr="00DA7987" w:rsidRDefault="00DA7987" w:rsidP="00DA7987">
            <w:r w:rsidRPr="00F60FD3">
              <w:t>Under/over recovery for regulatory year</w:t>
            </w:r>
          </w:p>
        </w:tc>
        <w:tc>
          <w:tcPr>
            <w:tcW w:w="765" w:type="pct"/>
            <w:vAlign w:val="top"/>
          </w:tcPr>
          <w:p w:rsidR="00DA7987" w:rsidRPr="00DA7987" w:rsidRDefault="00DA7987" w:rsidP="00DA7987">
            <w:pPr>
              <w:pStyle w:val="AERtabletextright"/>
            </w:pPr>
            <w:r w:rsidRPr="00F60FD3">
              <w:t>2,940</w:t>
            </w:r>
          </w:p>
        </w:tc>
        <w:tc>
          <w:tcPr>
            <w:tcW w:w="765" w:type="pct"/>
            <w:vAlign w:val="top"/>
          </w:tcPr>
          <w:p w:rsidR="00DA7987" w:rsidRPr="00DA7987" w:rsidRDefault="00DA7987" w:rsidP="00DA7987">
            <w:pPr>
              <w:pStyle w:val="AERtabletextright"/>
            </w:pPr>
            <w:r w:rsidRPr="00F60FD3">
              <w:t>-5,715</w:t>
            </w:r>
          </w:p>
        </w:tc>
        <w:tc>
          <w:tcPr>
            <w:tcW w:w="765" w:type="pct"/>
            <w:vAlign w:val="top"/>
          </w:tcPr>
          <w:p w:rsidR="00DA7987" w:rsidRPr="00DA7987" w:rsidRDefault="00DA7987" w:rsidP="00DA7987">
            <w:pPr>
              <w:pStyle w:val="AERtabletextright"/>
            </w:pPr>
            <w:r w:rsidRPr="00F60FD3">
              <w:t>591</w:t>
            </w: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DA7987" w:rsidP="00DA7987">
            <w:r w:rsidRPr="00F60FD3">
              <w:t>Interest on under/over recovery for regulatory year</w:t>
            </w:r>
          </w:p>
        </w:tc>
        <w:tc>
          <w:tcPr>
            <w:tcW w:w="765" w:type="pct"/>
            <w:vAlign w:val="top"/>
          </w:tcPr>
          <w:p w:rsidR="00DA7987" w:rsidRPr="00DA7987" w:rsidRDefault="00DA7987" w:rsidP="00DA7987">
            <w:pPr>
              <w:pStyle w:val="AERtabletextright"/>
            </w:pPr>
            <w:r w:rsidRPr="00F60FD3">
              <w:t>126</w:t>
            </w:r>
          </w:p>
        </w:tc>
        <w:tc>
          <w:tcPr>
            <w:tcW w:w="765" w:type="pct"/>
            <w:vAlign w:val="top"/>
          </w:tcPr>
          <w:p w:rsidR="00DA7987" w:rsidRPr="00DA7987" w:rsidRDefault="00DA7987" w:rsidP="00DA7987">
            <w:pPr>
              <w:pStyle w:val="AERtabletextright"/>
            </w:pPr>
            <w:r w:rsidRPr="00F60FD3">
              <w:t>-246</w:t>
            </w:r>
          </w:p>
        </w:tc>
        <w:tc>
          <w:tcPr>
            <w:tcW w:w="765" w:type="pct"/>
            <w:vAlign w:val="top"/>
          </w:tcPr>
          <w:p w:rsidR="00DA7987" w:rsidRPr="00DA7987" w:rsidRDefault="00DA7987" w:rsidP="00DA7987">
            <w:pPr>
              <w:pStyle w:val="AERtabletextright"/>
            </w:pPr>
            <w:r w:rsidRPr="00F60FD3">
              <w:t>24</w:t>
            </w:r>
          </w:p>
        </w:tc>
      </w:tr>
      <w:tr w:rsidR="00DA7987" w:rsidTr="00C837B9">
        <w:tc>
          <w:tcPr>
            <w:tcW w:w="2705" w:type="pct"/>
            <w:vAlign w:val="top"/>
          </w:tcPr>
          <w:p w:rsidR="00DA7987" w:rsidRPr="00DA7987" w:rsidRDefault="00DA7987" w:rsidP="00DA7987">
            <w:r w:rsidRPr="00F60FD3">
              <w:t>Closing balance</w:t>
            </w:r>
          </w:p>
        </w:tc>
        <w:tc>
          <w:tcPr>
            <w:tcW w:w="765" w:type="pct"/>
            <w:vAlign w:val="top"/>
          </w:tcPr>
          <w:p w:rsidR="00DA7987" w:rsidRPr="00DA7987" w:rsidRDefault="00DA7987" w:rsidP="00DA7987">
            <w:pPr>
              <w:pStyle w:val="AERtabletextright"/>
            </w:pPr>
            <w:r w:rsidRPr="00F60FD3">
              <w:t>4,956</w:t>
            </w:r>
          </w:p>
        </w:tc>
        <w:tc>
          <w:tcPr>
            <w:tcW w:w="765" w:type="pct"/>
            <w:vAlign w:val="top"/>
          </w:tcPr>
          <w:p w:rsidR="00DA7987" w:rsidRPr="00DA7987" w:rsidRDefault="00DA7987" w:rsidP="00DA7987">
            <w:pPr>
              <w:pStyle w:val="AERtabletextright"/>
            </w:pPr>
            <w:r w:rsidRPr="00F60FD3">
              <w:t>-569</w:t>
            </w:r>
          </w:p>
        </w:tc>
        <w:tc>
          <w:tcPr>
            <w:tcW w:w="765" w:type="pct"/>
            <w:vAlign w:val="top"/>
          </w:tcPr>
          <w:p w:rsidR="00DA7987" w:rsidRPr="00DA7987" w:rsidRDefault="00DA7987" w:rsidP="00DA7987">
            <w:pPr>
              <w:pStyle w:val="AERtabletextright"/>
            </w:pPr>
            <w:r w:rsidRPr="00F60FD3">
              <w:t>0</w:t>
            </w:r>
            <w:r w:rsidRPr="00DA7987">
              <w:rPr>
                <w:rStyle w:val="AERsuperscript"/>
              </w:rPr>
              <w:t xml:space="preserve"> b</w:t>
            </w:r>
          </w:p>
        </w:tc>
      </w:tr>
    </w:tbl>
    <w:p w:rsidR="00DA7987" w:rsidRDefault="00DA7987" w:rsidP="00DA7987">
      <w:pPr>
        <w:pStyle w:val="AERtablesource"/>
      </w:pPr>
      <w:r w:rsidRPr="00534888">
        <w:t>Notes:</w:t>
      </w:r>
      <w:r w:rsidRPr="00534888">
        <w:tab/>
        <w:t xml:space="preserve">(a) </w:t>
      </w:r>
      <w:r w:rsidRPr="002C46DB">
        <w:t>In this exampl</w:t>
      </w:r>
      <w:r>
        <w:t xml:space="preserve">e, the regulator agreed </w:t>
      </w:r>
      <w:r w:rsidR="006A0175">
        <w:t>ActewAGL</w:t>
      </w:r>
      <w:r w:rsidRPr="002C46DB">
        <w:t xml:space="preserve"> could over recover its revenues by $800,000 in year t–2 due to under recoveries in year t–3.</w:t>
      </w:r>
      <w:r>
        <w:t xml:space="preserve"> </w:t>
      </w:r>
    </w:p>
    <w:p w:rsidR="00DA7987" w:rsidRPr="00534888" w:rsidRDefault="00DA7987" w:rsidP="00DA7987">
      <w:pPr>
        <w:pStyle w:val="AERtablesource"/>
      </w:pPr>
      <w:r>
        <w:tab/>
      </w:r>
      <w:r w:rsidRPr="00534888">
        <w:t>(</w:t>
      </w:r>
      <w:r>
        <w:t>b</w:t>
      </w:r>
      <w:r w:rsidRPr="00534888">
        <w:t xml:space="preserve">) </w:t>
      </w:r>
      <w:r w:rsidR="006A0175">
        <w:t>ActewAGL</w:t>
      </w:r>
      <w:r w:rsidRPr="00534888">
        <w:t xml:space="preserve"> must attempt to achieve an expected zero balance on their </w:t>
      </w:r>
      <w:r>
        <w:t>DUoS</w:t>
      </w:r>
      <w:r w:rsidRPr="00534888">
        <w:t xml:space="preserve"> unders and overs accounts in each forecast year in its annual pricing proposals in the forthcoming regulatory control period.</w:t>
      </w:r>
    </w:p>
    <w:p w:rsidR="00DA7987" w:rsidRDefault="00DA7987" w:rsidP="00DA7987">
      <w:pPr>
        <w:pStyle w:val="AERbodytext"/>
      </w:pPr>
    </w:p>
    <w:p w:rsidR="00DA7987" w:rsidRDefault="00DA7987" w:rsidP="00DA7987">
      <w:pPr>
        <w:pStyle w:val="AERbodytext"/>
      </w:pPr>
    </w:p>
    <w:p w:rsidR="00DA7987" w:rsidRDefault="00DA7987" w:rsidP="00DA7987">
      <w:pPr>
        <w:pStyle w:val="AERbodytext"/>
      </w:pPr>
    </w:p>
    <w:p w:rsidR="00DA7987" w:rsidRDefault="00DA7987" w:rsidP="00DA7987">
      <w:pPr>
        <w:pStyle w:val="AERbodytext"/>
      </w:pPr>
    </w:p>
    <w:p w:rsidR="00DA7987" w:rsidRDefault="00DA7987" w:rsidP="00DA7987">
      <w:pPr>
        <w:pStyle w:val="AERbodytext"/>
      </w:pPr>
    </w:p>
    <w:p w:rsidR="00DA7987" w:rsidRDefault="00DA7987" w:rsidP="00DA7987">
      <w:pPr>
        <w:pStyle w:val="AERbodytext"/>
      </w:pPr>
    </w:p>
    <w:p w:rsidR="00DA7987" w:rsidRDefault="00DA7987" w:rsidP="00DA7987">
      <w:pPr>
        <w:pStyle w:val="AERbodytext"/>
      </w:pPr>
    </w:p>
    <w:p w:rsidR="00DA7987" w:rsidRDefault="00DA7987" w:rsidP="00DA7987">
      <w:pPr>
        <w:pStyle w:val="AERbodytext"/>
      </w:pPr>
    </w:p>
    <w:p w:rsidR="00DA7987" w:rsidRDefault="00DA7987" w:rsidP="00DA7987">
      <w:pPr>
        <w:pStyle w:val="AERbodytext"/>
      </w:pPr>
    </w:p>
    <w:p w:rsidR="00DA7987" w:rsidRPr="005E6780" w:rsidRDefault="00DA7987" w:rsidP="00630871">
      <w:pPr>
        <w:pStyle w:val="Heading7"/>
      </w:pPr>
      <w:bookmarkStart w:id="24" w:name="_Toc404255910"/>
      <w:r>
        <w:lastRenderedPageBreak/>
        <w:t>TUoS</w:t>
      </w:r>
      <w:r w:rsidRPr="005E6780">
        <w:t xml:space="preserve"> under</w:t>
      </w:r>
      <w:r>
        <w:t>s</w:t>
      </w:r>
      <w:r w:rsidRPr="005E6780">
        <w:t xml:space="preserve"> and over</w:t>
      </w:r>
      <w:r>
        <w:t>s</w:t>
      </w:r>
      <w:r w:rsidRPr="005E6780">
        <w:t xml:space="preserve"> </w:t>
      </w:r>
      <w:r>
        <w:t>account</w:t>
      </w:r>
      <w:bookmarkEnd w:id="24"/>
    </w:p>
    <w:p w:rsidR="00DA7987" w:rsidRPr="005E6780" w:rsidRDefault="00DA7987" w:rsidP="00DA7987">
      <w:pPr>
        <w:pStyle w:val="AERbodytext"/>
      </w:pPr>
      <w:r w:rsidRPr="005E6780">
        <w:t xml:space="preserve">To demonstrate compliance with its distribution determination in the </w:t>
      </w:r>
      <w:r w:rsidR="00C1083C">
        <w:t>2015–19</w:t>
      </w:r>
      <w:r w:rsidRPr="005E6780">
        <w:t xml:space="preserve"> regulatory control period, </w:t>
      </w:r>
      <w:r>
        <w:t>we</w:t>
      </w:r>
      <w:r w:rsidRPr="005E6780">
        <w:t xml:space="preserve"> require </w:t>
      </w:r>
      <w:r w:rsidR="006A0175">
        <w:t>ActewAGL</w:t>
      </w:r>
      <w:r w:rsidRPr="005E6780">
        <w:t xml:space="preserve"> to maintain a TU</w:t>
      </w:r>
      <w:r>
        <w:t>o</w:t>
      </w:r>
      <w:r w:rsidRPr="005E6780">
        <w:t xml:space="preserve">S unders and overs account. </w:t>
      </w:r>
      <w:r>
        <w:t xml:space="preserve">It </w:t>
      </w:r>
      <w:r w:rsidRPr="005E6780">
        <w:t xml:space="preserve">must provide information on this account to </w:t>
      </w:r>
      <w:r>
        <w:t>us in</w:t>
      </w:r>
      <w:r w:rsidRPr="005E6780">
        <w:t xml:space="preserve"> its annual pricing proposal.</w:t>
      </w:r>
      <w:r>
        <w:rPr>
          <w:rStyle w:val="FootnoteReference"/>
        </w:rPr>
        <w:footnoteReference w:id="17"/>
      </w:r>
      <w:r w:rsidRPr="005E6780">
        <w:t xml:space="preserve"> </w:t>
      </w:r>
    </w:p>
    <w:p w:rsidR="00DA7987" w:rsidRDefault="006A0175" w:rsidP="00DA7987">
      <w:pPr>
        <w:pStyle w:val="AERbodytext"/>
      </w:pPr>
      <w:r>
        <w:t>ActewAGL</w:t>
      </w:r>
      <w:r w:rsidR="00DA7987" w:rsidRPr="005E6780">
        <w:t xml:space="preserve"> must provide the amounts for the following entries in </w:t>
      </w:r>
      <w:r w:rsidR="00DA7987">
        <w:t>its</w:t>
      </w:r>
      <w:r w:rsidR="00DA7987" w:rsidRPr="005E6780">
        <w:t xml:space="preserve"> TU</w:t>
      </w:r>
      <w:r w:rsidR="00DA7987">
        <w:t>o</w:t>
      </w:r>
      <w:r w:rsidR="00DA7987" w:rsidRPr="005E6780">
        <w:t>S unders and overs account for the most recently completed regulatory year (t-2), the current regulatory year (t-1) and the next regulatory year (t):</w:t>
      </w:r>
    </w:p>
    <w:p w:rsidR="00DA7987" w:rsidRPr="005E6780" w:rsidRDefault="00DA7987" w:rsidP="00DA7987">
      <w:pPr>
        <w:pStyle w:val="AERnumberedlistfirststyle"/>
      </w:pPr>
      <w:r w:rsidRPr="005E6780">
        <w:t>opening balance for year t-2, year t-1 and year t;</w:t>
      </w:r>
    </w:p>
    <w:p w:rsidR="00DA7987" w:rsidRPr="005E6780" w:rsidRDefault="00DA7987" w:rsidP="00DA7987">
      <w:pPr>
        <w:pStyle w:val="AERnumberedlistfirststyle"/>
      </w:pPr>
      <w:r w:rsidRPr="005E6780">
        <w:t>an interest charge for one year on the opening balance in year t-2 and an interest charge for one year on the opening balance in year t-1. These adjustments are to be calculated using the approved nominal WACC. No such interest charge applies to the opening balance for year t;</w:t>
      </w:r>
    </w:p>
    <w:p w:rsidR="00DA7987" w:rsidRPr="005E6780" w:rsidRDefault="00DA7987" w:rsidP="00DA7987">
      <w:pPr>
        <w:pStyle w:val="AERnumberedlistfirststyle"/>
      </w:pPr>
      <w:r w:rsidRPr="005E6780">
        <w:t>the amou</w:t>
      </w:r>
      <w:r>
        <w:t>nt of revenue recovered from TUo</w:t>
      </w:r>
      <w:r w:rsidRPr="005E6780">
        <w:t xml:space="preserve">S charges applied in respect of that year, less any under/over adjustment approved by the </w:t>
      </w:r>
      <w:r>
        <w:t>AER</w:t>
      </w:r>
      <w:r w:rsidRPr="005E6780">
        <w:t xml:space="preserve"> for year t-2 (in relation to year t-3) and year t-1, less the amounts of all transmission related payments made by </w:t>
      </w:r>
      <w:r w:rsidR="006A0175">
        <w:t>ActewAGL</w:t>
      </w:r>
      <w:r w:rsidRPr="005E6780">
        <w:t xml:space="preserve"> in respect of that year;</w:t>
      </w:r>
    </w:p>
    <w:p w:rsidR="00DA7987" w:rsidRPr="005E6780" w:rsidRDefault="00DA7987" w:rsidP="00DA7987">
      <w:pPr>
        <w:pStyle w:val="AERnumberedlistfirststyle"/>
      </w:pPr>
      <w:r w:rsidRPr="005E6780">
        <w:t>an interest charge for one year related to the net amounts in item 3 for year t-2 and an interest charge for one year for year t-1. These adjustments are to be calculated using the approved nominal WACC. No such interest charge applies to the net amount in item 2 for year t;</w:t>
      </w:r>
    </w:p>
    <w:p w:rsidR="00DA7987" w:rsidRPr="005E6780" w:rsidRDefault="00DA7987" w:rsidP="00DA7987">
      <w:pPr>
        <w:pStyle w:val="AERnumberedlistfirststyle"/>
      </w:pPr>
      <w:r w:rsidRPr="005E6780">
        <w:t>the total of items 1-4 to derive the closing balance for each year.</w:t>
      </w:r>
    </w:p>
    <w:p w:rsidR="00DA7987" w:rsidRPr="005E6780" w:rsidRDefault="006A0175" w:rsidP="00DA7987">
      <w:pPr>
        <w:pStyle w:val="AERbodytext"/>
      </w:pPr>
      <w:r>
        <w:t>ActewAGL</w:t>
      </w:r>
      <w:r w:rsidR="00DA7987" w:rsidRPr="005E6780">
        <w:t xml:space="preserve"> must provide details of calcula</w:t>
      </w:r>
      <w:r w:rsidR="00412E09">
        <w:t xml:space="preserve">tions in the format set out in </w:t>
      </w:r>
      <w:r w:rsidR="00C54017">
        <w:fldChar w:fldCharType="begin"/>
      </w:r>
      <w:r w:rsidR="00C54017">
        <w:instrText xml:space="preserve"> REF _Ref404255526 \h </w:instrText>
      </w:r>
      <w:r w:rsidR="00C54017">
        <w:fldChar w:fldCharType="separate"/>
      </w:r>
      <w:r w:rsidR="00E94F1B">
        <w:t xml:space="preserve">Table </w:t>
      </w:r>
      <w:r w:rsidR="00E94F1B">
        <w:rPr>
          <w:noProof/>
        </w:rPr>
        <w:t>14</w:t>
      </w:r>
      <w:r w:rsidR="00E94F1B">
        <w:t>.</w:t>
      </w:r>
      <w:r w:rsidR="00E94F1B">
        <w:rPr>
          <w:noProof/>
        </w:rPr>
        <w:t>3</w:t>
      </w:r>
      <w:r w:rsidR="00C54017">
        <w:fldChar w:fldCharType="end"/>
      </w:r>
      <w:r w:rsidR="00DA7987" w:rsidRPr="005E6780">
        <w:t>. Amounts provided for the most recently completed regulatory year (t-2) must be audited. Amounts provided for the current regulatory year (t-1) will be regarded as an estimate. Amounts for the next regulatory year (t) will be regarded as a forecast.</w:t>
      </w:r>
      <w:r w:rsidR="00C1083C">
        <w:t xml:space="preserve"> This is normal regulatory practice.</w:t>
      </w:r>
    </w:p>
    <w:p w:rsidR="00DA7987" w:rsidRDefault="00DA7987" w:rsidP="00DA7987">
      <w:pPr>
        <w:pStyle w:val="AERbodytext"/>
      </w:pPr>
      <w:r w:rsidRPr="005E6780">
        <w:t>In proposing variations to</w:t>
      </w:r>
      <w:r>
        <w:t xml:space="preserve"> the amount and structure of TUo</w:t>
      </w:r>
      <w:r w:rsidRPr="005E6780">
        <w:t xml:space="preserve">S charges, </w:t>
      </w:r>
      <w:r w:rsidR="006A0175">
        <w:t>ActewAGL</w:t>
      </w:r>
      <w:r w:rsidRPr="005E6780">
        <w:t xml:space="preserve"> is to achieve a zero expected balance on its TU</w:t>
      </w:r>
      <w:r>
        <w:t>o</w:t>
      </w:r>
      <w:r w:rsidRPr="005E6780">
        <w:t>S unders and overs account at the end of each of the forecast years in its annual pricing proposals in the forthcoming regulatory control period.</w:t>
      </w:r>
    </w:p>
    <w:p w:rsidR="00DA7987" w:rsidRDefault="00DA7987" w:rsidP="00DA7987">
      <w:pPr>
        <w:pStyle w:val="AERbodytext"/>
      </w:pPr>
    </w:p>
    <w:p w:rsidR="00DA7987" w:rsidRDefault="00DA7987" w:rsidP="00DA7987">
      <w:pPr>
        <w:pStyle w:val="AERbodytext"/>
      </w:pPr>
    </w:p>
    <w:p w:rsidR="00DA7987" w:rsidRDefault="00DA7987" w:rsidP="00DA7987">
      <w:pPr>
        <w:pStyle w:val="AERbodytext"/>
      </w:pPr>
    </w:p>
    <w:p w:rsidR="00DA7987" w:rsidRDefault="00DA7987" w:rsidP="00DA7987">
      <w:pPr>
        <w:pStyle w:val="AERbodytext"/>
      </w:pPr>
    </w:p>
    <w:p w:rsidR="00DA7987" w:rsidRDefault="00DA7987" w:rsidP="00DA7987">
      <w:pPr>
        <w:pStyle w:val="AERbodytext"/>
      </w:pPr>
    </w:p>
    <w:p w:rsidR="00DA7987" w:rsidRDefault="00DA7987" w:rsidP="00DA7987">
      <w:pPr>
        <w:pStyle w:val="AERbodytext"/>
      </w:pPr>
    </w:p>
    <w:p w:rsidR="00DA7987" w:rsidRDefault="00DA7987" w:rsidP="00DA7987">
      <w:pPr>
        <w:pStyle w:val="AERbodytext"/>
      </w:pPr>
    </w:p>
    <w:p w:rsidR="00DA7987" w:rsidRPr="005E6780" w:rsidRDefault="00DA7987" w:rsidP="00DA7987">
      <w:pPr>
        <w:pStyle w:val="AERbodytext"/>
      </w:pPr>
    </w:p>
    <w:p w:rsidR="00DA7987" w:rsidRPr="00A47F79" w:rsidRDefault="00EE72C2" w:rsidP="00EE72C2">
      <w:pPr>
        <w:pStyle w:val="Caption"/>
        <w:rPr>
          <w:rStyle w:val="AERtextbold"/>
        </w:rPr>
      </w:pPr>
      <w:bookmarkStart w:id="25" w:name="_Ref404255526"/>
      <w:r>
        <w:lastRenderedPageBreak/>
        <w:t xml:space="preserve">Table </w:t>
      </w:r>
      <w:r w:rsidR="003737A8">
        <w:fldChar w:fldCharType="begin"/>
      </w:r>
      <w:r w:rsidR="003737A8">
        <w:instrText xml:space="preserve"> STYLEREF 1 \s </w:instrText>
      </w:r>
      <w:r w:rsidR="003737A8">
        <w:fldChar w:fldCharType="separate"/>
      </w:r>
      <w:r w:rsidR="00C54017">
        <w:rPr>
          <w:noProof/>
        </w:rPr>
        <w:t>14</w:t>
      </w:r>
      <w:r w:rsidR="003737A8">
        <w:rPr>
          <w:noProof/>
        </w:rPr>
        <w:fldChar w:fldCharType="end"/>
      </w:r>
      <w:r w:rsidR="00C54017">
        <w:t>.</w:t>
      </w:r>
      <w:fldSimple w:instr=" SEQ Table \* ARABIC \s 1 ">
        <w:r w:rsidR="00E94F1B">
          <w:rPr>
            <w:noProof/>
          </w:rPr>
          <w:t>3</w:t>
        </w:r>
      </w:fldSimple>
      <w:bookmarkEnd w:id="25"/>
      <w:r>
        <w:tab/>
      </w:r>
      <w:r w:rsidRPr="00EE72C2">
        <w:t>Example calculation of TUoS unders and overs account ($000, nominal)</w:t>
      </w:r>
    </w:p>
    <w:tbl>
      <w:tblPr>
        <w:tblStyle w:val="AERtable-text"/>
        <w:tblW w:w="5000" w:type="pct"/>
        <w:tblLook w:val="04A0" w:firstRow="1" w:lastRow="0" w:firstColumn="1" w:lastColumn="0" w:noHBand="0" w:noVBand="1"/>
      </w:tblPr>
      <w:tblGrid>
        <w:gridCol w:w="5000"/>
        <w:gridCol w:w="1414"/>
        <w:gridCol w:w="1414"/>
        <w:gridCol w:w="1414"/>
      </w:tblGrid>
      <w:tr w:rsidR="00DA7987" w:rsidTr="00C837B9">
        <w:trPr>
          <w:cnfStyle w:val="100000000000" w:firstRow="1" w:lastRow="0" w:firstColumn="0" w:lastColumn="0" w:oddVBand="0" w:evenVBand="0" w:oddHBand="0" w:evenHBand="0" w:firstRowFirstColumn="0" w:firstRowLastColumn="0" w:lastRowFirstColumn="0" w:lastRowLastColumn="0"/>
        </w:trPr>
        <w:tc>
          <w:tcPr>
            <w:tcW w:w="2705" w:type="pct"/>
          </w:tcPr>
          <w:p w:rsidR="00DA7987" w:rsidRPr="00C366E5" w:rsidRDefault="00DA7987" w:rsidP="00DA7987">
            <w:pPr>
              <w:pStyle w:val="AERbodytext"/>
            </w:pPr>
          </w:p>
        </w:tc>
        <w:tc>
          <w:tcPr>
            <w:tcW w:w="765" w:type="pct"/>
            <w:vAlign w:val="top"/>
          </w:tcPr>
          <w:p w:rsidR="00DA7987" w:rsidRPr="00DA7987" w:rsidRDefault="00DA7987" w:rsidP="00DA7987">
            <w:pPr>
              <w:pStyle w:val="AERtabletextright"/>
            </w:pPr>
            <w:r>
              <w:t>Y</w:t>
            </w:r>
            <w:r w:rsidRPr="00DA7987">
              <w:t>ear t–2 (actual)</w:t>
            </w:r>
          </w:p>
        </w:tc>
        <w:tc>
          <w:tcPr>
            <w:tcW w:w="765" w:type="pct"/>
            <w:vAlign w:val="top"/>
          </w:tcPr>
          <w:p w:rsidR="00DA7987" w:rsidRPr="00DA7987" w:rsidRDefault="00DA7987" w:rsidP="00DA7987">
            <w:pPr>
              <w:pStyle w:val="AERtabletextright"/>
            </w:pPr>
            <w:r>
              <w:t>Y</w:t>
            </w:r>
            <w:r w:rsidRPr="00DA7987">
              <w:t>ear t-1 (estimate)</w:t>
            </w:r>
          </w:p>
        </w:tc>
        <w:tc>
          <w:tcPr>
            <w:tcW w:w="765" w:type="pct"/>
            <w:vAlign w:val="top"/>
          </w:tcPr>
          <w:p w:rsidR="00DA7987" w:rsidRPr="00DA7987" w:rsidRDefault="00DA7987" w:rsidP="00DA7987">
            <w:pPr>
              <w:pStyle w:val="AERtabletextright"/>
            </w:pPr>
            <w:r>
              <w:t>Y</w:t>
            </w:r>
            <w:r w:rsidRPr="00DA7987">
              <w:t>ear t (forecast)</w:t>
            </w:r>
          </w:p>
        </w:tc>
      </w:tr>
      <w:tr w:rsidR="00DA7987" w:rsidTr="00C837B9">
        <w:trPr>
          <w:trHeight w:val="373"/>
        </w:trPr>
        <w:tc>
          <w:tcPr>
            <w:tcW w:w="2705" w:type="pct"/>
            <w:vAlign w:val="top"/>
          </w:tcPr>
          <w:p w:rsidR="00DA7987" w:rsidRPr="00DA7987" w:rsidRDefault="00C1083C" w:rsidP="00DA7987">
            <w:pPr>
              <w:pStyle w:val="AERtabletextleft"/>
            </w:pPr>
            <w:r>
              <w:t>Revenue from TUo</w:t>
            </w:r>
            <w:r w:rsidR="00DA7987" w:rsidRPr="00C57F5F">
              <w:t>S charges</w:t>
            </w:r>
          </w:p>
        </w:tc>
        <w:tc>
          <w:tcPr>
            <w:tcW w:w="765" w:type="pct"/>
          </w:tcPr>
          <w:p w:rsidR="00DA7987" w:rsidRPr="00DA7987" w:rsidRDefault="00DA7987" w:rsidP="00DA7987">
            <w:pPr>
              <w:pStyle w:val="AERtabletextright"/>
            </w:pPr>
            <w:r w:rsidRPr="00C57F5F">
              <w:t>40,077</w:t>
            </w:r>
          </w:p>
        </w:tc>
        <w:tc>
          <w:tcPr>
            <w:tcW w:w="765" w:type="pct"/>
          </w:tcPr>
          <w:p w:rsidR="00DA7987" w:rsidRPr="00DA7987" w:rsidRDefault="00DA7987" w:rsidP="00DA7987">
            <w:pPr>
              <w:pStyle w:val="AERtabletextright"/>
            </w:pPr>
            <w:r w:rsidRPr="00C57F5F">
              <w:t>34,944</w:t>
            </w:r>
          </w:p>
        </w:tc>
        <w:tc>
          <w:tcPr>
            <w:tcW w:w="765" w:type="pct"/>
          </w:tcPr>
          <w:p w:rsidR="00DA7987" w:rsidRPr="00DA7987" w:rsidRDefault="00DA7987" w:rsidP="00DA7987">
            <w:pPr>
              <w:pStyle w:val="AERtabletextright"/>
            </w:pPr>
            <w:r w:rsidRPr="00C57F5F">
              <w:t>36,706</w:t>
            </w:r>
            <w:r w:rsidRPr="00DA7987">
              <w:rPr>
                <w:rStyle w:val="AERsuperscript"/>
              </w:rPr>
              <w:t xml:space="preserve"> a</w:t>
            </w: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DA7987" w:rsidP="00DA7987">
            <w:pPr>
              <w:pStyle w:val="AERtabletextleft"/>
            </w:pPr>
            <w:r w:rsidRPr="00C57F5F">
              <w:t>Less total transmission related payments</w:t>
            </w:r>
          </w:p>
        </w:tc>
        <w:tc>
          <w:tcPr>
            <w:tcW w:w="765" w:type="pct"/>
          </w:tcPr>
          <w:p w:rsidR="00DA7987" w:rsidRPr="00DA7987" w:rsidRDefault="00DA7987" w:rsidP="00DA7987">
            <w:pPr>
              <w:pStyle w:val="AERtabletextright"/>
            </w:pPr>
            <w:r w:rsidRPr="00C57F5F">
              <w:t>34,365</w:t>
            </w:r>
          </w:p>
        </w:tc>
        <w:tc>
          <w:tcPr>
            <w:tcW w:w="765" w:type="pct"/>
          </w:tcPr>
          <w:p w:rsidR="00DA7987" w:rsidRPr="00DA7987" w:rsidRDefault="00DA7987" w:rsidP="00DA7987">
            <w:pPr>
              <w:pStyle w:val="AERtabletextright"/>
            </w:pPr>
            <w:r w:rsidRPr="00C57F5F">
              <w:t>38,734</w:t>
            </w:r>
          </w:p>
        </w:tc>
        <w:tc>
          <w:tcPr>
            <w:tcW w:w="765" w:type="pct"/>
          </w:tcPr>
          <w:p w:rsidR="00DA7987" w:rsidRPr="00DA7987" w:rsidRDefault="00DA7987" w:rsidP="00DA7987">
            <w:pPr>
              <w:pStyle w:val="AERtabletextright"/>
            </w:pPr>
            <w:r w:rsidRPr="00C57F5F">
              <w:t>39,200</w:t>
            </w:r>
          </w:p>
        </w:tc>
      </w:tr>
      <w:tr w:rsidR="00DA7987" w:rsidTr="00C837B9">
        <w:tc>
          <w:tcPr>
            <w:tcW w:w="2705" w:type="pct"/>
            <w:vAlign w:val="top"/>
          </w:tcPr>
          <w:p w:rsidR="00DA7987" w:rsidRPr="00DA7987" w:rsidRDefault="00DA7987" w:rsidP="00DA7987">
            <w:pPr>
              <w:pStyle w:val="AERtabletextleft"/>
            </w:pPr>
            <w:r w:rsidRPr="00C57F5F">
              <w:t xml:space="preserve">Transmission </w:t>
            </w:r>
            <w:r w:rsidRPr="00DA7987">
              <w:t>charges to be paid to TNSP</w:t>
            </w:r>
          </w:p>
        </w:tc>
        <w:tc>
          <w:tcPr>
            <w:tcW w:w="765" w:type="pct"/>
          </w:tcPr>
          <w:p w:rsidR="00DA7987" w:rsidRPr="00DA7987" w:rsidRDefault="00DA7987" w:rsidP="00DA7987">
            <w:pPr>
              <w:pStyle w:val="AERtabletextright"/>
            </w:pPr>
            <w:r w:rsidRPr="00C57F5F">
              <w:t>33,793</w:t>
            </w:r>
          </w:p>
        </w:tc>
        <w:tc>
          <w:tcPr>
            <w:tcW w:w="765" w:type="pct"/>
          </w:tcPr>
          <w:p w:rsidR="00DA7987" w:rsidRPr="00DA7987" w:rsidRDefault="00DA7987" w:rsidP="00DA7987">
            <w:pPr>
              <w:pStyle w:val="AERtabletextright"/>
            </w:pPr>
            <w:r w:rsidRPr="00C57F5F">
              <w:t>38,000</w:t>
            </w:r>
          </w:p>
        </w:tc>
        <w:tc>
          <w:tcPr>
            <w:tcW w:w="765" w:type="pct"/>
          </w:tcPr>
          <w:p w:rsidR="00DA7987" w:rsidRPr="00DA7987" w:rsidRDefault="00DA7987" w:rsidP="00DA7987">
            <w:pPr>
              <w:pStyle w:val="AERtabletextright"/>
            </w:pPr>
            <w:r w:rsidRPr="00C57F5F">
              <w:t>38,400</w:t>
            </w: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C1083C" w:rsidP="00DA7987">
            <w:pPr>
              <w:pStyle w:val="AERtabletextleft"/>
            </w:pPr>
            <w:r>
              <w:t>Avoided TUo</w:t>
            </w:r>
            <w:r w:rsidR="00DA7987" w:rsidRPr="00C57F5F">
              <w:t xml:space="preserve">S payments </w:t>
            </w:r>
          </w:p>
        </w:tc>
        <w:tc>
          <w:tcPr>
            <w:tcW w:w="765" w:type="pct"/>
          </w:tcPr>
          <w:p w:rsidR="00DA7987" w:rsidRPr="00DA7987" w:rsidRDefault="00DA7987" w:rsidP="00DA7987">
            <w:pPr>
              <w:pStyle w:val="AERtabletextright"/>
            </w:pPr>
            <w:r w:rsidRPr="00C57F5F">
              <w:t>572</w:t>
            </w:r>
          </w:p>
        </w:tc>
        <w:tc>
          <w:tcPr>
            <w:tcW w:w="765" w:type="pct"/>
          </w:tcPr>
          <w:p w:rsidR="00DA7987" w:rsidRPr="00DA7987" w:rsidRDefault="00DA7987" w:rsidP="00DA7987">
            <w:pPr>
              <w:pStyle w:val="AERtabletextright"/>
            </w:pPr>
            <w:r w:rsidRPr="00C57F5F">
              <w:t>734</w:t>
            </w:r>
          </w:p>
        </w:tc>
        <w:tc>
          <w:tcPr>
            <w:tcW w:w="765" w:type="pct"/>
          </w:tcPr>
          <w:p w:rsidR="00DA7987" w:rsidRPr="00DA7987" w:rsidRDefault="00DA7987" w:rsidP="00DA7987">
            <w:pPr>
              <w:pStyle w:val="AERtabletextright"/>
            </w:pPr>
            <w:r w:rsidRPr="00C57F5F">
              <w:t>800</w:t>
            </w:r>
          </w:p>
        </w:tc>
      </w:tr>
      <w:tr w:rsidR="00DA7987" w:rsidTr="00C837B9">
        <w:tc>
          <w:tcPr>
            <w:tcW w:w="2705" w:type="pct"/>
            <w:vAlign w:val="top"/>
          </w:tcPr>
          <w:p w:rsidR="00DA7987" w:rsidRPr="00DA7987" w:rsidRDefault="00DA7987" w:rsidP="00DA7987">
            <w:pPr>
              <w:pStyle w:val="AERtabletextleft"/>
            </w:pPr>
            <w:r w:rsidRPr="00C57F5F">
              <w:t xml:space="preserve">Under/over recovery for </w:t>
            </w:r>
            <w:r w:rsidRPr="00DA7987">
              <w:t>regulatory year</w:t>
            </w:r>
          </w:p>
        </w:tc>
        <w:tc>
          <w:tcPr>
            <w:tcW w:w="765" w:type="pct"/>
          </w:tcPr>
          <w:p w:rsidR="00DA7987" w:rsidRPr="00DA7987" w:rsidRDefault="00DA7987" w:rsidP="00DA7987">
            <w:pPr>
              <w:pStyle w:val="AERtabletextright"/>
            </w:pPr>
            <w:r w:rsidRPr="00C57F5F">
              <w:t>5,712</w:t>
            </w:r>
          </w:p>
        </w:tc>
        <w:tc>
          <w:tcPr>
            <w:tcW w:w="765" w:type="pct"/>
          </w:tcPr>
          <w:p w:rsidR="00DA7987" w:rsidRPr="00DA7987" w:rsidRDefault="00DA7987" w:rsidP="00DA7987">
            <w:pPr>
              <w:pStyle w:val="AERtabletextright"/>
            </w:pPr>
            <w:r w:rsidRPr="00C57F5F">
              <w:t>-3,790</w:t>
            </w:r>
          </w:p>
        </w:tc>
        <w:tc>
          <w:tcPr>
            <w:tcW w:w="765" w:type="pct"/>
          </w:tcPr>
          <w:p w:rsidR="00DA7987" w:rsidRPr="00DA7987" w:rsidRDefault="00DA7987" w:rsidP="00DA7987">
            <w:pPr>
              <w:pStyle w:val="AERtabletextright"/>
            </w:pPr>
            <w:r w:rsidRPr="00C57F5F">
              <w:t>-2,494</w:t>
            </w: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C1083C" w:rsidP="00DA7987">
            <w:pPr>
              <w:pStyle w:val="AERtabletextleft"/>
            </w:pPr>
            <w:r>
              <w:t>TUo</w:t>
            </w:r>
            <w:r w:rsidR="00DA7987" w:rsidRPr="00C57F5F">
              <w:t>S unders and overs account</w:t>
            </w:r>
          </w:p>
        </w:tc>
        <w:tc>
          <w:tcPr>
            <w:tcW w:w="765" w:type="pct"/>
          </w:tcPr>
          <w:p w:rsidR="00DA7987" w:rsidRPr="00C57F5F" w:rsidRDefault="00DA7987" w:rsidP="00DA7987">
            <w:pPr>
              <w:pStyle w:val="AERtabletextright"/>
            </w:pPr>
          </w:p>
        </w:tc>
        <w:tc>
          <w:tcPr>
            <w:tcW w:w="765" w:type="pct"/>
          </w:tcPr>
          <w:p w:rsidR="00DA7987" w:rsidRPr="00C57F5F" w:rsidRDefault="00DA7987" w:rsidP="00DA7987">
            <w:pPr>
              <w:pStyle w:val="AERtabletextright"/>
            </w:pPr>
          </w:p>
        </w:tc>
        <w:tc>
          <w:tcPr>
            <w:tcW w:w="765" w:type="pct"/>
          </w:tcPr>
          <w:p w:rsidR="00DA7987" w:rsidRPr="00C57F5F" w:rsidRDefault="00DA7987" w:rsidP="00DA7987">
            <w:pPr>
              <w:pStyle w:val="AERtabletextright"/>
            </w:pPr>
          </w:p>
        </w:tc>
      </w:tr>
      <w:tr w:rsidR="00DA7987" w:rsidTr="00C837B9">
        <w:tc>
          <w:tcPr>
            <w:tcW w:w="2705" w:type="pct"/>
            <w:vAlign w:val="top"/>
          </w:tcPr>
          <w:p w:rsidR="00DA7987" w:rsidRPr="00DA7987" w:rsidRDefault="00DA7987" w:rsidP="00DA7987">
            <w:pPr>
              <w:pStyle w:val="AERtabletextleft"/>
            </w:pPr>
            <w:r w:rsidRPr="00C57F5F">
              <w:t>Nominal WACC</w:t>
            </w:r>
          </w:p>
        </w:tc>
        <w:tc>
          <w:tcPr>
            <w:tcW w:w="765" w:type="pct"/>
          </w:tcPr>
          <w:p w:rsidR="00DA7987" w:rsidRPr="00DA7987" w:rsidRDefault="00DA7987" w:rsidP="00DA7987">
            <w:pPr>
              <w:pStyle w:val="AERtabletextright"/>
            </w:pPr>
            <w:r w:rsidRPr="00C57F5F">
              <w:t>8.28%</w:t>
            </w:r>
          </w:p>
        </w:tc>
        <w:tc>
          <w:tcPr>
            <w:tcW w:w="765" w:type="pct"/>
          </w:tcPr>
          <w:p w:rsidR="00DA7987" w:rsidRPr="00DA7987" w:rsidRDefault="00DA7987" w:rsidP="00DA7987">
            <w:pPr>
              <w:pStyle w:val="AERtabletextright"/>
            </w:pPr>
            <w:r w:rsidRPr="00C57F5F">
              <w:t>8.28%</w:t>
            </w:r>
          </w:p>
        </w:tc>
        <w:tc>
          <w:tcPr>
            <w:tcW w:w="765" w:type="pct"/>
          </w:tcPr>
          <w:p w:rsidR="00DA7987" w:rsidRPr="00DA7987" w:rsidRDefault="00DA7987" w:rsidP="00DA7987">
            <w:pPr>
              <w:pStyle w:val="AERtabletextright"/>
            </w:pPr>
            <w:r w:rsidRPr="00C57F5F">
              <w:t>na</w:t>
            </w: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DA7987" w:rsidP="00DA7987">
            <w:pPr>
              <w:pStyle w:val="AERtabletextleft"/>
            </w:pPr>
            <w:r w:rsidRPr="00C57F5F">
              <w:t>Opening balance</w:t>
            </w:r>
          </w:p>
        </w:tc>
        <w:tc>
          <w:tcPr>
            <w:tcW w:w="765" w:type="pct"/>
          </w:tcPr>
          <w:p w:rsidR="00DA7987" w:rsidRPr="00DA7987" w:rsidRDefault="00DA7987" w:rsidP="00DA7987">
            <w:pPr>
              <w:pStyle w:val="AERtabletextright"/>
            </w:pPr>
            <w:r w:rsidRPr="00C57F5F">
              <w:t>0</w:t>
            </w:r>
          </w:p>
        </w:tc>
        <w:tc>
          <w:tcPr>
            <w:tcW w:w="765" w:type="pct"/>
          </w:tcPr>
          <w:p w:rsidR="00DA7987" w:rsidRPr="00DA7987" w:rsidRDefault="00DA7987" w:rsidP="00DA7987">
            <w:pPr>
              <w:pStyle w:val="AERtabletextright"/>
            </w:pPr>
            <w:r w:rsidRPr="00C57F5F">
              <w:t>5,948</w:t>
            </w:r>
          </w:p>
        </w:tc>
        <w:tc>
          <w:tcPr>
            <w:tcW w:w="765" w:type="pct"/>
          </w:tcPr>
          <w:p w:rsidR="00DA7987" w:rsidRPr="00DA7987" w:rsidRDefault="00DA7987" w:rsidP="00DA7987">
            <w:pPr>
              <w:pStyle w:val="AERtabletextright"/>
            </w:pPr>
            <w:r w:rsidRPr="00C57F5F">
              <w:t>2,494</w:t>
            </w:r>
          </w:p>
        </w:tc>
      </w:tr>
      <w:tr w:rsidR="00DA7987" w:rsidTr="00C837B9">
        <w:tc>
          <w:tcPr>
            <w:tcW w:w="2705" w:type="pct"/>
            <w:vAlign w:val="top"/>
          </w:tcPr>
          <w:p w:rsidR="00DA7987" w:rsidRPr="00DA7987" w:rsidRDefault="00DA7987" w:rsidP="00DA7987">
            <w:pPr>
              <w:pStyle w:val="AERtabletextleft"/>
            </w:pPr>
            <w:r w:rsidRPr="00C57F5F">
              <w:t xml:space="preserve">Interest on </w:t>
            </w:r>
            <w:r w:rsidRPr="00DA7987">
              <w:t>opening balance</w:t>
            </w:r>
          </w:p>
        </w:tc>
        <w:tc>
          <w:tcPr>
            <w:tcW w:w="765" w:type="pct"/>
          </w:tcPr>
          <w:p w:rsidR="00DA7987" w:rsidRPr="00DA7987" w:rsidRDefault="00DA7987" w:rsidP="00DA7987">
            <w:pPr>
              <w:pStyle w:val="AERtabletextright"/>
            </w:pPr>
            <w:r w:rsidRPr="00C57F5F">
              <w:t>0</w:t>
            </w:r>
          </w:p>
        </w:tc>
        <w:tc>
          <w:tcPr>
            <w:tcW w:w="765" w:type="pct"/>
          </w:tcPr>
          <w:p w:rsidR="00DA7987" w:rsidRPr="00DA7987" w:rsidRDefault="00DA7987" w:rsidP="00DA7987">
            <w:pPr>
              <w:pStyle w:val="AERtabletextright"/>
            </w:pPr>
            <w:r w:rsidRPr="00C57F5F">
              <w:t xml:space="preserve">                   493 </w:t>
            </w:r>
          </w:p>
        </w:tc>
        <w:tc>
          <w:tcPr>
            <w:tcW w:w="765" w:type="pct"/>
          </w:tcPr>
          <w:p w:rsidR="00DA7987" w:rsidRPr="00DA7987" w:rsidRDefault="00DA7987" w:rsidP="00DA7987">
            <w:pPr>
              <w:pStyle w:val="AERtabletextright"/>
            </w:pPr>
            <w:r w:rsidRPr="00C57F5F">
              <w:t xml:space="preserve"> na </w:t>
            </w: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DA7987" w:rsidP="00DA7987">
            <w:pPr>
              <w:pStyle w:val="AERtabletextleft"/>
            </w:pPr>
            <w:r w:rsidRPr="00C57F5F">
              <w:t>Under/over recovery for regulatory year</w:t>
            </w:r>
          </w:p>
        </w:tc>
        <w:tc>
          <w:tcPr>
            <w:tcW w:w="765" w:type="pct"/>
          </w:tcPr>
          <w:p w:rsidR="00DA7987" w:rsidRPr="00DA7987" w:rsidRDefault="00DA7987" w:rsidP="00DA7987">
            <w:pPr>
              <w:pStyle w:val="AERtabletextright"/>
            </w:pPr>
            <w:r w:rsidRPr="00C57F5F">
              <w:t>5,712</w:t>
            </w:r>
          </w:p>
        </w:tc>
        <w:tc>
          <w:tcPr>
            <w:tcW w:w="765" w:type="pct"/>
          </w:tcPr>
          <w:p w:rsidR="00DA7987" w:rsidRPr="00DA7987" w:rsidRDefault="00DA7987" w:rsidP="00DA7987">
            <w:pPr>
              <w:pStyle w:val="AERtabletextright"/>
            </w:pPr>
            <w:r w:rsidRPr="00C57F5F">
              <w:t>-3,790</w:t>
            </w:r>
          </w:p>
        </w:tc>
        <w:tc>
          <w:tcPr>
            <w:tcW w:w="765" w:type="pct"/>
          </w:tcPr>
          <w:p w:rsidR="00DA7987" w:rsidRPr="00DA7987" w:rsidRDefault="00DA7987" w:rsidP="00DA7987">
            <w:pPr>
              <w:pStyle w:val="AERtabletextright"/>
            </w:pPr>
            <w:r w:rsidRPr="00C57F5F">
              <w:t>-2,494</w:t>
            </w:r>
          </w:p>
        </w:tc>
      </w:tr>
      <w:tr w:rsidR="00DA7987" w:rsidTr="00C837B9">
        <w:tc>
          <w:tcPr>
            <w:tcW w:w="2705" w:type="pct"/>
            <w:vAlign w:val="top"/>
          </w:tcPr>
          <w:p w:rsidR="00DA7987" w:rsidRPr="00DA7987" w:rsidRDefault="00DA7987" w:rsidP="00DA7987">
            <w:pPr>
              <w:pStyle w:val="AERtabletextleft"/>
            </w:pPr>
            <w:r w:rsidRPr="00C57F5F">
              <w:t>Interest on under/over recovery for regulatory year</w:t>
            </w:r>
          </w:p>
        </w:tc>
        <w:tc>
          <w:tcPr>
            <w:tcW w:w="765" w:type="pct"/>
          </w:tcPr>
          <w:p w:rsidR="00DA7987" w:rsidRPr="00DA7987" w:rsidRDefault="00DA7987" w:rsidP="00DA7987">
            <w:pPr>
              <w:pStyle w:val="AERtabletextright"/>
            </w:pPr>
            <w:r w:rsidRPr="00C57F5F">
              <w:t>236</w:t>
            </w:r>
          </w:p>
        </w:tc>
        <w:tc>
          <w:tcPr>
            <w:tcW w:w="765" w:type="pct"/>
          </w:tcPr>
          <w:p w:rsidR="00DA7987" w:rsidRPr="00DA7987" w:rsidRDefault="00DA7987" w:rsidP="00DA7987">
            <w:pPr>
              <w:pStyle w:val="AERtabletextright"/>
            </w:pPr>
            <w:r w:rsidRPr="00C57F5F">
              <w:t>-157</w:t>
            </w:r>
          </w:p>
        </w:tc>
        <w:tc>
          <w:tcPr>
            <w:tcW w:w="765" w:type="pct"/>
          </w:tcPr>
          <w:p w:rsidR="00DA7987" w:rsidRPr="00DA7987" w:rsidRDefault="00DA7987" w:rsidP="00DA7987">
            <w:pPr>
              <w:pStyle w:val="AERtabletextright"/>
            </w:pPr>
            <w:r w:rsidRPr="00C57F5F">
              <w:t>na</w:t>
            </w: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DA7987" w:rsidP="00DA7987">
            <w:pPr>
              <w:pStyle w:val="AERtabletextleft"/>
            </w:pPr>
            <w:r w:rsidRPr="00C57F5F">
              <w:t>Closing balance</w:t>
            </w:r>
          </w:p>
        </w:tc>
        <w:tc>
          <w:tcPr>
            <w:tcW w:w="765" w:type="pct"/>
          </w:tcPr>
          <w:p w:rsidR="00DA7987" w:rsidRPr="00DA7987" w:rsidRDefault="00DA7987" w:rsidP="00DA7987">
            <w:pPr>
              <w:pStyle w:val="AERtabletextright"/>
            </w:pPr>
            <w:r w:rsidRPr="00C57F5F">
              <w:t>5,948</w:t>
            </w:r>
          </w:p>
        </w:tc>
        <w:tc>
          <w:tcPr>
            <w:tcW w:w="765" w:type="pct"/>
          </w:tcPr>
          <w:p w:rsidR="00DA7987" w:rsidRPr="00DA7987" w:rsidRDefault="00DA7987" w:rsidP="00DA7987">
            <w:pPr>
              <w:pStyle w:val="AERtabletextright"/>
            </w:pPr>
            <w:r w:rsidRPr="00C57F5F">
              <w:t>2,494</w:t>
            </w:r>
          </w:p>
        </w:tc>
        <w:tc>
          <w:tcPr>
            <w:tcW w:w="765" w:type="pct"/>
          </w:tcPr>
          <w:p w:rsidR="00DA7987" w:rsidRPr="00DA7987" w:rsidRDefault="00DA7987" w:rsidP="00DA7987">
            <w:pPr>
              <w:pStyle w:val="AERtabletextright"/>
            </w:pPr>
            <w:r w:rsidRPr="00C57F5F">
              <w:t>0</w:t>
            </w:r>
            <w:r w:rsidRPr="00DA7987">
              <w:rPr>
                <w:rStyle w:val="AERsuperscript"/>
              </w:rPr>
              <w:t>b</w:t>
            </w:r>
          </w:p>
        </w:tc>
      </w:tr>
    </w:tbl>
    <w:p w:rsidR="00EE72C2" w:rsidRDefault="00EE72C2" w:rsidP="00DA7987">
      <w:pPr>
        <w:pStyle w:val="AERtablesource"/>
      </w:pPr>
      <w:r>
        <w:t>Source:</w:t>
      </w:r>
      <w:r>
        <w:tab/>
        <w:t>AER analysis.</w:t>
      </w:r>
    </w:p>
    <w:p w:rsidR="00DA7987" w:rsidRPr="00C366E5" w:rsidRDefault="00DA7987" w:rsidP="00DA7987">
      <w:pPr>
        <w:pStyle w:val="AERtablesource"/>
      </w:pPr>
      <w:r w:rsidRPr="00C366E5">
        <w:t>Notes:</w:t>
      </w:r>
      <w:r w:rsidRPr="00C366E5">
        <w:tab/>
        <w:t>(a) Forecast revenue from TU</w:t>
      </w:r>
      <w:r>
        <w:t>o</w:t>
      </w:r>
      <w:r w:rsidRPr="00C366E5">
        <w:t xml:space="preserve">S charges will be set to achieve an expected zero balance in the </w:t>
      </w:r>
      <w:r>
        <w:t>TUoS</w:t>
      </w:r>
      <w:r w:rsidRPr="00C366E5">
        <w:t xml:space="preserve"> unders and overs account for year t.</w:t>
      </w:r>
    </w:p>
    <w:p w:rsidR="00DA7987" w:rsidRDefault="00DA7987" w:rsidP="00DA7987">
      <w:pPr>
        <w:pStyle w:val="AERtablesource"/>
      </w:pPr>
      <w:r>
        <w:tab/>
        <w:t xml:space="preserve">(b) </w:t>
      </w:r>
      <w:r w:rsidRPr="00C57F5F">
        <w:t xml:space="preserve">This figure will be the under/over adjustment approved by the regulator for year t-1 for the annual price approval process in two </w:t>
      </w:r>
      <w:r w:rsidR="00275933" w:rsidRPr="00C57F5F">
        <w:t>years' time</w:t>
      </w:r>
      <w:r w:rsidRPr="00C57F5F">
        <w:t>.</w:t>
      </w:r>
      <w:r>
        <w:t xml:space="preserve"> </w:t>
      </w:r>
    </w:p>
    <w:p w:rsidR="00DA7987" w:rsidRDefault="00DA7987" w:rsidP="00630871">
      <w:pPr>
        <w:pStyle w:val="Heading7"/>
      </w:pPr>
      <w:bookmarkStart w:id="26" w:name="_Toc404255911"/>
      <w:r>
        <w:lastRenderedPageBreak/>
        <w:t>Reporting on recovery of jurisdictional schemes</w:t>
      </w:r>
      <w:bookmarkEnd w:id="26"/>
    </w:p>
    <w:p w:rsidR="00DA7987" w:rsidRPr="005E6780" w:rsidRDefault="00DA7987" w:rsidP="00DA7987">
      <w:pPr>
        <w:pStyle w:val="AERbodytext"/>
      </w:pPr>
      <w:r w:rsidRPr="005E6780">
        <w:t xml:space="preserve">To demonstrate compliance with its distribution determination in the forthcoming regulatory control period, </w:t>
      </w:r>
      <w:r>
        <w:t>we</w:t>
      </w:r>
      <w:r w:rsidRPr="005E6780">
        <w:t xml:space="preserve"> require </w:t>
      </w:r>
      <w:r w:rsidR="006A0175">
        <w:t>ActewAGL</w:t>
      </w:r>
      <w:r w:rsidRPr="005E6780">
        <w:t xml:space="preserve"> to maintain a </w:t>
      </w:r>
      <w:r>
        <w:t xml:space="preserve">jurisdictional scheme </w:t>
      </w:r>
      <w:r w:rsidRPr="005E6780">
        <w:t xml:space="preserve">unders and overs account. </w:t>
      </w:r>
      <w:r>
        <w:t xml:space="preserve">It </w:t>
      </w:r>
      <w:r w:rsidRPr="005E6780">
        <w:t xml:space="preserve">must provide information on this account to </w:t>
      </w:r>
      <w:r>
        <w:t>us in</w:t>
      </w:r>
      <w:r w:rsidRPr="005E6780">
        <w:t xml:space="preserve"> its</w:t>
      </w:r>
      <w:r>
        <w:t xml:space="preserve"> </w:t>
      </w:r>
      <w:r w:rsidRPr="005E6780">
        <w:t>annual pricing proposal.</w:t>
      </w:r>
      <w:r>
        <w:rPr>
          <w:rStyle w:val="FootnoteReference"/>
        </w:rPr>
        <w:footnoteReference w:id="18"/>
      </w:r>
      <w:r w:rsidRPr="005E6780">
        <w:t xml:space="preserve"> </w:t>
      </w:r>
    </w:p>
    <w:p w:rsidR="00DA7987" w:rsidRPr="005E6780" w:rsidRDefault="006A0175" w:rsidP="00DA7987">
      <w:pPr>
        <w:pStyle w:val="AERbodytext"/>
      </w:pPr>
      <w:r>
        <w:t>ActewAGL</w:t>
      </w:r>
      <w:r w:rsidR="00DA7987" w:rsidRPr="005E6780">
        <w:t xml:space="preserve"> must provide the amounts for the following entries in </w:t>
      </w:r>
      <w:r w:rsidR="00DA7987">
        <w:t>its</w:t>
      </w:r>
      <w:r w:rsidR="00DA7987" w:rsidRPr="005E6780">
        <w:t xml:space="preserve"> </w:t>
      </w:r>
      <w:r w:rsidR="00DA7987">
        <w:t xml:space="preserve">jurisdictional schemes </w:t>
      </w:r>
      <w:r w:rsidR="00DA7987" w:rsidRPr="005E6780">
        <w:t>unders and overs account for the most recently completed regulatory year (t-2), the current regulatory year (t-1) and the next regulatory year (t):</w:t>
      </w:r>
    </w:p>
    <w:p w:rsidR="00DA7987" w:rsidRPr="005E6780" w:rsidRDefault="00DA7987" w:rsidP="00DA7987">
      <w:pPr>
        <w:pStyle w:val="AERnumberedlistfirststyle"/>
      </w:pPr>
      <w:r w:rsidRPr="005E6780">
        <w:t>opening balance for year t-2, year t-1 and year t;</w:t>
      </w:r>
    </w:p>
    <w:p w:rsidR="00DA7987" w:rsidRPr="005E6780" w:rsidRDefault="00DA7987" w:rsidP="00DA7987">
      <w:pPr>
        <w:pStyle w:val="AERnumberedlistfirststyle"/>
      </w:pPr>
      <w:r w:rsidRPr="005E6780">
        <w:t>an interest charge for one year on the opening balance in year t-2 and an interest charge for one year on the opening balance in year t-1. These adjustments are to be calculated using the approved nominal WACC. No such interest charge applies to the opening balance for year t;</w:t>
      </w:r>
    </w:p>
    <w:p w:rsidR="00DA7987" w:rsidRPr="005E6780" w:rsidRDefault="00DA7987" w:rsidP="00DA7987">
      <w:pPr>
        <w:pStyle w:val="AERnumberedlistfirststyle"/>
      </w:pPr>
      <w:r>
        <w:t xml:space="preserve">either </w:t>
      </w:r>
      <w:r w:rsidRPr="005E6780">
        <w:t>the amou</w:t>
      </w:r>
      <w:r>
        <w:t xml:space="preserve">nt of revenue recovered from jurisdictional </w:t>
      </w:r>
      <w:r w:rsidRPr="005E6780">
        <w:t>charges applied in respect of that year</w:t>
      </w:r>
      <w:r>
        <w:t xml:space="preserve"> </w:t>
      </w:r>
      <w:r w:rsidRPr="00F4525C">
        <w:t xml:space="preserve">or </w:t>
      </w:r>
      <w:r>
        <w:t xml:space="preserve">the amount </w:t>
      </w:r>
      <w:r w:rsidR="00E94F1B">
        <w:t>included</w:t>
      </w:r>
      <w:r w:rsidRPr="00F4525C">
        <w:t xml:space="preserve"> in the operating expenditure allowance within the 2009–14 Distribution Determination</w:t>
      </w:r>
      <w:r>
        <w:t xml:space="preserve"> </w:t>
      </w:r>
      <w:r w:rsidRPr="00F4525C">
        <w:t>(as in the case of 2012</w:t>
      </w:r>
      <w:r>
        <w:t>–</w:t>
      </w:r>
      <w:r w:rsidRPr="00F4525C">
        <w:t>13 and 2013</w:t>
      </w:r>
      <w:r>
        <w:t>–</w:t>
      </w:r>
      <w:r w:rsidRPr="00F4525C">
        <w:t>14)</w:t>
      </w:r>
      <w:r w:rsidRPr="005E6780">
        <w:t xml:space="preserve">, less any under/over adjustment approved by the </w:t>
      </w:r>
      <w:r>
        <w:t>AER</w:t>
      </w:r>
      <w:r w:rsidRPr="005E6780">
        <w:t xml:space="preserve"> for year t-2 (in relation to year t-3) and year t-1, less the amounts of all </w:t>
      </w:r>
      <w:r>
        <w:t xml:space="preserve">jurisdictional scheme </w:t>
      </w:r>
      <w:r w:rsidRPr="005E6780">
        <w:t xml:space="preserve">related payments made by </w:t>
      </w:r>
      <w:r w:rsidR="006A0175">
        <w:t>ActewAGL</w:t>
      </w:r>
      <w:r w:rsidRPr="005E6780">
        <w:t xml:space="preserve"> in respect of that year;</w:t>
      </w:r>
    </w:p>
    <w:p w:rsidR="00DA7987" w:rsidRPr="005E6780" w:rsidRDefault="00DA7987" w:rsidP="00DA7987">
      <w:pPr>
        <w:pStyle w:val="AERnumberedlistfirststyle"/>
      </w:pPr>
      <w:r w:rsidRPr="005E6780">
        <w:t>an interest charge for one year related to the net amounts in item 3 for year t-2 and an interest charge for one year for year t-1. These adjustments are to be calculated using the approved nominal WACC. No such interest charge applies to the net amount in item 2 for year t;</w:t>
      </w:r>
    </w:p>
    <w:p w:rsidR="00DA7987" w:rsidRDefault="00DA7987" w:rsidP="00DA7987">
      <w:pPr>
        <w:pStyle w:val="AERnumberedlistfirststyle"/>
      </w:pPr>
      <w:r w:rsidRPr="005E6780">
        <w:t>the total of items 1-4 to derive the closing balance for each year.</w:t>
      </w:r>
    </w:p>
    <w:p w:rsidR="00DA7987" w:rsidRPr="00412E09" w:rsidRDefault="00E94F1B" w:rsidP="00412E09">
      <w:r>
        <w:t>See</w:t>
      </w:r>
      <w:r w:rsidR="00412E09" w:rsidRPr="00412E09">
        <w:t xml:space="preserve"> </w:t>
      </w:r>
      <w:r w:rsidR="00EE72C2">
        <w:fldChar w:fldCharType="begin"/>
      </w:r>
      <w:r w:rsidR="00EE72C2">
        <w:instrText xml:space="preserve"> REF _Ref404255405 \h </w:instrText>
      </w:r>
      <w:r w:rsidR="00EE72C2">
        <w:fldChar w:fldCharType="separate"/>
      </w:r>
      <w:r>
        <w:t xml:space="preserve">Table </w:t>
      </w:r>
      <w:r>
        <w:rPr>
          <w:noProof/>
        </w:rPr>
        <w:t>14</w:t>
      </w:r>
      <w:r>
        <w:t>.</w:t>
      </w:r>
      <w:r>
        <w:rPr>
          <w:noProof/>
        </w:rPr>
        <w:t>4</w:t>
      </w:r>
      <w:r w:rsidR="00EE72C2">
        <w:fldChar w:fldCharType="end"/>
      </w:r>
      <w:r>
        <w:t xml:space="preserve"> for an example of the reporting format.</w:t>
      </w:r>
    </w:p>
    <w:p w:rsidR="00DA7987" w:rsidRDefault="00DA7987" w:rsidP="00DA7987"/>
    <w:p w:rsidR="00DA7987" w:rsidRDefault="00DA7987" w:rsidP="00DA7987"/>
    <w:p w:rsidR="00DA7987" w:rsidRDefault="00DA7987" w:rsidP="00DA7987"/>
    <w:p w:rsidR="00DA7987" w:rsidRDefault="00DA7987" w:rsidP="00DA7987"/>
    <w:p w:rsidR="00DA7987" w:rsidRDefault="00DA7987" w:rsidP="00DA7987"/>
    <w:p w:rsidR="00DA7987" w:rsidRDefault="00DA7987" w:rsidP="00DA7987"/>
    <w:p w:rsidR="00DA7987" w:rsidRDefault="00DA7987" w:rsidP="00DA7987"/>
    <w:p w:rsidR="00DA7987" w:rsidRDefault="00DA7987" w:rsidP="00DA7987"/>
    <w:p w:rsidR="00DA7987" w:rsidRDefault="00DA7987" w:rsidP="00DA7987"/>
    <w:p w:rsidR="00DA7987" w:rsidRDefault="00DA7987" w:rsidP="00DA7987"/>
    <w:p w:rsidR="00DA7987" w:rsidRDefault="00DA7987" w:rsidP="00DA7987"/>
    <w:p w:rsidR="00DA7987" w:rsidRPr="00A47F79" w:rsidRDefault="00EE72C2" w:rsidP="00EE72C2">
      <w:pPr>
        <w:pStyle w:val="Caption"/>
        <w:rPr>
          <w:rStyle w:val="AERtextbold"/>
        </w:rPr>
      </w:pPr>
      <w:bookmarkStart w:id="27" w:name="_Ref404255405"/>
      <w:r>
        <w:lastRenderedPageBreak/>
        <w:t xml:space="preserve">Table </w:t>
      </w:r>
      <w:r w:rsidR="003737A8">
        <w:fldChar w:fldCharType="begin"/>
      </w:r>
      <w:r w:rsidR="003737A8">
        <w:instrText xml:space="preserve"> STYLEREF 1 \s </w:instrText>
      </w:r>
      <w:r w:rsidR="003737A8">
        <w:fldChar w:fldCharType="separate"/>
      </w:r>
      <w:r w:rsidR="00C54017">
        <w:rPr>
          <w:noProof/>
        </w:rPr>
        <w:t>14</w:t>
      </w:r>
      <w:r w:rsidR="003737A8">
        <w:rPr>
          <w:noProof/>
        </w:rPr>
        <w:fldChar w:fldCharType="end"/>
      </w:r>
      <w:r w:rsidR="00C54017">
        <w:t>.</w:t>
      </w:r>
      <w:r w:rsidR="003737A8">
        <w:fldChar w:fldCharType="begin"/>
      </w:r>
      <w:r w:rsidR="003737A8">
        <w:instrText xml:space="preserve"> SEQ Table \* ARABIC \s 1 </w:instrText>
      </w:r>
      <w:r w:rsidR="003737A8">
        <w:fldChar w:fldCharType="separate"/>
      </w:r>
      <w:r w:rsidR="00E94F1B">
        <w:rPr>
          <w:noProof/>
        </w:rPr>
        <w:t>4</w:t>
      </w:r>
      <w:r w:rsidR="003737A8">
        <w:rPr>
          <w:noProof/>
        </w:rPr>
        <w:fldChar w:fldCharType="end"/>
      </w:r>
      <w:bookmarkEnd w:id="27"/>
      <w:r>
        <w:tab/>
      </w:r>
      <w:r w:rsidRPr="00EE72C2">
        <w:t>Example calculation of jurisdictional unders and overs account ($000, nominal)</w:t>
      </w:r>
    </w:p>
    <w:tbl>
      <w:tblPr>
        <w:tblStyle w:val="AERtable-text"/>
        <w:tblW w:w="5000" w:type="pct"/>
        <w:tblLook w:val="04A0" w:firstRow="1" w:lastRow="0" w:firstColumn="1" w:lastColumn="0" w:noHBand="0" w:noVBand="1"/>
      </w:tblPr>
      <w:tblGrid>
        <w:gridCol w:w="5000"/>
        <w:gridCol w:w="1414"/>
        <w:gridCol w:w="1414"/>
        <w:gridCol w:w="1414"/>
      </w:tblGrid>
      <w:tr w:rsidR="00DA7987" w:rsidTr="00C837B9">
        <w:trPr>
          <w:cnfStyle w:val="100000000000" w:firstRow="1" w:lastRow="0" w:firstColumn="0" w:lastColumn="0" w:oddVBand="0" w:evenVBand="0" w:oddHBand="0" w:evenHBand="0" w:firstRowFirstColumn="0" w:firstRowLastColumn="0" w:lastRowFirstColumn="0" w:lastRowLastColumn="0"/>
        </w:trPr>
        <w:tc>
          <w:tcPr>
            <w:tcW w:w="2705" w:type="pct"/>
          </w:tcPr>
          <w:p w:rsidR="00DA7987" w:rsidRPr="00C366E5" w:rsidRDefault="00DA7987" w:rsidP="00DA7987">
            <w:pPr>
              <w:pStyle w:val="AERbodytext"/>
            </w:pPr>
          </w:p>
        </w:tc>
        <w:tc>
          <w:tcPr>
            <w:tcW w:w="765" w:type="pct"/>
            <w:vAlign w:val="top"/>
          </w:tcPr>
          <w:p w:rsidR="00DA7987" w:rsidRPr="00DA7987" w:rsidRDefault="00DA7987" w:rsidP="00DA7987">
            <w:pPr>
              <w:pStyle w:val="AERtabletextright"/>
            </w:pPr>
            <w:r>
              <w:t>Y</w:t>
            </w:r>
            <w:r w:rsidRPr="00DA7987">
              <w:t>ear t–2 (actual)</w:t>
            </w:r>
          </w:p>
        </w:tc>
        <w:tc>
          <w:tcPr>
            <w:tcW w:w="765" w:type="pct"/>
            <w:vAlign w:val="top"/>
          </w:tcPr>
          <w:p w:rsidR="00DA7987" w:rsidRPr="00DA7987" w:rsidRDefault="00DA7987" w:rsidP="00DA7987">
            <w:pPr>
              <w:pStyle w:val="AERtabletextright"/>
            </w:pPr>
            <w:r>
              <w:t>Y</w:t>
            </w:r>
            <w:r w:rsidRPr="00DA7987">
              <w:t>ear t-1 (estimate)</w:t>
            </w:r>
          </w:p>
        </w:tc>
        <w:tc>
          <w:tcPr>
            <w:tcW w:w="765" w:type="pct"/>
            <w:vAlign w:val="top"/>
          </w:tcPr>
          <w:p w:rsidR="00DA7987" w:rsidRPr="00DA7987" w:rsidRDefault="00DA7987" w:rsidP="00DA7987">
            <w:pPr>
              <w:pStyle w:val="AERtabletextright"/>
            </w:pPr>
            <w:r>
              <w:t>Y</w:t>
            </w:r>
            <w:r w:rsidRPr="00DA7987">
              <w:t>ear t (forecast)</w:t>
            </w:r>
          </w:p>
        </w:tc>
      </w:tr>
      <w:tr w:rsidR="00DA7987" w:rsidTr="00C837B9">
        <w:trPr>
          <w:trHeight w:val="373"/>
        </w:trPr>
        <w:tc>
          <w:tcPr>
            <w:tcW w:w="2705" w:type="pct"/>
            <w:vAlign w:val="top"/>
          </w:tcPr>
          <w:p w:rsidR="00DA7987" w:rsidRPr="00DA7987" w:rsidRDefault="00DA7987" w:rsidP="00DA7987">
            <w:pPr>
              <w:pStyle w:val="AERtabletextleft"/>
            </w:pPr>
            <w:r w:rsidRPr="0017781C">
              <w:t>Revenue from jurisdictional</w:t>
            </w:r>
            <w:r w:rsidRPr="00DA7987">
              <w:t xml:space="preserve"> schemes</w:t>
            </w:r>
          </w:p>
        </w:tc>
        <w:tc>
          <w:tcPr>
            <w:tcW w:w="765" w:type="pct"/>
            <w:vAlign w:val="top"/>
          </w:tcPr>
          <w:p w:rsidR="00DA7987" w:rsidRPr="00DA7987" w:rsidRDefault="00DA7987" w:rsidP="00DA7987">
            <w:pPr>
              <w:pStyle w:val="AERtabletextright"/>
            </w:pPr>
            <w:r w:rsidRPr="0017781C">
              <w:t xml:space="preserve">        19,777 </w:t>
            </w:r>
          </w:p>
        </w:tc>
        <w:tc>
          <w:tcPr>
            <w:tcW w:w="765" w:type="pct"/>
            <w:vAlign w:val="top"/>
          </w:tcPr>
          <w:p w:rsidR="00DA7987" w:rsidRPr="00DA7987" w:rsidRDefault="00DA7987" w:rsidP="00DA7987">
            <w:pPr>
              <w:pStyle w:val="AERtabletextright"/>
            </w:pPr>
            <w:r w:rsidRPr="0017781C">
              <w:t xml:space="preserve">   23,121 </w:t>
            </w:r>
          </w:p>
        </w:tc>
        <w:tc>
          <w:tcPr>
            <w:tcW w:w="765" w:type="pct"/>
            <w:vAlign w:val="top"/>
          </w:tcPr>
          <w:p w:rsidR="00DA7987" w:rsidRPr="00DA7987" w:rsidRDefault="00DA7987" w:rsidP="00DA7987">
            <w:pPr>
              <w:pStyle w:val="AERtabletextright"/>
            </w:pPr>
            <w:r w:rsidRPr="0017781C">
              <w:t xml:space="preserve">             26,881 </w:t>
            </w: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DA7987" w:rsidP="00DA7987">
            <w:r w:rsidRPr="0017781C">
              <w:t xml:space="preserve">Jurisdictional scheme 1 payments </w:t>
            </w:r>
          </w:p>
        </w:tc>
        <w:tc>
          <w:tcPr>
            <w:tcW w:w="765" w:type="pct"/>
            <w:vAlign w:val="top"/>
          </w:tcPr>
          <w:p w:rsidR="00DA7987" w:rsidRPr="00DA7987" w:rsidRDefault="00DA7987" w:rsidP="00DA7987">
            <w:pPr>
              <w:pStyle w:val="AERtabletextright"/>
            </w:pPr>
            <w:r w:rsidRPr="0017781C">
              <w:t xml:space="preserve">        14,159 </w:t>
            </w:r>
          </w:p>
        </w:tc>
        <w:tc>
          <w:tcPr>
            <w:tcW w:w="765" w:type="pct"/>
            <w:vAlign w:val="top"/>
          </w:tcPr>
          <w:p w:rsidR="00DA7987" w:rsidRPr="00DA7987" w:rsidRDefault="00DA7987" w:rsidP="00DA7987">
            <w:pPr>
              <w:pStyle w:val="AERtabletextright"/>
            </w:pPr>
            <w:r w:rsidRPr="0017781C">
              <w:t xml:space="preserve">  13,954 </w:t>
            </w:r>
          </w:p>
        </w:tc>
        <w:tc>
          <w:tcPr>
            <w:tcW w:w="765" w:type="pct"/>
            <w:vAlign w:val="top"/>
          </w:tcPr>
          <w:p w:rsidR="00DA7987" w:rsidRPr="00DA7987" w:rsidRDefault="00DA7987" w:rsidP="00DA7987">
            <w:pPr>
              <w:pStyle w:val="AERtabletextright"/>
            </w:pPr>
            <w:r w:rsidRPr="0017781C">
              <w:t xml:space="preserve">              13,961 </w:t>
            </w:r>
          </w:p>
        </w:tc>
      </w:tr>
      <w:tr w:rsidR="00DA7987" w:rsidTr="00C837B9">
        <w:tc>
          <w:tcPr>
            <w:tcW w:w="2705" w:type="pct"/>
            <w:vAlign w:val="top"/>
          </w:tcPr>
          <w:p w:rsidR="00DA7987" w:rsidRPr="00DA7987" w:rsidRDefault="00DA7987" w:rsidP="00DA7987">
            <w:r w:rsidRPr="0017781C">
              <w:t xml:space="preserve">Jurisdictional scheme 2 payments </w:t>
            </w:r>
          </w:p>
        </w:tc>
        <w:tc>
          <w:tcPr>
            <w:tcW w:w="765" w:type="pct"/>
            <w:vAlign w:val="top"/>
          </w:tcPr>
          <w:p w:rsidR="00DA7987" w:rsidRPr="00DA7987" w:rsidRDefault="00DA7987" w:rsidP="00DA7987">
            <w:pPr>
              <w:pStyle w:val="AERtabletextright"/>
            </w:pPr>
            <w:r w:rsidRPr="0017781C">
              <w:t xml:space="preserve">         6,113 </w:t>
            </w:r>
          </w:p>
        </w:tc>
        <w:tc>
          <w:tcPr>
            <w:tcW w:w="765" w:type="pct"/>
            <w:vAlign w:val="top"/>
          </w:tcPr>
          <w:p w:rsidR="00DA7987" w:rsidRPr="00DA7987" w:rsidRDefault="00DA7987" w:rsidP="00DA7987">
            <w:pPr>
              <w:pStyle w:val="AERtabletextright"/>
            </w:pPr>
            <w:r w:rsidRPr="0017781C">
              <w:t xml:space="preserve">   7,005 </w:t>
            </w:r>
          </w:p>
        </w:tc>
        <w:tc>
          <w:tcPr>
            <w:tcW w:w="765" w:type="pct"/>
            <w:vAlign w:val="top"/>
          </w:tcPr>
          <w:p w:rsidR="00DA7987" w:rsidRPr="00DA7987" w:rsidRDefault="00DA7987" w:rsidP="00DA7987">
            <w:pPr>
              <w:pStyle w:val="AERtabletextright"/>
            </w:pPr>
            <w:r w:rsidRPr="0017781C">
              <w:t xml:space="preserve">              14,680 </w:t>
            </w: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DA7987" w:rsidP="00DA7987">
            <w:pPr>
              <w:pStyle w:val="AERtabletextleft"/>
            </w:pPr>
            <w:r w:rsidRPr="0017781C">
              <w:t xml:space="preserve">Total payments form </w:t>
            </w:r>
            <w:r w:rsidRPr="00DA7987">
              <w:t>jurisdictional scheme</w:t>
            </w:r>
          </w:p>
        </w:tc>
        <w:tc>
          <w:tcPr>
            <w:tcW w:w="765" w:type="pct"/>
            <w:vAlign w:val="top"/>
          </w:tcPr>
          <w:p w:rsidR="00DA7987" w:rsidRPr="00DA7987" w:rsidRDefault="00DA7987" w:rsidP="00DA7987">
            <w:pPr>
              <w:pStyle w:val="AERtabletextright"/>
            </w:pPr>
            <w:r w:rsidRPr="0017781C">
              <w:t xml:space="preserve">       20,272 </w:t>
            </w:r>
          </w:p>
        </w:tc>
        <w:tc>
          <w:tcPr>
            <w:tcW w:w="765" w:type="pct"/>
            <w:vAlign w:val="top"/>
          </w:tcPr>
          <w:p w:rsidR="00DA7987" w:rsidRPr="00DA7987" w:rsidRDefault="00DA7987" w:rsidP="00DA7987">
            <w:pPr>
              <w:pStyle w:val="AERtabletextright"/>
            </w:pPr>
            <w:r w:rsidRPr="0017781C">
              <w:t xml:space="preserve"> 20,959 </w:t>
            </w:r>
          </w:p>
        </w:tc>
        <w:tc>
          <w:tcPr>
            <w:tcW w:w="765" w:type="pct"/>
            <w:vAlign w:val="top"/>
          </w:tcPr>
          <w:p w:rsidR="00DA7987" w:rsidRPr="00DA7987" w:rsidRDefault="00DA7987" w:rsidP="00DA7987">
            <w:pPr>
              <w:pStyle w:val="AERtabletextright"/>
            </w:pPr>
            <w:r w:rsidRPr="0017781C">
              <w:t xml:space="preserve">              28,641 </w:t>
            </w:r>
          </w:p>
        </w:tc>
      </w:tr>
      <w:tr w:rsidR="00DA7987" w:rsidTr="00C837B9">
        <w:tc>
          <w:tcPr>
            <w:tcW w:w="2705" w:type="pct"/>
            <w:vAlign w:val="top"/>
          </w:tcPr>
          <w:p w:rsidR="00DA7987" w:rsidRPr="00DA7987" w:rsidRDefault="00DA7987" w:rsidP="00DA7987">
            <w:pPr>
              <w:pStyle w:val="AERtabletextleft"/>
            </w:pPr>
            <w:r w:rsidRPr="0017781C">
              <w:t>Over (under) recovery for financial year</w:t>
            </w:r>
          </w:p>
        </w:tc>
        <w:tc>
          <w:tcPr>
            <w:tcW w:w="765" w:type="pct"/>
            <w:vAlign w:val="top"/>
          </w:tcPr>
          <w:p w:rsidR="00DA7987" w:rsidRPr="00DA7987" w:rsidRDefault="00DA7987" w:rsidP="00DA7987">
            <w:pPr>
              <w:pStyle w:val="AERtabletextright"/>
            </w:pPr>
            <w:r w:rsidRPr="0017781C">
              <w:t>-495</w:t>
            </w:r>
          </w:p>
        </w:tc>
        <w:tc>
          <w:tcPr>
            <w:tcW w:w="765" w:type="pct"/>
            <w:vAlign w:val="top"/>
          </w:tcPr>
          <w:p w:rsidR="00DA7987" w:rsidRPr="00DA7987" w:rsidRDefault="00DA7987" w:rsidP="00DA7987">
            <w:pPr>
              <w:pStyle w:val="AERtabletextright"/>
            </w:pPr>
            <w:r w:rsidRPr="0017781C">
              <w:t>2162</w:t>
            </w:r>
          </w:p>
        </w:tc>
        <w:tc>
          <w:tcPr>
            <w:tcW w:w="765" w:type="pct"/>
            <w:vAlign w:val="top"/>
          </w:tcPr>
          <w:p w:rsidR="00DA7987" w:rsidRPr="00DA7987" w:rsidRDefault="00DA7987" w:rsidP="00DA7987">
            <w:pPr>
              <w:pStyle w:val="AERtabletextright"/>
            </w:pPr>
            <w:r w:rsidRPr="0017781C">
              <w:t>-1760</w:t>
            </w: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DA7987" w:rsidP="00DA7987">
            <w:pPr>
              <w:rPr>
                <w:rStyle w:val="AERtextbold"/>
              </w:rPr>
            </w:pPr>
            <w:r w:rsidRPr="0017781C">
              <w:rPr>
                <w:rStyle w:val="AERtextbold"/>
              </w:rPr>
              <w:t>Overs and unders account</w:t>
            </w:r>
          </w:p>
        </w:tc>
        <w:tc>
          <w:tcPr>
            <w:tcW w:w="765" w:type="pct"/>
            <w:vAlign w:val="top"/>
          </w:tcPr>
          <w:p w:rsidR="00DA7987" w:rsidRPr="00DA7987" w:rsidRDefault="00DA7987" w:rsidP="00DA7987">
            <w:pPr>
              <w:pStyle w:val="AERtabletextright"/>
            </w:pPr>
            <w:r w:rsidRPr="0017781C">
              <w:t xml:space="preserve"> </w:t>
            </w:r>
          </w:p>
        </w:tc>
        <w:tc>
          <w:tcPr>
            <w:tcW w:w="765" w:type="pct"/>
            <w:vAlign w:val="top"/>
          </w:tcPr>
          <w:p w:rsidR="00DA7987" w:rsidRPr="00DA7987" w:rsidRDefault="00DA7987" w:rsidP="00DA7987">
            <w:pPr>
              <w:pStyle w:val="AERtabletextright"/>
            </w:pPr>
            <w:r w:rsidRPr="0017781C">
              <w:t xml:space="preserve"> </w:t>
            </w:r>
          </w:p>
        </w:tc>
        <w:tc>
          <w:tcPr>
            <w:tcW w:w="765" w:type="pct"/>
            <w:vAlign w:val="top"/>
          </w:tcPr>
          <w:p w:rsidR="00DA7987" w:rsidRPr="00DA7987" w:rsidRDefault="00DA7987" w:rsidP="00DA7987">
            <w:pPr>
              <w:pStyle w:val="AERtabletextright"/>
            </w:pPr>
            <w:r w:rsidRPr="0017781C">
              <w:t xml:space="preserve"> </w:t>
            </w:r>
          </w:p>
        </w:tc>
      </w:tr>
      <w:tr w:rsidR="00DA7987" w:rsidTr="00C837B9">
        <w:tc>
          <w:tcPr>
            <w:tcW w:w="2705" w:type="pct"/>
            <w:vAlign w:val="top"/>
          </w:tcPr>
          <w:p w:rsidR="00DA7987" w:rsidRPr="00DA7987" w:rsidRDefault="00DA7987" w:rsidP="00DA7987">
            <w:r w:rsidRPr="0017781C">
              <w:t>Annual rate of interest applicable to balances</w:t>
            </w:r>
          </w:p>
        </w:tc>
        <w:tc>
          <w:tcPr>
            <w:tcW w:w="765" w:type="pct"/>
            <w:vAlign w:val="top"/>
          </w:tcPr>
          <w:p w:rsidR="00DA7987" w:rsidRPr="00DA7987" w:rsidRDefault="00DA7987" w:rsidP="00DA7987">
            <w:pPr>
              <w:pStyle w:val="AERtabletextright"/>
            </w:pPr>
            <w:r w:rsidRPr="0017781C">
              <w:t>8.79%</w:t>
            </w:r>
          </w:p>
        </w:tc>
        <w:tc>
          <w:tcPr>
            <w:tcW w:w="765" w:type="pct"/>
            <w:vAlign w:val="top"/>
          </w:tcPr>
          <w:p w:rsidR="00DA7987" w:rsidRPr="00DA7987" w:rsidRDefault="00DA7987" w:rsidP="00DA7987">
            <w:pPr>
              <w:pStyle w:val="AERtabletextright"/>
            </w:pPr>
            <w:r w:rsidRPr="0017781C">
              <w:t>8.79%</w:t>
            </w:r>
          </w:p>
        </w:tc>
        <w:tc>
          <w:tcPr>
            <w:tcW w:w="765" w:type="pct"/>
            <w:vAlign w:val="top"/>
          </w:tcPr>
          <w:p w:rsidR="00DA7987" w:rsidRPr="00DA7987" w:rsidRDefault="00DA7987" w:rsidP="00DA7987">
            <w:pPr>
              <w:pStyle w:val="AERtabletextright"/>
            </w:pPr>
            <w:r w:rsidRPr="0017781C">
              <w:t>8.06%</w:t>
            </w: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DA7987" w:rsidP="00DA7987">
            <w:r w:rsidRPr="0017781C">
              <w:t xml:space="preserve">Opening balance </w:t>
            </w:r>
          </w:p>
        </w:tc>
        <w:tc>
          <w:tcPr>
            <w:tcW w:w="765" w:type="pct"/>
            <w:vAlign w:val="top"/>
          </w:tcPr>
          <w:p w:rsidR="00DA7987" w:rsidRPr="00DA7987" w:rsidRDefault="00DA7987" w:rsidP="00DA7987">
            <w:pPr>
              <w:pStyle w:val="AERtabletextright"/>
            </w:pPr>
            <w:r w:rsidRPr="0017781C">
              <w:t xml:space="preserve">           -   </w:t>
            </w:r>
          </w:p>
        </w:tc>
        <w:tc>
          <w:tcPr>
            <w:tcW w:w="765" w:type="pct"/>
            <w:vAlign w:val="top"/>
          </w:tcPr>
          <w:p w:rsidR="00DA7987" w:rsidRPr="00DA7987" w:rsidRDefault="00DA7987" w:rsidP="00DA7987">
            <w:pPr>
              <w:pStyle w:val="AERtabletextright"/>
            </w:pPr>
            <w:r w:rsidRPr="0017781C">
              <w:t xml:space="preserve">-     517 </w:t>
            </w:r>
          </w:p>
        </w:tc>
        <w:tc>
          <w:tcPr>
            <w:tcW w:w="765" w:type="pct"/>
            <w:vAlign w:val="top"/>
          </w:tcPr>
          <w:p w:rsidR="00DA7987" w:rsidRPr="00DA7987" w:rsidRDefault="00DA7987" w:rsidP="00DA7987">
            <w:pPr>
              <w:pStyle w:val="AERtabletextright"/>
            </w:pPr>
            <w:r w:rsidRPr="0017781C">
              <w:t xml:space="preserve">                 1,693 </w:t>
            </w:r>
          </w:p>
        </w:tc>
      </w:tr>
      <w:tr w:rsidR="00DA7987" w:rsidTr="00C837B9">
        <w:tc>
          <w:tcPr>
            <w:tcW w:w="2705" w:type="pct"/>
            <w:vAlign w:val="top"/>
          </w:tcPr>
          <w:p w:rsidR="00DA7987" w:rsidRPr="00DA7987" w:rsidRDefault="00DA7987" w:rsidP="00DA7987">
            <w:r w:rsidRPr="0017781C">
              <w:t xml:space="preserve">Interest on opening balance </w:t>
            </w:r>
          </w:p>
        </w:tc>
        <w:tc>
          <w:tcPr>
            <w:tcW w:w="765" w:type="pct"/>
            <w:vAlign w:val="top"/>
          </w:tcPr>
          <w:p w:rsidR="00DA7987" w:rsidRPr="00DA7987" w:rsidRDefault="00DA7987" w:rsidP="00DA7987">
            <w:pPr>
              <w:pStyle w:val="AERtabletextright"/>
            </w:pPr>
            <w:r w:rsidRPr="0017781C">
              <w:t xml:space="preserve">           -   </w:t>
            </w:r>
          </w:p>
        </w:tc>
        <w:tc>
          <w:tcPr>
            <w:tcW w:w="765" w:type="pct"/>
            <w:vAlign w:val="top"/>
          </w:tcPr>
          <w:p w:rsidR="00DA7987" w:rsidRPr="00DA7987" w:rsidRDefault="00DA7987" w:rsidP="00DA7987">
            <w:pPr>
              <w:pStyle w:val="AERtabletextright"/>
            </w:pPr>
            <w:r w:rsidRPr="0017781C">
              <w:t xml:space="preserve">-     45 </w:t>
            </w:r>
          </w:p>
        </w:tc>
        <w:tc>
          <w:tcPr>
            <w:tcW w:w="765" w:type="pct"/>
            <w:vAlign w:val="top"/>
          </w:tcPr>
          <w:p w:rsidR="00DA7987" w:rsidRPr="00DA7987" w:rsidRDefault="00DA7987" w:rsidP="00DA7987">
            <w:pPr>
              <w:pStyle w:val="AERtabletextright"/>
            </w:pPr>
            <w:r w:rsidRPr="0017781C">
              <w:t xml:space="preserve">                    136 </w:t>
            </w: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DA7987" w:rsidP="00DA7987">
            <w:r w:rsidRPr="0017781C">
              <w:t xml:space="preserve">Over/ under recovery for financial year </w:t>
            </w:r>
          </w:p>
        </w:tc>
        <w:tc>
          <w:tcPr>
            <w:tcW w:w="765" w:type="pct"/>
            <w:vAlign w:val="top"/>
          </w:tcPr>
          <w:p w:rsidR="00DA7987" w:rsidRPr="00DA7987" w:rsidRDefault="00DA7987" w:rsidP="00DA7987">
            <w:pPr>
              <w:pStyle w:val="AERtabletextright"/>
            </w:pPr>
            <w:r w:rsidRPr="0017781C">
              <w:t xml:space="preserve">-        495 </w:t>
            </w:r>
          </w:p>
        </w:tc>
        <w:tc>
          <w:tcPr>
            <w:tcW w:w="765" w:type="pct"/>
            <w:vAlign w:val="top"/>
          </w:tcPr>
          <w:p w:rsidR="00DA7987" w:rsidRPr="00DA7987" w:rsidRDefault="00DA7987" w:rsidP="00DA7987">
            <w:pPr>
              <w:pStyle w:val="AERtabletextright"/>
            </w:pPr>
            <w:r w:rsidRPr="0017781C">
              <w:t xml:space="preserve">    2,162 </w:t>
            </w:r>
          </w:p>
        </w:tc>
        <w:tc>
          <w:tcPr>
            <w:tcW w:w="765" w:type="pct"/>
            <w:vAlign w:val="top"/>
          </w:tcPr>
          <w:p w:rsidR="00DA7987" w:rsidRPr="00DA7987" w:rsidRDefault="00DA7987" w:rsidP="00DA7987">
            <w:pPr>
              <w:pStyle w:val="AERtabletextright"/>
            </w:pPr>
            <w:r w:rsidRPr="0017781C">
              <w:t xml:space="preserve">-1,760 </w:t>
            </w:r>
          </w:p>
        </w:tc>
      </w:tr>
      <w:tr w:rsidR="00DA7987" w:rsidTr="00C837B9">
        <w:tc>
          <w:tcPr>
            <w:tcW w:w="2705" w:type="pct"/>
            <w:vAlign w:val="top"/>
          </w:tcPr>
          <w:p w:rsidR="00DA7987" w:rsidRPr="00DA7987" w:rsidRDefault="00DA7987" w:rsidP="00DA7987">
            <w:r w:rsidRPr="0017781C">
              <w:t xml:space="preserve">Interest on over/ under recovery </w:t>
            </w:r>
          </w:p>
        </w:tc>
        <w:tc>
          <w:tcPr>
            <w:tcW w:w="765" w:type="pct"/>
            <w:vAlign w:val="top"/>
          </w:tcPr>
          <w:p w:rsidR="00DA7987" w:rsidRPr="00DA7987" w:rsidRDefault="00DA7987" w:rsidP="00DA7987">
            <w:pPr>
              <w:pStyle w:val="AERtabletextright"/>
            </w:pPr>
            <w:r w:rsidRPr="0017781C">
              <w:t xml:space="preserve">-          22 </w:t>
            </w:r>
          </w:p>
        </w:tc>
        <w:tc>
          <w:tcPr>
            <w:tcW w:w="765" w:type="pct"/>
            <w:vAlign w:val="top"/>
          </w:tcPr>
          <w:p w:rsidR="00DA7987" w:rsidRPr="00DA7987" w:rsidRDefault="00DA7987" w:rsidP="00DA7987">
            <w:pPr>
              <w:pStyle w:val="AERtabletextright"/>
            </w:pPr>
            <w:r w:rsidRPr="0017781C">
              <w:t xml:space="preserve">       93 </w:t>
            </w:r>
          </w:p>
        </w:tc>
        <w:tc>
          <w:tcPr>
            <w:tcW w:w="765" w:type="pct"/>
            <w:vAlign w:val="top"/>
          </w:tcPr>
          <w:p w:rsidR="00DA7987" w:rsidRPr="00DA7987" w:rsidRDefault="00DA7987" w:rsidP="00DA7987">
            <w:pPr>
              <w:pStyle w:val="AERtabletextright"/>
            </w:pPr>
            <w:r w:rsidRPr="0017781C">
              <w:t xml:space="preserve">-69 </w:t>
            </w:r>
          </w:p>
        </w:tc>
      </w:tr>
      <w:tr w:rsidR="00DA7987" w:rsidTr="00C837B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DA7987" w:rsidRPr="00DA7987" w:rsidRDefault="00DA7987" w:rsidP="00DA7987">
            <w:r w:rsidRPr="0017781C">
              <w:t xml:space="preserve">Closing balance </w:t>
            </w:r>
          </w:p>
        </w:tc>
        <w:tc>
          <w:tcPr>
            <w:tcW w:w="765" w:type="pct"/>
            <w:vAlign w:val="top"/>
          </w:tcPr>
          <w:p w:rsidR="00DA7987" w:rsidRPr="00DA7987" w:rsidRDefault="00DA7987" w:rsidP="00DA7987">
            <w:pPr>
              <w:pStyle w:val="AERtabletextright"/>
            </w:pPr>
            <w:r w:rsidRPr="0017781C">
              <w:t xml:space="preserve">-          517 </w:t>
            </w:r>
          </w:p>
        </w:tc>
        <w:tc>
          <w:tcPr>
            <w:tcW w:w="765" w:type="pct"/>
            <w:vAlign w:val="top"/>
          </w:tcPr>
          <w:p w:rsidR="00DA7987" w:rsidRPr="00DA7987" w:rsidRDefault="00DA7987" w:rsidP="00DA7987">
            <w:pPr>
              <w:pStyle w:val="AERtabletextright"/>
            </w:pPr>
            <w:r w:rsidRPr="0017781C">
              <w:t xml:space="preserve">    1,693 </w:t>
            </w:r>
          </w:p>
        </w:tc>
        <w:tc>
          <w:tcPr>
            <w:tcW w:w="765" w:type="pct"/>
            <w:vAlign w:val="top"/>
          </w:tcPr>
          <w:p w:rsidR="00DA7987" w:rsidRPr="00DA7987" w:rsidRDefault="00DA7987" w:rsidP="00DA7987">
            <w:pPr>
              <w:pStyle w:val="AERtabletextright"/>
            </w:pPr>
            <w:r w:rsidRPr="0017781C">
              <w:t xml:space="preserve">0 </w:t>
            </w:r>
          </w:p>
        </w:tc>
      </w:tr>
    </w:tbl>
    <w:p w:rsidR="00DA7987" w:rsidRDefault="00DA7987" w:rsidP="006A0175">
      <w:pPr>
        <w:pStyle w:val="AERnumberedlistfirststyle"/>
        <w:numPr>
          <w:ilvl w:val="0"/>
          <w:numId w:val="0"/>
        </w:numPr>
        <w:ind w:left="357"/>
      </w:pPr>
    </w:p>
    <w:p w:rsidR="00DA7987" w:rsidRDefault="00DA7987" w:rsidP="00DA7987"/>
    <w:p w:rsidR="00DA7987" w:rsidRDefault="00DA7987" w:rsidP="00DA7987"/>
    <w:p w:rsidR="00DA7987" w:rsidRDefault="00DA7987" w:rsidP="00DA7987"/>
    <w:p w:rsidR="00DA7987" w:rsidRDefault="00DA7987" w:rsidP="00DA7987"/>
    <w:p w:rsidR="00DA7987" w:rsidRPr="00B3178E" w:rsidRDefault="00DA7987" w:rsidP="00630871">
      <w:pPr>
        <w:pStyle w:val="Heading7"/>
      </w:pPr>
      <w:bookmarkStart w:id="28" w:name="_Toc404255912"/>
      <w:r w:rsidRPr="00B3178E">
        <w:lastRenderedPageBreak/>
        <w:t xml:space="preserve">Assigning </w:t>
      </w:r>
      <w:r w:rsidR="00C1083C">
        <w:t xml:space="preserve">retail </w:t>
      </w:r>
      <w:r w:rsidRPr="00B3178E">
        <w:t>customers to tariff classes</w:t>
      </w:r>
      <w:bookmarkEnd w:id="28"/>
      <w:r w:rsidRPr="00B3178E">
        <w:t xml:space="preserve"> </w:t>
      </w:r>
    </w:p>
    <w:p w:rsidR="00DA7987" w:rsidRPr="00D823B9" w:rsidRDefault="00DA7987" w:rsidP="00DA7987">
      <w:r>
        <w:t xml:space="preserve">We are </w:t>
      </w:r>
      <w:r w:rsidRPr="00D823B9">
        <w:t xml:space="preserve">required to decide on the principles governing assignment or reassignment of </w:t>
      </w:r>
      <w:r w:rsidR="00C1083C">
        <w:t xml:space="preserve">retail </w:t>
      </w:r>
      <w:r w:rsidRPr="00D823B9">
        <w:t>customers to tariff classes.</w:t>
      </w:r>
      <w:r>
        <w:rPr>
          <w:rStyle w:val="FootnoteReference"/>
        </w:rPr>
        <w:footnoteReference w:id="19"/>
      </w:r>
      <w:r w:rsidRPr="00D823B9">
        <w:t xml:space="preserve"> </w:t>
      </w:r>
      <w:r>
        <w:t>ActewAGL</w:t>
      </w:r>
      <w:r w:rsidRPr="00D823B9">
        <w:t xml:space="preserve"> proposes to assign </w:t>
      </w:r>
      <w:r w:rsidR="00C1083C">
        <w:t xml:space="preserve">retail </w:t>
      </w:r>
      <w:r w:rsidRPr="00D823B9">
        <w:t xml:space="preserve">customers into one of </w:t>
      </w:r>
      <w:r>
        <w:t>three</w:t>
      </w:r>
      <w:r w:rsidRPr="00D823B9">
        <w:t xml:space="preserve"> classes of network users, namely:</w:t>
      </w:r>
    </w:p>
    <w:p w:rsidR="00DA7987" w:rsidRPr="00D823B9" w:rsidRDefault="00DA7987" w:rsidP="00DA7987">
      <w:pPr>
        <w:pStyle w:val="AERbulletlistfirststyle"/>
      </w:pPr>
      <w:r>
        <w:t>Residential</w:t>
      </w:r>
    </w:p>
    <w:p w:rsidR="00DA7987" w:rsidRPr="00D823B9" w:rsidRDefault="00DA7987" w:rsidP="00DA7987">
      <w:pPr>
        <w:pStyle w:val="AERbulletlistfirststyle"/>
      </w:pPr>
      <w:r w:rsidRPr="00D823B9">
        <w:t>Commercial low voltage (LV)</w:t>
      </w:r>
    </w:p>
    <w:p w:rsidR="00DA7987" w:rsidRDefault="00DA7987" w:rsidP="00DA7987">
      <w:pPr>
        <w:pStyle w:val="AERbulletlistfirststyle"/>
      </w:pPr>
      <w:r w:rsidRPr="00D823B9">
        <w:t>High voltage (HV).</w:t>
      </w:r>
      <w:r>
        <w:rPr>
          <w:rStyle w:val="FootnoteReference"/>
        </w:rPr>
        <w:footnoteReference w:id="20"/>
      </w:r>
    </w:p>
    <w:p w:rsidR="00DA7987" w:rsidRDefault="00DA7987" w:rsidP="00DA7987">
      <w:r>
        <w:t>ActewAGL</w:t>
      </w:r>
      <w:r w:rsidRPr="00D823B9">
        <w:t xml:space="preserve"> proposed to assign </w:t>
      </w:r>
      <w:r w:rsidR="00C1083C">
        <w:t xml:space="preserve">retail </w:t>
      </w:r>
      <w:r w:rsidRPr="00D823B9">
        <w:t xml:space="preserve">customers into these classes in accordance with the requirements of the NER by: </w:t>
      </w:r>
    </w:p>
    <w:p w:rsidR="00DA7987" w:rsidRDefault="00DA7987" w:rsidP="00DA7987">
      <w:pPr>
        <w:pStyle w:val="AERbulletlistfirststyle"/>
      </w:pPr>
      <w:r w:rsidRPr="00D823B9">
        <w:t xml:space="preserve">by grouping </w:t>
      </w:r>
      <w:r w:rsidR="00C1083C">
        <w:t xml:space="preserve">retail </w:t>
      </w:r>
      <w:r w:rsidRPr="00D823B9">
        <w:t xml:space="preserve">customers according to type of connection (residential or commercial) </w:t>
      </w:r>
    </w:p>
    <w:p w:rsidR="00DA7987" w:rsidRDefault="00DA7987" w:rsidP="00DA7987">
      <w:pPr>
        <w:pStyle w:val="AERbulletlistfirststyle"/>
      </w:pPr>
      <w:r w:rsidRPr="00D823B9">
        <w:t xml:space="preserve">connection voltage (LV or HV). </w:t>
      </w:r>
    </w:p>
    <w:p w:rsidR="00DA7987" w:rsidRPr="00D823B9" w:rsidRDefault="00C1083C" w:rsidP="00DA7987">
      <w:r>
        <w:t>Retail c</w:t>
      </w:r>
      <w:r w:rsidR="00DA7987" w:rsidRPr="00D823B9">
        <w:t>ustomers within each class have similar load and connection characteristics. The relevant costs for each class can then be identified and reflected in the tariffs for each class.</w:t>
      </w:r>
      <w:r w:rsidR="00DA7987">
        <w:rPr>
          <w:rStyle w:val="FootnoteReference"/>
        </w:rPr>
        <w:footnoteReference w:id="21"/>
      </w:r>
    </w:p>
    <w:p w:rsidR="00DA7987" w:rsidRPr="00D823B9" w:rsidRDefault="00DA7987" w:rsidP="00DA7987">
      <w:r>
        <w:t xml:space="preserve">Our decision on </w:t>
      </w:r>
      <w:r w:rsidRPr="00D823B9">
        <w:t xml:space="preserve">the principles </w:t>
      </w:r>
      <w:r>
        <w:t xml:space="preserve">that ActewAGL </w:t>
      </w:r>
      <w:r w:rsidR="00C1083C">
        <w:t>must adhere to when</w:t>
      </w:r>
      <w:r w:rsidRPr="00D823B9">
        <w:t xml:space="preserve"> assigning </w:t>
      </w:r>
      <w:r w:rsidR="00C1083C">
        <w:t xml:space="preserve">retail </w:t>
      </w:r>
      <w:r w:rsidRPr="00D823B9">
        <w:t>customers to tariff classes</w:t>
      </w:r>
      <w:r>
        <w:t xml:space="preserve"> is outlined below</w:t>
      </w:r>
      <w:r w:rsidRPr="00D823B9">
        <w:t>.</w:t>
      </w:r>
    </w:p>
    <w:p w:rsidR="00DA7987" w:rsidRDefault="00DA7987" w:rsidP="00630871">
      <w:pPr>
        <w:pStyle w:val="Heading8"/>
      </w:pPr>
      <w:bookmarkStart w:id="29" w:name="_Toc404255913"/>
      <w:r>
        <w:t>AER's assessment approach</w:t>
      </w:r>
      <w:bookmarkEnd w:id="29"/>
    </w:p>
    <w:p w:rsidR="00DA7987" w:rsidRDefault="00DA7987" w:rsidP="00DA7987">
      <w:pPr>
        <w:pStyle w:val="AERbodytext"/>
      </w:pPr>
      <w:r>
        <w:t xml:space="preserve">We apply the principles set out in clause 6.18.4 of the NER </w:t>
      </w:r>
      <w:r w:rsidRPr="00813B40">
        <w:t xml:space="preserve">when formulating the provisions which </w:t>
      </w:r>
      <w:r>
        <w:t xml:space="preserve">ActewAGL </w:t>
      </w:r>
      <w:r w:rsidRPr="00813B40">
        <w:t xml:space="preserve">must apply with assignment or re-assigning </w:t>
      </w:r>
      <w:r>
        <w:t xml:space="preserve">retail </w:t>
      </w:r>
      <w:r w:rsidRPr="00813B40">
        <w:t>customers to tariff classes</w:t>
      </w:r>
      <w:r>
        <w:t xml:space="preserve">. </w:t>
      </w:r>
      <w:r w:rsidRPr="00813B40">
        <w:t xml:space="preserve">A </w:t>
      </w:r>
      <w:r>
        <w:t>distributor's</w:t>
      </w:r>
      <w:r w:rsidRPr="00813B40">
        <w:t xml:space="preserve"> decision to assign a </w:t>
      </w:r>
      <w:r>
        <w:t xml:space="preserve">retail </w:t>
      </w:r>
      <w:r w:rsidRPr="00813B40">
        <w:t xml:space="preserve">customer to a particular tariff class or to re-assign a </w:t>
      </w:r>
      <w:r>
        <w:t xml:space="preserve">retail </w:t>
      </w:r>
      <w:r w:rsidRPr="00813B40">
        <w:t>customer from one tariff class to another should be subject to an effective system of assessment and review.</w:t>
      </w:r>
    </w:p>
    <w:p w:rsidR="00E97643" w:rsidRPr="00E97643" w:rsidRDefault="00E97643" w:rsidP="006A0175">
      <w:pPr>
        <w:pStyle w:val="Heading8"/>
      </w:pPr>
      <w:bookmarkStart w:id="30" w:name="_Toc404255914"/>
      <w:r w:rsidRPr="00E97643">
        <w:t>Reasons for draft decision</w:t>
      </w:r>
      <w:bookmarkEnd w:id="30"/>
    </w:p>
    <w:p w:rsidR="00E97643" w:rsidRPr="00E97643" w:rsidRDefault="00E97643" w:rsidP="00E97643">
      <w:r w:rsidRPr="00E97643">
        <w:t>We do not approve ActewAGL's proposed procedure for assigning retail customers to tariff classes because it should be amended to allow retail customers additional protection when they object to being assigned and/or re-assigned to a particular of tariff class.</w:t>
      </w:r>
    </w:p>
    <w:p w:rsidR="00DA7987" w:rsidRDefault="00DA7987" w:rsidP="00630871">
      <w:pPr>
        <w:pStyle w:val="Heading8"/>
      </w:pPr>
      <w:bookmarkStart w:id="31" w:name="_Toc404255915"/>
      <w:r>
        <w:t>Reassignment existing customers to a different tariff class</w:t>
      </w:r>
      <w:bookmarkEnd w:id="31"/>
    </w:p>
    <w:p w:rsidR="00DA7987" w:rsidRDefault="00DA7987" w:rsidP="00DA7987">
      <w:pPr>
        <w:pStyle w:val="AERbodytext"/>
      </w:pPr>
      <w:r>
        <w:t xml:space="preserve">ActewAGL's proposal </w:t>
      </w:r>
      <w:r w:rsidRPr="008B2B18">
        <w:t xml:space="preserve">proposes that </w:t>
      </w:r>
      <w:r>
        <w:t>we</w:t>
      </w:r>
      <w:r w:rsidRPr="008B2B18">
        <w:t xml:space="preserve"> should use the same procedure for assigning and reassigning customers</w:t>
      </w:r>
      <w:r>
        <w:t xml:space="preserve"> </w:t>
      </w:r>
      <w:r w:rsidRPr="008B2B18">
        <w:t>to tariffs as that used during the current regulatory control period.</w:t>
      </w:r>
      <w:r w:rsidR="00E97643">
        <w:rPr>
          <w:rStyle w:val="FootnoteReference"/>
        </w:rPr>
        <w:footnoteReference w:id="22"/>
      </w:r>
      <w:r>
        <w:t xml:space="preserve"> </w:t>
      </w:r>
    </w:p>
    <w:p w:rsidR="00DA7987" w:rsidRDefault="00DA7987" w:rsidP="00DA7987">
      <w:pPr>
        <w:pStyle w:val="AERbodytext"/>
      </w:pPr>
      <w:r w:rsidRPr="00B7767E">
        <w:t xml:space="preserve">We do not approve </w:t>
      </w:r>
      <w:r>
        <w:t>ActewAGL</w:t>
      </w:r>
      <w:r w:rsidRPr="00B7767E">
        <w:t xml:space="preserve">'s proposal </w:t>
      </w:r>
      <w:r>
        <w:t xml:space="preserve">because we consider that the procedure require minor amendments to allow for a more </w:t>
      </w:r>
      <w:r w:rsidRPr="003315BB">
        <w:t>effective system of assessment and review</w:t>
      </w:r>
      <w:r>
        <w:t xml:space="preserve"> in customer assignment and re-assignment</w:t>
      </w:r>
      <w:r w:rsidRPr="003315BB">
        <w:t>.</w:t>
      </w:r>
      <w:r>
        <w:t xml:space="preserve"> </w:t>
      </w:r>
    </w:p>
    <w:p w:rsidR="00DA7987" w:rsidRPr="00301EFB" w:rsidRDefault="00DA7987" w:rsidP="00DA7987">
      <w:pPr>
        <w:pStyle w:val="AERbodytext"/>
      </w:pPr>
      <w:r w:rsidRPr="00301EFB">
        <w:lastRenderedPageBreak/>
        <w:t xml:space="preserve">The procedures to be applied by </w:t>
      </w:r>
      <w:r w:rsidR="00917AF2">
        <w:t>ActewAGL</w:t>
      </w:r>
      <w:r w:rsidRPr="00301EFB">
        <w:t xml:space="preserve"> for assigning retail customers to tariff classes or re-assigning retail customers from one tariff class to another are specified </w:t>
      </w:r>
      <w:r>
        <w:t>below</w:t>
      </w:r>
      <w:r w:rsidRPr="00301EFB">
        <w:t>.</w:t>
      </w:r>
    </w:p>
    <w:p w:rsidR="00DA7987" w:rsidRPr="00BB6021" w:rsidRDefault="00DA7987" w:rsidP="00630871">
      <w:pPr>
        <w:pStyle w:val="Heading8"/>
      </w:pPr>
      <w:bookmarkStart w:id="32" w:name="_Toc404255916"/>
      <w:r w:rsidRPr="00BB6021">
        <w:t xml:space="preserve">Procedures for assigning or reassigning </w:t>
      </w:r>
      <w:r>
        <w:t xml:space="preserve">retail </w:t>
      </w:r>
      <w:r w:rsidRPr="00BB6021">
        <w:t>customers to tariff classes</w:t>
      </w:r>
      <w:bookmarkEnd w:id="32"/>
    </w:p>
    <w:p w:rsidR="00DA7987" w:rsidRPr="00BB6021" w:rsidRDefault="00DA7987" w:rsidP="00DA7987">
      <w:r w:rsidRPr="00BB6021">
        <w:t>The procedures outlined in this section apply to all direct control services.</w:t>
      </w:r>
    </w:p>
    <w:p w:rsidR="00DA7987" w:rsidRPr="00BB6021" w:rsidRDefault="00DA7987" w:rsidP="00DA7987">
      <w:pPr>
        <w:rPr>
          <w:rStyle w:val="AERtextbold"/>
        </w:rPr>
      </w:pPr>
      <w:r w:rsidRPr="00BB6021">
        <w:rPr>
          <w:rStyle w:val="AERtextbold"/>
        </w:rPr>
        <w:t xml:space="preserve">Assignment of existing </w:t>
      </w:r>
      <w:r>
        <w:rPr>
          <w:rStyle w:val="AERtextbold"/>
        </w:rPr>
        <w:t xml:space="preserve">retail </w:t>
      </w:r>
      <w:r w:rsidRPr="00BB6021">
        <w:rPr>
          <w:rStyle w:val="AERtextbold"/>
        </w:rPr>
        <w:t>customers to tariff classes at the commencement of the forthcoming regulatory control period</w:t>
      </w:r>
    </w:p>
    <w:p w:rsidR="00DA7987" w:rsidRPr="00BB6021" w:rsidRDefault="006A0175" w:rsidP="00DA7987">
      <w:pPr>
        <w:pStyle w:val="AERnumberedlistfirststyle"/>
      </w:pPr>
      <w:r>
        <w:t>ActewAGL</w:t>
      </w:r>
      <w:r w:rsidR="00DA7987" w:rsidRPr="00BB6021">
        <w:t xml:space="preserve">'s </w:t>
      </w:r>
      <w:r w:rsidR="00DA7987">
        <w:t xml:space="preserve">retail </w:t>
      </w:r>
      <w:r w:rsidR="00DA7987" w:rsidRPr="00BB6021">
        <w:t xml:space="preserve">customers will be taken to be “assigned” to the tariff class which </w:t>
      </w:r>
      <w:r>
        <w:t>ActewAGL</w:t>
      </w:r>
      <w:r w:rsidR="00DA7987" w:rsidRPr="00BB6021">
        <w:t xml:space="preserve"> was charging that </w:t>
      </w:r>
      <w:r w:rsidR="00DA7987">
        <w:t>retail customer</w:t>
      </w:r>
      <w:r w:rsidR="00DA7987" w:rsidRPr="00BB6021">
        <w:t xml:space="preserve"> immediately prior to 1 July 2015 if:</w:t>
      </w:r>
    </w:p>
    <w:p w:rsidR="00DA7987" w:rsidRPr="00BB6021" w:rsidRDefault="00DA7987" w:rsidP="00DA7987">
      <w:pPr>
        <w:pStyle w:val="AERbulletlistfirststyle"/>
      </w:pPr>
      <w:r w:rsidRPr="00BB6021">
        <w:t xml:space="preserve">they were an </w:t>
      </w:r>
      <w:r w:rsidR="006A0175">
        <w:t>ActewAGL</w:t>
      </w:r>
      <w:r w:rsidRPr="00BB6021">
        <w:t xml:space="preserve"> </w:t>
      </w:r>
      <w:r>
        <w:t>retail customer</w:t>
      </w:r>
      <w:r w:rsidRPr="00BB6021">
        <w:t xml:space="preserve"> prior to 1 July 2015</w:t>
      </w:r>
    </w:p>
    <w:p w:rsidR="00DA7987" w:rsidRPr="00BB6021" w:rsidRDefault="00DA7987" w:rsidP="00DA7987">
      <w:pPr>
        <w:pStyle w:val="AERbulletlistfirststyle"/>
      </w:pPr>
      <w:r w:rsidRPr="00BB6021">
        <w:t xml:space="preserve">continue to be a </w:t>
      </w:r>
      <w:r>
        <w:t>retail customer</w:t>
      </w:r>
      <w:r w:rsidRPr="00BB6021">
        <w:t xml:space="preserve"> of </w:t>
      </w:r>
      <w:r w:rsidR="006A0175">
        <w:t>ActewAGL</w:t>
      </w:r>
      <w:r w:rsidRPr="00BB6021">
        <w:t xml:space="preserve"> as at 1 July 2015.</w:t>
      </w:r>
    </w:p>
    <w:p w:rsidR="00DA7987" w:rsidRPr="00BB6021" w:rsidRDefault="00DA7987" w:rsidP="00DA7987">
      <w:pPr>
        <w:rPr>
          <w:rStyle w:val="AERtextbold"/>
        </w:rPr>
      </w:pPr>
      <w:r w:rsidRPr="00BB6021">
        <w:rPr>
          <w:rStyle w:val="AERtextbold"/>
        </w:rPr>
        <w:t xml:space="preserve">Assignment of new </w:t>
      </w:r>
      <w:r>
        <w:rPr>
          <w:rStyle w:val="AERtextbold"/>
        </w:rPr>
        <w:t>retail customer</w:t>
      </w:r>
      <w:r w:rsidRPr="00BB6021">
        <w:rPr>
          <w:rStyle w:val="AERtextbold"/>
        </w:rPr>
        <w:t>s to a tariff class during the forthcoming regulatory control period</w:t>
      </w:r>
    </w:p>
    <w:p w:rsidR="00DA7987" w:rsidRPr="00BB6021" w:rsidRDefault="00DA7987" w:rsidP="00DA7987">
      <w:pPr>
        <w:pStyle w:val="AERnumberedlistfirststyle"/>
      </w:pPr>
      <w:r w:rsidRPr="00BB6021">
        <w:t xml:space="preserve">If, after 1 July 2015, </w:t>
      </w:r>
      <w:r w:rsidR="006A0175">
        <w:t>ActewAGL</w:t>
      </w:r>
      <w:r w:rsidRPr="00BB6021">
        <w:t xml:space="preserve"> becomes aware that a person will become a </w:t>
      </w:r>
      <w:r>
        <w:t>retail customer</w:t>
      </w:r>
      <w:r w:rsidRPr="00BB6021">
        <w:t xml:space="preserve"> of </w:t>
      </w:r>
      <w:r w:rsidR="006A0175">
        <w:t>ActewAGL</w:t>
      </w:r>
      <w:r w:rsidRPr="00BB6021">
        <w:t xml:space="preserve">, then </w:t>
      </w:r>
      <w:r w:rsidR="006A0175">
        <w:t>ActewAGL</w:t>
      </w:r>
      <w:r w:rsidRPr="00BB6021">
        <w:t xml:space="preserve"> must determine the tariff class to which the new </w:t>
      </w:r>
      <w:r>
        <w:t>retail customer</w:t>
      </w:r>
      <w:r w:rsidRPr="00BB6021">
        <w:t xml:space="preserve"> will be assigned.</w:t>
      </w:r>
    </w:p>
    <w:p w:rsidR="00DA7987" w:rsidRPr="00BB6021" w:rsidRDefault="00DA7987" w:rsidP="00DA7987">
      <w:pPr>
        <w:pStyle w:val="AERnumberedlistfirststyle"/>
      </w:pPr>
      <w:r w:rsidRPr="00BB6021">
        <w:t xml:space="preserve">In determining the tariff class to which a </w:t>
      </w:r>
      <w:r>
        <w:t>retail customer</w:t>
      </w:r>
      <w:r w:rsidRPr="00BB6021">
        <w:t xml:space="preserve"> or potential </w:t>
      </w:r>
      <w:r>
        <w:t>retail customer</w:t>
      </w:r>
      <w:r w:rsidRPr="00BB6021">
        <w:t xml:space="preserve"> will be assigned, or reassigned, in accordance with paragraphs 2 or 5 of this section, </w:t>
      </w:r>
      <w:r w:rsidR="006A0175">
        <w:t>ActewAGL</w:t>
      </w:r>
      <w:r w:rsidRPr="00BB6021">
        <w:t xml:space="preserve"> must take into account one or more of the following factors:</w:t>
      </w:r>
      <w:r w:rsidRPr="00BB6021">
        <w:rPr>
          <w:rStyle w:val="FootnoteReference"/>
        </w:rPr>
        <w:footnoteReference w:id="23"/>
      </w:r>
      <w:r w:rsidRPr="00BB6021">
        <w:t xml:space="preserve"> </w:t>
      </w:r>
    </w:p>
    <w:p w:rsidR="00DA7987" w:rsidRPr="00BB6021" w:rsidRDefault="00DA7987" w:rsidP="00DA7987">
      <w:pPr>
        <w:pStyle w:val="AERnumberedlistsecondstyle"/>
      </w:pPr>
      <w:r w:rsidRPr="00BB6021">
        <w:t xml:space="preserve">the nature and extent of the </w:t>
      </w:r>
      <w:r>
        <w:t>retail customer</w:t>
      </w:r>
      <w:r w:rsidRPr="00BB6021">
        <w:t>’s usage</w:t>
      </w:r>
    </w:p>
    <w:p w:rsidR="00DA7987" w:rsidRPr="00BB6021" w:rsidRDefault="00DA7987" w:rsidP="00DA7987">
      <w:pPr>
        <w:pStyle w:val="AERnumberedlistsecondstyle"/>
      </w:pPr>
      <w:r w:rsidRPr="00BB6021">
        <w:t xml:space="preserve">the nature of the </w:t>
      </w:r>
      <w:r>
        <w:t>retail customer</w:t>
      </w:r>
      <w:r w:rsidRPr="00BB6021">
        <w:t>’s connection to the network</w:t>
      </w:r>
      <w:r w:rsidRPr="00BB6021">
        <w:rPr>
          <w:rStyle w:val="FootnoteReference"/>
        </w:rPr>
        <w:footnoteReference w:id="24"/>
      </w:r>
      <w:r w:rsidRPr="00BB6021">
        <w:t xml:space="preserve">   </w:t>
      </w:r>
    </w:p>
    <w:p w:rsidR="00DA7987" w:rsidRPr="00BB6021" w:rsidRDefault="00DA7987" w:rsidP="00DA7987">
      <w:pPr>
        <w:pStyle w:val="AERnumberedlistsecondstyle"/>
      </w:pPr>
      <w:r w:rsidRPr="00BB6021">
        <w:t xml:space="preserve">whether remotely-read interval metering or other similar metering technology has been installed at the </w:t>
      </w:r>
      <w:r>
        <w:t>retail customer</w:t>
      </w:r>
      <w:r w:rsidRPr="00BB6021">
        <w:t>'s premises as a result of a regulatory obligation or requirement.</w:t>
      </w:r>
    </w:p>
    <w:p w:rsidR="00DA7987" w:rsidRPr="00BB6021" w:rsidRDefault="00DA7987" w:rsidP="00DA7987">
      <w:pPr>
        <w:pStyle w:val="AERnumberedlistfirststyle"/>
      </w:pPr>
      <w:r w:rsidRPr="00BB6021">
        <w:t xml:space="preserve">In addition to the requirements of paragraph 3 above, </w:t>
      </w:r>
      <w:r w:rsidR="006A0175">
        <w:t>ActewAGL</w:t>
      </w:r>
      <w:r w:rsidRPr="00BB6021">
        <w:t xml:space="preserve">, when assigning or reassigning a </w:t>
      </w:r>
      <w:r>
        <w:t>retail customer</w:t>
      </w:r>
      <w:r w:rsidRPr="00BB6021">
        <w:t xml:space="preserve"> to a tariff class, must ensure:</w:t>
      </w:r>
    </w:p>
    <w:p w:rsidR="00DA7987" w:rsidRPr="00BB6021" w:rsidRDefault="00DA7987" w:rsidP="00DA7987">
      <w:pPr>
        <w:pStyle w:val="AERnumberedlistsecondstyle"/>
      </w:pPr>
      <w:r>
        <w:t>retail customer</w:t>
      </w:r>
      <w:r w:rsidRPr="00BB6021">
        <w:t>s with similar connection and usage profiles are treated equally</w:t>
      </w:r>
      <w:r w:rsidRPr="00BB6021">
        <w:rPr>
          <w:rStyle w:val="FootnoteReference"/>
        </w:rPr>
        <w:footnoteReference w:id="25"/>
      </w:r>
      <w:r w:rsidRPr="00BB6021">
        <w:t xml:space="preserve"> </w:t>
      </w:r>
    </w:p>
    <w:p w:rsidR="00DA7987" w:rsidRPr="00BB6021" w:rsidRDefault="00DA7987" w:rsidP="00DA7987">
      <w:pPr>
        <w:pStyle w:val="AERnumberedlistsecondstyle"/>
      </w:pPr>
      <w:r>
        <w:t>retail customer</w:t>
      </w:r>
      <w:r w:rsidRPr="00BB6021">
        <w:t xml:space="preserve">s who have micro–generation facilities are not treated less favourably than </w:t>
      </w:r>
      <w:r>
        <w:t>retail customer</w:t>
      </w:r>
      <w:r w:rsidRPr="00BB6021">
        <w:t>s with similar load profiles without such facilities.</w:t>
      </w:r>
      <w:r w:rsidRPr="00BB6021">
        <w:rPr>
          <w:rStyle w:val="FootnoteReference"/>
        </w:rPr>
        <w:footnoteReference w:id="26"/>
      </w:r>
      <w:r w:rsidRPr="00BB6021">
        <w:t xml:space="preserve"> </w:t>
      </w:r>
    </w:p>
    <w:p w:rsidR="00DA7987" w:rsidRDefault="00DA7987" w:rsidP="00DA7987">
      <w:pPr>
        <w:rPr>
          <w:rStyle w:val="AERtextbold"/>
        </w:rPr>
      </w:pPr>
      <w:r w:rsidRPr="00BB6021">
        <w:rPr>
          <w:rStyle w:val="AERtextbold"/>
        </w:rPr>
        <w:t xml:space="preserve">Reassignment of existing </w:t>
      </w:r>
      <w:r>
        <w:rPr>
          <w:rStyle w:val="AERtextbold"/>
        </w:rPr>
        <w:t>retail customer</w:t>
      </w:r>
      <w:r w:rsidRPr="00BB6021">
        <w:rPr>
          <w:rStyle w:val="AERtextbold"/>
        </w:rPr>
        <w:t>s to another existing or a new tariff during the next regulatory control period</w:t>
      </w:r>
    </w:p>
    <w:p w:rsidR="00DA7987" w:rsidRPr="00BB6021" w:rsidRDefault="006A0175" w:rsidP="00DA7987">
      <w:pPr>
        <w:pStyle w:val="AERnumberedlistfirststyle"/>
      </w:pPr>
      <w:r>
        <w:t>ActewAGL</w:t>
      </w:r>
      <w:r w:rsidR="00DA7987" w:rsidRPr="00BB6021">
        <w:t xml:space="preserve"> may reassign a </w:t>
      </w:r>
      <w:r w:rsidR="00DA7987">
        <w:t>retail customer</w:t>
      </w:r>
      <w:r w:rsidR="00DA7987" w:rsidRPr="00BB6021">
        <w:t xml:space="preserve"> to another tariff class if the existing </w:t>
      </w:r>
      <w:r w:rsidR="00DA7987">
        <w:t>retail customer</w:t>
      </w:r>
      <w:r w:rsidR="00DA7987" w:rsidRPr="00BB6021">
        <w:t xml:space="preserve">'s load characteristics or connection characteristics (or both) have changed such that it is no longer </w:t>
      </w:r>
      <w:r w:rsidR="00DA7987" w:rsidRPr="00BB6021">
        <w:lastRenderedPageBreak/>
        <w:t xml:space="preserve">appropriate for that </w:t>
      </w:r>
      <w:r w:rsidR="00DA7987">
        <w:t>retail customer</w:t>
      </w:r>
      <w:r w:rsidR="00DA7987" w:rsidRPr="00BB6021">
        <w:t xml:space="preserve"> to be assigned to the tariff class to which the </w:t>
      </w:r>
      <w:r w:rsidR="00DA7987">
        <w:t>retail customer</w:t>
      </w:r>
      <w:r w:rsidR="00DA7987" w:rsidRPr="00BB6021">
        <w:t xml:space="preserve"> is currently assigned or a </w:t>
      </w:r>
      <w:r w:rsidR="00DA7987">
        <w:t>retail customer</w:t>
      </w:r>
      <w:r w:rsidR="00DA7987" w:rsidRPr="00BB6021">
        <w:t xml:space="preserve"> no longer has the same or materially similar load or connection characteristics as other </w:t>
      </w:r>
      <w:r w:rsidR="00DA7987">
        <w:t>retail customer</w:t>
      </w:r>
      <w:r w:rsidR="00DA7987" w:rsidRPr="00BB6021">
        <w:t xml:space="preserve">s on the </w:t>
      </w:r>
      <w:r w:rsidR="00DA7987">
        <w:t>retail customer</w:t>
      </w:r>
      <w:r w:rsidR="00DA7987" w:rsidRPr="00BB6021">
        <w:t xml:space="preserve">’s existing tariff class, then it may reassign that </w:t>
      </w:r>
      <w:r w:rsidR="00DA7987">
        <w:t>retail customer</w:t>
      </w:r>
      <w:r w:rsidR="00DA7987" w:rsidRPr="00BB6021">
        <w:t xml:space="preserve"> to another tariff class. In determining the tariff class to which a </w:t>
      </w:r>
      <w:r w:rsidR="00DA7987">
        <w:t>retail customer</w:t>
      </w:r>
      <w:r w:rsidR="00DA7987" w:rsidRPr="00BB6021">
        <w:t xml:space="preserve"> will be reassigned, </w:t>
      </w:r>
      <w:r>
        <w:t>ActewAGL</w:t>
      </w:r>
      <w:r w:rsidR="00DA7987" w:rsidRPr="00BB6021">
        <w:t xml:space="preserve"> must take into account paragraphs 3 and 4 above.</w:t>
      </w:r>
    </w:p>
    <w:p w:rsidR="00DA7987" w:rsidRPr="00BB6021" w:rsidRDefault="00DA7987" w:rsidP="00DA7987">
      <w:pPr>
        <w:rPr>
          <w:rStyle w:val="AERtextbold"/>
        </w:rPr>
      </w:pPr>
      <w:r w:rsidRPr="00BB6021">
        <w:rPr>
          <w:rStyle w:val="AERtextbold"/>
        </w:rPr>
        <w:t>Objections to proposed assignments and reassignments</w:t>
      </w:r>
    </w:p>
    <w:p w:rsidR="00DA7987" w:rsidRPr="00BB6021" w:rsidRDefault="006A0175" w:rsidP="00DA7987">
      <w:pPr>
        <w:pStyle w:val="AERnumberedlistfirststyle"/>
      </w:pPr>
      <w:r>
        <w:t>ActewAGL</w:t>
      </w:r>
      <w:r w:rsidR="00DA7987" w:rsidRPr="00BB6021">
        <w:t xml:space="preserve"> must notify a </w:t>
      </w:r>
      <w:r w:rsidR="00DA7987">
        <w:t>retail customer</w:t>
      </w:r>
      <w:r w:rsidR="00DA7987" w:rsidRPr="00BB6021">
        <w:t xml:space="preserve"> in writing of the tariff class to which the </w:t>
      </w:r>
      <w:r w:rsidR="00DA7987">
        <w:t>retail customer</w:t>
      </w:r>
      <w:r w:rsidR="00DA7987" w:rsidRPr="00BB6021">
        <w:t xml:space="preserve"> has been assigned or reassigned, prior to the assignment or reassignment occurring.</w:t>
      </w:r>
    </w:p>
    <w:p w:rsidR="00DA7987" w:rsidRPr="00BB6021" w:rsidRDefault="00DA7987" w:rsidP="00DA7987">
      <w:pPr>
        <w:pStyle w:val="AERnumberedlistfirststyle"/>
      </w:pPr>
      <w:r w:rsidRPr="00BB6021">
        <w:t xml:space="preserve">A notice under paragraph 6 above must include advice informing the </w:t>
      </w:r>
      <w:r>
        <w:t>retail customer</w:t>
      </w:r>
      <w:r w:rsidRPr="00BB6021">
        <w:t xml:space="preserve"> that they may request further information from </w:t>
      </w:r>
      <w:r w:rsidR="006A0175">
        <w:t>ActewAGL</w:t>
      </w:r>
      <w:r w:rsidRPr="00BB6021">
        <w:t xml:space="preserve"> and that the </w:t>
      </w:r>
      <w:r>
        <w:t>retail customer</w:t>
      </w:r>
      <w:r w:rsidRPr="00BB6021">
        <w:t xml:space="preserve"> may object to the proposed reassignment. This notice must specifically include:</w:t>
      </w:r>
    </w:p>
    <w:p w:rsidR="00DA7987" w:rsidRPr="00BB6021" w:rsidRDefault="00DA7987" w:rsidP="00DA7987">
      <w:pPr>
        <w:pStyle w:val="AERnumberedlistsecondstyle"/>
      </w:pPr>
      <w:r w:rsidRPr="00BB6021">
        <w:t xml:space="preserve">a </w:t>
      </w:r>
      <w:r>
        <w:t xml:space="preserve">written document describing </w:t>
      </w:r>
      <w:r w:rsidR="006A0175">
        <w:t>ActewAGL</w:t>
      </w:r>
      <w:r w:rsidRPr="00BB6021">
        <w:t>’s internal procedures for reviewing objections</w:t>
      </w:r>
      <w:r>
        <w:t>, if the retail customer provides express consent, a soft copy of such information via email</w:t>
      </w:r>
    </w:p>
    <w:p w:rsidR="00DA7987" w:rsidRPr="00BB6021" w:rsidRDefault="00DA7987" w:rsidP="00DA7987">
      <w:pPr>
        <w:pStyle w:val="AERnumberedlistsecondstyle"/>
      </w:pPr>
      <w:r w:rsidRPr="00BB6021">
        <w:t xml:space="preserve">that if the objection is not resolved to the satisfaction of the </w:t>
      </w:r>
      <w:r>
        <w:t>retail customer</w:t>
      </w:r>
      <w:r w:rsidRPr="00BB6021">
        <w:t xml:space="preserve"> under </w:t>
      </w:r>
      <w:r w:rsidR="006A0175">
        <w:t>ActewAGL</w:t>
      </w:r>
      <w:r w:rsidRPr="00BB6021">
        <w:t>’s internal review system</w:t>
      </w:r>
      <w:r>
        <w:t xml:space="preserve"> within a reasonable timeframe</w:t>
      </w:r>
      <w:r w:rsidRPr="00BB6021">
        <w:t>, then</w:t>
      </w:r>
      <w:r>
        <w:t>,</w:t>
      </w:r>
      <w:r w:rsidRPr="00BB6021">
        <w:t xml:space="preserve"> to the extent resolution of such disputes are within the jurisdiction of the Energy and Water Ombudsman</w:t>
      </w:r>
      <w:r>
        <w:t xml:space="preserve"> or like officer,</w:t>
      </w:r>
      <w:r w:rsidRPr="00BB6021">
        <w:t xml:space="preserve"> the </w:t>
      </w:r>
      <w:r>
        <w:t>retail customer</w:t>
      </w:r>
      <w:r w:rsidRPr="00BB6021">
        <w:t xml:space="preserve"> is entitled to escalate the matter to such a body</w:t>
      </w:r>
    </w:p>
    <w:p w:rsidR="00DA7987" w:rsidRPr="00BB6021" w:rsidRDefault="00DA7987" w:rsidP="00DA7987">
      <w:pPr>
        <w:pStyle w:val="AERnumberedlistsecondstyle"/>
      </w:pPr>
      <w:r w:rsidRPr="00BB6021">
        <w:t xml:space="preserve">that if the objection is not resolved to the satisfaction of the </w:t>
      </w:r>
      <w:r>
        <w:t>retail customer</w:t>
      </w:r>
      <w:r w:rsidRPr="00BB6021">
        <w:t xml:space="preserve"> under </w:t>
      </w:r>
      <w:r w:rsidR="006A0175">
        <w:t>ActewAGL</w:t>
      </w:r>
      <w:r w:rsidRPr="00BB6021">
        <w:t xml:space="preserve">’s internal review system and the body noted in clause 7.b. above, then the </w:t>
      </w:r>
      <w:r>
        <w:t>retail customer</w:t>
      </w:r>
      <w:r w:rsidRPr="00BB6021">
        <w:t xml:space="preserve"> is entitled to seek a decision of the AER via the dispute resolution process available under Part 10 of the NEL.</w:t>
      </w:r>
    </w:p>
    <w:p w:rsidR="00DA7987" w:rsidRPr="00BB6021" w:rsidRDefault="00DA7987" w:rsidP="00DA7987">
      <w:pPr>
        <w:pStyle w:val="AERnumberedlistfirststyle"/>
      </w:pPr>
      <w:r w:rsidRPr="00BB6021">
        <w:t xml:space="preserve">If, in response to a notice issued in accordance with paragraph 7 above, </w:t>
      </w:r>
      <w:r w:rsidR="006A0175">
        <w:t>ActewAGL</w:t>
      </w:r>
      <w:r w:rsidRPr="00BB6021">
        <w:t xml:space="preserve"> receives a request for further information from a </w:t>
      </w:r>
      <w:r>
        <w:t>retail customer</w:t>
      </w:r>
      <w:r w:rsidRPr="00BB6021">
        <w:t>, then it must provide such information</w:t>
      </w:r>
      <w:r>
        <w:t xml:space="preserve"> within a reasonable timeframe</w:t>
      </w:r>
      <w:r w:rsidRPr="00BB6021">
        <w:t xml:space="preserve">. If </w:t>
      </w:r>
      <w:r w:rsidR="006A0175">
        <w:t>ActewAGL</w:t>
      </w:r>
      <w:r>
        <w:t xml:space="preserve"> reasonably claims confidentiality over </w:t>
      </w:r>
      <w:r w:rsidRPr="00BB6021">
        <w:t xml:space="preserve">any of the information requested by the </w:t>
      </w:r>
      <w:r>
        <w:t>retail customer,</w:t>
      </w:r>
      <w:r w:rsidRPr="00BB6021">
        <w:t xml:space="preserve"> then it is not required to provide that information to the </w:t>
      </w:r>
      <w:r>
        <w:t>retail customer</w:t>
      </w:r>
      <w:r w:rsidRPr="00BB6021">
        <w:t>.</w:t>
      </w:r>
      <w:r>
        <w:t xml:space="preserve"> If the retail customer disagrees with such confidentiality claims, he or she may have resort to the dispute resolution procedures referred to in sections 7(a)—(b) above, mutatis mutandis.</w:t>
      </w:r>
    </w:p>
    <w:p w:rsidR="00DA7987" w:rsidRPr="00BB6021" w:rsidRDefault="00DA7987" w:rsidP="00DA7987">
      <w:pPr>
        <w:pStyle w:val="AERnumberedlistfirststyle"/>
      </w:pPr>
      <w:r w:rsidRPr="00BB6021">
        <w:t xml:space="preserve">If, in response to a notice issued in accordance with paragraph 7 above, a </w:t>
      </w:r>
      <w:r>
        <w:t>retail customer</w:t>
      </w:r>
      <w:r w:rsidRPr="00BB6021">
        <w:t xml:space="preserve"> makes an objection to </w:t>
      </w:r>
      <w:r w:rsidR="006A0175">
        <w:t>ActewAGL</w:t>
      </w:r>
      <w:r w:rsidRPr="00BB6021">
        <w:t xml:space="preserve"> about the proposed assignment or reassignment, </w:t>
      </w:r>
      <w:r w:rsidR="006A0175">
        <w:t>ActewAGL</w:t>
      </w:r>
      <w:r w:rsidRPr="00BB6021">
        <w:t xml:space="preserve"> must reconsider the proposed assignment or reassignment. In doing so </w:t>
      </w:r>
      <w:r w:rsidR="006A0175">
        <w:t>ActewAGL</w:t>
      </w:r>
      <w:r w:rsidRPr="00BB6021">
        <w:t xml:space="preserve"> must take into consideration the factors in paragraphs 3 and 4 above, and notify the </w:t>
      </w:r>
      <w:r>
        <w:t>retail customer</w:t>
      </w:r>
      <w:r w:rsidRPr="00BB6021">
        <w:t xml:space="preserve"> in writing of its decision and the reasons for that decision.</w:t>
      </w:r>
    </w:p>
    <w:p w:rsidR="00DA7987" w:rsidRPr="00BB6021" w:rsidRDefault="00DA7987" w:rsidP="00DA7987">
      <w:pPr>
        <w:pStyle w:val="AERnumberedlistfirststyle"/>
      </w:pPr>
      <w:r w:rsidRPr="00BB6021">
        <w:t xml:space="preserve">If a </w:t>
      </w:r>
      <w:r>
        <w:t>retail customer</w:t>
      </w:r>
      <w:r w:rsidRPr="00BB6021">
        <w:t xml:space="preserve">’s objection to a tariff class assignment or reassignment is upheld by the relevant body noted in paragraph 7 b and c above, then any adjustment which needs to be made to tariffs will be done by </w:t>
      </w:r>
      <w:r w:rsidR="006A0175">
        <w:t>ActewAGL</w:t>
      </w:r>
      <w:r w:rsidRPr="00BB6021">
        <w:t xml:space="preserve"> as part of the next annual review of prices.</w:t>
      </w:r>
    </w:p>
    <w:p w:rsidR="00DA7987" w:rsidRPr="00BB6021" w:rsidRDefault="00DA7987" w:rsidP="00DA7987">
      <w:pPr>
        <w:pStyle w:val="AERnumberedlistfirststyle"/>
      </w:pPr>
      <w:r w:rsidRPr="00BB6021">
        <w:t xml:space="preserve">If a </w:t>
      </w:r>
      <w:r>
        <w:t>retail customer</w:t>
      </w:r>
      <w:r w:rsidRPr="00BB6021">
        <w:t xml:space="preserve"> objects to </w:t>
      </w:r>
      <w:r w:rsidR="006A0175">
        <w:t>ActewAGL</w:t>
      </w:r>
      <w:r w:rsidRPr="00BB6021">
        <w:t xml:space="preserve">'s tariff class assignment </w:t>
      </w:r>
      <w:r w:rsidR="006A0175">
        <w:t>ActewAGL</w:t>
      </w:r>
      <w:r w:rsidRPr="00BB6021">
        <w:t xml:space="preserve"> must provide the information set out in paragraph 7 above and adopt and comply with the arrangements set out in paragraphs 8, 9 and 10 above in respect of requests for further information by the </w:t>
      </w:r>
      <w:r>
        <w:t>retail customer</w:t>
      </w:r>
      <w:r w:rsidRPr="00BB6021">
        <w:t xml:space="preserve"> and resolution of the objection. </w:t>
      </w:r>
    </w:p>
    <w:p w:rsidR="00DA7987" w:rsidRPr="00BB6021" w:rsidRDefault="00DA7987" w:rsidP="00DA7987">
      <w:pPr>
        <w:rPr>
          <w:rStyle w:val="AERtextbold"/>
        </w:rPr>
      </w:pPr>
      <w:r w:rsidRPr="00BB6021">
        <w:rPr>
          <w:rStyle w:val="AERtextbold"/>
        </w:rPr>
        <w:t xml:space="preserve">System of assessment and review of the basis on which a </w:t>
      </w:r>
      <w:r>
        <w:rPr>
          <w:rStyle w:val="AERtextbold"/>
        </w:rPr>
        <w:t>retail customer</w:t>
      </w:r>
      <w:r w:rsidRPr="00BB6021">
        <w:rPr>
          <w:rStyle w:val="AERtextbold"/>
        </w:rPr>
        <w:t xml:space="preserve"> is charged</w:t>
      </w:r>
    </w:p>
    <w:p w:rsidR="00DA7987" w:rsidRPr="00BB6021" w:rsidRDefault="00DA7987" w:rsidP="00DA7987">
      <w:pPr>
        <w:pStyle w:val="AERnumberedlistfirststyle"/>
      </w:pPr>
      <w:r w:rsidRPr="00BB6021">
        <w:lastRenderedPageBreak/>
        <w:t xml:space="preserve">Where the charging parameters for a particular tariff result in a basis of charge varies according to the </w:t>
      </w:r>
      <w:r>
        <w:t>retail customer</w:t>
      </w:r>
      <w:r w:rsidRPr="00BB6021">
        <w:t xml:space="preserve">’s usage or load profile, </w:t>
      </w:r>
      <w:r w:rsidR="006A0175">
        <w:t>ActewAGL</w:t>
      </w:r>
      <w:r w:rsidRPr="00BB6021">
        <w:t xml:space="preserve"> must set out in its annual pricing proposal a method by which it will review and assess the basis on which a </w:t>
      </w:r>
      <w:r>
        <w:t>retail customer</w:t>
      </w:r>
      <w:r w:rsidRPr="00BB6021">
        <w:t xml:space="preserve"> is charged.</w:t>
      </w:r>
    </w:p>
    <w:p w:rsidR="00DA7987" w:rsidRPr="00BB6021" w:rsidRDefault="00DA7987" w:rsidP="00DA7987">
      <w:pPr>
        <w:pStyle w:val="AERnumberedlistfirststyle"/>
      </w:pPr>
      <w:r w:rsidRPr="00BB6021">
        <w:t xml:space="preserve">If the AER considers the method provided under paragraph 12 above does not provide for an appropriate system of assessment and review by </w:t>
      </w:r>
      <w:r w:rsidR="006A0175">
        <w:t>ActewAGL</w:t>
      </w:r>
      <w:r w:rsidRPr="00BB6021">
        <w:t xml:space="preserve"> of the basis on which a </w:t>
      </w:r>
      <w:r>
        <w:t>retail customer</w:t>
      </w:r>
      <w:r w:rsidRPr="00BB6021">
        <w:t xml:space="preserve"> is charged, the AER may, at any time, request additional information or request </w:t>
      </w:r>
      <w:r w:rsidR="006A0175">
        <w:t>ActewAGL</w:t>
      </w:r>
      <w:r w:rsidRPr="00BB6021">
        <w:t xml:space="preserve"> to submit a revised pricing method.</w:t>
      </w:r>
    </w:p>
    <w:p w:rsidR="00DA7987" w:rsidRPr="00BB6021" w:rsidRDefault="00DA7987" w:rsidP="00DA7987">
      <w:pPr>
        <w:pStyle w:val="AERnumberedlistfirststyle"/>
      </w:pPr>
      <w:r w:rsidRPr="00BB6021">
        <w:t xml:space="preserve">If the AER considers </w:t>
      </w:r>
      <w:r w:rsidR="006A0175">
        <w:t>ActewAGL</w:t>
      </w:r>
      <w:r w:rsidRPr="00BB6021">
        <w:t xml:space="preserve">'s method for reviewing and assessing the basis on which a </w:t>
      </w:r>
      <w:r>
        <w:t>retail customer</w:t>
      </w:r>
      <w:r w:rsidRPr="00BB6021">
        <w:t xml:space="preserve"> is charged, provided in accordance with paragraph 12 and 13 above, is not reasonable it will advise </w:t>
      </w:r>
      <w:r w:rsidR="006A0175">
        <w:t>ActewAGL</w:t>
      </w:r>
      <w:r w:rsidRPr="00BB6021">
        <w:t xml:space="preserve"> in writing.</w:t>
      </w:r>
    </w:p>
    <w:p w:rsidR="00DA7987" w:rsidRPr="00BB6021" w:rsidRDefault="00DA7987" w:rsidP="00DA7987"/>
    <w:p w:rsidR="00DA7987" w:rsidRPr="00685CB3" w:rsidRDefault="00DA7987" w:rsidP="00DA7987"/>
    <w:p w:rsidR="00DA7987" w:rsidRPr="00685CB3" w:rsidRDefault="00DA7987" w:rsidP="00DA7987"/>
    <w:p w:rsidR="00DA7987" w:rsidRPr="00685CB3" w:rsidRDefault="00DA7987" w:rsidP="00DA7987"/>
    <w:p w:rsidR="00DA7987" w:rsidRPr="00BB2CCA" w:rsidRDefault="00DA7987" w:rsidP="00F11595">
      <w:pPr>
        <w:pStyle w:val="AERbodytext"/>
        <w:rPr>
          <w:rStyle w:val="AERbody"/>
        </w:rPr>
      </w:pPr>
    </w:p>
    <w:sectPr w:rsidR="00DA7987" w:rsidRPr="00BB2CCA" w:rsidSect="00EE72C2">
      <w:footerReference w:type="even" r:id="rId73"/>
      <w:footerReference w:type="default" r:id="rId74"/>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063" w:rsidRPr="00AB4345" w:rsidRDefault="006B0063" w:rsidP="00AB4345">
      <w:r>
        <w:separator/>
      </w:r>
    </w:p>
  </w:endnote>
  <w:endnote w:type="continuationSeparator" w:id="0">
    <w:p w:rsidR="006B0063" w:rsidRPr="00AB4345" w:rsidRDefault="006B0063"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6B0063" w:rsidRPr="00824CC8" w:rsidRDefault="006B0063" w:rsidP="00824CC8">
        <w:pPr>
          <w:pStyle w:val="Footer"/>
        </w:pPr>
        <w:r w:rsidRPr="00824CC8">
          <w:fldChar w:fldCharType="begin"/>
        </w:r>
        <w:r w:rsidRPr="00824CC8">
          <w:instrText xml:space="preserve"> PAGE   \* MERGEFORMAT </w:instrText>
        </w:r>
        <w:r w:rsidRPr="00824CC8">
          <w:fldChar w:fldCharType="separate"/>
        </w:r>
        <w:r w:rsidR="003737A8">
          <w:rPr>
            <w:noProof/>
          </w:rPr>
          <w:t>14-24</w:t>
        </w:r>
        <w:r w:rsidRPr="00824CC8">
          <w:fldChar w:fldCharType="end"/>
        </w:r>
        <w:r w:rsidRPr="00824CC8">
          <w:tab/>
        </w:r>
        <w:r w:rsidRPr="00EE72C2">
          <w:rPr>
            <w:rStyle w:val="AERbody"/>
          </w:rPr>
          <w:t>Attachment 14: Control mechanisms</w:t>
        </w:r>
        <w:r w:rsidRPr="00824CC8">
          <w:rPr>
            <w:rStyle w:val="AERbody"/>
          </w:rPr>
          <w:t xml:space="preserve"> | </w:t>
        </w:r>
        <w:r>
          <w:rPr>
            <w:rStyle w:val="AERbody"/>
          </w:rPr>
          <w:t>ActewAGL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63" w:rsidRPr="00824CC8" w:rsidRDefault="006B0063" w:rsidP="00824CC8">
    <w:pPr>
      <w:pStyle w:val="Footer"/>
      <w:rPr>
        <w:rStyle w:val="AERbody"/>
      </w:rPr>
    </w:pPr>
    <w:r>
      <w:rPr>
        <w:rStyle w:val="AERbody"/>
      </w:rPr>
      <w:t>ActewAGL draft decision</w:t>
    </w:r>
    <w:r w:rsidRPr="00210880">
      <w:rPr>
        <w:rStyle w:val="AERbody"/>
      </w:rPr>
      <w:t xml:space="preserve"> | </w:t>
    </w:r>
    <w:r w:rsidRPr="00EE72C2">
      <w:rPr>
        <w:rStyle w:val="AERbody"/>
      </w:rPr>
      <w:t>Attachment 14: Control mechanisms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3737A8">
      <w:rPr>
        <w:rStyle w:val="AERbody"/>
        <w:noProof/>
      </w:rPr>
      <w:t>14-23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063" w:rsidRPr="00AB4345" w:rsidRDefault="006B0063" w:rsidP="00AB4345">
      <w:r>
        <w:separator/>
      </w:r>
    </w:p>
  </w:footnote>
  <w:footnote w:type="continuationSeparator" w:id="0">
    <w:p w:rsidR="006B0063" w:rsidRPr="00AB4345" w:rsidRDefault="006B0063" w:rsidP="00AB4345">
      <w:r>
        <w:continuationSeparator/>
      </w:r>
    </w:p>
  </w:footnote>
  <w:footnote w:id="1">
    <w:p w:rsidR="006B0063" w:rsidRDefault="006B0063" w:rsidP="00C837B9">
      <w:pPr>
        <w:pStyle w:val="FootnoteText"/>
      </w:pPr>
      <w:r>
        <w:rPr>
          <w:rStyle w:val="FootnoteReference"/>
        </w:rPr>
        <w:footnoteRef/>
      </w:r>
      <w:r>
        <w:t xml:space="preserve"> </w:t>
      </w:r>
      <w:r>
        <w:tab/>
        <w:t xml:space="preserve">AER, </w:t>
      </w:r>
      <w:r w:rsidRPr="006C58BC">
        <w:rPr>
          <w:rStyle w:val="AERtextitalic"/>
        </w:rPr>
        <w:t>Stage 1 Framework and approach paper ActewAGL</w:t>
      </w:r>
      <w:r>
        <w:t>, March 2013, p. 28.</w:t>
      </w:r>
    </w:p>
  </w:footnote>
  <w:footnote w:id="2">
    <w:p w:rsidR="006B0063" w:rsidRDefault="006B0063" w:rsidP="00C837B9">
      <w:pPr>
        <w:pStyle w:val="FootnoteText"/>
      </w:pPr>
      <w:r>
        <w:rPr>
          <w:rStyle w:val="FootnoteReference"/>
        </w:rPr>
        <w:footnoteRef/>
      </w:r>
      <w:r>
        <w:t xml:space="preserve"> </w:t>
      </w:r>
      <w:r>
        <w:tab/>
        <w:t xml:space="preserve">NER, cl </w:t>
      </w:r>
      <w:r w:rsidRPr="00A14046">
        <w:t>6.12.1</w:t>
      </w:r>
      <w:r>
        <w:t>.</w:t>
      </w:r>
    </w:p>
  </w:footnote>
  <w:footnote w:id="3">
    <w:p w:rsidR="006B0063" w:rsidRDefault="006B0063" w:rsidP="00C837B9">
      <w:pPr>
        <w:pStyle w:val="FootnoteText"/>
      </w:pPr>
      <w:r>
        <w:rPr>
          <w:rStyle w:val="FootnoteReference"/>
        </w:rPr>
        <w:footnoteRef/>
      </w:r>
      <w:r>
        <w:t xml:space="preserve"> </w:t>
      </w:r>
      <w:r>
        <w:tab/>
        <w:t>NER, cll 6.12.1(17) and 6.12.1(20).</w:t>
      </w:r>
    </w:p>
  </w:footnote>
  <w:footnote w:id="4">
    <w:p w:rsidR="006B0063" w:rsidRDefault="006B0063" w:rsidP="006C58BC">
      <w:pPr>
        <w:pStyle w:val="FootnoteText"/>
      </w:pPr>
      <w:r>
        <w:rPr>
          <w:rStyle w:val="FootnoteReference"/>
        </w:rPr>
        <w:footnoteRef/>
      </w:r>
      <w:r>
        <w:t xml:space="preserve"> </w:t>
      </w:r>
      <w:r>
        <w:tab/>
        <w:t>ActewAGL</w:t>
      </w:r>
      <w:r w:rsidRPr="009503B1">
        <w:t xml:space="preserve">, </w:t>
      </w:r>
      <w:r w:rsidRPr="006C58BC">
        <w:rPr>
          <w:rStyle w:val="AERtextitalic"/>
        </w:rPr>
        <w:t>Regulatory Proposal 2015–19 Subsequent regulatory control period</w:t>
      </w:r>
      <w:r w:rsidRPr="009503B1">
        <w:t xml:space="preserve">, </w:t>
      </w:r>
      <w:r>
        <w:t>June</w:t>
      </w:r>
      <w:r w:rsidRPr="009503B1">
        <w:t xml:space="preserve"> 2014, p. </w:t>
      </w:r>
      <w:r>
        <w:t>304</w:t>
      </w:r>
      <w:r w:rsidRPr="009503B1">
        <w:t xml:space="preserve">. </w:t>
      </w:r>
    </w:p>
  </w:footnote>
  <w:footnote w:id="5">
    <w:p w:rsidR="006B0063" w:rsidRDefault="006B0063" w:rsidP="00C837B9">
      <w:pPr>
        <w:pStyle w:val="FootnoteText"/>
      </w:pPr>
      <w:r>
        <w:rPr>
          <w:rStyle w:val="FootnoteReference"/>
        </w:rPr>
        <w:footnoteRef/>
      </w:r>
      <w:r>
        <w:t xml:space="preserve"> </w:t>
      </w:r>
      <w:r>
        <w:tab/>
        <w:t xml:space="preserve">ActewAGL, </w:t>
      </w:r>
      <w:r w:rsidRPr="006C58BC">
        <w:rPr>
          <w:rStyle w:val="AERtextitalic"/>
        </w:rPr>
        <w:t>Regulatory Proposal 2015–19 Subsequent regulatory control period</w:t>
      </w:r>
      <w:r w:rsidRPr="00CB3789">
        <w:t>, June 2014, p. 304</w:t>
      </w:r>
      <w:r>
        <w:t xml:space="preserve">. </w:t>
      </w:r>
    </w:p>
  </w:footnote>
  <w:footnote w:id="6">
    <w:p w:rsidR="006B0063" w:rsidRDefault="006B0063" w:rsidP="00C837B9">
      <w:pPr>
        <w:pStyle w:val="FootnoteText"/>
      </w:pPr>
      <w:r>
        <w:rPr>
          <w:rStyle w:val="FootnoteReference"/>
        </w:rPr>
        <w:footnoteRef/>
      </w:r>
      <w:r>
        <w:t xml:space="preserve"> </w:t>
      </w:r>
      <w:r>
        <w:tab/>
      </w:r>
      <w:r w:rsidRPr="009503B1">
        <w:t xml:space="preserve">AER, </w:t>
      </w:r>
      <w:r w:rsidRPr="006C58BC">
        <w:rPr>
          <w:rStyle w:val="AERtextitalic"/>
        </w:rPr>
        <w:t>Stage 1 Framework and approach paper ActewAGL</w:t>
      </w:r>
      <w:r w:rsidRPr="009503B1">
        <w:t xml:space="preserve">, </w:t>
      </w:r>
      <w:r>
        <w:t>March 2013, p. 38</w:t>
      </w:r>
      <w:r w:rsidRPr="009503B1">
        <w:t>.</w:t>
      </w:r>
    </w:p>
  </w:footnote>
  <w:footnote w:id="7">
    <w:p w:rsidR="006B0063" w:rsidRDefault="006B0063" w:rsidP="00C837B9">
      <w:pPr>
        <w:pStyle w:val="FootnoteText"/>
      </w:pPr>
      <w:r>
        <w:rPr>
          <w:rStyle w:val="FootnoteReference"/>
        </w:rPr>
        <w:footnoteRef/>
      </w:r>
      <w:r>
        <w:t xml:space="preserve"> </w:t>
      </w:r>
      <w:r>
        <w:tab/>
      </w:r>
      <w:r w:rsidRPr="009A2645">
        <w:t xml:space="preserve">ActewAGL, </w:t>
      </w:r>
      <w:r w:rsidRPr="006C58BC">
        <w:rPr>
          <w:rStyle w:val="AERtextitalic"/>
        </w:rPr>
        <w:t>Regulatory Proposal 2015–19 Subsequent regulatory control period</w:t>
      </w:r>
      <w:r w:rsidRPr="009A2645">
        <w:t>, June 2014, p. 304.</w:t>
      </w:r>
    </w:p>
  </w:footnote>
  <w:footnote w:id="8">
    <w:p w:rsidR="006B0063" w:rsidRDefault="006B0063" w:rsidP="00C837B9">
      <w:pPr>
        <w:pStyle w:val="FootnoteText"/>
      </w:pPr>
      <w:r>
        <w:rPr>
          <w:rStyle w:val="FootnoteReference"/>
        </w:rPr>
        <w:footnoteRef/>
      </w:r>
      <w:r>
        <w:t xml:space="preserve"> </w:t>
      </w:r>
      <w:r>
        <w:tab/>
      </w:r>
      <w:r w:rsidRPr="00FE2154">
        <w:t xml:space="preserve">AER, </w:t>
      </w:r>
      <w:r w:rsidRPr="006C58BC">
        <w:rPr>
          <w:rStyle w:val="AERtextitalic"/>
        </w:rPr>
        <w:t>Stage 1 Framework and approach paper ActewAGL</w:t>
      </w:r>
      <w:r w:rsidRPr="00FE2154">
        <w:t>, March 2013, p. 28.</w:t>
      </w:r>
    </w:p>
  </w:footnote>
  <w:footnote w:id="9">
    <w:p w:rsidR="006B0063" w:rsidRDefault="006B0063" w:rsidP="000E20ED">
      <w:pPr>
        <w:pStyle w:val="FootnoteText"/>
      </w:pPr>
      <w:r>
        <w:rPr>
          <w:rStyle w:val="FootnoteReference"/>
        </w:rPr>
        <w:footnoteRef/>
      </w:r>
      <w:r>
        <w:t xml:space="preserve"> </w:t>
      </w:r>
      <w:r>
        <w:tab/>
      </w:r>
      <w:r w:rsidRPr="000E20ED">
        <w:t xml:space="preserve">ActewAGL, </w:t>
      </w:r>
      <w:r w:rsidRPr="006C58BC">
        <w:rPr>
          <w:rStyle w:val="AERtextitalic"/>
        </w:rPr>
        <w:t>Regulatory Proposal 2015–19 Subsequent regulatory control period</w:t>
      </w:r>
      <w:r w:rsidRPr="000E20ED">
        <w:t xml:space="preserve">, June 2014, p. 304. </w:t>
      </w:r>
    </w:p>
  </w:footnote>
  <w:footnote w:id="10">
    <w:p w:rsidR="006B0063" w:rsidRDefault="006B0063" w:rsidP="00A84C94">
      <w:pPr>
        <w:pStyle w:val="FootnoteText"/>
      </w:pPr>
      <w:r>
        <w:rPr>
          <w:rStyle w:val="FootnoteReference"/>
        </w:rPr>
        <w:footnoteRef/>
      </w:r>
      <w:r>
        <w:t xml:space="preserve"> </w:t>
      </w:r>
      <w:r>
        <w:tab/>
        <w:t>Costs unrecovered upon a customer’s departure from ActewAGL's metering services.</w:t>
      </w:r>
    </w:p>
  </w:footnote>
  <w:footnote w:id="11">
    <w:p w:rsidR="006B0063" w:rsidRDefault="006B0063" w:rsidP="00C837B9">
      <w:pPr>
        <w:pStyle w:val="FootnoteText"/>
      </w:pPr>
      <w:r>
        <w:rPr>
          <w:rStyle w:val="FootnoteReference"/>
        </w:rPr>
        <w:footnoteRef/>
      </w:r>
      <w:r>
        <w:t xml:space="preserve"> </w:t>
      </w:r>
      <w:r>
        <w:tab/>
        <w:t>NER, clause</w:t>
      </w:r>
      <w:r w:rsidRPr="00D068FE">
        <w:t xml:space="preserve"> 6.12.1 (</w:t>
      </w:r>
      <w:r>
        <w:t>19</w:t>
      </w:r>
      <w:r w:rsidRPr="00D068FE">
        <w:t>).</w:t>
      </w:r>
    </w:p>
  </w:footnote>
  <w:footnote w:id="12">
    <w:p w:rsidR="006B0063" w:rsidRDefault="006B0063" w:rsidP="00C837B9">
      <w:pPr>
        <w:pStyle w:val="FootnoteText"/>
      </w:pPr>
      <w:r>
        <w:rPr>
          <w:rStyle w:val="FootnoteReference"/>
        </w:rPr>
        <w:footnoteRef/>
      </w:r>
      <w:r>
        <w:t xml:space="preserve"> </w:t>
      </w:r>
      <w:r>
        <w:tab/>
        <w:t>NER, clause</w:t>
      </w:r>
      <w:r w:rsidRPr="00AF1D39">
        <w:t xml:space="preserve"> 6.12.1 (20)</w:t>
      </w:r>
      <w:r>
        <w:t>.</w:t>
      </w:r>
    </w:p>
  </w:footnote>
  <w:footnote w:id="13">
    <w:p w:rsidR="006B0063" w:rsidRDefault="006B0063" w:rsidP="00C837B9">
      <w:pPr>
        <w:pStyle w:val="FootnoteText"/>
      </w:pPr>
      <w:r>
        <w:rPr>
          <w:rStyle w:val="FootnoteReference"/>
        </w:rPr>
        <w:footnoteRef/>
      </w:r>
      <w:r>
        <w:t xml:space="preserve"> </w:t>
      </w:r>
      <w:r>
        <w:tab/>
      </w:r>
      <w:r w:rsidRPr="006C58BC">
        <w:t>The ACT jurisdictional schemes are: the feed-in tariff scheme (including the new scheme for large customers), the Utilities Network Facilities Tax (UNFT) and the Energy Industry Levy (EIL).</w:t>
      </w:r>
    </w:p>
  </w:footnote>
  <w:footnote w:id="14">
    <w:p w:rsidR="006B0063" w:rsidRDefault="006B0063" w:rsidP="00C837B9">
      <w:pPr>
        <w:pStyle w:val="FootnoteText"/>
      </w:pPr>
      <w:r>
        <w:rPr>
          <w:rStyle w:val="FootnoteReference"/>
        </w:rPr>
        <w:footnoteRef/>
      </w:r>
      <w:r>
        <w:t xml:space="preserve"> </w:t>
      </w:r>
      <w:r>
        <w:tab/>
      </w:r>
      <w:r w:rsidRPr="00AD01C0">
        <w:t xml:space="preserve">AER, </w:t>
      </w:r>
      <w:r w:rsidRPr="006C58BC">
        <w:rPr>
          <w:rStyle w:val="AERtextitalic"/>
        </w:rPr>
        <w:t>Placeholder determination for the transitional regulatory control period 2014-15 ActewAGL</w:t>
      </w:r>
      <w:r w:rsidRPr="00AD01C0">
        <w:t>, April</w:t>
      </w:r>
      <w:r>
        <w:t xml:space="preserve"> 2014</w:t>
      </w:r>
      <w:r w:rsidRPr="00AD01C0">
        <w:t>, p.</w:t>
      </w:r>
      <w:r>
        <w:t xml:space="preserve"> </w:t>
      </w:r>
      <w:r w:rsidRPr="00AD01C0">
        <w:t>5</w:t>
      </w:r>
      <w:r>
        <w:t>.</w:t>
      </w:r>
    </w:p>
  </w:footnote>
  <w:footnote w:id="15">
    <w:p w:rsidR="006B0063" w:rsidRDefault="006B0063" w:rsidP="00BC32A8">
      <w:pPr>
        <w:pStyle w:val="FootnoteText"/>
      </w:pPr>
      <w:r>
        <w:rPr>
          <w:rStyle w:val="FootnoteReference"/>
        </w:rPr>
        <w:footnoteRef/>
      </w:r>
      <w:r>
        <w:t xml:space="preserve"> </w:t>
      </w:r>
      <w:r>
        <w:tab/>
        <w:t>In the formulas in the STPIS attachment, the</w:t>
      </w:r>
      <w:r w:rsidRPr="00E71BA6">
        <w:rPr>
          <w:rStyle w:val="AERbody"/>
        </w:rPr>
        <w:object w:dxaOrig="560" w:dyaOrig="360">
          <v:shape id="_x0000_i1058" type="#_x0000_t75" style="width:19.5pt;height:13.5pt" o:ole="">
            <v:imagedata r:id="rId1" o:title=""/>
          </v:shape>
          <o:OLEObject Type="Embed" ProgID="Equation.3" ShapeID="_x0000_i1058" DrawAspect="Content" ObjectID="_1478521675" r:id="rId2"/>
        </w:object>
      </w:r>
      <w:r>
        <w:t xml:space="preserve">is equivalent to </w:t>
      </w:r>
      <w:r w:rsidRPr="00E71BA6">
        <w:rPr>
          <w:rStyle w:val="AERbody"/>
        </w:rPr>
        <w:object w:dxaOrig="440" w:dyaOrig="360">
          <v:shape id="_x0000_i1060" type="#_x0000_t75" style="width:15.75pt;height:13.5pt" o:ole="">
            <v:imagedata r:id="rId3" o:title=""/>
          </v:shape>
          <o:OLEObject Type="Embed" ProgID="Equation.3" ShapeID="_x0000_i1060" DrawAspect="Content" ObjectID="_1478521676" r:id="rId4"/>
        </w:object>
      </w:r>
      <w:r>
        <w:t xml:space="preserve"> set out in this chapter. Calculations of the S factor adjustment are to be made accordingly. </w:t>
      </w:r>
    </w:p>
  </w:footnote>
  <w:footnote w:id="16">
    <w:p w:rsidR="006B0063" w:rsidRDefault="006B0063" w:rsidP="00DA7987">
      <w:pPr>
        <w:pStyle w:val="FootnoteText"/>
      </w:pPr>
      <w:r>
        <w:rPr>
          <w:rStyle w:val="FootnoteReference"/>
        </w:rPr>
        <w:footnoteRef/>
      </w:r>
      <w:r>
        <w:t xml:space="preserve"> </w:t>
      </w:r>
      <w:r>
        <w:tab/>
        <w:t>NER, clause</w:t>
      </w:r>
      <w:r w:rsidRPr="00D068FE">
        <w:t xml:space="preserve"> 6.12.1(1</w:t>
      </w:r>
      <w:r>
        <w:t>9</w:t>
      </w:r>
      <w:r w:rsidRPr="00D068FE">
        <w:t>)</w:t>
      </w:r>
      <w:r>
        <w:t xml:space="preserve">. </w:t>
      </w:r>
    </w:p>
  </w:footnote>
  <w:footnote w:id="17">
    <w:p w:rsidR="006B0063" w:rsidRDefault="006B0063" w:rsidP="00DA7987">
      <w:pPr>
        <w:pStyle w:val="FootnoteText"/>
      </w:pPr>
      <w:r>
        <w:rPr>
          <w:rStyle w:val="FootnoteReference"/>
        </w:rPr>
        <w:footnoteRef/>
      </w:r>
      <w:r>
        <w:t xml:space="preserve"> </w:t>
      </w:r>
      <w:r>
        <w:tab/>
        <w:t>NER, clause</w:t>
      </w:r>
      <w:r w:rsidRPr="00D068FE">
        <w:t xml:space="preserve"> 6.12.1(19)</w:t>
      </w:r>
      <w:r>
        <w:t>.</w:t>
      </w:r>
    </w:p>
  </w:footnote>
  <w:footnote w:id="18">
    <w:p w:rsidR="006B0063" w:rsidRDefault="006B0063" w:rsidP="00DA7987">
      <w:pPr>
        <w:pStyle w:val="FootnoteText"/>
      </w:pPr>
      <w:r>
        <w:rPr>
          <w:rStyle w:val="FootnoteReference"/>
        </w:rPr>
        <w:footnoteRef/>
      </w:r>
      <w:r>
        <w:t xml:space="preserve"> </w:t>
      </w:r>
      <w:r>
        <w:tab/>
        <w:t>NER, clause</w:t>
      </w:r>
      <w:r w:rsidRPr="002A27D6">
        <w:t xml:space="preserve"> 6.18.7A(a) to (c)</w:t>
      </w:r>
      <w:r>
        <w:t>.</w:t>
      </w:r>
    </w:p>
  </w:footnote>
  <w:footnote w:id="19">
    <w:p w:rsidR="006B0063" w:rsidRDefault="006B0063" w:rsidP="00DA7987">
      <w:pPr>
        <w:pStyle w:val="FootnoteText"/>
      </w:pPr>
      <w:r>
        <w:rPr>
          <w:rStyle w:val="FootnoteReference"/>
        </w:rPr>
        <w:footnoteRef/>
      </w:r>
      <w:r>
        <w:t xml:space="preserve"> </w:t>
      </w:r>
      <w:r>
        <w:tab/>
        <w:t>NER, clause</w:t>
      </w:r>
      <w:r w:rsidRPr="00D823B9">
        <w:t xml:space="preserve"> 6.12.1(17).</w:t>
      </w:r>
    </w:p>
  </w:footnote>
  <w:footnote w:id="20">
    <w:p w:rsidR="006B0063" w:rsidRDefault="006B0063" w:rsidP="00DA7987">
      <w:pPr>
        <w:pStyle w:val="FootnoteText"/>
      </w:pPr>
      <w:r>
        <w:rPr>
          <w:rStyle w:val="FootnoteReference"/>
        </w:rPr>
        <w:footnoteRef/>
      </w:r>
      <w:r>
        <w:t xml:space="preserve"> </w:t>
      </w:r>
      <w:r>
        <w:tab/>
      </w:r>
      <w:r w:rsidRPr="00D823B9">
        <w:t xml:space="preserve">ActewAGL </w:t>
      </w:r>
      <w:r w:rsidRPr="006C58BC">
        <w:rPr>
          <w:rStyle w:val="AERtextitalic"/>
        </w:rPr>
        <w:t>Distribution 2014/15 Network Pricing Proposal</w:t>
      </w:r>
      <w:r>
        <w:t>, May 2014, p. 3.</w:t>
      </w:r>
    </w:p>
  </w:footnote>
  <w:footnote w:id="21">
    <w:p w:rsidR="006B0063" w:rsidRDefault="006B0063" w:rsidP="00DA7987">
      <w:pPr>
        <w:pStyle w:val="FootnoteText"/>
      </w:pPr>
      <w:r>
        <w:rPr>
          <w:rStyle w:val="FootnoteReference"/>
        </w:rPr>
        <w:footnoteRef/>
      </w:r>
      <w:r>
        <w:t xml:space="preserve"> </w:t>
      </w:r>
      <w:r>
        <w:tab/>
      </w:r>
      <w:r w:rsidRPr="00D823B9">
        <w:t>ActewAGL</w:t>
      </w:r>
      <w:r>
        <w:t xml:space="preserve">, </w:t>
      </w:r>
      <w:r w:rsidRPr="006C58BC">
        <w:rPr>
          <w:rStyle w:val="AERtextitalic"/>
        </w:rPr>
        <w:t>Distribution 2014/15 Network Pricing Proposal</w:t>
      </w:r>
      <w:r w:rsidRPr="00D823B9">
        <w:t>, May 2014, p. 3.</w:t>
      </w:r>
    </w:p>
  </w:footnote>
  <w:footnote w:id="22">
    <w:p w:rsidR="006B0063" w:rsidRDefault="006B0063" w:rsidP="00E97643">
      <w:pPr>
        <w:pStyle w:val="FootnoteText"/>
      </w:pPr>
      <w:r>
        <w:rPr>
          <w:rStyle w:val="FootnoteReference"/>
        </w:rPr>
        <w:footnoteRef/>
      </w:r>
      <w:r>
        <w:t xml:space="preserve"> </w:t>
      </w:r>
      <w:r>
        <w:tab/>
      </w:r>
      <w:r w:rsidRPr="00E97643">
        <w:t xml:space="preserve">ActewAGL, </w:t>
      </w:r>
      <w:r w:rsidRPr="006C58BC">
        <w:rPr>
          <w:rStyle w:val="AERtextitalic"/>
        </w:rPr>
        <w:t>Regulatory Proposal 2015–19 Subsequent regulatory control period</w:t>
      </w:r>
      <w:r w:rsidRPr="00E97643">
        <w:t>,</w:t>
      </w:r>
      <w:r>
        <w:t xml:space="preserve"> June 2014</w:t>
      </w:r>
      <w:r w:rsidRPr="00E97643">
        <w:t xml:space="preserve"> p. 3</w:t>
      </w:r>
      <w:r>
        <w:t>09</w:t>
      </w:r>
      <w:r w:rsidRPr="00E97643">
        <w:t>.</w:t>
      </w:r>
    </w:p>
  </w:footnote>
  <w:footnote w:id="23">
    <w:p w:rsidR="006B0063" w:rsidRDefault="006B0063" w:rsidP="00DA7987">
      <w:pPr>
        <w:pStyle w:val="FootnoteText"/>
      </w:pPr>
      <w:r>
        <w:rPr>
          <w:rStyle w:val="FootnoteReference"/>
        </w:rPr>
        <w:footnoteRef/>
      </w:r>
      <w:r>
        <w:t xml:space="preserve"> </w:t>
      </w:r>
      <w:r>
        <w:tab/>
      </w:r>
      <w:r w:rsidRPr="00C8215C">
        <w:t xml:space="preserve">NER, </w:t>
      </w:r>
      <w:r>
        <w:t>c</w:t>
      </w:r>
      <w:r w:rsidRPr="00C8215C">
        <w:t>lause 6.18.4(a)(i).</w:t>
      </w:r>
      <w:r>
        <w:t xml:space="preserve"> </w:t>
      </w:r>
    </w:p>
  </w:footnote>
  <w:footnote w:id="24">
    <w:p w:rsidR="006B0063" w:rsidRDefault="006B0063" w:rsidP="00DA7987">
      <w:pPr>
        <w:pStyle w:val="FootnoteText"/>
      </w:pPr>
      <w:r>
        <w:rPr>
          <w:rStyle w:val="FootnoteReference"/>
        </w:rPr>
        <w:footnoteRef/>
      </w:r>
      <w:r>
        <w:t xml:space="preserve"> </w:t>
      </w:r>
      <w:r>
        <w:tab/>
      </w:r>
      <w:r w:rsidRPr="00C8215C">
        <w:t>The AER interprets 'nature' to include the installation of any technology capable of supporting time based tariffs.</w:t>
      </w:r>
    </w:p>
  </w:footnote>
  <w:footnote w:id="25">
    <w:p w:rsidR="006B0063" w:rsidRDefault="006B0063" w:rsidP="00DA7987">
      <w:pPr>
        <w:pStyle w:val="FootnoteText"/>
      </w:pPr>
      <w:r>
        <w:rPr>
          <w:rStyle w:val="FootnoteReference"/>
        </w:rPr>
        <w:footnoteRef/>
      </w:r>
      <w:r>
        <w:t xml:space="preserve"> </w:t>
      </w:r>
      <w:r>
        <w:tab/>
        <w:t>NER, c</w:t>
      </w:r>
      <w:r w:rsidRPr="00C8215C">
        <w:t>lause 6.18.4(2).</w:t>
      </w:r>
    </w:p>
  </w:footnote>
  <w:footnote w:id="26">
    <w:p w:rsidR="006B0063" w:rsidRDefault="006B0063" w:rsidP="00DA7987">
      <w:pPr>
        <w:pStyle w:val="FootnoteText"/>
      </w:pPr>
      <w:r>
        <w:rPr>
          <w:rStyle w:val="FootnoteReference"/>
        </w:rPr>
        <w:footnoteRef/>
      </w:r>
      <w:r>
        <w:t xml:space="preserve"> </w:t>
      </w:r>
      <w:r>
        <w:tab/>
      </w:r>
      <w:r w:rsidRPr="00C8215C">
        <w:t xml:space="preserve">NER, </w:t>
      </w:r>
      <w:r>
        <w:t>c</w:t>
      </w:r>
      <w:r w:rsidRPr="00C8215C">
        <w:t>lause 6.18.4(3).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4"/>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 w:numId="8">
    <w:abstractNumId w:val="1"/>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052F"/>
    <w:rsid w:val="00011129"/>
    <w:rsid w:val="00014B4B"/>
    <w:rsid w:val="00022606"/>
    <w:rsid w:val="000318BF"/>
    <w:rsid w:val="00035C56"/>
    <w:rsid w:val="00040599"/>
    <w:rsid w:val="00040749"/>
    <w:rsid w:val="000759DB"/>
    <w:rsid w:val="000809DD"/>
    <w:rsid w:val="000A1CC2"/>
    <w:rsid w:val="000A5342"/>
    <w:rsid w:val="000B15CA"/>
    <w:rsid w:val="000B28EE"/>
    <w:rsid w:val="000C052F"/>
    <w:rsid w:val="000C15C0"/>
    <w:rsid w:val="000C3430"/>
    <w:rsid w:val="000D03C2"/>
    <w:rsid w:val="000D04B1"/>
    <w:rsid w:val="000D401F"/>
    <w:rsid w:val="000D76C0"/>
    <w:rsid w:val="000E1A25"/>
    <w:rsid w:val="000E20ED"/>
    <w:rsid w:val="000E6418"/>
    <w:rsid w:val="000F3A6A"/>
    <w:rsid w:val="001033B3"/>
    <w:rsid w:val="00105636"/>
    <w:rsid w:val="0013022D"/>
    <w:rsid w:val="00131287"/>
    <w:rsid w:val="001376DB"/>
    <w:rsid w:val="001426B9"/>
    <w:rsid w:val="001543D2"/>
    <w:rsid w:val="00160AD0"/>
    <w:rsid w:val="001708CC"/>
    <w:rsid w:val="00174026"/>
    <w:rsid w:val="001856EE"/>
    <w:rsid w:val="00192E24"/>
    <w:rsid w:val="00194C3C"/>
    <w:rsid w:val="001B3ACC"/>
    <w:rsid w:val="001B6619"/>
    <w:rsid w:val="001B6DEB"/>
    <w:rsid w:val="001C12E5"/>
    <w:rsid w:val="001E108B"/>
    <w:rsid w:val="001F40A1"/>
    <w:rsid w:val="002023C1"/>
    <w:rsid w:val="0020711E"/>
    <w:rsid w:val="00210880"/>
    <w:rsid w:val="002257B9"/>
    <w:rsid w:val="0023137D"/>
    <w:rsid w:val="002455D4"/>
    <w:rsid w:val="002471E6"/>
    <w:rsid w:val="0026168B"/>
    <w:rsid w:val="00266710"/>
    <w:rsid w:val="00275933"/>
    <w:rsid w:val="0027596F"/>
    <w:rsid w:val="002805B8"/>
    <w:rsid w:val="002925CE"/>
    <w:rsid w:val="002938CE"/>
    <w:rsid w:val="002A1AE5"/>
    <w:rsid w:val="002A27D6"/>
    <w:rsid w:val="002B0C0F"/>
    <w:rsid w:val="002B6640"/>
    <w:rsid w:val="002D61AC"/>
    <w:rsid w:val="002D6EDA"/>
    <w:rsid w:val="002E4720"/>
    <w:rsid w:val="00303452"/>
    <w:rsid w:val="0030684D"/>
    <w:rsid w:val="003324F7"/>
    <w:rsid w:val="003338FC"/>
    <w:rsid w:val="00334F88"/>
    <w:rsid w:val="003707DB"/>
    <w:rsid w:val="003737A8"/>
    <w:rsid w:val="00375AEC"/>
    <w:rsid w:val="00376236"/>
    <w:rsid w:val="0037652C"/>
    <w:rsid w:val="003800E4"/>
    <w:rsid w:val="00380FF5"/>
    <w:rsid w:val="00383477"/>
    <w:rsid w:val="003A6174"/>
    <w:rsid w:val="003F5A67"/>
    <w:rsid w:val="004030AB"/>
    <w:rsid w:val="00411433"/>
    <w:rsid w:val="00412282"/>
    <w:rsid w:val="00412E09"/>
    <w:rsid w:val="00424DA8"/>
    <w:rsid w:val="004256BA"/>
    <w:rsid w:val="00431999"/>
    <w:rsid w:val="00433475"/>
    <w:rsid w:val="00435682"/>
    <w:rsid w:val="00436C61"/>
    <w:rsid w:val="0045107C"/>
    <w:rsid w:val="00456081"/>
    <w:rsid w:val="00457D62"/>
    <w:rsid w:val="00464F5D"/>
    <w:rsid w:val="00474FBD"/>
    <w:rsid w:val="00491D7D"/>
    <w:rsid w:val="004964DB"/>
    <w:rsid w:val="004A2CC8"/>
    <w:rsid w:val="004A58B2"/>
    <w:rsid w:val="004C115A"/>
    <w:rsid w:val="004C3E3C"/>
    <w:rsid w:val="004C3F45"/>
    <w:rsid w:val="004D30DC"/>
    <w:rsid w:val="004E07BF"/>
    <w:rsid w:val="004E40EF"/>
    <w:rsid w:val="004E73F7"/>
    <w:rsid w:val="004F76A0"/>
    <w:rsid w:val="00500E7F"/>
    <w:rsid w:val="00502697"/>
    <w:rsid w:val="0052179D"/>
    <w:rsid w:val="00525604"/>
    <w:rsid w:val="00534888"/>
    <w:rsid w:val="005456A9"/>
    <w:rsid w:val="00555D52"/>
    <w:rsid w:val="005566D7"/>
    <w:rsid w:val="00561F7F"/>
    <w:rsid w:val="00566B35"/>
    <w:rsid w:val="005732CC"/>
    <w:rsid w:val="00573F08"/>
    <w:rsid w:val="00575422"/>
    <w:rsid w:val="005938C6"/>
    <w:rsid w:val="0059482C"/>
    <w:rsid w:val="005A0431"/>
    <w:rsid w:val="005B3752"/>
    <w:rsid w:val="005B61C2"/>
    <w:rsid w:val="005D26B7"/>
    <w:rsid w:val="005D4AA1"/>
    <w:rsid w:val="005D7886"/>
    <w:rsid w:val="005E3E0C"/>
    <w:rsid w:val="005E6780"/>
    <w:rsid w:val="005F770D"/>
    <w:rsid w:val="0060146C"/>
    <w:rsid w:val="0060207D"/>
    <w:rsid w:val="00602557"/>
    <w:rsid w:val="006039F2"/>
    <w:rsid w:val="006061B0"/>
    <w:rsid w:val="0060732E"/>
    <w:rsid w:val="006076A9"/>
    <w:rsid w:val="00612B3C"/>
    <w:rsid w:val="006165D1"/>
    <w:rsid w:val="00630871"/>
    <w:rsid w:val="006341BE"/>
    <w:rsid w:val="0065125A"/>
    <w:rsid w:val="006544EA"/>
    <w:rsid w:val="00654AA0"/>
    <w:rsid w:val="0066569F"/>
    <w:rsid w:val="00685CB3"/>
    <w:rsid w:val="0069004B"/>
    <w:rsid w:val="006A0175"/>
    <w:rsid w:val="006B0063"/>
    <w:rsid w:val="006B08EB"/>
    <w:rsid w:val="006B481F"/>
    <w:rsid w:val="006C36E7"/>
    <w:rsid w:val="006C58BC"/>
    <w:rsid w:val="006E07D6"/>
    <w:rsid w:val="006E6BEE"/>
    <w:rsid w:val="006F638E"/>
    <w:rsid w:val="00703E42"/>
    <w:rsid w:val="00717B6F"/>
    <w:rsid w:val="00723BCB"/>
    <w:rsid w:val="007368AD"/>
    <w:rsid w:val="00751D2A"/>
    <w:rsid w:val="00755095"/>
    <w:rsid w:val="00796A07"/>
    <w:rsid w:val="00796ADF"/>
    <w:rsid w:val="007B2F29"/>
    <w:rsid w:val="007B6699"/>
    <w:rsid w:val="007F10E3"/>
    <w:rsid w:val="007F2C0E"/>
    <w:rsid w:val="007F5B59"/>
    <w:rsid w:val="00804AEB"/>
    <w:rsid w:val="00824CC8"/>
    <w:rsid w:val="00836D17"/>
    <w:rsid w:val="00840A55"/>
    <w:rsid w:val="00841E25"/>
    <w:rsid w:val="0084378B"/>
    <w:rsid w:val="008464CD"/>
    <w:rsid w:val="008515EE"/>
    <w:rsid w:val="008614D3"/>
    <w:rsid w:val="00861C4E"/>
    <w:rsid w:val="00866D21"/>
    <w:rsid w:val="00872D85"/>
    <w:rsid w:val="00883DDA"/>
    <w:rsid w:val="008872D7"/>
    <w:rsid w:val="00891FF9"/>
    <w:rsid w:val="00893367"/>
    <w:rsid w:val="00893D07"/>
    <w:rsid w:val="008A7A2E"/>
    <w:rsid w:val="008B7956"/>
    <w:rsid w:val="008C3722"/>
    <w:rsid w:val="008C3B67"/>
    <w:rsid w:val="008C3F48"/>
    <w:rsid w:val="008C4CDB"/>
    <w:rsid w:val="008D49B4"/>
    <w:rsid w:val="008D7498"/>
    <w:rsid w:val="008F624C"/>
    <w:rsid w:val="009003ED"/>
    <w:rsid w:val="009029E6"/>
    <w:rsid w:val="00914E74"/>
    <w:rsid w:val="00917AF2"/>
    <w:rsid w:val="00932E96"/>
    <w:rsid w:val="009418E6"/>
    <w:rsid w:val="0094235F"/>
    <w:rsid w:val="0094279F"/>
    <w:rsid w:val="00946B98"/>
    <w:rsid w:val="00947821"/>
    <w:rsid w:val="0095052A"/>
    <w:rsid w:val="009516DF"/>
    <w:rsid w:val="009658F0"/>
    <w:rsid w:val="00971655"/>
    <w:rsid w:val="00971C63"/>
    <w:rsid w:val="00972175"/>
    <w:rsid w:val="009A2645"/>
    <w:rsid w:val="009A2A00"/>
    <w:rsid w:val="009A4AE9"/>
    <w:rsid w:val="009C71D5"/>
    <w:rsid w:val="009D0222"/>
    <w:rsid w:val="009F7CE4"/>
    <w:rsid w:val="00A06161"/>
    <w:rsid w:val="00A11162"/>
    <w:rsid w:val="00A43067"/>
    <w:rsid w:val="00A43227"/>
    <w:rsid w:val="00A46CCD"/>
    <w:rsid w:val="00A5309B"/>
    <w:rsid w:val="00A65133"/>
    <w:rsid w:val="00A652C5"/>
    <w:rsid w:val="00A84C94"/>
    <w:rsid w:val="00A85C5A"/>
    <w:rsid w:val="00A92B82"/>
    <w:rsid w:val="00A96A08"/>
    <w:rsid w:val="00AA0161"/>
    <w:rsid w:val="00AB1D08"/>
    <w:rsid w:val="00AB4345"/>
    <w:rsid w:val="00AB5BD7"/>
    <w:rsid w:val="00AC0135"/>
    <w:rsid w:val="00AC070D"/>
    <w:rsid w:val="00AC1B94"/>
    <w:rsid w:val="00AD0616"/>
    <w:rsid w:val="00AD34FF"/>
    <w:rsid w:val="00AD4DE6"/>
    <w:rsid w:val="00AE6DBC"/>
    <w:rsid w:val="00AF1D39"/>
    <w:rsid w:val="00AF3E95"/>
    <w:rsid w:val="00AF7C67"/>
    <w:rsid w:val="00B0770A"/>
    <w:rsid w:val="00B15FE9"/>
    <w:rsid w:val="00B51883"/>
    <w:rsid w:val="00B61FD4"/>
    <w:rsid w:val="00B674DB"/>
    <w:rsid w:val="00B82E8D"/>
    <w:rsid w:val="00B84B00"/>
    <w:rsid w:val="00B9264D"/>
    <w:rsid w:val="00B94D99"/>
    <w:rsid w:val="00BB3FA1"/>
    <w:rsid w:val="00BB62BB"/>
    <w:rsid w:val="00BC05C5"/>
    <w:rsid w:val="00BC32A8"/>
    <w:rsid w:val="00BD04BE"/>
    <w:rsid w:val="00BD6F57"/>
    <w:rsid w:val="00BE0630"/>
    <w:rsid w:val="00BE3955"/>
    <w:rsid w:val="00BE6F28"/>
    <w:rsid w:val="00BF29FA"/>
    <w:rsid w:val="00C04D2B"/>
    <w:rsid w:val="00C0562E"/>
    <w:rsid w:val="00C1083C"/>
    <w:rsid w:val="00C2294A"/>
    <w:rsid w:val="00C366E5"/>
    <w:rsid w:val="00C54017"/>
    <w:rsid w:val="00C557F2"/>
    <w:rsid w:val="00C65A70"/>
    <w:rsid w:val="00C65AF6"/>
    <w:rsid w:val="00C65BBC"/>
    <w:rsid w:val="00C737C5"/>
    <w:rsid w:val="00C837B9"/>
    <w:rsid w:val="00C9340B"/>
    <w:rsid w:val="00CA3540"/>
    <w:rsid w:val="00CA6DED"/>
    <w:rsid w:val="00CB3789"/>
    <w:rsid w:val="00CC49D4"/>
    <w:rsid w:val="00CD3BB1"/>
    <w:rsid w:val="00CE6BE7"/>
    <w:rsid w:val="00CE6F5A"/>
    <w:rsid w:val="00CF42CF"/>
    <w:rsid w:val="00D01345"/>
    <w:rsid w:val="00D043C6"/>
    <w:rsid w:val="00D10184"/>
    <w:rsid w:val="00D102E9"/>
    <w:rsid w:val="00D1688F"/>
    <w:rsid w:val="00D2117F"/>
    <w:rsid w:val="00D25317"/>
    <w:rsid w:val="00D66E8B"/>
    <w:rsid w:val="00D7111F"/>
    <w:rsid w:val="00D85715"/>
    <w:rsid w:val="00D8706C"/>
    <w:rsid w:val="00DA1ACE"/>
    <w:rsid w:val="00DA4C62"/>
    <w:rsid w:val="00DA7987"/>
    <w:rsid w:val="00DB1CBE"/>
    <w:rsid w:val="00DB6A17"/>
    <w:rsid w:val="00DD4E84"/>
    <w:rsid w:val="00DD5520"/>
    <w:rsid w:val="00DE22F1"/>
    <w:rsid w:val="00DF12CE"/>
    <w:rsid w:val="00DF16C2"/>
    <w:rsid w:val="00DF22FE"/>
    <w:rsid w:val="00E00F76"/>
    <w:rsid w:val="00E21E75"/>
    <w:rsid w:val="00E519DC"/>
    <w:rsid w:val="00E64AD8"/>
    <w:rsid w:val="00E6571F"/>
    <w:rsid w:val="00E807DA"/>
    <w:rsid w:val="00E826DC"/>
    <w:rsid w:val="00E84E3A"/>
    <w:rsid w:val="00E94C06"/>
    <w:rsid w:val="00E94F1B"/>
    <w:rsid w:val="00E97643"/>
    <w:rsid w:val="00E97D93"/>
    <w:rsid w:val="00EA05AF"/>
    <w:rsid w:val="00EA10AF"/>
    <w:rsid w:val="00EB5CDF"/>
    <w:rsid w:val="00EC43B9"/>
    <w:rsid w:val="00ED4D69"/>
    <w:rsid w:val="00EE362F"/>
    <w:rsid w:val="00EE72C2"/>
    <w:rsid w:val="00EF0E19"/>
    <w:rsid w:val="00EF65D8"/>
    <w:rsid w:val="00F114AE"/>
    <w:rsid w:val="00F11595"/>
    <w:rsid w:val="00F41944"/>
    <w:rsid w:val="00F43CA0"/>
    <w:rsid w:val="00F4525C"/>
    <w:rsid w:val="00F4769B"/>
    <w:rsid w:val="00F52D19"/>
    <w:rsid w:val="00F54216"/>
    <w:rsid w:val="00F55030"/>
    <w:rsid w:val="00F60211"/>
    <w:rsid w:val="00F7696F"/>
    <w:rsid w:val="00F8209B"/>
    <w:rsid w:val="00F8634A"/>
    <w:rsid w:val="00F97CD9"/>
    <w:rsid w:val="00FA0576"/>
    <w:rsid w:val="00FA528F"/>
    <w:rsid w:val="00FB0B4E"/>
    <w:rsid w:val="00FB50B4"/>
    <w:rsid w:val="00FC530C"/>
    <w:rsid w:val="00FD4B97"/>
    <w:rsid w:val="00FD60FB"/>
    <w:rsid w:val="00FE2154"/>
    <w:rsid w:val="00FE55EB"/>
    <w:rsid w:val="00FF60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0392">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hyperlink" Target="mailto:AERInquiry@aer.gov.au" TargetMode="Externa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image" Target="media/image22.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8" Type="http://schemas.openxmlformats.org/officeDocument/2006/relationships/image" Target="media/image1.jpeg"/><Relationship Id="rId51" Type="http://schemas.openxmlformats.org/officeDocument/2006/relationships/oleObject" Target="embeddings/oleObject21.bin"/><Relationship Id="rId72" Type="http://schemas.openxmlformats.org/officeDocument/2006/relationships/oleObject" Target="embeddings/oleObject34.bin"/><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image" Target="media/image24.wmf"/><Relationship Id="rId2" Type="http://schemas.openxmlformats.org/officeDocument/2006/relationships/oleObject" Target="embeddings/oleObject23.bin"/><Relationship Id="rId1" Type="http://schemas.openxmlformats.org/officeDocument/2006/relationships/image" Target="media/image23.wmf"/><Relationship Id="rId4"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256763FE.dotm</Template>
  <TotalTime>0</TotalTime>
  <Pages>24</Pages>
  <Words>6434</Words>
  <Characters>36675</Characters>
  <Application>Microsoft Office Word</Application>
  <DocSecurity>0</DocSecurity>
  <Lines>305</Lines>
  <Paragraphs>86</Paragraphs>
  <ScaleCrop>false</ScaleCrop>
  <Company/>
  <LinksUpToDate>false</LinksUpToDate>
  <CharactersWithSpaces>43023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2014-11-26T04:40:00Z</dcterms:created>
  <dcterms:modified xsi:type="dcterms:W3CDTF">2014-11-26T04:40:00Z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8298972</vt:lpwstr>
  </property>
</Properties>
</file>