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4322" w:rsidRDefault="00407F32" w:rsidP="00FB5778">
      <w:pPr>
        <w:pStyle w:val="AERbodytex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3" type="#_x0000_t75" style="position:absolute;left:0;text-align:left;margin-left:-90pt;margin-top:-1in;width:611.85pt;height:850pt;z-index:-251658752">
            <v:imagedata r:id="rId7" o:title="AER-draft-brown"/>
          </v:shape>
        </w:pict>
      </w:r>
    </w:p>
    <w:p w:rsidR="00F84322" w:rsidRPr="00F6235D" w:rsidRDefault="00F84322" w:rsidP="00F84322">
      <w:pPr>
        <w:pStyle w:val="AERbodytext"/>
      </w:pPr>
    </w:p>
    <w:p w:rsidR="00F84322" w:rsidRDefault="00F84322" w:rsidP="00F84322">
      <w:pPr>
        <w:pStyle w:val="AERTitle1"/>
      </w:pPr>
    </w:p>
    <w:p w:rsidR="00F84322" w:rsidRDefault="00F84322" w:rsidP="00F84322">
      <w:pPr>
        <w:pStyle w:val="AERTitle1"/>
      </w:pPr>
    </w:p>
    <w:p w:rsidR="00F84322" w:rsidRDefault="00F84322" w:rsidP="00F84322">
      <w:pPr>
        <w:pStyle w:val="AERTitle1"/>
      </w:pPr>
    </w:p>
    <w:p w:rsidR="00F84322" w:rsidRDefault="00F84322" w:rsidP="00F84322">
      <w:pPr>
        <w:pStyle w:val="AERTitle1"/>
      </w:pPr>
    </w:p>
    <w:p w:rsidR="00F84322" w:rsidRDefault="00F84322" w:rsidP="00F84322">
      <w:pPr>
        <w:pStyle w:val="AERTitle1"/>
      </w:pPr>
    </w:p>
    <w:p w:rsidR="00FB5778" w:rsidRDefault="00FB5778" w:rsidP="00F84322">
      <w:pPr>
        <w:pStyle w:val="AERTitle1"/>
      </w:pPr>
    </w:p>
    <w:p w:rsidR="00F84322" w:rsidRDefault="00F84322" w:rsidP="00F84322">
      <w:pPr>
        <w:pStyle w:val="AERTitle1"/>
      </w:pPr>
      <w:r>
        <w:t xml:space="preserve">Customer consultation </w:t>
      </w:r>
      <w:r w:rsidR="00B56F04">
        <w:t>paper</w:t>
      </w:r>
    </w:p>
    <w:p w:rsidR="00F84322" w:rsidRDefault="00F84322" w:rsidP="00F84322">
      <w:pPr>
        <w:pStyle w:val="AERTitle1"/>
      </w:pPr>
    </w:p>
    <w:p w:rsidR="00F84322" w:rsidRDefault="00F84322" w:rsidP="00F84322">
      <w:pPr>
        <w:pStyle w:val="AERTitle1"/>
      </w:pPr>
      <w:r>
        <w:t xml:space="preserve">AER draft decisions on </w:t>
      </w:r>
      <w:r w:rsidR="00B71069">
        <w:br/>
      </w:r>
      <w:r>
        <w:t>access arrangements for Victorian gas transmission and distribution businesses 2013</w:t>
      </w:r>
      <w:r>
        <w:rPr>
          <w:rFonts w:cs="Gautami"/>
        </w:rPr>
        <w:t>–</w:t>
      </w:r>
      <w:r>
        <w:t>17</w:t>
      </w:r>
    </w:p>
    <w:p w:rsidR="00F84322" w:rsidRPr="00881628" w:rsidRDefault="00F84322" w:rsidP="00F84322">
      <w:pPr>
        <w:pStyle w:val="AERTitle1"/>
      </w:pPr>
    </w:p>
    <w:p w:rsidR="00F84322" w:rsidRPr="00881628" w:rsidRDefault="00F84322" w:rsidP="00F84322">
      <w:pPr>
        <w:pStyle w:val="AERTitle1"/>
      </w:pPr>
    </w:p>
    <w:p w:rsidR="00F84322" w:rsidRPr="00881628" w:rsidRDefault="00F84322" w:rsidP="00F84322">
      <w:pPr>
        <w:pStyle w:val="AERTitle1"/>
      </w:pPr>
    </w:p>
    <w:p w:rsidR="00F84322" w:rsidRPr="00881628" w:rsidRDefault="00002A8B" w:rsidP="00F84322">
      <w:pPr>
        <w:pStyle w:val="AERTitle2"/>
      </w:pPr>
      <w:r>
        <w:t>October</w:t>
      </w:r>
      <w:r w:rsidR="00F84322" w:rsidRPr="00881628">
        <w:t xml:space="preserve"> 2012</w:t>
      </w:r>
    </w:p>
    <w:p w:rsidR="00F84322" w:rsidRPr="00F6235D" w:rsidRDefault="00F84322" w:rsidP="00F84322">
      <w:pPr>
        <w:pStyle w:val="TOC1"/>
      </w:pPr>
      <w:r w:rsidRPr="00F6235D">
        <w:t xml:space="preserve"> </w:t>
      </w:r>
    </w:p>
    <w:p w:rsidR="00F84322" w:rsidRPr="00F6235D" w:rsidRDefault="00F84322" w:rsidP="00F84322">
      <w:pPr>
        <w:pStyle w:val="TOC1"/>
      </w:pPr>
      <w:r>
        <w:br w:type="page"/>
      </w:r>
      <w:r w:rsidRPr="00F6235D">
        <w:lastRenderedPageBreak/>
        <w:t>© Commonwealth of Australia 201</w:t>
      </w:r>
      <w:r>
        <w:t>2</w:t>
      </w:r>
    </w:p>
    <w:p w:rsidR="00F84322" w:rsidRPr="00F6235D" w:rsidRDefault="00F84322" w:rsidP="00F84322">
      <w:pPr>
        <w:pStyle w:val="AERbodytext"/>
      </w:pPr>
      <w:r w:rsidRPr="00F6235D">
        <w:t xml:space="preserve">This work is copyright. Apart from any use permitted by the Copyright Act 1968, no part may be reproduced without permission of the Australian Competition and Consumer Commission. Requests and inquiries concerning reproduction and rights should be addressed to the Director Publishing, Australian Competition and Consumer Commission, GPO Box 3131, </w:t>
      </w:r>
      <w:smartTag w:uri="urn:schemas-microsoft-com:office:smarttags" w:element="City">
        <w:smartTag w:uri="urn:schemas-microsoft-com:office:smarttags" w:element="place">
          <w:r w:rsidRPr="00F6235D">
            <w:t>Canberra</w:t>
          </w:r>
        </w:smartTag>
      </w:smartTag>
      <w:r w:rsidRPr="00F6235D">
        <w:t xml:space="preserve"> ACT 2601.</w:t>
      </w:r>
    </w:p>
    <w:p w:rsidR="00F84322" w:rsidRPr="00F6235D" w:rsidRDefault="00F84322" w:rsidP="00F84322">
      <w:pPr>
        <w:pStyle w:val="AERbodytext"/>
      </w:pPr>
    </w:p>
    <w:p w:rsidR="00F84322" w:rsidRPr="00F6235D" w:rsidRDefault="00F84322" w:rsidP="00F84322">
      <w:pPr>
        <w:pStyle w:val="TOC1"/>
      </w:pPr>
    </w:p>
    <w:p w:rsidR="00B0470F" w:rsidRDefault="002C306F" w:rsidP="00B0470F">
      <w:pPr>
        <w:pStyle w:val="AERheading1"/>
        <w:numPr>
          <w:ilvl w:val="0"/>
          <w:numId w:val="0"/>
        </w:numPr>
      </w:pPr>
      <w:r>
        <w:lastRenderedPageBreak/>
        <w:t>Brief o</w:t>
      </w:r>
      <w:r w:rsidR="00B0470F">
        <w:t>verview</w:t>
      </w:r>
    </w:p>
    <w:p w:rsidR="00F47153" w:rsidRDefault="00B0470F" w:rsidP="00F47153">
      <w:pPr>
        <w:pStyle w:val="AERbodytext"/>
      </w:pPr>
      <w:r>
        <w:t>This paper aims to assist c</w:t>
      </w:r>
      <w:r w:rsidR="00C153FA">
        <w:t>u</w:t>
      </w:r>
      <w:r>
        <w:t>s</w:t>
      </w:r>
      <w:r w:rsidR="00C153FA">
        <w:t>to</w:t>
      </w:r>
      <w:r>
        <w:t xml:space="preserve">mers and </w:t>
      </w:r>
      <w:r w:rsidR="00C153FA">
        <w:t>customer</w:t>
      </w:r>
      <w:r>
        <w:t xml:space="preserve"> representative groups to understand our recent draft decisions on prices for gas transmission and distribution </w:t>
      </w:r>
      <w:r w:rsidR="00B71069">
        <w:t xml:space="preserve">services </w:t>
      </w:r>
      <w:r>
        <w:t xml:space="preserve">in Victoria. </w:t>
      </w:r>
      <w:r w:rsidR="00F47153">
        <w:t xml:space="preserve">It provides background on our role in relation to gas networks, our approach to assessing transmission and distribution charges and key outcomes </w:t>
      </w:r>
      <w:r w:rsidR="00B04854">
        <w:t>in</w:t>
      </w:r>
      <w:r w:rsidR="00F47153">
        <w:t xml:space="preserve"> the draft decisions.</w:t>
      </w:r>
    </w:p>
    <w:p w:rsidR="005F4976" w:rsidRDefault="00F47153" w:rsidP="00F47153">
      <w:pPr>
        <w:pStyle w:val="AERbodytext"/>
      </w:pPr>
      <w:r>
        <w:t xml:space="preserve">Our aim is that this paper will enable </w:t>
      </w:r>
      <w:r w:rsidR="00C153FA">
        <w:t>customers</w:t>
      </w:r>
      <w:r>
        <w:t xml:space="preserve"> to better understand our process</w:t>
      </w:r>
      <w:r w:rsidR="00C153FA">
        <w:t xml:space="preserve">es. We hope this will facilitate greater customer engagement. </w:t>
      </w:r>
      <w:r w:rsidR="00B04854">
        <w:t>In particular, interested stakeholders are invited to make written submissions by 7 January 2013.</w:t>
      </w:r>
      <w:r w:rsidR="00B71069">
        <w:t xml:space="preserve"> </w:t>
      </w:r>
    </w:p>
    <w:p w:rsidR="005F4976" w:rsidRDefault="005F4976" w:rsidP="00F47153">
      <w:pPr>
        <w:pStyle w:val="AERbodytext"/>
      </w:pPr>
      <w:r w:rsidRPr="00B04854">
        <w:t xml:space="preserve">Submissions should be sent electronically to </w:t>
      </w:r>
      <w:hyperlink r:id="rId8" w:history="1">
        <w:r w:rsidRPr="00747F37">
          <w:rPr>
            <w:rStyle w:val="Hyperlink"/>
          </w:rPr>
          <w:t>VicGAAR@aer.gov.au</w:t>
        </w:r>
      </w:hyperlink>
      <w:r>
        <w:t xml:space="preserve"> and </w:t>
      </w:r>
      <w:r w:rsidRPr="00B04854">
        <w:t xml:space="preserve">addressed to the attention of Sebastian Roberts, General Manager, 2012 Victorian Gas Access Arrangement Review, </w:t>
      </w:r>
      <w:proofErr w:type="gramStart"/>
      <w:r w:rsidRPr="00B04854">
        <w:t>Australian</w:t>
      </w:r>
      <w:proofErr w:type="gramEnd"/>
      <w:r w:rsidRPr="00B04854">
        <w:t xml:space="preserve"> Energy Regulator.</w:t>
      </w:r>
    </w:p>
    <w:p w:rsidR="00F47153" w:rsidRDefault="00C153FA" w:rsidP="00F47153">
      <w:pPr>
        <w:pStyle w:val="AERbodytext"/>
      </w:pPr>
      <w:r>
        <w:t>A number of issues and trade-offs are discussed in this paper</w:t>
      </w:r>
      <w:r w:rsidR="00B04854">
        <w:t xml:space="preserve"> and in the draft decisions</w:t>
      </w:r>
      <w:r>
        <w:t xml:space="preserve">. While </w:t>
      </w:r>
      <w:r w:rsidR="00B71069">
        <w:t>this paper does not raise specific questions for</w:t>
      </w:r>
      <w:r>
        <w:t xml:space="preserve"> customers, </w:t>
      </w:r>
      <w:r w:rsidR="00B04854">
        <w:t xml:space="preserve">we </w:t>
      </w:r>
      <w:r>
        <w:t xml:space="preserve">hope that </w:t>
      </w:r>
      <w:r w:rsidR="00B71069">
        <w:t>it</w:t>
      </w:r>
      <w:r>
        <w:t xml:space="preserve"> highlights </w:t>
      </w:r>
      <w:r w:rsidR="00B04854">
        <w:t>some of the key issues and trade-offs that are most relevant to</w:t>
      </w:r>
      <w:r>
        <w:t xml:space="preserve"> customers</w:t>
      </w:r>
      <w:r w:rsidR="00B04854">
        <w:t xml:space="preserve">. Customers </w:t>
      </w:r>
      <w:r>
        <w:t xml:space="preserve">may wish to address </w:t>
      </w:r>
      <w:r w:rsidR="00B04854">
        <w:t xml:space="preserve">these and other issues </w:t>
      </w:r>
      <w:r>
        <w:t xml:space="preserve">in </w:t>
      </w:r>
      <w:r w:rsidR="00B04854">
        <w:t>any submissions they make to the process.</w:t>
      </w:r>
      <w:r>
        <w:t xml:space="preserve"> </w:t>
      </w:r>
    </w:p>
    <w:p w:rsidR="00B0470F" w:rsidRDefault="00B04854" w:rsidP="00F47153">
      <w:pPr>
        <w:pStyle w:val="AERbodytext"/>
      </w:pPr>
      <w:r>
        <w:t xml:space="preserve">In terms of timing, </w:t>
      </w:r>
      <w:r w:rsidR="006F01A5">
        <w:t>t</w:t>
      </w:r>
      <w:r w:rsidR="00F47153">
        <w:t>he review co</w:t>
      </w:r>
      <w:r w:rsidR="00297F52">
        <w:t>mmenc</w:t>
      </w:r>
      <w:r w:rsidR="00C153FA">
        <w:t>ed in March </w:t>
      </w:r>
      <w:r w:rsidR="00F47153">
        <w:t>2012 and f</w:t>
      </w:r>
      <w:r w:rsidR="006F01A5">
        <w:t>inal decisions are due in March </w:t>
      </w:r>
      <w:r w:rsidR="00F47153">
        <w:t>2013. See table 1 for a list of key dates.</w:t>
      </w:r>
    </w:p>
    <w:p w:rsidR="00F47153" w:rsidRPr="009C408F" w:rsidRDefault="00F47153" w:rsidP="00F47153">
      <w:pPr>
        <w:pStyle w:val="AERtabletitle"/>
        <w:numPr>
          <w:ilvl w:val="0"/>
          <w:numId w:val="0"/>
        </w:numPr>
        <w:ind w:left="1440" w:hanging="1440"/>
      </w:pPr>
      <w:r>
        <w:t>Table 1</w:t>
      </w:r>
      <w:r>
        <w:tab/>
        <w:t>K</w:t>
      </w:r>
      <w:r w:rsidRPr="0064758F">
        <w:t xml:space="preserve">ey </w:t>
      </w:r>
      <w:r>
        <w:t>dates for the review of Victorian gas transmission and distribution businesses</w:t>
      </w:r>
    </w:p>
    <w:tbl>
      <w:tblPr>
        <w:tblStyle w:val="AERtable-text"/>
        <w:tblW w:w="0" w:type="auto"/>
        <w:tblLook w:val="0020"/>
      </w:tblPr>
      <w:tblGrid>
        <w:gridCol w:w="4264"/>
        <w:gridCol w:w="4264"/>
      </w:tblGrid>
      <w:tr w:rsidR="00F47153" w:rsidRPr="002B715D" w:rsidTr="006F01A5">
        <w:trPr>
          <w:cnfStyle w:val="100000000000"/>
        </w:trPr>
        <w:tc>
          <w:tcPr>
            <w:tcW w:w="4264" w:type="dxa"/>
          </w:tcPr>
          <w:p w:rsidR="00F47153" w:rsidRPr="002B715D" w:rsidRDefault="00F47153" w:rsidP="00F47153">
            <w:pPr>
              <w:pStyle w:val="AERtabletextheading"/>
              <w:rPr>
                <w:rStyle w:val="AERtextbold"/>
                <w:b/>
              </w:rPr>
            </w:pPr>
            <w:r w:rsidRPr="002B715D">
              <w:rPr>
                <w:rStyle w:val="AERtextbold"/>
                <w:b/>
              </w:rPr>
              <w:t>Key stages in the decision making process</w:t>
            </w:r>
          </w:p>
        </w:tc>
        <w:tc>
          <w:tcPr>
            <w:tcW w:w="4264" w:type="dxa"/>
          </w:tcPr>
          <w:p w:rsidR="00F47153" w:rsidRPr="002B715D" w:rsidRDefault="00F47153" w:rsidP="00F47153">
            <w:pPr>
              <w:pStyle w:val="AERtabletextheading"/>
              <w:rPr>
                <w:rStyle w:val="AERtextbold"/>
                <w:b/>
              </w:rPr>
            </w:pPr>
            <w:r w:rsidRPr="002B715D">
              <w:rPr>
                <w:rStyle w:val="AERtextbold"/>
                <w:b/>
              </w:rPr>
              <w:t>Scheduled date</w:t>
            </w:r>
          </w:p>
        </w:tc>
      </w:tr>
      <w:tr w:rsidR="00F47153" w:rsidTr="006F01A5">
        <w:tc>
          <w:tcPr>
            <w:tcW w:w="4264" w:type="dxa"/>
          </w:tcPr>
          <w:p w:rsidR="00F47153" w:rsidRPr="00E05F7E" w:rsidRDefault="00F47153" w:rsidP="00F47153">
            <w:pPr>
              <w:pStyle w:val="AERtabletext"/>
            </w:pPr>
            <w:r>
              <w:t>Business</w:t>
            </w:r>
            <w:r w:rsidRPr="00E05F7E">
              <w:t xml:space="preserve"> proposal</w:t>
            </w:r>
            <w:r>
              <w:t>s submitted</w:t>
            </w:r>
          </w:p>
        </w:tc>
        <w:tc>
          <w:tcPr>
            <w:tcW w:w="4264" w:type="dxa"/>
          </w:tcPr>
          <w:p w:rsidR="00F47153" w:rsidRPr="00E05F7E" w:rsidRDefault="00F47153" w:rsidP="00F47153">
            <w:pPr>
              <w:pStyle w:val="AERtabletext"/>
            </w:pPr>
            <w:r w:rsidRPr="00E05F7E">
              <w:t>30 March 2012</w:t>
            </w:r>
            <w:r>
              <w:t xml:space="preserve"> (published 2 May 2012)</w:t>
            </w:r>
          </w:p>
        </w:tc>
      </w:tr>
      <w:tr w:rsidR="00F47153" w:rsidTr="006F01A5">
        <w:trPr>
          <w:cnfStyle w:val="000000010000"/>
        </w:trPr>
        <w:tc>
          <w:tcPr>
            <w:tcW w:w="4264" w:type="dxa"/>
          </w:tcPr>
          <w:p w:rsidR="00F47153" w:rsidRPr="00E05F7E" w:rsidRDefault="00F47153" w:rsidP="00F47153">
            <w:pPr>
              <w:pStyle w:val="AERtabletext"/>
            </w:pPr>
            <w:r w:rsidRPr="00E05F7E">
              <w:t>AER draft decision</w:t>
            </w:r>
            <w:r>
              <w:t>s</w:t>
            </w:r>
            <w:r w:rsidRPr="00E05F7E">
              <w:t xml:space="preserve"> released</w:t>
            </w:r>
          </w:p>
        </w:tc>
        <w:tc>
          <w:tcPr>
            <w:tcW w:w="4264" w:type="dxa"/>
          </w:tcPr>
          <w:p w:rsidR="00F47153" w:rsidRDefault="00F47153" w:rsidP="00F47153">
            <w:pPr>
              <w:pStyle w:val="AERtabletext"/>
            </w:pPr>
            <w:r w:rsidRPr="00E05F7E">
              <w:t>10 September 2012</w:t>
            </w:r>
            <w:r>
              <w:t xml:space="preserve"> for APA </w:t>
            </w:r>
            <w:proofErr w:type="spellStart"/>
            <w:r>
              <w:t>GasNet</w:t>
            </w:r>
            <w:proofErr w:type="spellEnd"/>
            <w:r>
              <w:t xml:space="preserve"> and SP </w:t>
            </w:r>
            <w:proofErr w:type="spellStart"/>
            <w:r>
              <w:t>AusNet</w:t>
            </w:r>
            <w:proofErr w:type="spellEnd"/>
          </w:p>
          <w:p w:rsidR="00F47153" w:rsidRPr="00E05F7E" w:rsidRDefault="00F47153" w:rsidP="00F47153">
            <w:pPr>
              <w:pStyle w:val="AERtabletext"/>
            </w:pPr>
            <w:r>
              <w:t xml:space="preserve">21 September 2012 for </w:t>
            </w:r>
            <w:proofErr w:type="spellStart"/>
            <w:r>
              <w:t>Multinet</w:t>
            </w:r>
            <w:proofErr w:type="spellEnd"/>
            <w:r>
              <w:t xml:space="preserve"> and </w:t>
            </w:r>
            <w:proofErr w:type="spellStart"/>
            <w:r>
              <w:t>Envestra</w:t>
            </w:r>
            <w:proofErr w:type="spellEnd"/>
          </w:p>
        </w:tc>
      </w:tr>
      <w:tr w:rsidR="006F01A5" w:rsidTr="006F01A5">
        <w:tc>
          <w:tcPr>
            <w:tcW w:w="4264" w:type="dxa"/>
          </w:tcPr>
          <w:p w:rsidR="006F01A5" w:rsidRDefault="006F01A5" w:rsidP="00F47153">
            <w:pPr>
              <w:pStyle w:val="AERtabletext"/>
            </w:pPr>
            <w:r>
              <w:t>Revised</w:t>
            </w:r>
            <w:r w:rsidRPr="00E05F7E">
              <w:t xml:space="preserve"> proposal</w:t>
            </w:r>
            <w:r>
              <w:t>s</w:t>
            </w:r>
            <w:r w:rsidRPr="00E05F7E">
              <w:t xml:space="preserve"> to be submitted</w:t>
            </w:r>
          </w:p>
        </w:tc>
        <w:tc>
          <w:tcPr>
            <w:tcW w:w="4264" w:type="dxa"/>
          </w:tcPr>
          <w:p w:rsidR="006F01A5" w:rsidRPr="00E05F7E" w:rsidRDefault="006F01A5" w:rsidP="00F47153">
            <w:pPr>
              <w:pStyle w:val="AERtabletext"/>
            </w:pPr>
            <w:r w:rsidRPr="00E05F7E">
              <w:t>9 November 2012</w:t>
            </w:r>
          </w:p>
        </w:tc>
      </w:tr>
      <w:tr w:rsidR="00F47153" w:rsidTr="006F01A5">
        <w:trPr>
          <w:cnfStyle w:val="000000010000"/>
        </w:trPr>
        <w:tc>
          <w:tcPr>
            <w:tcW w:w="4264" w:type="dxa"/>
          </w:tcPr>
          <w:p w:rsidR="00F47153" w:rsidRPr="00E05F7E" w:rsidRDefault="00F47153" w:rsidP="00F47153">
            <w:pPr>
              <w:pStyle w:val="AERtabletext"/>
            </w:pPr>
            <w:r w:rsidRPr="00E05F7E">
              <w:t>Submissions on revised proposal due</w:t>
            </w:r>
          </w:p>
        </w:tc>
        <w:tc>
          <w:tcPr>
            <w:tcW w:w="4264" w:type="dxa"/>
          </w:tcPr>
          <w:p w:rsidR="00F47153" w:rsidRPr="00E05F7E" w:rsidRDefault="00F47153" w:rsidP="00F47153">
            <w:pPr>
              <w:pStyle w:val="AERtabletext"/>
            </w:pPr>
            <w:r w:rsidRPr="00E05F7E">
              <w:t>7 January 2013</w:t>
            </w:r>
          </w:p>
        </w:tc>
      </w:tr>
      <w:tr w:rsidR="00F47153" w:rsidTr="006F01A5">
        <w:tc>
          <w:tcPr>
            <w:tcW w:w="4264" w:type="dxa"/>
          </w:tcPr>
          <w:p w:rsidR="00F47153" w:rsidRPr="00E05F7E" w:rsidRDefault="00F47153" w:rsidP="00F47153">
            <w:pPr>
              <w:pStyle w:val="AERtabletext"/>
            </w:pPr>
            <w:r w:rsidRPr="00E05F7E">
              <w:t>Release of AER final decision</w:t>
            </w:r>
          </w:p>
        </w:tc>
        <w:tc>
          <w:tcPr>
            <w:tcW w:w="4264" w:type="dxa"/>
          </w:tcPr>
          <w:p w:rsidR="00F47153" w:rsidRPr="00E05F7E" w:rsidRDefault="00F47153" w:rsidP="00F47153">
            <w:pPr>
              <w:pStyle w:val="AERtabletext"/>
            </w:pPr>
            <w:r w:rsidRPr="00E05F7E">
              <w:t>March 2013</w:t>
            </w:r>
          </w:p>
        </w:tc>
      </w:tr>
    </w:tbl>
    <w:p w:rsidR="00C153FA" w:rsidRDefault="00C153FA" w:rsidP="00F47153">
      <w:pPr>
        <w:pStyle w:val="AERbodytext"/>
      </w:pPr>
    </w:p>
    <w:p w:rsidR="002E0068" w:rsidRDefault="002E0068" w:rsidP="00B0470F">
      <w:pPr>
        <w:pStyle w:val="AERheading1"/>
      </w:pPr>
      <w:r>
        <w:lastRenderedPageBreak/>
        <w:t xml:space="preserve">Purpose and </w:t>
      </w:r>
      <w:r w:rsidR="00A93D1D">
        <w:t>context</w:t>
      </w:r>
    </w:p>
    <w:p w:rsidR="00B56F04" w:rsidRDefault="002E0068" w:rsidP="00AA6B41">
      <w:pPr>
        <w:pStyle w:val="AERbodytext"/>
      </w:pPr>
      <w:r>
        <w:t xml:space="preserve">The </w:t>
      </w:r>
      <w:r w:rsidR="00862BCB">
        <w:t>Australian Energy Regulator (</w:t>
      </w:r>
      <w:r w:rsidR="008C166B">
        <w:t>AER</w:t>
      </w:r>
      <w:r w:rsidR="00862BCB">
        <w:t>)</w:t>
      </w:r>
      <w:r w:rsidR="008C166B">
        <w:t xml:space="preserve"> recently released draft decisions on access arrangements for Victorian gas transmission and distribution businesses for the 2013</w:t>
      </w:r>
      <w:r w:rsidR="008C166B">
        <w:rPr>
          <w:rFonts w:cs="Gautami"/>
        </w:rPr>
        <w:t>–</w:t>
      </w:r>
      <w:r w:rsidR="008C166B">
        <w:t xml:space="preserve">17 </w:t>
      </w:r>
      <w:proofErr w:type="gramStart"/>
      <w:r w:rsidR="008C166B">
        <w:t>period</w:t>
      </w:r>
      <w:proofErr w:type="gramEnd"/>
      <w:r w:rsidR="008C166B">
        <w:t xml:space="preserve">. </w:t>
      </w:r>
      <w:r w:rsidR="00E26B55">
        <w:t xml:space="preserve">Among other things, </w:t>
      </w:r>
      <w:r w:rsidR="00E20AF8">
        <w:t>access</w:t>
      </w:r>
      <w:r w:rsidR="00E26B55">
        <w:t xml:space="preserve"> arrangements set the </w:t>
      </w:r>
      <w:r w:rsidR="009F3F46">
        <w:t xml:space="preserve">conditions, including tariffs or </w:t>
      </w:r>
      <w:r w:rsidR="00E26B55">
        <w:t>price</w:t>
      </w:r>
      <w:r w:rsidR="009F3F46">
        <w:t>s</w:t>
      </w:r>
      <w:r w:rsidR="00E26B55">
        <w:t xml:space="preserve"> paid for the transportation of gas to gas </w:t>
      </w:r>
      <w:r w:rsidR="009F3F46">
        <w:t>customers</w:t>
      </w:r>
      <w:r w:rsidR="00E26B55">
        <w:t xml:space="preserve">. </w:t>
      </w:r>
    </w:p>
    <w:p w:rsidR="002E0068" w:rsidRDefault="008C166B" w:rsidP="00AA6B41">
      <w:pPr>
        <w:pStyle w:val="AERbodytext"/>
      </w:pPr>
      <w:r>
        <w:t xml:space="preserve">This document </w:t>
      </w:r>
      <w:r w:rsidR="009F3F46">
        <w:t>aim</w:t>
      </w:r>
      <w:r>
        <w:t xml:space="preserve">s to make </w:t>
      </w:r>
      <w:r w:rsidR="009F3F46">
        <w:t>our</w:t>
      </w:r>
      <w:r w:rsidR="00E26B55">
        <w:t xml:space="preserve"> draft decisions</w:t>
      </w:r>
      <w:r>
        <w:t xml:space="preserve"> more accessible to consumers with the ultimate </w:t>
      </w:r>
      <w:r w:rsidR="009F32EC">
        <w:t xml:space="preserve">objective </w:t>
      </w:r>
      <w:r>
        <w:t xml:space="preserve">of </w:t>
      </w:r>
      <w:r w:rsidR="009F3F46">
        <w:t>encouraging</w:t>
      </w:r>
      <w:r>
        <w:t xml:space="preserve"> better </w:t>
      </w:r>
      <w:r w:rsidR="00CF1EDC">
        <w:t>customer</w:t>
      </w:r>
      <w:r>
        <w:t xml:space="preserve"> engagement.</w:t>
      </w:r>
      <w:r w:rsidR="00B56F04">
        <w:t xml:space="preserve"> It</w:t>
      </w:r>
      <w:r w:rsidR="00AA6B41">
        <w:t xml:space="preserve"> </w:t>
      </w:r>
      <w:r w:rsidR="002E0068">
        <w:t>provide</w:t>
      </w:r>
      <w:r>
        <w:t>s</w:t>
      </w:r>
      <w:r w:rsidR="002E0068">
        <w:t xml:space="preserve"> background and context to </w:t>
      </w:r>
      <w:r w:rsidR="009F3F46">
        <w:t>our</w:t>
      </w:r>
      <w:r w:rsidR="002E0068">
        <w:t xml:space="preserve"> </w:t>
      </w:r>
      <w:r w:rsidR="004B00B1">
        <w:t xml:space="preserve">recent </w:t>
      </w:r>
      <w:r w:rsidR="002E0068">
        <w:t>draft decisions</w:t>
      </w:r>
      <w:r>
        <w:t>. I</w:t>
      </w:r>
      <w:r w:rsidR="00B56F04">
        <w:t>n particular, i</w:t>
      </w:r>
      <w:r>
        <w:t>t:</w:t>
      </w:r>
    </w:p>
    <w:p w:rsidR="002E0068" w:rsidRDefault="008C166B" w:rsidP="002E0068">
      <w:pPr>
        <w:pStyle w:val="AERbulletlistfirststyle"/>
      </w:pPr>
      <w:r>
        <w:t>provides</w:t>
      </w:r>
      <w:r w:rsidR="00AA6B41">
        <w:t xml:space="preserve"> an overview of the Victorian gas industry</w:t>
      </w:r>
    </w:p>
    <w:p w:rsidR="002E0068" w:rsidRDefault="009F3F46" w:rsidP="002E0068">
      <w:pPr>
        <w:pStyle w:val="AERbulletlistfirststyle"/>
      </w:pPr>
      <w:r>
        <w:t>describes our</w:t>
      </w:r>
      <w:r w:rsidR="002E0068">
        <w:t xml:space="preserve"> role in </w:t>
      </w:r>
      <w:r w:rsidR="00896978">
        <w:t>regulating</w:t>
      </w:r>
      <w:r w:rsidR="002E0068">
        <w:t xml:space="preserve"> </w:t>
      </w:r>
      <w:r w:rsidR="00AA6B41">
        <w:t xml:space="preserve">gas transmission and distribution </w:t>
      </w:r>
      <w:r w:rsidR="00896978">
        <w:t xml:space="preserve">tariffs </w:t>
      </w:r>
      <w:r>
        <w:t xml:space="preserve">(prices) </w:t>
      </w:r>
      <w:r w:rsidR="00AA6B41">
        <w:t>in Victoria</w:t>
      </w:r>
    </w:p>
    <w:p w:rsidR="006C49A8" w:rsidRDefault="008C166B" w:rsidP="002E0068">
      <w:pPr>
        <w:pStyle w:val="AERbulletlistfirststyle"/>
      </w:pPr>
      <w:r>
        <w:t xml:space="preserve">describes </w:t>
      </w:r>
      <w:r w:rsidR="009F3F46">
        <w:t>our</w:t>
      </w:r>
      <w:r w:rsidR="00AA6B41">
        <w:t xml:space="preserve"> approach to assessing </w:t>
      </w:r>
      <w:r w:rsidR="006C49A8">
        <w:t xml:space="preserve">the </w:t>
      </w:r>
      <w:r w:rsidR="00AA6B41">
        <w:t>proposals</w:t>
      </w:r>
      <w:r w:rsidR="006C49A8">
        <w:t xml:space="preserve"> made by gas</w:t>
      </w:r>
      <w:r w:rsidR="009F3F46">
        <w:t xml:space="preserve"> transmission and distribution businesses for use of</w:t>
      </w:r>
      <w:r w:rsidR="00E26B55">
        <w:t xml:space="preserve"> </w:t>
      </w:r>
      <w:r w:rsidR="009F3F46">
        <w:t xml:space="preserve">their </w:t>
      </w:r>
      <w:r w:rsidR="006C49A8">
        <w:t>pipeline services</w:t>
      </w:r>
    </w:p>
    <w:p w:rsidR="00AA6B41" w:rsidRDefault="006C49A8" w:rsidP="002E0068">
      <w:pPr>
        <w:pStyle w:val="AERbulletlistfirststyle"/>
      </w:pPr>
      <w:r>
        <w:t>explains</w:t>
      </w:r>
      <w:r w:rsidR="00AA6B41">
        <w:t xml:space="preserve"> </w:t>
      </w:r>
      <w:r w:rsidR="009F3F46">
        <w:t>the</w:t>
      </w:r>
      <w:r w:rsidR="00AA6B41">
        <w:t xml:space="preserve"> </w:t>
      </w:r>
      <w:r w:rsidR="000D1B7B">
        <w:t xml:space="preserve">legal and economic </w:t>
      </w:r>
      <w:r w:rsidR="00AA6B41">
        <w:t xml:space="preserve">framework </w:t>
      </w:r>
      <w:r w:rsidR="009F3F46">
        <w:t xml:space="preserve">we </w:t>
      </w:r>
      <w:r w:rsidR="00AA6B41">
        <w:t xml:space="preserve">use to determine </w:t>
      </w:r>
      <w:r w:rsidR="009F3F46">
        <w:t xml:space="preserve">how much </w:t>
      </w:r>
      <w:r w:rsidR="00AA6B41">
        <w:t xml:space="preserve">revenue </w:t>
      </w:r>
      <w:r w:rsidR="009F3F46">
        <w:t xml:space="preserve">the businesses need </w:t>
      </w:r>
      <w:r w:rsidR="00AA6B41">
        <w:t xml:space="preserve">and </w:t>
      </w:r>
      <w:r w:rsidR="009F3F46">
        <w:t xml:space="preserve">the </w:t>
      </w:r>
      <w:r w:rsidR="00AA6B41">
        <w:t>prices</w:t>
      </w:r>
      <w:r w:rsidR="009F3F46">
        <w:t xml:space="preserve"> they can charge their customers</w:t>
      </w:r>
    </w:p>
    <w:p w:rsidR="004B00B1" w:rsidRDefault="004B00B1" w:rsidP="002E0068">
      <w:pPr>
        <w:pStyle w:val="AERbulletlistfirststyle"/>
      </w:pPr>
      <w:proofErr w:type="gramStart"/>
      <w:r>
        <w:t>highlight</w:t>
      </w:r>
      <w:r w:rsidR="008C166B">
        <w:t>s</w:t>
      </w:r>
      <w:proofErr w:type="gramEnd"/>
      <w:r>
        <w:t xml:space="preserve"> key issues in the draft decisions.</w:t>
      </w:r>
    </w:p>
    <w:p w:rsidR="00FB5778" w:rsidRDefault="004B00B1" w:rsidP="004B00B1">
      <w:pPr>
        <w:pStyle w:val="AERbodytext"/>
      </w:pPr>
      <w:r w:rsidRPr="00B70DDB">
        <w:t xml:space="preserve">In addition, this document </w:t>
      </w:r>
      <w:r w:rsidR="00B56F04" w:rsidRPr="00B70DDB">
        <w:t xml:space="preserve">provides an overview of the next steps for </w:t>
      </w:r>
      <w:r w:rsidR="009F3F46">
        <w:t>our</w:t>
      </w:r>
      <w:r w:rsidR="00B56F04" w:rsidRPr="00B70DDB">
        <w:t xml:space="preserve"> review of Victorian transmission and distribution businesses</w:t>
      </w:r>
      <w:r w:rsidR="009F3F46">
        <w:t xml:space="preserve"> and how consumers can be part of this process</w:t>
      </w:r>
      <w:r w:rsidRPr="00B70DDB">
        <w:t>.</w:t>
      </w:r>
      <w:r>
        <w:t xml:space="preserve"> </w:t>
      </w:r>
    </w:p>
    <w:p w:rsidR="00943FA9" w:rsidRDefault="00E20AF8" w:rsidP="00943FA9">
      <w:pPr>
        <w:pStyle w:val="AERheading2"/>
      </w:pPr>
      <w:r>
        <w:t xml:space="preserve">Importance of </w:t>
      </w:r>
      <w:r w:rsidR="00CF1EDC">
        <w:t>customer</w:t>
      </w:r>
      <w:r>
        <w:t xml:space="preserve"> engagement</w:t>
      </w:r>
    </w:p>
    <w:p w:rsidR="002871E9" w:rsidRDefault="002871E9" w:rsidP="002871E9">
      <w:pPr>
        <w:pStyle w:val="AERbodytext"/>
      </w:pPr>
      <w:r>
        <w:t xml:space="preserve">The overarching objective of gas regulation </w:t>
      </w:r>
      <w:r w:rsidRPr="00943FA9">
        <w:t xml:space="preserve">is </w:t>
      </w:r>
      <w:r w:rsidR="009F3F46">
        <w:t xml:space="preserve">given by the National Gas Objective. The National Gas Objective is </w:t>
      </w:r>
      <w:r>
        <w:t>‘</w:t>
      </w:r>
      <w:r w:rsidRPr="00943FA9">
        <w:t>to</w:t>
      </w:r>
      <w:r>
        <w:t xml:space="preserve"> </w:t>
      </w:r>
      <w:r w:rsidRPr="00943FA9">
        <w:t>promote efficient investment in, and efficient operation and use of, natural gas services for the long term interests of consumers of natural gas with respect to price, quality, safety</w:t>
      </w:r>
      <w:r>
        <w:t>, reliability and security of supply of natural gas’</w:t>
      </w:r>
      <w:r w:rsidR="009F3F46">
        <w:t xml:space="preserve">. </w:t>
      </w:r>
    </w:p>
    <w:p w:rsidR="002871E9" w:rsidRDefault="002871E9" w:rsidP="004B00B1">
      <w:pPr>
        <w:pStyle w:val="AERbodytext"/>
      </w:pPr>
      <w:r>
        <w:t xml:space="preserve">In </w:t>
      </w:r>
      <w:r w:rsidR="008F1A0D">
        <w:t>line with this objective</w:t>
      </w:r>
      <w:r>
        <w:t xml:space="preserve">, understanding consumer interests is central to </w:t>
      </w:r>
      <w:r w:rsidR="009F3F46">
        <w:t>our</w:t>
      </w:r>
      <w:r>
        <w:t xml:space="preserve"> role in regulating gas</w:t>
      </w:r>
      <w:r w:rsidR="003B220F">
        <w:t xml:space="preserve"> transmission and distribution</w:t>
      </w:r>
      <w:r>
        <w:t xml:space="preserve">. </w:t>
      </w:r>
    </w:p>
    <w:p w:rsidR="00896978" w:rsidRDefault="009F3F46" w:rsidP="004B00B1">
      <w:pPr>
        <w:pStyle w:val="AERbodytext"/>
      </w:pPr>
      <w:r>
        <w:t xml:space="preserve">Our </w:t>
      </w:r>
      <w:r w:rsidR="00EE2C0E">
        <w:t>documents</w:t>
      </w:r>
      <w:r w:rsidR="004B00B1">
        <w:t xml:space="preserve"> can at times be complex and difficult to understand for </w:t>
      </w:r>
      <w:r>
        <w:t xml:space="preserve">customers and they </w:t>
      </w:r>
      <w:r w:rsidR="004B00B1">
        <w:t xml:space="preserve">may find it difficult to engage with </w:t>
      </w:r>
      <w:r>
        <w:t>us through our</w:t>
      </w:r>
      <w:r w:rsidR="004B00B1">
        <w:t xml:space="preserve"> usual processes. </w:t>
      </w:r>
    </w:p>
    <w:p w:rsidR="00FB5778" w:rsidRDefault="004B00B1" w:rsidP="004B00B1">
      <w:pPr>
        <w:pStyle w:val="AERbodytext"/>
      </w:pPr>
      <w:r>
        <w:t xml:space="preserve">This document </w:t>
      </w:r>
      <w:r w:rsidR="00B56F04">
        <w:t>is</w:t>
      </w:r>
      <w:r>
        <w:t xml:space="preserve"> written with consumers in mind</w:t>
      </w:r>
      <w:r w:rsidR="00896978">
        <w:t xml:space="preserve">. </w:t>
      </w:r>
      <w:r w:rsidR="009F3F46">
        <w:t>We would like to promote a</w:t>
      </w:r>
      <w:r>
        <w:t xml:space="preserve"> better understanding and engagement from consumers </w:t>
      </w:r>
      <w:r w:rsidR="00896978">
        <w:t xml:space="preserve">in relation to </w:t>
      </w:r>
      <w:r w:rsidR="009F3F46">
        <w:t>our</w:t>
      </w:r>
      <w:r w:rsidR="00896978">
        <w:t xml:space="preserve"> role in regulating gas transmission and distribution </w:t>
      </w:r>
      <w:r w:rsidR="00B56F04">
        <w:t>businesses</w:t>
      </w:r>
      <w:r w:rsidR="00896978">
        <w:t xml:space="preserve">. Through this </w:t>
      </w:r>
      <w:r w:rsidR="00263637">
        <w:t>we</w:t>
      </w:r>
      <w:r w:rsidR="00896978">
        <w:t xml:space="preserve"> hope to better understand the needs and preferences of consumers so that we can better </w:t>
      </w:r>
      <w:r w:rsidR="009F3F46">
        <w:t>consider</w:t>
      </w:r>
      <w:r w:rsidR="00896978">
        <w:t xml:space="preserve"> these </w:t>
      </w:r>
      <w:r w:rsidR="009F3F46">
        <w:t xml:space="preserve">when we make our decisions </w:t>
      </w:r>
      <w:r w:rsidR="00C26780">
        <w:t>in relation to gas transmission and distribution</w:t>
      </w:r>
      <w:r w:rsidR="00896978">
        <w:t xml:space="preserve">. </w:t>
      </w:r>
    </w:p>
    <w:p w:rsidR="00FB5778" w:rsidRDefault="004761FE" w:rsidP="00FB5778">
      <w:pPr>
        <w:pStyle w:val="AERbodytext"/>
      </w:pPr>
      <w:r>
        <w:t xml:space="preserve">More </w:t>
      </w:r>
      <w:r w:rsidR="00CF1EDC">
        <w:t>customer</w:t>
      </w:r>
      <w:r w:rsidR="00EE2C0E">
        <w:t xml:space="preserve"> engagement benefits </w:t>
      </w:r>
      <w:r w:rsidR="00FC6798">
        <w:t>customers</w:t>
      </w:r>
      <w:r w:rsidR="00EE2C0E">
        <w:t xml:space="preserve">. </w:t>
      </w:r>
      <w:r w:rsidR="00FB5778">
        <w:t xml:space="preserve">While </w:t>
      </w:r>
      <w:r w:rsidR="00FC6798">
        <w:t xml:space="preserve">customers </w:t>
      </w:r>
      <w:r w:rsidR="00FB5778">
        <w:t>do not directly deal with gas transmission and distribution businesses</w:t>
      </w:r>
      <w:r w:rsidR="008C166B">
        <w:t xml:space="preserve">, they </w:t>
      </w:r>
      <w:r w:rsidR="006C49CA">
        <w:t>do</w:t>
      </w:r>
      <w:r w:rsidR="008C166B">
        <w:t xml:space="preserve"> ultimately bear the cost</w:t>
      </w:r>
      <w:r w:rsidR="00EE2C0E">
        <w:t>s</w:t>
      </w:r>
      <w:r w:rsidR="008C166B">
        <w:t xml:space="preserve"> of </w:t>
      </w:r>
      <w:r w:rsidR="00EE2C0E">
        <w:t>these</w:t>
      </w:r>
      <w:r w:rsidR="008C166B">
        <w:t xml:space="preserve"> services. </w:t>
      </w:r>
      <w:r w:rsidR="00EE2C0E">
        <w:t xml:space="preserve">To the extent that </w:t>
      </w:r>
      <w:r w:rsidR="00CF1EDC">
        <w:t xml:space="preserve">customers </w:t>
      </w:r>
      <w:r w:rsidR="00A93D1D">
        <w:t xml:space="preserve">can provide information that will </w:t>
      </w:r>
      <w:r w:rsidR="009F3F46">
        <w:t>help us</w:t>
      </w:r>
      <w:r w:rsidR="00A93D1D">
        <w:t xml:space="preserve"> in assessing businesses’ proposals, this could ultimately benefit </w:t>
      </w:r>
      <w:r w:rsidR="00FC6798">
        <w:t xml:space="preserve">customers </w:t>
      </w:r>
      <w:r w:rsidR="00B56F04">
        <w:t>where the result is</w:t>
      </w:r>
      <w:r w:rsidR="00A93D1D">
        <w:t xml:space="preserve"> lower prices for </w:t>
      </w:r>
      <w:r w:rsidR="00B56F04">
        <w:t xml:space="preserve">gas </w:t>
      </w:r>
      <w:r w:rsidR="00A93D1D">
        <w:t>transmission and distribution</w:t>
      </w:r>
      <w:r w:rsidR="00B56F04">
        <w:t>, or improved services</w:t>
      </w:r>
      <w:r w:rsidR="00A93D1D">
        <w:t xml:space="preserve">. </w:t>
      </w:r>
    </w:p>
    <w:p w:rsidR="00EE2C0E" w:rsidRPr="00FB5778" w:rsidRDefault="00E20AF8" w:rsidP="00A93D1D">
      <w:pPr>
        <w:pStyle w:val="AERheading2"/>
      </w:pPr>
      <w:r>
        <w:t>Where to find the draft decisions and other related material</w:t>
      </w:r>
    </w:p>
    <w:p w:rsidR="00A93D1D" w:rsidRDefault="00896978" w:rsidP="004B00B1">
      <w:pPr>
        <w:pStyle w:val="AERbodytext"/>
      </w:pPr>
      <w:r>
        <w:t>This document should be read in conjunction with the AER’s draft decisions</w:t>
      </w:r>
      <w:r w:rsidR="00A93D1D">
        <w:t xml:space="preserve"> and other supporting material:</w:t>
      </w:r>
    </w:p>
    <w:p w:rsidR="00A93D1D" w:rsidRDefault="00A93D1D" w:rsidP="00A93D1D">
      <w:pPr>
        <w:pStyle w:val="AERbulletlistfirststyle"/>
      </w:pPr>
      <w:r>
        <w:t xml:space="preserve">The </w:t>
      </w:r>
      <w:r w:rsidR="00B56F04">
        <w:t xml:space="preserve">AER </w:t>
      </w:r>
      <w:r>
        <w:t>draft decisions</w:t>
      </w:r>
      <w:r w:rsidR="00FE2E2A" w:rsidRPr="00B56F04">
        <w:t>, business proposals and other supporting</w:t>
      </w:r>
      <w:r w:rsidR="00FE2E2A">
        <w:t xml:space="preserve"> material </w:t>
      </w:r>
      <w:r>
        <w:t xml:space="preserve">can be found on the AER’s website: </w:t>
      </w:r>
    </w:p>
    <w:p w:rsidR="00A93D1D" w:rsidRDefault="00A93D1D" w:rsidP="00A93D1D">
      <w:pPr>
        <w:pStyle w:val="AERbulletlistsecondstyle"/>
      </w:pPr>
      <w:r>
        <w:t xml:space="preserve">APA </w:t>
      </w:r>
      <w:proofErr w:type="spellStart"/>
      <w:r>
        <w:t>GasNet</w:t>
      </w:r>
      <w:proofErr w:type="spellEnd"/>
      <w:r w:rsidR="00B56F04">
        <w:t>:</w:t>
      </w:r>
      <w:r>
        <w:t xml:space="preserve"> </w:t>
      </w:r>
      <w:hyperlink r:id="rId9" w:history="1">
        <w:r w:rsidRPr="0019246A">
          <w:rPr>
            <w:rStyle w:val="Hyperlink"/>
          </w:rPr>
          <w:t>http://www.aer.gov.au/node/13556</w:t>
        </w:r>
      </w:hyperlink>
    </w:p>
    <w:p w:rsidR="00A93D1D" w:rsidRDefault="00A93D1D" w:rsidP="00A93D1D">
      <w:pPr>
        <w:pStyle w:val="AERbulletlistsecondstyle"/>
      </w:pPr>
      <w:proofErr w:type="spellStart"/>
      <w:r>
        <w:t>Envestra</w:t>
      </w:r>
      <w:proofErr w:type="spellEnd"/>
      <w:r>
        <w:t xml:space="preserve">: </w:t>
      </w:r>
      <w:hyperlink r:id="rId10" w:history="1">
        <w:r w:rsidRPr="0019246A">
          <w:rPr>
            <w:rStyle w:val="Hyperlink"/>
          </w:rPr>
          <w:t>http://www.aer.gov.au/node/14473</w:t>
        </w:r>
      </w:hyperlink>
      <w:r>
        <w:t xml:space="preserve"> </w:t>
      </w:r>
    </w:p>
    <w:p w:rsidR="00A93D1D" w:rsidRDefault="00A93D1D" w:rsidP="00A93D1D">
      <w:pPr>
        <w:pStyle w:val="AERbulletlistsecondstyle"/>
      </w:pPr>
      <w:r>
        <w:t xml:space="preserve">SP </w:t>
      </w:r>
      <w:proofErr w:type="spellStart"/>
      <w:r>
        <w:t>AusNet</w:t>
      </w:r>
      <w:proofErr w:type="spellEnd"/>
      <w:r>
        <w:t xml:space="preserve">: </w:t>
      </w:r>
      <w:hyperlink r:id="rId11" w:history="1">
        <w:r w:rsidRPr="0019246A">
          <w:rPr>
            <w:rStyle w:val="Hyperlink"/>
          </w:rPr>
          <w:t>http://www.aer.gov.au/node/4810</w:t>
        </w:r>
      </w:hyperlink>
      <w:r>
        <w:t xml:space="preserve"> </w:t>
      </w:r>
    </w:p>
    <w:p w:rsidR="00A93D1D" w:rsidRDefault="00A93D1D" w:rsidP="00A93D1D">
      <w:pPr>
        <w:pStyle w:val="AERbulletlistsecondstyle"/>
      </w:pPr>
      <w:proofErr w:type="spellStart"/>
      <w:r>
        <w:t>Multinet</w:t>
      </w:r>
      <w:proofErr w:type="spellEnd"/>
      <w:r>
        <w:t xml:space="preserve">: </w:t>
      </w:r>
      <w:hyperlink r:id="rId12" w:history="1">
        <w:r w:rsidRPr="0019246A">
          <w:rPr>
            <w:rStyle w:val="Hyperlink"/>
          </w:rPr>
          <w:t>http://www.aer.gov.au/node/4799</w:t>
        </w:r>
      </w:hyperlink>
      <w:r>
        <w:t xml:space="preserve"> </w:t>
      </w:r>
    </w:p>
    <w:p w:rsidR="00A93D1D" w:rsidRDefault="00FE2E2A" w:rsidP="00304A34">
      <w:pPr>
        <w:pStyle w:val="AERbulletlistfirststyle"/>
        <w:jc w:val="left"/>
      </w:pPr>
      <w:r>
        <w:t xml:space="preserve">The National </w:t>
      </w:r>
      <w:r w:rsidR="002871E9">
        <w:t>Gas Law</w:t>
      </w:r>
      <w:r w:rsidR="00304A34">
        <w:t xml:space="preserve"> </w:t>
      </w:r>
      <w:r w:rsidR="0000644D">
        <w:t xml:space="preserve">(NGL) </w:t>
      </w:r>
      <w:r w:rsidR="00304A34">
        <w:t xml:space="preserve">can be found on the following website: </w:t>
      </w:r>
      <w:hyperlink r:id="rId13" w:history="1">
        <w:r w:rsidR="00304A34" w:rsidRPr="006422D6">
          <w:rPr>
            <w:rStyle w:val="Hyperlink"/>
          </w:rPr>
          <w:t>http://www.austlii.edu.au/au/legis/sa/consol_act/ngaa2008294/sch1.html</w:t>
        </w:r>
      </w:hyperlink>
      <w:r w:rsidR="00304A34">
        <w:t xml:space="preserve"> </w:t>
      </w:r>
    </w:p>
    <w:p w:rsidR="002871E9" w:rsidRDefault="002871E9" w:rsidP="00A93D1D">
      <w:pPr>
        <w:pStyle w:val="AERbulletlistfirststyle"/>
      </w:pPr>
      <w:r>
        <w:t xml:space="preserve">The National Gas Rules </w:t>
      </w:r>
      <w:r w:rsidR="0000644D">
        <w:t xml:space="preserve">(NGR) </w:t>
      </w:r>
      <w:r>
        <w:t xml:space="preserve">can be found on the Australian Energy Market Commission’s website: </w:t>
      </w:r>
      <w:hyperlink r:id="rId14" w:history="1">
        <w:r w:rsidRPr="006422D6">
          <w:rPr>
            <w:rStyle w:val="Hyperlink"/>
          </w:rPr>
          <w:t>http://www.aemc.gov.au/gas/national-gas-rules/current-rules.html</w:t>
        </w:r>
      </w:hyperlink>
      <w:r>
        <w:t xml:space="preserve"> </w:t>
      </w:r>
    </w:p>
    <w:p w:rsidR="004B00B1" w:rsidRDefault="00A93D1D" w:rsidP="004B00B1">
      <w:pPr>
        <w:pStyle w:val="AERbodytext"/>
      </w:pPr>
      <w:r>
        <w:t xml:space="preserve">This </w:t>
      </w:r>
      <w:r w:rsidR="00911436">
        <w:t>c</w:t>
      </w:r>
      <w:r w:rsidR="00DB127E">
        <w:t>onsultation paper</w:t>
      </w:r>
      <w:r>
        <w:t xml:space="preserve"> </w:t>
      </w:r>
      <w:r w:rsidR="00896978">
        <w:t xml:space="preserve">is </w:t>
      </w:r>
      <w:r w:rsidR="00DC4F1D">
        <w:t>not a</w:t>
      </w:r>
      <w:r w:rsidR="00896978">
        <w:t xml:space="preserve"> substitute for the AER’s draft decisions</w:t>
      </w:r>
      <w:r w:rsidR="00DB127E">
        <w:t xml:space="preserve">. </w:t>
      </w:r>
      <w:r w:rsidR="009F32EC">
        <w:t>It</w:t>
      </w:r>
      <w:r w:rsidR="00DB127E">
        <w:t xml:space="preserve"> is designed to help </w:t>
      </w:r>
      <w:r w:rsidR="00CF1EDC">
        <w:t>customers</w:t>
      </w:r>
      <w:r w:rsidR="00A8094A">
        <w:t xml:space="preserve"> to understand</w:t>
      </w:r>
      <w:r w:rsidR="00DB127E">
        <w:t xml:space="preserve"> the AER’s decisions to allow for increased consultation</w:t>
      </w:r>
      <w:r w:rsidR="00896978">
        <w:t>.</w:t>
      </w:r>
    </w:p>
    <w:p w:rsidR="00911436" w:rsidRDefault="00911436" w:rsidP="00911436">
      <w:pPr>
        <w:pStyle w:val="AERheading2"/>
      </w:pPr>
      <w:r>
        <w:t>How to use this document</w:t>
      </w:r>
    </w:p>
    <w:p w:rsidR="00DC4F1D" w:rsidRDefault="00911436" w:rsidP="00911436">
      <w:pPr>
        <w:pStyle w:val="AERbodytext"/>
      </w:pPr>
      <w:r>
        <w:t xml:space="preserve">We have tried to make this paper accessible to a wide ranging customer audience. However, we understand that parts of </w:t>
      </w:r>
      <w:r w:rsidR="000D09C4">
        <w:t>the paper are still complex</w:t>
      </w:r>
      <w:r>
        <w:t xml:space="preserve">. In particular, chapter 4 </w:t>
      </w:r>
      <w:r w:rsidR="00527D71">
        <w:t>is more technical than other chapters</w:t>
      </w:r>
      <w:r w:rsidR="00DC4F1D">
        <w:t xml:space="preserve"> </w:t>
      </w:r>
      <w:r w:rsidR="00D329F4">
        <w:t>as it discusses</w:t>
      </w:r>
      <w:r w:rsidR="00DC4F1D">
        <w:t xml:space="preserve"> the </w:t>
      </w:r>
      <w:r w:rsidR="00D329F4">
        <w:t>‘</w:t>
      </w:r>
      <w:r w:rsidR="00DC4F1D">
        <w:t>building block</w:t>
      </w:r>
      <w:r w:rsidR="00D329F4">
        <w:t>’</w:t>
      </w:r>
      <w:r w:rsidR="00DC4F1D">
        <w:t xml:space="preserve"> approach</w:t>
      </w:r>
      <w:r>
        <w:t>.</w:t>
      </w:r>
    </w:p>
    <w:p w:rsidR="00911436" w:rsidRDefault="002C306F" w:rsidP="00911436">
      <w:pPr>
        <w:pStyle w:val="AERbodytext"/>
      </w:pPr>
      <w:r>
        <w:t xml:space="preserve">To account for different levels of knowledge we have </w:t>
      </w:r>
      <w:r w:rsidR="00DC4F1D">
        <w:t>layered the paper to allow readers to be more selective in what they read.</w:t>
      </w:r>
      <w:r>
        <w:t xml:space="preserve"> If a section is too complex for some readers</w:t>
      </w:r>
      <w:r w:rsidR="00DC4F1D">
        <w:t>,</w:t>
      </w:r>
      <w:r>
        <w:t xml:space="preserve"> </w:t>
      </w:r>
      <w:r w:rsidR="00DC4F1D">
        <w:t xml:space="preserve">they </w:t>
      </w:r>
      <w:r>
        <w:t xml:space="preserve">may wish to skip over that section. While </w:t>
      </w:r>
      <w:r w:rsidR="00DC4F1D">
        <w:t>those readers</w:t>
      </w:r>
      <w:r>
        <w:t xml:space="preserve"> will miss some of the detail by doing this</w:t>
      </w:r>
      <w:r w:rsidR="00DC4F1D">
        <w:t>,</w:t>
      </w:r>
      <w:r>
        <w:t xml:space="preserve"> they will still be able to engage in some of the higher level issues involved in our assessment of gas transmission and distribution charges. </w:t>
      </w:r>
    </w:p>
    <w:p w:rsidR="00911436" w:rsidRDefault="000D09C4" w:rsidP="00911436">
      <w:pPr>
        <w:pStyle w:val="AERbodytext"/>
      </w:pPr>
      <w:r>
        <w:t xml:space="preserve">We have included the </w:t>
      </w:r>
      <w:r w:rsidR="00527D71">
        <w:t xml:space="preserve">more </w:t>
      </w:r>
      <w:r>
        <w:t xml:space="preserve">complex </w:t>
      </w:r>
      <w:r w:rsidR="00527D71">
        <w:t>and technical discussions</w:t>
      </w:r>
      <w:r>
        <w:t xml:space="preserve"> as these are important to understand if you wish to get into the detail of our draft decisions. We know from reading submissions from customer representative groups that some of these stakeholders already have a good understanding of our approach. For these stakeholders we expect that most of this paper will be relatively easy to understand</w:t>
      </w:r>
      <w:r w:rsidR="009F32EC">
        <w:t>,</w:t>
      </w:r>
      <w:r>
        <w:t xml:space="preserve"> and we hope </w:t>
      </w:r>
      <w:r w:rsidR="00527D71">
        <w:t xml:space="preserve">that </w:t>
      </w:r>
      <w:r>
        <w:t>the paper helps to further clarify and enhance the understanding of these stakeholders.</w:t>
      </w:r>
    </w:p>
    <w:p w:rsidR="000D09C4" w:rsidRDefault="000D09C4" w:rsidP="00911436">
      <w:pPr>
        <w:pStyle w:val="AERbodytext"/>
      </w:pPr>
      <w:r>
        <w:t xml:space="preserve">In particular, in undertaking our assessment we often have to consider various </w:t>
      </w:r>
      <w:proofErr w:type="gramStart"/>
      <w:r>
        <w:t>trade-</w:t>
      </w:r>
      <w:proofErr w:type="gramEnd"/>
      <w:r>
        <w:t>offs such as price and service. For example, a business might propose to increase prices so as to improve the reliability of service</w:t>
      </w:r>
      <w:r w:rsidR="001B3B3A">
        <w:t>s in</w:t>
      </w:r>
      <w:r>
        <w:t xml:space="preserve"> certain areas. I</w:t>
      </w:r>
      <w:r w:rsidR="001B3B3A">
        <w:t xml:space="preserve">n this case </w:t>
      </w:r>
      <w:r>
        <w:t xml:space="preserve">our job </w:t>
      </w:r>
      <w:r w:rsidR="001B3B3A">
        <w:t xml:space="preserve">is </w:t>
      </w:r>
      <w:r>
        <w:t xml:space="preserve">to assess whether enhanced reliability is required and whether the costs associated with this are justified </w:t>
      </w:r>
      <w:r w:rsidR="001B3B3A">
        <w:t>(</w:t>
      </w:r>
      <w:r>
        <w:t>as these will flow through to prices</w:t>
      </w:r>
      <w:r w:rsidR="001B3B3A">
        <w:t>)</w:t>
      </w:r>
      <w:r>
        <w:t xml:space="preserve">. While reading this paper we encourage you to consider </w:t>
      </w:r>
      <w:proofErr w:type="gramStart"/>
      <w:r>
        <w:t>these trade-</w:t>
      </w:r>
      <w:proofErr w:type="gramEnd"/>
      <w:r>
        <w:t xml:space="preserve">offs and </w:t>
      </w:r>
      <w:r w:rsidR="001B3B3A">
        <w:t xml:space="preserve">to </w:t>
      </w:r>
      <w:r>
        <w:t xml:space="preserve">consider our approach to assessing these trade-offs. We welcome your views on these </w:t>
      </w:r>
      <w:r w:rsidR="00527D71">
        <w:t xml:space="preserve">and other </w:t>
      </w:r>
      <w:r>
        <w:t>issues.</w:t>
      </w:r>
    </w:p>
    <w:p w:rsidR="00504FD7" w:rsidRDefault="00956996" w:rsidP="00A93D1D">
      <w:pPr>
        <w:pStyle w:val="AERheading1"/>
      </w:pPr>
      <w:r>
        <w:t>AER r</w:t>
      </w:r>
      <w:r w:rsidR="00896978">
        <w:t xml:space="preserve">eview of </w:t>
      </w:r>
      <w:r>
        <w:t xml:space="preserve">prices for </w:t>
      </w:r>
      <w:r w:rsidR="00896978">
        <w:t xml:space="preserve">Victorian gas </w:t>
      </w:r>
      <w:r>
        <w:t xml:space="preserve">pipelines </w:t>
      </w:r>
    </w:p>
    <w:p w:rsidR="004B392C" w:rsidRDefault="00B56F04" w:rsidP="00504FD7">
      <w:pPr>
        <w:pStyle w:val="AERbodytext"/>
      </w:pPr>
      <w:r>
        <w:t xml:space="preserve">Access </w:t>
      </w:r>
      <w:r w:rsidR="004B392C" w:rsidRPr="004B392C">
        <w:t xml:space="preserve">arrangements set </w:t>
      </w:r>
      <w:r w:rsidR="009F3F46">
        <w:t xml:space="preserve">the conditions and importantly, </w:t>
      </w:r>
      <w:r w:rsidR="004B392C" w:rsidRPr="004B392C">
        <w:t xml:space="preserve">the </w:t>
      </w:r>
      <w:r w:rsidR="00602FEF">
        <w:t xml:space="preserve">default </w:t>
      </w:r>
      <w:r w:rsidR="004B392C" w:rsidRPr="004B392C">
        <w:t xml:space="preserve">prices </w:t>
      </w:r>
      <w:r w:rsidR="00896978">
        <w:t xml:space="preserve">(referred to as ‘tariffs’) </w:t>
      </w:r>
      <w:r w:rsidR="004B392C" w:rsidRPr="004B392C">
        <w:t>that retailers and other thir</w:t>
      </w:r>
      <w:r w:rsidR="00602FEF">
        <w:t>d parties</w:t>
      </w:r>
      <w:r w:rsidR="004B392C" w:rsidRPr="004B392C">
        <w:t xml:space="preserve"> pay for transmission and distribution services.</w:t>
      </w:r>
      <w:r w:rsidR="00DC69F4">
        <w:rPr>
          <w:rStyle w:val="FootnoteReference"/>
        </w:rPr>
        <w:footnoteReference w:id="1"/>
      </w:r>
      <w:r w:rsidR="004B392C" w:rsidRPr="004B392C">
        <w:t xml:space="preserve"> </w:t>
      </w:r>
      <w:r w:rsidR="004B392C">
        <w:t>These prices will ultimately be pa</w:t>
      </w:r>
      <w:r w:rsidR="0000644D">
        <w:t>id by</w:t>
      </w:r>
      <w:r w:rsidR="004B392C">
        <w:t xml:space="preserve"> </w:t>
      </w:r>
      <w:r w:rsidR="00CF1EDC">
        <w:t>customers</w:t>
      </w:r>
      <w:r w:rsidR="009F3F46">
        <w:t>, including households,</w:t>
      </w:r>
      <w:r w:rsidR="004B392C">
        <w:t xml:space="preserve"> through gas bills.</w:t>
      </w:r>
    </w:p>
    <w:p w:rsidR="002C624D" w:rsidRDefault="002C624D" w:rsidP="002F0F7F">
      <w:pPr>
        <w:pStyle w:val="AERbodytext"/>
      </w:pPr>
      <w:r>
        <w:t xml:space="preserve">Victorian gas transmission and distribution service providers APA </w:t>
      </w:r>
      <w:proofErr w:type="spellStart"/>
      <w:r>
        <w:t>GasNet</w:t>
      </w:r>
      <w:proofErr w:type="spellEnd"/>
      <w:r>
        <w:t xml:space="preserve">, </w:t>
      </w:r>
      <w:proofErr w:type="spellStart"/>
      <w:r>
        <w:t>Envestra</w:t>
      </w:r>
      <w:proofErr w:type="spellEnd"/>
      <w:r>
        <w:t>,</w:t>
      </w:r>
      <w:r w:rsidRPr="004B149F">
        <w:t xml:space="preserve"> SP </w:t>
      </w:r>
      <w:proofErr w:type="spellStart"/>
      <w:r w:rsidRPr="004B149F">
        <w:t>AusNet</w:t>
      </w:r>
      <w:proofErr w:type="spellEnd"/>
      <w:r>
        <w:t xml:space="preserve"> and </w:t>
      </w:r>
      <w:proofErr w:type="spellStart"/>
      <w:r>
        <w:t>Multinet</w:t>
      </w:r>
      <w:proofErr w:type="spellEnd"/>
      <w:r>
        <w:t xml:space="preserve"> submitted their access arrangement proposals to the AER in March this year. </w:t>
      </w:r>
      <w:r w:rsidR="004B4D81">
        <w:t>We</w:t>
      </w:r>
      <w:r>
        <w:t xml:space="preserve"> issued </w:t>
      </w:r>
      <w:r w:rsidR="004B4D81">
        <w:t xml:space="preserve">our </w:t>
      </w:r>
      <w:r>
        <w:t>d</w:t>
      </w:r>
      <w:r w:rsidR="00101AF2">
        <w:t xml:space="preserve">raft </w:t>
      </w:r>
      <w:r w:rsidR="00896978">
        <w:t xml:space="preserve">decisions on </w:t>
      </w:r>
      <w:r>
        <w:t>these proposals in September 2012.</w:t>
      </w:r>
      <w:r w:rsidR="00795CC3">
        <w:t xml:space="preserve"> </w:t>
      </w:r>
      <w:r w:rsidR="004B392C">
        <w:t xml:space="preserve">Before </w:t>
      </w:r>
      <w:r w:rsidR="00DB127E">
        <w:t>we make</w:t>
      </w:r>
      <w:r w:rsidR="002F0F7F">
        <w:t xml:space="preserve"> </w:t>
      </w:r>
      <w:r w:rsidR="004B4D81">
        <w:t>any</w:t>
      </w:r>
      <w:r w:rsidR="002F0F7F">
        <w:t xml:space="preserve"> final decision</w:t>
      </w:r>
      <w:r w:rsidR="00896978">
        <w:t>s</w:t>
      </w:r>
      <w:r w:rsidR="004B392C">
        <w:t>, b</w:t>
      </w:r>
      <w:r w:rsidR="004B0A69">
        <w:t xml:space="preserve">usinesses </w:t>
      </w:r>
      <w:r w:rsidR="004B392C">
        <w:t>are given</w:t>
      </w:r>
      <w:r w:rsidR="004B0A69">
        <w:t xml:space="preserve"> the opportunity to submit revised proposals</w:t>
      </w:r>
      <w:r w:rsidR="004B392C">
        <w:t xml:space="preserve"> in </w:t>
      </w:r>
      <w:r w:rsidR="003F4A20">
        <w:t xml:space="preserve">early </w:t>
      </w:r>
      <w:r w:rsidR="004B392C">
        <w:t xml:space="preserve">November 2012. </w:t>
      </w:r>
    </w:p>
    <w:p w:rsidR="002F0F7F" w:rsidRDefault="004B392C" w:rsidP="002F0F7F">
      <w:pPr>
        <w:pStyle w:val="AERbodytext"/>
      </w:pPr>
      <w:r w:rsidRPr="00B70DDB">
        <w:t>I</w:t>
      </w:r>
      <w:r w:rsidR="004B0A69" w:rsidRPr="00B70DDB">
        <w:t xml:space="preserve">nterested parties are invited to make submissions </w:t>
      </w:r>
      <w:r w:rsidRPr="00B70DDB">
        <w:t xml:space="preserve">in response to draft decisions and revised proposals </w:t>
      </w:r>
      <w:r w:rsidR="003F4A20" w:rsidRPr="00B70DDB">
        <w:t>by</w:t>
      </w:r>
      <w:r w:rsidRPr="00B70DDB">
        <w:t xml:space="preserve"> </w:t>
      </w:r>
      <w:r w:rsidR="003D4C99" w:rsidRPr="00B70DDB">
        <w:t>7 </w:t>
      </w:r>
      <w:r w:rsidRPr="00B70DDB">
        <w:t>January</w:t>
      </w:r>
      <w:r>
        <w:t xml:space="preserve"> 2013. </w:t>
      </w:r>
      <w:r w:rsidR="002F0F7F" w:rsidRPr="002F0F7F">
        <w:t xml:space="preserve">Further information, including copies of </w:t>
      </w:r>
      <w:r w:rsidR="00527D71">
        <w:t>our</w:t>
      </w:r>
      <w:r w:rsidR="002F0F7F" w:rsidRPr="002F0F7F">
        <w:t xml:space="preserve"> draft </w:t>
      </w:r>
      <w:r w:rsidR="00527D71">
        <w:t>decisions</w:t>
      </w:r>
      <w:r w:rsidR="002F0F7F" w:rsidRPr="002F0F7F">
        <w:t xml:space="preserve">, can be found at </w:t>
      </w:r>
      <w:hyperlink r:id="rId15" w:history="1">
        <w:r w:rsidR="002F0F7F" w:rsidRPr="002F0F7F">
          <w:rPr>
            <w:rStyle w:val="Hyperlink"/>
          </w:rPr>
          <w:t>http://www.aer.gov.au/node/478</w:t>
        </w:r>
      </w:hyperlink>
      <w:r w:rsidR="002F0F7F" w:rsidRPr="002F0F7F">
        <w:t xml:space="preserve"> </w:t>
      </w:r>
    </w:p>
    <w:p w:rsidR="004B4D81" w:rsidRPr="002F0F7F" w:rsidRDefault="004B4D81" w:rsidP="002F0F7F">
      <w:pPr>
        <w:pStyle w:val="AERbodytext"/>
      </w:pPr>
      <w:r>
        <w:t>We then assess the revised proposals and any submissions and make a final decision on conditions and prices. The final decisions will be made in March 2013.</w:t>
      </w:r>
    </w:p>
    <w:p w:rsidR="00101AF2" w:rsidRPr="00504FD7" w:rsidRDefault="00FC6798" w:rsidP="00504FD7">
      <w:pPr>
        <w:pStyle w:val="AERbodytext"/>
      </w:pPr>
      <w:r>
        <w:t>T</w:t>
      </w:r>
      <w:r w:rsidR="00101AF2">
        <w:t xml:space="preserve">his </w:t>
      </w:r>
      <w:r>
        <w:t>paper</w:t>
      </w:r>
      <w:r w:rsidR="00101AF2">
        <w:t xml:space="preserve"> provides background information on the gas industry in Victoria</w:t>
      </w:r>
      <w:r w:rsidR="00FB5778">
        <w:t>,</w:t>
      </w:r>
      <w:r w:rsidR="00101AF2">
        <w:t xml:space="preserve"> </w:t>
      </w:r>
      <w:r w:rsidR="004B4D81">
        <w:t>our</w:t>
      </w:r>
      <w:r w:rsidR="00101AF2" w:rsidRPr="00B70DDB">
        <w:t xml:space="preserve"> role </w:t>
      </w:r>
      <w:r w:rsidR="00FB5778" w:rsidRPr="00B70DDB">
        <w:t xml:space="preserve">and key parts of </w:t>
      </w:r>
      <w:r w:rsidR="004B4D81">
        <w:t>our</w:t>
      </w:r>
      <w:r w:rsidR="00FB5778" w:rsidRPr="00B70DDB">
        <w:t xml:space="preserve"> recent draft decisions on gas access arrangements in Victoria</w:t>
      </w:r>
      <w:r w:rsidR="00101AF2" w:rsidRPr="00B70DDB">
        <w:t xml:space="preserve">. </w:t>
      </w:r>
      <w:r w:rsidR="004B4D81">
        <w:t>T</w:t>
      </w:r>
      <w:r w:rsidR="00101AF2" w:rsidRPr="00B70DDB">
        <w:t xml:space="preserve">he </w:t>
      </w:r>
      <w:r>
        <w:t xml:space="preserve">paper also </w:t>
      </w:r>
      <w:r w:rsidR="0000644D" w:rsidRPr="00B70DDB">
        <w:t xml:space="preserve">outlines the next steps for the Victorian gas review and </w:t>
      </w:r>
      <w:r w:rsidR="004B4D81">
        <w:t>how</w:t>
      </w:r>
      <w:r w:rsidR="0000644D" w:rsidRPr="00B70DDB">
        <w:t xml:space="preserve"> </w:t>
      </w:r>
      <w:r w:rsidR="00CF1EDC">
        <w:t>customer</w:t>
      </w:r>
      <w:r w:rsidR="004B4D81">
        <w:t xml:space="preserve">s can </w:t>
      </w:r>
      <w:r w:rsidR="0000644D" w:rsidRPr="00B70DDB">
        <w:t>engage in this</w:t>
      </w:r>
      <w:r w:rsidR="004B4D81">
        <w:t xml:space="preserve"> process</w:t>
      </w:r>
      <w:r w:rsidR="0000644D" w:rsidRPr="00B70DDB">
        <w:t>.</w:t>
      </w:r>
    </w:p>
    <w:p w:rsidR="00C90873" w:rsidRDefault="002F0F7F" w:rsidP="00A16574">
      <w:pPr>
        <w:pStyle w:val="AERheading2"/>
      </w:pPr>
      <w:r>
        <w:t>T</w:t>
      </w:r>
      <w:r w:rsidR="00DB6776">
        <w:t>he Victorian gas industry</w:t>
      </w:r>
    </w:p>
    <w:p w:rsidR="00B86DEB" w:rsidRDefault="00DB6776" w:rsidP="00DB6776">
      <w:pPr>
        <w:pStyle w:val="AERbodytext"/>
      </w:pPr>
      <w:r>
        <w:t xml:space="preserve">The </w:t>
      </w:r>
      <w:r w:rsidR="00B86DEB">
        <w:t xml:space="preserve">Victorian </w:t>
      </w:r>
      <w:r>
        <w:t>gas market is made up of</w:t>
      </w:r>
      <w:r w:rsidR="002F0F7F">
        <w:t xml:space="preserve"> four parts</w:t>
      </w:r>
      <w:r w:rsidR="00B86DEB">
        <w:t>:</w:t>
      </w:r>
    </w:p>
    <w:p w:rsidR="00B86DEB" w:rsidRDefault="00884F30" w:rsidP="00884F30">
      <w:pPr>
        <w:pStyle w:val="AERbulletlistfirststyle"/>
      </w:pPr>
      <w:r>
        <w:t>A wholesale market in which g</w:t>
      </w:r>
      <w:r w:rsidR="00B86DEB">
        <w:t>as producers</w:t>
      </w:r>
      <w:r>
        <w:rPr>
          <w:rStyle w:val="FootnoteReference"/>
        </w:rPr>
        <w:footnoteReference w:id="2"/>
      </w:r>
      <w:r>
        <w:t xml:space="preserve"> and storage providers</w:t>
      </w:r>
      <w:r>
        <w:rPr>
          <w:rStyle w:val="FootnoteReference"/>
        </w:rPr>
        <w:footnoteReference w:id="3"/>
      </w:r>
      <w:r>
        <w:t xml:space="preserve"> </w:t>
      </w:r>
      <w:r w:rsidR="00B86DEB">
        <w:t xml:space="preserve">sell </w:t>
      </w:r>
      <w:r w:rsidR="004B4D81">
        <w:t xml:space="preserve">bulk quantities of </w:t>
      </w:r>
      <w:r w:rsidR="00B86DEB">
        <w:t xml:space="preserve">gas </w:t>
      </w:r>
      <w:r>
        <w:t>to energy retailers and other large gas users</w:t>
      </w:r>
      <w:r w:rsidR="00504FD7">
        <w:t>.</w:t>
      </w:r>
    </w:p>
    <w:p w:rsidR="00B86DEB" w:rsidRDefault="00B86DEB" w:rsidP="00B86DEB">
      <w:pPr>
        <w:pStyle w:val="AERbulletlistfirststyle"/>
      </w:pPr>
      <w:r>
        <w:t xml:space="preserve">Transmission </w:t>
      </w:r>
      <w:r w:rsidR="00504FD7">
        <w:t>service providers</w:t>
      </w:r>
      <w:r>
        <w:t xml:space="preserve"> </w:t>
      </w:r>
      <w:r w:rsidR="00504FD7">
        <w:t xml:space="preserve">(such as APA </w:t>
      </w:r>
      <w:proofErr w:type="spellStart"/>
      <w:r w:rsidR="00504FD7">
        <w:t>GasNet</w:t>
      </w:r>
      <w:proofErr w:type="spellEnd"/>
      <w:r w:rsidR="00504FD7">
        <w:t xml:space="preserve">) </w:t>
      </w:r>
      <w:r>
        <w:t xml:space="preserve">that own and operate </w:t>
      </w:r>
      <w:r w:rsidR="004B4D81">
        <w:t xml:space="preserve">the </w:t>
      </w:r>
      <w:r w:rsidR="00884F30">
        <w:t xml:space="preserve">high pressure </w:t>
      </w:r>
      <w:r>
        <w:t xml:space="preserve">pipeline networks </w:t>
      </w:r>
      <w:r w:rsidR="004B4D81">
        <w:t>that transport</w:t>
      </w:r>
      <w:r w:rsidR="00504FD7">
        <w:t xml:space="preserve"> gas</w:t>
      </w:r>
      <w:r w:rsidR="00884F30">
        <w:t xml:space="preserve"> from gas production fields to major demand centres</w:t>
      </w:r>
      <w:r w:rsidR="00504FD7">
        <w:t>.</w:t>
      </w:r>
    </w:p>
    <w:p w:rsidR="00B86DEB" w:rsidRDefault="00B86DEB" w:rsidP="00B86DEB">
      <w:pPr>
        <w:pStyle w:val="AERbulletlistfirststyle"/>
      </w:pPr>
      <w:r>
        <w:t xml:space="preserve">Distribution </w:t>
      </w:r>
      <w:r w:rsidR="00504FD7">
        <w:t xml:space="preserve">service providers (such as </w:t>
      </w:r>
      <w:proofErr w:type="spellStart"/>
      <w:r w:rsidR="004B149F" w:rsidRPr="004B149F">
        <w:t>Envestra</w:t>
      </w:r>
      <w:proofErr w:type="spellEnd"/>
      <w:r w:rsidR="004B149F">
        <w:t>,</w:t>
      </w:r>
      <w:r w:rsidR="004B149F" w:rsidRPr="004B149F">
        <w:t xml:space="preserve"> </w:t>
      </w:r>
      <w:proofErr w:type="spellStart"/>
      <w:r w:rsidR="004B149F" w:rsidRPr="004B149F">
        <w:t>Multinet</w:t>
      </w:r>
      <w:proofErr w:type="spellEnd"/>
      <w:r w:rsidR="004B149F" w:rsidRPr="004B149F">
        <w:t xml:space="preserve"> </w:t>
      </w:r>
      <w:r w:rsidR="004B149F">
        <w:t xml:space="preserve">and </w:t>
      </w:r>
      <w:r w:rsidR="00504FD7">
        <w:t xml:space="preserve">SP </w:t>
      </w:r>
      <w:proofErr w:type="spellStart"/>
      <w:r w:rsidR="00504FD7">
        <w:t>AusNet</w:t>
      </w:r>
      <w:proofErr w:type="spellEnd"/>
      <w:r w:rsidR="00504FD7">
        <w:t xml:space="preserve">) </w:t>
      </w:r>
      <w:r>
        <w:t xml:space="preserve">that own and operate pipeline networks </w:t>
      </w:r>
      <w:r w:rsidR="004B4D81">
        <w:t>that transport</w:t>
      </w:r>
      <w:r>
        <w:t xml:space="preserve"> gas from the </w:t>
      </w:r>
      <w:r w:rsidR="004B4D81">
        <w:t>major demand centres</w:t>
      </w:r>
      <w:r>
        <w:t xml:space="preserve"> to the end </w:t>
      </w:r>
      <w:r w:rsidR="00D26770">
        <w:t>consumer</w:t>
      </w:r>
      <w:r w:rsidR="00504FD7">
        <w:t>.</w:t>
      </w:r>
      <w:r w:rsidR="000C4CE1">
        <w:rPr>
          <w:rStyle w:val="FootnoteReference"/>
        </w:rPr>
        <w:footnoteReference w:id="4"/>
      </w:r>
      <w:r>
        <w:t xml:space="preserve"> </w:t>
      </w:r>
    </w:p>
    <w:p w:rsidR="00B86DEB" w:rsidRDefault="00B86DEB" w:rsidP="00504FD7">
      <w:pPr>
        <w:pStyle w:val="AERbulletlistfirststyle"/>
      </w:pPr>
      <w:r>
        <w:t>A retail market in</w:t>
      </w:r>
      <w:r w:rsidR="000C4CE1">
        <w:t xml:space="preserve"> which retailers</w:t>
      </w:r>
      <w:r w:rsidR="000C4CE1">
        <w:rPr>
          <w:rStyle w:val="FootnoteReference"/>
        </w:rPr>
        <w:footnoteReference w:id="5"/>
      </w:r>
      <w:r w:rsidR="000C4CE1">
        <w:t xml:space="preserve"> enter into contracts with gas producers and transmission and distribution service providers to provide </w:t>
      </w:r>
      <w:r w:rsidR="004B4D81">
        <w:t>gas</w:t>
      </w:r>
      <w:r w:rsidR="000C4CE1">
        <w:t xml:space="preserve"> to end </w:t>
      </w:r>
      <w:r w:rsidR="00D26770">
        <w:t>consumer</w:t>
      </w:r>
      <w:r w:rsidR="000C4CE1">
        <w:t xml:space="preserve">s. </w:t>
      </w:r>
      <w:r w:rsidR="00D26770">
        <w:t>Consumer</w:t>
      </w:r>
      <w:r w:rsidR="000C4CE1">
        <w:t xml:space="preserve">s are able to choose </w:t>
      </w:r>
      <w:r w:rsidR="0000644D">
        <w:t>which retailer they buy their gas from</w:t>
      </w:r>
      <w:r w:rsidR="000C4CE1">
        <w:t>.</w:t>
      </w:r>
      <w:r>
        <w:t xml:space="preserve"> </w:t>
      </w:r>
    </w:p>
    <w:p w:rsidR="00E8280E" w:rsidRDefault="00E8280E" w:rsidP="00E8280E">
      <w:pPr>
        <w:pStyle w:val="AERbodytext"/>
      </w:pPr>
      <w:r>
        <w:t>Of these, the wholesale and retail markets are largely competitive and do</w:t>
      </w:r>
      <w:r w:rsidR="009F32EC">
        <w:t xml:space="preserve"> </w:t>
      </w:r>
      <w:r>
        <w:t>n</w:t>
      </w:r>
      <w:r w:rsidR="009F32EC">
        <w:t>o</w:t>
      </w:r>
      <w:r>
        <w:t xml:space="preserve">t </w:t>
      </w:r>
      <w:r w:rsidR="004B4D81">
        <w:t>need</w:t>
      </w:r>
      <w:r>
        <w:t xml:space="preserve"> significant economic regulation. However, </w:t>
      </w:r>
      <w:r w:rsidR="006E4158">
        <w:t>t</w:t>
      </w:r>
      <w:r>
        <w:t xml:space="preserve">ransmission and distribution </w:t>
      </w:r>
      <w:r w:rsidR="006E4158">
        <w:t xml:space="preserve">pipeline </w:t>
      </w:r>
      <w:r>
        <w:t>networks are</w:t>
      </w:r>
      <w:r w:rsidR="004B4D81">
        <w:t xml:space="preserve"> natural monopolies involving large capital and operating expenses</w:t>
      </w:r>
      <w:r>
        <w:t xml:space="preserve"> </w:t>
      </w:r>
      <w:r w:rsidR="004B4D81">
        <w:t>and</w:t>
      </w:r>
      <w:r w:rsidR="002C624D">
        <w:t xml:space="preserve"> r</w:t>
      </w:r>
      <w:r>
        <w:t xml:space="preserve">egulation </w:t>
      </w:r>
      <w:r w:rsidR="006E4158">
        <w:t xml:space="preserve">is </w:t>
      </w:r>
      <w:r w:rsidR="002C624D">
        <w:t xml:space="preserve">necessary </w:t>
      </w:r>
      <w:r>
        <w:t xml:space="preserve">to ensure that </w:t>
      </w:r>
      <w:r w:rsidR="00CF1EDC">
        <w:t>customers</w:t>
      </w:r>
      <w:r w:rsidR="002C624D">
        <w:t xml:space="preserve"> </w:t>
      </w:r>
      <w:r w:rsidR="004B4D81">
        <w:t>do not pay</w:t>
      </w:r>
      <w:r>
        <w:t xml:space="preserve"> </w:t>
      </w:r>
      <w:r w:rsidR="003F4A20">
        <w:t>unnecessarily</w:t>
      </w:r>
      <w:r>
        <w:t xml:space="preserve"> high </w:t>
      </w:r>
      <w:r w:rsidR="00BF4DC3">
        <w:t>charges</w:t>
      </w:r>
      <w:r>
        <w:t xml:space="preserve"> or </w:t>
      </w:r>
      <w:r w:rsidR="004B4D81">
        <w:t xml:space="preserve">receive </w:t>
      </w:r>
      <w:r>
        <w:t xml:space="preserve">poor </w:t>
      </w:r>
      <w:r w:rsidR="00BF4DC3">
        <w:t>service levels</w:t>
      </w:r>
      <w:r>
        <w:t>.</w:t>
      </w:r>
      <w:r w:rsidR="006E4158">
        <w:t xml:space="preserve"> </w:t>
      </w:r>
    </w:p>
    <w:p w:rsidR="005A62D7" w:rsidRDefault="00BF4DC3" w:rsidP="002F0F7F">
      <w:pPr>
        <w:pStyle w:val="AERheading2"/>
      </w:pPr>
      <w:r>
        <w:t>Regulation of g</w:t>
      </w:r>
      <w:r w:rsidR="00795CC3">
        <w:t>as</w:t>
      </w:r>
      <w:r w:rsidR="00E8280E">
        <w:t xml:space="preserve"> transmission and distribution</w:t>
      </w:r>
    </w:p>
    <w:p w:rsidR="00CB608E" w:rsidRPr="00CB608E" w:rsidRDefault="00CB608E" w:rsidP="00C90873">
      <w:pPr>
        <w:pStyle w:val="AERbodytext"/>
      </w:pPr>
      <w:r w:rsidRPr="00CB608E">
        <w:t xml:space="preserve">The AER is responsible for the economic regulation of </w:t>
      </w:r>
      <w:r w:rsidR="00C90873">
        <w:t xml:space="preserve">gas </w:t>
      </w:r>
      <w:r w:rsidRPr="00CB608E">
        <w:t xml:space="preserve">pipelines in </w:t>
      </w:r>
      <w:r w:rsidR="00C90873">
        <w:t xml:space="preserve">all Australian </w:t>
      </w:r>
      <w:r w:rsidR="004B4D81">
        <w:t>states and territories</w:t>
      </w:r>
      <w:r w:rsidR="00C90873">
        <w:t xml:space="preserve"> except</w:t>
      </w:r>
      <w:r w:rsidRPr="00CB608E">
        <w:t xml:space="preserve"> Western Australia.</w:t>
      </w:r>
      <w:r w:rsidR="00C90873">
        <w:t xml:space="preserve"> </w:t>
      </w:r>
      <w:r w:rsidRPr="00CB608E">
        <w:t xml:space="preserve">The National Gas Law and </w:t>
      </w:r>
      <w:r w:rsidR="006E4158">
        <w:t xml:space="preserve">National Gas </w:t>
      </w:r>
      <w:r w:rsidRPr="00CB608E">
        <w:t xml:space="preserve">Rules set out the regulatory framework. Various </w:t>
      </w:r>
      <w:r w:rsidR="004B4D81">
        <w:t>levels</w:t>
      </w:r>
      <w:r w:rsidRPr="00CB608E">
        <w:t xml:space="preserve"> of regulation apply</w:t>
      </w:r>
      <w:r w:rsidR="006C49CA">
        <w:t xml:space="preserve"> to particular pipelines and services</w:t>
      </w:r>
      <w:r w:rsidRPr="00CB608E">
        <w:t xml:space="preserve">, based on </w:t>
      </w:r>
      <w:r w:rsidR="002C624D">
        <w:t xml:space="preserve">the level of </w:t>
      </w:r>
      <w:r w:rsidRPr="00CB608E">
        <w:t xml:space="preserve">competition and </w:t>
      </w:r>
      <w:r w:rsidR="002C624D">
        <w:t>the importance of the pipeline or service</w:t>
      </w:r>
      <w:r w:rsidRPr="00CB608E">
        <w:t xml:space="preserve">. </w:t>
      </w:r>
    </w:p>
    <w:p w:rsidR="00217DF8" w:rsidRDefault="002C624D" w:rsidP="008E4A93">
      <w:pPr>
        <w:pStyle w:val="AERbodytext"/>
      </w:pPr>
      <w:r w:rsidRPr="00E8280E">
        <w:t xml:space="preserve">In Victoria, </w:t>
      </w:r>
      <w:r>
        <w:t xml:space="preserve">there is </w:t>
      </w:r>
      <w:r w:rsidRPr="00E8280E">
        <w:t xml:space="preserve">one transmission service provider (APA </w:t>
      </w:r>
      <w:proofErr w:type="spellStart"/>
      <w:r w:rsidRPr="00E8280E">
        <w:t>GasNet</w:t>
      </w:r>
      <w:proofErr w:type="spellEnd"/>
      <w:r w:rsidRPr="00E8280E">
        <w:t>) and three distribution service providers (</w:t>
      </w:r>
      <w:proofErr w:type="spellStart"/>
      <w:r>
        <w:t>Envestra</w:t>
      </w:r>
      <w:proofErr w:type="spellEnd"/>
      <w:r>
        <w:t xml:space="preserve">, SP </w:t>
      </w:r>
      <w:proofErr w:type="spellStart"/>
      <w:r>
        <w:t>AusNet</w:t>
      </w:r>
      <w:proofErr w:type="spellEnd"/>
      <w:r>
        <w:t xml:space="preserve"> and</w:t>
      </w:r>
      <w:r w:rsidRPr="00E8280E">
        <w:t xml:space="preserve"> </w:t>
      </w:r>
      <w:proofErr w:type="spellStart"/>
      <w:r w:rsidRPr="00E8280E">
        <w:t>Multinet</w:t>
      </w:r>
      <w:proofErr w:type="spellEnd"/>
      <w:r w:rsidRPr="00E8280E">
        <w:t xml:space="preserve">) </w:t>
      </w:r>
      <w:r>
        <w:t>(see box 2.1)</w:t>
      </w:r>
      <w:r w:rsidRPr="00E8280E">
        <w:t>.</w:t>
      </w:r>
      <w:r>
        <w:t xml:space="preserve"> These businesses</w:t>
      </w:r>
      <w:r w:rsidR="00C90873">
        <w:t xml:space="preserve"> are subject to full regulation by the AER. </w:t>
      </w:r>
    </w:p>
    <w:p w:rsidR="00BF4DC3" w:rsidRDefault="008E4A93" w:rsidP="00BF4DC3">
      <w:pPr>
        <w:pStyle w:val="AERbodytext"/>
      </w:pPr>
      <w:r w:rsidRPr="00217DF8">
        <w:t xml:space="preserve">Full regulation requires a pipeline provider to periodically (usually every five years) submit an access arrangement to the AER for approval. </w:t>
      </w:r>
      <w:r w:rsidR="00E57F8A">
        <w:t>We assess</w:t>
      </w:r>
      <w:r w:rsidR="0000644D">
        <w:t xml:space="preserve"> the </w:t>
      </w:r>
      <w:r w:rsidR="004B4D81">
        <w:t>amount of money the pipeline</w:t>
      </w:r>
      <w:r w:rsidR="002C624D">
        <w:t xml:space="preserve"> provider </w:t>
      </w:r>
      <w:r w:rsidR="004B4D81">
        <w:t xml:space="preserve">needs </w:t>
      </w:r>
      <w:r w:rsidRPr="00217DF8">
        <w:t xml:space="preserve">to cover </w:t>
      </w:r>
      <w:r w:rsidR="002C624D">
        <w:t xml:space="preserve">its </w:t>
      </w:r>
      <w:r w:rsidRPr="00217DF8">
        <w:t xml:space="preserve">efficient costs and </w:t>
      </w:r>
      <w:r w:rsidR="002C624D">
        <w:t>earn</w:t>
      </w:r>
      <w:r w:rsidR="008F1A0D">
        <w:t xml:space="preserve"> a commercial return on </w:t>
      </w:r>
      <w:r w:rsidR="004B4D81">
        <w:t xml:space="preserve">the </w:t>
      </w:r>
      <w:r w:rsidR="008F1A0D">
        <w:t>capital</w:t>
      </w:r>
      <w:r w:rsidR="004B4D81">
        <w:t xml:space="preserve"> it uses to provide pipeline services</w:t>
      </w:r>
      <w:r w:rsidR="008F1A0D">
        <w:t xml:space="preserve">. </w:t>
      </w:r>
      <w:r w:rsidR="00D11327">
        <w:t>We</w:t>
      </w:r>
      <w:r w:rsidR="00C87BF4">
        <w:t xml:space="preserve"> then decide the</w:t>
      </w:r>
      <w:r w:rsidRPr="00217DF8">
        <w:t xml:space="preserve"> </w:t>
      </w:r>
      <w:r w:rsidR="00C87BF4">
        <w:t>‘</w:t>
      </w:r>
      <w:r w:rsidRPr="00217DF8">
        <w:t>reference tariffs</w:t>
      </w:r>
      <w:r w:rsidR="00C87BF4">
        <w:t>’</w:t>
      </w:r>
      <w:r w:rsidRPr="00217DF8">
        <w:t xml:space="preserve"> </w:t>
      </w:r>
      <w:r w:rsidR="00C87BF4">
        <w:t xml:space="preserve">or prices that will be charged for using </w:t>
      </w:r>
      <w:r w:rsidRPr="00217DF8">
        <w:t xml:space="preserve">the pipeline. More on </w:t>
      </w:r>
      <w:r w:rsidR="00C87BF4">
        <w:t>our</w:t>
      </w:r>
      <w:r w:rsidRPr="00217DF8">
        <w:t xml:space="preserve"> approach to assessing access arrangements is in </w:t>
      </w:r>
      <w:r w:rsidR="009F32EC">
        <w:t>chapter</w:t>
      </w:r>
      <w:r w:rsidR="00BF4DC3">
        <w:t> </w:t>
      </w:r>
      <w:r w:rsidRPr="00217DF8">
        <w:t>3</w:t>
      </w:r>
      <w:r w:rsidR="00E57F8A">
        <w:t xml:space="preserve"> below</w:t>
      </w:r>
      <w:r w:rsidRPr="00217DF8">
        <w:t>.</w:t>
      </w:r>
    </w:p>
    <w:p w:rsidR="0000644D" w:rsidRDefault="0000644D" w:rsidP="0000644D">
      <w:pPr>
        <w:pStyle w:val="AERheading2"/>
      </w:pPr>
      <w:r>
        <w:t>What is an access arrangement and AER price review?</w:t>
      </w:r>
    </w:p>
    <w:p w:rsidR="0000644D" w:rsidRDefault="0000644D" w:rsidP="0000644D">
      <w:pPr>
        <w:pStyle w:val="AERbodytext"/>
      </w:pPr>
      <w:r>
        <w:t xml:space="preserve">An access arrangement sets out </w:t>
      </w:r>
      <w:r w:rsidR="00C87BF4">
        <w:t>the</w:t>
      </w:r>
      <w:r>
        <w:t xml:space="preserve"> conditions under which third parties (such as gas retailers) can use a pipeline.</w:t>
      </w:r>
      <w:r>
        <w:rPr>
          <w:rStyle w:val="FootnoteReference"/>
        </w:rPr>
        <w:footnoteReference w:id="6"/>
      </w:r>
      <w:r>
        <w:t xml:space="preserve"> This includes the prices that retailers and other parties pay for gas transmission and distribution services. These prices </w:t>
      </w:r>
      <w:r w:rsidR="002C624D">
        <w:t>are ultimately</w:t>
      </w:r>
      <w:r>
        <w:t xml:space="preserve"> pa</w:t>
      </w:r>
      <w:r w:rsidR="002C624D">
        <w:t>id by</w:t>
      </w:r>
      <w:r>
        <w:t xml:space="preserve"> consumers through their gas bills.</w:t>
      </w:r>
    </w:p>
    <w:p w:rsidR="0000644D" w:rsidRDefault="00C87BF4" w:rsidP="0000644D">
      <w:pPr>
        <w:pStyle w:val="AERbodytext"/>
      </w:pPr>
      <w:r>
        <w:t>G</w:t>
      </w:r>
      <w:r w:rsidR="0000644D">
        <w:t xml:space="preserve">as distribution and transmission networks </w:t>
      </w:r>
      <w:r>
        <w:t xml:space="preserve">that are </w:t>
      </w:r>
      <w:r w:rsidR="0000644D">
        <w:t xml:space="preserve">subject to full regulation </w:t>
      </w:r>
      <w:r>
        <w:t>by the AER have</w:t>
      </w:r>
      <w:r w:rsidR="0000644D">
        <w:t xml:space="preserve"> to submit an access arrangement proposal to </w:t>
      </w:r>
      <w:r>
        <w:t>us</w:t>
      </w:r>
      <w:r w:rsidR="0000644D">
        <w:t xml:space="preserve"> for approval. The process </w:t>
      </w:r>
      <w:r>
        <w:t>that we follow to</w:t>
      </w:r>
      <w:r w:rsidR="0000644D">
        <w:t xml:space="preserve"> assess and approve (or not approve) an access arrangement is often called a price review. </w:t>
      </w:r>
    </w:p>
    <w:p w:rsidR="0000644D" w:rsidRDefault="0000644D" w:rsidP="00BF4DC3">
      <w:pPr>
        <w:pStyle w:val="AERbodytext"/>
      </w:pPr>
      <w:r>
        <w:t xml:space="preserve">The AER’s draft decision indicates whether </w:t>
      </w:r>
      <w:r w:rsidR="00E57F8A">
        <w:t>we</w:t>
      </w:r>
      <w:r>
        <w:t xml:space="preserve"> </w:t>
      </w:r>
      <w:r w:rsidR="00E57F8A">
        <w:t>are</w:t>
      </w:r>
      <w:r>
        <w:t xml:space="preserve"> prepared to approve the access arrangement proposal as submitted</w:t>
      </w:r>
      <w:r w:rsidR="008F1A0D">
        <w:t>. I</w:t>
      </w:r>
      <w:r>
        <w:t xml:space="preserve">f not, </w:t>
      </w:r>
      <w:r w:rsidR="008F1A0D">
        <w:t xml:space="preserve">the draft decision indicates </w:t>
      </w:r>
      <w:r>
        <w:t xml:space="preserve">what amendments are required in order to make the proposal acceptable to </w:t>
      </w:r>
      <w:r w:rsidR="00C87BF4">
        <w:t>us</w:t>
      </w:r>
      <w:r>
        <w:t xml:space="preserve">. </w:t>
      </w:r>
      <w:r w:rsidR="002C624D">
        <w:t>Gas businesses</w:t>
      </w:r>
      <w:r>
        <w:t xml:space="preserve"> m</w:t>
      </w:r>
      <w:r w:rsidR="008F1A0D">
        <w:t>ay</w:t>
      </w:r>
      <w:r>
        <w:t xml:space="preserve"> then submit a revised access arrangement proposal to </w:t>
      </w:r>
      <w:r w:rsidR="00D11327">
        <w:t>us</w:t>
      </w:r>
      <w:r>
        <w:t xml:space="preserve"> </w:t>
      </w:r>
      <w:r w:rsidR="00C87BF4">
        <w:t xml:space="preserve">for assessment </w:t>
      </w:r>
      <w:r>
        <w:t xml:space="preserve">prior to </w:t>
      </w:r>
      <w:r w:rsidR="00C87BF4">
        <w:t>our</w:t>
      </w:r>
      <w:r>
        <w:t xml:space="preserve"> final decision.</w:t>
      </w:r>
    </w:p>
    <w:p w:rsidR="008E4A93" w:rsidRPr="008E4A93" w:rsidRDefault="00B70DDB" w:rsidP="00BF4DC3">
      <w:pPr>
        <w:pStyle w:val="AERfigureheading"/>
        <w:numPr>
          <w:ilvl w:val="0"/>
          <w:numId w:val="0"/>
        </w:numPr>
        <w:spacing w:after="40"/>
        <w:ind w:left="1440" w:hanging="1440"/>
        <w:rPr>
          <w:rStyle w:val="AERbody"/>
        </w:rPr>
      </w:pPr>
      <w:r>
        <w:rPr>
          <w:rStyle w:val="AERbody"/>
        </w:rPr>
        <w:t>Box 2.1</w:t>
      </w:r>
      <w:r w:rsidR="008E4A93">
        <w:rPr>
          <w:rStyle w:val="AERbody"/>
        </w:rPr>
        <w:t xml:space="preserve">    Transmission and distribution service providers in Victoria</w:t>
      </w:r>
    </w:p>
    <w:tbl>
      <w:tblPr>
        <w:tblStyle w:val="LightList-Accent11"/>
        <w:tblW w:w="0" w:type="auto"/>
        <w:tblLook w:val="0000"/>
      </w:tblPr>
      <w:tblGrid>
        <w:gridCol w:w="8528"/>
      </w:tblGrid>
      <w:tr w:rsidR="008E4A93" w:rsidTr="008E4A93">
        <w:trPr>
          <w:cnfStyle w:val="000000100000"/>
        </w:trPr>
        <w:tc>
          <w:tcPr>
            <w:cnfStyle w:val="000010000000"/>
            <w:tcW w:w="8528" w:type="dxa"/>
          </w:tcPr>
          <w:p w:rsidR="008E4A93" w:rsidRPr="008E4A93" w:rsidRDefault="008E4A93" w:rsidP="008E4A93">
            <w:pPr>
              <w:pStyle w:val="AERfigureheading"/>
              <w:numPr>
                <w:ilvl w:val="0"/>
                <w:numId w:val="0"/>
              </w:numPr>
              <w:spacing w:before="120"/>
              <w:ind w:left="1440" w:hanging="1440"/>
              <w:rPr>
                <w:rStyle w:val="AERtextbold"/>
                <w:b/>
              </w:rPr>
            </w:pPr>
            <w:r w:rsidRPr="008E4A93">
              <w:rPr>
                <w:rStyle w:val="AERtextbold"/>
                <w:b/>
              </w:rPr>
              <w:t xml:space="preserve">Map of </w:t>
            </w:r>
            <w:r w:rsidR="00167599">
              <w:rPr>
                <w:rStyle w:val="AERtextbold"/>
                <w:b/>
              </w:rPr>
              <w:t>gas pipeline</w:t>
            </w:r>
            <w:r w:rsidRPr="008E4A93">
              <w:rPr>
                <w:rStyle w:val="AERtextbold"/>
                <w:b/>
              </w:rPr>
              <w:t xml:space="preserve"> networks in Victoria</w:t>
            </w:r>
          </w:p>
          <w:p w:rsidR="008E4A93" w:rsidRDefault="00514C86" w:rsidP="00514C86">
            <w:pPr>
              <w:pStyle w:val="AERbodytext"/>
              <w:spacing w:after="0"/>
            </w:pPr>
            <w:r>
              <w:object w:dxaOrig="8955" w:dyaOrig="6000">
                <v:shape id="_x0000_i1025" type="#_x0000_t75" style="width:414.45pt;height:278.6pt" o:ole="">
                  <v:imagedata r:id="rId16" o:title=""/>
                </v:shape>
                <o:OLEObject Type="Embed" ProgID="PBrush" ShapeID="_x0000_i1025" DrawAspect="Content" ObjectID="_1411290315" r:id="rId17"/>
              </w:object>
            </w:r>
          </w:p>
          <w:p w:rsidR="00546B1C" w:rsidRPr="00217DF8" w:rsidRDefault="005B0A65" w:rsidP="00546B1C">
            <w:pPr>
              <w:pStyle w:val="AERbodytext"/>
              <w:rPr>
                <w:rStyle w:val="AERtextbold"/>
              </w:rPr>
            </w:pPr>
            <w:r>
              <w:rPr>
                <w:rStyle w:val="AERtextbold"/>
              </w:rPr>
              <w:t>The big</w:t>
            </w:r>
            <w:r w:rsidR="00FB5778">
              <w:rPr>
                <w:rStyle w:val="AERtextbold"/>
              </w:rPr>
              <w:t xml:space="preserve"> pipes</w:t>
            </w:r>
            <w:r w:rsidR="00FB5778">
              <w:rPr>
                <w:rStyle w:val="AERtextbold"/>
                <w:rFonts w:ascii="Calibri" w:hAnsi="Calibri"/>
              </w:rPr>
              <w:t>—</w:t>
            </w:r>
            <w:r w:rsidRPr="005B0A65">
              <w:rPr>
                <w:rStyle w:val="AERtextbold"/>
              </w:rPr>
              <w:t>tr</w:t>
            </w:r>
            <w:r w:rsidR="00546B1C" w:rsidRPr="00217DF8">
              <w:rPr>
                <w:rStyle w:val="AERtextbold"/>
              </w:rPr>
              <w:t>ansmission</w:t>
            </w:r>
          </w:p>
          <w:p w:rsidR="00546B1C" w:rsidRPr="00E10924" w:rsidRDefault="00546B1C" w:rsidP="00546B1C">
            <w:pPr>
              <w:pStyle w:val="AERbodytext"/>
              <w:rPr>
                <w:rStyle w:val="AERbody"/>
              </w:rPr>
            </w:pPr>
            <w:r w:rsidRPr="00E10924">
              <w:rPr>
                <w:rStyle w:val="AERbody"/>
              </w:rPr>
              <w:t xml:space="preserve">APA </w:t>
            </w:r>
            <w:proofErr w:type="spellStart"/>
            <w:r w:rsidRPr="00E10924">
              <w:rPr>
                <w:rStyle w:val="AERbody"/>
              </w:rPr>
              <w:t>GasNet</w:t>
            </w:r>
            <w:proofErr w:type="spellEnd"/>
            <w:r w:rsidRPr="00E10924">
              <w:rPr>
                <w:rStyle w:val="AERbody"/>
              </w:rPr>
              <w:t xml:space="preserve"> is the Victorian transmission service provider. It transports gas to more than 1.4 million residential consumers and 43 000 industrial and commercial users throughout Victoria. Its network is linked to </w:t>
            </w:r>
            <w:proofErr w:type="spellStart"/>
            <w:r w:rsidRPr="00E10924">
              <w:rPr>
                <w:rStyle w:val="AERbody"/>
              </w:rPr>
              <w:t>Esso’s</w:t>
            </w:r>
            <w:proofErr w:type="spellEnd"/>
            <w:r w:rsidRPr="00E10924">
              <w:rPr>
                <w:rStyle w:val="AERbody"/>
              </w:rPr>
              <w:t xml:space="preserve"> Longford gas treatment plant in south east Victoria (which processes gas from offshore Bass Strait gas fields), the Otway Basin gas field </w:t>
            </w:r>
            <w:r w:rsidR="001B3B3A">
              <w:rPr>
                <w:rStyle w:val="AERbody"/>
              </w:rPr>
              <w:t xml:space="preserve">in south west Victoria </w:t>
            </w:r>
            <w:r w:rsidRPr="00E10924">
              <w:rPr>
                <w:rStyle w:val="AERbody"/>
              </w:rPr>
              <w:t xml:space="preserve">and underground storage in south west Victoria. </w:t>
            </w:r>
          </w:p>
          <w:p w:rsidR="00546B1C" w:rsidRPr="00217DF8" w:rsidRDefault="00FB5778" w:rsidP="00546B1C">
            <w:pPr>
              <w:pStyle w:val="AERbodytext"/>
              <w:rPr>
                <w:rStyle w:val="AERtextbold"/>
              </w:rPr>
            </w:pPr>
            <w:r>
              <w:rPr>
                <w:rStyle w:val="AERtextbold"/>
              </w:rPr>
              <w:t>Smaller pipes</w:t>
            </w:r>
            <w:r>
              <w:rPr>
                <w:rStyle w:val="AERtextbold"/>
                <w:rFonts w:ascii="Calibri" w:hAnsi="Calibri"/>
              </w:rPr>
              <w:t>—</w:t>
            </w:r>
            <w:r w:rsidRPr="005B0A65">
              <w:rPr>
                <w:rStyle w:val="AERtextbold"/>
              </w:rPr>
              <w:t>d</w:t>
            </w:r>
            <w:r w:rsidR="00546B1C" w:rsidRPr="00217DF8">
              <w:rPr>
                <w:rStyle w:val="AERtextbold"/>
              </w:rPr>
              <w:t>istribution</w:t>
            </w:r>
          </w:p>
          <w:p w:rsidR="00546B1C" w:rsidRPr="00217DF8" w:rsidRDefault="00546B1C" w:rsidP="00546B1C">
            <w:pPr>
              <w:pStyle w:val="AERbodytext"/>
              <w:rPr>
                <w:rStyle w:val="AERbody"/>
              </w:rPr>
            </w:pPr>
            <w:r w:rsidRPr="00217DF8">
              <w:rPr>
                <w:rStyle w:val="AERbody"/>
              </w:rPr>
              <w:t xml:space="preserve">Distribution service providers in Victoria include </w:t>
            </w:r>
            <w:proofErr w:type="spellStart"/>
            <w:r w:rsidRPr="00217DF8">
              <w:rPr>
                <w:rStyle w:val="AERbody"/>
              </w:rPr>
              <w:t>Envestra</w:t>
            </w:r>
            <w:proofErr w:type="spellEnd"/>
            <w:r w:rsidRPr="00217DF8">
              <w:rPr>
                <w:rStyle w:val="AERbody"/>
              </w:rPr>
              <w:t xml:space="preserve">, SP </w:t>
            </w:r>
            <w:proofErr w:type="spellStart"/>
            <w:r w:rsidRPr="00217DF8">
              <w:rPr>
                <w:rStyle w:val="AERbody"/>
              </w:rPr>
              <w:t>AusNet</w:t>
            </w:r>
            <w:proofErr w:type="spellEnd"/>
            <w:r w:rsidRPr="00217DF8">
              <w:rPr>
                <w:rStyle w:val="AERbody"/>
              </w:rPr>
              <w:t xml:space="preserve"> and </w:t>
            </w:r>
            <w:proofErr w:type="spellStart"/>
            <w:r w:rsidRPr="00217DF8">
              <w:rPr>
                <w:rStyle w:val="AERbody"/>
              </w:rPr>
              <w:t>Multinet</w:t>
            </w:r>
            <w:proofErr w:type="spellEnd"/>
            <w:r w:rsidRPr="00217DF8">
              <w:rPr>
                <w:rStyle w:val="AERbody"/>
              </w:rPr>
              <w:t>.</w:t>
            </w:r>
          </w:p>
          <w:p w:rsidR="00546B1C" w:rsidRPr="00217DF8" w:rsidRDefault="00546B1C" w:rsidP="00546B1C">
            <w:pPr>
              <w:pStyle w:val="AERbodytext"/>
              <w:rPr>
                <w:rStyle w:val="AERbody"/>
              </w:rPr>
            </w:pPr>
            <w:proofErr w:type="spellStart"/>
            <w:r w:rsidRPr="00217DF8">
              <w:rPr>
                <w:rStyle w:val="AERbody"/>
              </w:rPr>
              <w:t>Envestra's</w:t>
            </w:r>
            <w:proofErr w:type="spellEnd"/>
            <w:r w:rsidRPr="00217DF8">
              <w:rPr>
                <w:rStyle w:val="AERbody"/>
              </w:rPr>
              <w:t xml:space="preserve"> Victorian gas network serves the northern, outer eastern and southern areas of Melbourne, Mornington Peninsula, rural communities in northern, eastern and north-eastern Victoria, and south-eastern rural townships in Gippsland. It comprises around 9900 kilometres of mains delivering gas to around 575 000 customers. </w:t>
            </w:r>
          </w:p>
          <w:p w:rsidR="00546B1C" w:rsidRPr="00217DF8" w:rsidRDefault="00546B1C" w:rsidP="00546B1C">
            <w:pPr>
              <w:pStyle w:val="AERbodytext"/>
              <w:rPr>
                <w:rStyle w:val="AERbody"/>
              </w:rPr>
            </w:pPr>
            <w:r w:rsidRPr="00546B1C">
              <w:rPr>
                <w:rStyle w:val="AERbody"/>
                <w:rFonts w:eastAsia="Calibri"/>
              </w:rPr>
              <w:t xml:space="preserve">SP </w:t>
            </w:r>
            <w:proofErr w:type="spellStart"/>
            <w:r w:rsidRPr="00546B1C">
              <w:rPr>
                <w:rStyle w:val="AERbody"/>
                <w:rFonts w:eastAsia="Calibri"/>
              </w:rPr>
              <w:t>AusNet's</w:t>
            </w:r>
            <w:proofErr w:type="spellEnd"/>
            <w:r w:rsidRPr="00546B1C">
              <w:rPr>
                <w:rStyle w:val="AERbody"/>
                <w:rFonts w:eastAsia="Calibri"/>
              </w:rPr>
              <w:t xml:space="preserve"> gas distribution network delivers gas to approximately 605 000 customers across central and western Victoria. The network spans approximately 9400 kilometres across an area of 60 000 square kilometres.</w:t>
            </w:r>
          </w:p>
          <w:p w:rsidR="00546B1C" w:rsidRDefault="00546B1C" w:rsidP="00546B1C">
            <w:pPr>
              <w:pStyle w:val="AERbodytext"/>
              <w:spacing w:after="0"/>
            </w:pPr>
            <w:proofErr w:type="spellStart"/>
            <w:r w:rsidRPr="00546B1C">
              <w:rPr>
                <w:rStyle w:val="AERbody"/>
                <w:rFonts w:eastAsia="Calibri"/>
              </w:rPr>
              <w:t>Multinet</w:t>
            </w:r>
            <w:proofErr w:type="spellEnd"/>
            <w:r w:rsidRPr="00546B1C">
              <w:rPr>
                <w:rStyle w:val="AERbody"/>
                <w:rFonts w:eastAsia="Calibri"/>
              </w:rPr>
              <w:t xml:space="preserve"> distributes gas to more than 665 000 customers throughout the South and East areas of metropolitan Melbourne, Yarra Ranges and South Gippsland Towns. </w:t>
            </w:r>
            <w:proofErr w:type="spellStart"/>
            <w:r w:rsidRPr="00546B1C">
              <w:rPr>
                <w:rStyle w:val="AERbody"/>
                <w:rFonts w:eastAsia="Calibri"/>
              </w:rPr>
              <w:t>Multinet’s</w:t>
            </w:r>
            <w:proofErr w:type="spellEnd"/>
            <w:r w:rsidRPr="00546B1C">
              <w:rPr>
                <w:rStyle w:val="AERbody"/>
                <w:rFonts w:eastAsia="Calibri"/>
              </w:rPr>
              <w:t xml:space="preserve"> network covers an area of 1790 square kilometres.</w:t>
            </w:r>
          </w:p>
          <w:p w:rsidR="00546B1C" w:rsidRPr="008E4A93" w:rsidRDefault="00546B1C" w:rsidP="00167599">
            <w:pPr>
              <w:pStyle w:val="AERbodytext"/>
              <w:spacing w:after="0"/>
            </w:pPr>
          </w:p>
        </w:tc>
      </w:tr>
    </w:tbl>
    <w:p w:rsidR="007913AF" w:rsidRDefault="00E20AF8" w:rsidP="007913AF">
      <w:pPr>
        <w:pStyle w:val="AERheading2"/>
      </w:pPr>
      <w:r>
        <w:br w:type="page"/>
      </w:r>
      <w:r w:rsidR="007913AF">
        <w:t xml:space="preserve">Impact on </w:t>
      </w:r>
      <w:r w:rsidR="00CF1EDC">
        <w:t>customers</w:t>
      </w:r>
    </w:p>
    <w:p w:rsidR="00CD19C2" w:rsidRDefault="00966DFE" w:rsidP="00966DFE">
      <w:pPr>
        <w:pStyle w:val="AERbodytext"/>
      </w:pPr>
      <w:r>
        <w:t>D</w:t>
      </w:r>
      <w:r w:rsidR="007913AF" w:rsidRPr="006E4158">
        <w:t xml:space="preserve">emand for </w:t>
      </w:r>
      <w:r w:rsidR="007913AF">
        <w:t>pipeline</w:t>
      </w:r>
      <w:r w:rsidR="007913AF" w:rsidRPr="006E4158">
        <w:t xml:space="preserve"> services is </w:t>
      </w:r>
      <w:r w:rsidR="008E592B">
        <w:t>d</w:t>
      </w:r>
      <w:r>
        <w:t xml:space="preserve">riven </w:t>
      </w:r>
      <w:r w:rsidR="008E592B">
        <w:t>by</w:t>
      </w:r>
      <w:r w:rsidR="007913AF" w:rsidRPr="006E4158">
        <w:t xml:space="preserve"> demand for </w:t>
      </w:r>
      <w:r w:rsidR="007913AF">
        <w:t>gas</w:t>
      </w:r>
      <w:r w:rsidR="007913AF" w:rsidRPr="006E4158">
        <w:t xml:space="preserve"> </w:t>
      </w:r>
      <w:r>
        <w:t>by commercial businesses, residential customers and small businesses</w:t>
      </w:r>
      <w:r w:rsidR="008E592B">
        <w:t xml:space="preserve">. </w:t>
      </w:r>
      <w:r>
        <w:t>However, r</w:t>
      </w:r>
      <w:r w:rsidR="007913AF">
        <w:t xml:space="preserve">esidential customers and </w:t>
      </w:r>
      <w:r>
        <w:t>small businesses</w:t>
      </w:r>
      <w:r w:rsidR="007913AF">
        <w:t xml:space="preserve"> are not likely to seek access to transmission or distribution pipelines. Th</w:t>
      </w:r>
      <w:r>
        <w:t xml:space="preserve">is is done on their behalf by </w:t>
      </w:r>
      <w:r w:rsidR="009F32EC">
        <w:t>the relevant</w:t>
      </w:r>
      <w:r w:rsidR="007913AF">
        <w:t xml:space="preserve"> retailer.</w:t>
      </w:r>
    </w:p>
    <w:p w:rsidR="007913AF" w:rsidRDefault="006C49CA" w:rsidP="00966DFE">
      <w:pPr>
        <w:pStyle w:val="AERbodytext"/>
      </w:pPr>
      <w:r>
        <w:t>T</w:t>
      </w:r>
      <w:r w:rsidR="007913AF">
        <w:t xml:space="preserve">his is not to say that access arrangements have no impact on </w:t>
      </w:r>
      <w:r w:rsidR="00CF1EDC">
        <w:t>customers</w:t>
      </w:r>
      <w:r w:rsidR="007913AF">
        <w:t xml:space="preserve">. </w:t>
      </w:r>
      <w:r w:rsidR="005D25B4">
        <w:t>T</w:t>
      </w:r>
      <w:r w:rsidR="007913AF">
        <w:t>h</w:t>
      </w:r>
      <w:r w:rsidR="008E592B">
        <w:t xml:space="preserve">rough gas bills, </w:t>
      </w:r>
      <w:r w:rsidR="00CD19C2">
        <w:t xml:space="preserve">consumers ultimately pay for transmission and distribution services. This cost is borne first by retailers but then passed through to </w:t>
      </w:r>
      <w:r w:rsidR="009F32EC">
        <w:t>consumers</w:t>
      </w:r>
      <w:r w:rsidR="00CD19C2">
        <w:t>.</w:t>
      </w:r>
      <w:r w:rsidR="007913AF">
        <w:t xml:space="preserve"> </w:t>
      </w:r>
      <w:r w:rsidR="005D25B4">
        <w:t>I</w:t>
      </w:r>
      <w:r w:rsidR="007913AF">
        <w:t>n Victoria:</w:t>
      </w:r>
    </w:p>
    <w:p w:rsidR="007913AF" w:rsidRDefault="00CD19C2" w:rsidP="007913AF">
      <w:pPr>
        <w:pStyle w:val="AERbulletlistfirststyle"/>
      </w:pPr>
      <w:r>
        <w:t xml:space="preserve">transmission charges </w:t>
      </w:r>
      <w:r w:rsidR="007913AF">
        <w:t xml:space="preserve">make up approximately </w:t>
      </w:r>
      <w:r w:rsidR="003367B1">
        <w:t>8</w:t>
      </w:r>
      <w:r w:rsidR="007913AF">
        <w:t> per cent of an average residential customer's gas bill</w:t>
      </w:r>
      <w:r w:rsidR="007913AF">
        <w:rPr>
          <w:rStyle w:val="FootnoteReference"/>
        </w:rPr>
        <w:footnoteReference w:id="7"/>
      </w:r>
    </w:p>
    <w:p w:rsidR="007913AF" w:rsidRDefault="00CD19C2" w:rsidP="007913AF">
      <w:pPr>
        <w:pStyle w:val="AERbulletlistfirststyle"/>
      </w:pPr>
      <w:proofErr w:type="gramStart"/>
      <w:r>
        <w:t>distribution</w:t>
      </w:r>
      <w:proofErr w:type="gramEnd"/>
      <w:r>
        <w:t xml:space="preserve"> charges</w:t>
      </w:r>
      <w:r w:rsidR="007913AF">
        <w:t xml:space="preserve"> make up</w:t>
      </w:r>
      <w:r w:rsidR="005D25B4">
        <w:t xml:space="preserve"> approximately </w:t>
      </w:r>
      <w:r w:rsidR="00333E62">
        <w:t>a third</w:t>
      </w:r>
      <w:r w:rsidR="007913AF">
        <w:t xml:space="preserve"> of an average residential customer's gas bill.</w:t>
      </w:r>
      <w:r w:rsidR="00333E62">
        <w:rPr>
          <w:rStyle w:val="FootnoteReference"/>
        </w:rPr>
        <w:footnoteReference w:id="8"/>
      </w:r>
    </w:p>
    <w:p w:rsidR="007913AF" w:rsidRPr="0067104B" w:rsidRDefault="007913AF" w:rsidP="006F5F1E">
      <w:pPr>
        <w:pStyle w:val="AERbodytext"/>
      </w:pPr>
      <w:r>
        <w:t xml:space="preserve">In this way, a significant proportion of an average residential customer's gas bill is directly related to the charges paid for the transmission and distribution of gas. </w:t>
      </w:r>
      <w:r w:rsidR="001475E6">
        <w:t>For this reason</w:t>
      </w:r>
      <w:r>
        <w:t xml:space="preserve"> it is important that </w:t>
      </w:r>
      <w:r w:rsidR="00C87BF4">
        <w:t xml:space="preserve">charges recover only the ‘efficient’ </w:t>
      </w:r>
      <w:r>
        <w:t xml:space="preserve">costs </w:t>
      </w:r>
      <w:r w:rsidR="00C87BF4">
        <w:t xml:space="preserve">of operating the pipeline network. That is, </w:t>
      </w:r>
      <w:r w:rsidR="002C306F">
        <w:t xml:space="preserve">the minimum costs required to deliver the appropriate level of </w:t>
      </w:r>
      <w:r w:rsidR="006F5F1E">
        <w:t xml:space="preserve">pipeline </w:t>
      </w:r>
      <w:r w:rsidR="002C306F">
        <w:t>service</w:t>
      </w:r>
      <w:r w:rsidR="006F5F1E" w:rsidRPr="006F5F1E">
        <w:t xml:space="preserve"> </w:t>
      </w:r>
      <w:r w:rsidR="006F5F1E">
        <w:t xml:space="preserve">without compromising on the safety and reliability of the service. </w:t>
      </w:r>
      <w:r>
        <w:t>This is wh</w:t>
      </w:r>
      <w:r w:rsidR="00CD19C2">
        <w:t>y the AER</w:t>
      </w:r>
      <w:r>
        <w:t xml:space="preserve"> assess</w:t>
      </w:r>
      <w:r w:rsidR="00CD19C2">
        <w:t xml:space="preserve">es the </w:t>
      </w:r>
      <w:r w:rsidR="00C87BF4">
        <w:t xml:space="preserve">costs and </w:t>
      </w:r>
      <w:r w:rsidR="00CD19C2">
        <w:t>charges proposed by transmission and distribution companies</w:t>
      </w:r>
      <w:r w:rsidR="006F5F1E">
        <w:t>.</w:t>
      </w:r>
      <w:r w:rsidR="006F5F1E">
        <w:rPr>
          <w:rStyle w:val="FootnoteReference"/>
        </w:rPr>
        <w:footnoteReference w:id="9"/>
      </w:r>
    </w:p>
    <w:p w:rsidR="00CB608E" w:rsidRDefault="00CB608E" w:rsidP="002F0F7F">
      <w:pPr>
        <w:pStyle w:val="AERheading1"/>
      </w:pPr>
      <w:r>
        <w:t>What does the AER consider in assessing an access arrangement?</w:t>
      </w:r>
    </w:p>
    <w:p w:rsidR="00A15C63" w:rsidRPr="00A15C63" w:rsidRDefault="00A15C63" w:rsidP="00A15C63">
      <w:pPr>
        <w:pStyle w:val="AERbodytext"/>
      </w:pPr>
      <w:r w:rsidRPr="00A15C63">
        <w:t xml:space="preserve">The AER’s draft decisions </w:t>
      </w:r>
      <w:r>
        <w:t xml:space="preserve">for the </w:t>
      </w:r>
      <w:r w:rsidRPr="00A15C63">
        <w:t>2013–17 access arrangements were made in accordance with the relevant sections of the N</w:t>
      </w:r>
      <w:r w:rsidR="00C87BF4">
        <w:t xml:space="preserve">ational </w:t>
      </w:r>
      <w:r w:rsidRPr="00A15C63">
        <w:t>G</w:t>
      </w:r>
      <w:r w:rsidR="00C87BF4">
        <w:t xml:space="preserve">as </w:t>
      </w:r>
      <w:r w:rsidRPr="00A15C63">
        <w:t>L</w:t>
      </w:r>
      <w:r w:rsidR="00C87BF4">
        <w:t>aw</w:t>
      </w:r>
      <w:r w:rsidRPr="00A15C63">
        <w:t xml:space="preserve"> and N</w:t>
      </w:r>
      <w:r w:rsidR="00C87BF4">
        <w:t xml:space="preserve">ational </w:t>
      </w:r>
      <w:r w:rsidRPr="00A15C63">
        <w:t>G</w:t>
      </w:r>
      <w:r w:rsidR="00C87BF4">
        <w:t xml:space="preserve">as </w:t>
      </w:r>
      <w:r w:rsidRPr="00A15C63">
        <w:t>R</w:t>
      </w:r>
      <w:r w:rsidR="00C87BF4">
        <w:t>ules</w:t>
      </w:r>
      <w:r w:rsidRPr="00A15C63">
        <w:t>.</w:t>
      </w:r>
      <w:r>
        <w:t xml:space="preserve"> </w:t>
      </w:r>
      <w:r w:rsidRPr="00A15C63">
        <w:t xml:space="preserve">In forming </w:t>
      </w:r>
      <w:r w:rsidR="00C87BF4">
        <w:t>our</w:t>
      </w:r>
      <w:r w:rsidRPr="00A15C63">
        <w:t xml:space="preserve"> draft decision</w:t>
      </w:r>
      <w:r w:rsidR="00C87BF4">
        <w:t>s</w:t>
      </w:r>
      <w:r w:rsidRPr="00A15C63">
        <w:t xml:space="preserve">, </w:t>
      </w:r>
      <w:r w:rsidR="00C87BF4">
        <w:t>we</w:t>
      </w:r>
      <w:r w:rsidR="00D804AE">
        <w:t xml:space="preserve"> </w:t>
      </w:r>
      <w:r w:rsidR="00D804AE" w:rsidRPr="00A15C63">
        <w:t>considered</w:t>
      </w:r>
      <w:r w:rsidRPr="00A15C63">
        <w:t>:</w:t>
      </w:r>
    </w:p>
    <w:p w:rsidR="00A15C63" w:rsidRPr="00A15C63" w:rsidRDefault="004B149F" w:rsidP="00A15C63">
      <w:pPr>
        <w:pStyle w:val="AERbulletlistfirststyle"/>
      </w:pPr>
      <w:r>
        <w:t>businesse</w:t>
      </w:r>
      <w:r w:rsidR="00A15C63" w:rsidRPr="00A15C63">
        <w:t>s</w:t>
      </w:r>
      <w:r>
        <w:t>'</w:t>
      </w:r>
      <w:r w:rsidR="00A15C63" w:rsidRPr="00A15C63">
        <w:t xml:space="preserve"> access arrangement proposal</w:t>
      </w:r>
      <w:r>
        <w:t>s</w:t>
      </w:r>
      <w:r w:rsidR="00A15C63" w:rsidRPr="00A15C63">
        <w:t xml:space="preserve"> and other supporting information provided by </w:t>
      </w:r>
      <w:r>
        <w:t>the businesses</w:t>
      </w:r>
      <w:r w:rsidR="00C87BF4">
        <w:t xml:space="preserve">; we </w:t>
      </w:r>
      <w:r w:rsidR="00D804AE">
        <w:t xml:space="preserve">undertook </w:t>
      </w:r>
      <w:r w:rsidR="00C87BF4">
        <w:t>our</w:t>
      </w:r>
      <w:r w:rsidR="00D804AE">
        <w:t xml:space="preserve"> own analysis to verify this information</w:t>
      </w:r>
    </w:p>
    <w:p w:rsidR="00A15C63" w:rsidRPr="00A15C63" w:rsidRDefault="00A15C63" w:rsidP="00A15C63">
      <w:pPr>
        <w:pStyle w:val="AERbulletlistfirststyle"/>
      </w:pPr>
      <w:r w:rsidRPr="00A15C63">
        <w:t>submissions from interested parties</w:t>
      </w:r>
      <w:r w:rsidR="005D25B4">
        <w:t xml:space="preserve">, including retailers and </w:t>
      </w:r>
      <w:r w:rsidR="001B3B3A">
        <w:t>end</w:t>
      </w:r>
      <w:r w:rsidR="005D25B4">
        <w:t xml:space="preserve"> users</w:t>
      </w:r>
      <w:r w:rsidR="001B3B3A" w:rsidRPr="001B3B3A">
        <w:t xml:space="preserve"> </w:t>
      </w:r>
      <w:r w:rsidR="001B3B3A">
        <w:t>of gas</w:t>
      </w:r>
    </w:p>
    <w:p w:rsidR="00A15C63" w:rsidRPr="00A15C63" w:rsidRDefault="00A15C63" w:rsidP="00A15C63">
      <w:pPr>
        <w:pStyle w:val="AERbulletlistfirststyle"/>
      </w:pPr>
      <w:r w:rsidRPr="00A15C63">
        <w:t xml:space="preserve">views expressed </w:t>
      </w:r>
      <w:r w:rsidR="00C87BF4">
        <w:t>by</w:t>
      </w:r>
      <w:r w:rsidRPr="00A15C63">
        <w:t xml:space="preserve"> stakeholder</w:t>
      </w:r>
      <w:r w:rsidR="00C87BF4">
        <w:t>s at various meetings</w:t>
      </w:r>
    </w:p>
    <w:p w:rsidR="00A15C63" w:rsidRPr="00A15C63" w:rsidRDefault="00A15C63" w:rsidP="00A15C63">
      <w:pPr>
        <w:pStyle w:val="AERbulletlistfirststyle"/>
      </w:pPr>
      <w:proofErr w:type="gramStart"/>
      <w:r w:rsidRPr="00A15C63">
        <w:t>expert</w:t>
      </w:r>
      <w:proofErr w:type="gramEnd"/>
      <w:r w:rsidRPr="00A15C63">
        <w:t xml:space="preserve"> advice or analysis commissioned </w:t>
      </w:r>
      <w:r w:rsidR="00C87BF4">
        <w:t xml:space="preserve">by us and others </w:t>
      </w:r>
      <w:r w:rsidR="00CD19C2">
        <w:t>on</w:t>
      </w:r>
      <w:r w:rsidRPr="00A15C63">
        <w:t xml:space="preserve"> certain aspects of </w:t>
      </w:r>
      <w:r w:rsidR="004B149F">
        <w:t>the businesses'</w:t>
      </w:r>
      <w:r w:rsidRPr="00A15C63">
        <w:t xml:space="preserve"> access arrangement proposal</w:t>
      </w:r>
      <w:r w:rsidR="004B149F">
        <w:t>s</w:t>
      </w:r>
      <w:r w:rsidRPr="00A15C63">
        <w:t>.</w:t>
      </w:r>
    </w:p>
    <w:p w:rsidR="00D90DC7" w:rsidRPr="00D90DC7" w:rsidRDefault="00A15C63" w:rsidP="007757D2">
      <w:pPr>
        <w:pStyle w:val="AERbodytext"/>
      </w:pPr>
      <w:r w:rsidRPr="00A15C63">
        <w:t>The AER</w:t>
      </w:r>
      <w:r w:rsidR="005D25B4">
        <w:t>’s draft decisions include draft</w:t>
      </w:r>
      <w:r>
        <w:t xml:space="preserve"> </w:t>
      </w:r>
      <w:r w:rsidRPr="00A15C63">
        <w:t xml:space="preserve">decisions </w:t>
      </w:r>
      <w:r>
        <w:t>on t</w:t>
      </w:r>
      <w:r w:rsidRPr="00A15C63">
        <w:t>ariffs for regulated pipeline services and non-tariff terms and conditions for reference and ancillary services.</w:t>
      </w:r>
    </w:p>
    <w:p w:rsidR="00D90DC7" w:rsidRDefault="0033390C" w:rsidP="007757D2">
      <w:pPr>
        <w:pStyle w:val="AERheading2"/>
      </w:pPr>
      <w:r>
        <w:t>Transmission and distribution tariffs</w:t>
      </w:r>
    </w:p>
    <w:p w:rsidR="00D51730" w:rsidRDefault="007757D2" w:rsidP="00D90DC7">
      <w:pPr>
        <w:pStyle w:val="AERbodytext"/>
      </w:pPr>
      <w:r>
        <w:t xml:space="preserve">To </w:t>
      </w:r>
      <w:r w:rsidR="00E57F8A">
        <w:t>determine</w:t>
      </w:r>
      <w:r>
        <w:t xml:space="preserve"> tariffs, </w:t>
      </w:r>
      <w:r w:rsidR="00C87BF4">
        <w:t>we</w:t>
      </w:r>
      <w:r>
        <w:t xml:space="preserve"> first a</w:t>
      </w:r>
      <w:r w:rsidR="00D90DC7" w:rsidRPr="00D90DC7">
        <w:t>ssess</w:t>
      </w:r>
      <w:r w:rsidR="00C87BF4">
        <w:t>ed</w:t>
      </w:r>
      <w:r>
        <w:t xml:space="preserve"> </w:t>
      </w:r>
      <w:r w:rsidR="00D90DC7" w:rsidRPr="00D90DC7">
        <w:t xml:space="preserve">the total revenue </w:t>
      </w:r>
      <w:r>
        <w:t>the service provider</w:t>
      </w:r>
      <w:r w:rsidR="00D804AE">
        <w:t xml:space="preserve"> </w:t>
      </w:r>
      <w:r w:rsidR="00C87BF4">
        <w:t>needs</w:t>
      </w:r>
      <w:r>
        <w:t xml:space="preserve"> </w:t>
      </w:r>
      <w:r w:rsidR="00D90DC7" w:rsidRPr="00D90DC7">
        <w:t xml:space="preserve">to </w:t>
      </w:r>
      <w:r w:rsidR="00C87BF4">
        <w:t>provide an efficient and appropriate level of</w:t>
      </w:r>
      <w:r w:rsidR="00D90DC7" w:rsidRPr="00D90DC7">
        <w:t xml:space="preserve"> </w:t>
      </w:r>
      <w:r>
        <w:t>transmission or</w:t>
      </w:r>
      <w:r w:rsidR="00D90DC7" w:rsidRPr="00D90DC7">
        <w:t xml:space="preserve"> distribution services. </w:t>
      </w:r>
      <w:r w:rsidR="00CD19C2">
        <w:t xml:space="preserve">Total revenue should be sufficient to ensure the business can cover the </w:t>
      </w:r>
      <w:r w:rsidR="00C87BF4">
        <w:t xml:space="preserve">efficient </w:t>
      </w:r>
      <w:r w:rsidR="009523D9">
        <w:t xml:space="preserve">costs </w:t>
      </w:r>
      <w:r w:rsidR="00CD19C2">
        <w:t>it</w:t>
      </w:r>
      <w:r w:rsidR="00D804AE">
        <w:t xml:space="preserve"> </w:t>
      </w:r>
      <w:r w:rsidR="009523D9">
        <w:t>incur</w:t>
      </w:r>
      <w:r w:rsidR="00D804AE">
        <w:t>s</w:t>
      </w:r>
      <w:r w:rsidR="009523D9">
        <w:t xml:space="preserve"> in providing pipeline services. </w:t>
      </w:r>
      <w:r w:rsidR="001B3B3A">
        <w:t>These costs include capital costs such as for pipes and buildings,</w:t>
      </w:r>
      <w:r w:rsidR="00D329F4">
        <w:t xml:space="preserve"> and</w:t>
      </w:r>
      <w:r w:rsidR="001B3B3A">
        <w:t xml:space="preserve"> operating costs such as for labour </w:t>
      </w:r>
      <w:r w:rsidR="00161990">
        <w:t>(discussed more below and in chapter 4)</w:t>
      </w:r>
      <w:r w:rsidR="001B3B3A">
        <w:t xml:space="preserve">. </w:t>
      </w:r>
      <w:r w:rsidR="009523D9">
        <w:t xml:space="preserve">In assessing these costs, </w:t>
      </w:r>
      <w:r w:rsidR="00BB47DE">
        <w:t>we</w:t>
      </w:r>
      <w:r w:rsidR="009523D9">
        <w:t xml:space="preserve"> consider whether these reflect the costs that would be incurred by a </w:t>
      </w:r>
      <w:r w:rsidR="009523D9" w:rsidRPr="00E10924">
        <w:t>prudent serv</w:t>
      </w:r>
      <w:r w:rsidR="001B3B3A">
        <w:t>ice provider acting efficiently</w:t>
      </w:r>
      <w:r w:rsidR="009523D9" w:rsidRPr="00E10924">
        <w:t xml:space="preserve"> to achieve the lowest sustainable cost of providing services</w:t>
      </w:r>
      <w:r w:rsidR="009523D9">
        <w:t>.</w:t>
      </w:r>
      <w:r w:rsidR="00D51730" w:rsidRPr="00D51730">
        <w:t xml:space="preserve"> </w:t>
      </w:r>
    </w:p>
    <w:p w:rsidR="00E20AF8" w:rsidRDefault="00D51730" w:rsidP="00D90DC7">
      <w:pPr>
        <w:pStyle w:val="AERbodytext"/>
      </w:pPr>
      <w:r>
        <w:t xml:space="preserve">In assessing and determining a business’ total revenue, </w:t>
      </w:r>
      <w:r w:rsidR="00BB47DE">
        <w:t>we use</w:t>
      </w:r>
      <w:r>
        <w:t xml:space="preserve"> a </w:t>
      </w:r>
      <w:r w:rsidR="00BB47DE">
        <w:t>‘</w:t>
      </w:r>
      <w:r>
        <w:t>building block</w:t>
      </w:r>
      <w:r w:rsidR="00BB47DE">
        <w:t>’</w:t>
      </w:r>
      <w:r>
        <w:t xml:space="preserve"> approach (explained below). These ‘building blocks’ summed together </w:t>
      </w:r>
      <w:r w:rsidR="0000644D">
        <w:t>basically</w:t>
      </w:r>
      <w:r>
        <w:t xml:space="preserve"> give the required revenue. However, the components of the building block are interlinked and in assessing total revenue </w:t>
      </w:r>
      <w:r w:rsidR="00E57F8A">
        <w:t>we</w:t>
      </w:r>
      <w:r>
        <w:t xml:space="preserve"> also ha</w:t>
      </w:r>
      <w:r w:rsidR="00E57F8A">
        <w:t>ve</w:t>
      </w:r>
      <w:r>
        <w:t xml:space="preserve"> to consider these </w:t>
      </w:r>
      <w:proofErr w:type="spellStart"/>
      <w:r>
        <w:t>interlinkages</w:t>
      </w:r>
      <w:proofErr w:type="spellEnd"/>
      <w:r>
        <w:t xml:space="preserve">. In particular, capital and operating expenditure are often interlinked. </w:t>
      </w:r>
    </w:p>
    <w:p w:rsidR="009F32EC" w:rsidRDefault="00161990" w:rsidP="00D90DC7">
      <w:pPr>
        <w:pStyle w:val="AERbodytext"/>
      </w:pPr>
      <w:r>
        <w:t>O</w:t>
      </w:r>
      <w:r w:rsidR="00126628">
        <w:t>pe</w:t>
      </w:r>
      <w:r w:rsidR="00D804AE">
        <w:t>rating e</w:t>
      </w:r>
      <w:r w:rsidR="00126628">
        <w:t>x</w:t>
      </w:r>
      <w:r w:rsidR="00D804AE">
        <w:t>penditure (</w:t>
      </w:r>
      <w:proofErr w:type="spellStart"/>
      <w:r w:rsidR="00D804AE">
        <w:t>opex</w:t>
      </w:r>
      <w:proofErr w:type="spellEnd"/>
      <w:r w:rsidR="00D804AE">
        <w:t>)</w:t>
      </w:r>
      <w:r w:rsidR="00126628">
        <w:t xml:space="preserve"> is </w:t>
      </w:r>
      <w:r>
        <w:t>sometimes</w:t>
      </w:r>
      <w:r w:rsidR="00126628">
        <w:t xml:space="preserve"> incurred as a result of a new capital project being undertaken. </w:t>
      </w:r>
      <w:r w:rsidR="001B3B3A">
        <w:t xml:space="preserve">For example, a </w:t>
      </w:r>
      <w:r>
        <w:t xml:space="preserve">new IT project may require </w:t>
      </w:r>
      <w:proofErr w:type="spellStart"/>
      <w:r>
        <w:t>opex</w:t>
      </w:r>
      <w:proofErr w:type="spellEnd"/>
      <w:r>
        <w:t xml:space="preserve"> to fund new staff to manage some ongoing aspect of the IT project. </w:t>
      </w:r>
      <w:r w:rsidR="00126628">
        <w:t xml:space="preserve">If </w:t>
      </w:r>
      <w:r w:rsidR="00BB47DE">
        <w:t>we</w:t>
      </w:r>
      <w:r w:rsidR="00126628">
        <w:t xml:space="preserve"> consider </w:t>
      </w:r>
      <w:r>
        <w:t xml:space="preserve">that </w:t>
      </w:r>
      <w:r w:rsidR="00126628">
        <w:t>th</w:t>
      </w:r>
      <w:r>
        <w:t>e</w:t>
      </w:r>
      <w:r w:rsidR="00126628">
        <w:t xml:space="preserve"> </w:t>
      </w:r>
      <w:r>
        <w:t>IT project</w:t>
      </w:r>
      <w:r w:rsidR="00126628">
        <w:t xml:space="preserve"> is </w:t>
      </w:r>
      <w:r>
        <w:t xml:space="preserve">not </w:t>
      </w:r>
      <w:r w:rsidR="00126628">
        <w:t xml:space="preserve">justified, this could also result in a reduction to </w:t>
      </w:r>
      <w:proofErr w:type="spellStart"/>
      <w:r w:rsidR="00126628">
        <w:t>opex</w:t>
      </w:r>
      <w:proofErr w:type="spellEnd"/>
      <w:r w:rsidR="00126628">
        <w:t xml:space="preserve"> (where that </w:t>
      </w:r>
      <w:proofErr w:type="spellStart"/>
      <w:r w:rsidR="00126628">
        <w:t>opex</w:t>
      </w:r>
      <w:proofErr w:type="spellEnd"/>
      <w:r w:rsidR="00126628">
        <w:t xml:space="preserve"> was only going to be incurred because of the </w:t>
      </w:r>
      <w:r>
        <w:t>IT</w:t>
      </w:r>
      <w:r w:rsidR="00126628">
        <w:t xml:space="preserve"> project). </w:t>
      </w:r>
    </w:p>
    <w:p w:rsidR="009523D9" w:rsidRDefault="00D51730" w:rsidP="00D90DC7">
      <w:pPr>
        <w:pStyle w:val="AERbodytext"/>
      </w:pPr>
      <w:r>
        <w:t xml:space="preserve">Similarly, capital expenditure </w:t>
      </w:r>
      <w:r w:rsidR="00E57F8A">
        <w:t>(</w:t>
      </w:r>
      <w:proofErr w:type="spellStart"/>
      <w:r w:rsidR="00E57F8A">
        <w:t>capex</w:t>
      </w:r>
      <w:proofErr w:type="spellEnd"/>
      <w:r w:rsidR="00E57F8A">
        <w:t xml:space="preserve">) </w:t>
      </w:r>
      <w:r>
        <w:t>and the capital base can</w:t>
      </w:r>
      <w:r w:rsidR="00BB47DE">
        <w:t>’</w:t>
      </w:r>
      <w:r>
        <w:t>t be considered in isolation</w:t>
      </w:r>
      <w:r w:rsidR="00161990">
        <w:t xml:space="preserve">. We use our assessment of </w:t>
      </w:r>
      <w:r w:rsidR="00BB47DE">
        <w:t xml:space="preserve">future </w:t>
      </w:r>
      <w:proofErr w:type="spellStart"/>
      <w:r w:rsidR="00126628">
        <w:t>capex</w:t>
      </w:r>
      <w:proofErr w:type="spellEnd"/>
      <w:r w:rsidR="00126628">
        <w:t xml:space="preserve"> to forecast the </w:t>
      </w:r>
      <w:r w:rsidR="00161990">
        <w:t xml:space="preserve">future </w:t>
      </w:r>
      <w:r w:rsidR="00126628">
        <w:t>capital base</w:t>
      </w:r>
      <w:r w:rsidR="00BB47DE">
        <w:t xml:space="preserve"> and the costs associated with financing that capital base</w:t>
      </w:r>
      <w:r w:rsidR="00126628">
        <w:t xml:space="preserve">. These </w:t>
      </w:r>
      <w:proofErr w:type="spellStart"/>
      <w:r w:rsidR="00126628">
        <w:t>interlinkages</w:t>
      </w:r>
      <w:proofErr w:type="spellEnd"/>
      <w:r w:rsidR="00126628">
        <w:t xml:space="preserve"> are</w:t>
      </w:r>
      <w:r>
        <w:t xml:space="preserve"> discussed more in the AER’s draft decisions.</w:t>
      </w:r>
      <w:r w:rsidR="00161990">
        <w:t xml:space="preserve"> </w:t>
      </w:r>
      <w:proofErr w:type="spellStart"/>
      <w:r w:rsidR="00161990">
        <w:t>Opex</w:t>
      </w:r>
      <w:proofErr w:type="spellEnd"/>
      <w:r w:rsidR="00161990">
        <w:t xml:space="preserve">, </w:t>
      </w:r>
      <w:proofErr w:type="spellStart"/>
      <w:r w:rsidR="00161990">
        <w:t>capex</w:t>
      </w:r>
      <w:proofErr w:type="spellEnd"/>
      <w:r w:rsidR="00161990">
        <w:t xml:space="preserve"> and the capital base are discussed more in chapter 4</w:t>
      </w:r>
      <w:r w:rsidR="009F32EC">
        <w:t xml:space="preserve"> below</w:t>
      </w:r>
      <w:r w:rsidR="00161990">
        <w:t>.</w:t>
      </w:r>
    </w:p>
    <w:p w:rsidR="00D804AE" w:rsidRDefault="00D804AE" w:rsidP="00D90DC7">
      <w:pPr>
        <w:pStyle w:val="AERbodytext"/>
      </w:pPr>
      <w:r>
        <w:t xml:space="preserve">There are also certain requirements that apply to </w:t>
      </w:r>
      <w:r w:rsidR="00BA6E30">
        <w:t>forecasts and estimates provided</w:t>
      </w:r>
      <w:r>
        <w:t xml:space="preserve"> by </w:t>
      </w:r>
      <w:r w:rsidR="00BA6E30">
        <w:t>each</w:t>
      </w:r>
      <w:r>
        <w:t xml:space="preserve"> business as part of </w:t>
      </w:r>
      <w:r w:rsidR="00BA6E30">
        <w:t>its proposal</w:t>
      </w:r>
      <w:r>
        <w:t xml:space="preserve">. </w:t>
      </w:r>
      <w:r w:rsidR="00BA6E30">
        <w:t>In particular,</w:t>
      </w:r>
      <w:r>
        <w:t xml:space="preserve"> any forecasts or estimates must be arrived at on a reasonable basis and be the best possible in the circumstances.</w:t>
      </w:r>
    </w:p>
    <w:p w:rsidR="008A6B8A" w:rsidRDefault="008A6B8A" w:rsidP="00AD0BD5">
      <w:pPr>
        <w:pStyle w:val="AERheading4"/>
      </w:pPr>
      <w:r>
        <w:t>Buil</w:t>
      </w:r>
      <w:r w:rsidR="00D51730">
        <w:t xml:space="preserve">ding block approach to determining </w:t>
      </w:r>
      <w:r>
        <w:t>revenue</w:t>
      </w:r>
    </w:p>
    <w:p w:rsidR="008A6B8A" w:rsidRDefault="00D51730" w:rsidP="00D90DC7">
      <w:pPr>
        <w:pStyle w:val="AERbodytext"/>
      </w:pPr>
      <w:r>
        <w:t>The building block components comprise</w:t>
      </w:r>
      <w:r w:rsidR="008A6B8A">
        <w:t>:</w:t>
      </w:r>
    </w:p>
    <w:p w:rsidR="008A6B8A" w:rsidRPr="00D90DC7" w:rsidRDefault="008A6B8A" w:rsidP="008A6B8A">
      <w:pPr>
        <w:pStyle w:val="AERbulletlistfirststyle"/>
      </w:pPr>
      <w:r>
        <w:t>A</w:t>
      </w:r>
      <w:r w:rsidRPr="00D90DC7">
        <w:t xml:space="preserve"> return on the projected capital base incorporating:</w:t>
      </w:r>
    </w:p>
    <w:p w:rsidR="008A6B8A" w:rsidRPr="00D90DC7" w:rsidRDefault="008A6B8A" w:rsidP="008A6B8A">
      <w:pPr>
        <w:pStyle w:val="AERbulletlistsecondstyle"/>
      </w:pPr>
      <w:r>
        <w:t>T</w:t>
      </w:r>
      <w:r w:rsidRPr="00D90DC7">
        <w:t>he capital base</w:t>
      </w:r>
      <w:r w:rsidR="0000644D" w:rsidRPr="002034BD">
        <w:t>—</w:t>
      </w:r>
      <w:r w:rsidR="00FE119E">
        <w:t xml:space="preserve">our assessment of </w:t>
      </w:r>
      <w:r w:rsidRPr="007757D2">
        <w:t xml:space="preserve">the value of </w:t>
      </w:r>
      <w:r>
        <w:t>the business’</w:t>
      </w:r>
      <w:r w:rsidRPr="007757D2">
        <w:t xml:space="preserve"> capital assets</w:t>
      </w:r>
      <w:r>
        <w:t xml:space="preserve"> </w:t>
      </w:r>
      <w:r w:rsidR="00FE119E">
        <w:rPr>
          <w:rStyle w:val="AERbody"/>
        </w:rPr>
        <w:t>needed</w:t>
      </w:r>
      <w:r w:rsidRPr="007757D2">
        <w:rPr>
          <w:rStyle w:val="AERbody"/>
        </w:rPr>
        <w:t xml:space="preserve"> </w:t>
      </w:r>
      <w:r w:rsidRPr="007757D2">
        <w:t xml:space="preserve">to provide </w:t>
      </w:r>
      <w:r w:rsidR="00FE119E">
        <w:t>pipeline</w:t>
      </w:r>
      <w:r w:rsidRPr="007757D2">
        <w:t xml:space="preserve"> services</w:t>
      </w:r>
      <w:r>
        <w:t xml:space="preserve"> (</w:t>
      </w:r>
      <w:r w:rsidR="00C82F77">
        <w:t>e.g</w:t>
      </w:r>
      <w:r>
        <w:t>.</w:t>
      </w:r>
      <w:r w:rsidRPr="007757D2">
        <w:t xml:space="preserve"> gas pipelines,</w:t>
      </w:r>
      <w:r w:rsidRPr="007757D2">
        <w:rPr>
          <w:rStyle w:val="AERbody"/>
        </w:rPr>
        <w:t xml:space="preserve"> </w:t>
      </w:r>
      <w:r w:rsidR="00C82F77">
        <w:rPr>
          <w:rStyle w:val="AERbody"/>
        </w:rPr>
        <w:t>IT systems and plant and equipment</w:t>
      </w:r>
      <w:r>
        <w:rPr>
          <w:rStyle w:val="AERbody"/>
        </w:rPr>
        <w:t>).</w:t>
      </w:r>
      <w:r w:rsidR="004278B9">
        <w:rPr>
          <w:rStyle w:val="AERbody"/>
        </w:rPr>
        <w:t xml:space="preserve"> </w:t>
      </w:r>
    </w:p>
    <w:p w:rsidR="008A6B8A" w:rsidRPr="00D90DC7" w:rsidRDefault="008A6B8A" w:rsidP="008A6B8A">
      <w:pPr>
        <w:pStyle w:val="AERbulletlistsecondstyle"/>
      </w:pPr>
      <w:r>
        <w:t>C</w:t>
      </w:r>
      <w:r w:rsidRPr="00D90DC7">
        <w:t>apital expenditure</w:t>
      </w:r>
      <w:r w:rsidR="00192DCF">
        <w:t xml:space="preserve"> (</w:t>
      </w:r>
      <w:proofErr w:type="spellStart"/>
      <w:r w:rsidR="00192DCF">
        <w:t>capex</w:t>
      </w:r>
      <w:proofErr w:type="spellEnd"/>
      <w:r w:rsidR="00192DCF">
        <w:t>)</w:t>
      </w:r>
      <w:r w:rsidRPr="002034BD">
        <w:t>—</w:t>
      </w:r>
      <w:r w:rsidR="00FE119E">
        <w:t xml:space="preserve">how much we believe the </w:t>
      </w:r>
      <w:r w:rsidRPr="002034BD">
        <w:t xml:space="preserve">business </w:t>
      </w:r>
      <w:r w:rsidR="00FE119E">
        <w:t xml:space="preserve">will need to spend on new assets </w:t>
      </w:r>
      <w:r w:rsidRPr="002034BD">
        <w:t xml:space="preserve">during </w:t>
      </w:r>
      <w:r>
        <w:t xml:space="preserve">the upcoming </w:t>
      </w:r>
      <w:r w:rsidRPr="002034BD">
        <w:t>access arrangement period</w:t>
      </w:r>
      <w:r>
        <w:t xml:space="preserve">. </w:t>
      </w:r>
    </w:p>
    <w:p w:rsidR="008A6B8A" w:rsidRPr="00D90DC7" w:rsidRDefault="008A6B8A" w:rsidP="008A6B8A">
      <w:pPr>
        <w:pStyle w:val="AERbulletlistsecondstyle"/>
      </w:pPr>
      <w:r>
        <w:t>A</w:t>
      </w:r>
      <w:r w:rsidRPr="00D90DC7">
        <w:t xml:space="preserve"> rate of return</w:t>
      </w:r>
      <w:r w:rsidR="00CD19C2">
        <w:t xml:space="preserve"> or return on investment</w:t>
      </w:r>
      <w:r w:rsidR="00CD19C2" w:rsidRPr="002034BD">
        <w:t>—</w:t>
      </w:r>
      <w:r w:rsidR="00FE119E">
        <w:t>what we consider</w:t>
      </w:r>
      <w:r w:rsidR="00FF2653">
        <w:t xml:space="preserve"> the businesses need to finance</w:t>
      </w:r>
      <w:r w:rsidR="00FE119E">
        <w:t xml:space="preserve"> their</w:t>
      </w:r>
      <w:r w:rsidRPr="00805219">
        <w:t xml:space="preserve"> capital assets, such as paying interest on loans.</w:t>
      </w:r>
    </w:p>
    <w:p w:rsidR="008A6B8A" w:rsidRDefault="008A6B8A" w:rsidP="008A6B8A">
      <w:pPr>
        <w:pStyle w:val="AERbulletlistfirststyle"/>
      </w:pPr>
      <w:r>
        <w:t>R</w:t>
      </w:r>
      <w:r w:rsidRPr="00D90DC7">
        <w:t>egulatory depreciatio</w:t>
      </w:r>
      <w:r>
        <w:t>n of the projected capital base</w:t>
      </w:r>
      <w:r w:rsidRPr="00805219">
        <w:t xml:space="preserve">—that is, an allowance </w:t>
      </w:r>
      <w:r w:rsidR="00FE119E">
        <w:t xml:space="preserve">we give to the businesses to compensate </w:t>
      </w:r>
      <w:r w:rsidRPr="00805219">
        <w:t xml:space="preserve">for the </w:t>
      </w:r>
      <w:r w:rsidR="00FE119E">
        <w:t>falling</w:t>
      </w:r>
      <w:r w:rsidRPr="00805219">
        <w:t xml:space="preserve"> value </w:t>
      </w:r>
      <w:r>
        <w:t xml:space="preserve">of </w:t>
      </w:r>
      <w:r w:rsidR="00FE119E">
        <w:t>their</w:t>
      </w:r>
      <w:r>
        <w:t xml:space="preserve"> assets </w:t>
      </w:r>
      <w:r w:rsidRPr="00805219">
        <w:t>over time.</w:t>
      </w:r>
    </w:p>
    <w:p w:rsidR="008A6B8A" w:rsidRPr="00D90DC7" w:rsidRDefault="008A6B8A" w:rsidP="008A6B8A">
      <w:pPr>
        <w:pStyle w:val="AERbulletlistfirststyle"/>
      </w:pPr>
      <w:r>
        <w:t>O</w:t>
      </w:r>
      <w:r w:rsidRPr="00D90DC7">
        <w:t>perating expenditure</w:t>
      </w:r>
      <w:r w:rsidR="00192DCF">
        <w:t xml:space="preserve"> (</w:t>
      </w:r>
      <w:proofErr w:type="spellStart"/>
      <w:r w:rsidR="00192DCF">
        <w:t>opex</w:t>
      </w:r>
      <w:proofErr w:type="spellEnd"/>
      <w:r w:rsidR="00192DCF">
        <w:t>)</w:t>
      </w:r>
      <w:r w:rsidRPr="002034BD">
        <w:t>—</w:t>
      </w:r>
      <w:r w:rsidR="00FE119E">
        <w:t>how much we will allow for</w:t>
      </w:r>
      <w:r w:rsidRPr="002034BD">
        <w:t xml:space="preserve"> </w:t>
      </w:r>
      <w:r w:rsidRPr="002034BD">
        <w:rPr>
          <w:rStyle w:val="AERbody"/>
        </w:rPr>
        <w:t>operating, maintenance and other non-capital costs incurred in provi</w:t>
      </w:r>
      <w:r w:rsidR="00FE119E">
        <w:rPr>
          <w:rStyle w:val="AERbody"/>
        </w:rPr>
        <w:t>ding</w:t>
      </w:r>
      <w:r w:rsidRPr="002034BD">
        <w:rPr>
          <w:rStyle w:val="AERbody"/>
        </w:rPr>
        <w:t xml:space="preserve"> </w:t>
      </w:r>
      <w:r>
        <w:rPr>
          <w:rStyle w:val="AERbody"/>
        </w:rPr>
        <w:t>pipeline</w:t>
      </w:r>
      <w:r w:rsidRPr="002034BD">
        <w:rPr>
          <w:rStyle w:val="AERbody"/>
        </w:rPr>
        <w:t xml:space="preserve"> services</w:t>
      </w:r>
      <w:r>
        <w:rPr>
          <w:rStyle w:val="AERbody"/>
        </w:rPr>
        <w:t>.</w:t>
      </w:r>
    </w:p>
    <w:p w:rsidR="008A6B8A" w:rsidRPr="00D90DC7" w:rsidRDefault="00FE119E" w:rsidP="008A6B8A">
      <w:pPr>
        <w:pStyle w:val="AERbulletlistfirststyle"/>
      </w:pPr>
      <w:r>
        <w:t>Rewards</w:t>
      </w:r>
      <w:r w:rsidR="008A6B8A" w:rsidRPr="00D90DC7">
        <w:t xml:space="preserve"> and </w:t>
      </w:r>
      <w:r>
        <w:t>penalties</w:t>
      </w:r>
      <w:r w:rsidR="008A6B8A" w:rsidRPr="00D90DC7">
        <w:t xml:space="preserve"> resulting from an incentive mechanism</w:t>
      </w:r>
      <w:r w:rsidR="008A6B8A" w:rsidRPr="00D90DC7">
        <w:rPr>
          <w:rStyle w:val="FootnoteReference"/>
        </w:rPr>
        <w:footnoteReference w:id="10"/>
      </w:r>
      <w:r w:rsidR="008A6B8A" w:rsidRPr="002034BD">
        <w:t>—</w:t>
      </w:r>
      <w:r w:rsidR="008A6B8A">
        <w:t xml:space="preserve">incentive mechanisms allow service providers to benefit from some of the savings they make when they are efficient and deliver a project or outcome at a lower cost than forecast. </w:t>
      </w:r>
    </w:p>
    <w:p w:rsidR="008A6B8A" w:rsidRDefault="008A6B8A" w:rsidP="00161990">
      <w:pPr>
        <w:pStyle w:val="AERbulletlistfirststyle"/>
        <w:spacing w:after="240"/>
      </w:pPr>
      <w:r>
        <w:t>C</w:t>
      </w:r>
      <w:r w:rsidRPr="00D90DC7">
        <w:t>orporate income ta</w:t>
      </w:r>
      <w:r>
        <w:t>x.</w:t>
      </w:r>
    </w:p>
    <w:p w:rsidR="00161990" w:rsidRDefault="00161990" w:rsidP="00161990">
      <w:pPr>
        <w:pStyle w:val="AERbodytext"/>
        <w:spacing w:before="240"/>
      </w:pPr>
      <w:r>
        <w:t>Each of these ‘</w:t>
      </w:r>
      <w:r w:rsidR="00FF2653">
        <w:t>building blo</w:t>
      </w:r>
      <w:r>
        <w:t>ck</w:t>
      </w:r>
      <w:r w:rsidR="00FF2653">
        <w:t>s</w:t>
      </w:r>
      <w:r>
        <w:t>’ are discussed in more detail in the following chapter (chapter 4).</w:t>
      </w:r>
    </w:p>
    <w:p w:rsidR="008A6B8A" w:rsidRDefault="008A6B8A" w:rsidP="00AD0BD5">
      <w:pPr>
        <w:pStyle w:val="AERheading4"/>
      </w:pPr>
      <w:r>
        <w:t>Use of demand forecasts to derive tariffs</w:t>
      </w:r>
    </w:p>
    <w:p w:rsidR="008A6B8A" w:rsidRDefault="00D90DC7" w:rsidP="00D90DC7">
      <w:pPr>
        <w:pStyle w:val="AERbodytext"/>
      </w:pPr>
      <w:r w:rsidRPr="00D90DC7">
        <w:t xml:space="preserve">Once </w:t>
      </w:r>
      <w:r w:rsidR="00C51B79">
        <w:t xml:space="preserve">we have assessed a business’ </w:t>
      </w:r>
      <w:r w:rsidRPr="00D90DC7">
        <w:t xml:space="preserve">total revenue </w:t>
      </w:r>
      <w:r w:rsidR="00C51B79">
        <w:t>needs, we then look at</w:t>
      </w:r>
      <w:r w:rsidR="00A15C63">
        <w:t xml:space="preserve"> </w:t>
      </w:r>
      <w:r w:rsidRPr="00D90DC7">
        <w:t>demand</w:t>
      </w:r>
      <w:r w:rsidR="00675D83">
        <w:t xml:space="preserve"> forecasts</w:t>
      </w:r>
      <w:r w:rsidR="005D7322">
        <w:t>. Demand forecasts</w:t>
      </w:r>
      <w:r w:rsidR="00675D83">
        <w:t xml:space="preserve"> </w:t>
      </w:r>
      <w:r w:rsidR="005D7322">
        <w:t xml:space="preserve">are used to </w:t>
      </w:r>
      <w:r w:rsidR="00675D83">
        <w:t xml:space="preserve">estimate how much gas will be consumed by each customer type over the access arrangement period. </w:t>
      </w:r>
      <w:r w:rsidR="002D7E48">
        <w:t xml:space="preserve">As well as </w:t>
      </w:r>
      <w:r w:rsidR="00C51B79">
        <w:t xml:space="preserve">providing </w:t>
      </w:r>
      <w:r w:rsidR="002D7E48">
        <w:t>inform</w:t>
      </w:r>
      <w:r w:rsidR="00C51B79">
        <w:t>ation on</w:t>
      </w:r>
      <w:r w:rsidR="002D7E48">
        <w:t xml:space="preserve"> how much </w:t>
      </w:r>
      <w:proofErr w:type="spellStart"/>
      <w:r w:rsidR="002D7E48">
        <w:t>opex</w:t>
      </w:r>
      <w:proofErr w:type="spellEnd"/>
      <w:r w:rsidR="002D7E48">
        <w:t xml:space="preserve"> and </w:t>
      </w:r>
      <w:proofErr w:type="spellStart"/>
      <w:r w:rsidR="002D7E48">
        <w:t>capex</w:t>
      </w:r>
      <w:proofErr w:type="spellEnd"/>
      <w:r w:rsidR="002D7E48">
        <w:t xml:space="preserve"> is required over the upcoming access arrangement period, demand forecasts are used </w:t>
      </w:r>
      <w:r w:rsidR="005D7322">
        <w:t>to determine the prices charged</w:t>
      </w:r>
      <w:r w:rsidR="00C51B79">
        <w:t xml:space="preserve"> for services</w:t>
      </w:r>
      <w:r w:rsidR="00A15C63" w:rsidRPr="00A15C63">
        <w:t>.</w:t>
      </w:r>
      <w:r w:rsidRPr="00D90DC7">
        <w:t xml:space="preserve"> </w:t>
      </w:r>
    </w:p>
    <w:p w:rsidR="00D90DC7" w:rsidRPr="00D90DC7" w:rsidRDefault="005D7322" w:rsidP="00D90DC7">
      <w:pPr>
        <w:pStyle w:val="AERbodytext"/>
      </w:pPr>
      <w:r>
        <w:t>D</w:t>
      </w:r>
      <w:r w:rsidR="008A6B8A">
        <w:t xml:space="preserve">istribution and transmission networks have largely fixed </w:t>
      </w:r>
      <w:r w:rsidR="00675D83">
        <w:t>costs</w:t>
      </w:r>
      <w:r>
        <w:t>. That is</w:t>
      </w:r>
      <w:r w:rsidR="00675D83">
        <w:t xml:space="preserve">, </w:t>
      </w:r>
      <w:r>
        <w:t>the costs of providing pipeline services do</w:t>
      </w:r>
      <w:r w:rsidR="009F32EC">
        <w:t xml:space="preserve"> </w:t>
      </w:r>
      <w:r>
        <w:t>n</w:t>
      </w:r>
      <w:r w:rsidR="009F32EC">
        <w:t>o</w:t>
      </w:r>
      <w:r>
        <w:t xml:space="preserve">t vary much with the amount of gas transported. Because of this </w:t>
      </w:r>
      <w:r w:rsidR="002D7E48">
        <w:t xml:space="preserve">changes in </w:t>
      </w:r>
      <w:r w:rsidR="00675D83">
        <w:t xml:space="preserve">demand can </w:t>
      </w:r>
      <w:r w:rsidR="002D7E48">
        <w:t>have a relatively large impact on the overall level of tariffs. For example</w:t>
      </w:r>
      <w:r w:rsidR="008A6B8A">
        <w:rPr>
          <w:rFonts w:eastAsia="Calibri"/>
        </w:rPr>
        <w:t>,</w:t>
      </w:r>
      <w:r w:rsidR="002D7E48">
        <w:rPr>
          <w:rFonts w:eastAsia="Calibri"/>
        </w:rPr>
        <w:t xml:space="preserve"> if</w:t>
      </w:r>
      <w:r w:rsidR="008A6B8A">
        <w:rPr>
          <w:rFonts w:eastAsia="Calibri"/>
        </w:rPr>
        <w:t xml:space="preserve"> </w:t>
      </w:r>
      <w:r w:rsidR="008A6B8A" w:rsidRPr="00864874">
        <w:rPr>
          <w:rFonts w:eastAsia="Calibri"/>
        </w:rPr>
        <w:t xml:space="preserve">gas demand </w:t>
      </w:r>
      <w:r w:rsidR="008A6B8A">
        <w:rPr>
          <w:rFonts w:eastAsia="Calibri"/>
        </w:rPr>
        <w:t>has</w:t>
      </w:r>
      <w:r w:rsidR="008A6B8A" w:rsidRPr="00864874">
        <w:rPr>
          <w:rFonts w:eastAsia="Calibri"/>
        </w:rPr>
        <w:t xml:space="preserve"> fall</w:t>
      </w:r>
      <w:r w:rsidR="008A6B8A">
        <w:rPr>
          <w:rFonts w:eastAsia="Calibri"/>
        </w:rPr>
        <w:t>en, the largely fixed network costs will have to be spread across a smaller qu</w:t>
      </w:r>
      <w:r w:rsidR="0000644D">
        <w:rPr>
          <w:rFonts w:eastAsia="Calibri"/>
        </w:rPr>
        <w:t>antity of ‘sales’. In this case</w:t>
      </w:r>
      <w:r w:rsidR="008A6B8A">
        <w:rPr>
          <w:rFonts w:eastAsia="Calibri"/>
        </w:rPr>
        <w:t xml:space="preserve"> prices could rise</w:t>
      </w:r>
      <w:r w:rsidR="0000644D">
        <w:rPr>
          <w:rFonts w:eastAsia="Calibri"/>
        </w:rPr>
        <w:t xml:space="preserve"> </w:t>
      </w:r>
      <w:r w:rsidR="002D7E48">
        <w:rPr>
          <w:rFonts w:eastAsia="Calibri"/>
        </w:rPr>
        <w:t>even if total revenue has fallen</w:t>
      </w:r>
      <w:r w:rsidR="008A6B8A">
        <w:rPr>
          <w:rFonts w:eastAsia="Calibri"/>
        </w:rPr>
        <w:t xml:space="preserve">. This differs from the case in other </w:t>
      </w:r>
      <w:r w:rsidR="0000644D">
        <w:rPr>
          <w:rFonts w:eastAsia="Calibri"/>
        </w:rPr>
        <w:t xml:space="preserve">more competitive </w:t>
      </w:r>
      <w:r w:rsidR="008A6B8A">
        <w:rPr>
          <w:rFonts w:eastAsia="Calibri"/>
        </w:rPr>
        <w:t xml:space="preserve">markets where price usually </w:t>
      </w:r>
      <w:r>
        <w:rPr>
          <w:rFonts w:eastAsia="Calibri"/>
        </w:rPr>
        <w:t>changes</w:t>
      </w:r>
      <w:r w:rsidR="008A6B8A">
        <w:rPr>
          <w:rFonts w:eastAsia="Calibri"/>
        </w:rPr>
        <w:t xml:space="preserve"> with demand.</w:t>
      </w:r>
    </w:p>
    <w:p w:rsidR="002D7E48" w:rsidRDefault="002D7E48" w:rsidP="00AD0BD5">
      <w:pPr>
        <w:pStyle w:val="AERheading4"/>
      </w:pPr>
      <w:r>
        <w:t xml:space="preserve">Other factors to consider in setting tariffs </w:t>
      </w:r>
    </w:p>
    <w:p w:rsidR="00D90DC7" w:rsidRPr="00D90DC7" w:rsidRDefault="002D7E48" w:rsidP="00D90DC7">
      <w:pPr>
        <w:pStyle w:val="AERbodytext"/>
      </w:pPr>
      <w:r>
        <w:t>T</w:t>
      </w:r>
      <w:r w:rsidR="00D90DC7" w:rsidRPr="00D90DC7">
        <w:t xml:space="preserve">he </w:t>
      </w:r>
      <w:r w:rsidR="00B41D10">
        <w:t>access arrangement also details:</w:t>
      </w:r>
    </w:p>
    <w:p w:rsidR="00D90DC7" w:rsidRPr="00D90DC7" w:rsidRDefault="00AD0BD5" w:rsidP="00D90DC7">
      <w:pPr>
        <w:pStyle w:val="AERbulletlistfirststyle"/>
      </w:pPr>
      <w:r>
        <w:t xml:space="preserve">Tariff </w:t>
      </w:r>
      <w:r w:rsidR="005D7322">
        <w:t xml:space="preserve">or price </w:t>
      </w:r>
      <w:r>
        <w:t>setting—that is, h</w:t>
      </w:r>
      <w:r w:rsidR="00D90DC7" w:rsidRPr="00D90DC7">
        <w:t xml:space="preserve">ow tariffs for reference services </w:t>
      </w:r>
      <w:r>
        <w:t>are</w:t>
      </w:r>
      <w:r w:rsidR="00D90DC7" w:rsidRPr="00D90DC7">
        <w:t xml:space="preserve"> </w:t>
      </w:r>
      <w:r w:rsidR="002D7E48">
        <w:t>allocated between</w:t>
      </w:r>
      <w:r w:rsidR="003347B6">
        <w:t xml:space="preserve"> different user groups and </w:t>
      </w:r>
      <w:r w:rsidR="002D7E48">
        <w:t xml:space="preserve">how costs </w:t>
      </w:r>
      <w:r>
        <w:t>are</w:t>
      </w:r>
      <w:r w:rsidR="002D7E48">
        <w:t xml:space="preserve"> </w:t>
      </w:r>
      <w:r w:rsidR="003347B6">
        <w:t>shared between services</w:t>
      </w:r>
      <w:r w:rsidR="0000644D">
        <w:t>.</w:t>
      </w:r>
    </w:p>
    <w:p w:rsidR="00D90DC7" w:rsidRDefault="0000644D" w:rsidP="00D90DC7">
      <w:pPr>
        <w:pStyle w:val="AERbulletlistfirststyle"/>
      </w:pPr>
      <w:r>
        <w:t>T</w:t>
      </w:r>
      <w:r w:rsidR="00D90DC7" w:rsidRPr="00D90DC7">
        <w:t xml:space="preserve">he </w:t>
      </w:r>
      <w:r w:rsidR="00AD0BD5">
        <w:t>tariff variation mechanism—th</w:t>
      </w:r>
      <w:r w:rsidR="005D7322">
        <w:t xml:space="preserve">is is a </w:t>
      </w:r>
      <w:r w:rsidR="00AD0BD5">
        <w:t>process f</w:t>
      </w:r>
      <w:r w:rsidR="00D90DC7" w:rsidRPr="00D90DC7">
        <w:t xml:space="preserve">or </w:t>
      </w:r>
      <w:r w:rsidR="005D7322">
        <w:t>chang</w:t>
      </w:r>
      <w:r w:rsidR="00D90DC7" w:rsidRPr="00D90DC7">
        <w:t xml:space="preserve">ing </w:t>
      </w:r>
      <w:r w:rsidR="005D7322">
        <w:t>charges</w:t>
      </w:r>
      <w:r w:rsidR="00D90DC7" w:rsidRPr="00D90DC7">
        <w:t xml:space="preserve"> </w:t>
      </w:r>
      <w:r w:rsidR="005D7322">
        <w:t>for each year</w:t>
      </w:r>
      <w:r w:rsidR="00D90DC7" w:rsidRPr="00D90DC7">
        <w:t xml:space="preserve"> </w:t>
      </w:r>
      <w:r w:rsidR="005D7322">
        <w:t xml:space="preserve">of </w:t>
      </w:r>
      <w:r w:rsidR="002D7E48">
        <w:t>the access arrangement period</w:t>
      </w:r>
      <w:r w:rsidR="005D7322">
        <w:t>. It also provides a process for changing</w:t>
      </w:r>
      <w:r w:rsidR="002D7E48">
        <w:t xml:space="preserve"> </w:t>
      </w:r>
      <w:r w:rsidR="005D7322">
        <w:t>charges</w:t>
      </w:r>
      <w:r w:rsidR="00D90DC7" w:rsidRPr="00D90DC7">
        <w:t xml:space="preserve"> </w:t>
      </w:r>
      <w:r w:rsidR="005D7322">
        <w:t>when</w:t>
      </w:r>
      <w:r w:rsidR="00D90DC7" w:rsidRPr="00D90DC7">
        <w:t xml:space="preserve"> certain pre-specified conditions</w:t>
      </w:r>
      <w:r w:rsidR="00AD0BD5">
        <w:t xml:space="preserve"> </w:t>
      </w:r>
      <w:r w:rsidR="005D7322">
        <w:t>arise</w:t>
      </w:r>
      <w:r w:rsidR="00FC6798">
        <w:t>.</w:t>
      </w:r>
      <w:r w:rsidR="005D7322">
        <w:t xml:space="preserve"> </w:t>
      </w:r>
      <w:r w:rsidR="00FC6798">
        <w:t>F</w:t>
      </w:r>
      <w:r w:rsidR="005D7322">
        <w:t>or example</w:t>
      </w:r>
      <w:r w:rsidR="00FC6798">
        <w:t>,</w:t>
      </w:r>
      <w:r w:rsidR="005D7322">
        <w:t xml:space="preserve"> when a business </w:t>
      </w:r>
      <w:r w:rsidR="00AD0BD5">
        <w:t xml:space="preserve">has </w:t>
      </w:r>
      <w:r w:rsidR="005D7322">
        <w:t xml:space="preserve">to spend money </w:t>
      </w:r>
      <w:r w:rsidR="00FC6798">
        <w:t>for costs that</w:t>
      </w:r>
      <w:r w:rsidR="005D7322">
        <w:t xml:space="preserve"> it </w:t>
      </w:r>
      <w:r w:rsidR="009F32EC">
        <w:t>did not</w:t>
      </w:r>
      <w:r w:rsidR="005D7322">
        <w:t xml:space="preserve"> expect to </w:t>
      </w:r>
      <w:r w:rsidR="00FC6798">
        <w:t xml:space="preserve">incur, the tariff variation mechanism provides for these costs to be </w:t>
      </w:r>
      <w:r w:rsidR="00AD0BD5">
        <w:t xml:space="preserve">passed </w:t>
      </w:r>
      <w:r w:rsidR="00FC6798">
        <w:t>on</w:t>
      </w:r>
      <w:r w:rsidR="00AD0BD5">
        <w:t xml:space="preserve">to </w:t>
      </w:r>
      <w:r w:rsidR="00FC6798">
        <w:t>customers</w:t>
      </w:r>
      <w:r w:rsidR="00AD0BD5">
        <w:t xml:space="preserve"> through higher </w:t>
      </w:r>
      <w:r w:rsidR="005D7322">
        <w:t>charges</w:t>
      </w:r>
      <w:r w:rsidR="00FC6798">
        <w:t xml:space="preserve"> when appropriate</w:t>
      </w:r>
      <w:r w:rsidR="00AD0BD5">
        <w:t>.</w:t>
      </w:r>
      <w:r w:rsidR="000F7725">
        <w:t xml:space="preserve"> See box </w:t>
      </w:r>
      <w:r w:rsidR="00B70DDB">
        <w:t>3.1</w:t>
      </w:r>
      <w:r w:rsidR="00B41D10">
        <w:t xml:space="preserve"> for more on how price </w:t>
      </w:r>
      <w:r w:rsidR="00AD0BD5">
        <w:t>changes are managed through the tariff variation mechanism.</w:t>
      </w:r>
    </w:p>
    <w:p w:rsidR="00B41D10" w:rsidRPr="008E4A93" w:rsidRDefault="00B70DDB" w:rsidP="00B41D10">
      <w:pPr>
        <w:pStyle w:val="AERfigureheading"/>
        <w:numPr>
          <w:ilvl w:val="0"/>
          <w:numId w:val="0"/>
        </w:numPr>
        <w:tabs>
          <w:tab w:val="num" w:pos="4185"/>
        </w:tabs>
        <w:spacing w:after="40"/>
        <w:ind w:left="1440" w:hanging="1440"/>
        <w:rPr>
          <w:rStyle w:val="AERbody"/>
        </w:rPr>
      </w:pPr>
      <w:r>
        <w:rPr>
          <w:rStyle w:val="AERbody"/>
        </w:rPr>
        <w:t>Box 3.1</w:t>
      </w:r>
      <w:r w:rsidR="00B41D10">
        <w:rPr>
          <w:rStyle w:val="AERbody"/>
        </w:rPr>
        <w:t xml:space="preserve">    </w:t>
      </w:r>
      <w:proofErr w:type="gramStart"/>
      <w:r w:rsidR="00AD0BD5">
        <w:rPr>
          <w:rStyle w:val="AERbody"/>
        </w:rPr>
        <w:t>The</w:t>
      </w:r>
      <w:proofErr w:type="gramEnd"/>
      <w:r w:rsidR="00AD0BD5">
        <w:rPr>
          <w:rStyle w:val="AERbody"/>
        </w:rPr>
        <w:t xml:space="preserve"> tariff variation mechanism and price stability</w:t>
      </w:r>
    </w:p>
    <w:tbl>
      <w:tblPr>
        <w:tblStyle w:val="LightList-Accent11"/>
        <w:tblW w:w="0" w:type="auto"/>
        <w:tblLook w:val="0000"/>
      </w:tblPr>
      <w:tblGrid>
        <w:gridCol w:w="8528"/>
      </w:tblGrid>
      <w:tr w:rsidR="00B41D10" w:rsidTr="00AD0BD5">
        <w:trPr>
          <w:cnfStyle w:val="000000100000"/>
        </w:trPr>
        <w:tc>
          <w:tcPr>
            <w:cnfStyle w:val="000010000000"/>
            <w:tcW w:w="8528" w:type="dxa"/>
          </w:tcPr>
          <w:p w:rsidR="00B70DDB" w:rsidRDefault="00AD0BD5" w:rsidP="00AD0BD5">
            <w:pPr>
              <w:pStyle w:val="AERbodytext"/>
              <w:rPr>
                <w:rFonts w:eastAsia="Calibri"/>
              </w:rPr>
            </w:pPr>
            <w:r w:rsidRPr="00AD0BD5">
              <w:rPr>
                <w:rFonts w:eastAsia="Calibri"/>
              </w:rPr>
              <w:br/>
              <w:t xml:space="preserve">As part of the tariff variation mechanism there is a limit on the amount that prices can increase by between years. This is called the rebalancing constraint. </w:t>
            </w:r>
          </w:p>
          <w:p w:rsidR="00B70DDB" w:rsidRDefault="00AD0BD5" w:rsidP="00AD0BD5">
            <w:pPr>
              <w:pStyle w:val="AERbodytext"/>
              <w:rPr>
                <w:rFonts w:eastAsia="Calibri"/>
              </w:rPr>
            </w:pPr>
            <w:r w:rsidRPr="00AD0BD5">
              <w:rPr>
                <w:rFonts w:eastAsia="Calibri"/>
              </w:rPr>
              <w:t xml:space="preserve">Regulators </w:t>
            </w:r>
            <w:r w:rsidR="005D7322">
              <w:rPr>
                <w:rFonts w:eastAsia="Calibri"/>
              </w:rPr>
              <w:t xml:space="preserve">like us </w:t>
            </w:r>
            <w:r w:rsidRPr="00AD0BD5">
              <w:rPr>
                <w:rFonts w:eastAsia="Calibri"/>
              </w:rPr>
              <w:t xml:space="preserve">generally assume that consumers value relatively stable </w:t>
            </w:r>
            <w:r w:rsidR="00816BB4">
              <w:rPr>
                <w:rFonts w:eastAsia="Calibri"/>
              </w:rPr>
              <w:t xml:space="preserve">energy </w:t>
            </w:r>
            <w:r w:rsidRPr="00AD0BD5">
              <w:rPr>
                <w:rFonts w:eastAsia="Calibri"/>
              </w:rPr>
              <w:t xml:space="preserve">prices. Stable prices allow for easier management of the household budget. If prices are completely stable, consumers can put aside the same amount of their income each bill period and know that this will cover the bill. Even if </w:t>
            </w:r>
            <w:r w:rsidR="00816BB4">
              <w:rPr>
                <w:rFonts w:eastAsia="Calibri"/>
              </w:rPr>
              <w:t xml:space="preserve">energy </w:t>
            </w:r>
            <w:r w:rsidRPr="00AD0BD5">
              <w:rPr>
                <w:rFonts w:eastAsia="Calibri"/>
              </w:rPr>
              <w:t xml:space="preserve">bills are going up, limiting the amount that prices can increase by can allow for a more gradual adjustment to higher prices. This gives consumers more time to either </w:t>
            </w:r>
            <w:r w:rsidR="005D7322">
              <w:rPr>
                <w:rFonts w:eastAsia="Calibri"/>
              </w:rPr>
              <w:t xml:space="preserve">increase the amount of money they put aside for </w:t>
            </w:r>
            <w:r w:rsidR="00816BB4">
              <w:rPr>
                <w:rFonts w:eastAsia="Calibri"/>
              </w:rPr>
              <w:t>energy</w:t>
            </w:r>
            <w:r w:rsidR="005D7322">
              <w:rPr>
                <w:rFonts w:eastAsia="Calibri"/>
              </w:rPr>
              <w:t xml:space="preserve"> bills </w:t>
            </w:r>
            <w:r w:rsidR="00816BB4">
              <w:rPr>
                <w:rFonts w:eastAsia="Calibri"/>
              </w:rPr>
              <w:t xml:space="preserve">or to use less energy so that </w:t>
            </w:r>
            <w:r w:rsidRPr="00AD0BD5">
              <w:rPr>
                <w:rFonts w:eastAsia="Calibri"/>
              </w:rPr>
              <w:t xml:space="preserve">they can pay the higher prices. </w:t>
            </w:r>
          </w:p>
          <w:p w:rsidR="00B41D10" w:rsidRPr="00AD0BD5" w:rsidRDefault="00AD0BD5" w:rsidP="00816BB4">
            <w:pPr>
              <w:pStyle w:val="AERbodytext"/>
              <w:rPr>
                <w:rFonts w:eastAsia="Calibri"/>
              </w:rPr>
            </w:pPr>
            <w:r w:rsidRPr="00AD0BD5">
              <w:rPr>
                <w:rFonts w:eastAsia="Calibri"/>
              </w:rPr>
              <w:t xml:space="preserve">For this reason, the rebalancing constraint is usually set </w:t>
            </w:r>
            <w:r w:rsidR="00FF2FE4">
              <w:rPr>
                <w:rFonts w:eastAsia="Calibri"/>
              </w:rPr>
              <w:t xml:space="preserve">so </w:t>
            </w:r>
            <w:r w:rsidR="00816BB4">
              <w:rPr>
                <w:rFonts w:eastAsia="Calibri"/>
              </w:rPr>
              <w:t>that prices are</w:t>
            </w:r>
            <w:r w:rsidRPr="00AD0BD5">
              <w:rPr>
                <w:rFonts w:eastAsia="Calibri"/>
              </w:rPr>
              <w:t xml:space="preserve"> </w:t>
            </w:r>
            <w:r w:rsidR="00FF2FE4">
              <w:rPr>
                <w:rFonts w:eastAsia="Calibri"/>
              </w:rPr>
              <w:t xml:space="preserve">relatively stable </w:t>
            </w:r>
            <w:r w:rsidRPr="00AD0BD5">
              <w:rPr>
                <w:rFonts w:eastAsia="Calibri"/>
              </w:rPr>
              <w:t>over the period.</w:t>
            </w:r>
            <w:r w:rsidR="00B70DDB">
              <w:rPr>
                <w:rFonts w:eastAsia="Calibri"/>
              </w:rPr>
              <w:t xml:space="preserve"> </w:t>
            </w:r>
            <w:r w:rsidRPr="00AD0BD5">
              <w:rPr>
                <w:rFonts w:eastAsia="Calibri"/>
              </w:rPr>
              <w:t>However, if price variability is restricted within an access arrangement period, this could potentially lead to greater pric</w:t>
            </w:r>
            <w:r w:rsidR="00FF2FE4">
              <w:rPr>
                <w:rFonts w:eastAsia="Calibri"/>
              </w:rPr>
              <w:t xml:space="preserve">e variability </w:t>
            </w:r>
            <w:r w:rsidR="00816BB4">
              <w:rPr>
                <w:rFonts w:eastAsia="Calibri"/>
              </w:rPr>
              <w:t>from one access period to the next</w:t>
            </w:r>
            <w:r w:rsidR="00FF2FE4">
              <w:rPr>
                <w:rFonts w:eastAsia="Calibri"/>
              </w:rPr>
              <w:t xml:space="preserve">. This could </w:t>
            </w:r>
            <w:r w:rsidR="00816BB4">
              <w:rPr>
                <w:rFonts w:eastAsia="Calibri"/>
              </w:rPr>
              <w:t>happen</w:t>
            </w:r>
            <w:r w:rsidR="00FF2FE4">
              <w:rPr>
                <w:rFonts w:eastAsia="Calibri"/>
              </w:rPr>
              <w:t xml:space="preserve"> if </w:t>
            </w:r>
            <w:r w:rsidR="00FF2FE4" w:rsidRPr="00FF2FE4">
              <w:rPr>
                <w:rFonts w:eastAsia="Calibri"/>
              </w:rPr>
              <w:t xml:space="preserve">there is a large change in revenue </w:t>
            </w:r>
            <w:r w:rsidR="00816BB4">
              <w:rPr>
                <w:rFonts w:eastAsia="Calibri"/>
              </w:rPr>
              <w:t xml:space="preserve">required by the business </w:t>
            </w:r>
            <w:r w:rsidR="00FF2FE4" w:rsidRPr="00FF2FE4">
              <w:rPr>
                <w:rFonts w:eastAsia="Calibri"/>
              </w:rPr>
              <w:t>between the two periods</w:t>
            </w:r>
            <w:r w:rsidR="00FF2FE4">
              <w:rPr>
                <w:rFonts w:eastAsia="Calibri"/>
              </w:rPr>
              <w:t xml:space="preserve">. With only small changes in prices allowed within the period, </w:t>
            </w:r>
            <w:r w:rsidRPr="00AD0BD5">
              <w:rPr>
                <w:rFonts w:eastAsia="Calibri"/>
              </w:rPr>
              <w:t>large</w:t>
            </w:r>
            <w:r w:rsidR="00FF2FE4">
              <w:rPr>
                <w:rFonts w:eastAsia="Calibri"/>
              </w:rPr>
              <w:t>r</w:t>
            </w:r>
            <w:r w:rsidRPr="00AD0BD5">
              <w:rPr>
                <w:rFonts w:eastAsia="Calibri"/>
              </w:rPr>
              <w:t xml:space="preserve"> </w:t>
            </w:r>
            <w:r w:rsidR="00FF2FE4">
              <w:rPr>
                <w:rFonts w:eastAsia="Calibri"/>
              </w:rPr>
              <w:t xml:space="preserve">price </w:t>
            </w:r>
            <w:r w:rsidRPr="00AD0BD5">
              <w:rPr>
                <w:rFonts w:eastAsia="Calibri"/>
              </w:rPr>
              <w:t>adjustment</w:t>
            </w:r>
            <w:r w:rsidR="00FF2FE4">
              <w:rPr>
                <w:rFonts w:eastAsia="Calibri"/>
              </w:rPr>
              <w:t>s</w:t>
            </w:r>
            <w:r w:rsidRPr="00AD0BD5">
              <w:rPr>
                <w:rFonts w:eastAsia="Calibri"/>
              </w:rPr>
              <w:t xml:space="preserve"> </w:t>
            </w:r>
            <w:r w:rsidR="00FF2FE4">
              <w:rPr>
                <w:rFonts w:eastAsia="Calibri"/>
              </w:rPr>
              <w:t>would be required</w:t>
            </w:r>
            <w:r w:rsidR="00816BB4">
              <w:rPr>
                <w:rFonts w:eastAsia="Calibri"/>
              </w:rPr>
              <w:t xml:space="preserve"> from the end of one period to the start of the next period</w:t>
            </w:r>
            <w:r w:rsidRPr="00AD0BD5">
              <w:rPr>
                <w:rFonts w:eastAsia="Calibri"/>
              </w:rPr>
              <w:t xml:space="preserve">. </w:t>
            </w:r>
            <w:r w:rsidR="00BD3236">
              <w:rPr>
                <w:rFonts w:eastAsia="Calibri"/>
              </w:rPr>
              <w:t>A</w:t>
            </w:r>
            <w:r w:rsidR="00FF2FE4">
              <w:rPr>
                <w:rFonts w:eastAsia="Calibri"/>
              </w:rPr>
              <w:t xml:space="preserve"> less binding r</w:t>
            </w:r>
            <w:r w:rsidRPr="00AD0BD5">
              <w:rPr>
                <w:rFonts w:eastAsia="Calibri"/>
              </w:rPr>
              <w:t xml:space="preserve">ebalancing constraint </w:t>
            </w:r>
            <w:r w:rsidR="00BD3236">
              <w:rPr>
                <w:rFonts w:eastAsia="Calibri"/>
              </w:rPr>
              <w:t xml:space="preserve">could </w:t>
            </w:r>
            <w:r w:rsidRPr="00AD0BD5">
              <w:rPr>
                <w:rFonts w:eastAsia="Calibri"/>
              </w:rPr>
              <w:t>reduce the change between periods, but this could lead to gr</w:t>
            </w:r>
            <w:r w:rsidR="00BD3236">
              <w:rPr>
                <w:rFonts w:eastAsia="Calibri"/>
              </w:rPr>
              <w:t>eater increases within the</w:t>
            </w:r>
            <w:r w:rsidRPr="00AD0BD5">
              <w:rPr>
                <w:rFonts w:eastAsia="Calibri"/>
              </w:rPr>
              <w:t xml:space="preserve"> period. This is one of the trade-o</w:t>
            </w:r>
            <w:r w:rsidR="00BD3236">
              <w:rPr>
                <w:rFonts w:eastAsia="Calibri"/>
              </w:rPr>
              <w:t xml:space="preserve">ffs that </w:t>
            </w:r>
            <w:r w:rsidR="00816BB4">
              <w:rPr>
                <w:rFonts w:eastAsia="Calibri"/>
              </w:rPr>
              <w:t>we consider</w:t>
            </w:r>
            <w:r w:rsidR="00BD3236">
              <w:rPr>
                <w:rFonts w:eastAsia="Calibri"/>
              </w:rPr>
              <w:t xml:space="preserve"> in ass</w:t>
            </w:r>
            <w:r w:rsidRPr="00AD0BD5">
              <w:rPr>
                <w:rFonts w:eastAsia="Calibri"/>
              </w:rPr>
              <w:t>essing gas businesses’ proposals.</w:t>
            </w:r>
            <w:r w:rsidR="00A8094A">
              <w:rPr>
                <w:rFonts w:eastAsia="Calibri"/>
              </w:rPr>
              <w:t xml:space="preserve"> We welcome your views on this issue.</w:t>
            </w:r>
          </w:p>
        </w:tc>
      </w:tr>
    </w:tbl>
    <w:p w:rsidR="00D90DC7" w:rsidRPr="00D90DC7" w:rsidRDefault="00D90DC7" w:rsidP="00D90DC7">
      <w:pPr>
        <w:pStyle w:val="AERheading2"/>
      </w:pPr>
      <w:r w:rsidRPr="00D90DC7">
        <w:t>Non-tariff terms and conditions</w:t>
      </w:r>
    </w:p>
    <w:p w:rsidR="00D90DC7" w:rsidRDefault="00D90DC7" w:rsidP="00D90DC7">
      <w:pPr>
        <w:pStyle w:val="AERbodytext"/>
      </w:pPr>
      <w:r w:rsidRPr="00D90DC7">
        <w:t xml:space="preserve">Non-tariff terms and conditions essentially define the commercial relationship between the network service provider and </w:t>
      </w:r>
      <w:r w:rsidR="008E0145">
        <w:t xml:space="preserve">pipeline </w:t>
      </w:r>
      <w:r w:rsidRPr="00D90DC7">
        <w:t xml:space="preserve">users. In considering </w:t>
      </w:r>
      <w:r w:rsidR="004B149F">
        <w:t>businesses'</w:t>
      </w:r>
      <w:r w:rsidRPr="00D90DC7">
        <w:t xml:space="preserve"> proposal</w:t>
      </w:r>
      <w:r w:rsidR="004B149F">
        <w:t>s</w:t>
      </w:r>
      <w:r w:rsidRPr="00D90DC7">
        <w:t>, the AER assesse</w:t>
      </w:r>
      <w:r w:rsidR="00AD0BD5">
        <w:t>s</w:t>
      </w:r>
      <w:r w:rsidRPr="00D90DC7">
        <w:t xml:space="preserve"> whether </w:t>
      </w:r>
      <w:r w:rsidR="004B149F">
        <w:t xml:space="preserve">the </w:t>
      </w:r>
      <w:r w:rsidR="00AD0BD5">
        <w:t>proposed terms and conditions a</w:t>
      </w:r>
      <w:r w:rsidRPr="00D90DC7">
        <w:t>re consistent with the N</w:t>
      </w:r>
      <w:r w:rsidR="00A02AA6">
        <w:t xml:space="preserve">ational </w:t>
      </w:r>
      <w:r w:rsidRPr="00D90DC7">
        <w:t>G</w:t>
      </w:r>
      <w:r w:rsidR="00A02AA6">
        <w:t xml:space="preserve">as </w:t>
      </w:r>
      <w:r w:rsidRPr="00D90DC7">
        <w:t>O</w:t>
      </w:r>
      <w:r w:rsidR="00A02AA6">
        <w:t>bjective (NGO)</w:t>
      </w:r>
      <w:r w:rsidRPr="00D90DC7">
        <w:t xml:space="preserve">. </w:t>
      </w:r>
      <w:r w:rsidR="00AD0BD5">
        <w:t>Although</w:t>
      </w:r>
      <w:r w:rsidRPr="00D90DC7">
        <w:t xml:space="preserve"> parties can agree on terms </w:t>
      </w:r>
      <w:r w:rsidR="003347B6">
        <w:t xml:space="preserve">and conditions </w:t>
      </w:r>
      <w:r w:rsidRPr="00D90DC7">
        <w:t xml:space="preserve">that are different to those set out in </w:t>
      </w:r>
      <w:r w:rsidR="003347B6">
        <w:t>an</w:t>
      </w:r>
      <w:r w:rsidRPr="00D90DC7">
        <w:t xml:space="preserve"> access arrangement, the AER's approved terms and conditions </w:t>
      </w:r>
      <w:r w:rsidR="00AD0BD5">
        <w:t xml:space="preserve">can </w:t>
      </w:r>
      <w:r w:rsidRPr="00D90DC7">
        <w:t xml:space="preserve">act as a starting point for negotiations. </w:t>
      </w:r>
    </w:p>
    <w:p w:rsidR="008E0145" w:rsidRDefault="003347B6" w:rsidP="008E0145">
      <w:pPr>
        <w:pStyle w:val="AERbodytext"/>
      </w:pPr>
      <w:r>
        <w:t xml:space="preserve">As residential customers do not </w:t>
      </w:r>
      <w:r w:rsidR="00A02AA6">
        <w:t xml:space="preserve">directly </w:t>
      </w:r>
      <w:r>
        <w:t>access transmission or distribution services themselves</w:t>
      </w:r>
      <w:r w:rsidR="008E0145">
        <w:t xml:space="preserve"> (this is done </w:t>
      </w:r>
      <w:r w:rsidR="00A02AA6">
        <w:t xml:space="preserve">on their behalf </w:t>
      </w:r>
      <w:r w:rsidR="008E0145">
        <w:t>by their retailer)</w:t>
      </w:r>
      <w:r w:rsidR="009523D9">
        <w:t>,</w:t>
      </w:r>
      <w:r>
        <w:t xml:space="preserve"> the non-tariff terms and conditions are less relevant for </w:t>
      </w:r>
      <w:r w:rsidR="00AC375F">
        <w:t xml:space="preserve">residential </w:t>
      </w:r>
      <w:r>
        <w:t>consumer</w:t>
      </w:r>
      <w:r w:rsidR="00AC375F">
        <w:t>s</w:t>
      </w:r>
      <w:r>
        <w:t>.</w:t>
      </w:r>
      <w:r w:rsidR="008E0145">
        <w:t xml:space="preserve"> However, non-tariff terms and conditions do affect the type of service that is provided to residential customers and which party provides the service.</w:t>
      </w:r>
    </w:p>
    <w:p w:rsidR="00A02AA6" w:rsidRDefault="008E0145" w:rsidP="008E0145">
      <w:pPr>
        <w:pStyle w:val="AERbodytext"/>
      </w:pPr>
      <w:r>
        <w:t xml:space="preserve">A national framework governing the relationship between customers, retailers and gas </w:t>
      </w:r>
      <w:r w:rsidR="00A02AA6">
        <w:t>distribution</w:t>
      </w:r>
      <w:r>
        <w:t xml:space="preserve"> businesses </w:t>
      </w:r>
      <w:r w:rsidR="00A02AA6">
        <w:t>has been</w:t>
      </w:r>
      <w:r>
        <w:t xml:space="preserve"> developed (the National Energy Customer Framework)</w:t>
      </w:r>
      <w:r w:rsidR="009F32EC">
        <w:t>,</w:t>
      </w:r>
      <w:r w:rsidR="00A02AA6">
        <w:t xml:space="preserve"> but has not yet commenced in Victoria.</w:t>
      </w:r>
      <w:r w:rsidR="00816BB4">
        <w:t xml:space="preserve"> The timing for its introduction lies with the Victorian government.</w:t>
      </w:r>
    </w:p>
    <w:p w:rsidR="00BA3B85" w:rsidRDefault="00A02AA6" w:rsidP="008E0145">
      <w:pPr>
        <w:pStyle w:val="AERbodytext"/>
      </w:pPr>
      <w:r>
        <w:t>The framework sets out a number of obligations that retailers and gas distribution businesses have to</w:t>
      </w:r>
      <w:r w:rsidRPr="00A02AA6">
        <w:t xml:space="preserve"> their </w:t>
      </w:r>
      <w:r>
        <w:t>customers (including residential customers</w:t>
      </w:r>
      <w:r w:rsidRPr="00A02AA6">
        <w:t>), and to each other in the shared provision of services to those customers</w:t>
      </w:r>
      <w:r>
        <w:t>. These obligations cover areas such as contracts</w:t>
      </w:r>
      <w:r w:rsidRPr="00A02AA6">
        <w:t xml:space="preserve"> for small customers</w:t>
      </w:r>
      <w:r>
        <w:t xml:space="preserve">, connections, disconnection, interruption to supply and billing. </w:t>
      </w:r>
    </w:p>
    <w:p w:rsidR="00A02AA6" w:rsidRDefault="00A02AA6" w:rsidP="008E0145">
      <w:pPr>
        <w:pStyle w:val="AERbodytext"/>
      </w:pPr>
      <w:r w:rsidRPr="00A02AA6">
        <w:t>The national framework may affect so</w:t>
      </w:r>
      <w:r>
        <w:t xml:space="preserve">me of the terms and conditions in businesses’ access arrangements. For this reason it is important to ensure that the terms and conditions </w:t>
      </w:r>
      <w:r w:rsidR="00B46237">
        <w:t>that we approve</w:t>
      </w:r>
      <w:r w:rsidRPr="00A02AA6">
        <w:t xml:space="preserve"> now will be compatible</w:t>
      </w:r>
      <w:r>
        <w:t xml:space="preserve"> with </w:t>
      </w:r>
      <w:r w:rsidRPr="00A02AA6">
        <w:t>the national</w:t>
      </w:r>
      <w:r>
        <w:t xml:space="preserve"> framework once it begins</w:t>
      </w:r>
      <w:r w:rsidR="00B46237">
        <w:t xml:space="preserve"> in Victoria</w:t>
      </w:r>
      <w:r>
        <w:t xml:space="preserve">. </w:t>
      </w:r>
      <w:r w:rsidR="00B46237">
        <w:t>We</w:t>
      </w:r>
      <w:r>
        <w:t xml:space="preserve"> </w:t>
      </w:r>
      <w:r w:rsidRPr="00A02AA6">
        <w:t xml:space="preserve">therefore </w:t>
      </w:r>
      <w:r w:rsidR="00B46237">
        <w:t>require</w:t>
      </w:r>
      <w:r>
        <w:t xml:space="preserve"> that any terms or conditions </w:t>
      </w:r>
      <w:r w:rsidR="00B46237">
        <w:t xml:space="preserve">put forward by the businesses </w:t>
      </w:r>
      <w:r>
        <w:t xml:space="preserve">that </w:t>
      </w:r>
      <w:r w:rsidR="00B46237">
        <w:t>we find are</w:t>
      </w:r>
      <w:r>
        <w:t xml:space="preserve"> inconsistent with the framework will cease to operate once the framework commences in Victoria.</w:t>
      </w:r>
    </w:p>
    <w:p w:rsidR="002D7E48" w:rsidRDefault="002D7E48" w:rsidP="002D7E48">
      <w:pPr>
        <w:pStyle w:val="AERheading1"/>
      </w:pPr>
      <w:r>
        <w:t>The building block approach</w:t>
      </w:r>
    </w:p>
    <w:p w:rsidR="00FF2653" w:rsidRDefault="002D7E48" w:rsidP="002D7E48">
      <w:pPr>
        <w:pStyle w:val="AERbodytext"/>
      </w:pPr>
      <w:r>
        <w:t xml:space="preserve">As mentioned in the previous section, </w:t>
      </w:r>
      <w:r w:rsidR="002B0E1D">
        <w:t>we</w:t>
      </w:r>
      <w:r>
        <w:t xml:space="preserve"> use the building block approach to determine </w:t>
      </w:r>
      <w:r w:rsidR="002D51DB">
        <w:t xml:space="preserve">how much revenue a </w:t>
      </w:r>
      <w:r>
        <w:t>business require</w:t>
      </w:r>
      <w:r w:rsidR="002D51DB">
        <w:t>s to cover its efficient costs</w:t>
      </w:r>
      <w:r w:rsidR="00FF2653">
        <w:t xml:space="preserve"> (see figure 4.1)</w:t>
      </w:r>
      <w:r>
        <w:t xml:space="preserve">. </w:t>
      </w:r>
    </w:p>
    <w:p w:rsidR="00FF2653" w:rsidRDefault="00FF2653" w:rsidP="00FF2653">
      <w:pPr>
        <w:pStyle w:val="AERfigureheading"/>
        <w:tabs>
          <w:tab w:val="clear" w:pos="4185"/>
        </w:tabs>
        <w:ind w:hanging="4185"/>
      </w:pPr>
      <w:r w:rsidRPr="00185CC6">
        <w:t xml:space="preserve">Building </w:t>
      </w:r>
      <w:r w:rsidRPr="004567E6">
        <w:t>block approach</w:t>
      </w:r>
    </w:p>
    <w:tbl>
      <w:tblPr>
        <w:tblStyle w:val="TableGrid"/>
        <w:tblW w:w="0" w:type="auto"/>
        <w:tblBorders>
          <w:left w:val="none" w:sz="0" w:space="0" w:color="auto"/>
          <w:right w:val="none" w:sz="0" w:space="0" w:color="auto"/>
        </w:tblBorders>
        <w:tblLook w:val="04A0"/>
      </w:tblPr>
      <w:tblGrid>
        <w:gridCol w:w="8528"/>
      </w:tblGrid>
      <w:tr w:rsidR="006F01A5" w:rsidTr="006F01A5">
        <w:tc>
          <w:tcPr>
            <w:tcW w:w="8528" w:type="dxa"/>
          </w:tcPr>
          <w:p w:rsidR="006F01A5" w:rsidRDefault="006F01A5" w:rsidP="006F01A5">
            <w:pPr>
              <w:pStyle w:val="AERbodytext"/>
              <w:jc w:val="center"/>
            </w:pPr>
            <w:r>
              <w:br/>
            </w:r>
            <w:r w:rsidR="00E67617">
              <w:pict>
                <v:shape id="_x0000_i1026" type="#_x0000_t75" style="width:296.75pt;height:281.75pt">
                  <v:imagedata r:id="rId18" o:title=""/>
                </v:shape>
              </w:pict>
            </w:r>
          </w:p>
        </w:tc>
      </w:tr>
    </w:tbl>
    <w:p w:rsidR="002D7E48" w:rsidRDefault="006F5F1E" w:rsidP="002D7E48">
      <w:pPr>
        <w:pStyle w:val="AERbodytext"/>
      </w:pPr>
      <w:r>
        <w:br/>
      </w:r>
      <w:r w:rsidR="002D7E48">
        <w:t xml:space="preserve">This section provides more detail on </w:t>
      </w:r>
      <w:r>
        <w:t>each of the building blocks shown above.</w:t>
      </w:r>
      <w:r w:rsidR="00192DCF">
        <w:t xml:space="preserve"> This provides background for the following section which looks at </w:t>
      </w:r>
      <w:r w:rsidR="002B0E1D">
        <w:t>our</w:t>
      </w:r>
      <w:r w:rsidR="00192DCF">
        <w:t xml:space="preserve"> draft decisions on some of the key building blocks.</w:t>
      </w:r>
    </w:p>
    <w:p w:rsidR="002D51DB" w:rsidRDefault="002D51DB" w:rsidP="002D7E48">
      <w:pPr>
        <w:pStyle w:val="AERbodytext"/>
      </w:pPr>
      <w:r>
        <w:t xml:space="preserve">This section is by nature more technical than the other sections. If you are not seeking to understand </w:t>
      </w:r>
      <w:r w:rsidR="001F6BDF">
        <w:t>our</w:t>
      </w:r>
      <w:r>
        <w:t xml:space="preserve"> approach to applying the building block model</w:t>
      </w:r>
      <w:r w:rsidR="001F6BDF">
        <w:t>,</w:t>
      </w:r>
      <w:r>
        <w:t xml:space="preserve"> you can skip </w:t>
      </w:r>
      <w:r w:rsidR="00F5035D">
        <w:t xml:space="preserve">ahead to </w:t>
      </w:r>
      <w:r w:rsidR="001B05F8">
        <w:t>chapter</w:t>
      </w:r>
      <w:r w:rsidR="00F5035D">
        <w:t xml:space="preserve"> 5, which looks at key aspects of </w:t>
      </w:r>
      <w:r w:rsidR="001F6BDF">
        <w:t>our</w:t>
      </w:r>
      <w:r w:rsidR="00F5035D">
        <w:t xml:space="preserve"> draft decisions</w:t>
      </w:r>
      <w:r>
        <w:t>.</w:t>
      </w:r>
    </w:p>
    <w:p w:rsidR="007A3F32" w:rsidRDefault="007A3F32" w:rsidP="00C82F77">
      <w:pPr>
        <w:pStyle w:val="AERheading2"/>
      </w:pPr>
      <w:r>
        <w:t>Return on capital</w:t>
      </w:r>
    </w:p>
    <w:p w:rsidR="006F5F1E" w:rsidRDefault="006F5F1E" w:rsidP="00C82F77">
      <w:pPr>
        <w:pStyle w:val="AERbodytext"/>
      </w:pPr>
      <w:r>
        <w:t>The capital cost block is made up of a return on, and return of, capital. This section discusses the return on capital. The return of capital is discussed in the following section (section 4.3).</w:t>
      </w:r>
    </w:p>
    <w:p w:rsidR="00E840DF" w:rsidRDefault="007A3F32" w:rsidP="00C82F77">
      <w:pPr>
        <w:pStyle w:val="AERbodytext"/>
      </w:pPr>
      <w:r>
        <w:t xml:space="preserve">The return on capital </w:t>
      </w:r>
      <w:r w:rsidR="006F5F1E">
        <w:t xml:space="preserve">is calculated by multiplying the </w:t>
      </w:r>
      <w:r>
        <w:t>capital base</w:t>
      </w:r>
      <w:r w:rsidR="00E26FE7">
        <w:rPr>
          <w:rStyle w:val="FootnoteReference"/>
        </w:rPr>
        <w:footnoteReference w:id="11"/>
      </w:r>
      <w:r>
        <w:t xml:space="preserve"> by the rate of return</w:t>
      </w:r>
      <w:r w:rsidR="001B05F8">
        <w:t>, with capital e</w:t>
      </w:r>
      <w:r w:rsidR="00E840DF">
        <w:t>xpenditure used as an input to determine the projected capital base.</w:t>
      </w:r>
      <w:r w:rsidR="001B05F8">
        <w:t xml:space="preserve"> </w:t>
      </w:r>
      <w:r w:rsidR="00E840DF">
        <w:t>Hence, the return on capital building block comprises:</w:t>
      </w:r>
    </w:p>
    <w:p w:rsidR="007A3F32" w:rsidRPr="00D90DC7" w:rsidRDefault="007A3F32" w:rsidP="007A3F32">
      <w:pPr>
        <w:pStyle w:val="AERbulletlistfirststyle"/>
      </w:pPr>
      <w:r>
        <w:t>capital expenditure</w:t>
      </w:r>
    </w:p>
    <w:p w:rsidR="00C82F77" w:rsidRDefault="00C82F77" w:rsidP="00C82F77">
      <w:pPr>
        <w:pStyle w:val="AERbulletlistfirststyle"/>
      </w:pPr>
      <w:r>
        <w:t>t</w:t>
      </w:r>
      <w:r w:rsidRPr="00D90DC7">
        <w:t>he capital base</w:t>
      </w:r>
    </w:p>
    <w:p w:rsidR="00C82F77" w:rsidRDefault="00C82F77" w:rsidP="00C82F77">
      <w:pPr>
        <w:pStyle w:val="AERbulletlistfirststyle"/>
      </w:pPr>
      <w:proofErr w:type="gramStart"/>
      <w:r>
        <w:t>a</w:t>
      </w:r>
      <w:proofErr w:type="gramEnd"/>
      <w:r w:rsidRPr="00D90DC7">
        <w:t xml:space="preserve"> rate of return</w:t>
      </w:r>
      <w:r w:rsidRPr="00805219">
        <w:t>.</w:t>
      </w:r>
    </w:p>
    <w:p w:rsidR="006A05B5" w:rsidRDefault="006A05B5" w:rsidP="006A05B5">
      <w:pPr>
        <w:pStyle w:val="AERbodytext"/>
      </w:pPr>
      <w:r>
        <w:t>These are discussed below.</w:t>
      </w:r>
    </w:p>
    <w:p w:rsidR="0042568C" w:rsidRPr="00C82F77" w:rsidRDefault="0042568C" w:rsidP="00E840DF">
      <w:pPr>
        <w:pStyle w:val="AERheading4"/>
        <w:spacing w:before="240"/>
      </w:pPr>
      <w:r>
        <w:t>Capital expenditure</w:t>
      </w:r>
    </w:p>
    <w:p w:rsidR="00BC4677" w:rsidRDefault="00BC4677" w:rsidP="00BC4677">
      <w:pPr>
        <w:pStyle w:val="AERbodytext"/>
        <w:rPr>
          <w:rStyle w:val="AERbody"/>
        </w:rPr>
      </w:pPr>
      <w:r>
        <w:rPr>
          <w:rStyle w:val="AERbody"/>
        </w:rPr>
        <w:t>Forecast capital expenditure (</w:t>
      </w:r>
      <w:r w:rsidR="00CD600E">
        <w:rPr>
          <w:rStyle w:val="AERbody"/>
        </w:rPr>
        <w:t xml:space="preserve">or </w:t>
      </w:r>
      <w:proofErr w:type="spellStart"/>
      <w:r>
        <w:rPr>
          <w:rStyle w:val="AERbody"/>
        </w:rPr>
        <w:t>capex</w:t>
      </w:r>
      <w:proofErr w:type="spellEnd"/>
      <w:r>
        <w:rPr>
          <w:rStyle w:val="AERbody"/>
        </w:rPr>
        <w:t xml:space="preserve">) is a forecast of the cost of new assets that are likely to be </w:t>
      </w:r>
      <w:r w:rsidR="00E26FE7">
        <w:rPr>
          <w:rStyle w:val="AERbody"/>
        </w:rPr>
        <w:t>constructed</w:t>
      </w:r>
      <w:r>
        <w:rPr>
          <w:rStyle w:val="AERbody"/>
        </w:rPr>
        <w:t xml:space="preserve"> by a network business during an access arrangement period for the efficient operation of its network. </w:t>
      </w:r>
    </w:p>
    <w:p w:rsidR="00BC4677" w:rsidRDefault="00BC4677" w:rsidP="00BC4677">
      <w:pPr>
        <w:pStyle w:val="AERbodytext"/>
        <w:rPr>
          <w:rStyle w:val="AERbody"/>
        </w:rPr>
      </w:pPr>
      <w:proofErr w:type="spellStart"/>
      <w:r>
        <w:rPr>
          <w:rStyle w:val="AERbody"/>
        </w:rPr>
        <w:t>Capex</w:t>
      </w:r>
      <w:proofErr w:type="spellEnd"/>
      <w:r>
        <w:rPr>
          <w:rStyle w:val="AERbody"/>
        </w:rPr>
        <w:t xml:space="preserve"> is broken down into several categories:</w:t>
      </w:r>
    </w:p>
    <w:p w:rsidR="00BC4677" w:rsidRDefault="00BC4677" w:rsidP="00BC4677">
      <w:pPr>
        <w:pStyle w:val="AERbulletlistfirststyle"/>
        <w:rPr>
          <w:rStyle w:val="AERbody"/>
        </w:rPr>
      </w:pPr>
      <w:r>
        <w:rPr>
          <w:rStyle w:val="AERbody"/>
        </w:rPr>
        <w:t xml:space="preserve">augmentation </w:t>
      </w:r>
      <w:proofErr w:type="spellStart"/>
      <w:r>
        <w:rPr>
          <w:rStyle w:val="AERbody"/>
        </w:rPr>
        <w:t>capex</w:t>
      </w:r>
      <w:proofErr w:type="spellEnd"/>
      <w:r w:rsidR="00CC6E7A">
        <w:t>—</w:t>
      </w:r>
      <w:r>
        <w:rPr>
          <w:rStyle w:val="AERbody"/>
        </w:rPr>
        <w:t>assets that expand the capacity of the network or provide connections to new customers</w:t>
      </w:r>
    </w:p>
    <w:p w:rsidR="00BC4677" w:rsidRDefault="00BC4677" w:rsidP="00BC4677">
      <w:pPr>
        <w:pStyle w:val="AERbulletlistfirststyle"/>
        <w:rPr>
          <w:rStyle w:val="AERbody"/>
        </w:rPr>
      </w:pPr>
      <w:r>
        <w:rPr>
          <w:rStyle w:val="AERbody"/>
        </w:rPr>
        <w:t>r</w:t>
      </w:r>
      <w:r w:rsidRPr="00AB6395">
        <w:rPr>
          <w:rStyle w:val="AERbody"/>
        </w:rPr>
        <w:t xml:space="preserve">efurbishment and upgrade </w:t>
      </w:r>
      <w:proofErr w:type="spellStart"/>
      <w:r w:rsidRPr="00AB6395">
        <w:rPr>
          <w:rStyle w:val="AERbody"/>
        </w:rPr>
        <w:t>capex</w:t>
      </w:r>
      <w:proofErr w:type="spellEnd"/>
      <w:r w:rsidR="00CC6E7A">
        <w:t>—</w:t>
      </w:r>
      <w:r w:rsidRPr="00AB6395">
        <w:rPr>
          <w:rStyle w:val="AERbody"/>
        </w:rPr>
        <w:t>used to replace or upgrade aging, obsolete or inefficient assets</w:t>
      </w:r>
    </w:p>
    <w:p w:rsidR="00BC4677" w:rsidRDefault="00BC4677" w:rsidP="00BC4677">
      <w:pPr>
        <w:pStyle w:val="AERbulletlistfirststyle"/>
        <w:rPr>
          <w:rStyle w:val="AERbody"/>
        </w:rPr>
      </w:pPr>
      <w:proofErr w:type="gramStart"/>
      <w:r>
        <w:rPr>
          <w:rStyle w:val="AERbody"/>
        </w:rPr>
        <w:t>non-network</w:t>
      </w:r>
      <w:proofErr w:type="gramEnd"/>
      <w:r>
        <w:rPr>
          <w:rStyle w:val="AERbody"/>
        </w:rPr>
        <w:t xml:space="preserve"> </w:t>
      </w:r>
      <w:proofErr w:type="spellStart"/>
      <w:r>
        <w:rPr>
          <w:rStyle w:val="AERbody"/>
        </w:rPr>
        <w:t>capex</w:t>
      </w:r>
      <w:proofErr w:type="spellEnd"/>
      <w:r w:rsidR="00CC6E7A">
        <w:t>—</w:t>
      </w:r>
      <w:r>
        <w:rPr>
          <w:rStyle w:val="AERbody"/>
        </w:rPr>
        <w:t xml:space="preserve">including </w:t>
      </w:r>
      <w:r w:rsidRPr="009A7836">
        <w:rPr>
          <w:rStyle w:val="AERbody"/>
        </w:rPr>
        <w:t>IT, plant and equipment, motor vehicles and buildings</w:t>
      </w:r>
      <w:r>
        <w:rPr>
          <w:rStyle w:val="AERbody"/>
        </w:rPr>
        <w:t>.</w:t>
      </w:r>
    </w:p>
    <w:p w:rsidR="00BC4677" w:rsidRDefault="00BC4677" w:rsidP="00BC4677">
      <w:pPr>
        <w:pStyle w:val="AERbodytext"/>
        <w:rPr>
          <w:rStyle w:val="AERbody"/>
        </w:rPr>
      </w:pPr>
      <w:r>
        <w:rPr>
          <w:rStyle w:val="AERbody"/>
        </w:rPr>
        <w:t xml:space="preserve">Factors that influence the required level of </w:t>
      </w:r>
      <w:proofErr w:type="spellStart"/>
      <w:r>
        <w:rPr>
          <w:rStyle w:val="AERbody"/>
        </w:rPr>
        <w:t>capex</w:t>
      </w:r>
      <w:proofErr w:type="spellEnd"/>
      <w:r>
        <w:rPr>
          <w:rStyle w:val="AERbody"/>
        </w:rPr>
        <w:t xml:space="preserve"> include the age and condition of existing assets, </w:t>
      </w:r>
      <w:r w:rsidR="001F6BDF">
        <w:rPr>
          <w:rStyle w:val="AERbody"/>
        </w:rPr>
        <w:t xml:space="preserve">expected </w:t>
      </w:r>
      <w:r>
        <w:rPr>
          <w:rStyle w:val="AERbody"/>
        </w:rPr>
        <w:t xml:space="preserve">changes in the number of customers connected to the network, </w:t>
      </w:r>
      <w:r w:rsidR="001F6BDF">
        <w:rPr>
          <w:rStyle w:val="AERbody"/>
        </w:rPr>
        <w:t xml:space="preserve">expected </w:t>
      </w:r>
      <w:r>
        <w:rPr>
          <w:rStyle w:val="AERbody"/>
        </w:rPr>
        <w:t xml:space="preserve">changes in the demand profile of customers, and general </w:t>
      </w:r>
      <w:r w:rsidR="00382B5C">
        <w:rPr>
          <w:rStyle w:val="AERbody"/>
        </w:rPr>
        <w:t>‘stay in business’</w:t>
      </w:r>
      <w:r>
        <w:rPr>
          <w:rStyle w:val="AERbody"/>
        </w:rPr>
        <w:t xml:space="preserve"> requirements of the business. </w:t>
      </w:r>
    </w:p>
    <w:p w:rsidR="00BF5A28" w:rsidRDefault="001F6BDF" w:rsidP="00BF5A28">
      <w:pPr>
        <w:pStyle w:val="AERbodytext"/>
        <w:rPr>
          <w:rStyle w:val="AERbody"/>
        </w:rPr>
      </w:pPr>
      <w:r>
        <w:t>We</w:t>
      </w:r>
      <w:r w:rsidR="00BC4677" w:rsidRPr="00AB6395">
        <w:t xml:space="preserve"> assess the </w:t>
      </w:r>
      <w:proofErr w:type="spellStart"/>
      <w:r w:rsidR="00BC4677" w:rsidRPr="00AB6395">
        <w:t>capex</w:t>
      </w:r>
      <w:proofErr w:type="spellEnd"/>
      <w:r w:rsidR="00BC4677" w:rsidRPr="00AB6395">
        <w:t xml:space="preserve"> </w:t>
      </w:r>
      <w:r w:rsidR="00BF5A28">
        <w:t>proposals</w:t>
      </w:r>
      <w:r>
        <w:t xml:space="preserve"> of </w:t>
      </w:r>
      <w:r w:rsidR="00BC4677" w:rsidRPr="00AB6395">
        <w:t xml:space="preserve">gas network businesses to determine whether they </w:t>
      </w:r>
      <w:r>
        <w:t>meet the criteria</w:t>
      </w:r>
      <w:r w:rsidR="00BC4677" w:rsidRPr="00AB6395">
        <w:t xml:space="preserve"> set out </w:t>
      </w:r>
      <w:r>
        <w:t>in the National Gas Rules</w:t>
      </w:r>
      <w:r w:rsidR="00BC4677" w:rsidRPr="00AB6395">
        <w:t>.</w:t>
      </w:r>
      <w:r w:rsidR="00BC4677">
        <w:t xml:space="preserve"> </w:t>
      </w:r>
      <w:r w:rsidR="00BF5A28">
        <w:t xml:space="preserve">These criteria essentially ensure that the </w:t>
      </w:r>
      <w:proofErr w:type="spellStart"/>
      <w:r w:rsidR="00BF5A28">
        <w:t>capex</w:t>
      </w:r>
      <w:proofErr w:type="spellEnd"/>
      <w:r w:rsidR="00BF5A28">
        <w:t xml:space="preserve"> is necessary, efficient and has a positive economic value. In addition, </w:t>
      </w:r>
      <w:r>
        <w:t>we have</w:t>
      </w:r>
      <w:r w:rsidR="00382B5C">
        <w:t xml:space="preserve"> to be satisfied that the methodology and data underl</w:t>
      </w:r>
      <w:r w:rsidR="00BA6E30">
        <w:t>y</w:t>
      </w:r>
      <w:r w:rsidR="00382B5C">
        <w:t xml:space="preserve">ing any forecast </w:t>
      </w:r>
      <w:r w:rsidR="00BA6E30">
        <w:t xml:space="preserve">or estimate </w:t>
      </w:r>
      <w:r w:rsidR="00382B5C">
        <w:t>is reasonable</w:t>
      </w:r>
      <w:r w:rsidR="00BA6E30">
        <w:t xml:space="preserve"> and the best forecast or estimate in the circumstances</w:t>
      </w:r>
      <w:r w:rsidR="00CC6E7A">
        <w:t>.</w:t>
      </w:r>
    </w:p>
    <w:p w:rsidR="00EB65E9" w:rsidRPr="00C82F77" w:rsidRDefault="00EB65E9" w:rsidP="00EB65E9">
      <w:pPr>
        <w:pStyle w:val="AERheading4"/>
        <w:spacing w:before="360"/>
      </w:pPr>
      <w:r>
        <w:t>Capital base</w:t>
      </w:r>
    </w:p>
    <w:p w:rsidR="00C37A6C" w:rsidRDefault="00EB65E9" w:rsidP="00EB65E9">
      <w:pPr>
        <w:pStyle w:val="AERbodytext"/>
      </w:pPr>
      <w:r>
        <w:t xml:space="preserve">The capital base is the value </w:t>
      </w:r>
      <w:r w:rsidR="00A504AE">
        <w:t xml:space="preserve">of a business’ capital assets </w:t>
      </w:r>
      <w:r>
        <w:t xml:space="preserve">on </w:t>
      </w:r>
      <w:r w:rsidR="00A504AE">
        <w:t>whic</w:t>
      </w:r>
      <w:r>
        <w:t xml:space="preserve">h </w:t>
      </w:r>
      <w:r w:rsidR="00A504AE">
        <w:t>it</w:t>
      </w:r>
      <w:r>
        <w:t xml:space="preserve"> can earn a rate of return (discussed below). </w:t>
      </w:r>
      <w:r w:rsidR="00A504AE">
        <w:t>B</w:t>
      </w:r>
      <w:r w:rsidR="004278B9">
        <w:t>usiness</w:t>
      </w:r>
      <w:r w:rsidR="00A504AE">
        <w:t>es generally</w:t>
      </w:r>
      <w:r w:rsidR="004278B9">
        <w:t xml:space="preserve"> ha</w:t>
      </w:r>
      <w:r w:rsidR="00A504AE">
        <w:t>ve</w:t>
      </w:r>
      <w:r w:rsidR="009F32EC">
        <w:t xml:space="preserve"> to borrow—</w:t>
      </w:r>
      <w:r w:rsidR="00A504AE">
        <w:t>for example, from banks, from issuing corporate debt, and from equity investors</w:t>
      </w:r>
      <w:r w:rsidR="009F32EC">
        <w:t>—</w:t>
      </w:r>
      <w:r w:rsidR="004278B9">
        <w:t xml:space="preserve">to finance </w:t>
      </w:r>
      <w:r w:rsidR="00A504AE">
        <w:t>their</w:t>
      </w:r>
      <w:r w:rsidR="004278B9">
        <w:t xml:space="preserve"> </w:t>
      </w:r>
      <w:r w:rsidR="00A504AE">
        <w:t xml:space="preserve">capital expenditure. </w:t>
      </w:r>
    </w:p>
    <w:p w:rsidR="00EB65E9" w:rsidRDefault="00A504AE" w:rsidP="00EB65E9">
      <w:pPr>
        <w:pStyle w:val="AERbodytext"/>
        <w:rPr>
          <w:rStyle w:val="AERbody"/>
        </w:rPr>
      </w:pPr>
      <w:r>
        <w:t>In order to pay back the ‘loan’ the business then needs to earn a ret</w:t>
      </w:r>
      <w:r w:rsidR="00C37A6C">
        <w:t>urn on its capital expenditure—</w:t>
      </w:r>
      <w:r>
        <w:t>that is</w:t>
      </w:r>
      <w:r w:rsidR="009F32EC">
        <w:t>,</w:t>
      </w:r>
      <w:r>
        <w:t xml:space="preserve"> its capital base</w:t>
      </w:r>
      <w:r w:rsidR="00C37A6C">
        <w:t>—</w:t>
      </w:r>
      <w:r>
        <w:t>in</w:t>
      </w:r>
      <w:r w:rsidR="0077476D">
        <w:t xml:space="preserve"> order to be able to cover the ‘</w:t>
      </w:r>
      <w:r>
        <w:t>interest’ on the loan.</w:t>
      </w:r>
      <w:r w:rsidR="004278B9">
        <w:t xml:space="preserve"> </w:t>
      </w:r>
      <w:r>
        <w:t xml:space="preserve">In this way we need to calculate each business’ capital base in order to determine the amount on which each business can earn a rate of return. </w:t>
      </w:r>
      <w:r w:rsidR="00297F52">
        <w:t>Items that form a business</w:t>
      </w:r>
      <w:r w:rsidR="00EB65E9">
        <w:t>’ capital base include gas pipelines,</w:t>
      </w:r>
      <w:r w:rsidR="00EB65E9" w:rsidRPr="00FB3CAF">
        <w:rPr>
          <w:rStyle w:val="AERbody"/>
        </w:rPr>
        <w:t xml:space="preserve"> </w:t>
      </w:r>
      <w:r w:rsidR="00EB65E9">
        <w:rPr>
          <w:rStyle w:val="AERbody"/>
        </w:rPr>
        <w:t xml:space="preserve">customer </w:t>
      </w:r>
      <w:r w:rsidR="00EB65E9" w:rsidRPr="00FB3CAF">
        <w:rPr>
          <w:rStyle w:val="AERbody"/>
        </w:rPr>
        <w:t>connections, IT</w:t>
      </w:r>
      <w:r w:rsidR="00EB65E9">
        <w:rPr>
          <w:rStyle w:val="AERbody"/>
        </w:rPr>
        <w:t> systems</w:t>
      </w:r>
      <w:r w:rsidR="00EB65E9" w:rsidRPr="00FB3CAF">
        <w:rPr>
          <w:rStyle w:val="AERbody"/>
        </w:rPr>
        <w:t>, plant and equipment, motor vehicles and buildings</w:t>
      </w:r>
      <w:r w:rsidR="00EB65E9">
        <w:rPr>
          <w:rStyle w:val="AERbody"/>
        </w:rPr>
        <w:t>.</w:t>
      </w:r>
    </w:p>
    <w:p w:rsidR="00EB65E9" w:rsidRDefault="00EB65E9" w:rsidP="00EB65E9">
      <w:pPr>
        <w:pStyle w:val="AERbodytext"/>
        <w:rPr>
          <w:rStyle w:val="AERbody"/>
        </w:rPr>
      </w:pPr>
      <w:r>
        <w:rPr>
          <w:rStyle w:val="AERbody"/>
        </w:rPr>
        <w:t xml:space="preserve">As part of our draft decisions, we were required to determine each business’ capital base for both the current </w:t>
      </w:r>
      <w:r>
        <w:t>access arrangement period (i.e. 2008</w:t>
      </w:r>
      <w:r>
        <w:rPr>
          <w:rFonts w:cs="Gautami"/>
        </w:rPr>
        <w:t>–</w:t>
      </w:r>
      <w:r>
        <w:t>12) and for the upcoming access arrangement period (i.e. 2013</w:t>
      </w:r>
      <w:r>
        <w:rPr>
          <w:rFonts w:cs="Gautami"/>
        </w:rPr>
        <w:t>–</w:t>
      </w:r>
      <w:r>
        <w:t>17).</w:t>
      </w:r>
    </w:p>
    <w:p w:rsidR="00EB65E9" w:rsidRDefault="00EB65E9" w:rsidP="00EB65E9">
      <w:pPr>
        <w:pStyle w:val="AERbodytext"/>
        <w:rPr>
          <w:rFonts w:eastAsia="Calibri"/>
        </w:rPr>
      </w:pPr>
      <w:r>
        <w:rPr>
          <w:rStyle w:val="AERbody"/>
        </w:rPr>
        <w:t xml:space="preserve">Assessing a business’ capital base for the current period involves a decision about whether the money the business spent on </w:t>
      </w:r>
      <w:r w:rsidR="004278B9">
        <w:rPr>
          <w:rStyle w:val="AERbody"/>
        </w:rPr>
        <w:t>new</w:t>
      </w:r>
      <w:r>
        <w:rPr>
          <w:rStyle w:val="AERbody"/>
        </w:rPr>
        <w:t xml:space="preserve"> assets in that period was efficient. In particular, the AER considers whether the </w:t>
      </w:r>
      <w:proofErr w:type="spellStart"/>
      <w:r>
        <w:rPr>
          <w:rStyle w:val="AERbody"/>
        </w:rPr>
        <w:t>capex</w:t>
      </w:r>
      <w:proofErr w:type="spellEnd"/>
      <w:r>
        <w:rPr>
          <w:rStyle w:val="AERbody"/>
        </w:rPr>
        <w:t xml:space="preserve"> </w:t>
      </w:r>
      <w:r w:rsidRPr="004567E6">
        <w:rPr>
          <w:rFonts w:eastAsia="Calibri"/>
        </w:rPr>
        <w:t>would have been undertaken by an efficient service provider in providing reference services</w:t>
      </w:r>
      <w:r>
        <w:rPr>
          <w:rFonts w:eastAsia="Calibri"/>
        </w:rPr>
        <w:t xml:space="preserve">. For example, for </w:t>
      </w:r>
      <w:proofErr w:type="spellStart"/>
      <w:r>
        <w:rPr>
          <w:rFonts w:eastAsia="Calibri"/>
        </w:rPr>
        <w:t>capex</w:t>
      </w:r>
      <w:proofErr w:type="spellEnd"/>
      <w:r>
        <w:rPr>
          <w:rFonts w:eastAsia="Calibri"/>
        </w:rPr>
        <w:t xml:space="preserve"> to be included in the </w:t>
      </w:r>
      <w:r w:rsidR="00E26FE7">
        <w:rPr>
          <w:rFonts w:eastAsia="Calibri"/>
        </w:rPr>
        <w:t>capital</w:t>
      </w:r>
      <w:r>
        <w:rPr>
          <w:rFonts w:eastAsia="Calibri"/>
        </w:rPr>
        <w:t xml:space="preserve"> base we should be satisfied that it was incurred in relation to the provision of pipeline services.</w:t>
      </w:r>
    </w:p>
    <w:p w:rsidR="00EB65E9" w:rsidRDefault="00EB65E9" w:rsidP="00EB65E9">
      <w:pPr>
        <w:pStyle w:val="AERbodytext"/>
        <w:rPr>
          <w:rFonts w:eastAsia="Calibri"/>
        </w:rPr>
      </w:pPr>
      <w:r>
        <w:rPr>
          <w:rFonts w:eastAsia="Calibri"/>
        </w:rPr>
        <w:t xml:space="preserve">As the assessment relies on a decision about </w:t>
      </w:r>
      <w:proofErr w:type="spellStart"/>
      <w:r>
        <w:rPr>
          <w:rFonts w:eastAsia="Calibri"/>
        </w:rPr>
        <w:t>capex</w:t>
      </w:r>
      <w:proofErr w:type="spellEnd"/>
      <w:r>
        <w:rPr>
          <w:rFonts w:eastAsia="Calibri"/>
        </w:rPr>
        <w:t xml:space="preserve"> actually incurred in the past, it can only relate to past years where there is data on actual </w:t>
      </w:r>
      <w:proofErr w:type="spellStart"/>
      <w:r>
        <w:rPr>
          <w:rFonts w:eastAsia="Calibri"/>
        </w:rPr>
        <w:t>capex</w:t>
      </w:r>
      <w:proofErr w:type="spellEnd"/>
      <w:r>
        <w:rPr>
          <w:rFonts w:eastAsia="Calibri"/>
        </w:rPr>
        <w:t xml:space="preserve">. This means we cannot yet assess actual </w:t>
      </w:r>
      <w:proofErr w:type="spellStart"/>
      <w:r>
        <w:rPr>
          <w:rFonts w:eastAsia="Calibri"/>
        </w:rPr>
        <w:t>capex</w:t>
      </w:r>
      <w:proofErr w:type="spellEnd"/>
      <w:r>
        <w:rPr>
          <w:rFonts w:eastAsia="Calibri"/>
        </w:rPr>
        <w:t xml:space="preserve"> for 2012 as it is still a forecast for the remainder of the year. Instead, the capital base for 2012 is </w:t>
      </w:r>
      <w:r w:rsidR="00E26FE7">
        <w:rPr>
          <w:rFonts w:eastAsia="Calibri"/>
        </w:rPr>
        <w:t xml:space="preserve">a </w:t>
      </w:r>
      <w:r>
        <w:rPr>
          <w:rFonts w:eastAsia="Calibri"/>
        </w:rPr>
        <w:t>forecast. Similarly, in 2007, when the access arrangement for the 2008</w:t>
      </w:r>
      <w:r>
        <w:rPr>
          <w:rFonts w:eastAsia="Calibri" w:cs="Gautami"/>
        </w:rPr>
        <w:t>–</w:t>
      </w:r>
      <w:r>
        <w:rPr>
          <w:rFonts w:eastAsia="Calibri"/>
        </w:rPr>
        <w:t xml:space="preserve">12 </w:t>
      </w:r>
      <w:proofErr w:type="gramStart"/>
      <w:r>
        <w:rPr>
          <w:rFonts w:eastAsia="Calibri"/>
        </w:rPr>
        <w:t>period</w:t>
      </w:r>
      <w:proofErr w:type="gramEnd"/>
      <w:r>
        <w:rPr>
          <w:rFonts w:eastAsia="Calibri"/>
        </w:rPr>
        <w:t xml:space="preserve"> was being assessed, data on actual </w:t>
      </w:r>
      <w:proofErr w:type="spellStart"/>
      <w:r>
        <w:rPr>
          <w:rFonts w:eastAsia="Calibri"/>
        </w:rPr>
        <w:t>capex</w:t>
      </w:r>
      <w:proofErr w:type="spellEnd"/>
      <w:r>
        <w:rPr>
          <w:rFonts w:eastAsia="Calibri"/>
        </w:rPr>
        <w:t xml:space="preserve"> for 2007 was incomplete and hence, the capital base for 2007 was forecast rather than actual. </w:t>
      </w:r>
    </w:p>
    <w:p w:rsidR="00EB65E9" w:rsidRDefault="00EB65E9" w:rsidP="00EB65E9">
      <w:pPr>
        <w:pStyle w:val="AERbodytext"/>
        <w:rPr>
          <w:rFonts w:eastAsia="Calibri"/>
        </w:rPr>
      </w:pPr>
      <w:r>
        <w:rPr>
          <w:rFonts w:eastAsia="Calibri"/>
        </w:rPr>
        <w:t>In updating the capital base for the 2008</w:t>
      </w:r>
      <w:r>
        <w:rPr>
          <w:rFonts w:eastAsia="Calibri" w:cs="Gautami"/>
        </w:rPr>
        <w:t>–</w:t>
      </w:r>
      <w:r>
        <w:rPr>
          <w:rFonts w:eastAsia="Calibri"/>
        </w:rPr>
        <w:t xml:space="preserve">12 </w:t>
      </w:r>
      <w:proofErr w:type="gramStart"/>
      <w:r>
        <w:rPr>
          <w:rFonts w:eastAsia="Calibri"/>
        </w:rPr>
        <w:t>period</w:t>
      </w:r>
      <w:proofErr w:type="gramEnd"/>
      <w:r>
        <w:rPr>
          <w:rFonts w:eastAsia="Calibri"/>
        </w:rPr>
        <w:t>, the AER’s assessment therefore covers the period 2007</w:t>
      </w:r>
      <w:r>
        <w:rPr>
          <w:rFonts w:eastAsia="Calibri" w:cs="Gautami"/>
        </w:rPr>
        <w:t>–</w:t>
      </w:r>
      <w:r>
        <w:rPr>
          <w:rFonts w:eastAsia="Calibri"/>
        </w:rPr>
        <w:t xml:space="preserve">11. </w:t>
      </w:r>
      <w:proofErr w:type="spellStart"/>
      <w:r>
        <w:rPr>
          <w:rFonts w:eastAsia="Calibri"/>
        </w:rPr>
        <w:t>Capex</w:t>
      </w:r>
      <w:proofErr w:type="spellEnd"/>
      <w:r>
        <w:rPr>
          <w:rFonts w:eastAsia="Calibri"/>
        </w:rPr>
        <w:t xml:space="preserve"> that meets the necessary requirements is included in the capital base and is called conforming </w:t>
      </w:r>
      <w:proofErr w:type="spellStart"/>
      <w:r>
        <w:rPr>
          <w:rFonts w:eastAsia="Calibri"/>
        </w:rPr>
        <w:t>capex</w:t>
      </w:r>
      <w:proofErr w:type="spellEnd"/>
      <w:r>
        <w:rPr>
          <w:rFonts w:eastAsia="Calibri"/>
        </w:rPr>
        <w:t>.</w:t>
      </w:r>
    </w:p>
    <w:p w:rsidR="00EB65E9" w:rsidRDefault="00EB65E9" w:rsidP="00EB65E9">
      <w:pPr>
        <w:pStyle w:val="AERbodytext"/>
      </w:pPr>
      <w:r>
        <w:rPr>
          <w:rFonts w:eastAsia="Calibri"/>
        </w:rPr>
        <w:t xml:space="preserve">Once conforming </w:t>
      </w:r>
      <w:proofErr w:type="spellStart"/>
      <w:r>
        <w:rPr>
          <w:rFonts w:eastAsia="Calibri"/>
        </w:rPr>
        <w:t>capex</w:t>
      </w:r>
      <w:proofErr w:type="spellEnd"/>
      <w:r>
        <w:rPr>
          <w:rFonts w:eastAsia="Calibri"/>
        </w:rPr>
        <w:t xml:space="preserve"> is determined, the closing value</w:t>
      </w:r>
      <w:r>
        <w:rPr>
          <w:rStyle w:val="FootnoteReference"/>
          <w:rFonts w:eastAsia="Calibri"/>
        </w:rPr>
        <w:footnoteReference w:id="12"/>
      </w:r>
      <w:r>
        <w:rPr>
          <w:rFonts w:eastAsia="Calibri"/>
        </w:rPr>
        <w:t xml:space="preserve"> of the capital base is determined for each year by taking the closing value from the previous year and:</w:t>
      </w:r>
    </w:p>
    <w:p w:rsidR="00EB65E9" w:rsidRDefault="00EB65E9" w:rsidP="00EB65E9">
      <w:pPr>
        <w:pStyle w:val="AERbulletlistfirststyle"/>
        <w:rPr>
          <w:rFonts w:eastAsia="Calibri"/>
        </w:rPr>
      </w:pPr>
      <w:r w:rsidRPr="004567E6">
        <w:rPr>
          <w:rFonts w:eastAsia="Calibri"/>
        </w:rPr>
        <w:t xml:space="preserve">adding </w:t>
      </w:r>
      <w:r>
        <w:rPr>
          <w:rFonts w:eastAsia="Calibri"/>
        </w:rPr>
        <w:t xml:space="preserve">any </w:t>
      </w:r>
      <w:r w:rsidRPr="004567E6">
        <w:rPr>
          <w:rFonts w:eastAsia="Calibri"/>
        </w:rPr>
        <w:t xml:space="preserve">conforming </w:t>
      </w:r>
      <w:proofErr w:type="spellStart"/>
      <w:r w:rsidRPr="004567E6">
        <w:rPr>
          <w:rFonts w:eastAsia="Calibri"/>
        </w:rPr>
        <w:t>capex</w:t>
      </w:r>
      <w:proofErr w:type="spellEnd"/>
      <w:r w:rsidRPr="004567E6">
        <w:rPr>
          <w:rFonts w:eastAsia="Calibri"/>
        </w:rPr>
        <w:t xml:space="preserve"> </w:t>
      </w:r>
      <w:r>
        <w:rPr>
          <w:rFonts w:eastAsia="Calibri"/>
        </w:rPr>
        <w:t>undertaken in that year</w:t>
      </w:r>
      <w:r>
        <w:rPr>
          <w:rStyle w:val="FootnoteReference"/>
          <w:rFonts w:eastAsia="Calibri"/>
        </w:rPr>
        <w:footnoteReference w:id="13"/>
      </w:r>
    </w:p>
    <w:p w:rsidR="00EB65E9" w:rsidRDefault="00EB65E9" w:rsidP="00EB65E9">
      <w:pPr>
        <w:pStyle w:val="AERbulletlistfirststyle"/>
        <w:rPr>
          <w:rFonts w:eastAsia="Calibri"/>
        </w:rPr>
      </w:pPr>
      <w:r>
        <w:rPr>
          <w:rFonts w:eastAsia="Calibri"/>
        </w:rPr>
        <w:t>subtract</w:t>
      </w:r>
      <w:r w:rsidRPr="0042568C">
        <w:rPr>
          <w:rFonts w:eastAsia="Calibri"/>
        </w:rPr>
        <w:t xml:space="preserve">ing </w:t>
      </w:r>
      <w:r w:rsidR="00E26FE7">
        <w:rPr>
          <w:rFonts w:eastAsia="Calibri"/>
        </w:rPr>
        <w:t>allowed</w:t>
      </w:r>
      <w:r>
        <w:rPr>
          <w:rFonts w:eastAsia="Calibri"/>
        </w:rPr>
        <w:t xml:space="preserve"> </w:t>
      </w:r>
      <w:r w:rsidRPr="0042568C">
        <w:rPr>
          <w:rFonts w:eastAsia="Calibri"/>
        </w:rPr>
        <w:t>depreciation, any capital contributions</w:t>
      </w:r>
      <w:r>
        <w:rPr>
          <w:rFonts w:eastAsia="Calibri"/>
        </w:rPr>
        <w:t xml:space="preserve"> from customers or government</w:t>
      </w:r>
      <w:r w:rsidRPr="0042568C">
        <w:rPr>
          <w:rFonts w:eastAsia="Calibri"/>
        </w:rPr>
        <w:t>, any re</w:t>
      </w:r>
      <w:r>
        <w:rPr>
          <w:rFonts w:eastAsia="Calibri"/>
        </w:rPr>
        <w:t>dundant assets and any disposal of assets</w:t>
      </w:r>
    </w:p>
    <w:p w:rsidR="00EB65E9" w:rsidRPr="0042568C" w:rsidRDefault="00EB65E9" w:rsidP="00EB65E9">
      <w:pPr>
        <w:pStyle w:val="AERbulletlistfirststyle"/>
        <w:rPr>
          <w:rFonts w:eastAsia="Calibri"/>
        </w:rPr>
      </w:pPr>
      <w:proofErr w:type="gramStart"/>
      <w:r>
        <w:rPr>
          <w:rFonts w:eastAsia="Calibri"/>
        </w:rPr>
        <w:t>multiplying</w:t>
      </w:r>
      <w:proofErr w:type="gramEnd"/>
      <w:r>
        <w:rPr>
          <w:rFonts w:eastAsia="Calibri"/>
        </w:rPr>
        <w:t xml:space="preserve"> by the change in the consumer price index for the previous year to </w:t>
      </w:r>
      <w:r w:rsidRPr="0042568C">
        <w:rPr>
          <w:rFonts w:eastAsia="Calibri"/>
        </w:rPr>
        <w:t xml:space="preserve">index the </w:t>
      </w:r>
      <w:r>
        <w:rPr>
          <w:rFonts w:eastAsia="Calibri"/>
        </w:rPr>
        <w:t xml:space="preserve">capital base </w:t>
      </w:r>
      <w:r w:rsidRPr="0042568C">
        <w:rPr>
          <w:rFonts w:eastAsia="Calibri"/>
        </w:rPr>
        <w:t>for actual inflation.</w:t>
      </w:r>
      <w:r>
        <w:rPr>
          <w:rStyle w:val="FootnoteReference"/>
          <w:rFonts w:eastAsia="Calibri"/>
        </w:rPr>
        <w:footnoteReference w:id="14"/>
      </w:r>
    </w:p>
    <w:p w:rsidR="00EB65E9" w:rsidRDefault="00EB65E9" w:rsidP="00EB65E9">
      <w:pPr>
        <w:pStyle w:val="AERbodytext"/>
      </w:pPr>
      <w:r>
        <w:t xml:space="preserve">Rolling forward the </w:t>
      </w:r>
      <w:r w:rsidR="00297F52">
        <w:t xml:space="preserve">forecast </w:t>
      </w:r>
      <w:r>
        <w:t>capital base for the 2012</w:t>
      </w:r>
      <w:r>
        <w:rPr>
          <w:rFonts w:cs="Gautami"/>
        </w:rPr>
        <w:t>–</w:t>
      </w:r>
      <w:r>
        <w:t xml:space="preserve">17 </w:t>
      </w:r>
      <w:proofErr w:type="gramStart"/>
      <w:r>
        <w:t>period</w:t>
      </w:r>
      <w:proofErr w:type="gramEnd"/>
      <w:r>
        <w:t xml:space="preserve"> involves a similar process. Estimates of forecast depreciation, </w:t>
      </w:r>
      <w:proofErr w:type="spellStart"/>
      <w:r>
        <w:t>capex</w:t>
      </w:r>
      <w:proofErr w:type="spellEnd"/>
      <w:r>
        <w:t xml:space="preserve">, disposals and inflation are taken from our draft decision in respect of these cost categories. In particular, forecast </w:t>
      </w:r>
      <w:proofErr w:type="spellStart"/>
      <w:r>
        <w:t>capex</w:t>
      </w:r>
      <w:proofErr w:type="spellEnd"/>
      <w:r>
        <w:t xml:space="preserve"> is added to the capital base, while forecast depreciation and disposals are removed from the capital base. Forecast inflation is used to index the resulting capital base.</w:t>
      </w:r>
    </w:p>
    <w:p w:rsidR="002D7E48" w:rsidRDefault="00BF5A28" w:rsidP="00BF5A28">
      <w:pPr>
        <w:pStyle w:val="AERheading4"/>
      </w:pPr>
      <w:r>
        <w:t>Rate of return</w:t>
      </w:r>
    </w:p>
    <w:p w:rsidR="0054346D" w:rsidRPr="00E55B6B" w:rsidRDefault="0054346D" w:rsidP="0054346D">
      <w:pPr>
        <w:pStyle w:val="AERbodytext"/>
      </w:pPr>
      <w:r>
        <w:t>A business’</w:t>
      </w:r>
      <w:r w:rsidRPr="00E55B6B">
        <w:t xml:space="preserve"> return on capital building block is calculated by multiplying the rate of return with the value of </w:t>
      </w:r>
      <w:r w:rsidR="00B41D10">
        <w:t>the business’</w:t>
      </w:r>
      <w:r w:rsidRPr="00E55B6B">
        <w:t xml:space="preserve"> capital base. </w:t>
      </w:r>
      <w:r w:rsidRPr="0054346D">
        <w:t>The rate of return relates to the cost of financing capital assets, such as providing a return on equity and paying interest on loans</w:t>
      </w:r>
      <w:r w:rsidR="00A504AE">
        <w:t>, as discussed above</w:t>
      </w:r>
      <w:r>
        <w:t xml:space="preserve">. </w:t>
      </w:r>
      <w:r w:rsidR="00BD5DFF">
        <w:t>T</w:t>
      </w:r>
      <w:r>
        <w:t xml:space="preserve">he rate of return </w:t>
      </w:r>
      <w:r w:rsidRPr="00E55B6B">
        <w:t xml:space="preserve">is to be </w:t>
      </w:r>
      <w:r w:rsidR="001F6BDF">
        <w:t xml:space="preserve">in line </w:t>
      </w:r>
      <w:r w:rsidRPr="00E55B6B">
        <w:t xml:space="preserve">with prevailing conditions in the market for </w:t>
      </w:r>
      <w:r w:rsidR="001F6BDF">
        <w:t xml:space="preserve">such </w:t>
      </w:r>
      <w:r w:rsidRPr="00E55B6B">
        <w:t xml:space="preserve">funds and the risks </w:t>
      </w:r>
      <w:r w:rsidR="00A504AE">
        <w:t xml:space="preserve">faced by the business </w:t>
      </w:r>
      <w:r w:rsidRPr="00E55B6B">
        <w:t xml:space="preserve">in providing </w:t>
      </w:r>
      <w:r w:rsidR="00BA6E30">
        <w:t>gas pipeline</w:t>
      </w:r>
      <w:r w:rsidRPr="00E55B6B">
        <w:t xml:space="preserve"> services.</w:t>
      </w:r>
      <w:r>
        <w:rPr>
          <w:rStyle w:val="FootnoteReference"/>
        </w:rPr>
        <w:footnoteReference w:id="15"/>
      </w:r>
      <w:r w:rsidR="00BA6E30">
        <w:t xml:space="preserve"> </w:t>
      </w:r>
    </w:p>
    <w:p w:rsidR="0054346D" w:rsidRPr="00E961DF" w:rsidRDefault="0054346D" w:rsidP="000E497E">
      <w:pPr>
        <w:pStyle w:val="AERbodytext"/>
      </w:pPr>
      <w:r w:rsidRPr="00E961DF">
        <w:t xml:space="preserve">In forming </w:t>
      </w:r>
      <w:r w:rsidR="001F6BDF">
        <w:t>our</w:t>
      </w:r>
      <w:r w:rsidRPr="00E961DF">
        <w:t xml:space="preserve"> draft decision</w:t>
      </w:r>
      <w:r>
        <w:t>s</w:t>
      </w:r>
      <w:r w:rsidRPr="00E961DF">
        <w:t xml:space="preserve">, </w:t>
      </w:r>
      <w:r w:rsidR="001F6BDF">
        <w:t>we</w:t>
      </w:r>
      <w:r w:rsidRPr="00E961DF">
        <w:t xml:space="preserve"> consider an extensive range of material on the rate of return</w:t>
      </w:r>
      <w:r>
        <w:t xml:space="preserve"> including</w:t>
      </w:r>
      <w:r w:rsidR="000E497E">
        <w:t xml:space="preserve"> </w:t>
      </w:r>
      <w:r>
        <w:t>businesses’</w:t>
      </w:r>
      <w:r w:rsidRPr="00E961DF">
        <w:t xml:space="preserve"> proposal</w:t>
      </w:r>
      <w:r>
        <w:t>s</w:t>
      </w:r>
      <w:r w:rsidR="000E497E">
        <w:t xml:space="preserve">, </w:t>
      </w:r>
      <w:r w:rsidRPr="00E961DF">
        <w:t>submissions from users</w:t>
      </w:r>
      <w:r w:rsidR="00F26DA7">
        <w:t>,</w:t>
      </w:r>
      <w:r w:rsidR="000E497E">
        <w:t xml:space="preserve"> advice </w:t>
      </w:r>
      <w:r w:rsidR="003F026A">
        <w:t>from</w:t>
      </w:r>
      <w:r w:rsidR="000E497E">
        <w:t xml:space="preserve"> academic</w:t>
      </w:r>
      <w:r w:rsidR="00CC6E7A">
        <w:t xml:space="preserve"> experts</w:t>
      </w:r>
      <w:r w:rsidR="00F26DA7">
        <w:t>, and information available from the Reserve Bank of Australia or the Commonwealth Treasury</w:t>
      </w:r>
      <w:r w:rsidR="000E497E">
        <w:t xml:space="preserve">. </w:t>
      </w:r>
    </w:p>
    <w:p w:rsidR="0054346D" w:rsidRDefault="00527D71" w:rsidP="00BF5A28">
      <w:pPr>
        <w:pStyle w:val="AERbodytext"/>
      </w:pPr>
      <w:r>
        <w:t xml:space="preserve">There are a number of methodologies that can be used to calculate the rate of return. In our recent draft decisions we used the </w:t>
      </w:r>
      <w:r w:rsidR="00BD5DFF">
        <w:t>‘</w:t>
      </w:r>
      <w:r w:rsidR="000E497E" w:rsidRPr="00E55B6B">
        <w:t>nominal vanilla</w:t>
      </w:r>
      <w:r w:rsidR="00BD5DFF">
        <w:t>’</w:t>
      </w:r>
      <w:r w:rsidR="000E497E" w:rsidRPr="00E55B6B">
        <w:t xml:space="preserve"> </w:t>
      </w:r>
      <w:r w:rsidR="000E497E">
        <w:t>weighted average cost of capital (</w:t>
      </w:r>
      <w:r w:rsidR="000E497E" w:rsidRPr="00E55B6B">
        <w:t>WACC</w:t>
      </w:r>
      <w:r w:rsidR="001F6BDF">
        <w:t>)</w:t>
      </w:r>
      <w:r w:rsidR="000E497E" w:rsidRPr="00E55B6B">
        <w:t>.</w:t>
      </w:r>
      <w:r w:rsidR="000B0058">
        <w:rPr>
          <w:rStyle w:val="FootnoteReference"/>
        </w:rPr>
        <w:footnoteReference w:id="16"/>
      </w:r>
      <w:r w:rsidR="000E497E">
        <w:t xml:space="preserve"> This was also adopted by </w:t>
      </w:r>
      <w:r w:rsidR="00F26DA7">
        <w:t xml:space="preserve">the </w:t>
      </w:r>
      <w:r w:rsidR="000E497E">
        <w:t>businesses</w:t>
      </w:r>
      <w:r>
        <w:t xml:space="preserve"> for the current review process</w:t>
      </w:r>
      <w:r w:rsidR="000E497E">
        <w:t xml:space="preserve">. The main differences in approach </w:t>
      </w:r>
      <w:r w:rsidR="001F6BDF">
        <w:t xml:space="preserve">between us and the businesses </w:t>
      </w:r>
      <w:r w:rsidR="000E497E">
        <w:t xml:space="preserve">were to do with the sources </w:t>
      </w:r>
      <w:r w:rsidR="005B5A37">
        <w:t>of data used for the various inputs to the WACC calculation.</w:t>
      </w:r>
    </w:p>
    <w:p w:rsidR="00527D71" w:rsidRDefault="00630390" w:rsidP="00BF5A28">
      <w:pPr>
        <w:pStyle w:val="AERbodytext"/>
      </w:pPr>
      <w:r>
        <w:t>While differences in the rate of return determined by us and that proposed by businesses might appear small (a percentage or two), this can actually have a big impact on revenues. This is because these businesses have very large capital bases</w:t>
      </w:r>
      <w:r w:rsidR="00B67312">
        <w:t xml:space="preserve">. These large capital bases reflect the fact that these businesses have networks that span large areas of Victoria and hence, are worth a substantial amount of money. </w:t>
      </w:r>
    </w:p>
    <w:p w:rsidR="00630390" w:rsidRDefault="00B67312" w:rsidP="00BF5A28">
      <w:pPr>
        <w:pStyle w:val="AERbodytext"/>
      </w:pPr>
      <w:r>
        <w:t xml:space="preserve">As the rate of return is multiplied by the capital base to determine the return on capital, even a small change in the rate of return can have a big impact on the return on capital. This in turn can have a large impact on a business’ revenue. It is for this reason that the rate of return is </w:t>
      </w:r>
      <w:r w:rsidR="00527D71">
        <w:t>a major focus of our assessment and is of</w:t>
      </w:r>
      <w:r>
        <w:t xml:space="preserve"> signi</w:t>
      </w:r>
      <w:r w:rsidR="00527D71">
        <w:t xml:space="preserve">ficant interest to businesses. Given the potential impact on revenue and </w:t>
      </w:r>
      <w:r w:rsidR="00F26DA7">
        <w:t>tariffs</w:t>
      </w:r>
      <w:r w:rsidR="00527D71">
        <w:t>, b</w:t>
      </w:r>
      <w:r>
        <w:t>usinesses often seek to have our rate of return decision reviewed</w:t>
      </w:r>
      <w:r w:rsidR="00810A07">
        <w:t xml:space="preserve">. </w:t>
      </w:r>
    </w:p>
    <w:p w:rsidR="005B5A37" w:rsidRDefault="005B5A37" w:rsidP="005B5A37">
      <w:pPr>
        <w:pStyle w:val="AERheading2"/>
      </w:pPr>
      <w:r>
        <w:t>R</w:t>
      </w:r>
      <w:r w:rsidR="00217C6F">
        <w:t>eturn of capital</w:t>
      </w:r>
      <w:r w:rsidR="00217C6F">
        <w:rPr>
          <w:rFonts w:ascii="Calibri" w:hAnsi="Calibri"/>
        </w:rPr>
        <w:t>—</w:t>
      </w:r>
      <w:r>
        <w:t>depreciation</w:t>
      </w:r>
    </w:p>
    <w:p w:rsidR="006A05B5" w:rsidRDefault="006A05B5" w:rsidP="005B5A37">
      <w:pPr>
        <w:pStyle w:val="AERbodytext"/>
        <w:rPr>
          <w:rFonts w:eastAsia="Calibri"/>
        </w:rPr>
      </w:pPr>
      <w:r>
        <w:rPr>
          <w:rFonts w:eastAsia="Calibri"/>
        </w:rPr>
        <w:t>The return of capital (</w:t>
      </w:r>
      <w:r w:rsidR="00D81C6D">
        <w:rPr>
          <w:rFonts w:eastAsia="Calibri"/>
        </w:rPr>
        <w:t>or</w:t>
      </w:r>
      <w:r>
        <w:rPr>
          <w:rFonts w:eastAsia="Calibri"/>
        </w:rPr>
        <w:t xml:space="preserve"> depreciation) is the second element of the capital cost building block and is discussed </w:t>
      </w:r>
      <w:r w:rsidR="00D81C6D">
        <w:rPr>
          <w:rFonts w:eastAsia="Calibri"/>
        </w:rPr>
        <w:t>in this section</w:t>
      </w:r>
      <w:r>
        <w:rPr>
          <w:rFonts w:eastAsia="Calibri"/>
        </w:rPr>
        <w:t xml:space="preserve">. </w:t>
      </w:r>
    </w:p>
    <w:p w:rsidR="002061C4" w:rsidRDefault="002061C4" w:rsidP="005B5A37">
      <w:pPr>
        <w:pStyle w:val="AERbodytext"/>
        <w:rPr>
          <w:rFonts w:eastAsia="Calibri"/>
        </w:rPr>
      </w:pPr>
      <w:r w:rsidRPr="005B5A37">
        <w:rPr>
          <w:rFonts w:eastAsia="Calibri"/>
        </w:rPr>
        <w:t xml:space="preserve">Depreciation represents the </w:t>
      </w:r>
      <w:r>
        <w:rPr>
          <w:rFonts w:eastAsia="Calibri"/>
        </w:rPr>
        <w:t>amount of the original capital expenditure (as opposed to the interest on the capital) that a business pays back to its investors each year. To use a loan analogy, where the return on capital represents the amount of interest a borrower needs to pay back on the loan, the return of capital, or depreciation, represents the repayment of the princip</w:t>
      </w:r>
      <w:r w:rsidR="00F26DA7">
        <w:rPr>
          <w:rFonts w:eastAsia="Calibri"/>
        </w:rPr>
        <w:t>al (the cost of the capital expenditure)</w:t>
      </w:r>
      <w:r>
        <w:rPr>
          <w:rFonts w:eastAsia="Calibri"/>
        </w:rPr>
        <w:t xml:space="preserve">. </w:t>
      </w:r>
    </w:p>
    <w:p w:rsidR="002061C4" w:rsidRDefault="002061C4" w:rsidP="005B5A37">
      <w:pPr>
        <w:pStyle w:val="AERbodytext"/>
        <w:rPr>
          <w:rFonts w:eastAsia="Calibri"/>
        </w:rPr>
      </w:pPr>
      <w:r>
        <w:rPr>
          <w:rFonts w:eastAsia="Calibri"/>
        </w:rPr>
        <w:t xml:space="preserve">Capital costs are generally large and ‘lumpy’ in that there can be large variations between years. Instead of having to pay the full amount of </w:t>
      </w:r>
      <w:proofErr w:type="spellStart"/>
      <w:r>
        <w:rPr>
          <w:rFonts w:eastAsia="Calibri"/>
        </w:rPr>
        <w:t>capex</w:t>
      </w:r>
      <w:proofErr w:type="spellEnd"/>
      <w:r>
        <w:rPr>
          <w:rFonts w:eastAsia="Calibri"/>
        </w:rPr>
        <w:t xml:space="preserve"> back to investors in the year that it is incurred, depreciation allows the cost of the capital asset to be spread over the </w:t>
      </w:r>
      <w:r w:rsidR="00F26DA7">
        <w:rPr>
          <w:rFonts w:eastAsia="Calibri"/>
        </w:rPr>
        <w:t xml:space="preserve">useful </w:t>
      </w:r>
      <w:r>
        <w:rPr>
          <w:rFonts w:eastAsia="Calibri"/>
        </w:rPr>
        <w:t>life of the asset. This in turn leads to a smoother revenue requirement and smoother prices.</w:t>
      </w:r>
      <w:r w:rsidRPr="002061C4">
        <w:rPr>
          <w:rFonts w:eastAsia="Calibri"/>
        </w:rPr>
        <w:t xml:space="preserve"> </w:t>
      </w:r>
      <w:r>
        <w:rPr>
          <w:rFonts w:eastAsia="Calibri"/>
        </w:rPr>
        <w:t xml:space="preserve">Over an asset’s life, </w:t>
      </w:r>
      <w:r w:rsidR="00F26DA7">
        <w:rPr>
          <w:rFonts w:eastAsia="Calibri"/>
        </w:rPr>
        <w:t xml:space="preserve">the </w:t>
      </w:r>
      <w:r>
        <w:rPr>
          <w:rFonts w:eastAsia="Calibri"/>
        </w:rPr>
        <w:t xml:space="preserve">total </w:t>
      </w:r>
      <w:r w:rsidR="00F26DA7">
        <w:rPr>
          <w:rFonts w:eastAsia="Calibri"/>
        </w:rPr>
        <w:t xml:space="preserve">of the </w:t>
      </w:r>
      <w:r>
        <w:rPr>
          <w:rFonts w:eastAsia="Calibri"/>
        </w:rPr>
        <w:t>depreciation</w:t>
      </w:r>
      <w:r w:rsidR="00F26DA7">
        <w:rPr>
          <w:rFonts w:eastAsia="Calibri"/>
        </w:rPr>
        <w:t xml:space="preserve"> amounts</w:t>
      </w:r>
      <w:r>
        <w:rPr>
          <w:rFonts w:eastAsia="Calibri"/>
        </w:rPr>
        <w:t xml:space="preserve"> will equal the capital cost of the asset.</w:t>
      </w:r>
    </w:p>
    <w:p w:rsidR="005B5A37" w:rsidRPr="00F35917" w:rsidRDefault="005B5A37" w:rsidP="005B5A37">
      <w:pPr>
        <w:pStyle w:val="AERbodytext"/>
        <w:rPr>
          <w:rStyle w:val="AERbody"/>
        </w:rPr>
      </w:pPr>
      <w:r>
        <w:rPr>
          <w:rFonts w:eastAsia="Calibri"/>
        </w:rPr>
        <w:t xml:space="preserve">In assessing a business’ proposed depreciation, </w:t>
      </w:r>
      <w:r w:rsidR="001F6BDF">
        <w:rPr>
          <w:rFonts w:eastAsia="Calibri"/>
        </w:rPr>
        <w:t>we</w:t>
      </w:r>
      <w:r w:rsidRPr="004567E6">
        <w:rPr>
          <w:rFonts w:eastAsia="Calibri"/>
        </w:rPr>
        <w:t xml:space="preserve"> </w:t>
      </w:r>
      <w:r>
        <w:rPr>
          <w:rFonts w:eastAsia="Calibri"/>
        </w:rPr>
        <w:t xml:space="preserve">must ensure that </w:t>
      </w:r>
      <w:r w:rsidRPr="00F35917">
        <w:t xml:space="preserve">the depreciation schedule </w:t>
      </w:r>
      <w:r>
        <w:t>is</w:t>
      </w:r>
      <w:r w:rsidRPr="00F35917">
        <w:t xml:space="preserve"> designed:</w:t>
      </w:r>
    </w:p>
    <w:p w:rsidR="005B5A37" w:rsidRPr="00F35917" w:rsidRDefault="005B5A37" w:rsidP="005B5A37">
      <w:pPr>
        <w:pStyle w:val="AERbulletlistfirststyle"/>
      </w:pPr>
      <w:r w:rsidRPr="00F35917">
        <w:t>so that reference tariffs will vary, over time, in a way that promotes efficient growth in the market for reference services</w:t>
      </w:r>
      <w:r w:rsidRPr="00F35917">
        <w:rPr>
          <w:rStyle w:val="FootnoteReference"/>
        </w:rPr>
        <w:footnoteReference w:id="17"/>
      </w:r>
    </w:p>
    <w:p w:rsidR="005B5A37" w:rsidRPr="00F35917" w:rsidRDefault="005B5A37" w:rsidP="005B5A37">
      <w:pPr>
        <w:pStyle w:val="AERbulletlistfirststyle"/>
      </w:pPr>
      <w:r w:rsidRPr="00F35917">
        <w:t>so that each asset or group of assets is depreciated over the economic life of that asset or group of assets</w:t>
      </w:r>
      <w:r w:rsidRPr="00F35917">
        <w:rPr>
          <w:rStyle w:val="FootnoteReference"/>
        </w:rPr>
        <w:footnoteReference w:id="18"/>
      </w:r>
    </w:p>
    <w:p w:rsidR="005B5A37" w:rsidRPr="00F35917" w:rsidRDefault="005B5A37" w:rsidP="005B5A37">
      <w:pPr>
        <w:pStyle w:val="AERbulletlistfirststyle"/>
      </w:pPr>
      <w:r w:rsidRPr="00F35917">
        <w:t>so as to allow, as far as reasonably practicable, for adjustment reflecting changes in the expected economic life of a particular asset, or a particular group of assets</w:t>
      </w:r>
      <w:r w:rsidRPr="00F35917">
        <w:rPr>
          <w:rStyle w:val="FootnoteReference"/>
        </w:rPr>
        <w:footnoteReference w:id="19"/>
      </w:r>
    </w:p>
    <w:p w:rsidR="005B5A37" w:rsidRPr="00F35917" w:rsidRDefault="005B5A37" w:rsidP="005B5A37">
      <w:pPr>
        <w:pStyle w:val="AERbulletlistfirststyle"/>
      </w:pPr>
      <w:r w:rsidRPr="00F35917">
        <w:t>so that an asset is depreciated only once</w:t>
      </w:r>
      <w:r w:rsidR="00BD5DFF">
        <w:t xml:space="preserve"> </w:t>
      </w:r>
      <w:r w:rsidR="00BD5DFF" w:rsidRPr="00F35917">
        <w:t>(subject to the rules about capital redundancy)</w:t>
      </w:r>
      <w:r w:rsidRPr="00F35917">
        <w:rPr>
          <w:rStyle w:val="FootnoteReference"/>
        </w:rPr>
        <w:footnoteReference w:id="20"/>
      </w:r>
      <w:r w:rsidRPr="00F35917">
        <w:t xml:space="preserve"> </w:t>
      </w:r>
    </w:p>
    <w:p w:rsidR="005B5A37" w:rsidRPr="00F35917" w:rsidRDefault="005B5A37" w:rsidP="005B5A37">
      <w:pPr>
        <w:pStyle w:val="AERbulletlistfirststyle"/>
      </w:pPr>
      <w:proofErr w:type="gramStart"/>
      <w:r w:rsidRPr="00F35917">
        <w:t>so</w:t>
      </w:r>
      <w:proofErr w:type="gramEnd"/>
      <w:r w:rsidRPr="00F35917">
        <w:t xml:space="preserve"> as to allow for the service provider's reasonable needs for cash flow to meet financing, non-capital and other costs</w:t>
      </w:r>
      <w:r>
        <w:t>.</w:t>
      </w:r>
      <w:r w:rsidRPr="00F35917">
        <w:rPr>
          <w:rStyle w:val="FootnoteReference"/>
        </w:rPr>
        <w:footnoteReference w:id="21"/>
      </w:r>
    </w:p>
    <w:p w:rsidR="000B0058" w:rsidRDefault="000B0058" w:rsidP="000B0058">
      <w:pPr>
        <w:pStyle w:val="AERbodytext"/>
      </w:pPr>
      <w:r>
        <w:t xml:space="preserve">In general, an approach whereby an asset is depreciated by the same amount for each year of its remaining asset life would be expected to meet these criteria. In particular, it should provide a steady revenue stream to the business and should not lead to </w:t>
      </w:r>
      <w:r w:rsidR="00F26DA7">
        <w:t xml:space="preserve">large </w:t>
      </w:r>
      <w:r>
        <w:t>price variability.</w:t>
      </w:r>
    </w:p>
    <w:p w:rsidR="005B5A37" w:rsidRDefault="005B5A37" w:rsidP="005B5A37">
      <w:pPr>
        <w:pStyle w:val="AERheading2"/>
      </w:pPr>
      <w:r>
        <w:t>Operating expenditure</w:t>
      </w:r>
    </w:p>
    <w:p w:rsidR="005B5A37" w:rsidRDefault="005B5A37" w:rsidP="005B5A37">
      <w:pPr>
        <w:pStyle w:val="AERbodytext"/>
        <w:rPr>
          <w:rStyle w:val="AERbody"/>
        </w:rPr>
      </w:pPr>
      <w:r w:rsidRPr="003F44BD">
        <w:rPr>
          <w:rStyle w:val="AERbody"/>
        </w:rPr>
        <w:t>Operating expenditure (</w:t>
      </w:r>
      <w:r w:rsidR="00BD5DFF">
        <w:rPr>
          <w:rStyle w:val="AERbody"/>
        </w:rPr>
        <w:t xml:space="preserve">or </w:t>
      </w:r>
      <w:proofErr w:type="spellStart"/>
      <w:r w:rsidRPr="003F44BD">
        <w:rPr>
          <w:rStyle w:val="AERbody"/>
        </w:rPr>
        <w:t>opex</w:t>
      </w:r>
      <w:proofErr w:type="spellEnd"/>
      <w:r w:rsidRPr="003F44BD">
        <w:rPr>
          <w:rStyle w:val="AERbody"/>
        </w:rPr>
        <w:t xml:space="preserve">) </w:t>
      </w:r>
      <w:r w:rsidR="002D51DB">
        <w:rPr>
          <w:rStyle w:val="AERbody"/>
        </w:rPr>
        <w:t>is</w:t>
      </w:r>
      <w:r w:rsidRPr="003F44BD">
        <w:rPr>
          <w:rStyle w:val="AERbody"/>
        </w:rPr>
        <w:t xml:space="preserve"> the operating, maintenance and other non-capital costs </w:t>
      </w:r>
      <w:r w:rsidR="002D51DB">
        <w:rPr>
          <w:rStyle w:val="AERbody"/>
        </w:rPr>
        <w:t>needed to deliver</w:t>
      </w:r>
      <w:r w:rsidRPr="003F44BD">
        <w:rPr>
          <w:rStyle w:val="AERbody"/>
        </w:rPr>
        <w:t xml:space="preserve"> </w:t>
      </w:r>
      <w:r>
        <w:rPr>
          <w:rStyle w:val="AERbody"/>
        </w:rPr>
        <w:t>pipeline</w:t>
      </w:r>
      <w:r w:rsidRPr="003F44BD">
        <w:rPr>
          <w:rStyle w:val="AERbody"/>
        </w:rPr>
        <w:t xml:space="preserve"> services.</w:t>
      </w:r>
      <w:r>
        <w:rPr>
          <w:rStyle w:val="FootnoteReference"/>
        </w:rPr>
        <w:footnoteReference w:id="22"/>
      </w:r>
      <w:r w:rsidRPr="004567E6">
        <w:rPr>
          <w:rStyle w:val="AERtextitalic"/>
        </w:rPr>
        <w:t xml:space="preserve"> </w:t>
      </w:r>
      <w:proofErr w:type="spellStart"/>
      <w:r w:rsidRPr="003F44BD">
        <w:rPr>
          <w:rStyle w:val="AERbody"/>
        </w:rPr>
        <w:t>Opex</w:t>
      </w:r>
      <w:proofErr w:type="spellEnd"/>
      <w:r w:rsidRPr="003F44BD">
        <w:rPr>
          <w:rStyle w:val="AERbody"/>
        </w:rPr>
        <w:t xml:space="preserve"> in</w:t>
      </w:r>
      <w:r w:rsidR="002D51DB">
        <w:rPr>
          <w:rStyle w:val="AERbody"/>
        </w:rPr>
        <w:t>cludes</w:t>
      </w:r>
      <w:r w:rsidR="00CC6E7A">
        <w:rPr>
          <w:rStyle w:val="AERbody"/>
        </w:rPr>
        <w:t xml:space="preserve"> labour costs and other non-</w:t>
      </w:r>
      <w:r w:rsidRPr="003F44BD">
        <w:rPr>
          <w:rStyle w:val="AERbody"/>
        </w:rPr>
        <w:t>capital c</w:t>
      </w:r>
      <w:r>
        <w:rPr>
          <w:rStyle w:val="AERbody"/>
        </w:rPr>
        <w:t>osts associated with providing pipeline</w:t>
      </w:r>
      <w:r w:rsidRPr="003F44BD">
        <w:rPr>
          <w:rStyle w:val="AERbody"/>
        </w:rPr>
        <w:t xml:space="preserve"> services.</w:t>
      </w:r>
    </w:p>
    <w:p w:rsidR="005B5A37" w:rsidRDefault="001F6BDF" w:rsidP="005B5A37">
      <w:pPr>
        <w:pStyle w:val="AERbodytext"/>
      </w:pPr>
      <w:r>
        <w:t>We are</w:t>
      </w:r>
      <w:r w:rsidR="005B5A37" w:rsidRPr="007D78D1">
        <w:t xml:space="preserve"> required to assess </w:t>
      </w:r>
      <w:r w:rsidR="005B5A37">
        <w:t>each business’</w:t>
      </w:r>
      <w:r w:rsidR="005B5A37" w:rsidRPr="007D78D1">
        <w:t xml:space="preserve"> forecast </w:t>
      </w:r>
      <w:proofErr w:type="spellStart"/>
      <w:r w:rsidR="005B5A37" w:rsidRPr="007D78D1">
        <w:t>opex</w:t>
      </w:r>
      <w:proofErr w:type="spellEnd"/>
      <w:r w:rsidR="005B5A37" w:rsidRPr="007D78D1">
        <w:t xml:space="preserve"> to decide whether it complies with the N</w:t>
      </w:r>
      <w:r w:rsidR="009F32EC">
        <w:t xml:space="preserve">ational </w:t>
      </w:r>
      <w:r w:rsidR="005B5A37" w:rsidRPr="007D78D1">
        <w:t>G</w:t>
      </w:r>
      <w:r w:rsidR="009F32EC">
        <w:t xml:space="preserve">as </w:t>
      </w:r>
      <w:r w:rsidR="005B5A37" w:rsidRPr="007D78D1">
        <w:t>L</w:t>
      </w:r>
      <w:r w:rsidR="009F32EC">
        <w:t>aw</w:t>
      </w:r>
      <w:r w:rsidR="005B5A37" w:rsidRPr="007D78D1">
        <w:t xml:space="preserve"> and N</w:t>
      </w:r>
      <w:r w:rsidR="009F32EC">
        <w:t xml:space="preserve">ational </w:t>
      </w:r>
      <w:r w:rsidR="005B5A37" w:rsidRPr="007D78D1">
        <w:t>G</w:t>
      </w:r>
      <w:r w:rsidR="009F32EC">
        <w:t xml:space="preserve">as </w:t>
      </w:r>
      <w:r w:rsidR="005B5A37" w:rsidRPr="007D78D1">
        <w:t>R</w:t>
      </w:r>
      <w:r w:rsidR="009F32EC">
        <w:t>ules</w:t>
      </w:r>
      <w:r w:rsidR="005B5A37" w:rsidRPr="007D78D1">
        <w:t xml:space="preserve">. </w:t>
      </w:r>
      <w:r w:rsidR="00CC6E7A">
        <w:t>In particular</w:t>
      </w:r>
      <w:r w:rsidR="005B5A37">
        <w:t xml:space="preserve"> </w:t>
      </w:r>
      <w:proofErr w:type="spellStart"/>
      <w:r w:rsidR="005B5A37">
        <w:t>o</w:t>
      </w:r>
      <w:r w:rsidR="005B5A37" w:rsidRPr="00754FAB">
        <w:t>pe</w:t>
      </w:r>
      <w:r w:rsidR="005B5A37">
        <w:t>x</w:t>
      </w:r>
      <w:proofErr w:type="spellEnd"/>
      <w:r w:rsidR="005B5A37" w:rsidRPr="00754FAB">
        <w:t xml:space="preserve"> </w:t>
      </w:r>
      <w:r w:rsidR="00E017DC">
        <w:t xml:space="preserve">must be efficient. To test this, </w:t>
      </w:r>
      <w:r w:rsidR="00F5035D">
        <w:t>we ask</w:t>
      </w:r>
      <w:r w:rsidR="00E017DC">
        <w:t xml:space="preserve"> whether a</w:t>
      </w:r>
      <w:r w:rsidR="005B5A37" w:rsidRPr="00754FAB">
        <w:t xml:space="preserve"> prudent </w:t>
      </w:r>
      <w:r w:rsidR="00E017DC">
        <w:t xml:space="preserve">and efficient </w:t>
      </w:r>
      <w:r w:rsidR="005B5A37" w:rsidRPr="00754FAB">
        <w:t>service provider</w:t>
      </w:r>
      <w:r w:rsidR="00E017DC">
        <w:rPr>
          <w:rStyle w:val="FootnoteReference"/>
        </w:rPr>
        <w:footnoteReference w:id="23"/>
      </w:r>
      <w:r w:rsidR="00E017DC">
        <w:t xml:space="preserve"> would </w:t>
      </w:r>
      <w:r w:rsidR="00F26DA7">
        <w:t>seek to</w:t>
      </w:r>
      <w:r w:rsidR="00E017DC">
        <w:t xml:space="preserve"> incur the same </w:t>
      </w:r>
      <w:proofErr w:type="spellStart"/>
      <w:r w:rsidR="00E017DC">
        <w:t>opex</w:t>
      </w:r>
      <w:proofErr w:type="spellEnd"/>
      <w:r w:rsidR="00E017DC">
        <w:t xml:space="preserve">. </w:t>
      </w:r>
      <w:r w:rsidR="005B5A37">
        <w:t xml:space="preserve">In addition, </w:t>
      </w:r>
      <w:proofErr w:type="spellStart"/>
      <w:r w:rsidR="005B5A37">
        <w:t>opex</w:t>
      </w:r>
      <w:proofErr w:type="spellEnd"/>
      <w:r w:rsidR="005B5A37">
        <w:t xml:space="preserve"> forecasts m</w:t>
      </w:r>
      <w:r w:rsidR="005B5A37" w:rsidRPr="007D78D1">
        <w:t xml:space="preserve">ust </w:t>
      </w:r>
      <w:r w:rsidR="005B5A37">
        <w:t>be arrived</w:t>
      </w:r>
      <w:r w:rsidR="005B5A37" w:rsidRPr="007D78D1">
        <w:t xml:space="preserve"> at on a reasonable basis and represent the best forecast or estimate possible in the circumstances.</w:t>
      </w:r>
      <w:r w:rsidR="005B5A37" w:rsidRPr="007D78D1">
        <w:rPr>
          <w:rStyle w:val="FootnoteReference"/>
        </w:rPr>
        <w:footnoteReference w:id="24"/>
      </w:r>
      <w:r w:rsidR="005B5A37" w:rsidRPr="007D78D1">
        <w:t xml:space="preserve"> </w:t>
      </w:r>
    </w:p>
    <w:p w:rsidR="000E2318" w:rsidRDefault="001F6BDF" w:rsidP="005B5A37">
      <w:pPr>
        <w:pStyle w:val="AERbodytext"/>
      </w:pPr>
      <w:r>
        <w:t>We generally use</w:t>
      </w:r>
      <w:r w:rsidR="000E2318">
        <w:t xml:space="preserve"> a base year approach to forecasting </w:t>
      </w:r>
      <w:proofErr w:type="spellStart"/>
      <w:r w:rsidR="000E2318">
        <w:t>opex</w:t>
      </w:r>
      <w:proofErr w:type="spellEnd"/>
      <w:r w:rsidR="000E2318">
        <w:t xml:space="preserve">. This generally involves using the most recent year for which there is data available on actual </w:t>
      </w:r>
      <w:proofErr w:type="spellStart"/>
      <w:r w:rsidR="000E2318">
        <w:t>opex</w:t>
      </w:r>
      <w:proofErr w:type="spellEnd"/>
      <w:r w:rsidR="000E2318">
        <w:t xml:space="preserve"> (2011 for the recent draft decisions) to set the base year.</w:t>
      </w:r>
      <w:r w:rsidR="00A31DD0">
        <w:rPr>
          <w:rStyle w:val="FootnoteReference"/>
        </w:rPr>
        <w:footnoteReference w:id="25"/>
      </w:r>
      <w:r w:rsidR="000E2318">
        <w:t xml:space="preserve"> This base year estimate is then adjusted to account for:</w:t>
      </w:r>
    </w:p>
    <w:p w:rsidR="00126628" w:rsidRDefault="000E2318" w:rsidP="000E2318">
      <w:pPr>
        <w:pStyle w:val="AERbulletlistfirststyle"/>
      </w:pPr>
      <w:r>
        <w:t xml:space="preserve">Any changes in costs </w:t>
      </w:r>
      <w:r w:rsidR="0078066E">
        <w:t>that result from</w:t>
      </w:r>
      <w:r w:rsidR="00126628">
        <w:t>:</w:t>
      </w:r>
    </w:p>
    <w:p w:rsidR="00126628" w:rsidRDefault="00126628" w:rsidP="00126628">
      <w:pPr>
        <w:pStyle w:val="AERbulletlistsecondstyle"/>
      </w:pPr>
      <w:r>
        <w:t>real cost escalat</w:t>
      </w:r>
      <w:r w:rsidR="00CC6E7A">
        <w:t>ion</w:t>
      </w:r>
      <w:r w:rsidR="00C50410">
        <w:t xml:space="preserve">—that is, </w:t>
      </w:r>
      <w:r w:rsidR="0078066E">
        <w:t xml:space="preserve">an estimate of the expected cost change of </w:t>
      </w:r>
      <w:r w:rsidRPr="00126628">
        <w:t>key factor inputs</w:t>
      </w:r>
      <w:r w:rsidR="0078066E">
        <w:t xml:space="preserve"> such as labour and materials costs</w:t>
      </w:r>
      <w:r w:rsidR="0078066E">
        <w:rPr>
          <w:rStyle w:val="FootnoteReference"/>
        </w:rPr>
        <w:footnoteReference w:id="26"/>
      </w:r>
    </w:p>
    <w:p w:rsidR="00126628" w:rsidRDefault="000E2318" w:rsidP="00126628">
      <w:pPr>
        <w:pStyle w:val="AERbulletlistsecondstyle"/>
      </w:pPr>
      <w:proofErr w:type="gramStart"/>
      <w:r w:rsidRPr="005C3FB6">
        <w:t>output</w:t>
      </w:r>
      <w:proofErr w:type="gramEnd"/>
      <w:r w:rsidRPr="005C3FB6">
        <w:t xml:space="preserve"> growth</w:t>
      </w:r>
      <w:r w:rsidR="00C50410">
        <w:t xml:space="preserve">—that is, any </w:t>
      </w:r>
      <w:r w:rsidR="001F6BDF">
        <w:t>expected change</w:t>
      </w:r>
      <w:r w:rsidR="00C50410">
        <w:t xml:space="preserve"> in the demand for pipeline services (for example, a change in customer numbers)</w:t>
      </w:r>
      <w:r w:rsidR="001F6BDF">
        <w:t>.</w:t>
      </w:r>
    </w:p>
    <w:p w:rsidR="000E2318" w:rsidRDefault="000E2318" w:rsidP="000E2318">
      <w:pPr>
        <w:pStyle w:val="AERbulletlistfirststyle"/>
      </w:pPr>
      <w:r>
        <w:t xml:space="preserve">Any other </w:t>
      </w:r>
      <w:r w:rsidRPr="00C322A0">
        <w:t xml:space="preserve">circumstance, requirement or project </w:t>
      </w:r>
      <w:r w:rsidR="0078066E">
        <w:t xml:space="preserve">that </w:t>
      </w:r>
      <w:r w:rsidRPr="00C322A0">
        <w:t>will require the business to undertake expenditure that is not incorporated in the base year</w:t>
      </w:r>
      <w:r>
        <w:t>; these are called step changes</w:t>
      </w:r>
      <w:r w:rsidR="0078066E">
        <w:t xml:space="preserve"> and are a key driver of </w:t>
      </w:r>
      <w:proofErr w:type="spellStart"/>
      <w:r w:rsidR="0078066E">
        <w:t>opex</w:t>
      </w:r>
      <w:proofErr w:type="spellEnd"/>
      <w:r w:rsidR="0078066E">
        <w:t xml:space="preserve"> changes. Step changes are discussed in more detail in the next chapter.</w:t>
      </w:r>
    </w:p>
    <w:p w:rsidR="000E2318" w:rsidRDefault="000E2318" w:rsidP="000E2318">
      <w:pPr>
        <w:pStyle w:val="AERheading2"/>
      </w:pPr>
      <w:r>
        <w:t>Incentive mechanism</w:t>
      </w:r>
    </w:p>
    <w:p w:rsidR="00C50410" w:rsidRDefault="000E2318" w:rsidP="000E2318">
      <w:pPr>
        <w:pStyle w:val="AERbodytext"/>
      </w:pPr>
      <w:r w:rsidRPr="003F44BD">
        <w:t xml:space="preserve">Incentive mechanisms offer </w:t>
      </w:r>
      <w:r>
        <w:t>business</w:t>
      </w:r>
      <w:r w:rsidR="00C50410">
        <w:t>es</w:t>
      </w:r>
      <w:r w:rsidRPr="003F44BD">
        <w:t xml:space="preserve"> incentives to </w:t>
      </w:r>
      <w:r w:rsidR="00C50410">
        <w:t>prov</w:t>
      </w:r>
      <w:r w:rsidR="002D51DB">
        <w:t>ide their pipeline services at the lowest</w:t>
      </w:r>
      <w:r w:rsidR="00C50410">
        <w:t xml:space="preserve"> cost. If a business provides its pipeline services at a lower cost than forecast, the business is allowed to ‘keep the difference’ for five years. That is, any underspend is added to the business’ revenue and carried forward for five years. Conversely, if a business overspends, it will be penalised for this for five years. </w:t>
      </w:r>
    </w:p>
    <w:p w:rsidR="000E2318" w:rsidRPr="007D78D1" w:rsidRDefault="000E2318" w:rsidP="000E2318">
      <w:pPr>
        <w:pStyle w:val="AERbodytext"/>
      </w:pPr>
      <w:r>
        <w:t>In making its draft decisions</w:t>
      </w:r>
      <w:r w:rsidR="000D3A21">
        <w:t>,</w:t>
      </w:r>
      <w:r>
        <w:t xml:space="preserve"> </w:t>
      </w:r>
      <w:r w:rsidR="001F6BDF">
        <w:t>we are</w:t>
      </w:r>
      <w:r w:rsidRPr="007D78D1">
        <w:t xml:space="preserve"> required to </w:t>
      </w:r>
      <w:r>
        <w:t xml:space="preserve">ensure that any </w:t>
      </w:r>
      <w:r w:rsidR="001F6BDF">
        <w:t>bonuses</w:t>
      </w:r>
      <w:r w:rsidRPr="007D78D1">
        <w:t xml:space="preserve"> or </w:t>
      </w:r>
      <w:r w:rsidR="001F6BDF">
        <w:t>penalties</w:t>
      </w:r>
      <w:r w:rsidRPr="007D78D1">
        <w:t xml:space="preserve"> </w:t>
      </w:r>
      <w:r w:rsidR="000D3A21">
        <w:t xml:space="preserve">from </w:t>
      </w:r>
      <w:r w:rsidR="00021D70">
        <w:t xml:space="preserve">the operation of the incentive mechanism in the </w:t>
      </w:r>
      <w:r w:rsidR="000D3A21">
        <w:t>previous period</w:t>
      </w:r>
      <w:r w:rsidRPr="007D78D1">
        <w:t xml:space="preserve"> are properly reflected in </w:t>
      </w:r>
      <w:r w:rsidR="000D3A21">
        <w:t>the business’</w:t>
      </w:r>
      <w:r w:rsidRPr="007D78D1">
        <w:t xml:space="preserve"> total revenue</w:t>
      </w:r>
      <w:r w:rsidR="000D3A21">
        <w:t xml:space="preserve"> requirement</w:t>
      </w:r>
      <w:r w:rsidRPr="007D78D1">
        <w:t xml:space="preserve">. </w:t>
      </w:r>
      <w:r w:rsidR="001F6BDF">
        <w:t>We are</w:t>
      </w:r>
      <w:r w:rsidR="000D3A21">
        <w:t xml:space="preserve"> also required to</w:t>
      </w:r>
      <w:r w:rsidRPr="007D78D1">
        <w:t xml:space="preserve"> consider whether </w:t>
      </w:r>
      <w:r w:rsidR="000D3A21">
        <w:t>to allow any</w:t>
      </w:r>
      <w:r w:rsidRPr="007D78D1">
        <w:t xml:space="preserve"> </w:t>
      </w:r>
      <w:r w:rsidR="000D3A21">
        <w:t xml:space="preserve">of the </w:t>
      </w:r>
      <w:r w:rsidRPr="007D78D1">
        <w:t>incentive mechanism</w:t>
      </w:r>
      <w:r w:rsidR="000D3A21">
        <w:t>s</w:t>
      </w:r>
      <w:r w:rsidRPr="007D78D1">
        <w:t xml:space="preserve"> proposed by </w:t>
      </w:r>
      <w:r w:rsidR="00CF25A4">
        <w:t xml:space="preserve">each </w:t>
      </w:r>
      <w:r w:rsidR="000D3A21">
        <w:t>business</w:t>
      </w:r>
      <w:r w:rsidR="00021D70">
        <w:t xml:space="preserve"> for the 2013</w:t>
      </w:r>
      <w:r w:rsidR="00021D70">
        <w:rPr>
          <w:rFonts w:cs="Gautami"/>
        </w:rPr>
        <w:t>–</w:t>
      </w:r>
      <w:r w:rsidR="00021D70">
        <w:t xml:space="preserve">17 </w:t>
      </w:r>
      <w:proofErr w:type="gramStart"/>
      <w:r w:rsidR="00021D70">
        <w:t>period</w:t>
      </w:r>
      <w:proofErr w:type="gramEnd"/>
      <w:r w:rsidR="000D3A21">
        <w:t xml:space="preserve">. These </w:t>
      </w:r>
      <w:r w:rsidR="001F6BDF">
        <w:t>a</w:t>
      </w:r>
      <w:r w:rsidR="000D3A21">
        <w:t xml:space="preserve">re approved where </w:t>
      </w:r>
      <w:r w:rsidR="001F6BDF">
        <w:t>we</w:t>
      </w:r>
      <w:r w:rsidR="000D3A21">
        <w:t xml:space="preserve"> consider they would</w:t>
      </w:r>
      <w:r w:rsidRPr="007D78D1">
        <w:t xml:space="preserve"> encourage efficiency in the provision of </w:t>
      </w:r>
      <w:r w:rsidR="000D3A21">
        <w:t xml:space="preserve">pipeline </w:t>
      </w:r>
      <w:r w:rsidRPr="007D78D1">
        <w:t>services</w:t>
      </w:r>
      <w:r w:rsidR="00BD5DFF">
        <w:t>,</w:t>
      </w:r>
      <w:r w:rsidRPr="007D78D1">
        <w:t xml:space="preserve"> </w:t>
      </w:r>
      <w:r w:rsidR="000D3A21">
        <w:t xml:space="preserve">and where they were </w:t>
      </w:r>
      <w:r w:rsidRPr="007D78D1">
        <w:t>consistent with the revenue and pricing principles.</w:t>
      </w:r>
      <w:r w:rsidRPr="007D78D1">
        <w:rPr>
          <w:rStyle w:val="FootnoteReference"/>
        </w:rPr>
        <w:footnoteReference w:id="27"/>
      </w:r>
    </w:p>
    <w:p w:rsidR="000E2318" w:rsidRDefault="000E2318" w:rsidP="000E2318">
      <w:pPr>
        <w:pStyle w:val="AERheading2"/>
      </w:pPr>
      <w:r>
        <w:t>Tax</w:t>
      </w:r>
    </w:p>
    <w:p w:rsidR="00BD5DFF" w:rsidRDefault="0068683E" w:rsidP="0068683E">
      <w:pPr>
        <w:pStyle w:val="AERbodytext"/>
      </w:pPr>
      <w:r>
        <w:t>Like most other companies, gas network businesses have to pay tax</w:t>
      </w:r>
      <w:r w:rsidR="00162A74">
        <w:t xml:space="preserve"> on their income</w:t>
      </w:r>
      <w:r>
        <w:t xml:space="preserve">. </w:t>
      </w:r>
      <w:r w:rsidRPr="00FF4454">
        <w:t xml:space="preserve">The estimated cost of corporate income tax is one of the building blocks used to determine </w:t>
      </w:r>
      <w:r w:rsidR="002D51DB">
        <w:t>total revenue.</w:t>
      </w:r>
      <w:r w:rsidR="00162A74">
        <w:t xml:space="preserve"> </w:t>
      </w:r>
      <w:r w:rsidR="00D45B20">
        <w:t>We use</w:t>
      </w:r>
      <w:r>
        <w:t xml:space="preserve"> the post-tax revenue model (PTRM) to produce an</w:t>
      </w:r>
      <w:r w:rsidRPr="00874BD1">
        <w:t xml:space="preserve"> estimate </w:t>
      </w:r>
      <w:r>
        <w:t>of</w:t>
      </w:r>
      <w:r w:rsidRPr="00874BD1">
        <w:t xml:space="preserve"> </w:t>
      </w:r>
      <w:r>
        <w:t xml:space="preserve">the </w:t>
      </w:r>
      <w:r w:rsidRPr="00874BD1">
        <w:t xml:space="preserve">taxable income that would be earned by an efficient company operating </w:t>
      </w:r>
      <w:r>
        <w:t>each business’ network</w:t>
      </w:r>
      <w:r w:rsidRPr="00874BD1">
        <w:t xml:space="preserve">. </w:t>
      </w:r>
      <w:r w:rsidR="00162A74">
        <w:t>This approach involves the use of benchmark assumptions.</w:t>
      </w:r>
    </w:p>
    <w:p w:rsidR="0068683E" w:rsidRPr="0068683E" w:rsidRDefault="0068683E" w:rsidP="0068683E">
      <w:pPr>
        <w:pStyle w:val="AERbodytext"/>
      </w:pPr>
      <w:r>
        <w:t xml:space="preserve">For the recent draft decisions </w:t>
      </w:r>
      <w:r w:rsidR="00D45B20">
        <w:t>we</w:t>
      </w:r>
      <w:r w:rsidRPr="00874BD1">
        <w:t xml:space="preserve"> modelled </w:t>
      </w:r>
      <w:r>
        <w:t>each business’</w:t>
      </w:r>
      <w:r w:rsidRPr="00874BD1">
        <w:t xml:space="preserve"> tax </w:t>
      </w:r>
      <w:r>
        <w:t>expenses over</w:t>
      </w:r>
      <w:r w:rsidRPr="00874BD1">
        <w:t xml:space="preserve"> the access arrangement period</w:t>
      </w:r>
      <w:r>
        <w:t xml:space="preserve"> </w:t>
      </w:r>
      <w:r w:rsidRPr="00874BD1">
        <w:t xml:space="preserve">using </w:t>
      </w:r>
      <w:r>
        <w:t>a</w:t>
      </w:r>
      <w:r w:rsidRPr="00874BD1">
        <w:t xml:space="preserve"> b</w:t>
      </w:r>
      <w:r>
        <w:t>enchmark 60 per cent gearing</w:t>
      </w:r>
      <w:r w:rsidR="00C37A6C">
        <w:t>—</w:t>
      </w:r>
      <w:r w:rsidR="000A1675">
        <w:t>that is, 60 per cent debt and 40 per cent equity</w:t>
      </w:r>
      <w:r>
        <w:t>. T</w:t>
      </w:r>
      <w:r w:rsidRPr="00874BD1">
        <w:t>ax depreciation</w:t>
      </w:r>
      <w:r>
        <w:t xml:space="preserve"> was calculated using a separate </w:t>
      </w:r>
      <w:r w:rsidR="00162A74">
        <w:t xml:space="preserve">value of the </w:t>
      </w:r>
      <w:r>
        <w:t>tax asset base</w:t>
      </w:r>
      <w:r w:rsidRPr="00874BD1">
        <w:t xml:space="preserve">. </w:t>
      </w:r>
      <w:r>
        <w:t>All tax expenses were</w:t>
      </w:r>
      <w:r w:rsidRPr="00874BD1">
        <w:t xml:space="preserve"> offset against the </w:t>
      </w:r>
      <w:r>
        <w:t>service provider</w:t>
      </w:r>
      <w:r w:rsidRPr="00874BD1">
        <w:t xml:space="preserve">'s </w:t>
      </w:r>
      <w:r>
        <w:t>forecast revenue</w:t>
      </w:r>
      <w:r w:rsidRPr="00874BD1">
        <w:t xml:space="preserve"> to estimate the taxable income.</w:t>
      </w:r>
      <w:r>
        <w:t xml:space="preserve"> </w:t>
      </w:r>
      <w:r w:rsidRPr="00874BD1">
        <w:t>The statutory income tax rate</w:t>
      </w:r>
      <w:r>
        <w:t xml:space="preserve"> of 30 per cent</w:t>
      </w:r>
      <w:r w:rsidRPr="00874BD1">
        <w:t xml:space="preserve"> </w:t>
      </w:r>
      <w:r>
        <w:t>wa</w:t>
      </w:r>
      <w:r w:rsidRPr="00874BD1">
        <w:t>s then applied to the estimated taxable income to arrive at a notional amount of t</w:t>
      </w:r>
      <w:r>
        <w:t xml:space="preserve">ax payable. </w:t>
      </w:r>
      <w:r w:rsidR="000A1675">
        <w:t>We</w:t>
      </w:r>
      <w:r>
        <w:t xml:space="preserve"> then appl</w:t>
      </w:r>
      <w:r w:rsidR="000A1675">
        <w:t>y</w:t>
      </w:r>
      <w:r w:rsidRPr="00874BD1">
        <w:t xml:space="preserve"> a discount to </w:t>
      </w:r>
      <w:r>
        <w:t>this</w:t>
      </w:r>
      <w:r w:rsidRPr="00874BD1">
        <w:t xml:space="preserve"> to account for the assumed utilisation of imputation credits</w:t>
      </w:r>
      <w:r>
        <w:t>,</w:t>
      </w:r>
      <w:r w:rsidRPr="00A36153">
        <w:t xml:space="preserve"> </w:t>
      </w:r>
      <w:r>
        <w:t>which has a</w:t>
      </w:r>
      <w:r w:rsidRPr="00874BD1">
        <w:t xml:space="preserve"> value of 0.25.</w:t>
      </w:r>
      <w:r w:rsidR="000A1675">
        <w:t xml:space="preserve"> This amount i</w:t>
      </w:r>
      <w:r w:rsidRPr="00874BD1">
        <w:t xml:space="preserve">s then included as a separate building block in determining </w:t>
      </w:r>
      <w:r w:rsidR="00B41D10">
        <w:t>each business’</w:t>
      </w:r>
      <w:r w:rsidRPr="00874BD1">
        <w:t xml:space="preserve"> total revenue.</w:t>
      </w:r>
      <w:r w:rsidRPr="00874BD1">
        <w:rPr>
          <w:rStyle w:val="FootnoteReference"/>
        </w:rPr>
        <w:footnoteReference w:id="28"/>
      </w:r>
      <w:r w:rsidRPr="00874BD1">
        <w:t xml:space="preserve"> </w:t>
      </w:r>
    </w:p>
    <w:p w:rsidR="003A783D" w:rsidRDefault="0067104B" w:rsidP="002D7E48">
      <w:pPr>
        <w:pStyle w:val="AERheading1"/>
      </w:pPr>
      <w:r>
        <w:t xml:space="preserve">Key aspects of the </w:t>
      </w:r>
      <w:r w:rsidR="00217C6F">
        <w:t xml:space="preserve">AER’s </w:t>
      </w:r>
      <w:r>
        <w:t>draft decisions</w:t>
      </w:r>
    </w:p>
    <w:p w:rsidR="00864874" w:rsidRPr="00864874" w:rsidRDefault="00864874" w:rsidP="00864874">
      <w:pPr>
        <w:pStyle w:val="AERbodytext"/>
      </w:pPr>
      <w:r>
        <w:t xml:space="preserve">This section summarises key parts of </w:t>
      </w:r>
      <w:r w:rsidR="000A1675">
        <w:t>our</w:t>
      </w:r>
      <w:r>
        <w:t xml:space="preserve"> draft decision</w:t>
      </w:r>
      <w:r w:rsidR="000A1675">
        <w:t>s</w:t>
      </w:r>
      <w:r>
        <w:t xml:space="preserve"> on the Victorian transmission and distribution service providers' access arrangements. </w:t>
      </w:r>
    </w:p>
    <w:p w:rsidR="00864874" w:rsidRDefault="00217C6F" w:rsidP="00864874">
      <w:pPr>
        <w:pStyle w:val="AERheading2"/>
      </w:pPr>
      <w:r>
        <w:t>Key differences between draft decisions and businesses’ proposals</w:t>
      </w:r>
    </w:p>
    <w:p w:rsidR="0068683E" w:rsidRDefault="00864874" w:rsidP="00864874">
      <w:pPr>
        <w:pStyle w:val="AERbodytext"/>
        <w:rPr>
          <w:rFonts w:eastAsia="Calibri"/>
        </w:rPr>
      </w:pPr>
      <w:r w:rsidRPr="00864874">
        <w:rPr>
          <w:rFonts w:eastAsia="Calibri"/>
        </w:rPr>
        <w:t xml:space="preserve">In general, </w:t>
      </w:r>
      <w:r w:rsidR="0068683E">
        <w:rPr>
          <w:rFonts w:eastAsia="Calibri"/>
        </w:rPr>
        <w:t xml:space="preserve">the key differences between </w:t>
      </w:r>
      <w:r w:rsidR="00297F52">
        <w:rPr>
          <w:rFonts w:eastAsia="Calibri"/>
        </w:rPr>
        <w:t xml:space="preserve">the </w:t>
      </w:r>
      <w:r w:rsidR="0068683E">
        <w:rPr>
          <w:rFonts w:eastAsia="Calibri"/>
        </w:rPr>
        <w:t xml:space="preserve">businesses’ proposals and </w:t>
      </w:r>
      <w:r w:rsidR="000A1675">
        <w:rPr>
          <w:rFonts w:eastAsia="Calibri"/>
        </w:rPr>
        <w:t>our</w:t>
      </w:r>
      <w:r w:rsidR="0068683E">
        <w:rPr>
          <w:rFonts w:eastAsia="Calibri"/>
        </w:rPr>
        <w:t xml:space="preserve"> draft decisions were </w:t>
      </w:r>
      <w:r w:rsidR="00A02AA6">
        <w:rPr>
          <w:rFonts w:eastAsia="Calibri"/>
        </w:rPr>
        <w:t>for</w:t>
      </w:r>
      <w:r w:rsidR="0068683E">
        <w:rPr>
          <w:rFonts w:eastAsia="Calibri"/>
        </w:rPr>
        <w:t xml:space="preserve"> </w:t>
      </w:r>
      <w:proofErr w:type="spellStart"/>
      <w:r w:rsidR="0068683E">
        <w:rPr>
          <w:rFonts w:eastAsia="Calibri"/>
        </w:rPr>
        <w:t>capex</w:t>
      </w:r>
      <w:proofErr w:type="spellEnd"/>
      <w:r w:rsidR="0068683E">
        <w:rPr>
          <w:rFonts w:eastAsia="Calibri"/>
        </w:rPr>
        <w:t xml:space="preserve">, the rate </w:t>
      </w:r>
      <w:r w:rsidR="000D1B7B">
        <w:rPr>
          <w:rFonts w:eastAsia="Calibri"/>
        </w:rPr>
        <w:t xml:space="preserve">of </w:t>
      </w:r>
      <w:r w:rsidR="0068683E">
        <w:rPr>
          <w:rFonts w:eastAsia="Calibri"/>
        </w:rPr>
        <w:t xml:space="preserve">return and </w:t>
      </w:r>
      <w:proofErr w:type="spellStart"/>
      <w:r w:rsidR="0068683E">
        <w:rPr>
          <w:rFonts w:eastAsia="Calibri"/>
        </w:rPr>
        <w:t>opex</w:t>
      </w:r>
      <w:proofErr w:type="spellEnd"/>
      <w:r w:rsidR="0068683E">
        <w:rPr>
          <w:rFonts w:eastAsia="Calibri"/>
        </w:rPr>
        <w:t>.</w:t>
      </w:r>
      <w:r w:rsidR="00217C6F">
        <w:rPr>
          <w:rFonts w:eastAsia="Calibri"/>
        </w:rPr>
        <w:t xml:space="preserve"> </w:t>
      </w:r>
      <w:r w:rsidR="00A02AA6">
        <w:rPr>
          <w:rFonts w:eastAsia="Calibri"/>
        </w:rPr>
        <w:t xml:space="preserve">Also, </w:t>
      </w:r>
      <w:r w:rsidR="000A1675">
        <w:rPr>
          <w:rFonts w:eastAsia="Calibri"/>
        </w:rPr>
        <w:t>we</w:t>
      </w:r>
      <w:r w:rsidR="00A02AA6">
        <w:rPr>
          <w:rFonts w:eastAsia="Calibri"/>
        </w:rPr>
        <w:t xml:space="preserve"> did not accept</w:t>
      </w:r>
      <w:r w:rsidR="00217C6F">
        <w:rPr>
          <w:rFonts w:eastAsia="Calibri"/>
        </w:rPr>
        <w:t xml:space="preserve"> APA </w:t>
      </w:r>
      <w:proofErr w:type="spellStart"/>
      <w:r w:rsidR="00217C6F">
        <w:rPr>
          <w:rFonts w:eastAsia="Calibri"/>
        </w:rPr>
        <w:t>GasNet</w:t>
      </w:r>
      <w:r w:rsidR="00A02AA6">
        <w:rPr>
          <w:rFonts w:eastAsia="Calibri"/>
        </w:rPr>
        <w:t>’s</w:t>
      </w:r>
      <w:proofErr w:type="spellEnd"/>
      <w:r w:rsidR="00A02AA6">
        <w:rPr>
          <w:rFonts w:eastAsia="Calibri"/>
        </w:rPr>
        <w:t xml:space="preserve"> proposal for depreciation</w:t>
      </w:r>
      <w:r w:rsidR="00217C6F">
        <w:rPr>
          <w:rFonts w:eastAsia="Calibri"/>
        </w:rPr>
        <w:t xml:space="preserve">. These changes are discussed below. </w:t>
      </w:r>
    </w:p>
    <w:p w:rsidR="0068683E" w:rsidRDefault="0068683E" w:rsidP="00217C6F">
      <w:pPr>
        <w:pStyle w:val="AERheading4"/>
        <w:rPr>
          <w:rFonts w:eastAsia="Calibri"/>
        </w:rPr>
      </w:pPr>
      <w:r>
        <w:rPr>
          <w:rFonts w:eastAsia="Calibri"/>
        </w:rPr>
        <w:t>Capital expenditure</w:t>
      </w:r>
    </w:p>
    <w:p w:rsidR="00864874" w:rsidRDefault="000A1675" w:rsidP="00864874">
      <w:pPr>
        <w:pStyle w:val="AERbodytext"/>
        <w:rPr>
          <w:rFonts w:eastAsia="Calibri"/>
        </w:rPr>
      </w:pPr>
      <w:r>
        <w:rPr>
          <w:rFonts w:eastAsia="Calibri"/>
        </w:rPr>
        <w:t>We</w:t>
      </w:r>
      <w:r w:rsidR="00A02AA6" w:rsidRPr="00864874">
        <w:rPr>
          <w:rFonts w:eastAsia="Calibri"/>
        </w:rPr>
        <w:t xml:space="preserve"> </w:t>
      </w:r>
      <w:r w:rsidR="00A02AA6">
        <w:rPr>
          <w:rFonts w:eastAsia="Calibri"/>
        </w:rPr>
        <w:t xml:space="preserve">did not accept </w:t>
      </w:r>
      <w:r w:rsidR="00A02AA6" w:rsidRPr="00864874">
        <w:rPr>
          <w:rFonts w:eastAsia="Calibri"/>
        </w:rPr>
        <w:t xml:space="preserve">all of the </w:t>
      </w:r>
      <w:proofErr w:type="spellStart"/>
      <w:r w:rsidR="00F5035D">
        <w:rPr>
          <w:rFonts w:eastAsia="Calibri"/>
        </w:rPr>
        <w:t>capex</w:t>
      </w:r>
      <w:proofErr w:type="spellEnd"/>
      <w:r w:rsidR="00A02AA6" w:rsidRPr="00864874">
        <w:rPr>
          <w:rFonts w:eastAsia="Calibri"/>
        </w:rPr>
        <w:t xml:space="preserve"> proposed by </w:t>
      </w:r>
      <w:r w:rsidR="00A02AA6">
        <w:rPr>
          <w:rFonts w:eastAsia="Calibri"/>
        </w:rPr>
        <w:t xml:space="preserve">the </w:t>
      </w:r>
      <w:r w:rsidR="00A02AA6" w:rsidRPr="00864874">
        <w:rPr>
          <w:rFonts w:eastAsia="Calibri"/>
        </w:rPr>
        <w:t>businesses</w:t>
      </w:r>
      <w:r w:rsidR="00A02AA6">
        <w:rPr>
          <w:rFonts w:eastAsia="Calibri"/>
        </w:rPr>
        <w:t xml:space="preserve">. </w:t>
      </w:r>
      <w:r w:rsidR="0068683E">
        <w:rPr>
          <w:rFonts w:eastAsia="Calibri"/>
        </w:rPr>
        <w:t>T</w:t>
      </w:r>
      <w:r w:rsidR="00864874" w:rsidRPr="00864874">
        <w:rPr>
          <w:rFonts w:eastAsia="Calibri"/>
        </w:rPr>
        <w:t>he businesses</w:t>
      </w:r>
      <w:r w:rsidR="00864874">
        <w:rPr>
          <w:rFonts w:eastAsia="Calibri"/>
        </w:rPr>
        <w:t>'</w:t>
      </w:r>
      <w:r w:rsidR="00864874" w:rsidRPr="00864874">
        <w:rPr>
          <w:rFonts w:eastAsia="Calibri"/>
        </w:rPr>
        <w:t xml:space="preserve"> proposals included higher amounts of </w:t>
      </w:r>
      <w:r w:rsidR="00864874">
        <w:rPr>
          <w:rFonts w:eastAsia="Calibri"/>
        </w:rPr>
        <w:t xml:space="preserve">forecast </w:t>
      </w:r>
      <w:proofErr w:type="spellStart"/>
      <w:r w:rsidR="00864874" w:rsidRPr="00864874">
        <w:rPr>
          <w:rFonts w:eastAsia="Calibri"/>
        </w:rPr>
        <w:t>cap</w:t>
      </w:r>
      <w:r w:rsidR="00864874">
        <w:rPr>
          <w:rFonts w:eastAsia="Calibri"/>
        </w:rPr>
        <w:t>ex</w:t>
      </w:r>
      <w:proofErr w:type="spellEnd"/>
      <w:r w:rsidR="00864874">
        <w:rPr>
          <w:rFonts w:eastAsia="Calibri"/>
        </w:rPr>
        <w:t xml:space="preserve"> </w:t>
      </w:r>
      <w:r w:rsidR="00864874" w:rsidRPr="00864874">
        <w:rPr>
          <w:rFonts w:eastAsia="Calibri"/>
        </w:rPr>
        <w:t>than had been undertaken historically. Reasons for this included</w:t>
      </w:r>
      <w:r w:rsidR="00864874">
        <w:rPr>
          <w:rFonts w:eastAsia="Calibri"/>
        </w:rPr>
        <w:t>:</w:t>
      </w:r>
    </w:p>
    <w:p w:rsidR="00864874" w:rsidRDefault="00864874" w:rsidP="00864874">
      <w:pPr>
        <w:pStyle w:val="AERbulletlistfirststyle"/>
        <w:rPr>
          <w:rFonts w:eastAsia="Calibri"/>
        </w:rPr>
      </w:pPr>
      <w:r w:rsidRPr="00864874">
        <w:rPr>
          <w:rFonts w:eastAsia="Calibri"/>
        </w:rPr>
        <w:t>network expansion</w:t>
      </w:r>
      <w:r w:rsidR="00A02AA6">
        <w:rPr>
          <w:rFonts w:eastAsia="Calibri"/>
        </w:rPr>
        <w:t xml:space="preserve"> or improvements</w:t>
      </w:r>
    </w:p>
    <w:p w:rsidR="00F06B42" w:rsidRDefault="00F06B42" w:rsidP="00864874">
      <w:pPr>
        <w:pStyle w:val="AERbulletlistfirststyle"/>
        <w:rPr>
          <w:rFonts w:eastAsia="Calibri"/>
        </w:rPr>
      </w:pPr>
      <w:r>
        <w:rPr>
          <w:rFonts w:eastAsia="Calibri"/>
        </w:rPr>
        <w:t>increasing labour and materials costs</w:t>
      </w:r>
    </w:p>
    <w:p w:rsidR="00864874" w:rsidRDefault="00864874" w:rsidP="00864874">
      <w:pPr>
        <w:pStyle w:val="AERbulletlistfirststyle"/>
        <w:rPr>
          <w:rFonts w:eastAsia="Calibri"/>
        </w:rPr>
      </w:pPr>
      <w:proofErr w:type="gramStart"/>
      <w:r w:rsidRPr="00864874">
        <w:rPr>
          <w:rFonts w:eastAsia="Calibri"/>
        </w:rPr>
        <w:t>replacement</w:t>
      </w:r>
      <w:proofErr w:type="gramEnd"/>
      <w:r w:rsidRPr="00864874">
        <w:rPr>
          <w:rFonts w:eastAsia="Calibri"/>
        </w:rPr>
        <w:t xml:space="preserve"> of ageing infrastructure</w:t>
      </w:r>
      <w:r w:rsidR="00F06B42">
        <w:rPr>
          <w:rFonts w:eastAsia="Calibri"/>
        </w:rPr>
        <w:t>,</w:t>
      </w:r>
      <w:r w:rsidR="006B3E6C">
        <w:rPr>
          <w:rFonts w:eastAsia="Calibri"/>
        </w:rPr>
        <w:t xml:space="preserve"> including pipelines</w:t>
      </w:r>
      <w:r w:rsidRPr="00864874">
        <w:rPr>
          <w:rFonts w:eastAsia="Calibri"/>
        </w:rPr>
        <w:t xml:space="preserve">. </w:t>
      </w:r>
    </w:p>
    <w:p w:rsidR="00217C6F" w:rsidRDefault="00A054A2" w:rsidP="00217C6F">
      <w:pPr>
        <w:pStyle w:val="AERbodytext"/>
        <w:rPr>
          <w:rFonts w:eastAsia="Calibri"/>
        </w:rPr>
      </w:pPr>
      <w:r w:rsidRPr="00A054A2">
        <w:rPr>
          <w:rFonts w:eastAsia="Calibri"/>
        </w:rPr>
        <w:t xml:space="preserve">In general, </w:t>
      </w:r>
      <w:r w:rsidR="000A1675">
        <w:rPr>
          <w:rFonts w:eastAsia="Calibri"/>
        </w:rPr>
        <w:t>we</w:t>
      </w:r>
      <w:r w:rsidR="00217C6F">
        <w:rPr>
          <w:rFonts w:eastAsia="Calibri"/>
        </w:rPr>
        <w:t xml:space="preserve"> only accept </w:t>
      </w:r>
      <w:proofErr w:type="spellStart"/>
      <w:r w:rsidR="00217C6F">
        <w:rPr>
          <w:rFonts w:eastAsia="Calibri"/>
        </w:rPr>
        <w:t>cap</w:t>
      </w:r>
      <w:r w:rsidRPr="00A054A2">
        <w:rPr>
          <w:rFonts w:eastAsia="Calibri"/>
        </w:rPr>
        <w:t>ex</w:t>
      </w:r>
      <w:proofErr w:type="spellEnd"/>
      <w:r w:rsidRPr="00A054A2">
        <w:rPr>
          <w:rFonts w:eastAsia="Calibri"/>
        </w:rPr>
        <w:t xml:space="preserve"> proposals where they are in line with what an efficient and prudent service provider would undertake.</w:t>
      </w:r>
      <w:r>
        <w:rPr>
          <w:rFonts w:eastAsia="Calibri"/>
        </w:rPr>
        <w:t xml:space="preserve"> </w:t>
      </w:r>
      <w:r w:rsidR="00B60946">
        <w:rPr>
          <w:rFonts w:eastAsia="Calibri"/>
        </w:rPr>
        <w:t xml:space="preserve">Where the </w:t>
      </w:r>
      <w:r w:rsidR="00864874">
        <w:rPr>
          <w:rFonts w:eastAsia="Calibri"/>
        </w:rPr>
        <w:t>business</w:t>
      </w:r>
      <w:r w:rsidR="00B60946">
        <w:rPr>
          <w:rFonts w:eastAsia="Calibri"/>
        </w:rPr>
        <w:t>es’ proposals</w:t>
      </w:r>
      <w:r w:rsidR="00864874">
        <w:rPr>
          <w:rFonts w:eastAsia="Calibri"/>
        </w:rPr>
        <w:t xml:space="preserve"> did not demonstrate the need for the expenditure or justify the amount of expenditure, </w:t>
      </w:r>
      <w:r w:rsidR="00F5035D">
        <w:rPr>
          <w:rFonts w:eastAsia="Calibri"/>
        </w:rPr>
        <w:t xml:space="preserve">we </w:t>
      </w:r>
      <w:r w:rsidR="00A02AA6">
        <w:rPr>
          <w:rFonts w:eastAsia="Calibri"/>
        </w:rPr>
        <w:t xml:space="preserve">did not accept the proposal. </w:t>
      </w:r>
      <w:r w:rsidR="00C5261C">
        <w:rPr>
          <w:rFonts w:eastAsia="Calibri"/>
        </w:rPr>
        <w:t xml:space="preserve">In these cases </w:t>
      </w:r>
      <w:r w:rsidR="000A1675">
        <w:rPr>
          <w:rFonts w:eastAsia="Calibri"/>
        </w:rPr>
        <w:t>our</w:t>
      </w:r>
      <w:r w:rsidR="00C5261C">
        <w:rPr>
          <w:rFonts w:eastAsia="Calibri"/>
        </w:rPr>
        <w:t xml:space="preserve"> draft decision</w:t>
      </w:r>
      <w:r w:rsidR="000A1675">
        <w:rPr>
          <w:rFonts w:eastAsia="Calibri"/>
        </w:rPr>
        <w:t>s</w:t>
      </w:r>
      <w:r w:rsidR="00C5261C">
        <w:rPr>
          <w:rFonts w:eastAsia="Calibri"/>
        </w:rPr>
        <w:t xml:space="preserve"> included revised </w:t>
      </w:r>
      <w:proofErr w:type="spellStart"/>
      <w:r w:rsidR="00C5261C">
        <w:rPr>
          <w:rFonts w:eastAsia="Calibri"/>
        </w:rPr>
        <w:t>capex</w:t>
      </w:r>
      <w:proofErr w:type="spellEnd"/>
      <w:r w:rsidR="00C5261C">
        <w:rPr>
          <w:rFonts w:eastAsia="Calibri"/>
        </w:rPr>
        <w:t xml:space="preserve"> forecasts</w:t>
      </w:r>
      <w:r w:rsidR="00864874">
        <w:rPr>
          <w:rFonts w:eastAsia="Calibri"/>
        </w:rPr>
        <w:t xml:space="preserve">. </w:t>
      </w:r>
    </w:p>
    <w:p w:rsidR="00217C6F" w:rsidRDefault="00217C6F" w:rsidP="00217C6F">
      <w:pPr>
        <w:pStyle w:val="AERbodytext"/>
        <w:rPr>
          <w:rFonts w:eastAsia="Calibri"/>
        </w:rPr>
      </w:pPr>
      <w:r>
        <w:rPr>
          <w:rFonts w:eastAsia="Calibri"/>
        </w:rPr>
        <w:t xml:space="preserve">For example, </w:t>
      </w:r>
      <w:r w:rsidR="000A1675">
        <w:rPr>
          <w:rFonts w:eastAsia="Calibri"/>
        </w:rPr>
        <w:t>our</w:t>
      </w:r>
      <w:r w:rsidR="00C5261C">
        <w:rPr>
          <w:rFonts w:eastAsia="Calibri"/>
        </w:rPr>
        <w:t xml:space="preserve"> draft decisions for </w:t>
      </w:r>
      <w:r w:rsidR="00297F52">
        <w:rPr>
          <w:rFonts w:eastAsia="Calibri"/>
        </w:rPr>
        <w:t xml:space="preserve">the </w:t>
      </w:r>
      <w:r w:rsidR="00C5261C">
        <w:rPr>
          <w:rFonts w:eastAsia="Calibri"/>
        </w:rPr>
        <w:t xml:space="preserve">distribution businesses included revisions to </w:t>
      </w:r>
      <w:proofErr w:type="spellStart"/>
      <w:r w:rsidR="00C5261C">
        <w:rPr>
          <w:rFonts w:eastAsia="Calibri"/>
        </w:rPr>
        <w:t>capex</w:t>
      </w:r>
      <w:proofErr w:type="spellEnd"/>
      <w:r w:rsidR="00C5261C">
        <w:rPr>
          <w:rFonts w:eastAsia="Calibri"/>
        </w:rPr>
        <w:t xml:space="preserve"> for mains replacement. </w:t>
      </w:r>
      <w:r w:rsidRPr="004567E6">
        <w:rPr>
          <w:rFonts w:eastAsia="Calibri"/>
        </w:rPr>
        <w:t>Distribution mains are the pipes that convey gas to service pipes at each end user point</w:t>
      </w:r>
      <w:r w:rsidR="00F5035D">
        <w:rPr>
          <w:rFonts w:eastAsia="Calibri"/>
        </w:rPr>
        <w:t>—</w:t>
      </w:r>
      <w:r w:rsidR="00C5261C">
        <w:rPr>
          <w:rFonts w:eastAsia="Calibri"/>
        </w:rPr>
        <w:t>that is, each house or business</w:t>
      </w:r>
      <w:r w:rsidRPr="004567E6">
        <w:rPr>
          <w:rFonts w:eastAsia="Calibri"/>
        </w:rPr>
        <w:t>.</w:t>
      </w:r>
      <w:r>
        <w:rPr>
          <w:rFonts w:eastAsia="Calibri"/>
        </w:rPr>
        <w:t xml:space="preserve"> </w:t>
      </w:r>
      <w:r w:rsidR="00C5261C">
        <w:rPr>
          <w:rFonts w:eastAsia="Calibri"/>
        </w:rPr>
        <w:t>Mains replacement projects generally relate to the replacement of ageing distribution mains. Some proposed mains replacement</w:t>
      </w:r>
      <w:r>
        <w:rPr>
          <w:rFonts w:eastAsia="Calibri"/>
        </w:rPr>
        <w:t xml:space="preserve"> projects were not demonstrated to be necessary in the 2013</w:t>
      </w:r>
      <w:r>
        <w:rPr>
          <w:rFonts w:eastAsia="Calibri" w:cs="Gautami"/>
        </w:rPr>
        <w:t>–</w:t>
      </w:r>
      <w:r>
        <w:rPr>
          <w:rFonts w:eastAsia="Calibri"/>
        </w:rPr>
        <w:t xml:space="preserve">17 </w:t>
      </w:r>
      <w:proofErr w:type="gramStart"/>
      <w:r>
        <w:rPr>
          <w:rFonts w:eastAsia="Calibri"/>
        </w:rPr>
        <w:t>period</w:t>
      </w:r>
      <w:proofErr w:type="gramEnd"/>
      <w:r w:rsidR="00C5261C">
        <w:rPr>
          <w:rFonts w:eastAsia="Calibri"/>
        </w:rPr>
        <w:t xml:space="preserve"> and hence, were not approved by </w:t>
      </w:r>
      <w:r w:rsidR="000A1675">
        <w:rPr>
          <w:rFonts w:eastAsia="Calibri"/>
        </w:rPr>
        <w:t>us</w:t>
      </w:r>
      <w:r>
        <w:rPr>
          <w:rFonts w:eastAsia="Calibri"/>
        </w:rPr>
        <w:t xml:space="preserve">. In other cases, such as for the replacement of low pressure pipes with high pressure pipes, the scale of the projects was not justified. In this case </w:t>
      </w:r>
      <w:r w:rsidR="000A1675">
        <w:rPr>
          <w:rFonts w:eastAsia="Calibri"/>
        </w:rPr>
        <w:t>we</w:t>
      </w:r>
      <w:r>
        <w:rPr>
          <w:rFonts w:eastAsia="Calibri"/>
        </w:rPr>
        <w:t xml:space="preserve"> approved a reduced scale of works</w:t>
      </w:r>
      <w:r w:rsidR="00C5261C">
        <w:rPr>
          <w:rFonts w:eastAsia="Calibri"/>
        </w:rPr>
        <w:t xml:space="preserve">. </w:t>
      </w:r>
      <w:r w:rsidR="000A1675">
        <w:rPr>
          <w:rFonts w:eastAsia="Calibri"/>
        </w:rPr>
        <w:t>We</w:t>
      </w:r>
      <w:r w:rsidR="00C5261C">
        <w:rPr>
          <w:rFonts w:eastAsia="Calibri"/>
        </w:rPr>
        <w:t xml:space="preserve"> also</w:t>
      </w:r>
      <w:r>
        <w:rPr>
          <w:rFonts w:eastAsia="Calibri"/>
        </w:rPr>
        <w:t xml:space="preserve"> </w:t>
      </w:r>
      <w:r w:rsidR="00C5261C">
        <w:rPr>
          <w:rFonts w:eastAsia="Calibri"/>
        </w:rPr>
        <w:t>allowed b</w:t>
      </w:r>
      <w:r>
        <w:rPr>
          <w:rFonts w:eastAsia="Calibri"/>
        </w:rPr>
        <w:t xml:space="preserve">usinesses to </w:t>
      </w:r>
      <w:r w:rsidR="00C5261C">
        <w:rPr>
          <w:rFonts w:eastAsia="Calibri"/>
        </w:rPr>
        <w:t xml:space="preserve">apply for increased </w:t>
      </w:r>
      <w:proofErr w:type="spellStart"/>
      <w:r w:rsidR="00C5261C">
        <w:rPr>
          <w:rFonts w:eastAsia="Calibri"/>
        </w:rPr>
        <w:t>capex</w:t>
      </w:r>
      <w:proofErr w:type="spellEnd"/>
      <w:r w:rsidR="00C5261C">
        <w:rPr>
          <w:rFonts w:eastAsia="Calibri"/>
        </w:rPr>
        <w:t xml:space="preserve"> funding </w:t>
      </w:r>
      <w:r>
        <w:rPr>
          <w:rFonts w:eastAsia="Calibri"/>
        </w:rPr>
        <w:t xml:space="preserve">if </w:t>
      </w:r>
      <w:r w:rsidR="00CF225C">
        <w:rPr>
          <w:rFonts w:eastAsia="Calibri"/>
        </w:rPr>
        <w:t>the</w:t>
      </w:r>
      <w:r>
        <w:rPr>
          <w:rFonts w:eastAsia="Calibri"/>
        </w:rPr>
        <w:t xml:space="preserve"> scale of works</w:t>
      </w:r>
      <w:r w:rsidR="00C5261C">
        <w:rPr>
          <w:rFonts w:eastAsia="Calibri"/>
        </w:rPr>
        <w:t xml:space="preserve"> </w:t>
      </w:r>
      <w:r w:rsidR="00CF225C">
        <w:rPr>
          <w:rFonts w:eastAsia="Calibri"/>
        </w:rPr>
        <w:t xml:space="preserve">needs to be increased </w:t>
      </w:r>
      <w:r w:rsidR="00C5261C">
        <w:rPr>
          <w:rFonts w:eastAsia="Calibri"/>
        </w:rPr>
        <w:t>during the period</w:t>
      </w:r>
      <w:r>
        <w:rPr>
          <w:rFonts w:eastAsia="Calibri"/>
        </w:rPr>
        <w:t>.</w:t>
      </w:r>
    </w:p>
    <w:p w:rsidR="006E046E" w:rsidRDefault="006E046E" w:rsidP="00217C6F">
      <w:pPr>
        <w:pStyle w:val="AERbodytext"/>
        <w:rPr>
          <w:rFonts w:eastAsia="Calibri"/>
        </w:rPr>
      </w:pPr>
      <w:r>
        <w:rPr>
          <w:rFonts w:eastAsia="Calibri"/>
        </w:rPr>
        <w:t>In the case of the transmission operator, APA </w:t>
      </w:r>
      <w:proofErr w:type="spellStart"/>
      <w:r>
        <w:rPr>
          <w:rFonts w:eastAsia="Calibri"/>
        </w:rPr>
        <w:t>GasNet</w:t>
      </w:r>
      <w:proofErr w:type="spellEnd"/>
      <w:r>
        <w:rPr>
          <w:rFonts w:eastAsia="Calibri"/>
        </w:rPr>
        <w:t xml:space="preserve">, </w:t>
      </w:r>
      <w:r w:rsidR="000A1675">
        <w:rPr>
          <w:rFonts w:eastAsia="Calibri"/>
        </w:rPr>
        <w:t>we</w:t>
      </w:r>
      <w:r>
        <w:rPr>
          <w:rFonts w:eastAsia="Calibri"/>
        </w:rPr>
        <w:t xml:space="preserve"> </w:t>
      </w:r>
      <w:r w:rsidR="00CF225C">
        <w:rPr>
          <w:rFonts w:eastAsia="Calibri"/>
        </w:rPr>
        <w:t xml:space="preserve">did </w:t>
      </w:r>
      <w:r>
        <w:rPr>
          <w:rFonts w:eastAsia="Calibri"/>
        </w:rPr>
        <w:t>not approv</w:t>
      </w:r>
      <w:r w:rsidR="00CF225C">
        <w:rPr>
          <w:rFonts w:eastAsia="Calibri"/>
        </w:rPr>
        <w:t>e</w:t>
      </w:r>
      <w:r>
        <w:rPr>
          <w:rFonts w:eastAsia="Calibri"/>
        </w:rPr>
        <w:t xml:space="preserve"> a number of major </w:t>
      </w:r>
      <w:proofErr w:type="spellStart"/>
      <w:r>
        <w:rPr>
          <w:rFonts w:eastAsia="Calibri"/>
        </w:rPr>
        <w:t>capex</w:t>
      </w:r>
      <w:proofErr w:type="spellEnd"/>
      <w:r>
        <w:rPr>
          <w:rFonts w:eastAsia="Calibri"/>
        </w:rPr>
        <w:t xml:space="preserve"> projects </w:t>
      </w:r>
      <w:r w:rsidR="00CF225C">
        <w:rPr>
          <w:rFonts w:eastAsia="Calibri"/>
        </w:rPr>
        <w:t xml:space="preserve">that APA </w:t>
      </w:r>
      <w:proofErr w:type="spellStart"/>
      <w:r w:rsidR="00CF225C">
        <w:rPr>
          <w:rFonts w:eastAsia="Calibri"/>
        </w:rPr>
        <w:t>GasNet</w:t>
      </w:r>
      <w:proofErr w:type="spellEnd"/>
      <w:r w:rsidR="00CF225C">
        <w:rPr>
          <w:rFonts w:eastAsia="Calibri"/>
        </w:rPr>
        <w:t xml:space="preserve"> proposed. These were not approved as </w:t>
      </w:r>
      <w:r w:rsidR="00F5035D">
        <w:rPr>
          <w:rFonts w:eastAsia="Calibri"/>
        </w:rPr>
        <w:t>we</w:t>
      </w:r>
      <w:r w:rsidR="00CF225C">
        <w:rPr>
          <w:rFonts w:eastAsia="Calibri"/>
        </w:rPr>
        <w:t xml:space="preserve"> did not consider that APA </w:t>
      </w:r>
      <w:proofErr w:type="spellStart"/>
      <w:r w:rsidR="00CF225C">
        <w:rPr>
          <w:rFonts w:eastAsia="Calibri"/>
        </w:rPr>
        <w:t>GasNet</w:t>
      </w:r>
      <w:proofErr w:type="spellEnd"/>
      <w:r w:rsidR="00CF225C">
        <w:rPr>
          <w:rFonts w:eastAsia="Calibri"/>
        </w:rPr>
        <w:t xml:space="preserve"> </w:t>
      </w:r>
      <w:r>
        <w:rPr>
          <w:rFonts w:eastAsia="Calibri"/>
        </w:rPr>
        <w:t xml:space="preserve">had justified </w:t>
      </w:r>
      <w:r w:rsidR="00CF225C">
        <w:rPr>
          <w:rFonts w:eastAsia="Calibri"/>
        </w:rPr>
        <w:t xml:space="preserve">these projects </w:t>
      </w:r>
      <w:r>
        <w:rPr>
          <w:rFonts w:eastAsia="Calibri"/>
        </w:rPr>
        <w:t xml:space="preserve">as </w:t>
      </w:r>
      <w:r w:rsidR="00CF225C">
        <w:rPr>
          <w:rFonts w:eastAsia="Calibri"/>
        </w:rPr>
        <w:t xml:space="preserve">being </w:t>
      </w:r>
      <w:r>
        <w:rPr>
          <w:rFonts w:eastAsia="Calibri"/>
        </w:rPr>
        <w:t xml:space="preserve">necessary for the </w:t>
      </w:r>
      <w:r w:rsidR="00CF225C">
        <w:rPr>
          <w:rFonts w:eastAsia="Calibri"/>
        </w:rPr>
        <w:br/>
      </w:r>
      <w:r>
        <w:rPr>
          <w:rFonts w:eastAsia="Calibri"/>
        </w:rPr>
        <w:t>2013</w:t>
      </w:r>
      <w:r>
        <w:rPr>
          <w:rFonts w:eastAsia="Calibri" w:cs="Gautami"/>
        </w:rPr>
        <w:t>–</w:t>
      </w:r>
      <w:r>
        <w:rPr>
          <w:rFonts w:eastAsia="Calibri"/>
        </w:rPr>
        <w:t>17 period.</w:t>
      </w:r>
      <w:r w:rsidR="00FF22D6">
        <w:rPr>
          <w:rFonts w:eastAsia="Calibri"/>
        </w:rPr>
        <w:t xml:space="preserve"> An example of one of the</w:t>
      </w:r>
      <w:r w:rsidR="00CF225C">
        <w:rPr>
          <w:rFonts w:eastAsia="Calibri"/>
        </w:rPr>
        <w:t>se</w:t>
      </w:r>
      <w:r w:rsidR="00FF22D6">
        <w:rPr>
          <w:rFonts w:eastAsia="Calibri"/>
        </w:rPr>
        <w:t xml:space="preserve"> projects </w:t>
      </w:r>
      <w:r w:rsidR="00B70DDB">
        <w:rPr>
          <w:rFonts w:eastAsia="Calibri"/>
        </w:rPr>
        <w:t>is provided in box 5.1</w:t>
      </w:r>
      <w:r w:rsidR="00FF22D6">
        <w:rPr>
          <w:rFonts w:eastAsia="Calibri"/>
        </w:rPr>
        <w:t>.</w:t>
      </w:r>
    </w:p>
    <w:p w:rsidR="00FF22D6" w:rsidRPr="008E4A93" w:rsidRDefault="00C93AFF" w:rsidP="00C93AFF">
      <w:pPr>
        <w:pStyle w:val="AERfigureheading"/>
        <w:numPr>
          <w:ilvl w:val="0"/>
          <w:numId w:val="0"/>
        </w:numPr>
        <w:spacing w:after="40"/>
        <w:ind w:left="1440" w:hanging="1440"/>
        <w:rPr>
          <w:rStyle w:val="AERbody"/>
        </w:rPr>
      </w:pPr>
      <w:r>
        <w:rPr>
          <w:rStyle w:val="AERbody"/>
        </w:rPr>
        <w:br w:type="page"/>
      </w:r>
      <w:r w:rsidR="00FF22D6">
        <w:rPr>
          <w:rStyle w:val="AERbody"/>
        </w:rPr>
        <w:t xml:space="preserve">Box </w:t>
      </w:r>
      <w:r w:rsidR="00B70DDB">
        <w:rPr>
          <w:rStyle w:val="AERbody"/>
        </w:rPr>
        <w:t xml:space="preserve">5.1 </w:t>
      </w:r>
      <w:r w:rsidR="00FF22D6">
        <w:rPr>
          <w:rStyle w:val="AERbody"/>
        </w:rPr>
        <w:t xml:space="preserve">    </w:t>
      </w:r>
      <w:proofErr w:type="gramStart"/>
      <w:r w:rsidR="00FF22D6">
        <w:rPr>
          <w:rStyle w:val="AERbody"/>
        </w:rPr>
        <w:t>The</w:t>
      </w:r>
      <w:proofErr w:type="gramEnd"/>
      <w:r w:rsidR="00FF22D6">
        <w:rPr>
          <w:rStyle w:val="AERbody"/>
        </w:rPr>
        <w:t xml:space="preserve"> </w:t>
      </w:r>
      <w:r w:rsidRPr="00C93AFF">
        <w:rPr>
          <w:rStyle w:val="AERbody"/>
        </w:rPr>
        <w:t>Western Outer Ring Main (WORM) project</w:t>
      </w:r>
    </w:p>
    <w:tbl>
      <w:tblPr>
        <w:tblStyle w:val="LightList-Accent11"/>
        <w:tblW w:w="0" w:type="auto"/>
        <w:tblLook w:val="0000"/>
      </w:tblPr>
      <w:tblGrid>
        <w:gridCol w:w="8528"/>
      </w:tblGrid>
      <w:tr w:rsidR="00FF22D6" w:rsidTr="00F763B4">
        <w:trPr>
          <w:cnfStyle w:val="000000100000"/>
        </w:trPr>
        <w:tc>
          <w:tcPr>
            <w:cnfStyle w:val="000010000000"/>
            <w:tcW w:w="8528" w:type="dxa"/>
          </w:tcPr>
          <w:p w:rsidR="00F763B4" w:rsidRDefault="00C93AFF" w:rsidP="00C93AFF">
            <w:pPr>
              <w:pStyle w:val="AERbodytext"/>
              <w:spacing w:before="120" w:after="0"/>
            </w:pPr>
            <w:r>
              <w:t xml:space="preserve">APA </w:t>
            </w:r>
            <w:proofErr w:type="spellStart"/>
            <w:r>
              <w:t>GasNet</w:t>
            </w:r>
            <w:proofErr w:type="spellEnd"/>
            <w:r w:rsidRPr="00C93AFF">
              <w:t xml:space="preserve"> proposed </w:t>
            </w:r>
            <w:proofErr w:type="spellStart"/>
            <w:r w:rsidR="00F763B4">
              <w:t>capex</w:t>
            </w:r>
            <w:proofErr w:type="spellEnd"/>
            <w:r w:rsidR="00F763B4">
              <w:t xml:space="preserve"> for </w:t>
            </w:r>
            <w:r>
              <w:t>the WORM</w:t>
            </w:r>
            <w:r w:rsidRPr="00C93AFF">
              <w:t xml:space="preserve"> project to enhance security of supply </w:t>
            </w:r>
            <w:r w:rsidR="00F763B4">
              <w:t xml:space="preserve">for domestic customers </w:t>
            </w:r>
            <w:r w:rsidRPr="00C93AFF">
              <w:t xml:space="preserve">in the event of a major gas plant outage at Longford. </w:t>
            </w:r>
          </w:p>
          <w:p w:rsidR="00F763B4" w:rsidRDefault="00F763B4" w:rsidP="00F763B4">
            <w:pPr>
              <w:pStyle w:val="AERbodytext"/>
              <w:spacing w:before="120" w:after="120"/>
            </w:pPr>
            <w:r>
              <w:t xml:space="preserve">The WORM project has three </w:t>
            </w:r>
            <w:r w:rsidR="0031645F">
              <w:t>stages;</w:t>
            </w:r>
            <w:r>
              <w:t xml:space="preserve"> the first of which (the Sunbury loop) will be completed by the end of 2012. APA </w:t>
            </w:r>
            <w:proofErr w:type="spellStart"/>
            <w:r>
              <w:t>GasNet</w:t>
            </w:r>
            <w:proofErr w:type="spellEnd"/>
            <w:r>
              <w:t xml:space="preserve"> proposed to undertake stages two and three of the WORM project in the 2013–17 period, involving:</w:t>
            </w:r>
          </w:p>
          <w:p w:rsidR="00F763B4" w:rsidRDefault="00F763B4" w:rsidP="00F763B4">
            <w:pPr>
              <w:pStyle w:val="AERbulletlistfirststyle"/>
            </w:pPr>
            <w:r>
              <w:t>laying 49.3 km of 500 mm pipeline from Wollert to Rockbank via Kalkallo</w:t>
            </w:r>
          </w:p>
          <w:p w:rsidR="00F763B4" w:rsidRDefault="00F763B4" w:rsidP="00F763B4">
            <w:pPr>
              <w:pStyle w:val="AERbulletlistfirststyle"/>
            </w:pPr>
            <w:r>
              <w:t>installing an additional compressor at Wollert Compressor Station B to allow compression from the Pakenham–Wollert pipeline to the new WORM pipeline</w:t>
            </w:r>
          </w:p>
          <w:p w:rsidR="00F763B4" w:rsidRDefault="00F763B4" w:rsidP="00F763B4">
            <w:pPr>
              <w:pStyle w:val="AERbulletlistfirststyle"/>
              <w:spacing w:after="240"/>
            </w:pPr>
            <w:proofErr w:type="gramStart"/>
            <w:r>
              <w:t>installing</w:t>
            </w:r>
            <w:proofErr w:type="gramEnd"/>
            <w:r>
              <w:t xml:space="preserve"> a new interconnecting pressure reduction station at Wollert, connecting the Brooklyn</w:t>
            </w:r>
            <w:r w:rsidR="0031645F">
              <w:t>–Lara Pipeline to the Pakenham–</w:t>
            </w:r>
            <w:r>
              <w:t xml:space="preserve">Wollert pipeline. </w:t>
            </w:r>
          </w:p>
          <w:p w:rsidR="00F763B4" w:rsidRDefault="00F763B4" w:rsidP="00F763B4">
            <w:pPr>
              <w:pStyle w:val="AERbodytext"/>
              <w:spacing w:before="120"/>
            </w:pPr>
            <w:r>
              <w:t xml:space="preserve">APA </w:t>
            </w:r>
            <w:proofErr w:type="spellStart"/>
            <w:r>
              <w:t>GasNet</w:t>
            </w:r>
            <w:proofErr w:type="spellEnd"/>
            <w:r>
              <w:t xml:space="preserve"> proposed to complete the WORM project in 2013 and 2014 at a total cost of $93.4 million ($2012). APA </w:t>
            </w:r>
            <w:proofErr w:type="spellStart"/>
            <w:r>
              <w:t>GasNet</w:t>
            </w:r>
            <w:proofErr w:type="spellEnd"/>
            <w:r>
              <w:t xml:space="preserve"> submitted that the WORM project is justified as being necessary to maintain the integrity of services and to avoid other 'stay in business' capital expenditure that would otherwise be required at a number of sites.</w:t>
            </w:r>
          </w:p>
          <w:p w:rsidR="00FF22D6" w:rsidRPr="008E4A93" w:rsidRDefault="000A1675" w:rsidP="000A1675">
            <w:pPr>
              <w:pStyle w:val="AERbodytext"/>
              <w:spacing w:before="120"/>
            </w:pPr>
            <w:r>
              <w:t>Our</w:t>
            </w:r>
            <w:r w:rsidR="0031645F">
              <w:t xml:space="preserve"> draft decision concluded that the </w:t>
            </w:r>
            <w:r w:rsidR="00F763B4">
              <w:t xml:space="preserve">purported </w:t>
            </w:r>
            <w:proofErr w:type="gramStart"/>
            <w:r w:rsidR="00F763B4">
              <w:t>security of supply benefit</w:t>
            </w:r>
            <w:r w:rsidR="005B2873">
              <w:t>s provided by the WORM project we</w:t>
            </w:r>
            <w:r w:rsidR="00F763B4">
              <w:t>re</w:t>
            </w:r>
            <w:proofErr w:type="gramEnd"/>
            <w:r w:rsidR="00F763B4">
              <w:t xml:space="preserve"> not supported by APA </w:t>
            </w:r>
            <w:proofErr w:type="spellStart"/>
            <w:r w:rsidR="00F763B4">
              <w:t>GasNet’s</w:t>
            </w:r>
            <w:proofErr w:type="spellEnd"/>
            <w:r w:rsidR="00F763B4">
              <w:t xml:space="preserve"> proposal. Despite the merits of</w:t>
            </w:r>
            <w:r w:rsidR="00F763B4" w:rsidRPr="00C93AFF">
              <w:t xml:space="preserve"> the proposal, the investment is not required in the 2013–17 </w:t>
            </w:r>
            <w:proofErr w:type="gramStart"/>
            <w:r w:rsidR="00F763B4" w:rsidRPr="00C93AFF">
              <w:t>period</w:t>
            </w:r>
            <w:proofErr w:type="gramEnd"/>
            <w:r w:rsidR="00F763B4" w:rsidRPr="00C93AFF">
              <w:t>.</w:t>
            </w:r>
            <w:r w:rsidR="00F763B4">
              <w:t xml:space="preserve"> In </w:t>
            </w:r>
            <w:r w:rsidR="00B86429">
              <w:t>addition</w:t>
            </w:r>
            <w:r w:rsidR="00F763B4">
              <w:t xml:space="preserve">, </w:t>
            </w:r>
            <w:r w:rsidR="00F763B4" w:rsidRPr="00C93AFF">
              <w:t>demand projections provided by the Australian Energy Market Operator (AEMO) suggest the project will not be required to cater for growing demand in the next 5 years.</w:t>
            </w:r>
            <w:r w:rsidR="0031645F">
              <w:t xml:space="preserve"> </w:t>
            </w:r>
            <w:r>
              <w:t>We</w:t>
            </w:r>
            <w:r w:rsidR="0031645F">
              <w:t xml:space="preserve"> considered that, for the 2013</w:t>
            </w:r>
            <w:r w:rsidR="0031645F">
              <w:rPr>
                <w:rFonts w:cs="Gautami"/>
              </w:rPr>
              <w:t>–</w:t>
            </w:r>
            <w:r w:rsidR="0031645F">
              <w:t xml:space="preserve">17 </w:t>
            </w:r>
            <w:proofErr w:type="gramStart"/>
            <w:r w:rsidR="0031645F">
              <w:t>period</w:t>
            </w:r>
            <w:proofErr w:type="gramEnd"/>
            <w:r w:rsidR="0031645F">
              <w:t xml:space="preserve">, the project would not </w:t>
            </w:r>
            <w:r w:rsidR="00F763B4">
              <w:t xml:space="preserve">be </w:t>
            </w:r>
            <w:r w:rsidR="0031645F">
              <w:t>undertaken b</w:t>
            </w:r>
            <w:r w:rsidR="00F763B4">
              <w:t>y a</w:t>
            </w:r>
            <w:r w:rsidR="0031645F">
              <w:t xml:space="preserve"> prudent service provider, and wa</w:t>
            </w:r>
            <w:r w:rsidR="00F763B4">
              <w:t xml:space="preserve">s not consistent with achieving the lowest sustainable cost of providing services. </w:t>
            </w:r>
            <w:r w:rsidR="00CF225C">
              <w:t xml:space="preserve">Hence, </w:t>
            </w:r>
            <w:r>
              <w:t>we</w:t>
            </w:r>
            <w:r w:rsidR="00CF225C">
              <w:t xml:space="preserve"> did not approve this component of </w:t>
            </w:r>
            <w:proofErr w:type="spellStart"/>
            <w:r w:rsidR="00CF225C">
              <w:t>capex</w:t>
            </w:r>
            <w:proofErr w:type="spellEnd"/>
            <w:r w:rsidR="00CF225C">
              <w:t>.</w:t>
            </w:r>
          </w:p>
        </w:tc>
      </w:tr>
    </w:tbl>
    <w:p w:rsidR="00F06B42" w:rsidRDefault="00C93AFF" w:rsidP="00864874">
      <w:pPr>
        <w:pStyle w:val="AERbodytext"/>
        <w:rPr>
          <w:rFonts w:eastAsia="Calibri"/>
        </w:rPr>
      </w:pPr>
      <w:r>
        <w:rPr>
          <w:rFonts w:eastAsia="Calibri"/>
        </w:rPr>
        <w:br/>
      </w:r>
      <w:r w:rsidR="00864874">
        <w:rPr>
          <w:rFonts w:eastAsia="Calibri"/>
        </w:rPr>
        <w:t xml:space="preserve">For all businesses, </w:t>
      </w:r>
      <w:r w:rsidR="000A1675">
        <w:rPr>
          <w:rFonts w:eastAsia="Calibri"/>
        </w:rPr>
        <w:t>our</w:t>
      </w:r>
      <w:r w:rsidR="00217C6F">
        <w:rPr>
          <w:rFonts w:eastAsia="Calibri"/>
        </w:rPr>
        <w:t xml:space="preserve"> </w:t>
      </w:r>
      <w:r w:rsidR="00864874">
        <w:rPr>
          <w:rFonts w:eastAsia="Calibri"/>
        </w:rPr>
        <w:t>draft decision</w:t>
      </w:r>
      <w:r w:rsidR="00CF225C">
        <w:rPr>
          <w:rFonts w:eastAsia="Calibri"/>
        </w:rPr>
        <w:t>s</w:t>
      </w:r>
      <w:r w:rsidR="00864874">
        <w:rPr>
          <w:rFonts w:eastAsia="Calibri"/>
        </w:rPr>
        <w:t xml:space="preserve"> </w:t>
      </w:r>
      <w:r w:rsidR="00F06B42">
        <w:rPr>
          <w:rFonts w:eastAsia="Calibri"/>
        </w:rPr>
        <w:t>reduce</w:t>
      </w:r>
      <w:r w:rsidR="00CF225C">
        <w:rPr>
          <w:rFonts w:eastAsia="Calibri"/>
        </w:rPr>
        <w:t>d</w:t>
      </w:r>
      <w:r w:rsidR="00F06B42">
        <w:rPr>
          <w:rFonts w:eastAsia="Calibri"/>
        </w:rPr>
        <w:t xml:space="preserve"> forecast </w:t>
      </w:r>
      <w:proofErr w:type="spellStart"/>
      <w:r w:rsidR="00CD600E">
        <w:rPr>
          <w:rFonts w:eastAsia="Calibri"/>
        </w:rPr>
        <w:t>capex</w:t>
      </w:r>
      <w:proofErr w:type="spellEnd"/>
      <w:r w:rsidR="0041329E">
        <w:rPr>
          <w:rFonts w:eastAsia="Calibri"/>
        </w:rPr>
        <w:t xml:space="preserve"> </w:t>
      </w:r>
      <w:r w:rsidR="006E046E">
        <w:rPr>
          <w:rFonts w:eastAsia="Calibri"/>
        </w:rPr>
        <w:t xml:space="preserve">and this had a consequent impact on revenue </w:t>
      </w:r>
      <w:r w:rsidR="0066174C">
        <w:rPr>
          <w:rFonts w:eastAsia="Calibri"/>
        </w:rPr>
        <w:t>(see table 5</w:t>
      </w:r>
      <w:r w:rsidR="0041329E">
        <w:rPr>
          <w:rFonts w:eastAsia="Calibri"/>
        </w:rPr>
        <w:t>.1).</w:t>
      </w:r>
    </w:p>
    <w:p w:rsidR="0041329E" w:rsidRPr="00FC6798" w:rsidRDefault="000A1675" w:rsidP="00FC6798">
      <w:pPr>
        <w:pStyle w:val="AERtabletitle"/>
        <w:tabs>
          <w:tab w:val="clear" w:pos="2342"/>
          <w:tab w:val="num" w:pos="1440"/>
        </w:tabs>
        <w:ind w:left="1440" w:hanging="1440"/>
      </w:pPr>
      <w:r>
        <w:t>Our</w:t>
      </w:r>
      <w:r w:rsidR="0041329E" w:rsidRPr="004B149F">
        <w:t xml:space="preserve"> draft deci</w:t>
      </w:r>
      <w:r w:rsidR="0041329E">
        <w:t>sion and business proposal for capital expenditure</w:t>
      </w:r>
      <w:r w:rsidR="0041329E" w:rsidRPr="00FC6798">
        <w:t xml:space="preserve"> </w:t>
      </w:r>
      <w:r w:rsidR="005B2FA0" w:rsidRPr="00FC6798">
        <w:br/>
      </w:r>
      <w:r w:rsidR="0041329E" w:rsidRPr="00FC6798">
        <w:t>($</w:t>
      </w:r>
      <w:r w:rsidR="005B2FA0" w:rsidRPr="00FC6798">
        <w:t xml:space="preserve"> </w:t>
      </w:r>
      <w:r w:rsidR="0041329E" w:rsidRPr="00FC6798">
        <w:t>nominal)</w:t>
      </w:r>
    </w:p>
    <w:tbl>
      <w:tblPr>
        <w:tblStyle w:val="AERtable-text"/>
        <w:tblW w:w="8528" w:type="dxa"/>
        <w:tblLayout w:type="fixed"/>
        <w:tblLook w:val="0020"/>
      </w:tblPr>
      <w:tblGrid>
        <w:gridCol w:w="2660"/>
        <w:gridCol w:w="1467"/>
        <w:gridCol w:w="1467"/>
        <w:gridCol w:w="1467"/>
        <w:gridCol w:w="1467"/>
      </w:tblGrid>
      <w:tr w:rsidR="0041329E" w:rsidRPr="00995B8F" w:rsidTr="0041329E">
        <w:trPr>
          <w:cnfStyle w:val="100000000000"/>
          <w:trHeight w:val="293"/>
        </w:trPr>
        <w:tc>
          <w:tcPr>
            <w:tcW w:w="2660" w:type="dxa"/>
          </w:tcPr>
          <w:p w:rsidR="0041329E" w:rsidRPr="004B149F" w:rsidRDefault="0041329E" w:rsidP="0041329E">
            <w:pPr>
              <w:pStyle w:val="AERtabletextheadingright"/>
              <w:rPr>
                <w:rFonts w:eastAsia="Calibri"/>
              </w:rPr>
            </w:pPr>
          </w:p>
        </w:tc>
        <w:tc>
          <w:tcPr>
            <w:tcW w:w="1467" w:type="dxa"/>
          </w:tcPr>
          <w:p w:rsidR="0041329E" w:rsidRPr="004B149F" w:rsidRDefault="0041329E" w:rsidP="0041329E">
            <w:pPr>
              <w:pStyle w:val="AERtabletextheadingright"/>
              <w:rPr>
                <w:rFonts w:eastAsia="Calibri"/>
              </w:rPr>
            </w:pPr>
            <w:r w:rsidRPr="004B149F">
              <w:rPr>
                <w:rFonts w:eastAsia="Calibri"/>
              </w:rPr>
              <w:t xml:space="preserve">APA </w:t>
            </w:r>
            <w:proofErr w:type="spellStart"/>
            <w:r w:rsidRPr="004B149F">
              <w:rPr>
                <w:rFonts w:eastAsia="Calibri"/>
              </w:rPr>
              <w:t>GasNet</w:t>
            </w:r>
            <w:proofErr w:type="spellEnd"/>
          </w:p>
        </w:tc>
        <w:tc>
          <w:tcPr>
            <w:tcW w:w="1467" w:type="dxa"/>
          </w:tcPr>
          <w:p w:rsidR="0041329E" w:rsidRPr="004B149F" w:rsidRDefault="0041329E" w:rsidP="0041329E">
            <w:pPr>
              <w:pStyle w:val="AERtabletextheadingright"/>
              <w:rPr>
                <w:rFonts w:eastAsia="Calibri"/>
              </w:rPr>
            </w:pPr>
            <w:proofErr w:type="spellStart"/>
            <w:r w:rsidRPr="004B149F">
              <w:rPr>
                <w:rFonts w:eastAsia="Calibri"/>
              </w:rPr>
              <w:t>Envestra</w:t>
            </w:r>
            <w:proofErr w:type="spellEnd"/>
            <w:r w:rsidR="005B2873">
              <w:rPr>
                <w:rFonts w:eastAsia="Calibri"/>
              </w:rPr>
              <w:t xml:space="preserve"> </w:t>
            </w:r>
            <w:proofErr w:type="spellStart"/>
            <w:r w:rsidR="005B2873">
              <w:rPr>
                <w:rFonts w:eastAsia="Calibri"/>
              </w:rPr>
              <w:t>Victoria</w:t>
            </w:r>
            <w:r w:rsidR="005B2873">
              <w:rPr>
                <w:rStyle w:val="FootnoteReference"/>
                <w:rFonts w:eastAsia="Calibri"/>
              </w:rPr>
              <w:t>a</w:t>
            </w:r>
            <w:proofErr w:type="spellEnd"/>
            <w:r w:rsidRPr="004B149F">
              <w:rPr>
                <w:rFonts w:eastAsia="Calibri"/>
              </w:rPr>
              <w:t xml:space="preserve"> </w:t>
            </w:r>
          </w:p>
        </w:tc>
        <w:tc>
          <w:tcPr>
            <w:tcW w:w="1467" w:type="dxa"/>
          </w:tcPr>
          <w:p w:rsidR="0041329E" w:rsidRPr="004B149F" w:rsidRDefault="0041329E" w:rsidP="0041329E">
            <w:pPr>
              <w:pStyle w:val="AERtabletextheadingright"/>
              <w:rPr>
                <w:rFonts w:eastAsia="Calibri"/>
              </w:rPr>
            </w:pPr>
            <w:r w:rsidRPr="004B149F">
              <w:rPr>
                <w:rFonts w:eastAsia="Calibri"/>
              </w:rPr>
              <w:t xml:space="preserve">SP </w:t>
            </w:r>
            <w:proofErr w:type="spellStart"/>
            <w:r w:rsidRPr="004B149F">
              <w:rPr>
                <w:rFonts w:eastAsia="Calibri"/>
              </w:rPr>
              <w:t>AusNet</w:t>
            </w:r>
            <w:proofErr w:type="spellEnd"/>
          </w:p>
        </w:tc>
        <w:tc>
          <w:tcPr>
            <w:tcW w:w="1467" w:type="dxa"/>
          </w:tcPr>
          <w:p w:rsidR="0041329E" w:rsidRPr="004B149F" w:rsidRDefault="0041329E" w:rsidP="0041329E">
            <w:pPr>
              <w:pStyle w:val="AERtabletextheadingright"/>
              <w:rPr>
                <w:rFonts w:eastAsia="Calibri"/>
              </w:rPr>
            </w:pPr>
            <w:proofErr w:type="spellStart"/>
            <w:r w:rsidRPr="004B149F">
              <w:rPr>
                <w:rFonts w:eastAsia="Calibri"/>
              </w:rPr>
              <w:t>Multinet</w:t>
            </w:r>
            <w:proofErr w:type="spellEnd"/>
          </w:p>
        </w:tc>
      </w:tr>
      <w:tr w:rsidR="00D12A3D" w:rsidRPr="00995B8F" w:rsidTr="0041329E">
        <w:trPr>
          <w:trHeight w:val="663"/>
        </w:trPr>
        <w:tc>
          <w:tcPr>
            <w:tcW w:w="2660" w:type="dxa"/>
          </w:tcPr>
          <w:p w:rsidR="00D12A3D" w:rsidRPr="004B149F" w:rsidRDefault="00D12A3D" w:rsidP="0041329E">
            <w:pPr>
              <w:pStyle w:val="AERtabletext"/>
              <w:rPr>
                <w:rFonts w:eastAsia="Calibri"/>
              </w:rPr>
            </w:pPr>
            <w:r w:rsidRPr="004B149F">
              <w:t xml:space="preserve">AER draft decision </w:t>
            </w:r>
          </w:p>
        </w:tc>
        <w:tc>
          <w:tcPr>
            <w:tcW w:w="1467" w:type="dxa"/>
          </w:tcPr>
          <w:p w:rsidR="00D12A3D" w:rsidRPr="004B149F" w:rsidRDefault="003F41D1" w:rsidP="0041329E">
            <w:pPr>
              <w:pStyle w:val="AERtabletext-numbers"/>
              <w:rPr>
                <w:rFonts w:eastAsia="Calibri"/>
              </w:rPr>
            </w:pPr>
            <w:r>
              <w:rPr>
                <w:rFonts w:eastAsia="Calibri"/>
              </w:rPr>
              <w:t>$167 million</w:t>
            </w:r>
          </w:p>
        </w:tc>
        <w:tc>
          <w:tcPr>
            <w:tcW w:w="1467" w:type="dxa"/>
          </w:tcPr>
          <w:p w:rsidR="00D12A3D" w:rsidRPr="004B149F" w:rsidRDefault="00BD0274" w:rsidP="00BD0274">
            <w:pPr>
              <w:pStyle w:val="AERtabletext-numbers"/>
              <w:rPr>
                <w:rFonts w:eastAsia="Calibri"/>
              </w:rPr>
            </w:pPr>
            <w:r>
              <w:rPr>
                <w:rFonts w:eastAsia="Calibri"/>
              </w:rPr>
              <w:t>$354</w:t>
            </w:r>
            <w:r w:rsidR="005B2873">
              <w:rPr>
                <w:rFonts w:eastAsia="Calibri"/>
              </w:rPr>
              <w:t> million</w:t>
            </w:r>
          </w:p>
        </w:tc>
        <w:tc>
          <w:tcPr>
            <w:tcW w:w="1467" w:type="dxa"/>
          </w:tcPr>
          <w:p w:rsidR="00D12A3D" w:rsidRPr="004B149F" w:rsidRDefault="00D12A3D" w:rsidP="0041329E">
            <w:pPr>
              <w:pStyle w:val="AERtabletext-numbers"/>
              <w:rPr>
                <w:rFonts w:eastAsia="Calibri"/>
              </w:rPr>
            </w:pPr>
            <w:r>
              <w:rPr>
                <w:rFonts w:eastAsia="Calibri"/>
              </w:rPr>
              <w:t>$452 million</w:t>
            </w:r>
          </w:p>
        </w:tc>
        <w:tc>
          <w:tcPr>
            <w:tcW w:w="1467" w:type="dxa"/>
          </w:tcPr>
          <w:p w:rsidR="00D12A3D" w:rsidRPr="004B149F" w:rsidRDefault="00D12A3D" w:rsidP="00220823">
            <w:pPr>
              <w:pStyle w:val="AERtabletext-numbers"/>
              <w:rPr>
                <w:rFonts w:eastAsia="Calibri"/>
              </w:rPr>
            </w:pPr>
            <w:r>
              <w:rPr>
                <w:rFonts w:eastAsia="Calibri"/>
              </w:rPr>
              <w:t>$19</w:t>
            </w:r>
            <w:r w:rsidR="00220823">
              <w:rPr>
                <w:rFonts w:eastAsia="Calibri"/>
              </w:rPr>
              <w:t>5</w:t>
            </w:r>
            <w:r>
              <w:rPr>
                <w:rFonts w:eastAsia="Calibri"/>
              </w:rPr>
              <w:t> million</w:t>
            </w:r>
          </w:p>
        </w:tc>
      </w:tr>
      <w:tr w:rsidR="00D12A3D" w:rsidRPr="00995B8F" w:rsidTr="0041329E">
        <w:trPr>
          <w:cnfStyle w:val="000000010000"/>
          <w:trHeight w:val="434"/>
        </w:trPr>
        <w:tc>
          <w:tcPr>
            <w:tcW w:w="2660" w:type="dxa"/>
          </w:tcPr>
          <w:p w:rsidR="00D12A3D" w:rsidRPr="004B149F" w:rsidRDefault="00D12A3D" w:rsidP="0041329E">
            <w:pPr>
              <w:pStyle w:val="AERtabletext"/>
              <w:rPr>
                <w:rFonts w:eastAsia="Calibri"/>
              </w:rPr>
            </w:pPr>
            <w:r w:rsidRPr="004B149F">
              <w:t xml:space="preserve">Business proposal </w:t>
            </w:r>
          </w:p>
        </w:tc>
        <w:tc>
          <w:tcPr>
            <w:tcW w:w="1467" w:type="dxa"/>
          </w:tcPr>
          <w:p w:rsidR="00D12A3D" w:rsidRPr="004B149F" w:rsidRDefault="003F41D1" w:rsidP="0041329E">
            <w:pPr>
              <w:pStyle w:val="AERtabletext-numbers"/>
              <w:rPr>
                <w:rFonts w:eastAsia="Calibri"/>
              </w:rPr>
            </w:pPr>
            <w:r>
              <w:rPr>
                <w:rFonts w:eastAsia="Calibri"/>
              </w:rPr>
              <w:t>$394 million</w:t>
            </w:r>
          </w:p>
        </w:tc>
        <w:tc>
          <w:tcPr>
            <w:tcW w:w="1467" w:type="dxa"/>
          </w:tcPr>
          <w:p w:rsidR="00D12A3D" w:rsidRPr="004B149F" w:rsidRDefault="00BD0274" w:rsidP="0041329E">
            <w:pPr>
              <w:pStyle w:val="AERtabletext-numbers"/>
              <w:rPr>
                <w:rFonts w:eastAsia="Calibri"/>
              </w:rPr>
            </w:pPr>
            <w:r>
              <w:rPr>
                <w:rFonts w:eastAsia="Calibri"/>
              </w:rPr>
              <w:t>$872</w:t>
            </w:r>
            <w:r w:rsidR="005B2873">
              <w:rPr>
                <w:rFonts w:eastAsia="Calibri"/>
              </w:rPr>
              <w:t> million</w:t>
            </w:r>
          </w:p>
        </w:tc>
        <w:tc>
          <w:tcPr>
            <w:tcW w:w="1467" w:type="dxa"/>
          </w:tcPr>
          <w:p w:rsidR="00D12A3D" w:rsidRPr="004B149F" w:rsidRDefault="00D12A3D" w:rsidP="0041329E">
            <w:pPr>
              <w:pStyle w:val="AERtabletext-numbers"/>
              <w:rPr>
                <w:rFonts w:eastAsia="Calibri"/>
              </w:rPr>
            </w:pPr>
            <w:r>
              <w:rPr>
                <w:rFonts w:eastAsia="Calibri"/>
              </w:rPr>
              <w:t>$578 million</w:t>
            </w:r>
          </w:p>
        </w:tc>
        <w:tc>
          <w:tcPr>
            <w:tcW w:w="1467" w:type="dxa"/>
          </w:tcPr>
          <w:p w:rsidR="00D12A3D" w:rsidRPr="004B149F" w:rsidRDefault="00D12A3D" w:rsidP="00D12A3D">
            <w:pPr>
              <w:pStyle w:val="AERtabletext-numbers"/>
              <w:rPr>
                <w:rFonts w:eastAsia="Calibri"/>
              </w:rPr>
            </w:pPr>
            <w:r>
              <w:rPr>
                <w:rFonts w:eastAsia="Calibri"/>
              </w:rPr>
              <w:t>$410 million</w:t>
            </w:r>
          </w:p>
        </w:tc>
      </w:tr>
      <w:tr w:rsidR="00D12A3D" w:rsidRPr="00995B8F" w:rsidTr="0041329E">
        <w:trPr>
          <w:trHeight w:val="434"/>
        </w:trPr>
        <w:tc>
          <w:tcPr>
            <w:tcW w:w="2660" w:type="dxa"/>
          </w:tcPr>
          <w:p w:rsidR="00D12A3D" w:rsidRPr="004B149F" w:rsidRDefault="00D12A3D" w:rsidP="0041329E">
            <w:pPr>
              <w:pStyle w:val="AERtabletext"/>
            </w:pPr>
            <w:r>
              <w:t>Difference (per cent)</w:t>
            </w:r>
          </w:p>
        </w:tc>
        <w:tc>
          <w:tcPr>
            <w:tcW w:w="1467" w:type="dxa"/>
          </w:tcPr>
          <w:p w:rsidR="00D12A3D" w:rsidRPr="004B149F" w:rsidRDefault="00223CA1" w:rsidP="0041329E">
            <w:pPr>
              <w:pStyle w:val="AERtabletext-numbers"/>
              <w:rPr>
                <w:rFonts w:eastAsia="Calibri"/>
              </w:rPr>
            </w:pPr>
            <w:r>
              <w:rPr>
                <w:rFonts w:eastAsia="Calibri"/>
              </w:rPr>
              <w:t>-5</w:t>
            </w:r>
            <w:r w:rsidR="00220823">
              <w:rPr>
                <w:rFonts w:eastAsia="Calibri"/>
              </w:rPr>
              <w:t>8</w:t>
            </w:r>
            <w:r w:rsidR="00C37A6C" w:rsidRPr="00C37A6C">
              <w:rPr>
                <w:rFonts w:eastAsia="Calibri"/>
              </w:rPr>
              <w:t>%</w:t>
            </w:r>
          </w:p>
        </w:tc>
        <w:tc>
          <w:tcPr>
            <w:tcW w:w="1467" w:type="dxa"/>
          </w:tcPr>
          <w:p w:rsidR="00D12A3D" w:rsidRPr="004B149F" w:rsidRDefault="005B2873" w:rsidP="0041329E">
            <w:pPr>
              <w:pStyle w:val="AERtabletext-numbers"/>
              <w:rPr>
                <w:rFonts w:eastAsia="Calibri"/>
              </w:rPr>
            </w:pPr>
            <w:r>
              <w:rPr>
                <w:rFonts w:eastAsia="Calibri"/>
              </w:rPr>
              <w:t>-59</w:t>
            </w:r>
            <w:r w:rsidR="00C37A6C" w:rsidRPr="00C37A6C">
              <w:rPr>
                <w:rFonts w:eastAsia="Calibri"/>
              </w:rPr>
              <w:t>%</w:t>
            </w:r>
          </w:p>
        </w:tc>
        <w:tc>
          <w:tcPr>
            <w:tcW w:w="1467" w:type="dxa"/>
          </w:tcPr>
          <w:p w:rsidR="00D12A3D" w:rsidRPr="004B149F" w:rsidRDefault="00D12A3D" w:rsidP="00042F0A">
            <w:pPr>
              <w:pStyle w:val="AERtabletext-numbers"/>
              <w:rPr>
                <w:rFonts w:eastAsia="Calibri"/>
              </w:rPr>
            </w:pPr>
            <w:r>
              <w:rPr>
                <w:rFonts w:eastAsia="Calibri"/>
              </w:rPr>
              <w:t>-22</w:t>
            </w:r>
            <w:r w:rsidR="00C37A6C" w:rsidRPr="00C37A6C">
              <w:rPr>
                <w:rFonts w:eastAsia="Calibri"/>
              </w:rPr>
              <w:t>%</w:t>
            </w:r>
          </w:p>
        </w:tc>
        <w:tc>
          <w:tcPr>
            <w:tcW w:w="1467" w:type="dxa"/>
          </w:tcPr>
          <w:p w:rsidR="00D12A3D" w:rsidRPr="004B149F" w:rsidRDefault="00D12A3D" w:rsidP="00D12A3D">
            <w:pPr>
              <w:pStyle w:val="AERtabletext-numbers"/>
              <w:rPr>
                <w:rFonts w:eastAsia="Calibri"/>
              </w:rPr>
            </w:pPr>
            <w:r>
              <w:rPr>
                <w:rFonts w:eastAsia="Calibri"/>
              </w:rPr>
              <w:t>-</w:t>
            </w:r>
            <w:r w:rsidR="00BD0274">
              <w:rPr>
                <w:rFonts w:eastAsia="Calibri"/>
              </w:rPr>
              <w:t>5</w:t>
            </w:r>
            <w:r w:rsidR="00220823">
              <w:rPr>
                <w:rFonts w:eastAsia="Calibri"/>
              </w:rPr>
              <w:t>3</w:t>
            </w:r>
            <w:r w:rsidR="00C37A6C" w:rsidRPr="00C37A6C">
              <w:rPr>
                <w:rFonts w:eastAsia="Calibri"/>
              </w:rPr>
              <w:t>%</w:t>
            </w:r>
          </w:p>
        </w:tc>
      </w:tr>
      <w:tr w:rsidR="00D12A3D" w:rsidRPr="00995B8F" w:rsidTr="0041329E">
        <w:trPr>
          <w:cnfStyle w:val="000000010000"/>
          <w:trHeight w:val="434"/>
        </w:trPr>
        <w:tc>
          <w:tcPr>
            <w:tcW w:w="2660" w:type="dxa"/>
          </w:tcPr>
          <w:p w:rsidR="00D12A3D" w:rsidRDefault="00D12A3D" w:rsidP="0041329E">
            <w:pPr>
              <w:pStyle w:val="AERtabletext"/>
            </w:pPr>
            <w:r>
              <w:t>Impact on revenue</w:t>
            </w:r>
          </w:p>
        </w:tc>
        <w:tc>
          <w:tcPr>
            <w:tcW w:w="1467" w:type="dxa"/>
          </w:tcPr>
          <w:p w:rsidR="00D12A3D" w:rsidRPr="004B149F" w:rsidRDefault="003F41D1" w:rsidP="00223CA1">
            <w:pPr>
              <w:pStyle w:val="AERtabletext-numbers"/>
              <w:rPr>
                <w:rFonts w:eastAsia="Calibri"/>
              </w:rPr>
            </w:pPr>
            <w:r>
              <w:rPr>
                <w:rFonts w:eastAsia="Calibri"/>
              </w:rPr>
              <w:t>$</w:t>
            </w:r>
            <w:r w:rsidR="00223CA1">
              <w:rPr>
                <w:rFonts w:eastAsia="Calibri"/>
              </w:rPr>
              <w:t>78</w:t>
            </w:r>
            <w:r>
              <w:rPr>
                <w:rFonts w:eastAsia="Calibri"/>
              </w:rPr>
              <w:t> </w:t>
            </w:r>
            <w:r w:rsidR="00C37A6C">
              <w:rPr>
                <w:rFonts w:eastAsia="Calibri"/>
              </w:rPr>
              <w:t>million</w:t>
            </w:r>
          </w:p>
        </w:tc>
        <w:tc>
          <w:tcPr>
            <w:tcW w:w="1467" w:type="dxa"/>
          </w:tcPr>
          <w:p w:rsidR="00D12A3D" w:rsidRPr="004B149F" w:rsidRDefault="00BD0274" w:rsidP="0041329E">
            <w:pPr>
              <w:pStyle w:val="AERtabletext-numbers"/>
              <w:rPr>
                <w:rFonts w:eastAsia="Calibri"/>
              </w:rPr>
            </w:pPr>
            <w:r>
              <w:rPr>
                <w:rFonts w:eastAsia="Calibri"/>
              </w:rPr>
              <w:t>-$93</w:t>
            </w:r>
            <w:r w:rsidR="008520F1">
              <w:rPr>
                <w:rFonts w:eastAsia="Calibri"/>
              </w:rPr>
              <w:t> million</w:t>
            </w:r>
          </w:p>
        </w:tc>
        <w:tc>
          <w:tcPr>
            <w:tcW w:w="1467" w:type="dxa"/>
          </w:tcPr>
          <w:p w:rsidR="00D12A3D" w:rsidRDefault="00D12A3D" w:rsidP="0041329E">
            <w:pPr>
              <w:pStyle w:val="AERtabletext-numbers"/>
              <w:rPr>
                <w:rFonts w:eastAsia="Calibri"/>
              </w:rPr>
            </w:pPr>
            <w:r>
              <w:rPr>
                <w:rFonts w:eastAsia="Calibri"/>
              </w:rPr>
              <w:t>-$22 million</w:t>
            </w:r>
          </w:p>
        </w:tc>
        <w:tc>
          <w:tcPr>
            <w:tcW w:w="1467" w:type="dxa"/>
          </w:tcPr>
          <w:p w:rsidR="00D12A3D" w:rsidRPr="004B149F" w:rsidRDefault="00BD0274" w:rsidP="00D12A3D">
            <w:pPr>
              <w:pStyle w:val="AERtabletext-numbers"/>
              <w:rPr>
                <w:rFonts w:eastAsia="Calibri"/>
              </w:rPr>
            </w:pPr>
            <w:r>
              <w:rPr>
                <w:rFonts w:eastAsia="Calibri"/>
              </w:rPr>
              <w:t>-$43</w:t>
            </w:r>
            <w:r w:rsidR="00D12A3D">
              <w:rPr>
                <w:rFonts w:eastAsia="Calibri"/>
              </w:rPr>
              <w:t> million</w:t>
            </w:r>
          </w:p>
        </w:tc>
      </w:tr>
      <w:tr w:rsidR="00D12A3D" w:rsidRPr="00995B8F" w:rsidTr="0041329E">
        <w:trPr>
          <w:trHeight w:val="434"/>
        </w:trPr>
        <w:tc>
          <w:tcPr>
            <w:tcW w:w="2660" w:type="dxa"/>
          </w:tcPr>
          <w:p w:rsidR="00D12A3D" w:rsidRDefault="00D12A3D" w:rsidP="00B60946">
            <w:pPr>
              <w:pStyle w:val="AERtabletext"/>
            </w:pPr>
            <w:r>
              <w:t xml:space="preserve">Impact on revenue </w:t>
            </w:r>
            <w:r w:rsidR="0066174C">
              <w:t>(per cent)</w:t>
            </w:r>
          </w:p>
        </w:tc>
        <w:tc>
          <w:tcPr>
            <w:tcW w:w="1467" w:type="dxa"/>
          </w:tcPr>
          <w:p w:rsidR="00D12A3D" w:rsidRPr="004B149F" w:rsidRDefault="00223CA1" w:rsidP="00223CA1">
            <w:pPr>
              <w:pStyle w:val="AERtabletext-numbers"/>
              <w:rPr>
                <w:rFonts w:eastAsia="Calibri"/>
              </w:rPr>
            </w:pPr>
            <w:r>
              <w:rPr>
                <w:rFonts w:eastAsia="Calibri"/>
              </w:rPr>
              <w:t>-10</w:t>
            </w:r>
            <w:r w:rsidR="00C37A6C">
              <w:rPr>
                <w:rFonts w:eastAsia="Calibri"/>
              </w:rPr>
              <w:t>%</w:t>
            </w:r>
          </w:p>
        </w:tc>
        <w:tc>
          <w:tcPr>
            <w:tcW w:w="1467" w:type="dxa"/>
          </w:tcPr>
          <w:p w:rsidR="00D12A3D" w:rsidRPr="004B149F" w:rsidRDefault="008520F1" w:rsidP="0041329E">
            <w:pPr>
              <w:pStyle w:val="AERtabletext-numbers"/>
              <w:rPr>
                <w:rFonts w:eastAsia="Calibri"/>
              </w:rPr>
            </w:pPr>
            <w:r>
              <w:rPr>
                <w:rFonts w:eastAsia="Calibri"/>
              </w:rPr>
              <w:t>-</w:t>
            </w:r>
            <w:r w:rsidR="00DA28D5">
              <w:rPr>
                <w:rFonts w:eastAsia="Calibri"/>
              </w:rPr>
              <w:t>8</w:t>
            </w:r>
            <w:r w:rsidR="00C37A6C" w:rsidRPr="00C37A6C">
              <w:rPr>
                <w:rFonts w:eastAsia="Calibri"/>
              </w:rPr>
              <w:t>%</w:t>
            </w:r>
          </w:p>
        </w:tc>
        <w:tc>
          <w:tcPr>
            <w:tcW w:w="1467" w:type="dxa"/>
          </w:tcPr>
          <w:p w:rsidR="00D12A3D" w:rsidRDefault="00042F0A" w:rsidP="0041329E">
            <w:pPr>
              <w:pStyle w:val="AERtabletext-numbers"/>
              <w:rPr>
                <w:rFonts w:eastAsia="Calibri"/>
              </w:rPr>
            </w:pPr>
            <w:r>
              <w:rPr>
                <w:rFonts w:eastAsia="Calibri"/>
              </w:rPr>
              <w:t>-2</w:t>
            </w:r>
            <w:r w:rsidR="00C37A6C" w:rsidRPr="00C37A6C">
              <w:rPr>
                <w:rFonts w:eastAsia="Calibri"/>
              </w:rPr>
              <w:t>%</w:t>
            </w:r>
          </w:p>
        </w:tc>
        <w:tc>
          <w:tcPr>
            <w:tcW w:w="1467" w:type="dxa"/>
          </w:tcPr>
          <w:p w:rsidR="00D12A3D" w:rsidRPr="004B149F" w:rsidRDefault="00D12A3D" w:rsidP="00D12A3D">
            <w:pPr>
              <w:pStyle w:val="AERtabletext-numbers"/>
              <w:rPr>
                <w:rFonts w:eastAsia="Calibri"/>
              </w:rPr>
            </w:pPr>
            <w:r>
              <w:rPr>
                <w:rFonts w:eastAsia="Calibri"/>
              </w:rPr>
              <w:t>-4</w:t>
            </w:r>
            <w:r w:rsidR="00C37A6C" w:rsidRPr="00C37A6C">
              <w:rPr>
                <w:rFonts w:eastAsia="Calibri"/>
              </w:rPr>
              <w:t>%</w:t>
            </w:r>
          </w:p>
        </w:tc>
      </w:tr>
    </w:tbl>
    <w:p w:rsidR="005B2873" w:rsidRDefault="0041329E" w:rsidP="005B2873">
      <w:pPr>
        <w:pStyle w:val="AERtablesource"/>
        <w:rPr>
          <w:rFonts w:eastAsia="Calibri"/>
        </w:rPr>
      </w:pPr>
      <w:r w:rsidRPr="004B149F">
        <w:rPr>
          <w:rFonts w:eastAsia="Calibri"/>
        </w:rPr>
        <w:t xml:space="preserve">Source: </w:t>
      </w:r>
      <w:r w:rsidRPr="004B149F">
        <w:rPr>
          <w:rFonts w:eastAsia="Calibri"/>
        </w:rPr>
        <w:tab/>
        <w:t>AER analysis.</w:t>
      </w:r>
    </w:p>
    <w:p w:rsidR="005B2873" w:rsidRPr="005B2873" w:rsidRDefault="005B2873" w:rsidP="005B2873">
      <w:pPr>
        <w:pStyle w:val="AERtablesource"/>
        <w:rPr>
          <w:rFonts w:eastAsia="Calibri"/>
        </w:rPr>
      </w:pPr>
      <w:r>
        <w:rPr>
          <w:rFonts w:eastAsia="Calibri"/>
        </w:rPr>
        <w:t>Notes:</w:t>
      </w:r>
      <w:r>
        <w:rPr>
          <w:rFonts w:eastAsia="Calibri"/>
        </w:rPr>
        <w:tab/>
        <w:t xml:space="preserve">(a) The AER’s draft decision also included its </w:t>
      </w:r>
      <w:proofErr w:type="spellStart"/>
      <w:r>
        <w:rPr>
          <w:rFonts w:eastAsia="Calibri"/>
        </w:rPr>
        <w:t>Envestra</w:t>
      </w:r>
      <w:proofErr w:type="spellEnd"/>
      <w:r>
        <w:rPr>
          <w:rFonts w:eastAsia="Calibri"/>
        </w:rPr>
        <w:t xml:space="preserve"> Albury business. For simplicity only </w:t>
      </w:r>
      <w:proofErr w:type="spellStart"/>
      <w:r>
        <w:rPr>
          <w:rFonts w:eastAsia="Calibri"/>
        </w:rPr>
        <w:t>Envestra</w:t>
      </w:r>
      <w:proofErr w:type="spellEnd"/>
      <w:r>
        <w:rPr>
          <w:rFonts w:eastAsia="Calibri"/>
        </w:rPr>
        <w:t xml:space="preserve"> Victoria has been included in this table.</w:t>
      </w:r>
    </w:p>
    <w:p w:rsidR="00217C6F" w:rsidRDefault="00217C6F" w:rsidP="00217C6F">
      <w:pPr>
        <w:pStyle w:val="AERheading4"/>
        <w:rPr>
          <w:rFonts w:eastAsia="Calibri"/>
        </w:rPr>
      </w:pPr>
      <w:r>
        <w:rPr>
          <w:rFonts w:eastAsia="Calibri"/>
        </w:rPr>
        <w:t>Rate of return</w:t>
      </w:r>
    </w:p>
    <w:p w:rsidR="00CF225C" w:rsidRDefault="00021D70" w:rsidP="00021D70">
      <w:pPr>
        <w:pStyle w:val="AERbodytext"/>
        <w:rPr>
          <w:rFonts w:eastAsia="Calibri"/>
        </w:rPr>
      </w:pPr>
      <w:r>
        <w:rPr>
          <w:rFonts w:eastAsia="Calibri"/>
        </w:rPr>
        <w:t>The AER’s draft decision</w:t>
      </w:r>
      <w:r w:rsidR="00CF225C">
        <w:rPr>
          <w:rFonts w:eastAsia="Calibri"/>
        </w:rPr>
        <w:t xml:space="preserve"> wa</w:t>
      </w:r>
      <w:r>
        <w:rPr>
          <w:rFonts w:eastAsia="Calibri"/>
        </w:rPr>
        <w:t xml:space="preserve">s </w:t>
      </w:r>
      <w:r w:rsidR="00CF225C">
        <w:rPr>
          <w:rFonts w:eastAsia="Calibri"/>
        </w:rPr>
        <w:t xml:space="preserve">to set the rate of return at 7.16 per cent rather than the 9.06 per cent </w:t>
      </w:r>
      <w:r>
        <w:rPr>
          <w:rFonts w:eastAsia="Calibri"/>
        </w:rPr>
        <w:t xml:space="preserve">proposed by </w:t>
      </w:r>
      <w:r w:rsidR="00297F52">
        <w:rPr>
          <w:rFonts w:eastAsia="Calibri"/>
        </w:rPr>
        <w:t xml:space="preserve">the </w:t>
      </w:r>
      <w:r>
        <w:rPr>
          <w:rFonts w:eastAsia="Calibri"/>
        </w:rPr>
        <w:t xml:space="preserve">businesses. </w:t>
      </w:r>
    </w:p>
    <w:p w:rsidR="00CF225C" w:rsidRDefault="00021D70" w:rsidP="00021D70">
      <w:pPr>
        <w:pStyle w:val="AERbodytext"/>
        <w:rPr>
          <w:rFonts w:eastAsia="Calibri"/>
        </w:rPr>
      </w:pPr>
      <w:r>
        <w:rPr>
          <w:rFonts w:eastAsia="Calibri"/>
        </w:rPr>
        <w:t>In many cases the businesses proposed an approach that used long term historical data to set the rate of return. This led to a h</w:t>
      </w:r>
      <w:r w:rsidR="00CF225C">
        <w:rPr>
          <w:rFonts w:eastAsia="Calibri"/>
        </w:rPr>
        <w:t xml:space="preserve">igher rate of return than </w:t>
      </w:r>
      <w:r>
        <w:rPr>
          <w:rFonts w:eastAsia="Calibri"/>
        </w:rPr>
        <w:t xml:space="preserve">an approach that relied more on current market data. As the rate of return </w:t>
      </w:r>
      <w:r w:rsidR="00CF225C">
        <w:rPr>
          <w:rFonts w:eastAsia="Calibri"/>
        </w:rPr>
        <w:t>should</w:t>
      </w:r>
      <w:r>
        <w:rPr>
          <w:rFonts w:eastAsia="Calibri"/>
        </w:rPr>
        <w:t xml:space="preserve"> reflect current market conditions, </w:t>
      </w:r>
      <w:r w:rsidR="009A6065">
        <w:rPr>
          <w:rFonts w:eastAsia="Calibri"/>
        </w:rPr>
        <w:t>we consider</w:t>
      </w:r>
      <w:r>
        <w:rPr>
          <w:rFonts w:eastAsia="Calibri"/>
        </w:rPr>
        <w:t xml:space="preserve"> that </w:t>
      </w:r>
      <w:r w:rsidR="00CF225C">
        <w:rPr>
          <w:rFonts w:eastAsia="Calibri"/>
        </w:rPr>
        <w:t>use of</w:t>
      </w:r>
      <w:r>
        <w:rPr>
          <w:rFonts w:eastAsia="Calibri"/>
        </w:rPr>
        <w:t xml:space="preserve"> current market data is preferable. </w:t>
      </w:r>
    </w:p>
    <w:p w:rsidR="00864874" w:rsidRDefault="00021D70" w:rsidP="00021D70">
      <w:pPr>
        <w:pStyle w:val="AERbodytext"/>
        <w:rPr>
          <w:rFonts w:eastAsia="Calibri"/>
        </w:rPr>
      </w:pPr>
      <w:r>
        <w:rPr>
          <w:rFonts w:eastAsia="Calibri"/>
        </w:rPr>
        <w:t xml:space="preserve">This revision led to a drop in forecast revenue compared to that proposed by the businesses </w:t>
      </w:r>
      <w:r w:rsidR="005B2873">
        <w:rPr>
          <w:rFonts w:eastAsia="Calibri"/>
        </w:rPr>
        <w:t>(see</w:t>
      </w:r>
      <w:r w:rsidR="0066174C">
        <w:rPr>
          <w:rFonts w:eastAsia="Calibri"/>
        </w:rPr>
        <w:t xml:space="preserve"> table 5</w:t>
      </w:r>
      <w:r w:rsidR="0041329E">
        <w:rPr>
          <w:rFonts w:eastAsia="Calibri"/>
        </w:rPr>
        <w:t>.2</w:t>
      </w:r>
      <w:r w:rsidR="005B2873">
        <w:rPr>
          <w:rFonts w:eastAsia="Calibri"/>
        </w:rPr>
        <w:t>)</w:t>
      </w:r>
      <w:r w:rsidR="0041329E">
        <w:rPr>
          <w:rFonts w:eastAsia="Calibri"/>
        </w:rPr>
        <w:t>.</w:t>
      </w:r>
    </w:p>
    <w:p w:rsidR="0041329E" w:rsidRPr="00FC6798" w:rsidRDefault="008520F1" w:rsidP="00FC6798">
      <w:pPr>
        <w:pStyle w:val="AERtabletitle"/>
        <w:tabs>
          <w:tab w:val="clear" w:pos="2342"/>
          <w:tab w:val="num" w:pos="1440"/>
        </w:tabs>
        <w:ind w:left="1440" w:hanging="1440"/>
      </w:pPr>
      <w:r>
        <w:t>Revenue i</w:t>
      </w:r>
      <w:r w:rsidR="005B2873">
        <w:t xml:space="preserve">mpact of </w:t>
      </w:r>
      <w:r w:rsidR="000A1675">
        <w:t>our</w:t>
      </w:r>
      <w:r w:rsidR="0041329E" w:rsidRPr="004B149F">
        <w:t xml:space="preserve"> draft deci</w:t>
      </w:r>
      <w:r w:rsidR="0041329E">
        <w:t xml:space="preserve">sion </w:t>
      </w:r>
      <w:r w:rsidR="005B2873">
        <w:t>on</w:t>
      </w:r>
      <w:r w:rsidR="0041329E">
        <w:t xml:space="preserve"> the rate of return</w:t>
      </w:r>
    </w:p>
    <w:tbl>
      <w:tblPr>
        <w:tblStyle w:val="AERtable-text"/>
        <w:tblW w:w="8528" w:type="dxa"/>
        <w:tblLayout w:type="fixed"/>
        <w:tblLook w:val="0020"/>
      </w:tblPr>
      <w:tblGrid>
        <w:gridCol w:w="2660"/>
        <w:gridCol w:w="1467"/>
        <w:gridCol w:w="1467"/>
        <w:gridCol w:w="1467"/>
        <w:gridCol w:w="1467"/>
      </w:tblGrid>
      <w:tr w:rsidR="0041329E" w:rsidRPr="00995B8F" w:rsidTr="0041329E">
        <w:trPr>
          <w:cnfStyle w:val="100000000000"/>
          <w:trHeight w:val="293"/>
        </w:trPr>
        <w:tc>
          <w:tcPr>
            <w:tcW w:w="2660" w:type="dxa"/>
          </w:tcPr>
          <w:p w:rsidR="0041329E" w:rsidRPr="004B149F" w:rsidRDefault="0041329E" w:rsidP="0041329E">
            <w:pPr>
              <w:pStyle w:val="AERtabletextheadingright"/>
              <w:rPr>
                <w:rFonts w:eastAsia="Calibri"/>
              </w:rPr>
            </w:pPr>
          </w:p>
        </w:tc>
        <w:tc>
          <w:tcPr>
            <w:tcW w:w="1467" w:type="dxa"/>
          </w:tcPr>
          <w:p w:rsidR="0041329E" w:rsidRPr="004B149F" w:rsidRDefault="0041329E" w:rsidP="0041329E">
            <w:pPr>
              <w:pStyle w:val="AERtabletextheadingright"/>
              <w:rPr>
                <w:rFonts w:eastAsia="Calibri"/>
              </w:rPr>
            </w:pPr>
            <w:r w:rsidRPr="004B149F">
              <w:rPr>
                <w:rFonts w:eastAsia="Calibri"/>
              </w:rPr>
              <w:t xml:space="preserve">APA </w:t>
            </w:r>
            <w:proofErr w:type="spellStart"/>
            <w:r w:rsidRPr="004B149F">
              <w:rPr>
                <w:rFonts w:eastAsia="Calibri"/>
              </w:rPr>
              <w:t>GasNet</w:t>
            </w:r>
            <w:proofErr w:type="spellEnd"/>
          </w:p>
        </w:tc>
        <w:tc>
          <w:tcPr>
            <w:tcW w:w="1467" w:type="dxa"/>
          </w:tcPr>
          <w:p w:rsidR="0041329E" w:rsidRPr="004B149F" w:rsidRDefault="005B2873" w:rsidP="0041329E">
            <w:pPr>
              <w:pStyle w:val="AERtabletextheadingright"/>
              <w:rPr>
                <w:rFonts w:eastAsia="Calibri"/>
              </w:rPr>
            </w:pPr>
            <w:proofErr w:type="spellStart"/>
            <w:r w:rsidRPr="005B2873">
              <w:rPr>
                <w:rFonts w:eastAsia="Calibri"/>
              </w:rPr>
              <w:t>Envestra</w:t>
            </w:r>
            <w:proofErr w:type="spellEnd"/>
            <w:r w:rsidRPr="005B2873">
              <w:rPr>
                <w:rFonts w:eastAsia="Calibri"/>
              </w:rPr>
              <w:t xml:space="preserve"> </w:t>
            </w:r>
            <w:proofErr w:type="spellStart"/>
            <w:r w:rsidRPr="005B2873">
              <w:rPr>
                <w:rFonts w:eastAsia="Calibri"/>
              </w:rPr>
              <w:t>Victoria</w:t>
            </w:r>
            <w:r w:rsidRPr="005B2873">
              <w:rPr>
                <w:rStyle w:val="FootnoteReference"/>
                <w:rFonts w:eastAsia="Calibri"/>
              </w:rPr>
              <w:t>a</w:t>
            </w:r>
            <w:proofErr w:type="spellEnd"/>
          </w:p>
        </w:tc>
        <w:tc>
          <w:tcPr>
            <w:tcW w:w="1467" w:type="dxa"/>
          </w:tcPr>
          <w:p w:rsidR="0041329E" w:rsidRPr="004B149F" w:rsidRDefault="0041329E" w:rsidP="0041329E">
            <w:pPr>
              <w:pStyle w:val="AERtabletextheadingright"/>
              <w:rPr>
                <w:rFonts w:eastAsia="Calibri"/>
              </w:rPr>
            </w:pPr>
            <w:r w:rsidRPr="004B149F">
              <w:rPr>
                <w:rFonts w:eastAsia="Calibri"/>
              </w:rPr>
              <w:t xml:space="preserve">SP </w:t>
            </w:r>
            <w:proofErr w:type="spellStart"/>
            <w:r w:rsidRPr="004B149F">
              <w:rPr>
                <w:rFonts w:eastAsia="Calibri"/>
              </w:rPr>
              <w:t>AusNet</w:t>
            </w:r>
            <w:proofErr w:type="spellEnd"/>
          </w:p>
        </w:tc>
        <w:tc>
          <w:tcPr>
            <w:tcW w:w="1467" w:type="dxa"/>
          </w:tcPr>
          <w:p w:rsidR="0041329E" w:rsidRPr="004B149F" w:rsidRDefault="0041329E" w:rsidP="0041329E">
            <w:pPr>
              <w:pStyle w:val="AERtabletextheadingright"/>
              <w:rPr>
                <w:rFonts w:eastAsia="Calibri"/>
              </w:rPr>
            </w:pPr>
            <w:proofErr w:type="spellStart"/>
            <w:r w:rsidRPr="004B149F">
              <w:rPr>
                <w:rFonts w:eastAsia="Calibri"/>
              </w:rPr>
              <w:t>Multinet</w:t>
            </w:r>
            <w:proofErr w:type="spellEnd"/>
          </w:p>
        </w:tc>
      </w:tr>
      <w:tr w:rsidR="00223CA1" w:rsidRPr="00995B8F" w:rsidTr="005B2FA0">
        <w:trPr>
          <w:trHeight w:val="434"/>
        </w:trPr>
        <w:tc>
          <w:tcPr>
            <w:tcW w:w="2660" w:type="dxa"/>
          </w:tcPr>
          <w:p w:rsidR="00223CA1" w:rsidRDefault="00223CA1" w:rsidP="005B2FA0">
            <w:pPr>
              <w:pStyle w:val="AERtabletext"/>
            </w:pPr>
            <w:r>
              <w:t>Impact on revenue ($ nominal)</w:t>
            </w:r>
          </w:p>
        </w:tc>
        <w:tc>
          <w:tcPr>
            <w:tcW w:w="1467" w:type="dxa"/>
          </w:tcPr>
          <w:p w:rsidR="00223CA1" w:rsidRPr="004B149F" w:rsidRDefault="00223CA1" w:rsidP="005B2FA0">
            <w:pPr>
              <w:pStyle w:val="AERtabletext-numbers"/>
              <w:rPr>
                <w:rFonts w:eastAsia="Calibri"/>
              </w:rPr>
            </w:pPr>
            <w:r>
              <w:rPr>
                <w:rFonts w:eastAsia="Calibri"/>
              </w:rPr>
              <w:t>-$90 million</w:t>
            </w:r>
          </w:p>
        </w:tc>
        <w:tc>
          <w:tcPr>
            <w:tcW w:w="1467" w:type="dxa"/>
          </w:tcPr>
          <w:p w:rsidR="00223CA1" w:rsidRPr="004B149F" w:rsidRDefault="00BD0274" w:rsidP="00BD0274">
            <w:pPr>
              <w:pStyle w:val="AERtabletext-numbers"/>
              <w:rPr>
                <w:rFonts w:eastAsia="Calibri"/>
              </w:rPr>
            </w:pPr>
            <w:r>
              <w:rPr>
                <w:rFonts w:eastAsia="Calibri"/>
              </w:rPr>
              <w:t>-$171</w:t>
            </w:r>
            <w:r w:rsidR="008520F1">
              <w:rPr>
                <w:rFonts w:eastAsia="Calibri"/>
              </w:rPr>
              <w:t> million</w:t>
            </w:r>
          </w:p>
        </w:tc>
        <w:tc>
          <w:tcPr>
            <w:tcW w:w="1467" w:type="dxa"/>
          </w:tcPr>
          <w:p w:rsidR="00223CA1" w:rsidRDefault="00223CA1" w:rsidP="005B2FA0">
            <w:pPr>
              <w:pStyle w:val="AERtabletext-numbers"/>
              <w:rPr>
                <w:rFonts w:eastAsia="Calibri"/>
              </w:rPr>
            </w:pPr>
            <w:r>
              <w:rPr>
                <w:rFonts w:eastAsia="Calibri"/>
              </w:rPr>
              <w:t>-$165 million</w:t>
            </w:r>
          </w:p>
        </w:tc>
        <w:tc>
          <w:tcPr>
            <w:tcW w:w="1467" w:type="dxa"/>
          </w:tcPr>
          <w:p w:rsidR="00223CA1" w:rsidRPr="004B149F" w:rsidRDefault="00BD0274" w:rsidP="005B2FA0">
            <w:pPr>
              <w:pStyle w:val="AERtabletext-numbers"/>
              <w:rPr>
                <w:rFonts w:eastAsia="Calibri"/>
              </w:rPr>
            </w:pPr>
            <w:r>
              <w:rPr>
                <w:rFonts w:eastAsia="Calibri"/>
              </w:rPr>
              <w:t>-$130</w:t>
            </w:r>
            <w:r w:rsidR="00223CA1">
              <w:rPr>
                <w:rFonts w:eastAsia="Calibri"/>
              </w:rPr>
              <w:t> million</w:t>
            </w:r>
          </w:p>
        </w:tc>
      </w:tr>
      <w:tr w:rsidR="00223CA1" w:rsidRPr="00995B8F" w:rsidTr="005B2FA0">
        <w:trPr>
          <w:cnfStyle w:val="000000010000"/>
          <w:trHeight w:val="434"/>
        </w:trPr>
        <w:tc>
          <w:tcPr>
            <w:tcW w:w="2660" w:type="dxa"/>
          </w:tcPr>
          <w:p w:rsidR="00223CA1" w:rsidRDefault="00223CA1" w:rsidP="005B2FA0">
            <w:pPr>
              <w:pStyle w:val="AERtabletext"/>
            </w:pPr>
            <w:r>
              <w:t>Impact on revenue (per cent)</w:t>
            </w:r>
          </w:p>
        </w:tc>
        <w:tc>
          <w:tcPr>
            <w:tcW w:w="1467" w:type="dxa"/>
          </w:tcPr>
          <w:p w:rsidR="00223CA1" w:rsidRPr="004B149F" w:rsidRDefault="00223CA1" w:rsidP="005B2FA0">
            <w:pPr>
              <w:pStyle w:val="AERtabletext-numbers"/>
              <w:rPr>
                <w:rFonts w:eastAsia="Calibri"/>
              </w:rPr>
            </w:pPr>
            <w:r>
              <w:rPr>
                <w:rFonts w:eastAsia="Calibri"/>
              </w:rPr>
              <w:t>-12</w:t>
            </w:r>
            <w:r w:rsidR="00C37A6C" w:rsidRPr="00C37A6C">
              <w:rPr>
                <w:rFonts w:eastAsia="Calibri"/>
              </w:rPr>
              <w:t>%</w:t>
            </w:r>
          </w:p>
        </w:tc>
        <w:tc>
          <w:tcPr>
            <w:tcW w:w="1467" w:type="dxa"/>
          </w:tcPr>
          <w:p w:rsidR="00223CA1" w:rsidRPr="004B149F" w:rsidRDefault="008520F1" w:rsidP="005B2FA0">
            <w:pPr>
              <w:pStyle w:val="AERtabletext-numbers"/>
              <w:rPr>
                <w:rFonts w:eastAsia="Calibri"/>
              </w:rPr>
            </w:pPr>
            <w:r>
              <w:rPr>
                <w:rFonts w:eastAsia="Calibri"/>
              </w:rPr>
              <w:t>-</w:t>
            </w:r>
            <w:r w:rsidR="00BD0274">
              <w:rPr>
                <w:rFonts w:eastAsia="Calibri"/>
              </w:rPr>
              <w:t>14</w:t>
            </w:r>
            <w:r w:rsidR="00C37A6C" w:rsidRPr="00C37A6C">
              <w:rPr>
                <w:rFonts w:eastAsia="Calibri"/>
              </w:rPr>
              <w:t>%</w:t>
            </w:r>
          </w:p>
        </w:tc>
        <w:tc>
          <w:tcPr>
            <w:tcW w:w="1467" w:type="dxa"/>
          </w:tcPr>
          <w:p w:rsidR="00223CA1" w:rsidRDefault="00042F0A" w:rsidP="005B2FA0">
            <w:pPr>
              <w:pStyle w:val="AERtabletext-numbers"/>
              <w:rPr>
                <w:rFonts w:eastAsia="Calibri"/>
              </w:rPr>
            </w:pPr>
            <w:r>
              <w:rPr>
                <w:rFonts w:eastAsia="Calibri"/>
              </w:rPr>
              <w:t>-14</w:t>
            </w:r>
            <w:r w:rsidR="00C37A6C" w:rsidRPr="00C37A6C">
              <w:rPr>
                <w:rFonts w:eastAsia="Calibri"/>
              </w:rPr>
              <w:t>%</w:t>
            </w:r>
          </w:p>
        </w:tc>
        <w:tc>
          <w:tcPr>
            <w:tcW w:w="1467" w:type="dxa"/>
          </w:tcPr>
          <w:p w:rsidR="00223CA1" w:rsidRPr="004B149F" w:rsidRDefault="00223CA1" w:rsidP="005B2FA0">
            <w:pPr>
              <w:pStyle w:val="AERtabletext-numbers"/>
              <w:rPr>
                <w:rFonts w:eastAsia="Calibri"/>
              </w:rPr>
            </w:pPr>
            <w:r>
              <w:rPr>
                <w:rFonts w:eastAsia="Calibri"/>
              </w:rPr>
              <w:t>-1</w:t>
            </w:r>
            <w:r w:rsidR="00BD0274">
              <w:rPr>
                <w:rFonts w:eastAsia="Calibri"/>
              </w:rPr>
              <w:t>1</w:t>
            </w:r>
            <w:r w:rsidR="00C37A6C" w:rsidRPr="00C37A6C">
              <w:rPr>
                <w:rFonts w:eastAsia="Calibri"/>
              </w:rPr>
              <w:t>%</w:t>
            </w:r>
          </w:p>
        </w:tc>
      </w:tr>
    </w:tbl>
    <w:p w:rsidR="0041329E" w:rsidRDefault="0041329E" w:rsidP="0041329E">
      <w:pPr>
        <w:pStyle w:val="AERtablesource"/>
        <w:rPr>
          <w:rFonts w:eastAsia="Calibri"/>
        </w:rPr>
      </w:pPr>
      <w:r w:rsidRPr="004B149F">
        <w:rPr>
          <w:rFonts w:eastAsia="Calibri"/>
        </w:rPr>
        <w:t xml:space="preserve">Source: </w:t>
      </w:r>
      <w:r w:rsidRPr="004B149F">
        <w:rPr>
          <w:rFonts w:eastAsia="Calibri"/>
        </w:rPr>
        <w:tab/>
        <w:t>AER analysis.</w:t>
      </w:r>
    </w:p>
    <w:p w:rsidR="005B2873" w:rsidRPr="005B2873" w:rsidRDefault="005B2873" w:rsidP="005B2873">
      <w:pPr>
        <w:pStyle w:val="AERtablesource"/>
        <w:rPr>
          <w:rFonts w:eastAsia="Calibri"/>
        </w:rPr>
      </w:pPr>
      <w:r>
        <w:rPr>
          <w:rFonts w:eastAsia="Calibri"/>
        </w:rPr>
        <w:t>Notes:</w:t>
      </w:r>
      <w:r>
        <w:rPr>
          <w:rFonts w:eastAsia="Calibri"/>
        </w:rPr>
        <w:tab/>
        <w:t xml:space="preserve">(a) The AER’s draft decision also included its </w:t>
      </w:r>
      <w:proofErr w:type="spellStart"/>
      <w:r>
        <w:rPr>
          <w:rFonts w:eastAsia="Calibri"/>
        </w:rPr>
        <w:t>Envestra</w:t>
      </w:r>
      <w:proofErr w:type="spellEnd"/>
      <w:r>
        <w:rPr>
          <w:rFonts w:eastAsia="Calibri"/>
        </w:rPr>
        <w:t xml:space="preserve"> Albury business. For simplicity only </w:t>
      </w:r>
      <w:proofErr w:type="spellStart"/>
      <w:r>
        <w:rPr>
          <w:rFonts w:eastAsia="Calibri"/>
        </w:rPr>
        <w:t>Envestra</w:t>
      </w:r>
      <w:proofErr w:type="spellEnd"/>
      <w:r>
        <w:rPr>
          <w:rFonts w:eastAsia="Calibri"/>
        </w:rPr>
        <w:t xml:space="preserve"> Victoria has been included in this table.</w:t>
      </w:r>
    </w:p>
    <w:p w:rsidR="0041329E" w:rsidRDefault="0041329E" w:rsidP="0041329E">
      <w:pPr>
        <w:pStyle w:val="AERheading4"/>
        <w:rPr>
          <w:rFonts w:eastAsia="Calibri"/>
        </w:rPr>
      </w:pPr>
      <w:r>
        <w:rPr>
          <w:rFonts w:eastAsia="Calibri"/>
        </w:rPr>
        <w:t>Operating expenditure</w:t>
      </w:r>
    </w:p>
    <w:p w:rsidR="00CF225C" w:rsidRDefault="00CF225C" w:rsidP="0041329E">
      <w:pPr>
        <w:pStyle w:val="AERbodytext"/>
        <w:rPr>
          <w:rFonts w:eastAsia="Calibri"/>
        </w:rPr>
      </w:pPr>
      <w:r>
        <w:rPr>
          <w:rFonts w:eastAsia="Calibri"/>
        </w:rPr>
        <w:t xml:space="preserve">In general, </w:t>
      </w:r>
      <w:r w:rsidR="000A1675">
        <w:rPr>
          <w:rFonts w:eastAsia="Calibri"/>
        </w:rPr>
        <w:t>our</w:t>
      </w:r>
      <w:r>
        <w:rPr>
          <w:rFonts w:eastAsia="Calibri"/>
        </w:rPr>
        <w:t xml:space="preserve"> draft decisions on </w:t>
      </w:r>
      <w:proofErr w:type="spellStart"/>
      <w:r>
        <w:rPr>
          <w:rFonts w:eastAsia="Calibri"/>
        </w:rPr>
        <w:t>opex</w:t>
      </w:r>
      <w:proofErr w:type="spellEnd"/>
      <w:r>
        <w:rPr>
          <w:rFonts w:eastAsia="Calibri"/>
        </w:rPr>
        <w:t xml:space="preserve"> bring forecasts for each of the businesses to levels more in line with historic levels of </w:t>
      </w:r>
      <w:proofErr w:type="spellStart"/>
      <w:r>
        <w:rPr>
          <w:rFonts w:eastAsia="Calibri"/>
        </w:rPr>
        <w:t>opex</w:t>
      </w:r>
      <w:proofErr w:type="spellEnd"/>
      <w:r>
        <w:rPr>
          <w:rFonts w:eastAsia="Calibri"/>
        </w:rPr>
        <w:t xml:space="preserve"> undertaken by the businesses.</w:t>
      </w:r>
      <w:r w:rsidRPr="00FF3444">
        <w:rPr>
          <w:rFonts w:eastAsia="Calibri"/>
        </w:rPr>
        <w:t xml:space="preserve"> </w:t>
      </w:r>
    </w:p>
    <w:p w:rsidR="00FC3BA5" w:rsidRDefault="006A6C5A" w:rsidP="0041329E">
      <w:pPr>
        <w:pStyle w:val="AERbodytext"/>
        <w:rPr>
          <w:rFonts w:eastAsia="Calibri"/>
        </w:rPr>
      </w:pPr>
      <w:r>
        <w:rPr>
          <w:rFonts w:eastAsia="Calibri"/>
        </w:rPr>
        <w:t xml:space="preserve">As discussed, </w:t>
      </w:r>
      <w:r w:rsidR="000A1675">
        <w:rPr>
          <w:rFonts w:eastAsia="Calibri"/>
        </w:rPr>
        <w:t>we generally use</w:t>
      </w:r>
      <w:r>
        <w:rPr>
          <w:rFonts w:eastAsia="Calibri"/>
        </w:rPr>
        <w:t xml:space="preserve"> a base year approach to forecast </w:t>
      </w:r>
      <w:proofErr w:type="spellStart"/>
      <w:r>
        <w:rPr>
          <w:rFonts w:eastAsia="Calibri"/>
        </w:rPr>
        <w:t>opex</w:t>
      </w:r>
      <w:proofErr w:type="spellEnd"/>
      <w:r>
        <w:rPr>
          <w:rFonts w:eastAsia="Calibri"/>
        </w:rPr>
        <w:t xml:space="preserve">. All businesses except for </w:t>
      </w:r>
      <w:proofErr w:type="spellStart"/>
      <w:r>
        <w:rPr>
          <w:rFonts w:eastAsia="Calibri"/>
        </w:rPr>
        <w:t>Multinet</w:t>
      </w:r>
      <w:proofErr w:type="spellEnd"/>
      <w:r>
        <w:rPr>
          <w:rFonts w:eastAsia="Calibri"/>
        </w:rPr>
        <w:t xml:space="preserve"> applied this same methodology. </w:t>
      </w:r>
      <w:r w:rsidR="00FC3BA5">
        <w:rPr>
          <w:rFonts w:eastAsia="Calibri"/>
        </w:rPr>
        <w:t xml:space="preserve">While </w:t>
      </w:r>
      <w:r w:rsidR="000A1675">
        <w:rPr>
          <w:rFonts w:eastAsia="Calibri"/>
        </w:rPr>
        <w:t>we</w:t>
      </w:r>
      <w:r w:rsidR="00FC3BA5">
        <w:rPr>
          <w:rFonts w:eastAsia="Calibri"/>
        </w:rPr>
        <w:t xml:space="preserve"> accepted some of the ‘step changes’ proposed by the other three businesses</w:t>
      </w:r>
      <w:r w:rsidR="0066174C">
        <w:rPr>
          <w:rFonts w:eastAsia="Calibri"/>
        </w:rPr>
        <w:t>,</w:t>
      </w:r>
      <w:r w:rsidR="00FC3BA5">
        <w:rPr>
          <w:rFonts w:eastAsia="Calibri"/>
        </w:rPr>
        <w:t xml:space="preserve"> </w:t>
      </w:r>
      <w:r w:rsidR="000A1675">
        <w:rPr>
          <w:rFonts w:eastAsia="Calibri"/>
        </w:rPr>
        <w:t>we</w:t>
      </w:r>
      <w:r w:rsidR="00FC3BA5">
        <w:rPr>
          <w:rFonts w:eastAsia="Calibri"/>
        </w:rPr>
        <w:t xml:space="preserve"> did not accept proposed step changes where</w:t>
      </w:r>
      <w:r w:rsidR="000A1675">
        <w:rPr>
          <w:rFonts w:eastAsia="Calibri"/>
        </w:rPr>
        <w:t xml:space="preserve"> we</w:t>
      </w:r>
      <w:r w:rsidR="00AD424B">
        <w:rPr>
          <w:rFonts w:eastAsia="Calibri"/>
        </w:rPr>
        <w:t xml:space="preserve"> did not agree that an increase in </w:t>
      </w:r>
      <w:proofErr w:type="spellStart"/>
      <w:r w:rsidR="00AD424B">
        <w:rPr>
          <w:rFonts w:eastAsia="Calibri"/>
        </w:rPr>
        <w:t>opex</w:t>
      </w:r>
      <w:proofErr w:type="spellEnd"/>
      <w:r w:rsidR="00AD424B">
        <w:rPr>
          <w:rFonts w:eastAsia="Calibri"/>
        </w:rPr>
        <w:t xml:space="preserve"> was warranted</w:t>
      </w:r>
      <w:r w:rsidR="00FC3BA5">
        <w:rPr>
          <w:rFonts w:eastAsia="Calibri"/>
        </w:rPr>
        <w:t xml:space="preserve">. </w:t>
      </w:r>
      <w:r w:rsidR="00B70DDB">
        <w:rPr>
          <w:rFonts w:eastAsia="Calibri"/>
        </w:rPr>
        <w:t>See box 5.2</w:t>
      </w:r>
      <w:r w:rsidR="00ED7292">
        <w:rPr>
          <w:rFonts w:eastAsia="Calibri"/>
        </w:rPr>
        <w:t xml:space="preserve"> for more on </w:t>
      </w:r>
      <w:r w:rsidR="000A1675">
        <w:rPr>
          <w:rFonts w:eastAsia="Calibri"/>
        </w:rPr>
        <w:t>our</w:t>
      </w:r>
      <w:r w:rsidR="00ED7292">
        <w:rPr>
          <w:rFonts w:eastAsia="Calibri"/>
        </w:rPr>
        <w:t xml:space="preserve"> approach to assessing step changes. </w:t>
      </w:r>
      <w:r w:rsidR="00DA3D79">
        <w:rPr>
          <w:rFonts w:eastAsia="Calibri"/>
        </w:rPr>
        <w:t>In addition</w:t>
      </w:r>
      <w:r w:rsidR="00ED7292">
        <w:rPr>
          <w:rFonts w:eastAsia="Calibri"/>
        </w:rPr>
        <w:t xml:space="preserve">, </w:t>
      </w:r>
      <w:r w:rsidR="00D048C1">
        <w:rPr>
          <w:rFonts w:eastAsia="Calibri"/>
        </w:rPr>
        <w:t xml:space="preserve">we </w:t>
      </w:r>
      <w:r w:rsidR="00ED7292">
        <w:rPr>
          <w:rFonts w:eastAsia="Calibri"/>
        </w:rPr>
        <w:t xml:space="preserve">also revised </w:t>
      </w:r>
      <w:r w:rsidR="00FC3BA5">
        <w:rPr>
          <w:rFonts w:eastAsia="Calibri"/>
        </w:rPr>
        <w:t xml:space="preserve">the labour and materials cost escalators </w:t>
      </w:r>
      <w:r w:rsidR="00ED7292">
        <w:rPr>
          <w:rFonts w:eastAsia="Calibri"/>
        </w:rPr>
        <w:t>fo</w:t>
      </w:r>
      <w:r w:rsidR="00FC3BA5">
        <w:rPr>
          <w:rFonts w:eastAsia="Calibri"/>
        </w:rPr>
        <w:t xml:space="preserve">r most businesses. </w:t>
      </w:r>
    </w:p>
    <w:p w:rsidR="0066174C" w:rsidRDefault="0066174C" w:rsidP="0066174C">
      <w:pPr>
        <w:pStyle w:val="AERbodytext"/>
        <w:rPr>
          <w:rFonts w:eastAsia="Calibri"/>
        </w:rPr>
      </w:pPr>
      <w:proofErr w:type="spellStart"/>
      <w:r>
        <w:rPr>
          <w:rFonts w:eastAsia="Calibri"/>
        </w:rPr>
        <w:t>Multinet</w:t>
      </w:r>
      <w:proofErr w:type="spellEnd"/>
      <w:r>
        <w:rPr>
          <w:rFonts w:eastAsia="Calibri"/>
        </w:rPr>
        <w:t xml:space="preserve"> proposed an alternative ‘bottom-up’ approach to estimating </w:t>
      </w:r>
      <w:proofErr w:type="spellStart"/>
      <w:r>
        <w:rPr>
          <w:rFonts w:eastAsia="Calibri"/>
        </w:rPr>
        <w:t>opex</w:t>
      </w:r>
      <w:proofErr w:type="spellEnd"/>
      <w:r w:rsidR="00CF225C">
        <w:rPr>
          <w:rFonts w:eastAsia="Calibri"/>
        </w:rPr>
        <w:t xml:space="preserve">. This approach </w:t>
      </w:r>
      <w:r w:rsidR="000B3312">
        <w:rPr>
          <w:rFonts w:eastAsia="Calibri"/>
        </w:rPr>
        <w:t xml:space="preserve">was not based on historic </w:t>
      </w:r>
      <w:proofErr w:type="spellStart"/>
      <w:r w:rsidR="000B3312">
        <w:rPr>
          <w:rFonts w:eastAsia="Calibri"/>
        </w:rPr>
        <w:t>opex</w:t>
      </w:r>
      <w:proofErr w:type="spellEnd"/>
      <w:r>
        <w:rPr>
          <w:rFonts w:eastAsia="Calibri"/>
        </w:rPr>
        <w:t xml:space="preserve">. </w:t>
      </w:r>
      <w:r w:rsidR="000B3312">
        <w:rPr>
          <w:rFonts w:eastAsia="Calibri"/>
        </w:rPr>
        <w:t>Instead it</w:t>
      </w:r>
      <w:r>
        <w:rPr>
          <w:rFonts w:eastAsia="Calibri"/>
        </w:rPr>
        <w:t xml:space="preserve"> involved identifying what categories of </w:t>
      </w:r>
      <w:proofErr w:type="spellStart"/>
      <w:r>
        <w:rPr>
          <w:rFonts w:eastAsia="Calibri"/>
        </w:rPr>
        <w:t>opex</w:t>
      </w:r>
      <w:proofErr w:type="spellEnd"/>
      <w:r>
        <w:rPr>
          <w:rFonts w:eastAsia="Calibri"/>
        </w:rPr>
        <w:t xml:space="preserve"> would be required for each year in the upcoming period, estimating how much </w:t>
      </w:r>
      <w:proofErr w:type="spellStart"/>
      <w:r>
        <w:rPr>
          <w:rFonts w:eastAsia="Calibri"/>
        </w:rPr>
        <w:t>opex</w:t>
      </w:r>
      <w:proofErr w:type="spellEnd"/>
      <w:r>
        <w:rPr>
          <w:rFonts w:eastAsia="Calibri"/>
        </w:rPr>
        <w:t xml:space="preserve"> would be required in each category for each year, and summing these together to get a total </w:t>
      </w:r>
      <w:proofErr w:type="spellStart"/>
      <w:r>
        <w:rPr>
          <w:rFonts w:eastAsia="Calibri"/>
        </w:rPr>
        <w:t>opex</w:t>
      </w:r>
      <w:proofErr w:type="spellEnd"/>
      <w:r>
        <w:rPr>
          <w:rFonts w:eastAsia="Calibri"/>
        </w:rPr>
        <w:t xml:space="preserve"> forecast. </w:t>
      </w:r>
      <w:proofErr w:type="spellStart"/>
      <w:r>
        <w:rPr>
          <w:rFonts w:eastAsia="Calibri"/>
        </w:rPr>
        <w:t>Multinet</w:t>
      </w:r>
      <w:proofErr w:type="spellEnd"/>
      <w:r>
        <w:rPr>
          <w:rFonts w:eastAsia="Calibri"/>
        </w:rPr>
        <w:t xml:space="preserve"> </w:t>
      </w:r>
      <w:r w:rsidR="009C722F">
        <w:rPr>
          <w:rFonts w:eastAsia="Calibri"/>
        </w:rPr>
        <w:t xml:space="preserve">argued that historic </w:t>
      </w:r>
      <w:proofErr w:type="spellStart"/>
      <w:r w:rsidR="009C722F">
        <w:rPr>
          <w:rFonts w:eastAsia="Calibri"/>
        </w:rPr>
        <w:t>opex</w:t>
      </w:r>
      <w:proofErr w:type="spellEnd"/>
      <w:r w:rsidR="009C722F">
        <w:rPr>
          <w:rFonts w:eastAsia="Calibri"/>
        </w:rPr>
        <w:t xml:space="preserve"> could not be used </w:t>
      </w:r>
      <w:r>
        <w:rPr>
          <w:rFonts w:eastAsia="Calibri"/>
        </w:rPr>
        <w:t>a</w:t>
      </w:r>
      <w:r w:rsidR="009C722F">
        <w:rPr>
          <w:rFonts w:eastAsia="Calibri"/>
        </w:rPr>
        <w:t>s it had undergone a business restructure</w:t>
      </w:r>
      <w:r>
        <w:rPr>
          <w:rFonts w:eastAsia="Calibri"/>
        </w:rPr>
        <w:t xml:space="preserve">. </w:t>
      </w:r>
    </w:p>
    <w:p w:rsidR="0066174C" w:rsidRDefault="000A1675" w:rsidP="0066174C">
      <w:pPr>
        <w:pStyle w:val="AERbodytext"/>
        <w:rPr>
          <w:rFonts w:eastAsia="Calibri"/>
        </w:rPr>
      </w:pPr>
      <w:r>
        <w:rPr>
          <w:rFonts w:eastAsia="Calibri"/>
        </w:rPr>
        <w:t>We</w:t>
      </w:r>
      <w:r w:rsidR="0066174C">
        <w:rPr>
          <w:rFonts w:eastAsia="Calibri"/>
        </w:rPr>
        <w:t xml:space="preserve"> did not accept </w:t>
      </w:r>
      <w:proofErr w:type="spellStart"/>
      <w:r w:rsidR="0066174C">
        <w:rPr>
          <w:rFonts w:eastAsia="Calibri"/>
        </w:rPr>
        <w:t>Multinet’s</w:t>
      </w:r>
      <w:proofErr w:type="spellEnd"/>
      <w:r w:rsidR="0066174C">
        <w:rPr>
          <w:rFonts w:eastAsia="Calibri"/>
        </w:rPr>
        <w:t xml:space="preserve"> proposed approach </w:t>
      </w:r>
      <w:r w:rsidR="009C722F">
        <w:rPr>
          <w:rFonts w:eastAsia="Calibri"/>
        </w:rPr>
        <w:t xml:space="preserve">to forecasting </w:t>
      </w:r>
      <w:proofErr w:type="spellStart"/>
      <w:r w:rsidR="009C722F">
        <w:rPr>
          <w:rFonts w:eastAsia="Calibri"/>
        </w:rPr>
        <w:t>opex</w:t>
      </w:r>
      <w:proofErr w:type="spellEnd"/>
      <w:r w:rsidR="009C722F">
        <w:rPr>
          <w:rFonts w:eastAsia="Calibri"/>
        </w:rPr>
        <w:t xml:space="preserve"> </w:t>
      </w:r>
      <w:r w:rsidR="0066174C">
        <w:rPr>
          <w:rFonts w:eastAsia="Calibri"/>
        </w:rPr>
        <w:t xml:space="preserve">as </w:t>
      </w:r>
      <w:r w:rsidR="009C722F">
        <w:rPr>
          <w:rFonts w:eastAsia="Calibri"/>
        </w:rPr>
        <w:t>it</w:t>
      </w:r>
      <w:r w:rsidR="0066174C">
        <w:rPr>
          <w:rFonts w:eastAsia="Calibri"/>
        </w:rPr>
        <w:t xml:space="preserve"> did not meet the relevant </w:t>
      </w:r>
      <w:r w:rsidR="00C37A6C">
        <w:rPr>
          <w:rFonts w:eastAsia="Calibri"/>
        </w:rPr>
        <w:t xml:space="preserve">requirements of the </w:t>
      </w:r>
      <w:r w:rsidR="0066174C">
        <w:rPr>
          <w:rFonts w:eastAsia="Calibri"/>
        </w:rPr>
        <w:t>N</w:t>
      </w:r>
      <w:r w:rsidR="009C722F">
        <w:rPr>
          <w:rFonts w:eastAsia="Calibri"/>
        </w:rPr>
        <w:t xml:space="preserve">ational </w:t>
      </w:r>
      <w:r w:rsidR="0066174C">
        <w:rPr>
          <w:rFonts w:eastAsia="Calibri"/>
        </w:rPr>
        <w:t>G</w:t>
      </w:r>
      <w:r w:rsidR="009C722F">
        <w:rPr>
          <w:rFonts w:eastAsia="Calibri"/>
        </w:rPr>
        <w:t xml:space="preserve">as </w:t>
      </w:r>
      <w:r w:rsidR="0066174C">
        <w:rPr>
          <w:rFonts w:eastAsia="Calibri"/>
        </w:rPr>
        <w:t>R</w:t>
      </w:r>
      <w:r w:rsidR="009C722F">
        <w:rPr>
          <w:rFonts w:eastAsia="Calibri"/>
        </w:rPr>
        <w:t>ules</w:t>
      </w:r>
      <w:r w:rsidR="0066174C">
        <w:rPr>
          <w:rFonts w:eastAsia="Calibri"/>
        </w:rPr>
        <w:t xml:space="preserve">. </w:t>
      </w:r>
      <w:r>
        <w:rPr>
          <w:rFonts w:eastAsia="Calibri"/>
        </w:rPr>
        <w:t>We applied our</w:t>
      </w:r>
      <w:r w:rsidR="0066174C">
        <w:rPr>
          <w:rFonts w:eastAsia="Calibri"/>
        </w:rPr>
        <w:t xml:space="preserve"> usual base year approach to forecast </w:t>
      </w:r>
      <w:proofErr w:type="spellStart"/>
      <w:r w:rsidR="0066174C">
        <w:rPr>
          <w:rFonts w:eastAsia="Calibri"/>
        </w:rPr>
        <w:t>Multinet’s</w:t>
      </w:r>
      <w:proofErr w:type="spellEnd"/>
      <w:r w:rsidR="0066174C">
        <w:rPr>
          <w:rFonts w:eastAsia="Calibri"/>
        </w:rPr>
        <w:t xml:space="preserve"> </w:t>
      </w:r>
      <w:proofErr w:type="spellStart"/>
      <w:r w:rsidR="0066174C">
        <w:rPr>
          <w:rFonts w:eastAsia="Calibri"/>
        </w:rPr>
        <w:t>opex</w:t>
      </w:r>
      <w:proofErr w:type="spellEnd"/>
      <w:r w:rsidR="0066174C">
        <w:rPr>
          <w:rFonts w:eastAsia="Calibri"/>
        </w:rPr>
        <w:t xml:space="preserve">, consistent with the approach used for other businesses. </w:t>
      </w:r>
      <w:r>
        <w:rPr>
          <w:rFonts w:eastAsia="Calibri"/>
        </w:rPr>
        <w:t>We consider</w:t>
      </w:r>
      <w:r w:rsidR="0066174C">
        <w:rPr>
          <w:rFonts w:eastAsia="Calibri"/>
        </w:rPr>
        <w:t xml:space="preserve"> that </w:t>
      </w:r>
      <w:r>
        <w:rPr>
          <w:rFonts w:eastAsia="Calibri"/>
        </w:rPr>
        <w:t>our</w:t>
      </w:r>
      <w:r w:rsidR="0066174C">
        <w:rPr>
          <w:rFonts w:eastAsia="Calibri"/>
        </w:rPr>
        <w:t xml:space="preserve"> base year approach is appropriate even if a business’ circumstances have changed. </w:t>
      </w:r>
      <w:r w:rsidR="009C722F">
        <w:rPr>
          <w:rFonts w:eastAsia="Calibri"/>
        </w:rPr>
        <w:t>A</w:t>
      </w:r>
      <w:r w:rsidR="0066174C">
        <w:rPr>
          <w:rFonts w:eastAsia="Calibri"/>
        </w:rPr>
        <w:t xml:space="preserve"> business can propose step changes to account for any changes to </w:t>
      </w:r>
      <w:r w:rsidR="00AD424B">
        <w:rPr>
          <w:rFonts w:eastAsia="Calibri"/>
        </w:rPr>
        <w:t xml:space="preserve">its </w:t>
      </w:r>
      <w:r w:rsidR="0066174C">
        <w:rPr>
          <w:rFonts w:eastAsia="Calibri"/>
        </w:rPr>
        <w:t xml:space="preserve">business that will affect </w:t>
      </w:r>
      <w:r w:rsidR="00AD424B">
        <w:rPr>
          <w:rFonts w:eastAsia="Calibri"/>
        </w:rPr>
        <w:t>its</w:t>
      </w:r>
      <w:r w:rsidR="0066174C">
        <w:rPr>
          <w:rFonts w:eastAsia="Calibri"/>
        </w:rPr>
        <w:t xml:space="preserve"> </w:t>
      </w:r>
      <w:proofErr w:type="spellStart"/>
      <w:r w:rsidR="0066174C">
        <w:rPr>
          <w:rFonts w:eastAsia="Calibri"/>
        </w:rPr>
        <w:t>opex</w:t>
      </w:r>
      <w:proofErr w:type="spellEnd"/>
      <w:r w:rsidR="0066174C">
        <w:rPr>
          <w:rFonts w:eastAsia="Calibri"/>
        </w:rPr>
        <w:t xml:space="preserve"> requirements going forward. </w:t>
      </w:r>
    </w:p>
    <w:p w:rsidR="00ED7292" w:rsidRPr="008E4A93" w:rsidRDefault="009C722F" w:rsidP="00ED7292">
      <w:pPr>
        <w:pStyle w:val="AERfigureheading"/>
        <w:numPr>
          <w:ilvl w:val="0"/>
          <w:numId w:val="0"/>
        </w:numPr>
        <w:spacing w:after="40"/>
        <w:ind w:left="1440" w:hanging="1440"/>
        <w:rPr>
          <w:rStyle w:val="AERbody"/>
        </w:rPr>
      </w:pPr>
      <w:r>
        <w:rPr>
          <w:rStyle w:val="AERbody"/>
        </w:rPr>
        <w:br w:type="page"/>
      </w:r>
      <w:r w:rsidR="00B70DDB">
        <w:rPr>
          <w:rStyle w:val="AERbody"/>
        </w:rPr>
        <w:t>Box 5.2</w:t>
      </w:r>
      <w:r w:rsidR="00ED7292">
        <w:rPr>
          <w:rStyle w:val="AERbody"/>
        </w:rPr>
        <w:t xml:space="preserve">    AER assessment of step changes</w:t>
      </w:r>
    </w:p>
    <w:tbl>
      <w:tblPr>
        <w:tblStyle w:val="LightList-Accent11"/>
        <w:tblW w:w="0" w:type="auto"/>
        <w:tblLook w:val="0000"/>
      </w:tblPr>
      <w:tblGrid>
        <w:gridCol w:w="8528"/>
      </w:tblGrid>
      <w:tr w:rsidR="00ED7292" w:rsidTr="00ED7292">
        <w:trPr>
          <w:cnfStyle w:val="000000100000"/>
        </w:trPr>
        <w:tc>
          <w:tcPr>
            <w:cnfStyle w:val="000010000000"/>
            <w:tcW w:w="8528" w:type="dxa"/>
          </w:tcPr>
          <w:p w:rsidR="00DA3D79" w:rsidRDefault="00ED7292" w:rsidP="00ED7292">
            <w:pPr>
              <w:pStyle w:val="AERbodytext"/>
              <w:spacing w:before="120"/>
            </w:pPr>
            <w:r>
              <w:t xml:space="preserve">Step changes allow for additional funding where a business faces a new requirement or change in circumstance requiring additional expenditure that was not accounted for in the base year. Examples of step changes include new safety regulations requiring additional </w:t>
            </w:r>
            <w:proofErr w:type="spellStart"/>
            <w:r>
              <w:t>opex</w:t>
            </w:r>
            <w:proofErr w:type="spellEnd"/>
            <w:r>
              <w:t xml:space="preserve"> on an ongoing basis and </w:t>
            </w:r>
            <w:proofErr w:type="spellStart"/>
            <w:r>
              <w:t>opex</w:t>
            </w:r>
            <w:proofErr w:type="spellEnd"/>
            <w:r>
              <w:t xml:space="preserve"> related to a new capital project. </w:t>
            </w:r>
          </w:p>
          <w:p w:rsidR="00ED7292" w:rsidRDefault="00ED7292" w:rsidP="00ED7292">
            <w:pPr>
              <w:pStyle w:val="AERbodytext"/>
              <w:spacing w:before="120"/>
            </w:pPr>
            <w:r>
              <w:t xml:space="preserve">In assessing proposed step changes </w:t>
            </w:r>
            <w:r w:rsidR="000A1675">
              <w:t>we</w:t>
            </w:r>
            <w:r>
              <w:t xml:space="preserve"> considered whether these were consistent with that which would be incurred by a prudent service provider acting efficiently, in accordance with accepted good industry practice, to achieve the lowest sustainable cost of delivering pipeline services. Where </w:t>
            </w:r>
            <w:r w:rsidR="00D048C1">
              <w:t>we</w:t>
            </w:r>
            <w:r>
              <w:t xml:space="preserve"> considered proposed step changes meet this requirement an incremental increase in base year </w:t>
            </w:r>
            <w:proofErr w:type="spellStart"/>
            <w:r>
              <w:t>opex</w:t>
            </w:r>
            <w:proofErr w:type="spellEnd"/>
            <w:r>
              <w:t xml:space="preserve"> was included in total forecast </w:t>
            </w:r>
            <w:proofErr w:type="spellStart"/>
            <w:r>
              <w:t>opex</w:t>
            </w:r>
            <w:proofErr w:type="spellEnd"/>
            <w:r>
              <w:t xml:space="preserve">. </w:t>
            </w:r>
          </w:p>
          <w:p w:rsidR="00ED7292" w:rsidRDefault="00DA3D79" w:rsidP="00DA3D79">
            <w:pPr>
              <w:pStyle w:val="AERbodytext"/>
              <w:spacing w:before="120"/>
            </w:pPr>
            <w:r w:rsidRPr="007D78D1">
              <w:t>In general</w:t>
            </w:r>
            <w:r>
              <w:t>,</w:t>
            </w:r>
            <w:r w:rsidRPr="007D78D1">
              <w:t xml:space="preserve"> </w:t>
            </w:r>
            <w:r w:rsidR="000A1675">
              <w:t>we consider</w:t>
            </w:r>
            <w:r w:rsidRPr="007D78D1">
              <w:t xml:space="preserve"> an increase in </w:t>
            </w:r>
            <w:proofErr w:type="spellStart"/>
            <w:r w:rsidRPr="007D78D1">
              <w:t>opex</w:t>
            </w:r>
            <w:proofErr w:type="spellEnd"/>
            <w:r w:rsidRPr="007D78D1">
              <w:t xml:space="preserve"> is not consistent with </w:t>
            </w:r>
            <w:r>
              <w:t>the above requirement</w:t>
            </w:r>
            <w:r w:rsidRPr="007D78D1">
              <w:t xml:space="preserve"> where the additional </w:t>
            </w:r>
            <w:proofErr w:type="spellStart"/>
            <w:r>
              <w:t>opex</w:t>
            </w:r>
            <w:proofErr w:type="spellEnd"/>
            <w:r>
              <w:t xml:space="preserve"> relates to</w:t>
            </w:r>
            <w:r w:rsidRPr="007D78D1">
              <w:t xml:space="preserve"> a regulatory requirement or industry standard that</w:t>
            </w:r>
            <w:r>
              <w:t xml:space="preserve"> has not changed since the previous</w:t>
            </w:r>
            <w:r w:rsidRPr="007D78D1">
              <w:t xml:space="preserve"> period. In such cases, a prudent service provider would already be </w:t>
            </w:r>
            <w:r>
              <w:t xml:space="preserve">incurring this as part of its </w:t>
            </w:r>
            <w:r w:rsidRPr="007D78D1">
              <w:t xml:space="preserve">base </w:t>
            </w:r>
            <w:proofErr w:type="spellStart"/>
            <w:r w:rsidRPr="007D78D1">
              <w:t>opex</w:t>
            </w:r>
            <w:proofErr w:type="spellEnd"/>
            <w:r w:rsidRPr="007D78D1">
              <w:t>.</w:t>
            </w:r>
            <w:r w:rsidR="0078066E">
              <w:t xml:space="preserve"> That is, the </w:t>
            </w:r>
            <w:proofErr w:type="spellStart"/>
            <w:r w:rsidR="0078066E">
              <w:t>opex</w:t>
            </w:r>
            <w:proofErr w:type="spellEnd"/>
            <w:r w:rsidR="0078066E">
              <w:t xml:space="preserve"> it incurs each year to stay in business and comply with the relevant laws and regulations.</w:t>
            </w:r>
          </w:p>
          <w:p w:rsidR="0066174C" w:rsidRDefault="000A1675" w:rsidP="0066174C">
            <w:pPr>
              <w:pStyle w:val="AERbodytext"/>
              <w:spacing w:before="120"/>
            </w:pPr>
            <w:r>
              <w:t>Our</w:t>
            </w:r>
            <w:r w:rsidR="0066174C">
              <w:t xml:space="preserve"> assessment of proposed step changes also recognises that a service provider's </w:t>
            </w:r>
            <w:proofErr w:type="spellStart"/>
            <w:r w:rsidR="0066174C">
              <w:t>opex</w:t>
            </w:r>
            <w:proofErr w:type="spellEnd"/>
            <w:r w:rsidR="0066174C">
              <w:t xml:space="preserve"> program is not exactly the same from year to year. For example, some of the expenditure will be ongoing while some will be related to one-off occurrences. When forecasting </w:t>
            </w:r>
            <w:proofErr w:type="spellStart"/>
            <w:r w:rsidR="0066174C">
              <w:t>opex</w:t>
            </w:r>
            <w:proofErr w:type="spellEnd"/>
            <w:r w:rsidR="0066174C">
              <w:t xml:space="preserve"> </w:t>
            </w:r>
            <w:r w:rsidR="00017414">
              <w:t>we</w:t>
            </w:r>
            <w:r w:rsidR="0066174C">
              <w:t xml:space="preserve"> </w:t>
            </w:r>
            <w:r w:rsidR="009F32EC">
              <w:t>do not</w:t>
            </w:r>
            <w:r w:rsidR="0066174C">
              <w:t xml:space="preserve"> seek to estimate all one-off expenditure incurred in the base year. In this way, the base year inevitably includes some </w:t>
            </w:r>
            <w:proofErr w:type="spellStart"/>
            <w:r w:rsidR="0066174C">
              <w:t>opex</w:t>
            </w:r>
            <w:proofErr w:type="spellEnd"/>
            <w:r w:rsidR="0066174C">
              <w:t xml:space="preserve"> that will not be undertaken in other years. </w:t>
            </w:r>
          </w:p>
          <w:p w:rsidR="0066174C" w:rsidRPr="008E4A93" w:rsidRDefault="0066174C" w:rsidP="00C37A6C">
            <w:pPr>
              <w:pStyle w:val="AERbodytext"/>
              <w:spacing w:before="120"/>
            </w:pPr>
            <w:r>
              <w:t xml:space="preserve">Given this, </w:t>
            </w:r>
            <w:r w:rsidR="000A1675">
              <w:t xml:space="preserve">we </w:t>
            </w:r>
            <w:r w:rsidR="009F32EC">
              <w:t>do not</w:t>
            </w:r>
            <w:r>
              <w:t xml:space="preserve"> automatically consider a step change is required solely because a program of expenditure was not undertaken in the base year but needs to be undertaken in the upcoming access arrangement period. Instead, </w:t>
            </w:r>
            <w:r w:rsidR="009A6065">
              <w:t>we consider</w:t>
            </w:r>
            <w:r>
              <w:t xml:space="preserve"> on a case</w:t>
            </w:r>
            <w:r w:rsidR="00C37A6C">
              <w:t>-by-</w:t>
            </w:r>
            <w:r>
              <w:t xml:space="preserve">case basis whether base year </w:t>
            </w:r>
            <w:proofErr w:type="spellStart"/>
            <w:r>
              <w:t>opex</w:t>
            </w:r>
            <w:proofErr w:type="spellEnd"/>
            <w:r>
              <w:t xml:space="preserve"> would be likely to be sufficient to fund the proposed program of </w:t>
            </w:r>
            <w:proofErr w:type="spellStart"/>
            <w:r>
              <w:t>opex</w:t>
            </w:r>
            <w:proofErr w:type="spellEnd"/>
            <w:r>
              <w:t xml:space="preserve"> or whether a step up in </w:t>
            </w:r>
            <w:proofErr w:type="spellStart"/>
            <w:r>
              <w:t>opex</w:t>
            </w:r>
            <w:proofErr w:type="spellEnd"/>
            <w:r>
              <w:t xml:space="preserve"> is required.</w:t>
            </w:r>
          </w:p>
        </w:tc>
      </w:tr>
    </w:tbl>
    <w:p w:rsidR="0066174C" w:rsidRPr="0066174C" w:rsidRDefault="000B3312" w:rsidP="000B3312">
      <w:pPr>
        <w:pStyle w:val="AERbodytext"/>
        <w:spacing w:before="240"/>
        <w:rPr>
          <w:rFonts w:eastAsia="Calibri"/>
        </w:rPr>
      </w:pPr>
      <w:r>
        <w:rPr>
          <w:rFonts w:eastAsia="Calibri"/>
        </w:rPr>
        <w:t xml:space="preserve">See table 5.3 for </w:t>
      </w:r>
      <w:r w:rsidR="000A1675">
        <w:rPr>
          <w:rFonts w:eastAsia="Calibri"/>
        </w:rPr>
        <w:t>our</w:t>
      </w:r>
      <w:r>
        <w:rPr>
          <w:rFonts w:eastAsia="Calibri"/>
        </w:rPr>
        <w:t xml:space="preserve"> draft decisions on </w:t>
      </w:r>
      <w:proofErr w:type="spellStart"/>
      <w:r>
        <w:rPr>
          <w:rFonts w:eastAsia="Calibri"/>
        </w:rPr>
        <w:t>opex</w:t>
      </w:r>
      <w:proofErr w:type="spellEnd"/>
      <w:r>
        <w:rPr>
          <w:rFonts w:eastAsia="Calibri"/>
        </w:rPr>
        <w:t xml:space="preserve"> compared to each businesses’ proposal on </w:t>
      </w:r>
      <w:proofErr w:type="spellStart"/>
      <w:r>
        <w:rPr>
          <w:rFonts w:eastAsia="Calibri"/>
        </w:rPr>
        <w:t>opex</w:t>
      </w:r>
      <w:proofErr w:type="spellEnd"/>
      <w:r>
        <w:rPr>
          <w:rFonts w:eastAsia="Calibri"/>
        </w:rPr>
        <w:t xml:space="preserve"> and the resulting impact on revenues.</w:t>
      </w:r>
    </w:p>
    <w:p w:rsidR="0041329E" w:rsidRPr="00FC6798" w:rsidRDefault="000A1675" w:rsidP="00FC6798">
      <w:pPr>
        <w:pStyle w:val="AERtabletitle"/>
        <w:tabs>
          <w:tab w:val="clear" w:pos="2342"/>
          <w:tab w:val="num" w:pos="1440"/>
        </w:tabs>
        <w:ind w:left="1440" w:hanging="1440"/>
      </w:pPr>
      <w:r>
        <w:t>Our</w:t>
      </w:r>
      <w:r w:rsidR="0041329E" w:rsidRPr="004B149F">
        <w:t xml:space="preserve"> draft deci</w:t>
      </w:r>
      <w:r w:rsidR="0041329E">
        <w:t xml:space="preserve">sion and business proposal for </w:t>
      </w:r>
      <w:r w:rsidR="0020279F">
        <w:t>operating</w:t>
      </w:r>
      <w:r w:rsidR="0041329E">
        <w:t xml:space="preserve"> expenditure</w:t>
      </w:r>
      <w:r w:rsidR="0020279F">
        <w:t xml:space="preserve"> (including incentive carryover)</w:t>
      </w:r>
      <w:r w:rsidR="0041329E" w:rsidRPr="00FC6798">
        <w:t xml:space="preserve"> ($</w:t>
      </w:r>
      <w:r w:rsidR="005B2FA0" w:rsidRPr="00FC6798">
        <w:t> </w:t>
      </w:r>
      <w:r w:rsidR="0041329E" w:rsidRPr="00FC6798">
        <w:t>nominal)</w:t>
      </w:r>
    </w:p>
    <w:tbl>
      <w:tblPr>
        <w:tblStyle w:val="AERtable-text"/>
        <w:tblW w:w="8528" w:type="dxa"/>
        <w:tblLayout w:type="fixed"/>
        <w:tblLook w:val="0020"/>
      </w:tblPr>
      <w:tblGrid>
        <w:gridCol w:w="2660"/>
        <w:gridCol w:w="1467"/>
        <w:gridCol w:w="1467"/>
        <w:gridCol w:w="1467"/>
        <w:gridCol w:w="1467"/>
      </w:tblGrid>
      <w:tr w:rsidR="0041329E" w:rsidRPr="00995B8F" w:rsidTr="0041329E">
        <w:trPr>
          <w:cnfStyle w:val="100000000000"/>
          <w:trHeight w:val="293"/>
        </w:trPr>
        <w:tc>
          <w:tcPr>
            <w:tcW w:w="2660" w:type="dxa"/>
          </w:tcPr>
          <w:p w:rsidR="0041329E" w:rsidRPr="004B149F" w:rsidRDefault="0041329E" w:rsidP="0041329E">
            <w:pPr>
              <w:pStyle w:val="AERtabletextheadingright"/>
              <w:rPr>
                <w:rFonts w:eastAsia="Calibri"/>
              </w:rPr>
            </w:pPr>
          </w:p>
        </w:tc>
        <w:tc>
          <w:tcPr>
            <w:tcW w:w="1467" w:type="dxa"/>
          </w:tcPr>
          <w:p w:rsidR="0041329E" w:rsidRPr="004B149F" w:rsidRDefault="0041329E" w:rsidP="0041329E">
            <w:pPr>
              <w:pStyle w:val="AERtabletextheadingright"/>
              <w:rPr>
                <w:rFonts w:eastAsia="Calibri"/>
              </w:rPr>
            </w:pPr>
            <w:r w:rsidRPr="004B149F">
              <w:rPr>
                <w:rFonts w:eastAsia="Calibri"/>
              </w:rPr>
              <w:t xml:space="preserve">APA </w:t>
            </w:r>
            <w:proofErr w:type="spellStart"/>
            <w:r w:rsidRPr="004B149F">
              <w:rPr>
                <w:rFonts w:eastAsia="Calibri"/>
              </w:rPr>
              <w:t>GasNet</w:t>
            </w:r>
            <w:proofErr w:type="spellEnd"/>
          </w:p>
        </w:tc>
        <w:tc>
          <w:tcPr>
            <w:tcW w:w="1467" w:type="dxa"/>
          </w:tcPr>
          <w:p w:rsidR="0041329E" w:rsidRPr="004B149F" w:rsidRDefault="005B2873" w:rsidP="0041329E">
            <w:pPr>
              <w:pStyle w:val="AERtabletextheadingright"/>
              <w:rPr>
                <w:rFonts w:eastAsia="Calibri"/>
              </w:rPr>
            </w:pPr>
            <w:proofErr w:type="spellStart"/>
            <w:r w:rsidRPr="005B2873">
              <w:rPr>
                <w:rFonts w:eastAsia="Calibri"/>
              </w:rPr>
              <w:t>Envestra</w:t>
            </w:r>
            <w:proofErr w:type="spellEnd"/>
            <w:r w:rsidRPr="005B2873">
              <w:rPr>
                <w:rFonts w:eastAsia="Calibri"/>
              </w:rPr>
              <w:t xml:space="preserve"> </w:t>
            </w:r>
            <w:proofErr w:type="spellStart"/>
            <w:r w:rsidRPr="005B2873">
              <w:rPr>
                <w:rFonts w:eastAsia="Calibri"/>
              </w:rPr>
              <w:t>Victoria</w:t>
            </w:r>
            <w:r w:rsidRPr="005B2873">
              <w:rPr>
                <w:rStyle w:val="FootnoteReference"/>
                <w:rFonts w:eastAsia="Calibri"/>
              </w:rPr>
              <w:t>a</w:t>
            </w:r>
            <w:proofErr w:type="spellEnd"/>
            <w:r w:rsidR="0041329E" w:rsidRPr="004B149F">
              <w:rPr>
                <w:rFonts w:eastAsia="Calibri"/>
              </w:rPr>
              <w:t xml:space="preserve"> </w:t>
            </w:r>
          </w:p>
        </w:tc>
        <w:tc>
          <w:tcPr>
            <w:tcW w:w="1467" w:type="dxa"/>
          </w:tcPr>
          <w:p w:rsidR="0041329E" w:rsidRPr="004B149F" w:rsidRDefault="0041329E" w:rsidP="0041329E">
            <w:pPr>
              <w:pStyle w:val="AERtabletextheadingright"/>
              <w:rPr>
                <w:rFonts w:eastAsia="Calibri"/>
              </w:rPr>
            </w:pPr>
            <w:r w:rsidRPr="004B149F">
              <w:rPr>
                <w:rFonts w:eastAsia="Calibri"/>
              </w:rPr>
              <w:t xml:space="preserve">SP </w:t>
            </w:r>
            <w:proofErr w:type="spellStart"/>
            <w:r w:rsidRPr="004B149F">
              <w:rPr>
                <w:rFonts w:eastAsia="Calibri"/>
              </w:rPr>
              <w:t>AusNet</w:t>
            </w:r>
            <w:proofErr w:type="spellEnd"/>
          </w:p>
        </w:tc>
        <w:tc>
          <w:tcPr>
            <w:tcW w:w="1467" w:type="dxa"/>
          </w:tcPr>
          <w:p w:rsidR="0041329E" w:rsidRPr="004B149F" w:rsidRDefault="0041329E" w:rsidP="0041329E">
            <w:pPr>
              <w:pStyle w:val="AERtabletextheadingright"/>
              <w:rPr>
                <w:rFonts w:eastAsia="Calibri"/>
              </w:rPr>
            </w:pPr>
            <w:proofErr w:type="spellStart"/>
            <w:r w:rsidRPr="004B149F">
              <w:rPr>
                <w:rFonts w:eastAsia="Calibri"/>
              </w:rPr>
              <w:t>Multinet</w:t>
            </w:r>
            <w:proofErr w:type="spellEnd"/>
          </w:p>
        </w:tc>
      </w:tr>
      <w:tr w:rsidR="0041329E" w:rsidRPr="00995B8F" w:rsidTr="0041329E">
        <w:trPr>
          <w:trHeight w:val="663"/>
        </w:trPr>
        <w:tc>
          <w:tcPr>
            <w:tcW w:w="2660" w:type="dxa"/>
          </w:tcPr>
          <w:p w:rsidR="0041329E" w:rsidRPr="004B149F" w:rsidRDefault="0041329E" w:rsidP="0041329E">
            <w:pPr>
              <w:pStyle w:val="AERtabletext"/>
              <w:rPr>
                <w:rFonts w:eastAsia="Calibri"/>
              </w:rPr>
            </w:pPr>
            <w:r w:rsidRPr="004B149F">
              <w:t xml:space="preserve">AER draft decision </w:t>
            </w:r>
          </w:p>
        </w:tc>
        <w:tc>
          <w:tcPr>
            <w:tcW w:w="1467" w:type="dxa"/>
          </w:tcPr>
          <w:p w:rsidR="0041329E" w:rsidRPr="004B149F" w:rsidRDefault="00223CA1" w:rsidP="0041329E">
            <w:pPr>
              <w:pStyle w:val="AERtabletext-numbers"/>
              <w:rPr>
                <w:rFonts w:eastAsia="Calibri"/>
              </w:rPr>
            </w:pPr>
            <w:r>
              <w:rPr>
                <w:rFonts w:eastAsia="Calibri"/>
              </w:rPr>
              <w:t>$150 million</w:t>
            </w:r>
          </w:p>
        </w:tc>
        <w:tc>
          <w:tcPr>
            <w:tcW w:w="1467" w:type="dxa"/>
          </w:tcPr>
          <w:p w:rsidR="0041329E" w:rsidRPr="004B149F" w:rsidRDefault="00BD0274" w:rsidP="0041329E">
            <w:pPr>
              <w:pStyle w:val="AERtabletext-numbers"/>
              <w:rPr>
                <w:rFonts w:eastAsia="Calibri"/>
              </w:rPr>
            </w:pPr>
            <w:r>
              <w:rPr>
                <w:rFonts w:eastAsia="Calibri"/>
              </w:rPr>
              <w:t>$307</w:t>
            </w:r>
            <w:r w:rsidR="008520F1">
              <w:rPr>
                <w:rFonts w:eastAsia="Calibri"/>
              </w:rPr>
              <w:t> million</w:t>
            </w:r>
          </w:p>
        </w:tc>
        <w:tc>
          <w:tcPr>
            <w:tcW w:w="1467" w:type="dxa"/>
          </w:tcPr>
          <w:p w:rsidR="0041329E" w:rsidRPr="004B149F" w:rsidRDefault="005B2FA0" w:rsidP="005B2FA0">
            <w:pPr>
              <w:pStyle w:val="AERtabletext-numbers"/>
              <w:rPr>
                <w:rFonts w:eastAsia="Calibri"/>
              </w:rPr>
            </w:pPr>
            <w:r>
              <w:rPr>
                <w:rFonts w:eastAsia="Calibri"/>
              </w:rPr>
              <w:t>$281 million</w:t>
            </w:r>
          </w:p>
        </w:tc>
        <w:tc>
          <w:tcPr>
            <w:tcW w:w="1467" w:type="dxa"/>
          </w:tcPr>
          <w:p w:rsidR="0041329E" w:rsidRPr="004B149F" w:rsidRDefault="00BD0274" w:rsidP="0041329E">
            <w:pPr>
              <w:pStyle w:val="AERtabletext-numbers"/>
              <w:rPr>
                <w:rFonts w:eastAsia="Calibri"/>
              </w:rPr>
            </w:pPr>
            <w:r>
              <w:rPr>
                <w:rFonts w:eastAsia="Calibri"/>
              </w:rPr>
              <w:t>$274</w:t>
            </w:r>
            <w:r w:rsidR="00D12A3D">
              <w:rPr>
                <w:rFonts w:eastAsia="Calibri"/>
              </w:rPr>
              <w:t> million</w:t>
            </w:r>
          </w:p>
        </w:tc>
      </w:tr>
      <w:tr w:rsidR="0041329E" w:rsidRPr="00995B8F" w:rsidTr="0041329E">
        <w:trPr>
          <w:cnfStyle w:val="000000010000"/>
          <w:trHeight w:val="434"/>
        </w:trPr>
        <w:tc>
          <w:tcPr>
            <w:tcW w:w="2660" w:type="dxa"/>
          </w:tcPr>
          <w:p w:rsidR="0041329E" w:rsidRPr="004B149F" w:rsidRDefault="0041329E" w:rsidP="0041329E">
            <w:pPr>
              <w:pStyle w:val="AERtabletext"/>
              <w:rPr>
                <w:rFonts w:eastAsia="Calibri"/>
              </w:rPr>
            </w:pPr>
            <w:r w:rsidRPr="004B149F">
              <w:t xml:space="preserve">Business proposal </w:t>
            </w:r>
          </w:p>
        </w:tc>
        <w:tc>
          <w:tcPr>
            <w:tcW w:w="1467" w:type="dxa"/>
          </w:tcPr>
          <w:p w:rsidR="0041329E" w:rsidRPr="004B149F" w:rsidRDefault="00223CA1" w:rsidP="0041329E">
            <w:pPr>
              <w:pStyle w:val="AERtabletext-numbers"/>
              <w:rPr>
                <w:rFonts w:eastAsia="Calibri"/>
              </w:rPr>
            </w:pPr>
            <w:r>
              <w:rPr>
                <w:rFonts w:eastAsia="Calibri"/>
              </w:rPr>
              <w:t>$198 million</w:t>
            </w:r>
          </w:p>
        </w:tc>
        <w:tc>
          <w:tcPr>
            <w:tcW w:w="1467" w:type="dxa"/>
          </w:tcPr>
          <w:p w:rsidR="0041329E" w:rsidRPr="004B149F" w:rsidRDefault="00BD0274" w:rsidP="0041329E">
            <w:pPr>
              <w:pStyle w:val="AERtabletext-numbers"/>
              <w:rPr>
                <w:rFonts w:eastAsia="Calibri"/>
              </w:rPr>
            </w:pPr>
            <w:r>
              <w:rPr>
                <w:rFonts w:eastAsia="Calibri"/>
              </w:rPr>
              <w:t>$411</w:t>
            </w:r>
            <w:r w:rsidR="008520F1">
              <w:rPr>
                <w:rFonts w:eastAsia="Calibri"/>
              </w:rPr>
              <w:t> million</w:t>
            </w:r>
          </w:p>
        </w:tc>
        <w:tc>
          <w:tcPr>
            <w:tcW w:w="1467" w:type="dxa"/>
          </w:tcPr>
          <w:p w:rsidR="0041329E" w:rsidRPr="004B149F" w:rsidRDefault="005B2FA0" w:rsidP="005B2FA0">
            <w:pPr>
              <w:pStyle w:val="AERtabletext-numbers"/>
              <w:rPr>
                <w:rFonts w:eastAsia="Calibri"/>
              </w:rPr>
            </w:pPr>
            <w:r>
              <w:rPr>
                <w:rFonts w:eastAsia="Calibri"/>
              </w:rPr>
              <w:t>$319 million</w:t>
            </w:r>
          </w:p>
        </w:tc>
        <w:tc>
          <w:tcPr>
            <w:tcW w:w="1467" w:type="dxa"/>
          </w:tcPr>
          <w:p w:rsidR="0041329E" w:rsidRPr="004B149F" w:rsidRDefault="00D12A3D" w:rsidP="0041329E">
            <w:pPr>
              <w:pStyle w:val="AERtabletext-numbers"/>
              <w:rPr>
                <w:rFonts w:eastAsia="Calibri"/>
              </w:rPr>
            </w:pPr>
            <w:r>
              <w:rPr>
                <w:rFonts w:eastAsia="Calibri"/>
              </w:rPr>
              <w:t>$391 million</w:t>
            </w:r>
          </w:p>
        </w:tc>
      </w:tr>
      <w:tr w:rsidR="005B2FA0" w:rsidRPr="00995B8F" w:rsidTr="005B2FA0">
        <w:trPr>
          <w:trHeight w:val="434"/>
        </w:trPr>
        <w:tc>
          <w:tcPr>
            <w:tcW w:w="2660" w:type="dxa"/>
          </w:tcPr>
          <w:p w:rsidR="005B2FA0" w:rsidRDefault="005B2FA0" w:rsidP="005B2FA0">
            <w:pPr>
              <w:pStyle w:val="AERtabletext"/>
            </w:pPr>
            <w:r>
              <w:t>Difference (per cent)</w:t>
            </w:r>
          </w:p>
        </w:tc>
        <w:tc>
          <w:tcPr>
            <w:tcW w:w="1467" w:type="dxa"/>
          </w:tcPr>
          <w:p w:rsidR="005B2FA0" w:rsidRPr="004B149F" w:rsidRDefault="00223CA1" w:rsidP="005B2FA0">
            <w:pPr>
              <w:pStyle w:val="AERtabletext-numbers"/>
              <w:rPr>
                <w:rFonts w:eastAsia="Calibri"/>
              </w:rPr>
            </w:pPr>
            <w:r>
              <w:rPr>
                <w:rFonts w:eastAsia="Calibri"/>
              </w:rPr>
              <w:t>-24</w:t>
            </w:r>
            <w:r w:rsidR="00C37A6C" w:rsidRPr="00C37A6C">
              <w:rPr>
                <w:rFonts w:eastAsia="Calibri"/>
              </w:rPr>
              <w:t>%</w:t>
            </w:r>
          </w:p>
        </w:tc>
        <w:tc>
          <w:tcPr>
            <w:tcW w:w="1467" w:type="dxa"/>
          </w:tcPr>
          <w:p w:rsidR="005B2FA0" w:rsidRPr="004B149F" w:rsidRDefault="008520F1" w:rsidP="005B2FA0">
            <w:pPr>
              <w:pStyle w:val="AERtabletext-numbers"/>
              <w:rPr>
                <w:rFonts w:eastAsia="Calibri"/>
              </w:rPr>
            </w:pPr>
            <w:r>
              <w:rPr>
                <w:rFonts w:eastAsia="Calibri"/>
              </w:rPr>
              <w:t>-2</w:t>
            </w:r>
            <w:r w:rsidR="00BD0274">
              <w:rPr>
                <w:rFonts w:eastAsia="Calibri"/>
              </w:rPr>
              <w:t>6</w:t>
            </w:r>
            <w:r w:rsidR="00C37A6C" w:rsidRPr="00C37A6C">
              <w:rPr>
                <w:rFonts w:eastAsia="Calibri"/>
              </w:rPr>
              <w:t>%</w:t>
            </w:r>
          </w:p>
        </w:tc>
        <w:tc>
          <w:tcPr>
            <w:tcW w:w="1467" w:type="dxa"/>
          </w:tcPr>
          <w:p w:rsidR="005B2FA0" w:rsidRDefault="005B2FA0" w:rsidP="005B2FA0">
            <w:pPr>
              <w:pStyle w:val="AERtabletext-numbers"/>
              <w:rPr>
                <w:rFonts w:eastAsia="Calibri"/>
              </w:rPr>
            </w:pPr>
            <w:r>
              <w:rPr>
                <w:rFonts w:eastAsia="Calibri"/>
              </w:rPr>
              <w:t>-</w:t>
            </w:r>
            <w:r w:rsidR="0020279F">
              <w:rPr>
                <w:rFonts w:eastAsia="Calibri"/>
              </w:rPr>
              <w:t>12</w:t>
            </w:r>
            <w:r w:rsidR="00C37A6C" w:rsidRPr="00C37A6C">
              <w:rPr>
                <w:rFonts w:eastAsia="Calibri"/>
              </w:rPr>
              <w:t>%</w:t>
            </w:r>
          </w:p>
        </w:tc>
        <w:tc>
          <w:tcPr>
            <w:tcW w:w="1467" w:type="dxa"/>
          </w:tcPr>
          <w:p w:rsidR="005B2FA0" w:rsidRPr="004B149F" w:rsidRDefault="00D12A3D" w:rsidP="005B2FA0">
            <w:pPr>
              <w:pStyle w:val="AERtabletext-numbers"/>
              <w:rPr>
                <w:rFonts w:eastAsia="Calibri"/>
              </w:rPr>
            </w:pPr>
            <w:r>
              <w:rPr>
                <w:rFonts w:eastAsia="Calibri"/>
              </w:rPr>
              <w:t>-</w:t>
            </w:r>
            <w:r w:rsidR="00BD0274">
              <w:rPr>
                <w:rFonts w:eastAsia="Calibri"/>
              </w:rPr>
              <w:t>30</w:t>
            </w:r>
            <w:r w:rsidR="00C37A6C" w:rsidRPr="00C37A6C">
              <w:rPr>
                <w:rFonts w:eastAsia="Calibri"/>
              </w:rPr>
              <w:t>%</w:t>
            </w:r>
          </w:p>
        </w:tc>
      </w:tr>
      <w:tr w:rsidR="005B2FA0" w:rsidRPr="00995B8F" w:rsidTr="005B2FA0">
        <w:trPr>
          <w:cnfStyle w:val="000000010000"/>
          <w:trHeight w:val="434"/>
        </w:trPr>
        <w:tc>
          <w:tcPr>
            <w:tcW w:w="2660" w:type="dxa"/>
          </w:tcPr>
          <w:p w:rsidR="005B2FA0" w:rsidRDefault="005B2FA0" w:rsidP="005B2FA0">
            <w:pPr>
              <w:pStyle w:val="AERtabletext"/>
            </w:pPr>
            <w:r>
              <w:t>Impact on revenue</w:t>
            </w:r>
          </w:p>
        </w:tc>
        <w:tc>
          <w:tcPr>
            <w:tcW w:w="1467" w:type="dxa"/>
          </w:tcPr>
          <w:p w:rsidR="005B2FA0" w:rsidRPr="004B149F" w:rsidRDefault="00223CA1" w:rsidP="005B2FA0">
            <w:pPr>
              <w:pStyle w:val="AERtabletext-numbers"/>
              <w:rPr>
                <w:rFonts w:eastAsia="Calibri"/>
              </w:rPr>
            </w:pPr>
            <w:r>
              <w:rPr>
                <w:rFonts w:eastAsia="Calibri"/>
              </w:rPr>
              <w:t>-$48 million</w:t>
            </w:r>
          </w:p>
        </w:tc>
        <w:tc>
          <w:tcPr>
            <w:tcW w:w="1467" w:type="dxa"/>
          </w:tcPr>
          <w:p w:rsidR="005B2FA0" w:rsidRPr="004B149F" w:rsidRDefault="00BD0274" w:rsidP="005B2FA0">
            <w:pPr>
              <w:pStyle w:val="AERtabletext-numbers"/>
              <w:rPr>
                <w:rFonts w:eastAsia="Calibri"/>
              </w:rPr>
            </w:pPr>
            <w:r>
              <w:rPr>
                <w:rFonts w:eastAsia="Calibri"/>
              </w:rPr>
              <w:t>-$105</w:t>
            </w:r>
            <w:r w:rsidR="008520F1" w:rsidRPr="008520F1">
              <w:rPr>
                <w:rFonts w:eastAsia="Calibri"/>
              </w:rPr>
              <w:t> million</w:t>
            </w:r>
          </w:p>
        </w:tc>
        <w:tc>
          <w:tcPr>
            <w:tcW w:w="1467" w:type="dxa"/>
          </w:tcPr>
          <w:p w:rsidR="005B2FA0" w:rsidRDefault="0020279F" w:rsidP="005B2FA0">
            <w:pPr>
              <w:pStyle w:val="AERtabletext-numbers"/>
              <w:rPr>
                <w:rFonts w:eastAsia="Calibri"/>
              </w:rPr>
            </w:pPr>
            <w:r>
              <w:rPr>
                <w:rFonts w:eastAsia="Calibri"/>
              </w:rPr>
              <w:t>-$38 million</w:t>
            </w:r>
          </w:p>
        </w:tc>
        <w:tc>
          <w:tcPr>
            <w:tcW w:w="1467" w:type="dxa"/>
          </w:tcPr>
          <w:p w:rsidR="005B2FA0" w:rsidRPr="004B149F" w:rsidRDefault="00BD0274" w:rsidP="005B2FA0">
            <w:pPr>
              <w:pStyle w:val="AERtabletext-numbers"/>
              <w:rPr>
                <w:rFonts w:eastAsia="Calibri"/>
              </w:rPr>
            </w:pPr>
            <w:r>
              <w:rPr>
                <w:rFonts w:eastAsia="Calibri"/>
              </w:rPr>
              <w:t>$114</w:t>
            </w:r>
            <w:r w:rsidR="00D12A3D">
              <w:rPr>
                <w:rFonts w:eastAsia="Calibri"/>
              </w:rPr>
              <w:t> million</w:t>
            </w:r>
          </w:p>
        </w:tc>
      </w:tr>
      <w:tr w:rsidR="005B2FA0" w:rsidRPr="00995B8F" w:rsidTr="0041329E">
        <w:trPr>
          <w:trHeight w:val="434"/>
        </w:trPr>
        <w:tc>
          <w:tcPr>
            <w:tcW w:w="2660" w:type="dxa"/>
          </w:tcPr>
          <w:p w:rsidR="005B2FA0" w:rsidRDefault="005B2FA0" w:rsidP="005B2FA0">
            <w:pPr>
              <w:pStyle w:val="AERtabletext"/>
            </w:pPr>
            <w:r>
              <w:t>Impact on revenue (per cent)</w:t>
            </w:r>
          </w:p>
        </w:tc>
        <w:tc>
          <w:tcPr>
            <w:tcW w:w="1467" w:type="dxa"/>
          </w:tcPr>
          <w:p w:rsidR="005B2FA0" w:rsidRPr="004B149F" w:rsidRDefault="00223CA1" w:rsidP="0041329E">
            <w:pPr>
              <w:pStyle w:val="AERtabletext-numbers"/>
              <w:rPr>
                <w:rFonts w:eastAsia="Calibri"/>
              </w:rPr>
            </w:pPr>
            <w:r>
              <w:rPr>
                <w:rFonts w:eastAsia="Calibri"/>
              </w:rPr>
              <w:t>-6</w:t>
            </w:r>
            <w:r w:rsidR="00C37A6C" w:rsidRPr="00C37A6C">
              <w:rPr>
                <w:rFonts w:eastAsia="Calibri"/>
              </w:rPr>
              <w:t>%</w:t>
            </w:r>
          </w:p>
        </w:tc>
        <w:tc>
          <w:tcPr>
            <w:tcW w:w="1467" w:type="dxa"/>
          </w:tcPr>
          <w:p w:rsidR="005B2FA0" w:rsidRPr="004B149F" w:rsidRDefault="008520F1" w:rsidP="0041329E">
            <w:pPr>
              <w:pStyle w:val="AERtabletext-numbers"/>
              <w:rPr>
                <w:rFonts w:eastAsia="Calibri"/>
              </w:rPr>
            </w:pPr>
            <w:r>
              <w:rPr>
                <w:rFonts w:eastAsia="Calibri"/>
              </w:rPr>
              <w:t>-9</w:t>
            </w:r>
            <w:r w:rsidR="00C37A6C" w:rsidRPr="00C37A6C">
              <w:rPr>
                <w:rFonts w:eastAsia="Calibri"/>
              </w:rPr>
              <w:t>%</w:t>
            </w:r>
          </w:p>
        </w:tc>
        <w:tc>
          <w:tcPr>
            <w:tcW w:w="1467" w:type="dxa"/>
          </w:tcPr>
          <w:p w:rsidR="005B2FA0" w:rsidRPr="004B149F" w:rsidRDefault="0020279F" w:rsidP="0041329E">
            <w:pPr>
              <w:pStyle w:val="AERtabletext-numbers"/>
              <w:rPr>
                <w:rFonts w:eastAsia="Calibri"/>
              </w:rPr>
            </w:pPr>
            <w:r w:rsidRPr="0020279F">
              <w:rPr>
                <w:rFonts w:eastAsia="Calibri"/>
              </w:rPr>
              <w:t>-3</w:t>
            </w:r>
            <w:r w:rsidR="00C37A6C" w:rsidRPr="00C37A6C">
              <w:rPr>
                <w:rFonts w:eastAsia="Calibri"/>
              </w:rPr>
              <w:t>%</w:t>
            </w:r>
          </w:p>
        </w:tc>
        <w:tc>
          <w:tcPr>
            <w:tcW w:w="1467" w:type="dxa"/>
          </w:tcPr>
          <w:p w:rsidR="005B2FA0" w:rsidRPr="004B149F" w:rsidRDefault="00D12A3D" w:rsidP="0041329E">
            <w:pPr>
              <w:pStyle w:val="AERtabletext-numbers"/>
              <w:rPr>
                <w:rFonts w:eastAsia="Calibri"/>
              </w:rPr>
            </w:pPr>
            <w:r>
              <w:rPr>
                <w:rFonts w:eastAsia="Calibri"/>
              </w:rPr>
              <w:t>-1</w:t>
            </w:r>
            <w:r w:rsidR="00BD0274">
              <w:rPr>
                <w:rFonts w:eastAsia="Calibri"/>
              </w:rPr>
              <w:t>0</w:t>
            </w:r>
            <w:r w:rsidR="00C37A6C" w:rsidRPr="00C37A6C">
              <w:rPr>
                <w:rFonts w:eastAsia="Calibri"/>
              </w:rPr>
              <w:t>%</w:t>
            </w:r>
          </w:p>
        </w:tc>
      </w:tr>
    </w:tbl>
    <w:p w:rsidR="005B2873" w:rsidRDefault="0041329E" w:rsidP="005B2873">
      <w:pPr>
        <w:pStyle w:val="AERtablesource"/>
        <w:rPr>
          <w:rFonts w:eastAsia="Calibri"/>
        </w:rPr>
      </w:pPr>
      <w:r w:rsidRPr="004B149F">
        <w:rPr>
          <w:rFonts w:eastAsia="Calibri"/>
        </w:rPr>
        <w:t xml:space="preserve">Source: </w:t>
      </w:r>
      <w:r w:rsidRPr="004B149F">
        <w:rPr>
          <w:rFonts w:eastAsia="Calibri"/>
        </w:rPr>
        <w:tab/>
        <w:t>AER analysis.</w:t>
      </w:r>
      <w:r w:rsidR="005B2873" w:rsidRPr="005B2873">
        <w:rPr>
          <w:rFonts w:eastAsia="Calibri"/>
        </w:rPr>
        <w:t xml:space="preserve"> </w:t>
      </w:r>
    </w:p>
    <w:p w:rsidR="005B2873" w:rsidRPr="005B2873" w:rsidRDefault="005B2873" w:rsidP="005B2873">
      <w:pPr>
        <w:pStyle w:val="AERtablesource"/>
        <w:rPr>
          <w:rFonts w:eastAsia="Calibri"/>
        </w:rPr>
      </w:pPr>
      <w:r>
        <w:rPr>
          <w:rFonts w:eastAsia="Calibri"/>
        </w:rPr>
        <w:t>Notes:</w:t>
      </w:r>
      <w:r>
        <w:rPr>
          <w:rFonts w:eastAsia="Calibri"/>
        </w:rPr>
        <w:tab/>
        <w:t xml:space="preserve">(a) The AER’s draft decision also included its </w:t>
      </w:r>
      <w:proofErr w:type="spellStart"/>
      <w:r>
        <w:rPr>
          <w:rFonts w:eastAsia="Calibri"/>
        </w:rPr>
        <w:t>Envestra</w:t>
      </w:r>
      <w:proofErr w:type="spellEnd"/>
      <w:r>
        <w:rPr>
          <w:rFonts w:eastAsia="Calibri"/>
        </w:rPr>
        <w:t xml:space="preserve"> Albury business. For simplicity only </w:t>
      </w:r>
      <w:proofErr w:type="spellStart"/>
      <w:r>
        <w:rPr>
          <w:rFonts w:eastAsia="Calibri"/>
        </w:rPr>
        <w:t>Envestra</w:t>
      </w:r>
      <w:proofErr w:type="spellEnd"/>
      <w:r>
        <w:rPr>
          <w:rFonts w:eastAsia="Calibri"/>
        </w:rPr>
        <w:t xml:space="preserve"> Victoria has been included in this table.</w:t>
      </w:r>
    </w:p>
    <w:p w:rsidR="0041329E" w:rsidRDefault="0041329E" w:rsidP="0041329E">
      <w:pPr>
        <w:pStyle w:val="AERheading4"/>
        <w:rPr>
          <w:rFonts w:eastAsia="Calibri"/>
        </w:rPr>
      </w:pPr>
      <w:r>
        <w:rPr>
          <w:rFonts w:eastAsia="Calibri"/>
        </w:rPr>
        <w:t>Depreciation</w:t>
      </w:r>
    </w:p>
    <w:p w:rsidR="00017414" w:rsidRDefault="000A1675" w:rsidP="004A3E3D">
      <w:pPr>
        <w:pStyle w:val="AERbodytext"/>
      </w:pPr>
      <w:r>
        <w:t>We</w:t>
      </w:r>
      <w:r w:rsidR="004A3E3D">
        <w:t xml:space="preserve"> </w:t>
      </w:r>
      <w:r w:rsidR="009F32EC">
        <w:t>did not</w:t>
      </w:r>
      <w:r w:rsidR="004A3E3D">
        <w:t xml:space="preserve"> approve APA </w:t>
      </w:r>
      <w:proofErr w:type="spellStart"/>
      <w:r w:rsidR="004A3E3D">
        <w:t>GasNet’s</w:t>
      </w:r>
      <w:proofErr w:type="spellEnd"/>
      <w:r w:rsidR="004A3E3D">
        <w:t xml:space="preserve"> depreciation approach. APA </w:t>
      </w:r>
      <w:proofErr w:type="spellStart"/>
      <w:r w:rsidR="004A3E3D">
        <w:t>GasNet</w:t>
      </w:r>
      <w:proofErr w:type="spellEnd"/>
      <w:r w:rsidR="004A3E3D">
        <w:t xml:space="preserve"> proposed to change its depreciation approach to one that brings forward APA </w:t>
      </w:r>
      <w:proofErr w:type="spellStart"/>
      <w:r w:rsidR="004A3E3D">
        <w:t>GasNet’s</w:t>
      </w:r>
      <w:proofErr w:type="spellEnd"/>
      <w:r w:rsidR="004A3E3D">
        <w:t xml:space="preserve"> cash flows by requiring customers to pay a greater proportion of an asset's costs earlier in its life. </w:t>
      </w:r>
      <w:r w:rsidR="00017414">
        <w:t xml:space="preserve">We </w:t>
      </w:r>
      <w:r w:rsidR="004A3E3D">
        <w:t xml:space="preserve">considered that this approach would not meet the requirement of promoting efficient growth of the market for reference services. </w:t>
      </w:r>
    </w:p>
    <w:p w:rsidR="004A3E3D" w:rsidRDefault="004A3E3D" w:rsidP="004A3E3D">
      <w:pPr>
        <w:pStyle w:val="AERbodytext"/>
      </w:pPr>
      <w:r>
        <w:t xml:space="preserve">In particular, </w:t>
      </w:r>
      <w:r w:rsidR="000A1675">
        <w:t>we were</w:t>
      </w:r>
      <w:r>
        <w:t xml:space="preserve"> concerned with the potential for unnecessarily high prices in the short to medium term. </w:t>
      </w:r>
      <w:r w:rsidR="00017414">
        <w:t>We were</w:t>
      </w:r>
      <w:r w:rsidR="00C37A6C">
        <w:t xml:space="preserve"> also concerned that APA </w:t>
      </w:r>
      <w:proofErr w:type="spellStart"/>
      <w:r w:rsidR="00C37A6C">
        <w:t>Gas</w:t>
      </w:r>
      <w:r>
        <w:t>Net’s</w:t>
      </w:r>
      <w:proofErr w:type="spellEnd"/>
      <w:r>
        <w:t xml:space="preserve"> proposed approach could create incentives for </w:t>
      </w:r>
      <w:r w:rsidR="00F75EF1">
        <w:t>unintended</w:t>
      </w:r>
      <w:r>
        <w:t xml:space="preserve"> outcomes. It could potentially lead to inefficient asset utilisation and the inefficient management of assets. There appear</w:t>
      </w:r>
      <w:r w:rsidRPr="00BB2BD5">
        <w:t>ed</w:t>
      </w:r>
      <w:r>
        <w:t xml:space="preserve"> to be no offsetting benefits to users arising from the proposed approach that could be considered to be in customers’ long</w:t>
      </w:r>
      <w:r w:rsidR="00C37A6C">
        <w:t>-</w:t>
      </w:r>
      <w:r>
        <w:t xml:space="preserve">term interests. </w:t>
      </w:r>
    </w:p>
    <w:p w:rsidR="009C722F" w:rsidRPr="009C722F" w:rsidRDefault="004A3E3D" w:rsidP="004A3E3D">
      <w:pPr>
        <w:pStyle w:val="AERbodytext"/>
        <w:rPr>
          <w:rFonts w:eastAsia="Calibri"/>
          <w:highlight w:val="yellow"/>
        </w:rPr>
      </w:pPr>
      <w:r>
        <w:t xml:space="preserve">In addition, changes to other building block components of APA </w:t>
      </w:r>
      <w:proofErr w:type="spellStart"/>
      <w:r>
        <w:t>GasNet's</w:t>
      </w:r>
      <w:proofErr w:type="spellEnd"/>
      <w:r>
        <w:t xml:space="preserve"> proposal </w:t>
      </w:r>
      <w:r w:rsidR="00864C12">
        <w:t xml:space="preserve">(including the capital base and </w:t>
      </w:r>
      <w:proofErr w:type="spellStart"/>
      <w:r w:rsidR="00864C12">
        <w:t>capex</w:t>
      </w:r>
      <w:proofErr w:type="spellEnd"/>
      <w:r w:rsidR="00864C12">
        <w:t xml:space="preserve">) </w:t>
      </w:r>
      <w:r>
        <w:t xml:space="preserve">impact on the proposed regulatory depreciation allowance. </w:t>
      </w:r>
      <w:r w:rsidR="000A1675">
        <w:t>Our</w:t>
      </w:r>
      <w:r>
        <w:t xml:space="preserve"> draft decision was to allow forecast regulatory</w:t>
      </w:r>
      <w:r w:rsidR="00220823">
        <w:t xml:space="preserve"> depreciation allowance of $56</w:t>
      </w:r>
      <w:r w:rsidR="00C37A6C">
        <w:t> </w:t>
      </w:r>
      <w:r>
        <w:t>million</w:t>
      </w:r>
      <w:r w:rsidR="00C37A6C">
        <w:t xml:space="preserve"> ($ nominal)—</w:t>
      </w:r>
      <w:r w:rsidR="00220823">
        <w:t>a reduction of 64</w:t>
      </w:r>
      <w:r>
        <w:t xml:space="preserve"> per cent of APA </w:t>
      </w:r>
      <w:proofErr w:type="spellStart"/>
      <w:r>
        <w:t>GasNet's</w:t>
      </w:r>
      <w:proofErr w:type="spellEnd"/>
      <w:r>
        <w:t xml:space="preserve"> proposed total regulatory depreciation allowance.</w:t>
      </w:r>
      <w:r w:rsidR="00220823">
        <w:t xml:space="preserve"> This reduced APA </w:t>
      </w:r>
      <w:proofErr w:type="spellStart"/>
      <w:r w:rsidR="00220823">
        <w:t>GasNet’s</w:t>
      </w:r>
      <w:proofErr w:type="spellEnd"/>
      <w:r w:rsidR="00220823">
        <w:t xml:space="preserve"> total revenue requirement by $102 million or by 13 per cent.</w:t>
      </w:r>
    </w:p>
    <w:p w:rsidR="00217C6F" w:rsidRDefault="00217C6F" w:rsidP="00A16E8B">
      <w:pPr>
        <w:pStyle w:val="AERheading2"/>
        <w:rPr>
          <w:rFonts w:eastAsia="Calibri"/>
        </w:rPr>
      </w:pPr>
      <w:r>
        <w:rPr>
          <w:rFonts w:eastAsia="Calibri"/>
        </w:rPr>
        <w:t>Overall impact on revenues</w:t>
      </w:r>
    </w:p>
    <w:p w:rsidR="004B149F" w:rsidRDefault="000A1675" w:rsidP="00864874">
      <w:pPr>
        <w:pStyle w:val="AERbodytext"/>
        <w:rPr>
          <w:rFonts w:eastAsia="Calibri"/>
        </w:rPr>
      </w:pPr>
      <w:r>
        <w:rPr>
          <w:rFonts w:eastAsia="Calibri"/>
        </w:rPr>
        <w:t>Our</w:t>
      </w:r>
      <w:r w:rsidR="004B149F">
        <w:rPr>
          <w:rFonts w:eastAsia="Calibri"/>
        </w:rPr>
        <w:t xml:space="preserve"> draft decisions on revenue as compared to the businesses' proposed reve</w:t>
      </w:r>
      <w:r w:rsidR="0066174C">
        <w:rPr>
          <w:rFonts w:eastAsia="Calibri"/>
        </w:rPr>
        <w:t>nue forecast is shown in table 5</w:t>
      </w:r>
      <w:r w:rsidR="004615AB">
        <w:rPr>
          <w:rFonts w:eastAsia="Calibri"/>
        </w:rPr>
        <w:t>.4</w:t>
      </w:r>
      <w:r w:rsidR="004B149F">
        <w:rPr>
          <w:rFonts w:eastAsia="Calibri"/>
        </w:rPr>
        <w:t>.</w:t>
      </w:r>
    </w:p>
    <w:p w:rsidR="004B149F" w:rsidRPr="00FC6798" w:rsidRDefault="004B149F" w:rsidP="00FC6798">
      <w:pPr>
        <w:pStyle w:val="AERtabletitle"/>
        <w:tabs>
          <w:tab w:val="clear" w:pos="2342"/>
          <w:tab w:val="num" w:pos="1440"/>
        </w:tabs>
        <w:ind w:left="1440" w:hanging="1440"/>
      </w:pPr>
      <w:r w:rsidRPr="004B149F">
        <w:t xml:space="preserve">Impact of </w:t>
      </w:r>
      <w:r w:rsidR="000A1675">
        <w:t>our</w:t>
      </w:r>
      <w:r w:rsidRPr="004B149F">
        <w:t xml:space="preserve"> draft deci</w:t>
      </w:r>
      <w:r>
        <w:t>sion and business proposal on forecast</w:t>
      </w:r>
      <w:r w:rsidRPr="004B149F">
        <w:t xml:space="preserve"> </w:t>
      </w:r>
      <w:r w:rsidR="00FB6A87">
        <w:t>revenue ($ </w:t>
      </w:r>
      <w:r w:rsidRPr="00FC6798">
        <w:t>nominal)</w:t>
      </w:r>
    </w:p>
    <w:tbl>
      <w:tblPr>
        <w:tblStyle w:val="AERtable-text"/>
        <w:tblW w:w="8528" w:type="dxa"/>
        <w:tblLayout w:type="fixed"/>
        <w:tblLook w:val="0020"/>
      </w:tblPr>
      <w:tblGrid>
        <w:gridCol w:w="2660"/>
        <w:gridCol w:w="1467"/>
        <w:gridCol w:w="1467"/>
        <w:gridCol w:w="1467"/>
        <w:gridCol w:w="1467"/>
      </w:tblGrid>
      <w:tr w:rsidR="004B149F" w:rsidRPr="00995B8F" w:rsidTr="004B149F">
        <w:trPr>
          <w:cnfStyle w:val="100000000000"/>
          <w:trHeight w:val="293"/>
        </w:trPr>
        <w:tc>
          <w:tcPr>
            <w:tcW w:w="2660" w:type="dxa"/>
          </w:tcPr>
          <w:p w:rsidR="004B149F" w:rsidRPr="004B149F" w:rsidRDefault="004B149F" w:rsidP="004B149F">
            <w:pPr>
              <w:pStyle w:val="AERtabletextheadingright"/>
              <w:rPr>
                <w:rFonts w:eastAsia="Calibri"/>
              </w:rPr>
            </w:pPr>
          </w:p>
        </w:tc>
        <w:tc>
          <w:tcPr>
            <w:tcW w:w="1467" w:type="dxa"/>
          </w:tcPr>
          <w:p w:rsidR="004B149F" w:rsidRPr="004B149F" w:rsidRDefault="004B149F" w:rsidP="004B149F">
            <w:pPr>
              <w:pStyle w:val="AERtabletextheadingright"/>
              <w:rPr>
                <w:rFonts w:eastAsia="Calibri"/>
              </w:rPr>
            </w:pPr>
            <w:r w:rsidRPr="004B149F">
              <w:rPr>
                <w:rFonts w:eastAsia="Calibri"/>
              </w:rPr>
              <w:t xml:space="preserve">APA </w:t>
            </w:r>
            <w:proofErr w:type="spellStart"/>
            <w:r w:rsidRPr="004B149F">
              <w:rPr>
                <w:rFonts w:eastAsia="Calibri"/>
              </w:rPr>
              <w:t>GasNet</w:t>
            </w:r>
            <w:proofErr w:type="spellEnd"/>
          </w:p>
        </w:tc>
        <w:tc>
          <w:tcPr>
            <w:tcW w:w="1467" w:type="dxa"/>
          </w:tcPr>
          <w:p w:rsidR="004B149F" w:rsidRPr="004B149F" w:rsidRDefault="005B2873" w:rsidP="004B149F">
            <w:pPr>
              <w:pStyle w:val="AERtabletextheadingright"/>
              <w:rPr>
                <w:rFonts w:eastAsia="Calibri"/>
              </w:rPr>
            </w:pPr>
            <w:proofErr w:type="spellStart"/>
            <w:r w:rsidRPr="005B2873">
              <w:rPr>
                <w:rFonts w:eastAsia="Calibri"/>
              </w:rPr>
              <w:t>Envestra</w:t>
            </w:r>
            <w:proofErr w:type="spellEnd"/>
            <w:r w:rsidRPr="005B2873">
              <w:rPr>
                <w:rFonts w:eastAsia="Calibri"/>
              </w:rPr>
              <w:t xml:space="preserve"> </w:t>
            </w:r>
            <w:proofErr w:type="spellStart"/>
            <w:r w:rsidRPr="005B2873">
              <w:rPr>
                <w:rFonts w:eastAsia="Calibri"/>
              </w:rPr>
              <w:t>Victoria</w:t>
            </w:r>
            <w:r w:rsidRPr="005B2873">
              <w:rPr>
                <w:rStyle w:val="FootnoteReference"/>
                <w:rFonts w:eastAsia="Calibri"/>
              </w:rPr>
              <w:t>a</w:t>
            </w:r>
            <w:proofErr w:type="spellEnd"/>
            <w:r w:rsidR="004B149F" w:rsidRPr="004B149F">
              <w:rPr>
                <w:rFonts w:eastAsia="Calibri"/>
              </w:rPr>
              <w:t xml:space="preserve"> </w:t>
            </w:r>
          </w:p>
        </w:tc>
        <w:tc>
          <w:tcPr>
            <w:tcW w:w="1467" w:type="dxa"/>
          </w:tcPr>
          <w:p w:rsidR="004B149F" w:rsidRPr="004B149F" w:rsidRDefault="004B149F" w:rsidP="004B149F">
            <w:pPr>
              <w:pStyle w:val="AERtabletextheadingright"/>
              <w:rPr>
                <w:rFonts w:eastAsia="Calibri"/>
              </w:rPr>
            </w:pPr>
            <w:r w:rsidRPr="004B149F">
              <w:rPr>
                <w:rFonts w:eastAsia="Calibri"/>
              </w:rPr>
              <w:t xml:space="preserve">SP </w:t>
            </w:r>
            <w:proofErr w:type="spellStart"/>
            <w:r w:rsidRPr="004B149F">
              <w:rPr>
                <w:rFonts w:eastAsia="Calibri"/>
              </w:rPr>
              <w:t>AusNet</w:t>
            </w:r>
            <w:proofErr w:type="spellEnd"/>
          </w:p>
        </w:tc>
        <w:tc>
          <w:tcPr>
            <w:tcW w:w="1467" w:type="dxa"/>
          </w:tcPr>
          <w:p w:rsidR="004B149F" w:rsidRPr="004B149F" w:rsidRDefault="004B149F" w:rsidP="004B149F">
            <w:pPr>
              <w:pStyle w:val="AERtabletextheadingright"/>
              <w:rPr>
                <w:rFonts w:eastAsia="Calibri"/>
              </w:rPr>
            </w:pPr>
            <w:proofErr w:type="spellStart"/>
            <w:r w:rsidRPr="004B149F">
              <w:rPr>
                <w:rFonts w:eastAsia="Calibri"/>
              </w:rPr>
              <w:t>Multinet</w:t>
            </w:r>
            <w:proofErr w:type="spellEnd"/>
          </w:p>
        </w:tc>
      </w:tr>
      <w:tr w:rsidR="004B149F" w:rsidRPr="00995B8F" w:rsidTr="009E5A94">
        <w:trPr>
          <w:trHeight w:val="471"/>
        </w:trPr>
        <w:tc>
          <w:tcPr>
            <w:tcW w:w="2660" w:type="dxa"/>
          </w:tcPr>
          <w:p w:rsidR="004B149F" w:rsidRPr="004B149F" w:rsidRDefault="004B149F" w:rsidP="004B149F">
            <w:pPr>
              <w:pStyle w:val="AERtabletext"/>
              <w:rPr>
                <w:rFonts w:eastAsia="Calibri"/>
              </w:rPr>
            </w:pPr>
            <w:r w:rsidRPr="009E5A94">
              <w:rPr>
                <w:rFonts w:eastAsia="Calibri"/>
              </w:rPr>
              <w:t xml:space="preserve">AER draft decision </w:t>
            </w:r>
          </w:p>
        </w:tc>
        <w:tc>
          <w:tcPr>
            <w:tcW w:w="1467" w:type="dxa"/>
          </w:tcPr>
          <w:p w:rsidR="004B149F" w:rsidRPr="004B149F" w:rsidRDefault="0020279F" w:rsidP="004B149F">
            <w:pPr>
              <w:pStyle w:val="AERtabletext-numbers"/>
              <w:rPr>
                <w:rFonts w:eastAsia="Calibri"/>
              </w:rPr>
            </w:pPr>
            <w:r>
              <w:rPr>
                <w:rFonts w:eastAsia="Calibri"/>
              </w:rPr>
              <w:t>$</w:t>
            </w:r>
            <w:r w:rsidR="00167599">
              <w:rPr>
                <w:rFonts w:eastAsia="Calibri"/>
              </w:rPr>
              <w:t>464</w:t>
            </w:r>
            <w:r>
              <w:rPr>
                <w:rFonts w:eastAsia="Calibri"/>
              </w:rPr>
              <w:t> million</w:t>
            </w:r>
          </w:p>
        </w:tc>
        <w:tc>
          <w:tcPr>
            <w:tcW w:w="1467" w:type="dxa"/>
          </w:tcPr>
          <w:p w:rsidR="004B149F" w:rsidRPr="004B149F" w:rsidRDefault="00DA28D5" w:rsidP="004B149F">
            <w:pPr>
              <w:pStyle w:val="AERtabletext-numbers"/>
              <w:rPr>
                <w:rFonts w:eastAsia="Calibri"/>
              </w:rPr>
            </w:pPr>
            <w:r>
              <w:rPr>
                <w:rFonts w:eastAsia="Calibri"/>
              </w:rPr>
              <w:t>$854</w:t>
            </w:r>
            <w:r w:rsidR="008520F1">
              <w:rPr>
                <w:rFonts w:eastAsia="Calibri"/>
              </w:rPr>
              <w:t> million</w:t>
            </w:r>
          </w:p>
        </w:tc>
        <w:tc>
          <w:tcPr>
            <w:tcW w:w="1467" w:type="dxa"/>
          </w:tcPr>
          <w:p w:rsidR="004B149F" w:rsidRPr="004B149F" w:rsidRDefault="0020279F" w:rsidP="004B149F">
            <w:pPr>
              <w:pStyle w:val="AERtabletext-numbers"/>
              <w:rPr>
                <w:rFonts w:eastAsia="Calibri"/>
              </w:rPr>
            </w:pPr>
            <w:r>
              <w:rPr>
                <w:rFonts w:eastAsia="Calibri"/>
              </w:rPr>
              <w:t>$</w:t>
            </w:r>
            <w:r w:rsidR="00167599" w:rsidRPr="00167599">
              <w:rPr>
                <w:rFonts w:eastAsia="Calibri"/>
              </w:rPr>
              <w:t>928</w:t>
            </w:r>
            <w:r>
              <w:rPr>
                <w:rFonts w:eastAsia="Calibri"/>
              </w:rPr>
              <w:t> million</w:t>
            </w:r>
          </w:p>
        </w:tc>
        <w:tc>
          <w:tcPr>
            <w:tcW w:w="1467" w:type="dxa"/>
          </w:tcPr>
          <w:p w:rsidR="004B149F" w:rsidRPr="004B149F" w:rsidRDefault="00042F0A" w:rsidP="004B149F">
            <w:pPr>
              <w:pStyle w:val="AERtabletext-numbers"/>
              <w:rPr>
                <w:rFonts w:eastAsia="Calibri"/>
              </w:rPr>
            </w:pPr>
            <w:r>
              <w:rPr>
                <w:rFonts w:eastAsia="Calibri"/>
              </w:rPr>
              <w:t>$782</w:t>
            </w:r>
            <w:r w:rsidR="00093A0A">
              <w:rPr>
                <w:rFonts w:eastAsia="Calibri"/>
              </w:rPr>
              <w:t> million</w:t>
            </w:r>
          </w:p>
        </w:tc>
      </w:tr>
      <w:tr w:rsidR="004B149F" w:rsidRPr="00995B8F" w:rsidTr="004B149F">
        <w:trPr>
          <w:cnfStyle w:val="000000010000"/>
          <w:trHeight w:val="434"/>
        </w:trPr>
        <w:tc>
          <w:tcPr>
            <w:tcW w:w="2660" w:type="dxa"/>
          </w:tcPr>
          <w:p w:rsidR="004B149F" w:rsidRPr="004B149F" w:rsidRDefault="004B149F" w:rsidP="004B149F">
            <w:pPr>
              <w:pStyle w:val="AERtabletext"/>
              <w:rPr>
                <w:rFonts w:eastAsia="Calibri"/>
              </w:rPr>
            </w:pPr>
            <w:r w:rsidRPr="004B149F">
              <w:t xml:space="preserve">Business proposal </w:t>
            </w:r>
          </w:p>
        </w:tc>
        <w:tc>
          <w:tcPr>
            <w:tcW w:w="1467" w:type="dxa"/>
          </w:tcPr>
          <w:p w:rsidR="004B149F" w:rsidRPr="004B149F" w:rsidRDefault="0020279F" w:rsidP="004B149F">
            <w:pPr>
              <w:pStyle w:val="AERtabletext-numbers"/>
              <w:rPr>
                <w:rFonts w:eastAsia="Calibri"/>
              </w:rPr>
            </w:pPr>
            <w:r>
              <w:rPr>
                <w:rFonts w:eastAsia="Calibri"/>
              </w:rPr>
              <w:t>$</w:t>
            </w:r>
            <w:r w:rsidR="00167599">
              <w:rPr>
                <w:rFonts w:eastAsia="Calibri"/>
              </w:rPr>
              <w:t>766</w:t>
            </w:r>
            <w:r>
              <w:rPr>
                <w:rFonts w:eastAsia="Calibri"/>
              </w:rPr>
              <w:t> million</w:t>
            </w:r>
          </w:p>
        </w:tc>
        <w:tc>
          <w:tcPr>
            <w:tcW w:w="1467" w:type="dxa"/>
          </w:tcPr>
          <w:p w:rsidR="004B149F" w:rsidRPr="00220823" w:rsidRDefault="00042F0A" w:rsidP="004B149F">
            <w:pPr>
              <w:pStyle w:val="AERtabletext-numbers"/>
              <w:rPr>
                <w:rFonts w:eastAsia="Calibri"/>
              </w:rPr>
            </w:pPr>
            <w:r w:rsidRPr="00220823">
              <w:rPr>
                <w:rFonts w:eastAsia="Calibri"/>
              </w:rPr>
              <w:t>$1</w:t>
            </w:r>
            <w:r w:rsidR="00C37A6C">
              <w:rPr>
                <w:rFonts w:eastAsia="Calibri"/>
              </w:rPr>
              <w:t> </w:t>
            </w:r>
            <w:r w:rsidRPr="00220823">
              <w:rPr>
                <w:rFonts w:eastAsia="Calibri"/>
              </w:rPr>
              <w:t>221</w:t>
            </w:r>
            <w:r w:rsidR="006F5B0F" w:rsidRPr="00220823">
              <w:rPr>
                <w:rFonts w:eastAsia="Calibri"/>
              </w:rPr>
              <w:t> million</w:t>
            </w:r>
          </w:p>
        </w:tc>
        <w:tc>
          <w:tcPr>
            <w:tcW w:w="1467" w:type="dxa"/>
          </w:tcPr>
          <w:p w:rsidR="004B149F" w:rsidRPr="004B149F" w:rsidRDefault="0020279F" w:rsidP="004B149F">
            <w:pPr>
              <w:pStyle w:val="AERtabletext-numbers"/>
              <w:rPr>
                <w:rFonts w:eastAsia="Calibri"/>
              </w:rPr>
            </w:pPr>
            <w:r>
              <w:rPr>
                <w:rFonts w:eastAsia="Calibri"/>
              </w:rPr>
              <w:t>$</w:t>
            </w:r>
            <w:r w:rsidR="00167599">
              <w:rPr>
                <w:rFonts w:eastAsia="Calibri"/>
              </w:rPr>
              <w:t>1</w:t>
            </w:r>
            <w:r w:rsidR="00C37A6C">
              <w:rPr>
                <w:rFonts w:eastAsia="Calibri"/>
              </w:rPr>
              <w:t> </w:t>
            </w:r>
            <w:r w:rsidR="00167599">
              <w:rPr>
                <w:rFonts w:eastAsia="Calibri"/>
              </w:rPr>
              <w:t>181</w:t>
            </w:r>
            <w:r>
              <w:rPr>
                <w:rFonts w:eastAsia="Calibri"/>
              </w:rPr>
              <w:t> million</w:t>
            </w:r>
          </w:p>
        </w:tc>
        <w:tc>
          <w:tcPr>
            <w:tcW w:w="1467" w:type="dxa"/>
          </w:tcPr>
          <w:p w:rsidR="004B149F" w:rsidRPr="004B149F" w:rsidRDefault="00042F0A" w:rsidP="004B149F">
            <w:pPr>
              <w:pStyle w:val="AERtabletext-numbers"/>
              <w:rPr>
                <w:rFonts w:eastAsia="Calibri"/>
              </w:rPr>
            </w:pPr>
            <w:r>
              <w:rPr>
                <w:rFonts w:eastAsia="Calibri"/>
              </w:rPr>
              <w:t>$1</w:t>
            </w:r>
            <w:r w:rsidR="00C37A6C">
              <w:rPr>
                <w:rFonts w:eastAsia="Calibri"/>
              </w:rPr>
              <w:t> </w:t>
            </w:r>
            <w:r>
              <w:rPr>
                <w:rFonts w:eastAsia="Calibri"/>
              </w:rPr>
              <w:t>145</w:t>
            </w:r>
            <w:r w:rsidR="00093A0A">
              <w:rPr>
                <w:rFonts w:eastAsia="Calibri"/>
              </w:rPr>
              <w:t> million</w:t>
            </w:r>
          </w:p>
        </w:tc>
      </w:tr>
      <w:tr w:rsidR="004B149F" w:rsidRPr="00995B8F" w:rsidTr="004B149F">
        <w:trPr>
          <w:trHeight w:val="434"/>
        </w:trPr>
        <w:tc>
          <w:tcPr>
            <w:tcW w:w="2660" w:type="dxa"/>
          </w:tcPr>
          <w:p w:rsidR="004B149F" w:rsidRPr="004B149F" w:rsidRDefault="00E10C5D" w:rsidP="004B149F">
            <w:pPr>
              <w:pStyle w:val="AERtabletext"/>
            </w:pPr>
            <w:r>
              <w:t>Difference</w:t>
            </w:r>
          </w:p>
        </w:tc>
        <w:tc>
          <w:tcPr>
            <w:tcW w:w="1467" w:type="dxa"/>
          </w:tcPr>
          <w:p w:rsidR="004B149F" w:rsidRPr="004B149F" w:rsidRDefault="00E1009A" w:rsidP="004B149F">
            <w:pPr>
              <w:pStyle w:val="AERtabletext-numbers"/>
              <w:rPr>
                <w:rFonts w:eastAsia="Calibri"/>
              </w:rPr>
            </w:pPr>
            <w:r>
              <w:rPr>
                <w:rFonts w:eastAsia="Calibri"/>
              </w:rPr>
              <w:t>-$302 million</w:t>
            </w:r>
          </w:p>
        </w:tc>
        <w:tc>
          <w:tcPr>
            <w:tcW w:w="1467" w:type="dxa"/>
          </w:tcPr>
          <w:p w:rsidR="004B149F" w:rsidRPr="00220823" w:rsidRDefault="00042F0A" w:rsidP="004B149F">
            <w:pPr>
              <w:pStyle w:val="AERtabletext-numbers"/>
              <w:rPr>
                <w:rFonts w:eastAsia="Calibri"/>
              </w:rPr>
            </w:pPr>
            <w:r w:rsidRPr="00220823">
              <w:rPr>
                <w:rFonts w:eastAsia="Calibri"/>
              </w:rPr>
              <w:t>-$354</w:t>
            </w:r>
            <w:r w:rsidR="006F5B0F" w:rsidRPr="00220823">
              <w:rPr>
                <w:rFonts w:eastAsia="Calibri"/>
              </w:rPr>
              <w:t> million</w:t>
            </w:r>
          </w:p>
        </w:tc>
        <w:tc>
          <w:tcPr>
            <w:tcW w:w="1467" w:type="dxa"/>
          </w:tcPr>
          <w:p w:rsidR="004B149F" w:rsidRPr="004B149F" w:rsidRDefault="00E1009A" w:rsidP="004B149F">
            <w:pPr>
              <w:pStyle w:val="AERtabletext-numbers"/>
              <w:rPr>
                <w:rFonts w:eastAsia="Calibri"/>
              </w:rPr>
            </w:pPr>
            <w:r>
              <w:rPr>
                <w:rFonts w:eastAsia="Calibri"/>
              </w:rPr>
              <w:t>-$253 million</w:t>
            </w:r>
          </w:p>
        </w:tc>
        <w:tc>
          <w:tcPr>
            <w:tcW w:w="1467" w:type="dxa"/>
          </w:tcPr>
          <w:p w:rsidR="004B149F" w:rsidRPr="004B149F" w:rsidRDefault="00042F0A" w:rsidP="004B149F">
            <w:pPr>
              <w:pStyle w:val="AERtabletext-numbers"/>
              <w:rPr>
                <w:rFonts w:eastAsia="Calibri"/>
              </w:rPr>
            </w:pPr>
            <w:r>
              <w:rPr>
                <w:rFonts w:eastAsia="Calibri"/>
              </w:rPr>
              <w:t>-$363</w:t>
            </w:r>
            <w:r w:rsidR="00E1009A">
              <w:rPr>
                <w:rFonts w:eastAsia="Calibri"/>
              </w:rPr>
              <w:t> million</w:t>
            </w:r>
          </w:p>
        </w:tc>
      </w:tr>
      <w:tr w:rsidR="00E10C5D" w:rsidRPr="00995B8F" w:rsidTr="004B149F">
        <w:trPr>
          <w:cnfStyle w:val="000000010000"/>
          <w:trHeight w:val="434"/>
        </w:trPr>
        <w:tc>
          <w:tcPr>
            <w:tcW w:w="2660" w:type="dxa"/>
          </w:tcPr>
          <w:p w:rsidR="00E10C5D" w:rsidRPr="004B149F" w:rsidRDefault="00E10C5D" w:rsidP="00E23F9F">
            <w:pPr>
              <w:pStyle w:val="AERtabletext"/>
            </w:pPr>
            <w:r>
              <w:t>Difference (per cent)</w:t>
            </w:r>
          </w:p>
        </w:tc>
        <w:tc>
          <w:tcPr>
            <w:tcW w:w="1467" w:type="dxa"/>
          </w:tcPr>
          <w:p w:rsidR="00E10C5D" w:rsidRPr="004B149F" w:rsidRDefault="00E10C5D" w:rsidP="00E23F9F">
            <w:pPr>
              <w:pStyle w:val="AERtabletext-numbers"/>
              <w:rPr>
                <w:rFonts w:eastAsia="Calibri"/>
              </w:rPr>
            </w:pPr>
            <w:r>
              <w:rPr>
                <w:rFonts w:eastAsia="Calibri"/>
              </w:rPr>
              <w:t>-39</w:t>
            </w:r>
            <w:r w:rsidR="00C37A6C" w:rsidRPr="00C37A6C">
              <w:rPr>
                <w:rFonts w:eastAsia="Calibri"/>
              </w:rPr>
              <w:t>%</w:t>
            </w:r>
          </w:p>
        </w:tc>
        <w:tc>
          <w:tcPr>
            <w:tcW w:w="1467" w:type="dxa"/>
          </w:tcPr>
          <w:p w:rsidR="00E10C5D" w:rsidRPr="004B149F" w:rsidRDefault="00042F0A" w:rsidP="00E23F9F">
            <w:pPr>
              <w:pStyle w:val="AERtabletext-numbers"/>
              <w:rPr>
                <w:rFonts w:eastAsia="Calibri"/>
              </w:rPr>
            </w:pPr>
            <w:r>
              <w:rPr>
                <w:rFonts w:eastAsia="Calibri"/>
              </w:rPr>
              <w:t>-29</w:t>
            </w:r>
            <w:r w:rsidR="00C37A6C" w:rsidRPr="00C37A6C">
              <w:rPr>
                <w:rFonts w:eastAsia="Calibri"/>
              </w:rPr>
              <w:t>%</w:t>
            </w:r>
          </w:p>
        </w:tc>
        <w:tc>
          <w:tcPr>
            <w:tcW w:w="1467" w:type="dxa"/>
          </w:tcPr>
          <w:p w:rsidR="00E10C5D" w:rsidRPr="004B149F" w:rsidRDefault="00E10C5D" w:rsidP="00E23F9F">
            <w:pPr>
              <w:pStyle w:val="AERtabletext-numbers"/>
              <w:rPr>
                <w:rFonts w:eastAsia="Calibri"/>
              </w:rPr>
            </w:pPr>
            <w:r>
              <w:rPr>
                <w:rFonts w:eastAsia="Calibri"/>
              </w:rPr>
              <w:t>-21</w:t>
            </w:r>
            <w:r w:rsidR="00C37A6C" w:rsidRPr="00C37A6C">
              <w:rPr>
                <w:rFonts w:eastAsia="Calibri"/>
              </w:rPr>
              <w:t>%</w:t>
            </w:r>
          </w:p>
        </w:tc>
        <w:tc>
          <w:tcPr>
            <w:tcW w:w="1467" w:type="dxa"/>
          </w:tcPr>
          <w:p w:rsidR="00E10C5D" w:rsidRPr="004B149F" w:rsidRDefault="00E10C5D" w:rsidP="00042F0A">
            <w:pPr>
              <w:pStyle w:val="AERtabletext-numbers"/>
              <w:rPr>
                <w:rFonts w:eastAsia="Calibri"/>
              </w:rPr>
            </w:pPr>
            <w:r>
              <w:rPr>
                <w:rFonts w:eastAsia="Calibri"/>
              </w:rPr>
              <w:t>-3</w:t>
            </w:r>
            <w:r w:rsidR="00042F0A">
              <w:rPr>
                <w:rFonts w:eastAsia="Calibri"/>
              </w:rPr>
              <w:t>2</w:t>
            </w:r>
            <w:r w:rsidR="00C37A6C" w:rsidRPr="00C37A6C">
              <w:rPr>
                <w:rFonts w:eastAsia="Calibri"/>
              </w:rPr>
              <w:t>%</w:t>
            </w:r>
          </w:p>
        </w:tc>
      </w:tr>
    </w:tbl>
    <w:p w:rsidR="004B149F" w:rsidRDefault="004B149F" w:rsidP="004B149F">
      <w:pPr>
        <w:pStyle w:val="AERtablesource"/>
        <w:rPr>
          <w:rFonts w:eastAsia="Calibri"/>
        </w:rPr>
      </w:pPr>
      <w:r w:rsidRPr="004B149F">
        <w:rPr>
          <w:rFonts w:eastAsia="Calibri"/>
        </w:rPr>
        <w:t xml:space="preserve">Source: </w:t>
      </w:r>
      <w:r w:rsidRPr="004B149F">
        <w:rPr>
          <w:rFonts w:eastAsia="Calibri"/>
        </w:rPr>
        <w:tab/>
        <w:t>AER analysis.</w:t>
      </w:r>
    </w:p>
    <w:p w:rsidR="005B2873" w:rsidRPr="005B2873" w:rsidRDefault="005B2873" w:rsidP="005B2873">
      <w:pPr>
        <w:pStyle w:val="AERtablesource"/>
        <w:rPr>
          <w:rFonts w:eastAsia="Calibri"/>
        </w:rPr>
      </w:pPr>
      <w:r>
        <w:rPr>
          <w:rFonts w:eastAsia="Calibri"/>
        </w:rPr>
        <w:t>Notes:</w:t>
      </w:r>
      <w:r>
        <w:rPr>
          <w:rFonts w:eastAsia="Calibri"/>
        </w:rPr>
        <w:tab/>
        <w:t xml:space="preserve">(a) The AER’s draft decision also included its </w:t>
      </w:r>
      <w:proofErr w:type="spellStart"/>
      <w:r>
        <w:rPr>
          <w:rFonts w:eastAsia="Calibri"/>
        </w:rPr>
        <w:t>Envestra</w:t>
      </w:r>
      <w:proofErr w:type="spellEnd"/>
      <w:r>
        <w:rPr>
          <w:rFonts w:eastAsia="Calibri"/>
        </w:rPr>
        <w:t xml:space="preserve"> Albury business. For simplicity only </w:t>
      </w:r>
      <w:proofErr w:type="spellStart"/>
      <w:r>
        <w:rPr>
          <w:rFonts w:eastAsia="Calibri"/>
        </w:rPr>
        <w:t>Envestra</w:t>
      </w:r>
      <w:proofErr w:type="spellEnd"/>
      <w:r>
        <w:rPr>
          <w:rFonts w:eastAsia="Calibri"/>
        </w:rPr>
        <w:t xml:space="preserve"> Victoria has been included in this table.</w:t>
      </w:r>
    </w:p>
    <w:p w:rsidR="00864874" w:rsidRPr="00864874" w:rsidRDefault="00C37A6C" w:rsidP="00864874">
      <w:pPr>
        <w:pStyle w:val="AERheading2"/>
      </w:pPr>
      <w:r>
        <w:br w:type="page"/>
      </w:r>
      <w:r w:rsidR="00217C6F">
        <w:t>Impact</w:t>
      </w:r>
      <w:r w:rsidR="00864874" w:rsidRPr="00864874">
        <w:t xml:space="preserve"> on </w:t>
      </w:r>
      <w:r w:rsidR="00864874">
        <w:t>regulated tariffs</w:t>
      </w:r>
    </w:p>
    <w:p w:rsidR="00805219" w:rsidRDefault="004615AB" w:rsidP="00864874">
      <w:pPr>
        <w:pStyle w:val="AERbodytext"/>
        <w:rPr>
          <w:rFonts w:eastAsia="Calibri"/>
        </w:rPr>
      </w:pPr>
      <w:r>
        <w:rPr>
          <w:rFonts w:eastAsia="Calibri"/>
        </w:rPr>
        <w:t>As can be seen in table </w:t>
      </w:r>
      <w:r w:rsidR="00BA3B85">
        <w:rPr>
          <w:rFonts w:eastAsia="Calibri"/>
        </w:rPr>
        <w:t>5</w:t>
      </w:r>
      <w:r>
        <w:rPr>
          <w:rFonts w:eastAsia="Calibri"/>
        </w:rPr>
        <w:t>.5</w:t>
      </w:r>
      <w:r w:rsidR="00805219">
        <w:rPr>
          <w:rFonts w:eastAsia="Calibri"/>
        </w:rPr>
        <w:t xml:space="preserve">, </w:t>
      </w:r>
      <w:r w:rsidR="000A1675">
        <w:rPr>
          <w:rFonts w:eastAsia="Calibri"/>
        </w:rPr>
        <w:t>our</w:t>
      </w:r>
      <w:r w:rsidR="001475E6">
        <w:rPr>
          <w:rFonts w:eastAsia="Calibri"/>
        </w:rPr>
        <w:t xml:space="preserve"> draft decisions le</w:t>
      </w:r>
      <w:r w:rsidR="00805219">
        <w:rPr>
          <w:rFonts w:eastAsia="Calibri"/>
        </w:rPr>
        <w:t>d to</w:t>
      </w:r>
      <w:r w:rsidR="004B149F">
        <w:rPr>
          <w:rFonts w:eastAsia="Calibri"/>
        </w:rPr>
        <w:t xml:space="preserve"> lower forecast revenue</w:t>
      </w:r>
      <w:r w:rsidR="00805219">
        <w:rPr>
          <w:rFonts w:eastAsia="Calibri"/>
        </w:rPr>
        <w:t>s than those</w:t>
      </w:r>
      <w:r w:rsidR="004B149F">
        <w:rPr>
          <w:rFonts w:eastAsia="Calibri"/>
        </w:rPr>
        <w:t xml:space="preserve"> proposed by the businesses</w:t>
      </w:r>
      <w:r w:rsidR="0040457B">
        <w:rPr>
          <w:rFonts w:eastAsia="Calibri"/>
        </w:rPr>
        <w:t xml:space="preserve">. </w:t>
      </w:r>
      <w:r w:rsidR="004B149F">
        <w:rPr>
          <w:rFonts w:eastAsia="Calibri"/>
        </w:rPr>
        <w:t xml:space="preserve">This </w:t>
      </w:r>
      <w:r>
        <w:rPr>
          <w:rFonts w:eastAsia="Calibri"/>
        </w:rPr>
        <w:t xml:space="preserve">has </w:t>
      </w:r>
      <w:r w:rsidR="00017414">
        <w:rPr>
          <w:rFonts w:eastAsia="Calibri"/>
        </w:rPr>
        <w:t>resulted in</w:t>
      </w:r>
      <w:r w:rsidR="004B149F">
        <w:rPr>
          <w:rFonts w:eastAsia="Calibri"/>
        </w:rPr>
        <w:t xml:space="preserve"> lower </w:t>
      </w:r>
      <w:r w:rsidR="00805219">
        <w:rPr>
          <w:rFonts w:eastAsia="Calibri"/>
        </w:rPr>
        <w:t>reference tariffs</w:t>
      </w:r>
      <w:r w:rsidR="004B149F">
        <w:rPr>
          <w:rFonts w:eastAsia="Calibri"/>
        </w:rPr>
        <w:t xml:space="preserve"> </w:t>
      </w:r>
      <w:r w:rsidR="00805219">
        <w:rPr>
          <w:rFonts w:eastAsia="Calibri"/>
        </w:rPr>
        <w:t>for pipeline services</w:t>
      </w:r>
      <w:r w:rsidR="00D26770">
        <w:rPr>
          <w:rFonts w:eastAsia="Calibri"/>
        </w:rPr>
        <w:t xml:space="preserve">, </w:t>
      </w:r>
      <w:r w:rsidR="00CF4992">
        <w:rPr>
          <w:rFonts w:eastAsia="Calibri"/>
        </w:rPr>
        <w:t xml:space="preserve">compared </w:t>
      </w:r>
      <w:r>
        <w:rPr>
          <w:rFonts w:eastAsia="Calibri"/>
        </w:rPr>
        <w:t>with the tariffs proposed by the businesses</w:t>
      </w:r>
      <w:r w:rsidR="0066174C">
        <w:rPr>
          <w:rFonts w:eastAsia="Calibri"/>
        </w:rPr>
        <w:t xml:space="preserve"> (see table 5</w:t>
      </w:r>
      <w:r w:rsidR="0040457B">
        <w:rPr>
          <w:rFonts w:eastAsia="Calibri"/>
        </w:rPr>
        <w:t>.5)</w:t>
      </w:r>
      <w:r>
        <w:rPr>
          <w:rFonts w:eastAsia="Calibri"/>
        </w:rPr>
        <w:t>.</w:t>
      </w:r>
      <w:r w:rsidR="0040457B">
        <w:rPr>
          <w:rFonts w:eastAsia="Calibri"/>
        </w:rPr>
        <w:t xml:space="preserve"> Further, for all businesses except </w:t>
      </w:r>
      <w:proofErr w:type="spellStart"/>
      <w:r w:rsidR="0040457B">
        <w:rPr>
          <w:rFonts w:eastAsia="Calibri"/>
        </w:rPr>
        <w:t>Envestra</w:t>
      </w:r>
      <w:proofErr w:type="spellEnd"/>
      <w:r w:rsidR="0040457B">
        <w:rPr>
          <w:rFonts w:eastAsia="Calibri"/>
        </w:rPr>
        <w:t xml:space="preserve"> Victoria, tariffs </w:t>
      </w:r>
      <w:r w:rsidR="000B3312">
        <w:rPr>
          <w:rFonts w:eastAsia="Calibri"/>
        </w:rPr>
        <w:t>would actually decrease</w:t>
      </w:r>
      <w:r w:rsidR="0040457B">
        <w:rPr>
          <w:rFonts w:eastAsia="Calibri"/>
        </w:rPr>
        <w:t xml:space="preserve"> slightly compared with tariffs for the 2008</w:t>
      </w:r>
      <w:r w:rsidR="0040457B">
        <w:rPr>
          <w:rFonts w:eastAsia="Calibri" w:cs="Gautami"/>
        </w:rPr>
        <w:t>–</w:t>
      </w:r>
      <w:r w:rsidR="0040457B">
        <w:rPr>
          <w:rFonts w:eastAsia="Calibri"/>
        </w:rPr>
        <w:t xml:space="preserve">12 </w:t>
      </w:r>
      <w:proofErr w:type="gramStart"/>
      <w:r w:rsidR="0040457B">
        <w:rPr>
          <w:rFonts w:eastAsia="Calibri"/>
        </w:rPr>
        <w:t>period</w:t>
      </w:r>
      <w:proofErr w:type="gramEnd"/>
      <w:r w:rsidR="0040457B">
        <w:rPr>
          <w:rFonts w:eastAsia="Calibri"/>
        </w:rPr>
        <w:t xml:space="preserve">. </w:t>
      </w:r>
    </w:p>
    <w:p w:rsidR="00805219" w:rsidRPr="00FC6798" w:rsidRDefault="00805219" w:rsidP="00FC6798">
      <w:pPr>
        <w:pStyle w:val="AERtabletitle"/>
        <w:tabs>
          <w:tab w:val="clear" w:pos="2342"/>
          <w:tab w:val="num" w:pos="1440"/>
        </w:tabs>
        <w:ind w:left="1440" w:hanging="1440"/>
      </w:pPr>
      <w:r w:rsidRPr="00805219">
        <w:t xml:space="preserve">Impact of </w:t>
      </w:r>
      <w:r w:rsidR="000A1675">
        <w:t>our</w:t>
      </w:r>
      <w:r w:rsidRPr="00805219">
        <w:t xml:space="preserve"> draft decision on </w:t>
      </w:r>
      <w:r w:rsidR="0080298A">
        <w:t>reference tariffs</w:t>
      </w:r>
      <w:r w:rsidRPr="00FC6798">
        <w:t xml:space="preserve"> (per cent)</w:t>
      </w:r>
    </w:p>
    <w:tbl>
      <w:tblPr>
        <w:tblStyle w:val="AERtable-text"/>
        <w:tblW w:w="8528" w:type="dxa"/>
        <w:tblLayout w:type="fixed"/>
        <w:tblLook w:val="0020"/>
      </w:tblPr>
      <w:tblGrid>
        <w:gridCol w:w="3085"/>
        <w:gridCol w:w="1360"/>
        <w:gridCol w:w="1361"/>
        <w:gridCol w:w="1361"/>
        <w:gridCol w:w="1361"/>
      </w:tblGrid>
      <w:tr w:rsidR="00805219" w:rsidRPr="00995B8F" w:rsidTr="00042F0A">
        <w:trPr>
          <w:cnfStyle w:val="100000000000"/>
          <w:trHeight w:val="293"/>
        </w:trPr>
        <w:tc>
          <w:tcPr>
            <w:tcW w:w="3085" w:type="dxa"/>
          </w:tcPr>
          <w:p w:rsidR="00805219" w:rsidRPr="00805219" w:rsidRDefault="00805219" w:rsidP="00805219">
            <w:pPr>
              <w:pStyle w:val="AERtabletextheadingright"/>
              <w:rPr>
                <w:rFonts w:eastAsia="Calibri"/>
              </w:rPr>
            </w:pPr>
          </w:p>
        </w:tc>
        <w:tc>
          <w:tcPr>
            <w:tcW w:w="1360" w:type="dxa"/>
          </w:tcPr>
          <w:p w:rsidR="00805219" w:rsidRPr="00805219" w:rsidRDefault="00805219" w:rsidP="00805219">
            <w:pPr>
              <w:pStyle w:val="AERtabletextheadingright"/>
              <w:rPr>
                <w:rFonts w:eastAsia="Calibri"/>
              </w:rPr>
            </w:pPr>
            <w:r w:rsidRPr="00805219">
              <w:rPr>
                <w:rFonts w:eastAsia="Calibri"/>
              </w:rPr>
              <w:t xml:space="preserve">APA </w:t>
            </w:r>
            <w:proofErr w:type="spellStart"/>
            <w:r w:rsidRPr="00805219">
              <w:rPr>
                <w:rFonts w:eastAsia="Calibri"/>
              </w:rPr>
              <w:t>GasNet</w:t>
            </w:r>
            <w:proofErr w:type="spellEnd"/>
          </w:p>
        </w:tc>
        <w:tc>
          <w:tcPr>
            <w:tcW w:w="1361" w:type="dxa"/>
          </w:tcPr>
          <w:p w:rsidR="00805219" w:rsidRPr="00805219" w:rsidRDefault="005B2873" w:rsidP="00805219">
            <w:pPr>
              <w:pStyle w:val="AERtabletextheadingright"/>
              <w:rPr>
                <w:rFonts w:eastAsia="Calibri"/>
              </w:rPr>
            </w:pPr>
            <w:proofErr w:type="spellStart"/>
            <w:r w:rsidRPr="005B2873">
              <w:rPr>
                <w:rFonts w:eastAsia="Calibri"/>
              </w:rPr>
              <w:t>Envestra</w:t>
            </w:r>
            <w:proofErr w:type="spellEnd"/>
            <w:r w:rsidRPr="005B2873">
              <w:rPr>
                <w:rFonts w:eastAsia="Calibri"/>
              </w:rPr>
              <w:t xml:space="preserve"> </w:t>
            </w:r>
            <w:proofErr w:type="spellStart"/>
            <w:r w:rsidRPr="005B2873">
              <w:rPr>
                <w:rFonts w:eastAsia="Calibri"/>
              </w:rPr>
              <w:t>Victoria</w:t>
            </w:r>
            <w:r w:rsidRPr="005B2873">
              <w:rPr>
                <w:rStyle w:val="FootnoteReference"/>
                <w:rFonts w:eastAsia="Calibri"/>
              </w:rPr>
              <w:t>a</w:t>
            </w:r>
            <w:proofErr w:type="spellEnd"/>
          </w:p>
        </w:tc>
        <w:tc>
          <w:tcPr>
            <w:tcW w:w="1361" w:type="dxa"/>
          </w:tcPr>
          <w:p w:rsidR="00805219" w:rsidRPr="00805219" w:rsidRDefault="0020279F" w:rsidP="00805219">
            <w:pPr>
              <w:pStyle w:val="AERtabletextheadingright"/>
              <w:rPr>
                <w:rFonts w:eastAsia="Calibri"/>
              </w:rPr>
            </w:pPr>
            <w:r>
              <w:rPr>
                <w:rFonts w:eastAsia="Calibri"/>
              </w:rPr>
              <w:t>SP </w:t>
            </w:r>
            <w:proofErr w:type="spellStart"/>
            <w:r>
              <w:rPr>
                <w:rFonts w:eastAsia="Calibri"/>
              </w:rPr>
              <w:t>AusNet</w:t>
            </w:r>
            <w:proofErr w:type="spellEnd"/>
          </w:p>
        </w:tc>
        <w:tc>
          <w:tcPr>
            <w:tcW w:w="1361" w:type="dxa"/>
          </w:tcPr>
          <w:p w:rsidR="00805219" w:rsidRPr="00805219" w:rsidRDefault="00805219" w:rsidP="00805219">
            <w:pPr>
              <w:pStyle w:val="AERtabletextheadingright"/>
              <w:rPr>
                <w:rFonts w:eastAsia="Calibri"/>
              </w:rPr>
            </w:pPr>
            <w:proofErr w:type="spellStart"/>
            <w:r w:rsidRPr="00805219">
              <w:rPr>
                <w:rFonts w:eastAsia="Calibri"/>
              </w:rPr>
              <w:t>Multinet</w:t>
            </w:r>
            <w:proofErr w:type="spellEnd"/>
          </w:p>
        </w:tc>
      </w:tr>
      <w:tr w:rsidR="00805219" w:rsidRPr="00995B8F" w:rsidTr="00042F0A">
        <w:trPr>
          <w:trHeight w:val="663"/>
        </w:trPr>
        <w:tc>
          <w:tcPr>
            <w:tcW w:w="3085" w:type="dxa"/>
          </w:tcPr>
          <w:p w:rsidR="00805219" w:rsidRPr="00805219" w:rsidRDefault="00805219" w:rsidP="00042F0A">
            <w:pPr>
              <w:pStyle w:val="AERtabletext"/>
              <w:rPr>
                <w:rFonts w:eastAsia="Calibri"/>
              </w:rPr>
            </w:pPr>
            <w:r w:rsidRPr="00805219">
              <w:t xml:space="preserve">AER draft decision effect on </w:t>
            </w:r>
            <w:r w:rsidR="0020279F">
              <w:t xml:space="preserve">average </w:t>
            </w:r>
            <w:r w:rsidRPr="00805219">
              <w:t>annual bill</w:t>
            </w:r>
            <w:r w:rsidR="0020279F">
              <w:t xml:space="preserve"> compared with 2008</w:t>
            </w:r>
            <w:r w:rsidR="0020279F">
              <w:rPr>
                <w:rFonts w:cs="Gautami"/>
              </w:rPr>
              <w:t>–</w:t>
            </w:r>
            <w:r w:rsidR="0020279F">
              <w:t>12 period average bill</w:t>
            </w:r>
          </w:p>
        </w:tc>
        <w:tc>
          <w:tcPr>
            <w:tcW w:w="1360" w:type="dxa"/>
          </w:tcPr>
          <w:p w:rsidR="00805219" w:rsidRPr="00805219" w:rsidRDefault="00B97F87" w:rsidP="00805219">
            <w:pPr>
              <w:pStyle w:val="AERtabletext-numbers"/>
              <w:rPr>
                <w:rFonts w:eastAsia="Calibri"/>
              </w:rPr>
            </w:pPr>
            <w:r>
              <w:rPr>
                <w:rFonts w:eastAsia="Calibri"/>
              </w:rPr>
              <w:t>-19</w:t>
            </w:r>
            <w:r w:rsidR="00C37A6C">
              <w:rPr>
                <w:rFonts w:eastAsia="Calibri"/>
              </w:rPr>
              <w:t>%</w:t>
            </w:r>
          </w:p>
        </w:tc>
        <w:tc>
          <w:tcPr>
            <w:tcW w:w="1361" w:type="dxa"/>
          </w:tcPr>
          <w:p w:rsidR="00805219" w:rsidRPr="000428FA" w:rsidRDefault="006568D3" w:rsidP="00042F0A">
            <w:pPr>
              <w:pStyle w:val="AERtabletext-numbers"/>
              <w:rPr>
                <w:rStyle w:val="AERtexthighlight"/>
                <w:rFonts w:eastAsia="Calibri"/>
              </w:rPr>
            </w:pPr>
            <w:r>
              <w:rPr>
                <w:rFonts w:eastAsia="Calibri"/>
              </w:rPr>
              <w:t>17</w:t>
            </w:r>
            <w:r w:rsidR="00C37A6C" w:rsidRPr="00C37A6C">
              <w:rPr>
                <w:rFonts w:eastAsia="Calibri"/>
              </w:rPr>
              <w:t>%</w:t>
            </w:r>
          </w:p>
        </w:tc>
        <w:tc>
          <w:tcPr>
            <w:tcW w:w="1361" w:type="dxa"/>
          </w:tcPr>
          <w:p w:rsidR="00805219" w:rsidRPr="00805219" w:rsidRDefault="0020279F" w:rsidP="00805219">
            <w:pPr>
              <w:pStyle w:val="AERtabletext-numbers"/>
              <w:rPr>
                <w:rFonts w:eastAsia="Calibri"/>
              </w:rPr>
            </w:pPr>
            <w:r>
              <w:rPr>
                <w:rFonts w:eastAsia="Calibri"/>
              </w:rPr>
              <w:t>-7</w:t>
            </w:r>
            <w:r w:rsidR="00C37A6C" w:rsidRPr="00C37A6C">
              <w:rPr>
                <w:rFonts w:eastAsia="Calibri"/>
              </w:rPr>
              <w:t>%</w:t>
            </w:r>
          </w:p>
        </w:tc>
        <w:tc>
          <w:tcPr>
            <w:tcW w:w="1361" w:type="dxa"/>
          </w:tcPr>
          <w:p w:rsidR="00805219" w:rsidRPr="000428FA" w:rsidRDefault="006568D3" w:rsidP="00805219">
            <w:pPr>
              <w:pStyle w:val="AERtabletext-numbers"/>
              <w:rPr>
                <w:rStyle w:val="AERtexthighlight"/>
                <w:rFonts w:eastAsia="Calibri"/>
              </w:rPr>
            </w:pPr>
            <w:r>
              <w:rPr>
                <w:rFonts w:eastAsia="Calibri"/>
              </w:rPr>
              <w:t>-14</w:t>
            </w:r>
            <w:r w:rsidR="00C37A6C" w:rsidRPr="00C37A6C">
              <w:rPr>
                <w:rFonts w:eastAsia="Calibri"/>
              </w:rPr>
              <w:t>%</w:t>
            </w:r>
          </w:p>
        </w:tc>
      </w:tr>
      <w:tr w:rsidR="00805219" w:rsidRPr="00995B8F" w:rsidTr="00042F0A">
        <w:trPr>
          <w:cnfStyle w:val="000000010000"/>
          <w:trHeight w:val="434"/>
        </w:trPr>
        <w:tc>
          <w:tcPr>
            <w:tcW w:w="3085" w:type="dxa"/>
          </w:tcPr>
          <w:p w:rsidR="00805219" w:rsidRPr="00805219" w:rsidRDefault="0020279F" w:rsidP="00042F0A">
            <w:pPr>
              <w:pStyle w:val="AERtabletext"/>
              <w:rPr>
                <w:rFonts w:eastAsia="Calibri"/>
              </w:rPr>
            </w:pPr>
            <w:r>
              <w:t>Average difference between AER draft decision and b</w:t>
            </w:r>
            <w:r w:rsidR="00805219" w:rsidRPr="00805219">
              <w:t xml:space="preserve">usiness proposal </w:t>
            </w:r>
            <w:r>
              <w:t>on reference tariffs</w:t>
            </w:r>
          </w:p>
        </w:tc>
        <w:tc>
          <w:tcPr>
            <w:tcW w:w="1360" w:type="dxa"/>
          </w:tcPr>
          <w:p w:rsidR="00805219" w:rsidRPr="00805219" w:rsidRDefault="000428FA" w:rsidP="00805219">
            <w:pPr>
              <w:pStyle w:val="AERtabletext-numbers"/>
              <w:rPr>
                <w:rFonts w:eastAsia="Calibri"/>
              </w:rPr>
            </w:pPr>
            <w:r>
              <w:rPr>
                <w:rFonts w:eastAsia="Calibri"/>
              </w:rPr>
              <w:t>-34</w:t>
            </w:r>
            <w:r w:rsidR="00C37A6C" w:rsidRPr="00C37A6C">
              <w:rPr>
                <w:rFonts w:eastAsia="Calibri"/>
              </w:rPr>
              <w:t>%</w:t>
            </w:r>
          </w:p>
        </w:tc>
        <w:tc>
          <w:tcPr>
            <w:tcW w:w="1361" w:type="dxa"/>
          </w:tcPr>
          <w:p w:rsidR="00805219" w:rsidRPr="00E23F9F" w:rsidRDefault="006568D3" w:rsidP="00042F0A">
            <w:pPr>
              <w:pStyle w:val="AERtabletext-numbers"/>
              <w:rPr>
                <w:rFonts w:eastAsia="Calibri"/>
              </w:rPr>
            </w:pPr>
            <w:r>
              <w:rPr>
                <w:rFonts w:eastAsia="Calibri"/>
              </w:rPr>
              <w:t>-2</w:t>
            </w:r>
            <w:r w:rsidR="00BD0274">
              <w:rPr>
                <w:rFonts w:eastAsia="Calibri"/>
              </w:rPr>
              <w:t>9</w:t>
            </w:r>
            <w:r w:rsidR="00C37A6C" w:rsidRPr="00C37A6C">
              <w:rPr>
                <w:rFonts w:eastAsia="Calibri"/>
              </w:rPr>
              <w:t>%</w:t>
            </w:r>
          </w:p>
        </w:tc>
        <w:tc>
          <w:tcPr>
            <w:tcW w:w="1361" w:type="dxa"/>
          </w:tcPr>
          <w:p w:rsidR="00805219" w:rsidRPr="00805219" w:rsidRDefault="0020279F" w:rsidP="00805219">
            <w:pPr>
              <w:pStyle w:val="AERtabletext-numbers"/>
              <w:rPr>
                <w:rFonts w:eastAsia="Calibri"/>
              </w:rPr>
            </w:pPr>
            <w:r>
              <w:rPr>
                <w:rFonts w:eastAsia="Calibri"/>
              </w:rPr>
              <w:t>-23</w:t>
            </w:r>
            <w:r w:rsidR="00C37A6C" w:rsidRPr="00C37A6C">
              <w:rPr>
                <w:rFonts w:eastAsia="Calibri"/>
              </w:rPr>
              <w:t>%</w:t>
            </w:r>
          </w:p>
        </w:tc>
        <w:tc>
          <w:tcPr>
            <w:tcW w:w="1361" w:type="dxa"/>
          </w:tcPr>
          <w:p w:rsidR="00805219" w:rsidRPr="000428FA" w:rsidRDefault="006568D3" w:rsidP="006568D3">
            <w:pPr>
              <w:pStyle w:val="AERtabletext-numbers"/>
              <w:rPr>
                <w:rStyle w:val="AERtexthighlight"/>
                <w:rFonts w:eastAsia="Calibri"/>
              </w:rPr>
            </w:pPr>
            <w:r>
              <w:rPr>
                <w:rFonts w:eastAsia="Calibri"/>
              </w:rPr>
              <w:t>-34</w:t>
            </w:r>
            <w:r w:rsidR="00C37A6C" w:rsidRPr="00C37A6C">
              <w:rPr>
                <w:rFonts w:eastAsia="Calibri"/>
              </w:rPr>
              <w:t>%</w:t>
            </w:r>
          </w:p>
        </w:tc>
      </w:tr>
    </w:tbl>
    <w:p w:rsidR="00805219" w:rsidRDefault="00805219" w:rsidP="00805219">
      <w:pPr>
        <w:pStyle w:val="AERtablesource"/>
        <w:rPr>
          <w:rFonts w:eastAsia="Calibri"/>
        </w:rPr>
      </w:pPr>
      <w:r w:rsidRPr="00805219">
        <w:rPr>
          <w:rFonts w:eastAsia="Calibri"/>
        </w:rPr>
        <w:t xml:space="preserve">Source: </w:t>
      </w:r>
      <w:r w:rsidRPr="00805219">
        <w:rPr>
          <w:rFonts w:eastAsia="Calibri"/>
        </w:rPr>
        <w:tab/>
        <w:t>AER analysis.</w:t>
      </w:r>
    </w:p>
    <w:p w:rsidR="005B2873" w:rsidRDefault="005B2873" w:rsidP="005B2873">
      <w:pPr>
        <w:pStyle w:val="AERtablesource"/>
        <w:rPr>
          <w:rFonts w:eastAsia="Calibri"/>
        </w:rPr>
      </w:pPr>
      <w:r>
        <w:rPr>
          <w:rFonts w:eastAsia="Calibri"/>
        </w:rPr>
        <w:t>Notes:</w:t>
      </w:r>
      <w:r>
        <w:rPr>
          <w:rFonts w:eastAsia="Calibri"/>
        </w:rPr>
        <w:tab/>
        <w:t xml:space="preserve">(a) The AER’s draft decision also included its </w:t>
      </w:r>
      <w:proofErr w:type="spellStart"/>
      <w:r>
        <w:rPr>
          <w:rFonts w:eastAsia="Calibri"/>
        </w:rPr>
        <w:t>Envestra</w:t>
      </w:r>
      <w:proofErr w:type="spellEnd"/>
      <w:r>
        <w:rPr>
          <w:rFonts w:eastAsia="Calibri"/>
        </w:rPr>
        <w:t xml:space="preserve"> Albury business. For simplicity only </w:t>
      </w:r>
      <w:proofErr w:type="spellStart"/>
      <w:r>
        <w:rPr>
          <w:rFonts w:eastAsia="Calibri"/>
        </w:rPr>
        <w:t>Envestra</w:t>
      </w:r>
      <w:proofErr w:type="spellEnd"/>
      <w:r>
        <w:rPr>
          <w:rFonts w:eastAsia="Calibri"/>
        </w:rPr>
        <w:t xml:space="preserve"> Victoria has been included in this table.</w:t>
      </w:r>
    </w:p>
    <w:p w:rsidR="00C37A6C" w:rsidRPr="00C37A6C" w:rsidRDefault="00C37A6C" w:rsidP="00C37A6C">
      <w:pPr>
        <w:pStyle w:val="AERbodytext"/>
        <w:rPr>
          <w:rFonts w:eastAsia="Calibri"/>
        </w:rPr>
      </w:pPr>
      <w:r w:rsidRPr="00C37A6C">
        <w:rPr>
          <w:rFonts w:eastAsia="Calibri"/>
        </w:rPr>
        <w:t>Figures 5.2, 5.3, 5.4 and 5.5 show reference tariffs for each of the businesses for the last five years and the next five years (as proposed by each of the businesses and as a result of our draft decision).</w:t>
      </w:r>
    </w:p>
    <w:p w:rsidR="00EA77A3" w:rsidRDefault="00EA77A3" w:rsidP="004A3E3D">
      <w:pPr>
        <w:pStyle w:val="AERfigureheading"/>
        <w:tabs>
          <w:tab w:val="clear" w:pos="4185"/>
          <w:tab w:val="num" w:pos="1418"/>
        </w:tabs>
        <w:ind w:hanging="4185"/>
        <w:rPr>
          <w:rFonts w:eastAsia="Calibri"/>
        </w:rPr>
      </w:pPr>
      <w:r>
        <w:rPr>
          <w:rFonts w:eastAsia="Calibri"/>
        </w:rPr>
        <w:t xml:space="preserve">APA </w:t>
      </w:r>
      <w:proofErr w:type="spellStart"/>
      <w:r>
        <w:rPr>
          <w:rFonts w:eastAsia="Calibri"/>
        </w:rPr>
        <w:t>GasNet</w:t>
      </w:r>
      <w:proofErr w:type="spellEnd"/>
      <w:r>
        <w:rPr>
          <w:rFonts w:eastAsia="Calibri"/>
        </w:rPr>
        <w:t xml:space="preserve"> reference tariffs</w:t>
      </w:r>
    </w:p>
    <w:p w:rsidR="00EA77A3" w:rsidRDefault="00E67617" w:rsidP="004A3E3D">
      <w:pPr>
        <w:pStyle w:val="AERbodytext"/>
        <w:jc w:val="center"/>
        <w:rPr>
          <w:rFonts w:eastAsia="Calibri"/>
          <w:noProof/>
          <w:lang w:eastAsia="en-AU"/>
        </w:rPr>
      </w:pPr>
      <w:r w:rsidRPr="00407F32">
        <w:rPr>
          <w:rFonts w:eastAsia="Calibri"/>
          <w:noProof/>
          <w:lang w:eastAsia="en-AU"/>
        </w:rPr>
        <w:pict>
          <v:shape id="_x0000_i1027" type="#_x0000_t75" style="width:428.85pt;height:308.6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">
            <v:imagedata r:id="rId19" o:title="" croptop="-1777f" cropbottom="-2667f" cropleft="-2372f" cropright="-2602f"/>
            <o:lock v:ext="edit" aspectratio="f"/>
          </v:shape>
        </w:pict>
      </w:r>
    </w:p>
    <w:p w:rsidR="00EA77A3" w:rsidRDefault="00EA77A3" w:rsidP="004A3E3D">
      <w:pPr>
        <w:pStyle w:val="AERfigureheading"/>
        <w:tabs>
          <w:tab w:val="clear" w:pos="4185"/>
          <w:tab w:val="num" w:pos="1418"/>
        </w:tabs>
        <w:ind w:hanging="4185"/>
        <w:rPr>
          <w:rFonts w:eastAsia="Calibri"/>
        </w:rPr>
      </w:pPr>
      <w:proofErr w:type="spellStart"/>
      <w:r>
        <w:rPr>
          <w:rFonts w:eastAsia="Calibri"/>
        </w:rPr>
        <w:t>Envestra</w:t>
      </w:r>
      <w:proofErr w:type="spellEnd"/>
      <w:r>
        <w:rPr>
          <w:rFonts w:eastAsia="Calibri"/>
        </w:rPr>
        <w:t xml:space="preserve"> Victoria reference tariffs</w:t>
      </w:r>
    </w:p>
    <w:p w:rsidR="00EA77A3" w:rsidRPr="00EA77A3" w:rsidRDefault="00E67617" w:rsidP="001A6D72">
      <w:pPr>
        <w:pStyle w:val="AERbodytext"/>
        <w:jc w:val="left"/>
        <w:rPr>
          <w:rFonts w:eastAsia="Calibri"/>
        </w:rPr>
      </w:pPr>
      <w:r w:rsidRPr="00407F32">
        <w:rPr>
          <w:rFonts w:eastAsia="Calibri"/>
          <w:noProof/>
          <w:lang w:eastAsia="en-AU"/>
        </w:rPr>
        <w:pict>
          <v:shape id="Chart 2" o:spid="_x0000_i1028" type="#_x0000_t75" style="width:420.1pt;height:278.6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" o:allowoverlap="f">
            <v:imagedata r:id="rId20" o:title="" croptop="-1958f" cropbottom="-2977f" cropleft="-351f" cropright="-2861f"/>
            <o:lock v:ext="edit" aspectratio="f"/>
          </v:shape>
        </w:pict>
      </w:r>
    </w:p>
    <w:p w:rsidR="00EA77A3" w:rsidRDefault="004A3E3D" w:rsidP="004A3E3D">
      <w:pPr>
        <w:pStyle w:val="AERfigureheading"/>
        <w:tabs>
          <w:tab w:val="clear" w:pos="4185"/>
          <w:tab w:val="num" w:pos="1418"/>
        </w:tabs>
        <w:ind w:hanging="4185"/>
        <w:rPr>
          <w:rFonts w:eastAsia="Calibri"/>
        </w:rPr>
      </w:pPr>
      <w:r>
        <w:rPr>
          <w:rFonts w:eastAsia="Calibri"/>
        </w:rPr>
        <w:t xml:space="preserve">SP </w:t>
      </w:r>
      <w:proofErr w:type="spellStart"/>
      <w:r>
        <w:rPr>
          <w:rFonts w:eastAsia="Calibri"/>
        </w:rPr>
        <w:t>AusNet</w:t>
      </w:r>
      <w:proofErr w:type="spellEnd"/>
      <w:r w:rsidR="00EA77A3">
        <w:rPr>
          <w:rFonts w:eastAsia="Calibri"/>
        </w:rPr>
        <w:t xml:space="preserve"> reference tariffs</w:t>
      </w:r>
    </w:p>
    <w:p w:rsidR="004A3E3D" w:rsidRDefault="00E67617" w:rsidP="004A3E3D">
      <w:pPr>
        <w:pStyle w:val="AERbodytext"/>
        <w:jc w:val="center"/>
        <w:rPr>
          <w:rFonts w:eastAsia="Calibri"/>
          <w:noProof/>
          <w:lang w:eastAsia="en-AU"/>
        </w:rPr>
      </w:pPr>
      <w:r w:rsidRPr="00407F32">
        <w:rPr>
          <w:rFonts w:eastAsia="Calibri"/>
          <w:noProof/>
          <w:lang w:eastAsia="en-AU"/>
        </w:rPr>
        <w:pict>
          <v:shape id="Chart 4" o:spid="_x0000_i1029" type="#_x0000_t75" style="width:420.1pt;height:278.6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">
            <v:imagedata r:id="rId21" o:title="" croptop="-1777f" cropbottom="-2667f" cropleft="-296f" cropright="-2602f"/>
            <o:lock v:ext="edit" aspectratio="f"/>
          </v:shape>
        </w:pict>
      </w:r>
    </w:p>
    <w:p w:rsidR="004A3E3D" w:rsidRDefault="004A3E3D" w:rsidP="001A6D72">
      <w:pPr>
        <w:pStyle w:val="AERfigureheading"/>
        <w:tabs>
          <w:tab w:val="clear" w:pos="4185"/>
          <w:tab w:val="num" w:pos="1418"/>
        </w:tabs>
        <w:spacing w:after="0"/>
        <w:ind w:left="4184" w:hanging="4184"/>
        <w:rPr>
          <w:rFonts w:eastAsia="Calibri"/>
        </w:rPr>
      </w:pPr>
      <w:proofErr w:type="spellStart"/>
      <w:r>
        <w:rPr>
          <w:rFonts w:eastAsia="Calibri"/>
        </w:rPr>
        <w:t>Multinet</w:t>
      </w:r>
      <w:proofErr w:type="spellEnd"/>
      <w:r>
        <w:rPr>
          <w:rFonts w:eastAsia="Calibri"/>
        </w:rPr>
        <w:t xml:space="preserve"> reference tariffs</w:t>
      </w:r>
    </w:p>
    <w:p w:rsidR="004A3E3D" w:rsidRPr="004A3E3D" w:rsidRDefault="00E67617" w:rsidP="004A3E3D">
      <w:pPr>
        <w:pStyle w:val="AERbodytext"/>
        <w:jc w:val="center"/>
        <w:rPr>
          <w:rFonts w:eastAsia="Calibri"/>
        </w:rPr>
      </w:pPr>
      <w:r w:rsidRPr="00407F32">
        <w:rPr>
          <w:rFonts w:eastAsia="Calibri"/>
          <w:noProof/>
          <w:lang w:eastAsia="en-AU"/>
        </w:rPr>
        <w:pict>
          <v:shape id="Chart 5" o:spid="_x0000_i1030" type="#_x0000_t75" style="width:410.7pt;height:275.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">
            <v:imagedata r:id="rId22" o:title="" croptop="-1777f" cropbottom="-2667f" cropleft="-463f" cropright="-2647f"/>
            <o:lock v:ext="edit" aspectratio="f"/>
          </v:shape>
        </w:pict>
      </w:r>
    </w:p>
    <w:p w:rsidR="00864874" w:rsidRPr="00864874" w:rsidRDefault="00864874" w:rsidP="00805219">
      <w:pPr>
        <w:pStyle w:val="AERheading2"/>
      </w:pPr>
      <w:r w:rsidRPr="00864874">
        <w:t>Impact on an average residential gas bill</w:t>
      </w:r>
    </w:p>
    <w:p w:rsidR="0040457B" w:rsidRDefault="0040457B" w:rsidP="00864874">
      <w:pPr>
        <w:pStyle w:val="AERbodytext"/>
      </w:pPr>
      <w:r>
        <w:t xml:space="preserve">For all businesses except </w:t>
      </w:r>
      <w:proofErr w:type="spellStart"/>
      <w:r>
        <w:t>Envestra</w:t>
      </w:r>
      <w:proofErr w:type="spellEnd"/>
      <w:r>
        <w:t xml:space="preserve"> Victoria, </w:t>
      </w:r>
      <w:r w:rsidR="000A1675">
        <w:t>our</w:t>
      </w:r>
      <w:r w:rsidR="004615AB">
        <w:t xml:space="preserve"> draft decision</w:t>
      </w:r>
      <w:r w:rsidR="000A1675">
        <w:t>s</w:t>
      </w:r>
      <w:r w:rsidR="004615AB">
        <w:t xml:space="preserve"> </w:t>
      </w:r>
      <w:r w:rsidR="009C722F">
        <w:t xml:space="preserve">would </w:t>
      </w:r>
      <w:r w:rsidR="004615AB">
        <w:t>result</w:t>
      </w:r>
      <w:r>
        <w:t xml:space="preserve"> in lower tariff</w:t>
      </w:r>
      <w:r w:rsidR="004615AB">
        <w:t xml:space="preserve">s both compared with current tariffs and the businesses’ proposed tariffs. </w:t>
      </w:r>
      <w:r w:rsidR="000B3312">
        <w:t xml:space="preserve">All other things being equal, if retailers pass </w:t>
      </w:r>
      <w:r w:rsidR="004615AB">
        <w:t xml:space="preserve">these lower tariffs </w:t>
      </w:r>
      <w:r w:rsidR="000B3312">
        <w:t>on to end consumers,</w:t>
      </w:r>
      <w:r w:rsidR="004615AB">
        <w:t xml:space="preserve"> </w:t>
      </w:r>
      <w:r w:rsidR="00BC2513">
        <w:t xml:space="preserve">gas </w:t>
      </w:r>
      <w:r w:rsidR="004615AB">
        <w:t>bills</w:t>
      </w:r>
      <w:r w:rsidR="000B3312">
        <w:t xml:space="preserve"> would </w:t>
      </w:r>
      <w:r w:rsidR="00017414">
        <w:t>go down</w:t>
      </w:r>
      <w:r w:rsidR="004615AB">
        <w:t xml:space="preserve">. </w:t>
      </w:r>
      <w:r>
        <w:t>However, whether consumers actually get a real decrease in their bill will depend on various things</w:t>
      </w:r>
      <w:r w:rsidR="009C722F">
        <w:t xml:space="preserve"> including what happens to the</w:t>
      </w:r>
      <w:r>
        <w:t xml:space="preserve"> </w:t>
      </w:r>
      <w:r w:rsidR="009C722F">
        <w:t xml:space="preserve">wholesale </w:t>
      </w:r>
      <w:r>
        <w:t xml:space="preserve">price of gas. </w:t>
      </w:r>
    </w:p>
    <w:p w:rsidR="004615AB" w:rsidRDefault="0040457B" w:rsidP="00864874">
      <w:pPr>
        <w:pStyle w:val="AERbodytext"/>
      </w:pPr>
      <w:r>
        <w:t xml:space="preserve">In the case of </w:t>
      </w:r>
      <w:proofErr w:type="spellStart"/>
      <w:r>
        <w:t>Envestra</w:t>
      </w:r>
      <w:proofErr w:type="spellEnd"/>
      <w:r>
        <w:t xml:space="preserve"> Victoria, tariffs are likely to increase marginally </w:t>
      </w:r>
      <w:r w:rsidR="00BC2513">
        <w:t>as a result of our</w:t>
      </w:r>
      <w:r w:rsidR="002D51DB">
        <w:t xml:space="preserve"> draft decision, </w:t>
      </w:r>
      <w:r>
        <w:t xml:space="preserve">compared with current levels. While this </w:t>
      </w:r>
      <w:r w:rsidR="002D51DB">
        <w:t xml:space="preserve">could result in small </w:t>
      </w:r>
      <w:r>
        <w:t>bill increases, any bill increase will be lower than th</w:t>
      </w:r>
      <w:r w:rsidR="002D51DB">
        <w:t>ose from</w:t>
      </w:r>
      <w:r w:rsidRPr="004A3E3D">
        <w:t xml:space="preserve"> </w:t>
      </w:r>
      <w:proofErr w:type="spellStart"/>
      <w:r w:rsidRPr="004A3E3D">
        <w:t>Envestra</w:t>
      </w:r>
      <w:proofErr w:type="spellEnd"/>
      <w:r>
        <w:t xml:space="preserve"> Victoria’s propos</w:t>
      </w:r>
      <w:r w:rsidR="002D51DB">
        <w:t>al.</w:t>
      </w:r>
    </w:p>
    <w:p w:rsidR="00A8094A" w:rsidRDefault="004615AB" w:rsidP="00BB2BD5">
      <w:pPr>
        <w:pStyle w:val="AERbodytext"/>
      </w:pPr>
      <w:r>
        <w:t>T</w:t>
      </w:r>
      <w:r w:rsidR="0066174C">
        <w:t>able 5.6</w:t>
      </w:r>
      <w:r>
        <w:t xml:space="preserve"> estimates the impact on an average residential bill </w:t>
      </w:r>
      <w:r w:rsidR="00BB2BD5">
        <w:t>i</w:t>
      </w:r>
      <w:r>
        <w:t xml:space="preserve">f </w:t>
      </w:r>
      <w:r w:rsidR="000B3312">
        <w:t xml:space="preserve">retailers pass </w:t>
      </w:r>
      <w:r w:rsidR="00BB2BD5">
        <w:t xml:space="preserve">onto residential consumers </w:t>
      </w:r>
      <w:r>
        <w:t>the whole decrease</w:t>
      </w:r>
      <w:r w:rsidR="002D51DB">
        <w:t xml:space="preserve"> or increase</w:t>
      </w:r>
      <w:r>
        <w:t xml:space="preserve"> in reference tariffs. </w:t>
      </w:r>
      <w:r w:rsidR="009933C2">
        <w:t>This ha</w:t>
      </w:r>
      <w:r w:rsidR="00BB2BD5">
        <w:t xml:space="preserve">s </w:t>
      </w:r>
      <w:r w:rsidR="009933C2">
        <w:t xml:space="preserve">been calculated with reference to current residential bills. </w:t>
      </w:r>
      <w:r>
        <w:t>The table shows that</w:t>
      </w:r>
      <w:r w:rsidR="00864874" w:rsidRPr="00864874">
        <w:t xml:space="preserve"> the </w:t>
      </w:r>
      <w:r>
        <w:t xml:space="preserve">estimated </w:t>
      </w:r>
      <w:r w:rsidR="00864874" w:rsidRPr="00864874">
        <w:t xml:space="preserve">impact of </w:t>
      </w:r>
      <w:r w:rsidR="00BC2513">
        <w:t>our</w:t>
      </w:r>
      <w:r w:rsidR="00864874" w:rsidRPr="00864874">
        <w:t xml:space="preserve"> decision on an average residential bill varies by business. </w:t>
      </w:r>
      <w:r w:rsidR="0066174C">
        <w:t>For all businesses, t</w:t>
      </w:r>
      <w:r w:rsidR="00864874" w:rsidRPr="00864874">
        <w:t xml:space="preserve">he impact </w:t>
      </w:r>
      <w:r w:rsidR="0066174C">
        <w:t xml:space="preserve">of </w:t>
      </w:r>
      <w:r w:rsidR="00BC2513">
        <w:t>our</w:t>
      </w:r>
      <w:r w:rsidR="0066174C">
        <w:t xml:space="preserve"> draft decision on an average bill is more favourable </w:t>
      </w:r>
      <w:r w:rsidR="00BC2513">
        <w:t xml:space="preserve">for customers </w:t>
      </w:r>
      <w:r w:rsidR="00864874" w:rsidRPr="00867ACC">
        <w:t>than</w:t>
      </w:r>
      <w:r w:rsidR="00864874" w:rsidRPr="00864874">
        <w:t xml:space="preserve"> </w:t>
      </w:r>
      <w:r w:rsidR="00BC2513">
        <w:t>what would have</w:t>
      </w:r>
      <w:r w:rsidR="00864874" w:rsidRPr="00864874">
        <w:t xml:space="preserve"> </w:t>
      </w:r>
      <w:r w:rsidR="00BA02E8">
        <w:t>resulted</w:t>
      </w:r>
      <w:r w:rsidR="00864874" w:rsidRPr="00864874">
        <w:t xml:space="preserve"> if the businesses' proposals were accepted in full.</w:t>
      </w:r>
    </w:p>
    <w:p w:rsidR="00864874" w:rsidRPr="00FC6798" w:rsidRDefault="001A6D72" w:rsidP="00FC6798">
      <w:pPr>
        <w:pStyle w:val="AERtabletitle"/>
        <w:tabs>
          <w:tab w:val="clear" w:pos="2342"/>
          <w:tab w:val="num" w:pos="1440"/>
        </w:tabs>
        <w:ind w:left="1440" w:hanging="1440"/>
      </w:pPr>
      <w:r>
        <w:br w:type="page"/>
      </w:r>
      <w:r w:rsidR="00864874" w:rsidRPr="00864874">
        <w:t xml:space="preserve">Impact of </w:t>
      </w:r>
      <w:r w:rsidR="00BC2513">
        <w:t>our</w:t>
      </w:r>
      <w:r w:rsidR="00864874" w:rsidRPr="00864874">
        <w:t xml:space="preserve"> draft decision and business proposal on an </w:t>
      </w:r>
      <w:r w:rsidR="00342D77" w:rsidRPr="00FC6798">
        <w:t>average residential bill ($</w:t>
      </w:r>
      <w:r w:rsidR="00FC6798" w:rsidRPr="00FC6798">
        <w:t> </w:t>
      </w:r>
      <w:r w:rsidR="00342D77" w:rsidRPr="00FC6798">
        <w:t>nominal)</w:t>
      </w:r>
    </w:p>
    <w:tbl>
      <w:tblPr>
        <w:tblStyle w:val="AERtable-text"/>
        <w:tblW w:w="8528" w:type="dxa"/>
        <w:tblLayout w:type="fixed"/>
        <w:tblLook w:val="0020"/>
      </w:tblPr>
      <w:tblGrid>
        <w:gridCol w:w="2660"/>
        <w:gridCol w:w="1467"/>
        <w:gridCol w:w="1467"/>
        <w:gridCol w:w="1467"/>
        <w:gridCol w:w="1467"/>
      </w:tblGrid>
      <w:tr w:rsidR="00864874" w:rsidRPr="00995B8F" w:rsidTr="00805219">
        <w:trPr>
          <w:cnfStyle w:val="100000000000"/>
          <w:trHeight w:val="293"/>
        </w:trPr>
        <w:tc>
          <w:tcPr>
            <w:tcW w:w="2660" w:type="dxa"/>
          </w:tcPr>
          <w:p w:rsidR="00864874" w:rsidRPr="00864874" w:rsidRDefault="00864874" w:rsidP="00864874">
            <w:pPr>
              <w:pStyle w:val="AERtabletextheadingright"/>
              <w:rPr>
                <w:rFonts w:eastAsia="Calibri"/>
              </w:rPr>
            </w:pPr>
          </w:p>
        </w:tc>
        <w:tc>
          <w:tcPr>
            <w:tcW w:w="1467" w:type="dxa"/>
          </w:tcPr>
          <w:p w:rsidR="00864874" w:rsidRPr="00864874" w:rsidRDefault="00864874" w:rsidP="00864874">
            <w:pPr>
              <w:pStyle w:val="AERtabletextheadingright"/>
              <w:rPr>
                <w:rFonts w:eastAsia="Calibri"/>
              </w:rPr>
            </w:pPr>
            <w:r w:rsidRPr="00864874">
              <w:rPr>
                <w:rFonts w:eastAsia="Calibri"/>
              </w:rPr>
              <w:t xml:space="preserve">APA </w:t>
            </w:r>
            <w:proofErr w:type="spellStart"/>
            <w:r w:rsidRPr="00864874">
              <w:rPr>
                <w:rFonts w:eastAsia="Calibri"/>
              </w:rPr>
              <w:t>GasNet</w:t>
            </w:r>
            <w:proofErr w:type="spellEnd"/>
          </w:p>
        </w:tc>
        <w:tc>
          <w:tcPr>
            <w:tcW w:w="1467" w:type="dxa"/>
          </w:tcPr>
          <w:p w:rsidR="00864874" w:rsidRPr="00864874" w:rsidRDefault="005B2873" w:rsidP="00864874">
            <w:pPr>
              <w:pStyle w:val="AERtabletextheadingright"/>
              <w:rPr>
                <w:rFonts w:eastAsia="Calibri"/>
              </w:rPr>
            </w:pPr>
            <w:proofErr w:type="spellStart"/>
            <w:r w:rsidRPr="005B2873">
              <w:rPr>
                <w:rFonts w:eastAsia="Calibri"/>
              </w:rPr>
              <w:t>Envestra</w:t>
            </w:r>
            <w:proofErr w:type="spellEnd"/>
            <w:r w:rsidRPr="005B2873">
              <w:rPr>
                <w:rFonts w:eastAsia="Calibri"/>
              </w:rPr>
              <w:t xml:space="preserve"> </w:t>
            </w:r>
            <w:proofErr w:type="spellStart"/>
            <w:r w:rsidRPr="005B2873">
              <w:rPr>
                <w:rFonts w:eastAsia="Calibri"/>
              </w:rPr>
              <w:t>Victoria</w:t>
            </w:r>
            <w:r w:rsidRPr="005B2873">
              <w:rPr>
                <w:rStyle w:val="FootnoteReference"/>
                <w:rFonts w:eastAsia="Calibri"/>
              </w:rPr>
              <w:t>a</w:t>
            </w:r>
            <w:proofErr w:type="spellEnd"/>
          </w:p>
        </w:tc>
        <w:tc>
          <w:tcPr>
            <w:tcW w:w="1467" w:type="dxa"/>
          </w:tcPr>
          <w:p w:rsidR="00864874" w:rsidRPr="00864874" w:rsidRDefault="00342D77" w:rsidP="00864874">
            <w:pPr>
              <w:pStyle w:val="AERtabletextheadingright"/>
              <w:rPr>
                <w:rFonts w:eastAsia="Calibri"/>
              </w:rPr>
            </w:pPr>
            <w:r w:rsidRPr="00342D77">
              <w:rPr>
                <w:rFonts w:eastAsia="Calibri"/>
              </w:rPr>
              <w:t xml:space="preserve">SP </w:t>
            </w:r>
            <w:proofErr w:type="spellStart"/>
            <w:r w:rsidRPr="00342D77">
              <w:rPr>
                <w:rFonts w:eastAsia="Calibri"/>
              </w:rPr>
              <w:t>AusNet</w:t>
            </w:r>
            <w:proofErr w:type="spellEnd"/>
          </w:p>
        </w:tc>
        <w:tc>
          <w:tcPr>
            <w:tcW w:w="1467" w:type="dxa"/>
          </w:tcPr>
          <w:p w:rsidR="00864874" w:rsidRPr="00864874" w:rsidRDefault="00864874" w:rsidP="00864874">
            <w:pPr>
              <w:pStyle w:val="AERtabletextheadingright"/>
              <w:rPr>
                <w:rFonts w:eastAsia="Calibri"/>
              </w:rPr>
            </w:pPr>
            <w:proofErr w:type="spellStart"/>
            <w:r w:rsidRPr="00864874">
              <w:rPr>
                <w:rFonts w:eastAsia="Calibri"/>
              </w:rPr>
              <w:t>Multinet</w:t>
            </w:r>
            <w:proofErr w:type="spellEnd"/>
          </w:p>
        </w:tc>
      </w:tr>
      <w:tr w:rsidR="00BB2BD5" w:rsidRPr="00995B8F" w:rsidTr="00805219">
        <w:trPr>
          <w:trHeight w:val="663"/>
        </w:trPr>
        <w:tc>
          <w:tcPr>
            <w:tcW w:w="2660" w:type="dxa"/>
          </w:tcPr>
          <w:p w:rsidR="00BB2BD5" w:rsidRPr="00864874" w:rsidRDefault="00BB2BD5" w:rsidP="00342D77">
            <w:pPr>
              <w:pStyle w:val="AERtabletext"/>
            </w:pPr>
            <w:r>
              <w:t>Average residential bill</w:t>
            </w:r>
          </w:p>
        </w:tc>
        <w:tc>
          <w:tcPr>
            <w:tcW w:w="1467" w:type="dxa"/>
          </w:tcPr>
          <w:p w:rsidR="00BB2BD5" w:rsidRDefault="00BB2BD5" w:rsidP="006568D3">
            <w:pPr>
              <w:pStyle w:val="AERtabletext-numbers"/>
              <w:rPr>
                <w:rFonts w:eastAsia="Calibri"/>
              </w:rPr>
            </w:pPr>
            <w:r>
              <w:rPr>
                <w:rFonts w:eastAsia="Calibri"/>
              </w:rPr>
              <w:t>$1</w:t>
            </w:r>
            <w:r w:rsidR="00C37A6C">
              <w:rPr>
                <w:rFonts w:eastAsia="Calibri"/>
              </w:rPr>
              <w:t> </w:t>
            </w:r>
            <w:r>
              <w:rPr>
                <w:rFonts w:eastAsia="Calibri"/>
              </w:rPr>
              <w:t>154</w:t>
            </w:r>
          </w:p>
        </w:tc>
        <w:tc>
          <w:tcPr>
            <w:tcW w:w="1467" w:type="dxa"/>
          </w:tcPr>
          <w:p w:rsidR="00BB2BD5" w:rsidRDefault="00BB2BD5" w:rsidP="00864874">
            <w:pPr>
              <w:pStyle w:val="AERtabletext-numbers"/>
              <w:rPr>
                <w:rFonts w:eastAsia="Calibri"/>
              </w:rPr>
            </w:pPr>
            <w:r>
              <w:rPr>
                <w:rFonts w:eastAsia="Calibri"/>
              </w:rPr>
              <w:t>$1</w:t>
            </w:r>
            <w:r w:rsidR="00C37A6C">
              <w:rPr>
                <w:rFonts w:eastAsia="Calibri"/>
              </w:rPr>
              <w:t> </w:t>
            </w:r>
            <w:r>
              <w:rPr>
                <w:rFonts w:eastAsia="Calibri"/>
              </w:rPr>
              <w:t>132</w:t>
            </w:r>
          </w:p>
        </w:tc>
        <w:tc>
          <w:tcPr>
            <w:tcW w:w="1467" w:type="dxa"/>
          </w:tcPr>
          <w:p w:rsidR="00BB2BD5" w:rsidRDefault="00BB2BD5" w:rsidP="00864874">
            <w:pPr>
              <w:pStyle w:val="AERtabletext-numbers"/>
              <w:rPr>
                <w:rFonts w:eastAsia="Calibri"/>
              </w:rPr>
            </w:pPr>
            <w:r>
              <w:rPr>
                <w:rFonts w:eastAsia="Calibri"/>
              </w:rPr>
              <w:t>$1</w:t>
            </w:r>
            <w:r w:rsidR="00C37A6C">
              <w:rPr>
                <w:rFonts w:eastAsia="Calibri"/>
              </w:rPr>
              <w:t> </w:t>
            </w:r>
            <w:r>
              <w:rPr>
                <w:rFonts w:eastAsia="Calibri"/>
              </w:rPr>
              <w:t>018</w:t>
            </w:r>
          </w:p>
        </w:tc>
        <w:tc>
          <w:tcPr>
            <w:tcW w:w="1467" w:type="dxa"/>
          </w:tcPr>
          <w:p w:rsidR="00BB2BD5" w:rsidRDefault="00037FD1" w:rsidP="00042F0A">
            <w:pPr>
              <w:pStyle w:val="AERtabletext-numbers"/>
              <w:rPr>
                <w:rFonts w:eastAsia="Calibri"/>
              </w:rPr>
            </w:pPr>
            <w:r>
              <w:rPr>
                <w:rFonts w:eastAsia="Calibri"/>
              </w:rPr>
              <w:t>$1</w:t>
            </w:r>
            <w:r w:rsidR="00C37A6C">
              <w:rPr>
                <w:rFonts w:eastAsia="Calibri"/>
              </w:rPr>
              <w:t> </w:t>
            </w:r>
            <w:r>
              <w:rPr>
                <w:rFonts w:eastAsia="Calibri"/>
              </w:rPr>
              <w:t>050</w:t>
            </w:r>
          </w:p>
        </w:tc>
      </w:tr>
      <w:tr w:rsidR="00864874" w:rsidRPr="00995B8F" w:rsidTr="00805219">
        <w:trPr>
          <w:cnfStyle w:val="000000010000"/>
          <w:trHeight w:val="663"/>
        </w:trPr>
        <w:tc>
          <w:tcPr>
            <w:tcW w:w="2660" w:type="dxa"/>
          </w:tcPr>
          <w:p w:rsidR="00864874" w:rsidRPr="00864874" w:rsidRDefault="00864874" w:rsidP="00342D77">
            <w:pPr>
              <w:pStyle w:val="AERtabletext"/>
              <w:rPr>
                <w:rFonts w:eastAsia="Calibri"/>
              </w:rPr>
            </w:pPr>
            <w:r w:rsidRPr="00864874">
              <w:t xml:space="preserve">AER draft decision effect on annual bill </w:t>
            </w:r>
          </w:p>
        </w:tc>
        <w:tc>
          <w:tcPr>
            <w:tcW w:w="1467" w:type="dxa"/>
          </w:tcPr>
          <w:p w:rsidR="00864874" w:rsidRPr="00864874" w:rsidRDefault="00B97F87" w:rsidP="006568D3">
            <w:pPr>
              <w:pStyle w:val="AERtabletext-numbers"/>
              <w:rPr>
                <w:rFonts w:eastAsia="Calibri"/>
              </w:rPr>
            </w:pPr>
            <w:r>
              <w:rPr>
                <w:rFonts w:eastAsia="Calibri"/>
              </w:rPr>
              <w:t>-</w:t>
            </w:r>
            <w:r w:rsidR="006568D3">
              <w:rPr>
                <w:rFonts w:eastAsia="Calibri"/>
              </w:rPr>
              <w:t>$4</w:t>
            </w:r>
          </w:p>
        </w:tc>
        <w:tc>
          <w:tcPr>
            <w:tcW w:w="1467" w:type="dxa"/>
          </w:tcPr>
          <w:p w:rsidR="00864874" w:rsidRPr="00864874" w:rsidRDefault="006568D3" w:rsidP="00864874">
            <w:pPr>
              <w:pStyle w:val="AERtabletext-numbers"/>
              <w:rPr>
                <w:rFonts w:eastAsia="Calibri"/>
              </w:rPr>
            </w:pPr>
            <w:r>
              <w:rPr>
                <w:rFonts w:eastAsia="Calibri"/>
              </w:rPr>
              <w:t>$7</w:t>
            </w:r>
          </w:p>
        </w:tc>
        <w:tc>
          <w:tcPr>
            <w:tcW w:w="1467" w:type="dxa"/>
          </w:tcPr>
          <w:p w:rsidR="00864874" w:rsidRPr="00864874" w:rsidRDefault="00342D77" w:rsidP="00864874">
            <w:pPr>
              <w:pStyle w:val="AERtabletext-numbers"/>
              <w:rPr>
                <w:rFonts w:eastAsia="Calibri"/>
              </w:rPr>
            </w:pPr>
            <w:r>
              <w:rPr>
                <w:rFonts w:eastAsia="Calibri"/>
              </w:rPr>
              <w:t>-$9</w:t>
            </w:r>
          </w:p>
        </w:tc>
        <w:tc>
          <w:tcPr>
            <w:tcW w:w="1467" w:type="dxa"/>
          </w:tcPr>
          <w:p w:rsidR="00864874" w:rsidRPr="00864874" w:rsidRDefault="006568D3" w:rsidP="00042F0A">
            <w:pPr>
              <w:pStyle w:val="AERtabletext-numbers"/>
              <w:rPr>
                <w:rFonts w:eastAsia="Calibri"/>
              </w:rPr>
            </w:pPr>
            <w:r>
              <w:rPr>
                <w:rFonts w:eastAsia="Calibri"/>
              </w:rPr>
              <w:t>-$</w:t>
            </w:r>
            <w:r w:rsidR="00042F0A">
              <w:rPr>
                <w:rFonts w:eastAsia="Calibri"/>
              </w:rPr>
              <w:t>8</w:t>
            </w:r>
          </w:p>
        </w:tc>
      </w:tr>
      <w:tr w:rsidR="00864874" w:rsidRPr="00995B8F" w:rsidTr="00805219">
        <w:trPr>
          <w:trHeight w:val="434"/>
        </w:trPr>
        <w:tc>
          <w:tcPr>
            <w:tcW w:w="2660" w:type="dxa"/>
          </w:tcPr>
          <w:p w:rsidR="00864874" w:rsidRPr="00864874" w:rsidRDefault="00864874" w:rsidP="00342D77">
            <w:pPr>
              <w:pStyle w:val="AERtabletext"/>
              <w:rPr>
                <w:rFonts w:eastAsia="Calibri"/>
              </w:rPr>
            </w:pPr>
            <w:r w:rsidRPr="00864874">
              <w:t xml:space="preserve">Business proposal effect on annual bill </w:t>
            </w:r>
          </w:p>
        </w:tc>
        <w:tc>
          <w:tcPr>
            <w:tcW w:w="1467" w:type="dxa"/>
          </w:tcPr>
          <w:p w:rsidR="00864874" w:rsidRPr="00864874" w:rsidRDefault="00B97F87" w:rsidP="00864874">
            <w:pPr>
              <w:pStyle w:val="AERtabletext-numbers"/>
              <w:rPr>
                <w:rFonts w:eastAsia="Calibri"/>
              </w:rPr>
            </w:pPr>
            <w:r>
              <w:rPr>
                <w:rFonts w:eastAsia="Calibri"/>
              </w:rPr>
              <w:t>$</w:t>
            </w:r>
            <w:r w:rsidR="006568D3">
              <w:rPr>
                <w:rFonts w:eastAsia="Calibri"/>
              </w:rPr>
              <w:t>6</w:t>
            </w:r>
          </w:p>
        </w:tc>
        <w:tc>
          <w:tcPr>
            <w:tcW w:w="1467" w:type="dxa"/>
          </w:tcPr>
          <w:p w:rsidR="00864874" w:rsidRPr="00864874" w:rsidRDefault="006568D3" w:rsidP="00864874">
            <w:pPr>
              <w:pStyle w:val="AERtabletext-numbers"/>
              <w:rPr>
                <w:rFonts w:eastAsia="Calibri"/>
              </w:rPr>
            </w:pPr>
            <w:r>
              <w:rPr>
                <w:rFonts w:eastAsia="Calibri"/>
              </w:rPr>
              <w:t>$57</w:t>
            </w:r>
          </w:p>
        </w:tc>
        <w:tc>
          <w:tcPr>
            <w:tcW w:w="1467" w:type="dxa"/>
          </w:tcPr>
          <w:p w:rsidR="00864874" w:rsidRPr="00864874" w:rsidRDefault="00342D77" w:rsidP="00864874">
            <w:pPr>
              <w:pStyle w:val="AERtabletext-numbers"/>
              <w:rPr>
                <w:rFonts w:eastAsia="Calibri"/>
              </w:rPr>
            </w:pPr>
            <w:r>
              <w:rPr>
                <w:rFonts w:eastAsia="Calibri"/>
              </w:rPr>
              <w:t>$13</w:t>
            </w:r>
          </w:p>
        </w:tc>
        <w:tc>
          <w:tcPr>
            <w:tcW w:w="1467" w:type="dxa"/>
          </w:tcPr>
          <w:p w:rsidR="00864874" w:rsidRPr="00864874" w:rsidRDefault="006568D3" w:rsidP="00864874">
            <w:pPr>
              <w:pStyle w:val="AERtabletext-numbers"/>
              <w:rPr>
                <w:rFonts w:eastAsia="Calibri"/>
              </w:rPr>
            </w:pPr>
            <w:r>
              <w:rPr>
                <w:rFonts w:eastAsia="Calibri"/>
              </w:rPr>
              <w:t>$18</w:t>
            </w:r>
          </w:p>
        </w:tc>
      </w:tr>
    </w:tbl>
    <w:p w:rsidR="00864874" w:rsidRDefault="00864874" w:rsidP="006B3E6C">
      <w:pPr>
        <w:pStyle w:val="AERtablesource"/>
        <w:rPr>
          <w:rFonts w:eastAsia="Calibri"/>
        </w:rPr>
      </w:pPr>
      <w:r w:rsidRPr="00864874">
        <w:rPr>
          <w:rFonts w:eastAsia="Calibri"/>
        </w:rPr>
        <w:t xml:space="preserve">Source: </w:t>
      </w:r>
      <w:r w:rsidRPr="00864874">
        <w:rPr>
          <w:rFonts w:eastAsia="Calibri"/>
        </w:rPr>
        <w:tab/>
        <w:t>AER analysis.</w:t>
      </w:r>
    </w:p>
    <w:p w:rsidR="005B2873" w:rsidRPr="005B2873" w:rsidRDefault="005B2873" w:rsidP="005B2873">
      <w:pPr>
        <w:pStyle w:val="AERtablesource"/>
        <w:rPr>
          <w:rFonts w:eastAsia="Calibri"/>
        </w:rPr>
      </w:pPr>
      <w:r>
        <w:rPr>
          <w:rFonts w:eastAsia="Calibri"/>
        </w:rPr>
        <w:t>Notes:</w:t>
      </w:r>
      <w:r>
        <w:rPr>
          <w:rFonts w:eastAsia="Calibri"/>
        </w:rPr>
        <w:tab/>
        <w:t xml:space="preserve">(a) The AER’s draft decision also included its </w:t>
      </w:r>
      <w:proofErr w:type="spellStart"/>
      <w:r>
        <w:rPr>
          <w:rFonts w:eastAsia="Calibri"/>
        </w:rPr>
        <w:t>Envestra</w:t>
      </w:r>
      <w:proofErr w:type="spellEnd"/>
      <w:r>
        <w:rPr>
          <w:rFonts w:eastAsia="Calibri"/>
        </w:rPr>
        <w:t xml:space="preserve"> Albury business. For simplicity only </w:t>
      </w:r>
      <w:proofErr w:type="spellStart"/>
      <w:r>
        <w:rPr>
          <w:rFonts w:eastAsia="Calibri"/>
        </w:rPr>
        <w:t>Envestra</w:t>
      </w:r>
      <w:proofErr w:type="spellEnd"/>
      <w:r>
        <w:rPr>
          <w:rFonts w:eastAsia="Calibri"/>
        </w:rPr>
        <w:t xml:space="preserve"> Victoria has been included in this table.</w:t>
      </w:r>
    </w:p>
    <w:p w:rsidR="00504FD7" w:rsidRDefault="005564F0" w:rsidP="00217C6F">
      <w:pPr>
        <w:pStyle w:val="AERheading1"/>
      </w:pPr>
      <w:r>
        <w:t>Next steps</w:t>
      </w:r>
    </w:p>
    <w:p w:rsidR="00D00642" w:rsidRDefault="00D00642" w:rsidP="00D00642">
      <w:pPr>
        <w:pStyle w:val="AERbodytext"/>
      </w:pPr>
      <w:r>
        <w:t xml:space="preserve">Victorian transmission and distribution businesses are currently considering </w:t>
      </w:r>
      <w:r w:rsidR="00BC2513">
        <w:t>our</w:t>
      </w:r>
      <w:r>
        <w:t xml:space="preserve"> draft decisions. These businesses are required to submit revised proposals by 9 November 2012.</w:t>
      </w:r>
    </w:p>
    <w:p w:rsidR="00D329F4" w:rsidRDefault="00D00642" w:rsidP="00D00642">
      <w:pPr>
        <w:pStyle w:val="AERbodytext"/>
      </w:pPr>
      <w:r>
        <w:t xml:space="preserve">Interested parties are invited to make submissions to </w:t>
      </w:r>
      <w:r w:rsidR="00BC2513">
        <w:t>our</w:t>
      </w:r>
      <w:r>
        <w:t xml:space="preserve"> review. The deadline for submissions is 7 January 2013. This allows interested parties time to consider both</w:t>
      </w:r>
      <w:r w:rsidR="001F062D">
        <w:t xml:space="preserve"> </w:t>
      </w:r>
      <w:r w:rsidR="00BC2513">
        <w:t>our</w:t>
      </w:r>
      <w:r>
        <w:t xml:space="preserve"> draft decision</w:t>
      </w:r>
      <w:r w:rsidR="00BC2513">
        <w:t>s</w:t>
      </w:r>
      <w:r>
        <w:t xml:space="preserve"> and the businesses’ revised proposals before making submission</w:t>
      </w:r>
      <w:r w:rsidR="001F062D">
        <w:t>s</w:t>
      </w:r>
      <w:r>
        <w:t>.</w:t>
      </w:r>
      <w:r w:rsidR="00EA26D5">
        <w:t xml:space="preserve"> In making a submission, consumer groups are encouraged to address the issues that have the most impact on consumers. These may relate to the overall impact on bills or the importance of price stability, for example.</w:t>
      </w:r>
      <w:r w:rsidR="00EA6853">
        <w:t xml:space="preserve"> </w:t>
      </w:r>
    </w:p>
    <w:p w:rsidR="00D00642" w:rsidRDefault="00EA6853" w:rsidP="00D00642">
      <w:pPr>
        <w:pStyle w:val="AERbodytext"/>
      </w:pPr>
      <w:r w:rsidRPr="00B04854">
        <w:t xml:space="preserve">Submissions should be sent electronically to </w:t>
      </w:r>
      <w:hyperlink r:id="rId23" w:history="1">
        <w:r w:rsidRPr="00747F37">
          <w:rPr>
            <w:rStyle w:val="Hyperlink"/>
          </w:rPr>
          <w:t>VicGAAR@aer.gov.au</w:t>
        </w:r>
      </w:hyperlink>
      <w:r>
        <w:t xml:space="preserve"> and </w:t>
      </w:r>
      <w:r w:rsidRPr="00B04854">
        <w:t>addressed to the attention of</w:t>
      </w:r>
      <w:r>
        <w:t xml:space="preserve"> </w:t>
      </w:r>
      <w:r w:rsidRPr="00B04854">
        <w:t xml:space="preserve">Sebastian Roberts, General Manager, 2012 Victorian Gas Access Arrangement Review, </w:t>
      </w:r>
      <w:proofErr w:type="gramStart"/>
      <w:r w:rsidRPr="00B04854">
        <w:t>Australian</w:t>
      </w:r>
      <w:proofErr w:type="gramEnd"/>
      <w:r w:rsidRPr="00B04854">
        <w:t xml:space="preserve"> Energy Regulator.</w:t>
      </w:r>
    </w:p>
    <w:p w:rsidR="00D00642" w:rsidRDefault="00D00642" w:rsidP="00D00642">
      <w:pPr>
        <w:pStyle w:val="AERbodytext"/>
      </w:pPr>
      <w:r>
        <w:t>A summary of the key dates for the 2013</w:t>
      </w:r>
      <w:r>
        <w:rPr>
          <w:rFonts w:cs="Gautami"/>
        </w:rPr>
        <w:t>–</w:t>
      </w:r>
      <w:r>
        <w:t>17 Victorian gas providers’ price review is provided in table 6.1 below.</w:t>
      </w:r>
    </w:p>
    <w:p w:rsidR="00D00642" w:rsidRPr="009C408F" w:rsidRDefault="00D00642" w:rsidP="00FC6798">
      <w:pPr>
        <w:pStyle w:val="AERtabletitle"/>
        <w:tabs>
          <w:tab w:val="clear" w:pos="2342"/>
          <w:tab w:val="num" w:pos="1440"/>
        </w:tabs>
        <w:ind w:left="1440" w:hanging="1440"/>
      </w:pPr>
      <w:r w:rsidRPr="0064758F">
        <w:t>Scheduled dates for key stages in the decision making process</w:t>
      </w:r>
    </w:p>
    <w:tbl>
      <w:tblPr>
        <w:tblW w:w="0" w:type="auto"/>
        <w:tblBorders>
          <w:top w:val="single" w:sz="4" w:space="0" w:color="auto"/>
          <w:bottom w:val="single" w:sz="4" w:space="0" w:color="auto"/>
        </w:tblBorders>
        <w:tblLook w:val="0020"/>
      </w:tblPr>
      <w:tblGrid>
        <w:gridCol w:w="4264"/>
        <w:gridCol w:w="4264"/>
      </w:tblGrid>
      <w:tr w:rsidR="00D00642" w:rsidRPr="002B715D" w:rsidTr="00D00642">
        <w:tc>
          <w:tcPr>
            <w:tcW w:w="4264" w:type="dxa"/>
            <w:tcBorders>
              <w:top w:val="single" w:sz="4" w:space="0" w:color="auto"/>
              <w:left w:val="single" w:sz="4" w:space="0" w:color="auto"/>
              <w:bottom w:val="single" w:sz="4" w:space="0" w:color="auto"/>
              <w:right w:val="nil"/>
              <w:tl2br w:val="nil"/>
              <w:tr2bl w:val="nil"/>
            </w:tcBorders>
            <w:shd w:val="clear" w:color="auto" w:fill="F2750E"/>
            <w:noWrap/>
            <w:tcMar>
              <w:top w:w="0" w:type="dxa"/>
              <w:bottom w:w="0" w:type="dxa"/>
            </w:tcMar>
            <w:vAlign w:val="center"/>
          </w:tcPr>
          <w:p w:rsidR="00D00642" w:rsidRPr="002B715D" w:rsidRDefault="00D00642" w:rsidP="00D00642">
            <w:pPr>
              <w:pStyle w:val="AERtabletextheading"/>
              <w:rPr>
                <w:rStyle w:val="AERtextbold"/>
                <w:b/>
              </w:rPr>
            </w:pPr>
            <w:r w:rsidRPr="002B715D">
              <w:rPr>
                <w:rStyle w:val="AERtextbold"/>
                <w:b/>
              </w:rPr>
              <w:t>Key stages in the decision making process</w:t>
            </w:r>
          </w:p>
        </w:tc>
        <w:tc>
          <w:tcPr>
            <w:tcW w:w="4264" w:type="dxa"/>
            <w:tcBorders>
              <w:top w:val="single" w:sz="4" w:space="0" w:color="auto"/>
              <w:left w:val="nil"/>
              <w:bottom w:val="single" w:sz="4" w:space="0" w:color="auto"/>
              <w:right w:val="single" w:sz="4" w:space="0" w:color="auto"/>
              <w:tl2br w:val="nil"/>
              <w:tr2bl w:val="nil"/>
            </w:tcBorders>
            <w:shd w:val="clear" w:color="auto" w:fill="F2750E"/>
            <w:noWrap/>
            <w:tcMar>
              <w:top w:w="0" w:type="dxa"/>
              <w:bottom w:w="0" w:type="dxa"/>
            </w:tcMar>
            <w:vAlign w:val="center"/>
          </w:tcPr>
          <w:p w:rsidR="00D00642" w:rsidRPr="002B715D" w:rsidRDefault="00D00642" w:rsidP="00D00642">
            <w:pPr>
              <w:pStyle w:val="AERtabletextheading"/>
              <w:rPr>
                <w:rStyle w:val="AERtextbold"/>
                <w:b/>
              </w:rPr>
            </w:pPr>
            <w:r w:rsidRPr="002B715D">
              <w:rPr>
                <w:rStyle w:val="AERtextbold"/>
                <w:b/>
              </w:rPr>
              <w:t>Scheduled date</w:t>
            </w:r>
          </w:p>
        </w:tc>
      </w:tr>
      <w:tr w:rsidR="00D00642" w:rsidTr="00D00642">
        <w:tc>
          <w:tcPr>
            <w:tcW w:w="4264" w:type="dxa"/>
            <w:shd w:val="clear" w:color="auto" w:fill="auto"/>
            <w:noWrap/>
            <w:tcMar>
              <w:top w:w="0" w:type="dxa"/>
              <w:bottom w:w="0" w:type="dxa"/>
            </w:tcMar>
            <w:vAlign w:val="center"/>
          </w:tcPr>
          <w:p w:rsidR="00D00642" w:rsidRPr="00E05F7E" w:rsidRDefault="00D00642" w:rsidP="00D00642">
            <w:pPr>
              <w:pStyle w:val="AERtabletext"/>
            </w:pPr>
            <w:r w:rsidRPr="00E05F7E">
              <w:t xml:space="preserve">AER received </w:t>
            </w:r>
            <w:r>
              <w:t>business</w:t>
            </w:r>
            <w:r w:rsidRPr="00E05F7E">
              <w:t xml:space="preserve"> proposal</w:t>
            </w:r>
            <w:r>
              <w:t>s</w:t>
            </w:r>
          </w:p>
        </w:tc>
        <w:tc>
          <w:tcPr>
            <w:tcW w:w="4264" w:type="dxa"/>
            <w:shd w:val="clear" w:color="auto" w:fill="auto"/>
            <w:noWrap/>
            <w:tcMar>
              <w:top w:w="0" w:type="dxa"/>
              <w:bottom w:w="0" w:type="dxa"/>
            </w:tcMar>
            <w:vAlign w:val="center"/>
          </w:tcPr>
          <w:p w:rsidR="00D00642" w:rsidRPr="00E05F7E" w:rsidRDefault="00D00642" w:rsidP="00D00642">
            <w:pPr>
              <w:pStyle w:val="AERtabletext"/>
            </w:pPr>
            <w:r w:rsidRPr="00E05F7E">
              <w:t>30 March 2012</w:t>
            </w:r>
          </w:p>
        </w:tc>
      </w:tr>
      <w:tr w:rsidR="00D00642" w:rsidTr="00D00642">
        <w:tc>
          <w:tcPr>
            <w:tcW w:w="4264" w:type="dxa"/>
            <w:shd w:val="clear" w:color="auto" w:fill="F8B47C"/>
            <w:noWrap/>
            <w:tcMar>
              <w:top w:w="0" w:type="dxa"/>
              <w:bottom w:w="0" w:type="dxa"/>
            </w:tcMar>
            <w:vAlign w:val="center"/>
          </w:tcPr>
          <w:p w:rsidR="00D00642" w:rsidRPr="00E05F7E" w:rsidRDefault="00D00642" w:rsidP="00D00642">
            <w:pPr>
              <w:pStyle w:val="AERtabletext"/>
            </w:pPr>
            <w:r>
              <w:t>Business</w:t>
            </w:r>
            <w:r w:rsidRPr="00E05F7E">
              <w:t xml:space="preserve"> proposal</w:t>
            </w:r>
            <w:r>
              <w:t>s</w:t>
            </w:r>
            <w:r w:rsidRPr="00E05F7E">
              <w:t xml:space="preserve"> published</w:t>
            </w:r>
          </w:p>
        </w:tc>
        <w:tc>
          <w:tcPr>
            <w:tcW w:w="4264" w:type="dxa"/>
            <w:shd w:val="clear" w:color="auto" w:fill="F8B47C"/>
            <w:noWrap/>
            <w:tcMar>
              <w:top w:w="0" w:type="dxa"/>
              <w:bottom w:w="0" w:type="dxa"/>
            </w:tcMar>
            <w:vAlign w:val="center"/>
          </w:tcPr>
          <w:p w:rsidR="00D00642" w:rsidRPr="00E05F7E" w:rsidRDefault="00D00642" w:rsidP="00D00642">
            <w:pPr>
              <w:pStyle w:val="AERtabletext"/>
            </w:pPr>
            <w:r w:rsidRPr="00E05F7E">
              <w:t>2 May 2012</w:t>
            </w:r>
          </w:p>
        </w:tc>
      </w:tr>
      <w:tr w:rsidR="00D00642" w:rsidTr="00D00642">
        <w:tc>
          <w:tcPr>
            <w:tcW w:w="4264" w:type="dxa"/>
            <w:shd w:val="clear" w:color="auto" w:fill="auto"/>
            <w:noWrap/>
            <w:tcMar>
              <w:top w:w="0" w:type="dxa"/>
              <w:bottom w:w="0" w:type="dxa"/>
            </w:tcMar>
            <w:vAlign w:val="center"/>
          </w:tcPr>
          <w:p w:rsidR="00D00642" w:rsidRPr="00E05F7E" w:rsidRDefault="00D00642" w:rsidP="00D00642">
            <w:pPr>
              <w:pStyle w:val="AERtabletext"/>
            </w:pPr>
            <w:r w:rsidRPr="00E05F7E">
              <w:t>Industry workshop on terms and conditions</w:t>
            </w:r>
          </w:p>
        </w:tc>
        <w:tc>
          <w:tcPr>
            <w:tcW w:w="4264" w:type="dxa"/>
            <w:shd w:val="clear" w:color="auto" w:fill="auto"/>
            <w:noWrap/>
            <w:tcMar>
              <w:top w:w="0" w:type="dxa"/>
              <w:bottom w:w="0" w:type="dxa"/>
            </w:tcMar>
            <w:vAlign w:val="center"/>
          </w:tcPr>
          <w:p w:rsidR="00D00642" w:rsidRPr="00E05F7E" w:rsidRDefault="00D00642" w:rsidP="00D00642">
            <w:pPr>
              <w:pStyle w:val="AERtabletext"/>
            </w:pPr>
            <w:r w:rsidRPr="00E05F7E">
              <w:t>18 May 2012</w:t>
            </w:r>
          </w:p>
        </w:tc>
      </w:tr>
      <w:tr w:rsidR="00D00642" w:rsidTr="00D00642">
        <w:tc>
          <w:tcPr>
            <w:tcW w:w="4264" w:type="dxa"/>
            <w:shd w:val="clear" w:color="auto" w:fill="F8B47C"/>
            <w:noWrap/>
            <w:tcMar>
              <w:top w:w="0" w:type="dxa"/>
              <w:bottom w:w="0" w:type="dxa"/>
            </w:tcMar>
            <w:vAlign w:val="center"/>
          </w:tcPr>
          <w:p w:rsidR="00D00642" w:rsidRPr="00E05F7E" w:rsidRDefault="00D00642" w:rsidP="00D00642">
            <w:pPr>
              <w:pStyle w:val="AERtabletext"/>
            </w:pPr>
            <w:r w:rsidRPr="00E05F7E">
              <w:t>AER draft decision released</w:t>
            </w:r>
          </w:p>
        </w:tc>
        <w:tc>
          <w:tcPr>
            <w:tcW w:w="4264" w:type="dxa"/>
            <w:shd w:val="clear" w:color="auto" w:fill="F8B47C"/>
            <w:noWrap/>
            <w:tcMar>
              <w:top w:w="0" w:type="dxa"/>
              <w:bottom w:w="0" w:type="dxa"/>
            </w:tcMar>
            <w:vAlign w:val="center"/>
          </w:tcPr>
          <w:p w:rsidR="00D00642" w:rsidRDefault="00D00642" w:rsidP="00D00642">
            <w:pPr>
              <w:pStyle w:val="AERtabletext"/>
            </w:pPr>
            <w:r w:rsidRPr="00E05F7E">
              <w:t>10 September 2012</w:t>
            </w:r>
            <w:r>
              <w:t xml:space="preserve"> for APA </w:t>
            </w:r>
            <w:proofErr w:type="spellStart"/>
            <w:r>
              <w:t>GasNet</w:t>
            </w:r>
            <w:proofErr w:type="spellEnd"/>
            <w:r>
              <w:t xml:space="preserve"> and SP </w:t>
            </w:r>
            <w:proofErr w:type="spellStart"/>
            <w:r>
              <w:t>AusNet</w:t>
            </w:r>
            <w:proofErr w:type="spellEnd"/>
          </w:p>
          <w:p w:rsidR="00D00642" w:rsidRPr="00E05F7E" w:rsidRDefault="00D00642" w:rsidP="00D00642">
            <w:pPr>
              <w:pStyle w:val="AERtabletext"/>
            </w:pPr>
            <w:r>
              <w:t xml:space="preserve">21 September 2012 for </w:t>
            </w:r>
            <w:proofErr w:type="spellStart"/>
            <w:r>
              <w:t>Multinet</w:t>
            </w:r>
            <w:proofErr w:type="spellEnd"/>
            <w:r>
              <w:t xml:space="preserve"> and </w:t>
            </w:r>
            <w:proofErr w:type="spellStart"/>
            <w:r>
              <w:t>Envestra</w:t>
            </w:r>
            <w:proofErr w:type="spellEnd"/>
          </w:p>
        </w:tc>
      </w:tr>
      <w:tr w:rsidR="00D00642" w:rsidTr="00D00642">
        <w:tc>
          <w:tcPr>
            <w:tcW w:w="4264" w:type="dxa"/>
            <w:shd w:val="clear" w:color="auto" w:fill="auto"/>
            <w:noWrap/>
            <w:tcMar>
              <w:top w:w="0" w:type="dxa"/>
              <w:bottom w:w="0" w:type="dxa"/>
            </w:tcMar>
            <w:vAlign w:val="center"/>
          </w:tcPr>
          <w:p w:rsidR="00D00642" w:rsidRPr="00E05F7E" w:rsidRDefault="00D00642" w:rsidP="00D00642">
            <w:pPr>
              <w:pStyle w:val="AERtabletext"/>
            </w:pPr>
            <w:r>
              <w:t>Revised</w:t>
            </w:r>
            <w:r w:rsidRPr="00E05F7E">
              <w:t xml:space="preserve"> proposal</w:t>
            </w:r>
            <w:r>
              <w:t>s</w:t>
            </w:r>
            <w:r w:rsidRPr="00E05F7E">
              <w:t xml:space="preserve"> to be submitted</w:t>
            </w:r>
          </w:p>
        </w:tc>
        <w:tc>
          <w:tcPr>
            <w:tcW w:w="4264" w:type="dxa"/>
            <w:shd w:val="clear" w:color="auto" w:fill="auto"/>
            <w:noWrap/>
            <w:tcMar>
              <w:top w:w="0" w:type="dxa"/>
              <w:bottom w:w="0" w:type="dxa"/>
            </w:tcMar>
            <w:vAlign w:val="center"/>
          </w:tcPr>
          <w:p w:rsidR="00D00642" w:rsidRPr="00E05F7E" w:rsidRDefault="00D00642" w:rsidP="00D00642">
            <w:pPr>
              <w:pStyle w:val="AERtabletext"/>
            </w:pPr>
            <w:r w:rsidRPr="00E05F7E">
              <w:t>9 November 2012</w:t>
            </w:r>
          </w:p>
        </w:tc>
      </w:tr>
      <w:tr w:rsidR="00D00642" w:rsidTr="00D00642">
        <w:tc>
          <w:tcPr>
            <w:tcW w:w="4264" w:type="dxa"/>
            <w:shd w:val="clear" w:color="auto" w:fill="F8B47C"/>
            <w:noWrap/>
            <w:tcMar>
              <w:top w:w="0" w:type="dxa"/>
              <w:bottom w:w="0" w:type="dxa"/>
            </w:tcMar>
            <w:vAlign w:val="center"/>
          </w:tcPr>
          <w:p w:rsidR="00D00642" w:rsidRPr="00E05F7E" w:rsidRDefault="00D00642" w:rsidP="00D00642">
            <w:pPr>
              <w:pStyle w:val="AERtabletext"/>
            </w:pPr>
            <w:r w:rsidRPr="00E05F7E">
              <w:t>Submissions on revised proposal due</w:t>
            </w:r>
          </w:p>
        </w:tc>
        <w:tc>
          <w:tcPr>
            <w:tcW w:w="4264" w:type="dxa"/>
            <w:shd w:val="clear" w:color="auto" w:fill="F8B47C"/>
            <w:noWrap/>
            <w:tcMar>
              <w:top w:w="0" w:type="dxa"/>
              <w:bottom w:w="0" w:type="dxa"/>
            </w:tcMar>
            <w:vAlign w:val="center"/>
          </w:tcPr>
          <w:p w:rsidR="00D00642" w:rsidRPr="00E05F7E" w:rsidRDefault="00D00642" w:rsidP="00D00642">
            <w:pPr>
              <w:pStyle w:val="AERtabletext"/>
            </w:pPr>
            <w:r w:rsidRPr="00E05F7E">
              <w:t>7 January 2013</w:t>
            </w:r>
          </w:p>
        </w:tc>
      </w:tr>
      <w:tr w:rsidR="00D00642" w:rsidTr="00D00642">
        <w:tc>
          <w:tcPr>
            <w:tcW w:w="4264" w:type="dxa"/>
            <w:shd w:val="clear" w:color="auto" w:fill="auto"/>
            <w:noWrap/>
            <w:tcMar>
              <w:top w:w="0" w:type="dxa"/>
              <w:bottom w:w="0" w:type="dxa"/>
            </w:tcMar>
            <w:vAlign w:val="center"/>
          </w:tcPr>
          <w:p w:rsidR="00D00642" w:rsidRPr="00E05F7E" w:rsidRDefault="00D00642" w:rsidP="00D00642">
            <w:pPr>
              <w:pStyle w:val="AERtabletext"/>
            </w:pPr>
            <w:r w:rsidRPr="00E05F7E">
              <w:t>Release of AER final decision</w:t>
            </w:r>
          </w:p>
        </w:tc>
        <w:tc>
          <w:tcPr>
            <w:tcW w:w="4264" w:type="dxa"/>
            <w:shd w:val="clear" w:color="auto" w:fill="auto"/>
            <w:noWrap/>
            <w:tcMar>
              <w:top w:w="0" w:type="dxa"/>
              <w:bottom w:w="0" w:type="dxa"/>
            </w:tcMar>
            <w:vAlign w:val="center"/>
          </w:tcPr>
          <w:p w:rsidR="00D00642" w:rsidRPr="00E05F7E" w:rsidRDefault="00D00642" w:rsidP="00D00642">
            <w:pPr>
              <w:pStyle w:val="AERtabletext"/>
            </w:pPr>
            <w:r w:rsidRPr="00E05F7E">
              <w:t>March 2013</w:t>
            </w:r>
          </w:p>
        </w:tc>
      </w:tr>
    </w:tbl>
    <w:p w:rsidR="0066174C" w:rsidRPr="0066174C" w:rsidRDefault="0066174C" w:rsidP="0066174C">
      <w:pPr>
        <w:pStyle w:val="AERbodytext"/>
      </w:pPr>
    </w:p>
    <w:sectPr w:rsidR="0066174C" w:rsidRPr="0066174C" w:rsidSect="00901FCB">
      <w:headerReference w:type="even" r:id="rId24"/>
      <w:headerReference w:type="default" r:id="rId25"/>
      <w:footerReference w:type="even" r:id="rId26"/>
      <w:footerReference w:type="default" r:id="rId27"/>
      <w:pgSz w:w="11906" w:h="16838" w:code="9"/>
      <w:pgMar w:top="1440" w:right="1797" w:bottom="1440" w:left="179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32EC" w:rsidRDefault="009F32EC" w:rsidP="00BB640B">
      <w:r>
        <w:separator/>
      </w:r>
    </w:p>
    <w:p w:rsidR="009F32EC" w:rsidRDefault="009F32EC"/>
    <w:p w:rsidR="009F32EC" w:rsidRDefault="009F32EC"/>
  </w:endnote>
  <w:endnote w:type="continuationSeparator" w:id="0">
    <w:p w:rsidR="009F32EC" w:rsidRDefault="009F32EC" w:rsidP="00BB640B">
      <w:r>
        <w:continuationSeparator/>
      </w:r>
    </w:p>
    <w:p w:rsidR="009F32EC" w:rsidRDefault="009F32EC"/>
    <w:p w:rsidR="009F32EC" w:rsidRDefault="009F32EC"/>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utami">
    <w:panose1 w:val="02000500000000000000"/>
    <w:charset w:val="00"/>
    <w:family w:val="auto"/>
    <w:pitch w:val="variable"/>
    <w:sig w:usb0="002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Arial Bold">
    <w:panose1 w:val="020B07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32EC" w:rsidRDefault="00407F32" w:rsidP="001A7245">
    <w:r>
      <w:rPr>
        <w:rStyle w:val="PageNumber"/>
      </w:rPr>
      <w:fldChar w:fldCharType="begin"/>
    </w:r>
    <w:r w:rsidR="009F32EC">
      <w:rPr>
        <w:rStyle w:val="PageNumber"/>
      </w:rPr>
      <w:instrText xml:space="preserve"> PAGE </w:instrText>
    </w:r>
    <w:r>
      <w:rPr>
        <w:rStyle w:val="PageNumber"/>
      </w:rPr>
      <w:fldChar w:fldCharType="separate"/>
    </w:r>
    <w:r w:rsidR="009F32EC" w:rsidRPr="001A7245">
      <w:rPr>
        <w:rStyle w:val="PageNumber"/>
      </w:rPr>
      <w:t>2</w:t>
    </w:r>
    <w:r>
      <w:rPr>
        <w:rStyle w:val="PageNumber"/>
      </w:rPr>
      <w:fldChar w:fldCharType="end"/>
    </w:r>
    <w:r w:rsidR="009F32EC">
      <w:rPr>
        <w:rStyle w:val="PageNumber"/>
      </w:rPr>
      <w:tab/>
    </w:r>
    <w:r w:rsidR="009F32EC" w:rsidRPr="001A7245">
      <w:t>Chapter Heading</w:t>
    </w:r>
    <w:r w:rsidR="009F32EC">
      <w:t xml:space="preserve"> | </w:t>
    </w:r>
    <w:proofErr w:type="spellStart"/>
    <w:r w:rsidR="009F32EC">
      <w:t>Aer</w:t>
    </w:r>
    <w:proofErr w:type="spellEnd"/>
    <w:r w:rsidR="009F32EC">
      <w:t xml:space="preserve"> Determination Heading</w:t>
    </w:r>
  </w:p>
  <w:p w:rsidR="009F32EC" w:rsidRDefault="009F32EC"/>
  <w:p w:rsidR="009F32EC" w:rsidRDefault="009F32EC"/>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32EC" w:rsidRDefault="009F32EC" w:rsidP="00942539">
    <w:pPr>
      <w:tabs>
        <w:tab w:val="right" w:pos="8280"/>
      </w:tabs>
    </w:pPr>
    <w:r>
      <w:tab/>
    </w:r>
    <w:r w:rsidR="00407F32">
      <w:rPr>
        <w:rStyle w:val="PageNumber"/>
      </w:rPr>
      <w:fldChar w:fldCharType="begin"/>
    </w:r>
    <w:r>
      <w:rPr>
        <w:rStyle w:val="PageNumber"/>
      </w:rPr>
      <w:instrText xml:space="preserve"> PAGE </w:instrText>
    </w:r>
    <w:r w:rsidR="00407F32">
      <w:rPr>
        <w:rStyle w:val="PageNumber"/>
      </w:rPr>
      <w:fldChar w:fldCharType="separate"/>
    </w:r>
    <w:r w:rsidR="004906A0">
      <w:rPr>
        <w:rStyle w:val="PageNumber"/>
        <w:noProof/>
      </w:rPr>
      <w:t>29</w:t>
    </w:r>
    <w:r w:rsidR="00407F32">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32EC" w:rsidRDefault="009F32EC" w:rsidP="00BB640B">
      <w:r>
        <w:separator/>
      </w:r>
    </w:p>
    <w:p w:rsidR="009F32EC" w:rsidRDefault="009F32EC"/>
    <w:p w:rsidR="009F32EC" w:rsidRDefault="009F32EC"/>
  </w:footnote>
  <w:footnote w:type="continuationSeparator" w:id="0">
    <w:p w:rsidR="009F32EC" w:rsidRDefault="009F32EC" w:rsidP="00BB640B">
      <w:r>
        <w:continuationSeparator/>
      </w:r>
    </w:p>
    <w:p w:rsidR="009F32EC" w:rsidRDefault="009F32EC"/>
    <w:p w:rsidR="009F32EC" w:rsidRDefault="009F32EC"/>
  </w:footnote>
  <w:footnote w:id="1">
    <w:p w:rsidR="009F32EC" w:rsidRDefault="009F32EC">
      <w:pPr>
        <w:pStyle w:val="FootnoteText"/>
      </w:pPr>
      <w:r>
        <w:rPr>
          <w:rStyle w:val="FootnoteReference"/>
        </w:rPr>
        <w:footnoteRef/>
      </w:r>
      <w:r>
        <w:t xml:space="preserve"> </w:t>
      </w:r>
      <w:r>
        <w:tab/>
      </w:r>
      <w:r w:rsidRPr="00252731">
        <w:t xml:space="preserve">Providers of gas distribution services typically negotiate contracts to sell pipeline services to customers such as energy retailers. Section 322 of the </w:t>
      </w:r>
      <w:r>
        <w:t>National Gas Law (NGL)</w:t>
      </w:r>
      <w:r w:rsidRPr="00252731">
        <w:t xml:space="preserve"> provides that contracts between service providers and users may differ from those approved by the AER as part of an access arrangement review. In the event of a dispute, however, a user or prospective user may request dispute resolution by the AER under Chapter 6, Part 3 of the NGL</w:t>
      </w:r>
      <w:r>
        <w:t>.</w:t>
      </w:r>
      <w:r w:rsidRPr="00252731">
        <w:t xml:space="preserve"> In the event that the AER makes an access determination in order to resolve the dispute, it must give effect to the access arrangement: s</w:t>
      </w:r>
      <w:r>
        <w:t>.</w:t>
      </w:r>
      <w:r w:rsidRPr="00252731">
        <w:t xml:space="preserve"> 189.</w:t>
      </w:r>
    </w:p>
  </w:footnote>
  <w:footnote w:id="2">
    <w:p w:rsidR="009F32EC" w:rsidRDefault="009F32EC">
      <w:pPr>
        <w:pStyle w:val="FootnoteText"/>
      </w:pPr>
      <w:r>
        <w:rPr>
          <w:rStyle w:val="FootnoteReference"/>
        </w:rPr>
        <w:footnoteRef/>
      </w:r>
      <w:r>
        <w:t xml:space="preserve"> </w:t>
      </w:r>
      <w:r>
        <w:tab/>
        <w:t>Gas producers include Exxon Mobil, BHP Billiton, Origin Energy and Santos.</w:t>
      </w:r>
    </w:p>
  </w:footnote>
  <w:footnote w:id="3">
    <w:p w:rsidR="009F32EC" w:rsidRDefault="009F32EC">
      <w:pPr>
        <w:pStyle w:val="FootnoteText"/>
      </w:pPr>
      <w:r>
        <w:rPr>
          <w:rStyle w:val="FootnoteReference"/>
        </w:rPr>
        <w:footnoteRef/>
      </w:r>
      <w:r>
        <w:t xml:space="preserve"> </w:t>
      </w:r>
      <w:r>
        <w:tab/>
        <w:t xml:space="preserve">Gas storage operators include APA </w:t>
      </w:r>
      <w:proofErr w:type="spellStart"/>
      <w:r>
        <w:t>GasN</w:t>
      </w:r>
      <w:r w:rsidRPr="00884F30">
        <w:t>et</w:t>
      </w:r>
      <w:proofErr w:type="spellEnd"/>
      <w:r w:rsidRPr="00884F30">
        <w:t xml:space="preserve"> Australia </w:t>
      </w:r>
      <w:r>
        <w:t xml:space="preserve">and </w:t>
      </w:r>
      <w:proofErr w:type="spellStart"/>
      <w:r>
        <w:t>TRUenergy</w:t>
      </w:r>
      <w:proofErr w:type="spellEnd"/>
      <w:r>
        <w:t xml:space="preserve"> Gas Storage.</w:t>
      </w:r>
    </w:p>
  </w:footnote>
  <w:footnote w:id="4">
    <w:p w:rsidR="009F32EC" w:rsidRDefault="009F32EC">
      <w:pPr>
        <w:pStyle w:val="FootnoteText"/>
      </w:pPr>
      <w:r>
        <w:rPr>
          <w:rStyle w:val="FootnoteReference"/>
        </w:rPr>
        <w:footnoteRef/>
      </w:r>
      <w:r>
        <w:t xml:space="preserve"> </w:t>
      </w:r>
      <w:r>
        <w:tab/>
        <w:t>End consumers include residential homes, offices and other businesses.</w:t>
      </w:r>
    </w:p>
  </w:footnote>
  <w:footnote w:id="5">
    <w:p w:rsidR="009F32EC" w:rsidRDefault="009F32EC" w:rsidP="000C4CE1">
      <w:pPr>
        <w:pStyle w:val="FootnoteText"/>
      </w:pPr>
      <w:r>
        <w:rPr>
          <w:rStyle w:val="FootnoteReference"/>
        </w:rPr>
        <w:footnoteRef/>
      </w:r>
      <w:r>
        <w:t xml:space="preserve"> </w:t>
      </w:r>
      <w:r>
        <w:tab/>
        <w:t xml:space="preserve">Victorian retail companies include </w:t>
      </w:r>
      <w:r w:rsidRPr="00504FD7">
        <w:t>AGL Sales</w:t>
      </w:r>
      <w:r>
        <w:t>,</w:t>
      </w:r>
      <w:r w:rsidRPr="00504FD7">
        <w:t xml:space="preserve"> Origin Energy</w:t>
      </w:r>
      <w:r>
        <w:t xml:space="preserve">, Sun Retail, </w:t>
      </w:r>
      <w:r w:rsidRPr="00504FD7">
        <w:t>Red Energy</w:t>
      </w:r>
      <w:r>
        <w:t xml:space="preserve">, </w:t>
      </w:r>
      <w:r w:rsidRPr="00504FD7">
        <w:t>Australian Power &amp; Gas</w:t>
      </w:r>
      <w:r>
        <w:t xml:space="preserve">, </w:t>
      </w:r>
      <w:r w:rsidRPr="00504FD7">
        <w:t>Santos Direct</w:t>
      </w:r>
      <w:r>
        <w:t xml:space="preserve">, </w:t>
      </w:r>
      <w:r w:rsidRPr="00504FD7">
        <w:t>Victoria Electricity</w:t>
      </w:r>
      <w:r>
        <w:t>,</w:t>
      </w:r>
      <w:r w:rsidRPr="00504FD7">
        <w:t xml:space="preserve"> </w:t>
      </w:r>
      <w:r>
        <w:t>Energy Australia and</w:t>
      </w:r>
      <w:r w:rsidRPr="00504FD7">
        <w:t xml:space="preserve"> Simply Energy</w:t>
      </w:r>
      <w:r>
        <w:t>.</w:t>
      </w:r>
    </w:p>
  </w:footnote>
  <w:footnote w:id="6">
    <w:p w:rsidR="009F32EC" w:rsidRDefault="009F32EC" w:rsidP="0000644D">
      <w:pPr>
        <w:pStyle w:val="FootnoteText"/>
      </w:pPr>
      <w:r>
        <w:rPr>
          <w:rStyle w:val="FootnoteReference"/>
        </w:rPr>
        <w:footnoteRef/>
      </w:r>
      <w:r>
        <w:t xml:space="preserve"> </w:t>
      </w:r>
      <w:r>
        <w:tab/>
        <w:t>However, under s. 322 of the NGL a service provider may enter into an agreement for access that differs from the applicable access arrangement.</w:t>
      </w:r>
    </w:p>
  </w:footnote>
  <w:footnote w:id="7">
    <w:p w:rsidR="009F32EC" w:rsidRDefault="009F32EC" w:rsidP="007913AF">
      <w:pPr>
        <w:pStyle w:val="FootnoteText"/>
      </w:pPr>
      <w:r>
        <w:rPr>
          <w:rStyle w:val="FootnoteReference"/>
        </w:rPr>
        <w:footnoteRef/>
      </w:r>
      <w:r>
        <w:t xml:space="preserve"> </w:t>
      </w:r>
      <w:r>
        <w:tab/>
        <w:t xml:space="preserve">See the AER’s draft decision for APA </w:t>
      </w:r>
      <w:proofErr w:type="spellStart"/>
      <w:r>
        <w:t>GasNet</w:t>
      </w:r>
      <w:proofErr w:type="spellEnd"/>
      <w:r>
        <w:t xml:space="preserve"> for more on how this percentage was determined.</w:t>
      </w:r>
    </w:p>
  </w:footnote>
  <w:footnote w:id="8">
    <w:p w:rsidR="009F32EC" w:rsidRDefault="009F32EC" w:rsidP="00333E62">
      <w:pPr>
        <w:pStyle w:val="FootnoteText"/>
      </w:pPr>
      <w:r>
        <w:rPr>
          <w:rStyle w:val="FootnoteReference"/>
        </w:rPr>
        <w:footnoteRef/>
      </w:r>
      <w:r>
        <w:t xml:space="preserve"> </w:t>
      </w:r>
      <w:r>
        <w:tab/>
        <w:t>The actual percentage varies slightly across the three distribution business. See the AER’s draft decisions for more on how these percentages were calculated.</w:t>
      </w:r>
    </w:p>
  </w:footnote>
  <w:footnote w:id="9">
    <w:p w:rsidR="009F32EC" w:rsidRDefault="009F32EC" w:rsidP="006F5F1E">
      <w:pPr>
        <w:pStyle w:val="FootnoteText"/>
      </w:pPr>
      <w:r>
        <w:rPr>
          <w:rStyle w:val="FootnoteReference"/>
        </w:rPr>
        <w:footnoteRef/>
      </w:r>
      <w:r>
        <w:t xml:space="preserve"> </w:t>
      </w:r>
      <w:r>
        <w:tab/>
        <w:t xml:space="preserve">Our assessment considers whether the costs being recovered through charges are what we believe an efficient service provider should incur in operating its pipeline services. </w:t>
      </w:r>
    </w:p>
  </w:footnote>
  <w:footnote w:id="10">
    <w:p w:rsidR="009F32EC" w:rsidRDefault="009F32EC" w:rsidP="008A6B8A">
      <w:pPr>
        <w:pStyle w:val="FootnoteText"/>
      </w:pPr>
      <w:r>
        <w:rPr>
          <w:rStyle w:val="FootnoteReference"/>
        </w:rPr>
        <w:footnoteRef/>
      </w:r>
      <w:r>
        <w:t xml:space="preserve"> </w:t>
      </w:r>
      <w:r>
        <w:tab/>
      </w:r>
      <w:r w:rsidRPr="00C819BB">
        <w:t>This may re</w:t>
      </w:r>
      <w:r>
        <w:t>late</w:t>
      </w:r>
      <w:r w:rsidRPr="00C819BB">
        <w:t xml:space="preserve"> to operating expenditure and/or capital expenditure </w:t>
      </w:r>
      <w:r>
        <w:t>depending on</w:t>
      </w:r>
      <w:r w:rsidRPr="00C819BB">
        <w:t xml:space="preserve"> the incentive mechanism.</w:t>
      </w:r>
      <w:r>
        <w:t xml:space="preserve"> </w:t>
      </w:r>
    </w:p>
  </w:footnote>
  <w:footnote w:id="11">
    <w:p w:rsidR="009F32EC" w:rsidRDefault="009F32EC">
      <w:pPr>
        <w:pStyle w:val="FootnoteText"/>
      </w:pPr>
      <w:r>
        <w:rPr>
          <w:rStyle w:val="FootnoteReference"/>
        </w:rPr>
        <w:footnoteRef/>
      </w:r>
      <w:r>
        <w:t xml:space="preserve">  </w:t>
      </w:r>
      <w:r>
        <w:tab/>
        <w:t>This is the value of the business’</w:t>
      </w:r>
      <w:r w:rsidR="00297F52">
        <w:t xml:space="preserve"> </w:t>
      </w:r>
      <w:r>
        <w:t>existing assets.</w:t>
      </w:r>
    </w:p>
  </w:footnote>
  <w:footnote w:id="12">
    <w:p w:rsidR="009F32EC" w:rsidRDefault="009F32EC" w:rsidP="00EB65E9">
      <w:pPr>
        <w:pStyle w:val="FootnoteText"/>
      </w:pPr>
      <w:r>
        <w:rPr>
          <w:rStyle w:val="FootnoteReference"/>
        </w:rPr>
        <w:footnoteRef/>
      </w:r>
      <w:r>
        <w:t xml:space="preserve"> </w:t>
      </w:r>
      <w:r>
        <w:tab/>
        <w:t>The closing value is the value of a business’ capital base on the last day of the relevant calendar year (i.e. 31 December of each year).</w:t>
      </w:r>
    </w:p>
  </w:footnote>
  <w:footnote w:id="13">
    <w:p w:rsidR="009F32EC" w:rsidRDefault="009F32EC" w:rsidP="00EB65E9">
      <w:pPr>
        <w:pStyle w:val="FootnoteText"/>
      </w:pPr>
      <w:r>
        <w:rPr>
          <w:rStyle w:val="FootnoteReference"/>
        </w:rPr>
        <w:footnoteRef/>
      </w:r>
      <w:r>
        <w:t xml:space="preserve"> </w:t>
      </w:r>
      <w:r>
        <w:tab/>
      </w:r>
      <w:r>
        <w:rPr>
          <w:rFonts w:eastAsia="Calibri"/>
        </w:rPr>
        <w:t>The value of any r</w:t>
      </w:r>
      <w:r w:rsidRPr="004567E6">
        <w:rPr>
          <w:rFonts w:eastAsia="Calibri"/>
        </w:rPr>
        <w:t xml:space="preserve">edundant assets that were reused during the </w:t>
      </w:r>
      <w:r>
        <w:rPr>
          <w:rFonts w:eastAsia="Calibri"/>
        </w:rPr>
        <w:t xml:space="preserve">year </w:t>
      </w:r>
      <w:proofErr w:type="gramStart"/>
      <w:r>
        <w:rPr>
          <w:rFonts w:eastAsia="Calibri"/>
        </w:rPr>
        <w:t>are</w:t>
      </w:r>
      <w:proofErr w:type="gramEnd"/>
      <w:r>
        <w:rPr>
          <w:rFonts w:eastAsia="Calibri"/>
        </w:rPr>
        <w:t xml:space="preserve"> also added on.</w:t>
      </w:r>
    </w:p>
  </w:footnote>
  <w:footnote w:id="14">
    <w:p w:rsidR="009F32EC" w:rsidRDefault="009F32EC" w:rsidP="00EB65E9">
      <w:pPr>
        <w:pStyle w:val="FootnoteText"/>
      </w:pPr>
      <w:r>
        <w:rPr>
          <w:rStyle w:val="FootnoteReference"/>
        </w:rPr>
        <w:footnoteRef/>
      </w:r>
      <w:r>
        <w:t xml:space="preserve"> </w:t>
      </w:r>
      <w:r>
        <w:tab/>
        <w:t xml:space="preserve">This has little </w:t>
      </w:r>
      <w:r>
        <w:rPr>
          <w:rFonts w:eastAsia="Calibri"/>
        </w:rPr>
        <w:t>overall impact on the revenue allowance provided a ‘real’ cost of capital is used.</w:t>
      </w:r>
    </w:p>
  </w:footnote>
  <w:footnote w:id="15">
    <w:p w:rsidR="009F32EC" w:rsidRDefault="009F32EC" w:rsidP="0054346D">
      <w:pPr>
        <w:pStyle w:val="FootnoteText"/>
      </w:pPr>
      <w:r>
        <w:rPr>
          <w:rStyle w:val="FootnoteReference"/>
        </w:rPr>
        <w:footnoteRef/>
      </w:r>
      <w:r>
        <w:t xml:space="preserve"> </w:t>
      </w:r>
      <w:r>
        <w:tab/>
      </w:r>
      <w:proofErr w:type="gramStart"/>
      <w:r>
        <w:t>NGR, r. 87.</w:t>
      </w:r>
      <w:proofErr w:type="gramEnd"/>
    </w:p>
  </w:footnote>
  <w:footnote w:id="16">
    <w:p w:rsidR="009F32EC" w:rsidRDefault="009F32EC">
      <w:pPr>
        <w:pStyle w:val="FootnoteText"/>
      </w:pPr>
      <w:r>
        <w:rPr>
          <w:rStyle w:val="FootnoteReference"/>
        </w:rPr>
        <w:footnoteRef/>
      </w:r>
      <w:r>
        <w:t xml:space="preserve"> </w:t>
      </w:r>
      <w:r>
        <w:tab/>
      </w:r>
      <w:r w:rsidRPr="000B0058">
        <w:t xml:space="preserve">The </w:t>
      </w:r>
      <w:r>
        <w:t>v</w:t>
      </w:r>
      <w:r w:rsidRPr="000B0058">
        <w:t>anilla post tax WACC is the return to in</w:t>
      </w:r>
      <w:r>
        <w:t>vestors after company tax (including</w:t>
      </w:r>
      <w:r w:rsidRPr="000B0058">
        <w:t xml:space="preserve"> imputation benefits) has been accounted for.</w:t>
      </w:r>
      <w:r>
        <w:t xml:space="preserve"> This WACC formulation has been consistently used by the AER in its regulatory decisions.</w:t>
      </w:r>
    </w:p>
  </w:footnote>
  <w:footnote w:id="17">
    <w:p w:rsidR="009F32EC" w:rsidRDefault="009F32EC" w:rsidP="005B5A37">
      <w:pPr>
        <w:pStyle w:val="FootnoteText"/>
      </w:pPr>
      <w:r>
        <w:rPr>
          <w:rStyle w:val="FootnoteReference"/>
        </w:rPr>
        <w:footnoteRef/>
      </w:r>
      <w:r>
        <w:t xml:space="preserve"> </w:t>
      </w:r>
      <w:r>
        <w:tab/>
        <w:t>NGR, r. 89(1</w:t>
      </w:r>
      <w:proofErr w:type="gramStart"/>
      <w:r>
        <w:t>)(</w:t>
      </w:r>
      <w:proofErr w:type="gramEnd"/>
      <w:r>
        <w:t>a).</w:t>
      </w:r>
    </w:p>
  </w:footnote>
  <w:footnote w:id="18">
    <w:p w:rsidR="009F32EC" w:rsidRDefault="009F32EC" w:rsidP="005B5A37">
      <w:pPr>
        <w:pStyle w:val="FootnoteText"/>
      </w:pPr>
      <w:r>
        <w:rPr>
          <w:rStyle w:val="FootnoteReference"/>
        </w:rPr>
        <w:footnoteRef/>
      </w:r>
      <w:r>
        <w:t xml:space="preserve"> </w:t>
      </w:r>
      <w:r>
        <w:tab/>
        <w:t>NGR, r. 89(1</w:t>
      </w:r>
      <w:proofErr w:type="gramStart"/>
      <w:r>
        <w:t>)(</w:t>
      </w:r>
      <w:proofErr w:type="gramEnd"/>
      <w:r>
        <w:t>b).</w:t>
      </w:r>
    </w:p>
  </w:footnote>
  <w:footnote w:id="19">
    <w:p w:rsidR="009F32EC" w:rsidRDefault="009F32EC" w:rsidP="005B5A37">
      <w:pPr>
        <w:pStyle w:val="FootnoteText"/>
      </w:pPr>
      <w:r>
        <w:rPr>
          <w:rStyle w:val="FootnoteReference"/>
        </w:rPr>
        <w:footnoteRef/>
      </w:r>
      <w:r>
        <w:t xml:space="preserve"> </w:t>
      </w:r>
      <w:r>
        <w:tab/>
        <w:t>NGR, r. 89(1</w:t>
      </w:r>
      <w:proofErr w:type="gramStart"/>
      <w:r>
        <w:t>)(</w:t>
      </w:r>
      <w:proofErr w:type="gramEnd"/>
      <w:r>
        <w:t>c).</w:t>
      </w:r>
    </w:p>
  </w:footnote>
  <w:footnote w:id="20">
    <w:p w:rsidR="009F32EC" w:rsidRDefault="009F32EC" w:rsidP="005B5A37">
      <w:pPr>
        <w:pStyle w:val="FootnoteText"/>
      </w:pPr>
      <w:r>
        <w:rPr>
          <w:rStyle w:val="FootnoteReference"/>
        </w:rPr>
        <w:footnoteRef/>
      </w:r>
      <w:r>
        <w:t xml:space="preserve"> </w:t>
      </w:r>
      <w:r>
        <w:tab/>
        <w:t>NGR, r. 89(1</w:t>
      </w:r>
      <w:proofErr w:type="gramStart"/>
      <w:r>
        <w:t>)(</w:t>
      </w:r>
      <w:proofErr w:type="gramEnd"/>
      <w:r>
        <w:t>d).</w:t>
      </w:r>
    </w:p>
  </w:footnote>
  <w:footnote w:id="21">
    <w:p w:rsidR="009F32EC" w:rsidRDefault="009F32EC" w:rsidP="005B5A37">
      <w:pPr>
        <w:pStyle w:val="FootnoteText"/>
      </w:pPr>
      <w:r>
        <w:rPr>
          <w:rStyle w:val="FootnoteReference"/>
        </w:rPr>
        <w:footnoteRef/>
      </w:r>
      <w:r>
        <w:t xml:space="preserve"> </w:t>
      </w:r>
      <w:r>
        <w:tab/>
        <w:t>NGR, r. 89(1</w:t>
      </w:r>
      <w:proofErr w:type="gramStart"/>
      <w:r>
        <w:t>)(</w:t>
      </w:r>
      <w:proofErr w:type="gramEnd"/>
      <w:r>
        <w:t>e).</w:t>
      </w:r>
    </w:p>
  </w:footnote>
  <w:footnote w:id="22">
    <w:p w:rsidR="009F32EC" w:rsidRDefault="009F32EC" w:rsidP="005B5A37">
      <w:pPr>
        <w:pStyle w:val="FootnoteText"/>
      </w:pPr>
      <w:r>
        <w:rPr>
          <w:rStyle w:val="FootnoteReference"/>
        </w:rPr>
        <w:footnoteRef/>
      </w:r>
      <w:r>
        <w:t xml:space="preserve"> </w:t>
      </w:r>
      <w:r>
        <w:tab/>
      </w:r>
      <w:proofErr w:type="gramStart"/>
      <w:r w:rsidRPr="005C3FB6">
        <w:t>NGR, r. 69.</w:t>
      </w:r>
      <w:proofErr w:type="gramEnd"/>
    </w:p>
  </w:footnote>
  <w:footnote w:id="23">
    <w:p w:rsidR="009F32EC" w:rsidRDefault="009F32EC">
      <w:pPr>
        <w:pStyle w:val="FootnoteText"/>
      </w:pPr>
      <w:r>
        <w:rPr>
          <w:rStyle w:val="FootnoteReference"/>
        </w:rPr>
        <w:footnoteRef/>
      </w:r>
      <w:r>
        <w:t xml:space="preserve"> </w:t>
      </w:r>
      <w:r>
        <w:tab/>
        <w:t xml:space="preserve">That is, whether a prudent </w:t>
      </w:r>
      <w:r w:rsidRPr="00E017DC">
        <w:t>service provider acting efficiently</w:t>
      </w:r>
      <w:r>
        <w:t xml:space="preserve">, in accordance with </w:t>
      </w:r>
      <w:r w:rsidRPr="00754FAB">
        <w:t>accepted good industry practice, to achieve the lowest sustainable cost of delivering pipeline services</w:t>
      </w:r>
      <w:r>
        <w:t xml:space="preserve">, would have incurred the </w:t>
      </w:r>
      <w:proofErr w:type="spellStart"/>
      <w:r>
        <w:t>opex</w:t>
      </w:r>
      <w:proofErr w:type="spellEnd"/>
      <w:r w:rsidRPr="00754FAB">
        <w:t>.</w:t>
      </w:r>
    </w:p>
  </w:footnote>
  <w:footnote w:id="24">
    <w:p w:rsidR="009F32EC" w:rsidRDefault="009F32EC" w:rsidP="005B5A37">
      <w:pPr>
        <w:pStyle w:val="FootnoteText"/>
      </w:pPr>
      <w:r>
        <w:rPr>
          <w:rStyle w:val="FootnoteReference"/>
        </w:rPr>
        <w:footnoteRef/>
      </w:r>
      <w:r>
        <w:t xml:space="preserve"> </w:t>
      </w:r>
      <w:r>
        <w:tab/>
      </w:r>
      <w:proofErr w:type="gramStart"/>
      <w:r>
        <w:t>NGR, r. 74.</w:t>
      </w:r>
      <w:proofErr w:type="gramEnd"/>
    </w:p>
  </w:footnote>
  <w:footnote w:id="25">
    <w:p w:rsidR="009F32EC" w:rsidRDefault="009F32EC">
      <w:pPr>
        <w:pStyle w:val="FootnoteText"/>
      </w:pPr>
      <w:r>
        <w:rPr>
          <w:rStyle w:val="FootnoteReference"/>
        </w:rPr>
        <w:footnoteRef/>
      </w:r>
      <w:r>
        <w:t xml:space="preserve"> </w:t>
      </w:r>
      <w:r>
        <w:tab/>
        <w:t xml:space="preserve">This is chosen as it is thought to provide the most accurate estimate of a business’ </w:t>
      </w:r>
      <w:proofErr w:type="spellStart"/>
      <w:r>
        <w:t>opex</w:t>
      </w:r>
      <w:proofErr w:type="spellEnd"/>
      <w:r>
        <w:t xml:space="preserve"> requirements into the future.</w:t>
      </w:r>
    </w:p>
  </w:footnote>
  <w:footnote w:id="26">
    <w:p w:rsidR="009F32EC" w:rsidRDefault="009F32EC">
      <w:pPr>
        <w:pStyle w:val="FootnoteText"/>
      </w:pPr>
      <w:r>
        <w:rPr>
          <w:rStyle w:val="FootnoteReference"/>
        </w:rPr>
        <w:footnoteRef/>
      </w:r>
      <w:r>
        <w:t xml:space="preserve"> </w:t>
      </w:r>
      <w:r>
        <w:tab/>
      </w:r>
      <w:r w:rsidRPr="00126628">
        <w:t>Due to market forces, these costs may not increase at the same rate as inflation</w:t>
      </w:r>
      <w:r>
        <w:t>.</w:t>
      </w:r>
    </w:p>
  </w:footnote>
  <w:footnote w:id="27">
    <w:p w:rsidR="009F32EC" w:rsidRDefault="009F32EC" w:rsidP="000E2318">
      <w:pPr>
        <w:pStyle w:val="FootnoteText"/>
      </w:pPr>
      <w:r>
        <w:rPr>
          <w:rStyle w:val="FootnoteReference"/>
        </w:rPr>
        <w:footnoteRef/>
      </w:r>
      <w:r>
        <w:t xml:space="preserve"> </w:t>
      </w:r>
      <w:r>
        <w:tab/>
      </w:r>
      <w:proofErr w:type="gramStart"/>
      <w:r>
        <w:t>NGR, r. 98.</w:t>
      </w:r>
      <w:proofErr w:type="gramEnd"/>
    </w:p>
  </w:footnote>
  <w:footnote w:id="28">
    <w:p w:rsidR="009F32EC" w:rsidRDefault="009F32EC" w:rsidP="0068683E">
      <w:pPr>
        <w:pStyle w:val="FootnoteText"/>
      </w:pPr>
      <w:r>
        <w:rPr>
          <w:rStyle w:val="FootnoteReference"/>
        </w:rPr>
        <w:footnoteRef/>
      </w:r>
      <w:r>
        <w:t xml:space="preserve"> </w:t>
      </w:r>
      <w:r>
        <w:tab/>
      </w:r>
      <w:proofErr w:type="gramStart"/>
      <w:r>
        <w:t>NGR, r. 76(c).</w:t>
      </w:r>
      <w:proofErr w:type="gramEnd"/>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32EC" w:rsidRDefault="009F32EC"/>
  <w:p w:rsidR="009F32EC" w:rsidRDefault="009F32EC"/>
  <w:p w:rsidR="009F32EC" w:rsidRDefault="009F32EC"/>
  <w:p w:rsidR="009F32EC" w:rsidRDefault="009F32EC"/>
  <w:p w:rsidR="009F32EC" w:rsidRDefault="009F32EC"/>
  <w:p w:rsidR="009F32EC" w:rsidRDefault="009F32EC"/>
  <w:p w:rsidR="009F32EC" w:rsidRDefault="009F32EC"/>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32EC" w:rsidRDefault="009F32EC"/>
  <w:p w:rsidR="009F32EC" w:rsidRDefault="009F32EC"/>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17D24"/>
    <w:multiLevelType w:val="hybridMultilevel"/>
    <w:tmpl w:val="66B0C8D4"/>
    <w:lvl w:ilvl="0" w:tplc="ED1E2CD6">
      <w:start w:val="1"/>
      <w:numFmt w:val="lowerRoman"/>
      <w:pStyle w:val="AERnumberedlistthirdstyle"/>
      <w:lvlText w:val="%1."/>
      <w:lvlJc w:val="left"/>
      <w:pPr>
        <w:tabs>
          <w:tab w:val="num" w:pos="1440"/>
        </w:tabs>
        <w:ind w:left="1440" w:hanging="360"/>
      </w:pPr>
      <w:rPr>
        <w:rFonts w:hint="default"/>
        <w:b w:val="0"/>
        <w:i w:val="0"/>
        <w:sz w:val="22"/>
      </w:rPr>
    </w:lvl>
    <w:lvl w:ilvl="1" w:tplc="0C090003" w:tentative="1">
      <w:start w:val="1"/>
      <w:numFmt w:val="bullet"/>
      <w:lvlText w:val="o"/>
      <w:lvlJc w:val="left"/>
      <w:pPr>
        <w:tabs>
          <w:tab w:val="num" w:pos="1806"/>
        </w:tabs>
        <w:ind w:left="1806" w:hanging="360"/>
      </w:pPr>
      <w:rPr>
        <w:rFonts w:ascii="Courier New" w:hAnsi="Courier New" w:cs="Courier New" w:hint="default"/>
      </w:rPr>
    </w:lvl>
    <w:lvl w:ilvl="2" w:tplc="0C090005" w:tentative="1">
      <w:start w:val="1"/>
      <w:numFmt w:val="bullet"/>
      <w:lvlText w:val=""/>
      <w:lvlJc w:val="left"/>
      <w:pPr>
        <w:tabs>
          <w:tab w:val="num" w:pos="2526"/>
        </w:tabs>
        <w:ind w:left="2526" w:hanging="360"/>
      </w:pPr>
      <w:rPr>
        <w:rFonts w:ascii="Wingdings" w:hAnsi="Wingdings" w:hint="default"/>
      </w:rPr>
    </w:lvl>
    <w:lvl w:ilvl="3" w:tplc="0C090001" w:tentative="1">
      <w:start w:val="1"/>
      <w:numFmt w:val="bullet"/>
      <w:lvlText w:val=""/>
      <w:lvlJc w:val="left"/>
      <w:pPr>
        <w:tabs>
          <w:tab w:val="num" w:pos="3246"/>
        </w:tabs>
        <w:ind w:left="3246" w:hanging="360"/>
      </w:pPr>
      <w:rPr>
        <w:rFonts w:ascii="Symbol" w:hAnsi="Symbol" w:hint="default"/>
      </w:rPr>
    </w:lvl>
    <w:lvl w:ilvl="4" w:tplc="0C090003" w:tentative="1">
      <w:start w:val="1"/>
      <w:numFmt w:val="bullet"/>
      <w:lvlText w:val="o"/>
      <w:lvlJc w:val="left"/>
      <w:pPr>
        <w:tabs>
          <w:tab w:val="num" w:pos="3966"/>
        </w:tabs>
        <w:ind w:left="3966" w:hanging="360"/>
      </w:pPr>
      <w:rPr>
        <w:rFonts w:ascii="Courier New" w:hAnsi="Courier New" w:cs="Courier New" w:hint="default"/>
      </w:rPr>
    </w:lvl>
    <w:lvl w:ilvl="5" w:tplc="0C090005" w:tentative="1">
      <w:start w:val="1"/>
      <w:numFmt w:val="bullet"/>
      <w:lvlText w:val=""/>
      <w:lvlJc w:val="left"/>
      <w:pPr>
        <w:tabs>
          <w:tab w:val="num" w:pos="4686"/>
        </w:tabs>
        <w:ind w:left="4686" w:hanging="360"/>
      </w:pPr>
      <w:rPr>
        <w:rFonts w:ascii="Wingdings" w:hAnsi="Wingdings" w:hint="default"/>
      </w:rPr>
    </w:lvl>
    <w:lvl w:ilvl="6" w:tplc="0C090001" w:tentative="1">
      <w:start w:val="1"/>
      <w:numFmt w:val="bullet"/>
      <w:lvlText w:val=""/>
      <w:lvlJc w:val="left"/>
      <w:pPr>
        <w:tabs>
          <w:tab w:val="num" w:pos="5406"/>
        </w:tabs>
        <w:ind w:left="5406" w:hanging="360"/>
      </w:pPr>
      <w:rPr>
        <w:rFonts w:ascii="Symbol" w:hAnsi="Symbol" w:hint="default"/>
      </w:rPr>
    </w:lvl>
    <w:lvl w:ilvl="7" w:tplc="0C090003" w:tentative="1">
      <w:start w:val="1"/>
      <w:numFmt w:val="bullet"/>
      <w:lvlText w:val="o"/>
      <w:lvlJc w:val="left"/>
      <w:pPr>
        <w:tabs>
          <w:tab w:val="num" w:pos="6126"/>
        </w:tabs>
        <w:ind w:left="6126" w:hanging="360"/>
      </w:pPr>
      <w:rPr>
        <w:rFonts w:ascii="Courier New" w:hAnsi="Courier New" w:cs="Courier New" w:hint="default"/>
      </w:rPr>
    </w:lvl>
    <w:lvl w:ilvl="8" w:tplc="0C090005" w:tentative="1">
      <w:start w:val="1"/>
      <w:numFmt w:val="bullet"/>
      <w:lvlText w:val=""/>
      <w:lvlJc w:val="left"/>
      <w:pPr>
        <w:tabs>
          <w:tab w:val="num" w:pos="6846"/>
        </w:tabs>
        <w:ind w:left="6846" w:hanging="360"/>
      </w:pPr>
      <w:rPr>
        <w:rFonts w:ascii="Wingdings" w:hAnsi="Wingdings" w:hint="default"/>
      </w:rPr>
    </w:lvl>
  </w:abstractNum>
  <w:abstractNum w:abstractNumId="1">
    <w:nsid w:val="1A3A6266"/>
    <w:multiLevelType w:val="multilevel"/>
    <w:tmpl w:val="A93864D8"/>
    <w:lvl w:ilvl="0">
      <w:start w:val="1"/>
      <w:numFmt w:val="bullet"/>
      <w:pStyle w:val="AERbulletlistsecondstyle"/>
      <w:lvlText w:val=""/>
      <w:lvlJc w:val="left"/>
      <w:pPr>
        <w:tabs>
          <w:tab w:val="num" w:pos="6311"/>
        </w:tabs>
        <w:ind w:left="6311" w:hanging="357"/>
      </w:pPr>
      <w:rPr>
        <w:rFonts w:ascii="Wingdings" w:hAnsi="Wingdings" w:hint="default"/>
        <w:sz w:val="24"/>
      </w:rPr>
    </w:lvl>
    <w:lvl w:ilvl="1">
      <w:start w:val="1"/>
      <w:numFmt w:val="bullet"/>
      <w:lvlText w:val=""/>
      <w:lvlJc w:val="left"/>
      <w:pPr>
        <w:tabs>
          <w:tab w:val="num" w:pos="1080"/>
        </w:tabs>
        <w:ind w:left="1080" w:hanging="360"/>
      </w:pPr>
      <w:rPr>
        <w:rFonts w:ascii="Wingdings" w:hAnsi="Wingdings" w:hint="default"/>
      </w:rPr>
    </w:lvl>
    <w:lvl w:ilvl="2">
      <w:start w:val="1"/>
      <w:numFmt w:val="bullet"/>
      <w:lvlText w:val=""/>
      <w:lvlJc w:val="left"/>
      <w:pPr>
        <w:tabs>
          <w:tab w:val="num" w:pos="1800"/>
        </w:tabs>
        <w:ind w:left="1800" w:hanging="360"/>
      </w:pPr>
      <w:rPr>
        <w:rFonts w:ascii="Wingdings" w:hAnsi="Wingdings" w:hint="default"/>
        <w:sz w:val="20"/>
        <w:szCs w:val="20"/>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
    <w:nsid w:val="202D06C6"/>
    <w:multiLevelType w:val="hybridMultilevel"/>
    <w:tmpl w:val="4BA2F8D2"/>
    <w:lvl w:ilvl="0" w:tplc="26BC5DBC">
      <w:start w:val="1"/>
      <w:numFmt w:val="bullet"/>
      <w:pStyle w:val="AERquotebullet1"/>
      <w:lvlText w:val=""/>
      <w:lvlJc w:val="left"/>
      <w:pPr>
        <w:tabs>
          <w:tab w:val="num" w:pos="1077"/>
        </w:tabs>
        <w:ind w:left="1077" w:hanging="357"/>
      </w:pPr>
      <w:rPr>
        <w:rFonts w:ascii="Wingdings" w:hAnsi="Wingdings" w:hint="default"/>
        <w:sz w:val="24"/>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3">
    <w:nsid w:val="301B31FF"/>
    <w:multiLevelType w:val="multilevel"/>
    <w:tmpl w:val="6B1233FC"/>
    <w:lvl w:ilvl="0">
      <w:start w:val="1"/>
      <w:numFmt w:val="lowerLetter"/>
      <w:pStyle w:val="AERnumberedlistsecondstyle"/>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4">
    <w:nsid w:val="443F74CB"/>
    <w:multiLevelType w:val="hybridMultilevel"/>
    <w:tmpl w:val="550AFBE6"/>
    <w:lvl w:ilvl="0" w:tplc="6108DA86">
      <w:start w:val="1"/>
      <w:numFmt w:val="decimal"/>
      <w:pStyle w:val="AERnumberedlistfirststyle"/>
      <w:lvlText w:val="%1."/>
      <w:lvlJc w:val="left"/>
      <w:pPr>
        <w:tabs>
          <w:tab w:val="num" w:pos="357"/>
        </w:tabs>
        <w:ind w:left="357" w:hanging="357"/>
      </w:pPr>
      <w:rPr>
        <w:rFonts w:ascii="Gautami" w:hAnsi="Gautami" w:hint="default"/>
        <w:b w:val="0"/>
        <w:i w:val="0"/>
        <w:sz w:val="22"/>
      </w:rPr>
    </w:lvl>
    <w:lvl w:ilvl="1" w:tplc="C55AC758">
      <w:start w:val="1"/>
      <w:numFmt w:val="bullet"/>
      <w:lvlText w:val=""/>
      <w:lvlJc w:val="left"/>
      <w:pPr>
        <w:tabs>
          <w:tab w:val="num" w:pos="4498"/>
        </w:tabs>
        <w:ind w:left="4498" w:hanging="358"/>
      </w:pPr>
      <w:rPr>
        <w:rFonts w:ascii="Wingdings" w:hAnsi="Wingdings" w:hint="default"/>
        <w:b w:val="0"/>
        <w:i w:val="0"/>
        <w:sz w:val="22"/>
      </w:rPr>
    </w:lvl>
    <w:lvl w:ilvl="2" w:tplc="F4D64DFA" w:tentative="1">
      <w:start w:val="1"/>
      <w:numFmt w:val="lowerRoman"/>
      <w:lvlText w:val="%3."/>
      <w:lvlJc w:val="right"/>
      <w:pPr>
        <w:tabs>
          <w:tab w:val="num" w:pos="5220"/>
        </w:tabs>
        <w:ind w:left="5220" w:hanging="180"/>
      </w:pPr>
    </w:lvl>
    <w:lvl w:ilvl="3" w:tplc="05945A02" w:tentative="1">
      <w:start w:val="1"/>
      <w:numFmt w:val="decimal"/>
      <w:lvlText w:val="%4."/>
      <w:lvlJc w:val="left"/>
      <w:pPr>
        <w:tabs>
          <w:tab w:val="num" w:pos="5940"/>
        </w:tabs>
        <w:ind w:left="5940" w:hanging="360"/>
      </w:pPr>
    </w:lvl>
    <w:lvl w:ilvl="4" w:tplc="56A2FBD2">
      <w:start w:val="1"/>
      <w:numFmt w:val="lowerLetter"/>
      <w:lvlText w:val="%5."/>
      <w:lvlJc w:val="left"/>
      <w:pPr>
        <w:tabs>
          <w:tab w:val="num" w:pos="6660"/>
        </w:tabs>
        <w:ind w:left="6660" w:hanging="360"/>
      </w:pPr>
    </w:lvl>
    <w:lvl w:ilvl="5" w:tplc="45DA44AC">
      <w:start w:val="1"/>
      <w:numFmt w:val="lowerRoman"/>
      <w:lvlText w:val="%6."/>
      <w:lvlJc w:val="right"/>
      <w:pPr>
        <w:tabs>
          <w:tab w:val="num" w:pos="7380"/>
        </w:tabs>
        <w:ind w:left="7380" w:hanging="180"/>
      </w:pPr>
    </w:lvl>
    <w:lvl w:ilvl="6" w:tplc="F1E4741C" w:tentative="1">
      <w:start w:val="1"/>
      <w:numFmt w:val="decimal"/>
      <w:lvlText w:val="%7."/>
      <w:lvlJc w:val="left"/>
      <w:pPr>
        <w:tabs>
          <w:tab w:val="num" w:pos="8100"/>
        </w:tabs>
        <w:ind w:left="8100" w:hanging="360"/>
      </w:pPr>
    </w:lvl>
    <w:lvl w:ilvl="7" w:tplc="E28A4756" w:tentative="1">
      <w:start w:val="1"/>
      <w:numFmt w:val="lowerLetter"/>
      <w:lvlText w:val="%8."/>
      <w:lvlJc w:val="left"/>
      <w:pPr>
        <w:tabs>
          <w:tab w:val="num" w:pos="8820"/>
        </w:tabs>
        <w:ind w:left="8820" w:hanging="360"/>
      </w:pPr>
    </w:lvl>
    <w:lvl w:ilvl="8" w:tplc="4664D1D4" w:tentative="1">
      <w:start w:val="1"/>
      <w:numFmt w:val="lowerRoman"/>
      <w:lvlText w:val="%9."/>
      <w:lvlJc w:val="right"/>
      <w:pPr>
        <w:tabs>
          <w:tab w:val="num" w:pos="9540"/>
        </w:tabs>
        <w:ind w:left="9540" w:hanging="180"/>
      </w:pPr>
    </w:lvl>
  </w:abstractNum>
  <w:abstractNum w:abstractNumId="5">
    <w:nsid w:val="62BF0570"/>
    <w:multiLevelType w:val="hybridMultilevel"/>
    <w:tmpl w:val="2C38EE7E"/>
    <w:lvl w:ilvl="0" w:tplc="88AEE98A">
      <w:start w:val="1"/>
      <w:numFmt w:val="bullet"/>
      <w:pStyle w:val="AERbulletlistthirdstyle"/>
      <w:lvlText w:val=""/>
      <w:lvlJc w:val="left"/>
      <w:pPr>
        <w:tabs>
          <w:tab w:val="num" w:pos="870"/>
        </w:tabs>
        <w:ind w:left="870" w:hanging="360"/>
      </w:pPr>
      <w:rPr>
        <w:rFonts w:ascii="Wingdings" w:hAnsi="Wingdings" w:hint="default"/>
        <w:color w:val="auto"/>
        <w:sz w:val="16"/>
        <w:szCs w:val="16"/>
      </w:rPr>
    </w:lvl>
    <w:lvl w:ilvl="1" w:tplc="E4FC1F02" w:tentative="1">
      <w:start w:val="1"/>
      <w:numFmt w:val="bullet"/>
      <w:lvlText w:val="o"/>
      <w:lvlJc w:val="left"/>
      <w:pPr>
        <w:tabs>
          <w:tab w:val="num" w:pos="1590"/>
        </w:tabs>
        <w:ind w:left="1590" w:hanging="360"/>
      </w:pPr>
      <w:rPr>
        <w:rFonts w:ascii="Courier New" w:hAnsi="Courier New" w:cs="Courier New" w:hint="default"/>
      </w:rPr>
    </w:lvl>
    <w:lvl w:ilvl="2" w:tplc="04ACA512" w:tentative="1">
      <w:start w:val="1"/>
      <w:numFmt w:val="bullet"/>
      <w:lvlText w:val=""/>
      <w:lvlJc w:val="left"/>
      <w:pPr>
        <w:tabs>
          <w:tab w:val="num" w:pos="2310"/>
        </w:tabs>
        <w:ind w:left="2310" w:hanging="360"/>
      </w:pPr>
      <w:rPr>
        <w:rFonts w:ascii="Wingdings" w:hAnsi="Wingdings" w:hint="default"/>
      </w:rPr>
    </w:lvl>
    <w:lvl w:ilvl="3" w:tplc="2856D96A" w:tentative="1">
      <w:start w:val="1"/>
      <w:numFmt w:val="bullet"/>
      <w:lvlText w:val=""/>
      <w:lvlJc w:val="left"/>
      <w:pPr>
        <w:tabs>
          <w:tab w:val="num" w:pos="3030"/>
        </w:tabs>
        <w:ind w:left="3030" w:hanging="360"/>
      </w:pPr>
      <w:rPr>
        <w:rFonts w:ascii="Symbol" w:hAnsi="Symbol" w:hint="default"/>
      </w:rPr>
    </w:lvl>
    <w:lvl w:ilvl="4" w:tplc="7322469C" w:tentative="1">
      <w:start w:val="1"/>
      <w:numFmt w:val="bullet"/>
      <w:lvlText w:val="o"/>
      <w:lvlJc w:val="left"/>
      <w:pPr>
        <w:tabs>
          <w:tab w:val="num" w:pos="3750"/>
        </w:tabs>
        <w:ind w:left="3750" w:hanging="360"/>
      </w:pPr>
      <w:rPr>
        <w:rFonts w:ascii="Courier New" w:hAnsi="Courier New" w:cs="Courier New" w:hint="default"/>
      </w:rPr>
    </w:lvl>
    <w:lvl w:ilvl="5" w:tplc="3662ACB0" w:tentative="1">
      <w:start w:val="1"/>
      <w:numFmt w:val="bullet"/>
      <w:lvlText w:val=""/>
      <w:lvlJc w:val="left"/>
      <w:pPr>
        <w:tabs>
          <w:tab w:val="num" w:pos="4470"/>
        </w:tabs>
        <w:ind w:left="4470" w:hanging="360"/>
      </w:pPr>
      <w:rPr>
        <w:rFonts w:ascii="Wingdings" w:hAnsi="Wingdings" w:hint="default"/>
      </w:rPr>
    </w:lvl>
    <w:lvl w:ilvl="6" w:tplc="71983B8E" w:tentative="1">
      <w:start w:val="1"/>
      <w:numFmt w:val="bullet"/>
      <w:lvlText w:val=""/>
      <w:lvlJc w:val="left"/>
      <w:pPr>
        <w:tabs>
          <w:tab w:val="num" w:pos="5190"/>
        </w:tabs>
        <w:ind w:left="5190" w:hanging="360"/>
      </w:pPr>
      <w:rPr>
        <w:rFonts w:ascii="Symbol" w:hAnsi="Symbol" w:hint="default"/>
      </w:rPr>
    </w:lvl>
    <w:lvl w:ilvl="7" w:tplc="4B2AFB0A" w:tentative="1">
      <w:start w:val="1"/>
      <w:numFmt w:val="bullet"/>
      <w:lvlText w:val="o"/>
      <w:lvlJc w:val="left"/>
      <w:pPr>
        <w:tabs>
          <w:tab w:val="num" w:pos="5910"/>
        </w:tabs>
        <w:ind w:left="5910" w:hanging="360"/>
      </w:pPr>
      <w:rPr>
        <w:rFonts w:ascii="Courier New" w:hAnsi="Courier New" w:cs="Courier New" w:hint="default"/>
      </w:rPr>
    </w:lvl>
    <w:lvl w:ilvl="8" w:tplc="7AD2297E" w:tentative="1">
      <w:start w:val="1"/>
      <w:numFmt w:val="bullet"/>
      <w:lvlText w:val=""/>
      <w:lvlJc w:val="left"/>
      <w:pPr>
        <w:tabs>
          <w:tab w:val="num" w:pos="6630"/>
        </w:tabs>
        <w:ind w:left="6630" w:hanging="360"/>
      </w:pPr>
      <w:rPr>
        <w:rFonts w:ascii="Wingdings" w:hAnsi="Wingdings" w:hint="default"/>
      </w:rPr>
    </w:lvl>
  </w:abstractNum>
  <w:abstractNum w:abstractNumId="6">
    <w:nsid w:val="76A149FE"/>
    <w:multiLevelType w:val="multilevel"/>
    <w:tmpl w:val="62AA700A"/>
    <w:lvl w:ilvl="0">
      <w:start w:val="1"/>
      <w:numFmt w:val="decimal"/>
      <w:pStyle w:val="AERheading1"/>
      <w:lvlText w:val="%1"/>
      <w:lvlJc w:val="left"/>
      <w:pPr>
        <w:tabs>
          <w:tab w:val="num" w:pos="-357"/>
        </w:tabs>
        <w:ind w:left="357" w:hanging="1071"/>
      </w:pPr>
      <w:rPr>
        <w:rFonts w:hint="default"/>
      </w:rPr>
    </w:lvl>
    <w:lvl w:ilvl="1">
      <w:start w:val="1"/>
      <w:numFmt w:val="decimal"/>
      <w:pStyle w:val="AERheading2"/>
      <w:lvlText w:val="%1.%2"/>
      <w:lvlJc w:val="left"/>
      <w:pPr>
        <w:tabs>
          <w:tab w:val="num" w:pos="4317"/>
        </w:tabs>
        <w:ind w:left="4317" w:hanging="357"/>
      </w:pPr>
      <w:rPr>
        <w:i w:val="0"/>
        <w:iCs w:val="0"/>
        <w:caps w:val="0"/>
        <w:smallCaps w:val="0"/>
        <w:strike w:val="0"/>
        <w:dstrike w:val="0"/>
        <w:outline w:val="0"/>
        <w:shadow w:val="0"/>
        <w:emboss w:val="0"/>
        <w:imprint w:val="0"/>
        <w:noProof w:val="0"/>
        <w:vanish w:val="0"/>
        <w:spacing w:val="0"/>
        <w:position w:val="0"/>
        <w:u w:val="none"/>
        <w:vertAlign w:val="baseline"/>
        <w:em w:val="none"/>
      </w:rPr>
    </w:lvl>
    <w:lvl w:ilvl="2">
      <w:start w:val="1"/>
      <w:numFmt w:val="decimal"/>
      <w:pStyle w:val="AERheading3"/>
      <w:lvlText w:val="%1.%2.%3"/>
      <w:lvlJc w:val="left"/>
      <w:pPr>
        <w:tabs>
          <w:tab w:val="num" w:pos="-357"/>
        </w:tabs>
        <w:ind w:left="-357" w:hanging="357"/>
      </w:pPr>
      <w:rPr>
        <w:rFonts w:hint="default"/>
      </w:rPr>
    </w:lvl>
    <w:lvl w:ilvl="3">
      <w:start w:val="1"/>
      <w:numFmt w:val="decimal"/>
      <w:lvlRestart w:val="0"/>
      <w:pStyle w:val="AERfigureheading"/>
      <w:lvlText w:val="Figure %1.%4"/>
      <w:lvlJc w:val="left"/>
      <w:pPr>
        <w:tabs>
          <w:tab w:val="num" w:pos="4185"/>
        </w:tabs>
        <w:ind w:left="4185" w:hanging="357"/>
      </w:pPr>
      <w:rPr>
        <w:rFonts w:hint="default"/>
      </w:rPr>
    </w:lvl>
    <w:lvl w:ilvl="4">
      <w:start w:val="1"/>
      <w:numFmt w:val="decimal"/>
      <w:lvlRestart w:val="1"/>
      <w:pStyle w:val="AERtabletitle"/>
      <w:lvlText w:val="Table %1.%5"/>
      <w:lvlJc w:val="left"/>
      <w:pPr>
        <w:tabs>
          <w:tab w:val="num" w:pos="2342"/>
        </w:tabs>
        <w:ind w:left="2342" w:hanging="357"/>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
    <w:nsid w:val="7AEF67FF"/>
    <w:multiLevelType w:val="multilevel"/>
    <w:tmpl w:val="E1F4D8C6"/>
    <w:lvl w:ilvl="0">
      <w:start w:val="1"/>
      <w:numFmt w:val="bullet"/>
      <w:pStyle w:val="AERbulletlistfirststyle"/>
      <w:lvlText w:val=""/>
      <w:lvlJc w:val="left"/>
      <w:pPr>
        <w:tabs>
          <w:tab w:val="num" w:pos="1071"/>
        </w:tabs>
        <w:ind w:left="1071" w:hanging="357"/>
      </w:pPr>
      <w:rPr>
        <w:rFonts w:ascii="Wingdings" w:hAnsi="Wingdings" w:hint="default"/>
        <w:sz w:val="28"/>
      </w:rPr>
    </w:lvl>
    <w:lvl w:ilvl="1">
      <w:start w:val="1"/>
      <w:numFmt w:val="bullet"/>
      <w:lvlText w:val=""/>
      <w:lvlJc w:val="left"/>
      <w:pPr>
        <w:tabs>
          <w:tab w:val="num" w:pos="2154"/>
        </w:tabs>
        <w:ind w:left="2154" w:hanging="360"/>
      </w:pPr>
      <w:rPr>
        <w:rFonts w:ascii="Wingdings" w:hAnsi="Wingdings" w:hint="default"/>
      </w:rPr>
    </w:lvl>
    <w:lvl w:ilvl="2">
      <w:start w:val="1"/>
      <w:numFmt w:val="bullet"/>
      <w:lvlText w:val="—"/>
      <w:lvlJc w:val="left"/>
      <w:pPr>
        <w:tabs>
          <w:tab w:val="num" w:pos="2874"/>
        </w:tabs>
        <w:ind w:left="2874" w:hanging="360"/>
      </w:pPr>
      <w:rPr>
        <w:rFonts w:ascii="Times New Roman" w:hAnsi="Times New Roman" w:cs="Times New Roman" w:hint="default"/>
      </w:rPr>
    </w:lvl>
    <w:lvl w:ilvl="3">
      <w:start w:val="1"/>
      <w:numFmt w:val="bullet"/>
      <w:lvlText w:val=""/>
      <w:lvlJc w:val="left"/>
      <w:pPr>
        <w:tabs>
          <w:tab w:val="num" w:pos="3594"/>
        </w:tabs>
        <w:ind w:left="3594" w:hanging="360"/>
      </w:pPr>
      <w:rPr>
        <w:rFonts w:ascii="Symbol" w:hAnsi="Symbol" w:hint="default"/>
      </w:rPr>
    </w:lvl>
    <w:lvl w:ilvl="4">
      <w:start w:val="1"/>
      <w:numFmt w:val="bullet"/>
      <w:lvlText w:val="o"/>
      <w:lvlJc w:val="left"/>
      <w:pPr>
        <w:tabs>
          <w:tab w:val="num" w:pos="4314"/>
        </w:tabs>
        <w:ind w:left="4314" w:hanging="360"/>
      </w:pPr>
      <w:rPr>
        <w:rFonts w:ascii="Courier New" w:hAnsi="Courier New" w:cs="Courier New" w:hint="default"/>
      </w:rPr>
    </w:lvl>
    <w:lvl w:ilvl="5">
      <w:start w:val="1"/>
      <w:numFmt w:val="bullet"/>
      <w:lvlText w:val=""/>
      <w:lvlJc w:val="left"/>
      <w:pPr>
        <w:tabs>
          <w:tab w:val="num" w:pos="5034"/>
        </w:tabs>
        <w:ind w:left="5034" w:hanging="360"/>
      </w:pPr>
      <w:rPr>
        <w:rFonts w:ascii="Wingdings" w:hAnsi="Wingdings" w:hint="default"/>
      </w:rPr>
    </w:lvl>
    <w:lvl w:ilvl="6">
      <w:start w:val="1"/>
      <w:numFmt w:val="bullet"/>
      <w:lvlText w:val=""/>
      <w:lvlJc w:val="left"/>
      <w:pPr>
        <w:tabs>
          <w:tab w:val="num" w:pos="5754"/>
        </w:tabs>
        <w:ind w:left="5754" w:hanging="360"/>
      </w:pPr>
      <w:rPr>
        <w:rFonts w:ascii="Symbol" w:hAnsi="Symbol" w:hint="default"/>
      </w:rPr>
    </w:lvl>
    <w:lvl w:ilvl="7">
      <w:start w:val="1"/>
      <w:numFmt w:val="bullet"/>
      <w:lvlText w:val="o"/>
      <w:lvlJc w:val="left"/>
      <w:pPr>
        <w:tabs>
          <w:tab w:val="num" w:pos="6474"/>
        </w:tabs>
        <w:ind w:left="6474" w:hanging="360"/>
      </w:pPr>
      <w:rPr>
        <w:rFonts w:ascii="Courier New" w:hAnsi="Courier New" w:cs="Courier New" w:hint="default"/>
      </w:rPr>
    </w:lvl>
    <w:lvl w:ilvl="8">
      <w:start w:val="1"/>
      <w:numFmt w:val="bullet"/>
      <w:lvlText w:val=""/>
      <w:lvlJc w:val="left"/>
      <w:pPr>
        <w:tabs>
          <w:tab w:val="num" w:pos="7194"/>
        </w:tabs>
        <w:ind w:left="7194" w:hanging="360"/>
      </w:pPr>
      <w:rPr>
        <w:rFonts w:ascii="Wingdings" w:hAnsi="Wingdings" w:hint="default"/>
      </w:rPr>
    </w:lvl>
  </w:abstractNum>
  <w:num w:numId="1">
    <w:abstractNumId w:val="7"/>
  </w:num>
  <w:num w:numId="2">
    <w:abstractNumId w:val="1"/>
  </w:num>
  <w:num w:numId="3">
    <w:abstractNumId w:val="5"/>
  </w:num>
  <w:num w:numId="4">
    <w:abstractNumId w:val="0"/>
  </w:num>
  <w:num w:numId="5">
    <w:abstractNumId w:val="4"/>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2"/>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6"/>
  </w:num>
  <w:num w:numId="12">
    <w:abstractNumId w:val="6"/>
  </w:num>
  <w:num w:numId="13">
    <w:abstractNumId w:val="6"/>
  </w:num>
  <w:num w:numId="14">
    <w:abstractNumId w:val="6"/>
  </w:num>
  <w:num w:numId="15">
    <w:abstractNumId w:val="6"/>
  </w:num>
  <w:num w:numId="16">
    <w:abstractNumId w:val="6"/>
  </w:num>
  <w:num w:numId="17">
    <w:abstractNumId w:val="6"/>
  </w:num>
  <w:num w:numId="18">
    <w:abstractNumId w:val="6"/>
  </w:num>
  <w:num w:numId="19">
    <w:abstractNumId w:val="6"/>
  </w:num>
  <w:num w:numId="20">
    <w:abstractNumId w:val="6"/>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removePersonalInformation/>
  <w:removeDateAndTime/>
  <w:proofState w:spelling="clean" w:grammar="clean"/>
  <w:stylePaneFormatFilter w:val="3001"/>
  <w:doNotTrackMoves/>
  <w:documentProtection w:formatting="1" w:enforcement="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currentname" w:val="\\cbrvpwxfs01\home$\kfinn\Docs to upload\Vic Gas Consultation Paper for Consumer Groups.docx"/>
  </w:docVars>
  <w:rsids>
    <w:rsidRoot w:val="00A02329"/>
    <w:rsid w:val="000018CD"/>
    <w:rsid w:val="00002A8B"/>
    <w:rsid w:val="00004EAD"/>
    <w:rsid w:val="0000644D"/>
    <w:rsid w:val="00013F4C"/>
    <w:rsid w:val="00017414"/>
    <w:rsid w:val="00021D70"/>
    <w:rsid w:val="0002586E"/>
    <w:rsid w:val="00026CAA"/>
    <w:rsid w:val="00033CA2"/>
    <w:rsid w:val="0003617E"/>
    <w:rsid w:val="00037FD1"/>
    <w:rsid w:val="00042784"/>
    <w:rsid w:val="000428FA"/>
    <w:rsid w:val="00042F0A"/>
    <w:rsid w:val="00061516"/>
    <w:rsid w:val="00073861"/>
    <w:rsid w:val="00080470"/>
    <w:rsid w:val="000859BA"/>
    <w:rsid w:val="00093A0A"/>
    <w:rsid w:val="00096C71"/>
    <w:rsid w:val="000A105F"/>
    <w:rsid w:val="000A1675"/>
    <w:rsid w:val="000B0058"/>
    <w:rsid w:val="000B3312"/>
    <w:rsid w:val="000C13D8"/>
    <w:rsid w:val="000C4CE1"/>
    <w:rsid w:val="000C79A1"/>
    <w:rsid w:val="000D09C4"/>
    <w:rsid w:val="000D1B7B"/>
    <w:rsid w:val="000D279E"/>
    <w:rsid w:val="000D3A21"/>
    <w:rsid w:val="000E0BF3"/>
    <w:rsid w:val="000E2318"/>
    <w:rsid w:val="000E497E"/>
    <w:rsid w:val="000F064C"/>
    <w:rsid w:val="000F0DE0"/>
    <w:rsid w:val="000F1E4C"/>
    <w:rsid w:val="000F6D5C"/>
    <w:rsid w:val="000F7725"/>
    <w:rsid w:val="00101AF2"/>
    <w:rsid w:val="0010431B"/>
    <w:rsid w:val="001128FC"/>
    <w:rsid w:val="0012073E"/>
    <w:rsid w:val="00125518"/>
    <w:rsid w:val="00126628"/>
    <w:rsid w:val="001475E6"/>
    <w:rsid w:val="00150454"/>
    <w:rsid w:val="00150799"/>
    <w:rsid w:val="00152708"/>
    <w:rsid w:val="001528C3"/>
    <w:rsid w:val="00156896"/>
    <w:rsid w:val="00161990"/>
    <w:rsid w:val="00161B05"/>
    <w:rsid w:val="00162A74"/>
    <w:rsid w:val="00167599"/>
    <w:rsid w:val="00180576"/>
    <w:rsid w:val="00192DCF"/>
    <w:rsid w:val="001936A2"/>
    <w:rsid w:val="00194EF3"/>
    <w:rsid w:val="001A6D72"/>
    <w:rsid w:val="001A7245"/>
    <w:rsid w:val="001B05F8"/>
    <w:rsid w:val="001B3B3A"/>
    <w:rsid w:val="001B6680"/>
    <w:rsid w:val="001B6745"/>
    <w:rsid w:val="001D41E0"/>
    <w:rsid w:val="001F062D"/>
    <w:rsid w:val="001F07C2"/>
    <w:rsid w:val="001F6BDF"/>
    <w:rsid w:val="0020279F"/>
    <w:rsid w:val="002034BD"/>
    <w:rsid w:val="0020594C"/>
    <w:rsid w:val="002061C4"/>
    <w:rsid w:val="00206C51"/>
    <w:rsid w:val="00217C6F"/>
    <w:rsid w:val="00217DF8"/>
    <w:rsid w:val="00220823"/>
    <w:rsid w:val="00223CA1"/>
    <w:rsid w:val="00224675"/>
    <w:rsid w:val="002258F9"/>
    <w:rsid w:val="00234F9F"/>
    <w:rsid w:val="002625BF"/>
    <w:rsid w:val="00263637"/>
    <w:rsid w:val="002871E9"/>
    <w:rsid w:val="00297F52"/>
    <w:rsid w:val="002A07A8"/>
    <w:rsid w:val="002B0E1D"/>
    <w:rsid w:val="002C08CE"/>
    <w:rsid w:val="002C306F"/>
    <w:rsid w:val="002C624D"/>
    <w:rsid w:val="002D139F"/>
    <w:rsid w:val="002D51DB"/>
    <w:rsid w:val="002D648A"/>
    <w:rsid w:val="002D74E1"/>
    <w:rsid w:val="002D7E48"/>
    <w:rsid w:val="002E0068"/>
    <w:rsid w:val="002F0F7F"/>
    <w:rsid w:val="002F60AB"/>
    <w:rsid w:val="00304A34"/>
    <w:rsid w:val="003115E3"/>
    <w:rsid w:val="0031645F"/>
    <w:rsid w:val="00321CED"/>
    <w:rsid w:val="00323B70"/>
    <w:rsid w:val="00326112"/>
    <w:rsid w:val="0033390C"/>
    <w:rsid w:val="00333E62"/>
    <w:rsid w:val="003347B6"/>
    <w:rsid w:val="003367B1"/>
    <w:rsid w:val="00342D77"/>
    <w:rsid w:val="00345AE1"/>
    <w:rsid w:val="0034657B"/>
    <w:rsid w:val="00347C53"/>
    <w:rsid w:val="00350E90"/>
    <w:rsid w:val="0035265F"/>
    <w:rsid w:val="00360C02"/>
    <w:rsid w:val="003614BB"/>
    <w:rsid w:val="00372950"/>
    <w:rsid w:val="00382B5C"/>
    <w:rsid w:val="0039170C"/>
    <w:rsid w:val="0039505C"/>
    <w:rsid w:val="003A783D"/>
    <w:rsid w:val="003B220F"/>
    <w:rsid w:val="003C32DD"/>
    <w:rsid w:val="003C46AE"/>
    <w:rsid w:val="003D0B3A"/>
    <w:rsid w:val="003D1DF1"/>
    <w:rsid w:val="003D4C99"/>
    <w:rsid w:val="003D5C24"/>
    <w:rsid w:val="003E642B"/>
    <w:rsid w:val="003F026A"/>
    <w:rsid w:val="003F0A5C"/>
    <w:rsid w:val="003F41D1"/>
    <w:rsid w:val="003F4A20"/>
    <w:rsid w:val="00402309"/>
    <w:rsid w:val="0040457B"/>
    <w:rsid w:val="00407F32"/>
    <w:rsid w:val="0041329E"/>
    <w:rsid w:val="00417032"/>
    <w:rsid w:val="00417411"/>
    <w:rsid w:val="0042568C"/>
    <w:rsid w:val="004278B9"/>
    <w:rsid w:val="00430216"/>
    <w:rsid w:val="00432153"/>
    <w:rsid w:val="0044702C"/>
    <w:rsid w:val="00455DC4"/>
    <w:rsid w:val="004573B9"/>
    <w:rsid w:val="004615AB"/>
    <w:rsid w:val="004618DC"/>
    <w:rsid w:val="0046322E"/>
    <w:rsid w:val="004639B5"/>
    <w:rsid w:val="004761FE"/>
    <w:rsid w:val="0047643E"/>
    <w:rsid w:val="00476FFC"/>
    <w:rsid w:val="0048030E"/>
    <w:rsid w:val="00482500"/>
    <w:rsid w:val="00483E36"/>
    <w:rsid w:val="004906A0"/>
    <w:rsid w:val="004A3E3D"/>
    <w:rsid w:val="004B00B1"/>
    <w:rsid w:val="004B0A69"/>
    <w:rsid w:val="004B149F"/>
    <w:rsid w:val="004B392C"/>
    <w:rsid w:val="004B395E"/>
    <w:rsid w:val="004B4D81"/>
    <w:rsid w:val="004C0EB1"/>
    <w:rsid w:val="004C63CD"/>
    <w:rsid w:val="004E51E2"/>
    <w:rsid w:val="00501266"/>
    <w:rsid w:val="00504FD7"/>
    <w:rsid w:val="00512F4F"/>
    <w:rsid w:val="00514C86"/>
    <w:rsid w:val="00527D71"/>
    <w:rsid w:val="0054346D"/>
    <w:rsid w:val="0054349D"/>
    <w:rsid w:val="00546B1C"/>
    <w:rsid w:val="0054783D"/>
    <w:rsid w:val="005502FE"/>
    <w:rsid w:val="00551BB7"/>
    <w:rsid w:val="00551C3E"/>
    <w:rsid w:val="00553005"/>
    <w:rsid w:val="005564F0"/>
    <w:rsid w:val="00565AF8"/>
    <w:rsid w:val="00567959"/>
    <w:rsid w:val="005761E2"/>
    <w:rsid w:val="00576216"/>
    <w:rsid w:val="00587D45"/>
    <w:rsid w:val="005940C0"/>
    <w:rsid w:val="005A4E8E"/>
    <w:rsid w:val="005A62D7"/>
    <w:rsid w:val="005B0A65"/>
    <w:rsid w:val="005B2873"/>
    <w:rsid w:val="005B2FA0"/>
    <w:rsid w:val="005B5A37"/>
    <w:rsid w:val="005D25B4"/>
    <w:rsid w:val="005D6EDE"/>
    <w:rsid w:val="005D7322"/>
    <w:rsid w:val="005E590F"/>
    <w:rsid w:val="005E673C"/>
    <w:rsid w:val="005F4976"/>
    <w:rsid w:val="00602692"/>
    <w:rsid w:val="00602FEF"/>
    <w:rsid w:val="00607771"/>
    <w:rsid w:val="00617040"/>
    <w:rsid w:val="00620671"/>
    <w:rsid w:val="00630390"/>
    <w:rsid w:val="006402EE"/>
    <w:rsid w:val="00641CFE"/>
    <w:rsid w:val="00653E0A"/>
    <w:rsid w:val="006568D3"/>
    <w:rsid w:val="0066174C"/>
    <w:rsid w:val="00662EFC"/>
    <w:rsid w:val="00664FCB"/>
    <w:rsid w:val="006666CA"/>
    <w:rsid w:val="0067104B"/>
    <w:rsid w:val="00672957"/>
    <w:rsid w:val="00675D83"/>
    <w:rsid w:val="006775C0"/>
    <w:rsid w:val="0068683E"/>
    <w:rsid w:val="00690CD1"/>
    <w:rsid w:val="006A05B5"/>
    <w:rsid w:val="006A108A"/>
    <w:rsid w:val="006A4DCC"/>
    <w:rsid w:val="006A6C5A"/>
    <w:rsid w:val="006B0FC2"/>
    <w:rsid w:val="006B1F6A"/>
    <w:rsid w:val="006B3E6C"/>
    <w:rsid w:val="006B4544"/>
    <w:rsid w:val="006B58B5"/>
    <w:rsid w:val="006B6C9D"/>
    <w:rsid w:val="006C49A8"/>
    <w:rsid w:val="006C49CA"/>
    <w:rsid w:val="006E046E"/>
    <w:rsid w:val="006E1885"/>
    <w:rsid w:val="006E4158"/>
    <w:rsid w:val="006E7F89"/>
    <w:rsid w:val="006F01A5"/>
    <w:rsid w:val="006F0473"/>
    <w:rsid w:val="006F5B0F"/>
    <w:rsid w:val="006F5F1E"/>
    <w:rsid w:val="00702D30"/>
    <w:rsid w:val="00716228"/>
    <w:rsid w:val="00717FCF"/>
    <w:rsid w:val="0072008F"/>
    <w:rsid w:val="007250FE"/>
    <w:rsid w:val="0074430C"/>
    <w:rsid w:val="00746DD9"/>
    <w:rsid w:val="0077327D"/>
    <w:rsid w:val="0077476D"/>
    <w:rsid w:val="007757D2"/>
    <w:rsid w:val="00777660"/>
    <w:rsid w:val="0078066E"/>
    <w:rsid w:val="00782451"/>
    <w:rsid w:val="007868C0"/>
    <w:rsid w:val="00790E7C"/>
    <w:rsid w:val="007913AF"/>
    <w:rsid w:val="00795CC3"/>
    <w:rsid w:val="007A3F32"/>
    <w:rsid w:val="007A4ABE"/>
    <w:rsid w:val="007B3C3D"/>
    <w:rsid w:val="007C3F75"/>
    <w:rsid w:val="007D22FB"/>
    <w:rsid w:val="007D4C5E"/>
    <w:rsid w:val="007D51DE"/>
    <w:rsid w:val="007E2907"/>
    <w:rsid w:val="007F2BF4"/>
    <w:rsid w:val="0080298A"/>
    <w:rsid w:val="00805219"/>
    <w:rsid w:val="00806819"/>
    <w:rsid w:val="00810A07"/>
    <w:rsid w:val="00816BB4"/>
    <w:rsid w:val="00822408"/>
    <w:rsid w:val="0084269D"/>
    <w:rsid w:val="008520F1"/>
    <w:rsid w:val="008627D0"/>
    <w:rsid w:val="00862BCB"/>
    <w:rsid w:val="00864874"/>
    <w:rsid w:val="00864C12"/>
    <w:rsid w:val="00867ACC"/>
    <w:rsid w:val="00881528"/>
    <w:rsid w:val="00884F30"/>
    <w:rsid w:val="008962E3"/>
    <w:rsid w:val="00896978"/>
    <w:rsid w:val="008974A1"/>
    <w:rsid w:val="008A05B1"/>
    <w:rsid w:val="008A36BF"/>
    <w:rsid w:val="008A590B"/>
    <w:rsid w:val="008A61A2"/>
    <w:rsid w:val="008A6B8A"/>
    <w:rsid w:val="008A7D84"/>
    <w:rsid w:val="008B02CF"/>
    <w:rsid w:val="008B2E2C"/>
    <w:rsid w:val="008C166B"/>
    <w:rsid w:val="008C7FAD"/>
    <w:rsid w:val="008D1778"/>
    <w:rsid w:val="008D77C5"/>
    <w:rsid w:val="008E0145"/>
    <w:rsid w:val="008E2E67"/>
    <w:rsid w:val="008E4A93"/>
    <w:rsid w:val="008E592B"/>
    <w:rsid w:val="008E7E44"/>
    <w:rsid w:val="008F1A0D"/>
    <w:rsid w:val="008F51EB"/>
    <w:rsid w:val="009007E7"/>
    <w:rsid w:val="00901FCB"/>
    <w:rsid w:val="00911436"/>
    <w:rsid w:val="00915BB8"/>
    <w:rsid w:val="009223E7"/>
    <w:rsid w:val="0094243D"/>
    <w:rsid w:val="00942539"/>
    <w:rsid w:val="00943FA9"/>
    <w:rsid w:val="009523D9"/>
    <w:rsid w:val="00952D68"/>
    <w:rsid w:val="0095409A"/>
    <w:rsid w:val="00956996"/>
    <w:rsid w:val="00957B89"/>
    <w:rsid w:val="00964B58"/>
    <w:rsid w:val="009659D9"/>
    <w:rsid w:val="00966DFE"/>
    <w:rsid w:val="00967CD8"/>
    <w:rsid w:val="00976D54"/>
    <w:rsid w:val="0098188E"/>
    <w:rsid w:val="00992D0F"/>
    <w:rsid w:val="009933C2"/>
    <w:rsid w:val="00994EAB"/>
    <w:rsid w:val="00996B19"/>
    <w:rsid w:val="0099785A"/>
    <w:rsid w:val="009A6065"/>
    <w:rsid w:val="009C40B9"/>
    <w:rsid w:val="009C722F"/>
    <w:rsid w:val="009D0DD2"/>
    <w:rsid w:val="009D232C"/>
    <w:rsid w:val="009D7602"/>
    <w:rsid w:val="009E0F39"/>
    <w:rsid w:val="009E252E"/>
    <w:rsid w:val="009E56B3"/>
    <w:rsid w:val="009E5A94"/>
    <w:rsid w:val="009F1C59"/>
    <w:rsid w:val="009F32EC"/>
    <w:rsid w:val="009F3F46"/>
    <w:rsid w:val="009F4AD9"/>
    <w:rsid w:val="00A02329"/>
    <w:rsid w:val="00A02AA6"/>
    <w:rsid w:val="00A054A2"/>
    <w:rsid w:val="00A071DF"/>
    <w:rsid w:val="00A07F27"/>
    <w:rsid w:val="00A15C63"/>
    <w:rsid w:val="00A16574"/>
    <w:rsid w:val="00A16E8B"/>
    <w:rsid w:val="00A2222D"/>
    <w:rsid w:val="00A31DD0"/>
    <w:rsid w:val="00A32B8C"/>
    <w:rsid w:val="00A43C71"/>
    <w:rsid w:val="00A451BB"/>
    <w:rsid w:val="00A504AE"/>
    <w:rsid w:val="00A52594"/>
    <w:rsid w:val="00A649F2"/>
    <w:rsid w:val="00A64E37"/>
    <w:rsid w:val="00A70BD5"/>
    <w:rsid w:val="00A74F49"/>
    <w:rsid w:val="00A8094A"/>
    <w:rsid w:val="00A80EAC"/>
    <w:rsid w:val="00A830CC"/>
    <w:rsid w:val="00A8327B"/>
    <w:rsid w:val="00A92FD0"/>
    <w:rsid w:val="00A93D1D"/>
    <w:rsid w:val="00A9475B"/>
    <w:rsid w:val="00A94C75"/>
    <w:rsid w:val="00AA6B41"/>
    <w:rsid w:val="00AB2A50"/>
    <w:rsid w:val="00AC375F"/>
    <w:rsid w:val="00AC624F"/>
    <w:rsid w:val="00AC7D5D"/>
    <w:rsid w:val="00AD0BD5"/>
    <w:rsid w:val="00AD424B"/>
    <w:rsid w:val="00AD4F8C"/>
    <w:rsid w:val="00AD7237"/>
    <w:rsid w:val="00AE0B0B"/>
    <w:rsid w:val="00AE72D6"/>
    <w:rsid w:val="00AF282B"/>
    <w:rsid w:val="00AF3CA1"/>
    <w:rsid w:val="00B042F8"/>
    <w:rsid w:val="00B0470F"/>
    <w:rsid w:val="00B04854"/>
    <w:rsid w:val="00B0710A"/>
    <w:rsid w:val="00B2138E"/>
    <w:rsid w:val="00B275EE"/>
    <w:rsid w:val="00B347ED"/>
    <w:rsid w:val="00B37B92"/>
    <w:rsid w:val="00B41D10"/>
    <w:rsid w:val="00B42FE5"/>
    <w:rsid w:val="00B46237"/>
    <w:rsid w:val="00B56F04"/>
    <w:rsid w:val="00B60946"/>
    <w:rsid w:val="00B6415A"/>
    <w:rsid w:val="00B67312"/>
    <w:rsid w:val="00B70DDB"/>
    <w:rsid w:val="00B71069"/>
    <w:rsid w:val="00B760AE"/>
    <w:rsid w:val="00B80C2A"/>
    <w:rsid w:val="00B86429"/>
    <w:rsid w:val="00B86DEB"/>
    <w:rsid w:val="00B930A3"/>
    <w:rsid w:val="00B97F87"/>
    <w:rsid w:val="00BA01D7"/>
    <w:rsid w:val="00BA02E8"/>
    <w:rsid w:val="00BA201C"/>
    <w:rsid w:val="00BA3B85"/>
    <w:rsid w:val="00BA6E30"/>
    <w:rsid w:val="00BB2BD5"/>
    <w:rsid w:val="00BB47DE"/>
    <w:rsid w:val="00BB5E95"/>
    <w:rsid w:val="00BB640B"/>
    <w:rsid w:val="00BC113A"/>
    <w:rsid w:val="00BC2513"/>
    <w:rsid w:val="00BC38DB"/>
    <w:rsid w:val="00BC4677"/>
    <w:rsid w:val="00BC58A6"/>
    <w:rsid w:val="00BC7446"/>
    <w:rsid w:val="00BC7F25"/>
    <w:rsid w:val="00BD0274"/>
    <w:rsid w:val="00BD3236"/>
    <w:rsid w:val="00BD5DFF"/>
    <w:rsid w:val="00BE1412"/>
    <w:rsid w:val="00BF4DC3"/>
    <w:rsid w:val="00BF5A09"/>
    <w:rsid w:val="00BF5A28"/>
    <w:rsid w:val="00BF6467"/>
    <w:rsid w:val="00BF72ED"/>
    <w:rsid w:val="00BF7D41"/>
    <w:rsid w:val="00C075EE"/>
    <w:rsid w:val="00C10AAE"/>
    <w:rsid w:val="00C1160F"/>
    <w:rsid w:val="00C153FA"/>
    <w:rsid w:val="00C17F71"/>
    <w:rsid w:val="00C26780"/>
    <w:rsid w:val="00C33FD5"/>
    <w:rsid w:val="00C34F7B"/>
    <w:rsid w:val="00C37A6C"/>
    <w:rsid w:val="00C50410"/>
    <w:rsid w:val="00C51B79"/>
    <w:rsid w:val="00C5261C"/>
    <w:rsid w:val="00C64329"/>
    <w:rsid w:val="00C72113"/>
    <w:rsid w:val="00C7486F"/>
    <w:rsid w:val="00C82D56"/>
    <w:rsid w:val="00C82F77"/>
    <w:rsid w:val="00C87BF4"/>
    <w:rsid w:val="00C90873"/>
    <w:rsid w:val="00C937D2"/>
    <w:rsid w:val="00C93AFF"/>
    <w:rsid w:val="00C97BCF"/>
    <w:rsid w:val="00CA78AC"/>
    <w:rsid w:val="00CB07C9"/>
    <w:rsid w:val="00CB608E"/>
    <w:rsid w:val="00CB7ED4"/>
    <w:rsid w:val="00CC4127"/>
    <w:rsid w:val="00CC4A7D"/>
    <w:rsid w:val="00CC5C25"/>
    <w:rsid w:val="00CC6E7A"/>
    <w:rsid w:val="00CD12C9"/>
    <w:rsid w:val="00CD19C2"/>
    <w:rsid w:val="00CD600E"/>
    <w:rsid w:val="00CE1F56"/>
    <w:rsid w:val="00CE7A0C"/>
    <w:rsid w:val="00CF0EAE"/>
    <w:rsid w:val="00CF1EDC"/>
    <w:rsid w:val="00CF225C"/>
    <w:rsid w:val="00CF25A4"/>
    <w:rsid w:val="00CF368B"/>
    <w:rsid w:val="00CF4992"/>
    <w:rsid w:val="00D00642"/>
    <w:rsid w:val="00D03336"/>
    <w:rsid w:val="00D048C1"/>
    <w:rsid w:val="00D1069A"/>
    <w:rsid w:val="00D11327"/>
    <w:rsid w:val="00D122ED"/>
    <w:rsid w:val="00D12A3D"/>
    <w:rsid w:val="00D232AA"/>
    <w:rsid w:val="00D26770"/>
    <w:rsid w:val="00D329F4"/>
    <w:rsid w:val="00D36E30"/>
    <w:rsid w:val="00D45B20"/>
    <w:rsid w:val="00D51730"/>
    <w:rsid w:val="00D53F89"/>
    <w:rsid w:val="00D54DF8"/>
    <w:rsid w:val="00D56E8E"/>
    <w:rsid w:val="00D572B0"/>
    <w:rsid w:val="00D577F4"/>
    <w:rsid w:val="00D804AE"/>
    <w:rsid w:val="00D81C6D"/>
    <w:rsid w:val="00D85640"/>
    <w:rsid w:val="00D90DC7"/>
    <w:rsid w:val="00D91F89"/>
    <w:rsid w:val="00DA28D5"/>
    <w:rsid w:val="00DA3D79"/>
    <w:rsid w:val="00DA526D"/>
    <w:rsid w:val="00DB06F6"/>
    <w:rsid w:val="00DB127E"/>
    <w:rsid w:val="00DB6776"/>
    <w:rsid w:val="00DB707C"/>
    <w:rsid w:val="00DC4F1D"/>
    <w:rsid w:val="00DC62A7"/>
    <w:rsid w:val="00DC69F4"/>
    <w:rsid w:val="00DD6697"/>
    <w:rsid w:val="00E017DC"/>
    <w:rsid w:val="00E059B3"/>
    <w:rsid w:val="00E1009A"/>
    <w:rsid w:val="00E10924"/>
    <w:rsid w:val="00E10C5D"/>
    <w:rsid w:val="00E153DB"/>
    <w:rsid w:val="00E20AF8"/>
    <w:rsid w:val="00E23F9F"/>
    <w:rsid w:val="00E26B55"/>
    <w:rsid w:val="00E26FE7"/>
    <w:rsid w:val="00E37325"/>
    <w:rsid w:val="00E57F8A"/>
    <w:rsid w:val="00E60537"/>
    <w:rsid w:val="00E6133A"/>
    <w:rsid w:val="00E65720"/>
    <w:rsid w:val="00E65F45"/>
    <w:rsid w:val="00E67617"/>
    <w:rsid w:val="00E7632E"/>
    <w:rsid w:val="00E8280E"/>
    <w:rsid w:val="00E840DF"/>
    <w:rsid w:val="00EA26D5"/>
    <w:rsid w:val="00EA43EE"/>
    <w:rsid w:val="00EA597C"/>
    <w:rsid w:val="00EA6853"/>
    <w:rsid w:val="00EA77A3"/>
    <w:rsid w:val="00EA7FD5"/>
    <w:rsid w:val="00EB11E4"/>
    <w:rsid w:val="00EB320B"/>
    <w:rsid w:val="00EB65E9"/>
    <w:rsid w:val="00EC2840"/>
    <w:rsid w:val="00EC5560"/>
    <w:rsid w:val="00ED7292"/>
    <w:rsid w:val="00EE2C0E"/>
    <w:rsid w:val="00EE6121"/>
    <w:rsid w:val="00EF05CD"/>
    <w:rsid w:val="00F03762"/>
    <w:rsid w:val="00F042B4"/>
    <w:rsid w:val="00F06B42"/>
    <w:rsid w:val="00F204D2"/>
    <w:rsid w:val="00F227A7"/>
    <w:rsid w:val="00F26DA7"/>
    <w:rsid w:val="00F47153"/>
    <w:rsid w:val="00F5035D"/>
    <w:rsid w:val="00F5655B"/>
    <w:rsid w:val="00F56A8F"/>
    <w:rsid w:val="00F613DB"/>
    <w:rsid w:val="00F63124"/>
    <w:rsid w:val="00F70D5E"/>
    <w:rsid w:val="00F72436"/>
    <w:rsid w:val="00F75EF1"/>
    <w:rsid w:val="00F75FBD"/>
    <w:rsid w:val="00F763B4"/>
    <w:rsid w:val="00F80F12"/>
    <w:rsid w:val="00F84322"/>
    <w:rsid w:val="00FA186E"/>
    <w:rsid w:val="00FA29B4"/>
    <w:rsid w:val="00FB5778"/>
    <w:rsid w:val="00FB6A87"/>
    <w:rsid w:val="00FC3BA5"/>
    <w:rsid w:val="00FC6798"/>
    <w:rsid w:val="00FC707A"/>
    <w:rsid w:val="00FD06B4"/>
    <w:rsid w:val="00FD7B02"/>
    <w:rsid w:val="00FE119E"/>
    <w:rsid w:val="00FE2E2A"/>
    <w:rsid w:val="00FE3426"/>
    <w:rsid w:val="00FE542F"/>
    <w:rsid w:val="00FF22D6"/>
    <w:rsid w:val="00FF2653"/>
    <w:rsid w:val="00FF2FE4"/>
    <w:rsid w:val="00FF40BE"/>
    <w:rsid w:val="00FF7D75"/>
  </w:rsids>
  <m:mathPr>
    <m:mathFont m:val="Cambria Math"/>
    <m:brkBin m:val="before"/>
    <m:brkBinSub m:val="--"/>
    <m:smallFrac m:val="off"/>
    <m:dispDef/>
    <m:lMargin m:val="0"/>
    <m:rMargin m:val="0"/>
    <m:defJc m:val="centerGroup"/>
    <m:wrapIndent m:val="1440"/>
    <m:intLim m:val="subSup"/>
    <m:naryLim m:val="undOvr"/>
  </m:mathPr>
  <w:uiCompat97To2003/>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AU" w:eastAsia="en-AU" w:bidi="ar-SA"/>
      </w:rPr>
    </w:rPrDefault>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9" w:unhideWhenUsed="0" w:qFormat="1"/>
    <w:lsdException w:name="heading 2" w:uiPriority="9" w:qFormat="1"/>
    <w:lsdException w:name="heading 3" w:uiPriority="9" w:qFormat="1"/>
    <w:lsdException w:name="heading 4" w:uiPriority="9" w:qFormat="1"/>
    <w:lsdException w:name="heading 5" w:locked="0" w:semiHidden="0" w:uiPriority="9" w:unhideWhenUsed="0" w:qFormat="1"/>
    <w:lsdException w:name="heading 6" w:locked="0" w:semiHidden="0" w:uiPriority="9" w:unhideWhenUsed="0" w:qFormat="1"/>
    <w:lsdException w:name="heading 7" w:uiPriority="9" w:qFormat="1"/>
    <w:lsdException w:name="heading 8" w:uiPriority="9" w:qFormat="1"/>
    <w:lsdException w:name="heading 9" w:uiPriority="9" w:qFormat="1"/>
    <w:lsdException w:name="toc 1" w:locked="0" w:uiPriority="39"/>
    <w:lsdException w:name="toc 2" w:locked="0" w:uiPriority="39"/>
    <w:lsdException w:name="toc 3" w:locked="0"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locked="0" w:qFormat="1"/>
    <w:lsdException w:name="footer" w:locked="0" w:uiPriority="0"/>
    <w:lsdException w:name="caption" w:semiHidden="0" w:uiPriority="35" w:unhideWhenUsed="0" w:qFormat="1"/>
    <w:lsdException w:name="footnote reference" w:locked="0"/>
    <w:lsdException w:name="page number" w:locked="0" w:uiPriority="0"/>
    <w:lsdException w:name="Title" w:semiHidden="0" w:uiPriority="10" w:unhideWhenUsed="0" w:qFormat="1"/>
    <w:lsdException w:name="Default Paragraph Font" w:locked="0" w:uiPriority="1"/>
    <w:lsdException w:name="Subtitle" w:semiHidden="0" w:uiPriority="11" w:unhideWhenUsed="0" w:qFormat="1"/>
    <w:lsdException w:name="Hyperlink" w:locked="0"/>
    <w:lsdException w:name="Strong" w:semiHidden="0" w:uiPriority="22" w:unhideWhenUsed="0" w:qFormat="1"/>
    <w:lsdException w:name="Emphasis" w:semiHidden="0" w:uiPriority="20" w:unhideWhenUsed="0" w:qFormat="1"/>
    <w:lsdException w:name="HTML Top of Form" w:locked="0"/>
    <w:lsdException w:name="HTML Bottom of Form" w:locked="0"/>
    <w:lsdException w:name="Normal Table" w:locked="0"/>
    <w:lsdException w:name="No List" w:locked="0"/>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next w:val="AERbodytext"/>
    <w:qFormat/>
    <w:rsid w:val="009E0F39"/>
    <w:pPr>
      <w:spacing w:line="288" w:lineRule="auto"/>
      <w:jc w:val="both"/>
    </w:pPr>
    <w:rPr>
      <w:rFonts w:ascii="Gautami" w:eastAsia="Times New Roman" w:hAnsi="Gautami"/>
      <w:szCs w:val="24"/>
    </w:rPr>
  </w:style>
  <w:style w:type="paragraph" w:styleId="Heading1">
    <w:name w:val="heading 1"/>
    <w:basedOn w:val="Normal"/>
    <w:next w:val="Normal"/>
    <w:uiPriority w:val="9"/>
    <w:qFormat/>
    <w:locked/>
    <w:rsid w:val="009E0F39"/>
    <w:pPr>
      <w:keepNext/>
      <w:keepLines/>
      <w:spacing w:before="480"/>
      <w:outlineLvl w:val="0"/>
    </w:pPr>
    <w:rPr>
      <w:rFonts w:ascii="Cambria" w:hAnsi="Cambria"/>
      <w:b/>
      <w:bCs/>
      <w:color w:val="365F91"/>
      <w:sz w:val="28"/>
      <w:szCs w:val="28"/>
    </w:rPr>
  </w:style>
  <w:style w:type="paragraph" w:styleId="Heading5">
    <w:name w:val="heading 5"/>
    <w:basedOn w:val="Normal"/>
    <w:next w:val="Normal"/>
    <w:uiPriority w:val="9"/>
    <w:qFormat/>
    <w:locked/>
    <w:rsid w:val="009E0F39"/>
    <w:pPr>
      <w:keepNext/>
      <w:keepLines/>
      <w:spacing w:before="200"/>
      <w:outlineLvl w:val="4"/>
    </w:pPr>
    <w:rPr>
      <w:rFonts w:ascii="Cambria" w:hAnsi="Cambria"/>
      <w:color w:val="243F60"/>
    </w:rPr>
  </w:style>
  <w:style w:type="paragraph" w:styleId="Heading6">
    <w:name w:val="heading 6"/>
    <w:basedOn w:val="Normal"/>
    <w:next w:val="Normal"/>
    <w:uiPriority w:val="9"/>
    <w:qFormat/>
    <w:locked/>
    <w:rsid w:val="009E0F39"/>
    <w:pPr>
      <w:keepNext/>
      <w:keepLines/>
      <w:spacing w:before="200"/>
      <w:outlineLvl w:val="5"/>
    </w:pPr>
    <w:rPr>
      <w:rFonts w:ascii="Cambria" w:hAnsi="Cambria"/>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ERbodytext">
    <w:name w:val="AER body text"/>
    <w:link w:val="AERbodytextChar"/>
    <w:qFormat/>
    <w:rsid w:val="009E0F39"/>
    <w:pPr>
      <w:spacing w:after="240" w:line="288" w:lineRule="auto"/>
      <w:jc w:val="both"/>
    </w:pPr>
    <w:rPr>
      <w:rFonts w:ascii="Gautami" w:eastAsia="Times New Roman" w:hAnsi="Gautami"/>
      <w:szCs w:val="24"/>
      <w:lang w:eastAsia="en-US"/>
    </w:rPr>
  </w:style>
  <w:style w:type="paragraph" w:customStyle="1" w:styleId="AERtabletitle">
    <w:name w:val="AER table title"/>
    <w:basedOn w:val="AERfigureheading"/>
    <w:next w:val="Normal"/>
    <w:qFormat/>
    <w:rsid w:val="00C17F71"/>
    <w:pPr>
      <w:numPr>
        <w:ilvl w:val="4"/>
      </w:numPr>
    </w:pPr>
  </w:style>
  <w:style w:type="paragraph" w:customStyle="1" w:styleId="AERfigureheading">
    <w:name w:val="AER figure heading"/>
    <w:basedOn w:val="Normal"/>
    <w:next w:val="AERbodytext"/>
    <w:qFormat/>
    <w:rsid w:val="00C17F71"/>
    <w:pPr>
      <w:keepNext/>
      <w:numPr>
        <w:ilvl w:val="3"/>
        <w:numId w:val="7"/>
      </w:numPr>
      <w:spacing w:before="240" w:after="120"/>
      <w:outlineLvl w:val="3"/>
    </w:pPr>
    <w:rPr>
      <w:b/>
      <w:lang w:eastAsia="en-US"/>
    </w:rPr>
  </w:style>
  <w:style w:type="paragraph" w:customStyle="1" w:styleId="AERrevisionbox">
    <w:name w:val="AER revision box"/>
    <w:basedOn w:val="AERbodytext"/>
    <w:rsid w:val="006B1F6A"/>
    <w:pPr>
      <w:pBdr>
        <w:top w:val="single" w:sz="4" w:space="1" w:color="auto"/>
        <w:left w:val="single" w:sz="4" w:space="4" w:color="auto"/>
        <w:bottom w:val="single" w:sz="4" w:space="1" w:color="auto"/>
        <w:right w:val="single" w:sz="4" w:space="4" w:color="auto"/>
      </w:pBdr>
      <w:shd w:val="clear" w:color="auto" w:fill="E0E0E0"/>
    </w:pPr>
  </w:style>
  <w:style w:type="character" w:customStyle="1" w:styleId="AERtextbolditalics">
    <w:name w:val="AER text bold italics"/>
    <w:basedOn w:val="AERtextbold"/>
    <w:rsid w:val="009E0F39"/>
    <w:rPr>
      <w:i/>
    </w:rPr>
  </w:style>
  <w:style w:type="character" w:customStyle="1" w:styleId="AERtextbold">
    <w:name w:val="AER text bold"/>
    <w:qFormat/>
    <w:rsid w:val="009E0F39"/>
    <w:rPr>
      <w:b/>
    </w:rPr>
  </w:style>
  <w:style w:type="paragraph" w:customStyle="1" w:styleId="AERbulletlistfirststyle">
    <w:name w:val="AER bullet list (first style)"/>
    <w:basedOn w:val="AERbodytext"/>
    <w:qFormat/>
    <w:rsid w:val="008F51EB"/>
    <w:pPr>
      <w:numPr>
        <w:numId w:val="1"/>
      </w:numPr>
      <w:tabs>
        <w:tab w:val="clear" w:pos="1071"/>
        <w:tab w:val="num" w:pos="357"/>
      </w:tabs>
      <w:spacing w:after="200" w:line="240" w:lineRule="atLeast"/>
      <w:ind w:left="357"/>
    </w:pPr>
  </w:style>
  <w:style w:type="paragraph" w:customStyle="1" w:styleId="AERbulletlistsecondstyle">
    <w:name w:val="AER bullet list (second style)"/>
    <w:basedOn w:val="AERbodytext"/>
    <w:qFormat/>
    <w:rsid w:val="009E0F39"/>
    <w:pPr>
      <w:numPr>
        <w:numId w:val="2"/>
      </w:numPr>
      <w:tabs>
        <w:tab w:val="left" w:pos="720"/>
      </w:tabs>
      <w:spacing w:after="200"/>
      <w:ind w:left="720" w:hanging="363"/>
    </w:pPr>
  </w:style>
  <w:style w:type="paragraph" w:customStyle="1" w:styleId="AERbulletlistthirdstyle">
    <w:name w:val="AER bullet list (third style)"/>
    <w:basedOn w:val="AERbodytext"/>
    <w:rsid w:val="009E0F39"/>
    <w:pPr>
      <w:numPr>
        <w:numId w:val="3"/>
      </w:numPr>
      <w:tabs>
        <w:tab w:val="clear" w:pos="870"/>
        <w:tab w:val="left" w:pos="1077"/>
      </w:tabs>
      <w:spacing w:after="200"/>
      <w:ind w:left="1077" w:hanging="357"/>
    </w:pPr>
  </w:style>
  <w:style w:type="paragraph" w:customStyle="1" w:styleId="AERheading1">
    <w:name w:val="AER heading 1"/>
    <w:basedOn w:val="Heading1"/>
    <w:next w:val="AERbodytext"/>
    <w:qFormat/>
    <w:rsid w:val="00942539"/>
    <w:pPr>
      <w:keepLines w:val="0"/>
      <w:pageBreakBefore/>
      <w:numPr>
        <w:numId w:val="7"/>
      </w:numPr>
      <w:tabs>
        <w:tab w:val="clear" w:pos="-357"/>
        <w:tab w:val="left" w:pos="0"/>
      </w:tabs>
      <w:spacing w:before="240" w:after="240"/>
      <w:ind w:left="0" w:hanging="714"/>
    </w:pPr>
    <w:rPr>
      <w:rFonts w:ascii="Gautami" w:hAnsi="Gautami" w:cs="Arial"/>
      <w:color w:val="F2750E"/>
      <w:kern w:val="32"/>
      <w:sz w:val="36"/>
      <w:szCs w:val="32"/>
      <w:lang w:eastAsia="en-US"/>
    </w:rPr>
  </w:style>
  <w:style w:type="paragraph" w:customStyle="1" w:styleId="AERheading2">
    <w:name w:val="AER heading 2"/>
    <w:basedOn w:val="AERheading1"/>
    <w:next w:val="AERbodytext"/>
    <w:qFormat/>
    <w:rsid w:val="00942539"/>
    <w:pPr>
      <w:pageBreakBefore w:val="0"/>
      <w:numPr>
        <w:ilvl w:val="1"/>
      </w:numPr>
      <w:tabs>
        <w:tab w:val="clear" w:pos="4317"/>
        <w:tab w:val="num" w:pos="0"/>
      </w:tabs>
      <w:spacing w:after="360"/>
      <w:ind w:left="0" w:hanging="720"/>
    </w:pPr>
    <w:rPr>
      <w:sz w:val="28"/>
      <w:szCs w:val="30"/>
    </w:rPr>
  </w:style>
  <w:style w:type="paragraph" w:customStyle="1" w:styleId="AERheading3">
    <w:name w:val="AER heading 3"/>
    <w:basedOn w:val="AERheading2"/>
    <w:next w:val="AERbodytext"/>
    <w:qFormat/>
    <w:rsid w:val="00587D45"/>
    <w:pPr>
      <w:numPr>
        <w:ilvl w:val="2"/>
      </w:numPr>
      <w:tabs>
        <w:tab w:val="clear" w:pos="-357"/>
        <w:tab w:val="num" w:pos="0"/>
      </w:tabs>
      <w:spacing w:before="120" w:after="240"/>
      <w:ind w:left="0" w:hanging="714"/>
    </w:pPr>
    <w:rPr>
      <w:sz w:val="24"/>
      <w:szCs w:val="24"/>
    </w:rPr>
  </w:style>
  <w:style w:type="paragraph" w:customStyle="1" w:styleId="AERnumberedlistfirststyle">
    <w:name w:val="AER numbered list (first style)"/>
    <w:basedOn w:val="AERbodytext"/>
    <w:rsid w:val="009E0F39"/>
    <w:pPr>
      <w:numPr>
        <w:numId w:val="5"/>
      </w:numPr>
      <w:spacing w:after="200" w:line="200" w:lineRule="atLeast"/>
    </w:pPr>
  </w:style>
  <w:style w:type="paragraph" w:customStyle="1" w:styleId="AERnumberedlistsecondstyle">
    <w:name w:val="AER numbered list (second style)"/>
    <w:basedOn w:val="AERnumberedlistfirststyle"/>
    <w:rsid w:val="009E0F39"/>
    <w:pPr>
      <w:numPr>
        <w:numId w:val="6"/>
      </w:numPr>
    </w:pPr>
  </w:style>
  <w:style w:type="paragraph" w:customStyle="1" w:styleId="AERnumberedlistthirdstyle">
    <w:name w:val="AER numbered list (third style)"/>
    <w:basedOn w:val="AERbodytext"/>
    <w:rsid w:val="009E0F39"/>
    <w:pPr>
      <w:numPr>
        <w:numId w:val="4"/>
      </w:numPr>
      <w:tabs>
        <w:tab w:val="clear" w:pos="1440"/>
        <w:tab w:val="left" w:pos="1077"/>
      </w:tabs>
      <w:spacing w:after="200"/>
      <w:ind w:left="1077" w:hanging="357"/>
    </w:pPr>
  </w:style>
  <w:style w:type="paragraph" w:customStyle="1" w:styleId="AERquote">
    <w:name w:val="AER quote"/>
    <w:basedOn w:val="AERbodytextindent1"/>
    <w:next w:val="AERbodytext"/>
    <w:rsid w:val="006A4DCC"/>
    <w:pPr>
      <w:spacing w:after="160"/>
      <w:ind w:left="900" w:right="1077"/>
    </w:pPr>
    <w:rPr>
      <w:color w:val="000000"/>
      <w:sz w:val="16"/>
    </w:rPr>
  </w:style>
  <w:style w:type="paragraph" w:customStyle="1" w:styleId="AERbodytextindent1">
    <w:name w:val="AER body text (indent 1)"/>
    <w:basedOn w:val="AERbodytext"/>
    <w:rsid w:val="009E0F39"/>
    <w:pPr>
      <w:ind w:left="357"/>
    </w:pPr>
  </w:style>
  <w:style w:type="paragraph" w:customStyle="1" w:styleId="AERquotebullet1">
    <w:name w:val="AER quote bullet 1"/>
    <w:basedOn w:val="AERquote"/>
    <w:rsid w:val="006A4DCC"/>
    <w:pPr>
      <w:numPr>
        <w:numId w:val="8"/>
      </w:numPr>
    </w:pPr>
    <w:rPr>
      <w:szCs w:val="16"/>
    </w:rPr>
  </w:style>
  <w:style w:type="character" w:customStyle="1" w:styleId="AERsubscript">
    <w:name w:val="AER subscript"/>
    <w:rsid w:val="009E0F39"/>
    <w:rPr>
      <w:rFonts w:ascii="Gautami" w:hAnsi="Gautami"/>
      <w:vertAlign w:val="subscript"/>
    </w:rPr>
  </w:style>
  <w:style w:type="character" w:customStyle="1" w:styleId="AERsuperscript">
    <w:name w:val="AER superscript"/>
    <w:rsid w:val="009E0F39"/>
    <w:rPr>
      <w:rFonts w:ascii="Gautami" w:hAnsi="Gautami"/>
      <w:vertAlign w:val="superscript"/>
    </w:rPr>
  </w:style>
  <w:style w:type="table" w:customStyle="1" w:styleId="AERtable-numbers">
    <w:name w:val="AER table - numbers"/>
    <w:basedOn w:val="TableNormal"/>
    <w:rsid w:val="009659D9"/>
    <w:pPr>
      <w:spacing w:before="40" w:after="40"/>
      <w:jc w:val="right"/>
    </w:pPr>
    <w:rPr>
      <w:rFonts w:ascii="Gautami" w:eastAsia="Times New Roman" w:hAnsi="Gautami"/>
      <w:sz w:val="16"/>
    </w:rPr>
    <w:tblPr>
      <w:tblStyleRowBandSize w:val="1"/>
      <w:tblInd w:w="0" w:type="dxa"/>
      <w:tblBorders>
        <w:top w:val="single" w:sz="4" w:space="0" w:color="auto"/>
        <w:bottom w:val="single" w:sz="4" w:space="0" w:color="auto"/>
      </w:tblBorders>
      <w:tblCellMar>
        <w:top w:w="0" w:type="dxa"/>
        <w:left w:w="108" w:type="dxa"/>
        <w:bottom w:w="0" w:type="dxa"/>
        <w:right w:w="108" w:type="dxa"/>
      </w:tblCellMar>
    </w:tblPr>
    <w:tcPr>
      <w:shd w:val="clear" w:color="auto" w:fill="auto"/>
      <w:noWrap/>
      <w:tcMar>
        <w:top w:w="0" w:type="dxa"/>
        <w:bottom w:w="0" w:type="dxa"/>
      </w:tcMar>
      <w:vAlign w:val="center"/>
    </w:tcPr>
    <w:tblStylePr w:type="firstRow">
      <w:rPr>
        <w:rFonts w:ascii="Gautami" w:hAnsi="Gautami"/>
        <w:b w:val="0"/>
        <w:bCs/>
        <w:color w:val="auto"/>
        <w:sz w:val="16"/>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F2750E"/>
      </w:tcPr>
    </w:tblStylePr>
    <w:tblStylePr w:type="firstCol">
      <w:pPr>
        <w:jc w:val="left"/>
      </w:pPr>
    </w:tblStylePr>
    <w:tblStylePr w:type="band2Horz">
      <w:rPr>
        <w:rFonts w:ascii="Gautami" w:hAnsi="Gautami"/>
        <w:sz w:val="16"/>
      </w:rPr>
      <w:tblPr/>
      <w:tcPr>
        <w:shd w:val="clear" w:color="auto" w:fill="F8B47C"/>
      </w:tcPr>
    </w:tblStylePr>
  </w:style>
  <w:style w:type="paragraph" w:customStyle="1" w:styleId="AERtablesource">
    <w:name w:val="AER table source"/>
    <w:next w:val="AERbodytext"/>
    <w:qFormat/>
    <w:rsid w:val="00AE72D6"/>
    <w:pPr>
      <w:tabs>
        <w:tab w:val="left" w:pos="1361"/>
      </w:tabs>
      <w:spacing w:before="40" w:after="240"/>
      <w:ind w:left="794" w:right="32" w:hanging="794"/>
      <w:contextualSpacing/>
    </w:pPr>
    <w:rPr>
      <w:rFonts w:ascii="Gautami" w:eastAsia="Times New Roman" w:hAnsi="Gautami"/>
      <w:sz w:val="16"/>
      <w:szCs w:val="24"/>
      <w:lang w:eastAsia="en-US"/>
    </w:rPr>
  </w:style>
  <w:style w:type="paragraph" w:customStyle="1" w:styleId="AERtabletext">
    <w:name w:val="AER table text"/>
    <w:basedOn w:val="Normal"/>
    <w:qFormat/>
    <w:rsid w:val="009659D9"/>
    <w:pPr>
      <w:widowControl w:val="0"/>
      <w:spacing w:before="120" w:after="80"/>
      <w:jc w:val="left"/>
    </w:pPr>
    <w:rPr>
      <w:sz w:val="16"/>
      <w:lang w:eastAsia="en-US"/>
    </w:rPr>
  </w:style>
  <w:style w:type="paragraph" w:customStyle="1" w:styleId="AERtabletextheading">
    <w:name w:val="AER table text heading"/>
    <w:qFormat/>
    <w:rsid w:val="009659D9"/>
    <w:pPr>
      <w:spacing w:before="120" w:after="80" w:line="288" w:lineRule="auto"/>
    </w:pPr>
    <w:rPr>
      <w:rFonts w:ascii="Gautami" w:eastAsia="Times New Roman" w:hAnsi="Gautami"/>
      <w:b/>
      <w:sz w:val="16"/>
      <w:szCs w:val="24"/>
      <w:lang w:eastAsia="en-US"/>
    </w:rPr>
  </w:style>
  <w:style w:type="paragraph" w:customStyle="1" w:styleId="AERheading4">
    <w:name w:val="AER heading 4"/>
    <w:next w:val="AERbodytext"/>
    <w:rsid w:val="006A4DCC"/>
    <w:pPr>
      <w:keepNext/>
      <w:spacing w:after="240"/>
    </w:pPr>
    <w:rPr>
      <w:rFonts w:ascii="Gautami" w:eastAsia="Times New Roman" w:hAnsi="Gautami" w:cs="Arial"/>
      <w:b/>
      <w:bCs/>
      <w:kern w:val="32"/>
      <w:sz w:val="22"/>
      <w:szCs w:val="24"/>
      <w:lang w:eastAsia="en-US"/>
    </w:rPr>
  </w:style>
  <w:style w:type="paragraph" w:styleId="Footer">
    <w:name w:val="footer"/>
    <w:basedOn w:val="Normal"/>
    <w:rsid w:val="009E0F39"/>
    <w:pPr>
      <w:tabs>
        <w:tab w:val="center" w:pos="4153"/>
        <w:tab w:val="right" w:pos="8306"/>
      </w:tabs>
    </w:pPr>
  </w:style>
  <w:style w:type="character" w:styleId="PageNumber">
    <w:name w:val="page number"/>
    <w:basedOn w:val="DefaultParagraphFont"/>
    <w:rsid w:val="009E0F39"/>
    <w:rPr>
      <w:rFonts w:ascii="Gautami" w:hAnsi="Gautami"/>
      <w:sz w:val="18"/>
    </w:rPr>
  </w:style>
  <w:style w:type="table" w:customStyle="1" w:styleId="AERtable-text">
    <w:name w:val="AER table - text"/>
    <w:basedOn w:val="AERtable-numbers"/>
    <w:rsid w:val="009659D9"/>
    <w:pPr>
      <w:jc w:val="left"/>
    </w:pPr>
    <w:tblPr>
      <w:tblStyleRowBandSize w:val="1"/>
      <w:tblInd w:w="0" w:type="dxa"/>
      <w:tblBorders>
        <w:top w:val="single" w:sz="4" w:space="0" w:color="auto"/>
        <w:bottom w:val="single" w:sz="4" w:space="0" w:color="auto"/>
      </w:tblBorders>
      <w:tblCellMar>
        <w:top w:w="0" w:type="dxa"/>
        <w:left w:w="108" w:type="dxa"/>
        <w:bottom w:w="0" w:type="dxa"/>
        <w:right w:w="108" w:type="dxa"/>
      </w:tblCellMar>
    </w:tblPr>
    <w:tcPr>
      <w:shd w:val="clear" w:color="auto" w:fill="auto"/>
      <w:noWrap/>
      <w:tcMar>
        <w:top w:w="0" w:type="dxa"/>
        <w:bottom w:w="0" w:type="dxa"/>
      </w:tcMar>
      <w:vAlign w:val="center"/>
    </w:tcPr>
    <w:tblStylePr w:type="firstRow">
      <w:rPr>
        <w:rFonts w:ascii="Gautami" w:hAnsi="Gautami"/>
        <w:b w:val="0"/>
        <w:bCs/>
        <w:color w:val="auto"/>
        <w:sz w:val="16"/>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F2750E"/>
      </w:tcPr>
    </w:tblStylePr>
    <w:tblStylePr w:type="firstCol">
      <w:pPr>
        <w:jc w:val="left"/>
      </w:pPr>
    </w:tblStylePr>
    <w:tblStylePr w:type="band2Horz">
      <w:rPr>
        <w:rFonts w:ascii="Gautami" w:hAnsi="Gautami"/>
        <w:sz w:val="16"/>
      </w:rPr>
      <w:tblPr/>
      <w:tcPr>
        <w:shd w:val="clear" w:color="auto" w:fill="F8B47C"/>
      </w:tcPr>
    </w:tblStylePr>
  </w:style>
  <w:style w:type="paragraph" w:customStyle="1" w:styleId="AERquoteindent1">
    <w:name w:val="AER quote (indent 1)"/>
    <w:basedOn w:val="AERquote"/>
    <w:rsid w:val="006A4DCC"/>
    <w:pPr>
      <w:ind w:left="1260" w:right="1440"/>
    </w:pPr>
  </w:style>
  <w:style w:type="paragraph" w:customStyle="1" w:styleId="AERbodytextindent2">
    <w:name w:val="AER body text (indent 2)"/>
    <w:basedOn w:val="AERbodytext"/>
    <w:rsid w:val="009E0F39"/>
    <w:pPr>
      <w:ind w:left="720"/>
    </w:pPr>
  </w:style>
  <w:style w:type="paragraph" w:customStyle="1" w:styleId="AERbodytextindent3">
    <w:name w:val="AER body text (indent 3)"/>
    <w:basedOn w:val="AERbodytext"/>
    <w:rsid w:val="009E0F39"/>
    <w:pPr>
      <w:ind w:left="1077"/>
    </w:pPr>
  </w:style>
  <w:style w:type="paragraph" w:customStyle="1" w:styleId="AERquoteindent2">
    <w:name w:val="AER quote (indent 2)"/>
    <w:basedOn w:val="AERquoteindent1"/>
    <w:rsid w:val="006A4DCC"/>
    <w:pPr>
      <w:ind w:left="1620" w:right="1797"/>
    </w:pPr>
  </w:style>
  <w:style w:type="character" w:customStyle="1" w:styleId="AERtexthighlight">
    <w:name w:val="AER text highlight"/>
    <w:rsid w:val="009E0F39"/>
    <w:rPr>
      <w:bdr w:val="none" w:sz="0" w:space="0" w:color="auto"/>
      <w:shd w:val="clear" w:color="auto" w:fill="FFFF99"/>
    </w:rPr>
  </w:style>
  <w:style w:type="paragraph" w:customStyle="1" w:styleId="NER-RC-Para">
    <w:name w:val="NER-RC-Para"/>
    <w:basedOn w:val="Normal"/>
    <w:rsid w:val="009E0F39"/>
    <w:pPr>
      <w:autoSpaceDE w:val="0"/>
      <w:autoSpaceDN w:val="0"/>
      <w:adjustRightInd w:val="0"/>
      <w:spacing w:before="120" w:after="120"/>
      <w:ind w:left="357"/>
    </w:pPr>
    <w:rPr>
      <w:color w:val="000000"/>
      <w:sz w:val="18"/>
    </w:rPr>
  </w:style>
  <w:style w:type="paragraph" w:customStyle="1" w:styleId="NER-RC-List-1-MNum">
    <w:name w:val="NER-RC-List-1-MNum"/>
    <w:basedOn w:val="Normal"/>
    <w:rsid w:val="009E0F39"/>
    <w:pPr>
      <w:tabs>
        <w:tab w:val="left" w:pos="1701"/>
      </w:tabs>
      <w:autoSpaceDE w:val="0"/>
      <w:autoSpaceDN w:val="0"/>
      <w:adjustRightInd w:val="0"/>
      <w:spacing w:before="120" w:after="120"/>
      <w:ind w:left="924" w:hanging="567"/>
    </w:pPr>
    <w:rPr>
      <w:color w:val="000000"/>
      <w:sz w:val="18"/>
    </w:rPr>
  </w:style>
  <w:style w:type="paragraph" w:customStyle="1" w:styleId="NER-RC-List-2-MNum">
    <w:name w:val="NER-RC-List-2-MNum"/>
    <w:basedOn w:val="Normal"/>
    <w:rsid w:val="009E0F39"/>
    <w:pPr>
      <w:tabs>
        <w:tab w:val="left" w:pos="2268"/>
      </w:tabs>
      <w:autoSpaceDE w:val="0"/>
      <w:autoSpaceDN w:val="0"/>
      <w:adjustRightInd w:val="0"/>
      <w:spacing w:before="120" w:after="120"/>
      <w:ind w:left="1287" w:hanging="567"/>
    </w:pPr>
    <w:rPr>
      <w:color w:val="000000"/>
      <w:sz w:val="18"/>
    </w:rPr>
  </w:style>
  <w:style w:type="paragraph" w:customStyle="1" w:styleId="NER-RC-Text-In-1">
    <w:name w:val="NER-RC-Text-In-1"/>
    <w:basedOn w:val="Normal"/>
    <w:rsid w:val="009E0F39"/>
    <w:pPr>
      <w:autoSpaceDE w:val="0"/>
      <w:autoSpaceDN w:val="0"/>
      <w:adjustRightInd w:val="0"/>
      <w:spacing w:before="120" w:after="120"/>
      <w:ind w:left="720"/>
    </w:pPr>
    <w:rPr>
      <w:color w:val="000000"/>
      <w:sz w:val="18"/>
    </w:rPr>
  </w:style>
  <w:style w:type="paragraph" w:customStyle="1" w:styleId="NER-Cl-Title-Lvl-4">
    <w:name w:val="NER-Cl-Title-Lvl-4"/>
    <w:basedOn w:val="Normal"/>
    <w:rsid w:val="009E0F39"/>
    <w:pPr>
      <w:keepNext/>
      <w:keepLines/>
      <w:tabs>
        <w:tab w:val="left" w:pos="1134"/>
      </w:tabs>
      <w:autoSpaceDE w:val="0"/>
      <w:autoSpaceDN w:val="0"/>
      <w:adjustRightInd w:val="0"/>
      <w:spacing w:before="240" w:after="60"/>
      <w:ind w:left="1134" w:hanging="1134"/>
    </w:pPr>
    <w:rPr>
      <w:rFonts w:cs="Arial Bold"/>
      <w:b/>
      <w:bCs/>
      <w:color w:val="000000"/>
    </w:rPr>
  </w:style>
  <w:style w:type="character" w:customStyle="1" w:styleId="AERconfidentialtext">
    <w:name w:val="AER confidential text"/>
    <w:rsid w:val="009E0F39"/>
    <w:rPr>
      <w:bdr w:val="none" w:sz="0" w:space="0" w:color="auto"/>
      <w:shd w:val="clear" w:color="auto" w:fill="CCFFFF"/>
    </w:rPr>
  </w:style>
  <w:style w:type="paragraph" w:customStyle="1" w:styleId="AERheading5">
    <w:name w:val="AER heading 5"/>
    <w:basedOn w:val="Heading5"/>
    <w:next w:val="AERbodytext"/>
    <w:rsid w:val="006A4DCC"/>
    <w:pPr>
      <w:keepLines w:val="0"/>
      <w:spacing w:before="120" w:after="240" w:line="240" w:lineRule="atLeast"/>
    </w:pPr>
    <w:rPr>
      <w:rFonts w:ascii="Gautami" w:hAnsi="Gautami" w:cs="Arial"/>
      <w:b/>
      <w:bCs/>
      <w:color w:val="auto"/>
      <w:kern w:val="32"/>
      <w:lang w:eastAsia="en-US"/>
    </w:rPr>
  </w:style>
  <w:style w:type="paragraph" w:customStyle="1" w:styleId="AERheading6">
    <w:name w:val="AER heading 6"/>
    <w:basedOn w:val="Heading6"/>
    <w:next w:val="AERbodytext"/>
    <w:rsid w:val="006A4DCC"/>
    <w:pPr>
      <w:keepLines w:val="0"/>
      <w:spacing w:before="120" w:after="120"/>
    </w:pPr>
    <w:rPr>
      <w:rFonts w:ascii="Gautami" w:hAnsi="Gautami" w:cs="Arial"/>
      <w:bCs/>
      <w:iCs w:val="0"/>
      <w:color w:val="auto"/>
      <w:szCs w:val="22"/>
      <w:lang w:eastAsia="en-US"/>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9E0F39"/>
    <w:rPr>
      <w:vertAlign w:val="superscript"/>
    </w:rPr>
  </w:style>
  <w:style w:type="paragraph" w:styleId="Header">
    <w:name w:val="header"/>
    <w:basedOn w:val="Normal"/>
    <w:locked/>
    <w:rsid w:val="009E0F39"/>
    <w:pPr>
      <w:tabs>
        <w:tab w:val="center" w:pos="4153"/>
        <w:tab w:val="right" w:pos="8306"/>
      </w:tabs>
    </w:pPr>
  </w:style>
  <w:style w:type="character" w:styleId="CommentReference">
    <w:name w:val="annotation reference"/>
    <w:basedOn w:val="DefaultParagraphFont"/>
    <w:semiHidden/>
    <w:locked/>
    <w:rsid w:val="009E0F39"/>
    <w:rPr>
      <w:sz w:val="16"/>
      <w:szCs w:val="16"/>
    </w:rPr>
  </w:style>
  <w:style w:type="paragraph" w:styleId="CommentText">
    <w:name w:val="annotation text"/>
    <w:basedOn w:val="Normal"/>
    <w:semiHidden/>
    <w:locked/>
    <w:rsid w:val="009E0F39"/>
    <w:rPr>
      <w:szCs w:val="20"/>
    </w:rPr>
  </w:style>
  <w:style w:type="paragraph" w:styleId="CommentSubject">
    <w:name w:val="annotation subject"/>
    <w:basedOn w:val="CommentText"/>
    <w:next w:val="CommentText"/>
    <w:semiHidden/>
    <w:locked/>
    <w:rsid w:val="009E0F39"/>
    <w:rPr>
      <w:b/>
      <w:bCs/>
    </w:rPr>
  </w:style>
  <w:style w:type="paragraph" w:styleId="BalloonText">
    <w:name w:val="Balloon Text"/>
    <w:basedOn w:val="Normal"/>
    <w:semiHidden/>
    <w:locked/>
    <w:rsid w:val="009E0F39"/>
    <w:rPr>
      <w:rFonts w:ascii="Tahoma" w:hAnsi="Tahoma" w:cs="Tahoma"/>
      <w:sz w:val="16"/>
      <w:szCs w:val="16"/>
    </w:r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uiPriority w:val="99"/>
    <w:qFormat/>
    <w:rsid w:val="009E0F39"/>
    <w:pPr>
      <w:tabs>
        <w:tab w:val="left" w:pos="454"/>
      </w:tabs>
      <w:ind w:left="454" w:hanging="454"/>
    </w:pPr>
    <w:rPr>
      <w:sz w:val="16"/>
      <w:szCs w:val="20"/>
    </w:rPr>
  </w:style>
  <w:style w:type="character" w:customStyle="1" w:styleId="AERbody">
    <w:name w:val="AER body"/>
    <w:basedOn w:val="DefaultParagraphFont"/>
    <w:qFormat/>
    <w:rsid w:val="009E0F39"/>
    <w:rPr>
      <w:rFonts w:ascii="Gautami" w:hAnsi="Gautami"/>
      <w:color w:val="auto"/>
      <w:sz w:val="20"/>
    </w:rPr>
  </w:style>
  <w:style w:type="paragraph" w:customStyle="1" w:styleId="AERtabletext-numbers">
    <w:name w:val="AER table text - numbers"/>
    <w:basedOn w:val="AERtabletext"/>
    <w:qFormat/>
    <w:rsid w:val="009659D9"/>
    <w:pPr>
      <w:keepNext/>
      <w:jc w:val="right"/>
    </w:pPr>
  </w:style>
  <w:style w:type="character" w:customStyle="1" w:styleId="AERtextboldunderline">
    <w:name w:val="AER text bold underline"/>
    <w:rsid w:val="009E0F39"/>
    <w:rPr>
      <w:b/>
      <w:u w:val="single"/>
    </w:rPr>
  </w:style>
  <w:style w:type="character" w:customStyle="1" w:styleId="AERtextunderline">
    <w:name w:val="AER text underline"/>
    <w:rsid w:val="009E0F39"/>
    <w:rPr>
      <w:u w:val="single"/>
    </w:rPr>
  </w:style>
  <w:style w:type="character" w:customStyle="1" w:styleId="AERtextitalic">
    <w:name w:val="AER text italic"/>
    <w:qFormat/>
    <w:rsid w:val="009E0F39"/>
    <w:rPr>
      <w:i/>
    </w:rPr>
  </w:style>
  <w:style w:type="table" w:styleId="TableGrid">
    <w:name w:val="Table Grid"/>
    <w:basedOn w:val="TableNormal"/>
    <w:locked/>
    <w:rsid w:val="00D122ED"/>
    <w:pPr>
      <w:spacing w:line="288"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qFormat/>
    <w:locked/>
    <w:rsid w:val="00B6415A"/>
    <w:rPr>
      <w:b/>
      <w:bCs/>
      <w:szCs w:val="20"/>
    </w:rPr>
  </w:style>
  <w:style w:type="paragraph" w:customStyle="1" w:styleId="AERtabletextheadingright">
    <w:name w:val="AER table text heading right"/>
    <w:rsid w:val="009659D9"/>
    <w:pPr>
      <w:spacing w:before="120" w:after="80" w:line="288" w:lineRule="auto"/>
      <w:jc w:val="right"/>
    </w:pPr>
    <w:rPr>
      <w:rFonts w:ascii="Gautami" w:eastAsia="Times New Roman" w:hAnsi="Gautami"/>
      <w:b/>
      <w:sz w:val="16"/>
      <w:szCs w:val="24"/>
      <w:lang w:eastAsia="en-US"/>
    </w:rPr>
  </w:style>
  <w:style w:type="character" w:styleId="Hyperlink">
    <w:name w:val="Hyperlink"/>
    <w:basedOn w:val="DefaultParagraphFont"/>
    <w:uiPriority w:val="99"/>
    <w:unhideWhenUsed/>
    <w:rsid w:val="00795CC3"/>
    <w:rPr>
      <w:color w:val="0000FF"/>
      <w:u w:val="single"/>
    </w:rPr>
  </w:style>
  <w:style w:type="paragraph" w:styleId="NoSpacing">
    <w:name w:val="No Spacing"/>
    <w:uiPriority w:val="1"/>
    <w:qFormat/>
    <w:rsid w:val="00CF368B"/>
    <w:pPr>
      <w:jc w:val="both"/>
    </w:pPr>
    <w:rPr>
      <w:rFonts w:ascii="Gautami" w:eastAsia="Times New Roman" w:hAnsi="Gautami"/>
      <w:szCs w:val="24"/>
    </w:rPr>
  </w:style>
  <w:style w:type="table" w:customStyle="1" w:styleId="LightList-Accent11">
    <w:name w:val="Light List - Accent 11"/>
    <w:basedOn w:val="TableNormal"/>
    <w:uiPriority w:val="61"/>
    <w:rsid w:val="00217DF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FollowedHyperlink">
    <w:name w:val="FollowedHyperlink"/>
    <w:basedOn w:val="DefaultParagraphFont"/>
    <w:uiPriority w:val="99"/>
    <w:semiHidden/>
    <w:unhideWhenUsed/>
    <w:locked/>
    <w:rsid w:val="005D25B4"/>
    <w:rPr>
      <w:color w:val="800080" w:themeColor="followedHyperlink"/>
      <w:u w:val="single"/>
    </w:rPr>
  </w:style>
  <w:style w:type="character" w:customStyle="1" w:styleId="AERbodytextChar">
    <w:name w:val="AER body text Char"/>
    <w:basedOn w:val="DefaultParagraphFont"/>
    <w:link w:val="AERbodytext"/>
    <w:rsid w:val="005B5A37"/>
    <w:rPr>
      <w:rFonts w:ascii="Gautami" w:eastAsia="Times New Roman" w:hAnsi="Gautami"/>
      <w:szCs w:val="24"/>
      <w:lang w:eastAsia="en-US"/>
    </w:rPr>
  </w:style>
  <w:style w:type="paragraph" w:styleId="TOC1">
    <w:name w:val="toc 1"/>
    <w:basedOn w:val="Normal"/>
    <w:next w:val="Normal"/>
    <w:uiPriority w:val="39"/>
    <w:rsid w:val="00F84322"/>
    <w:pPr>
      <w:tabs>
        <w:tab w:val="left" w:pos="567"/>
        <w:tab w:val="right" w:leader="dot" w:pos="8307"/>
      </w:tabs>
      <w:spacing w:before="120" w:after="120"/>
    </w:pPr>
    <w:rPr>
      <w:b/>
      <w:lang w:eastAsia="en-US"/>
    </w:rPr>
  </w:style>
  <w:style w:type="paragraph" w:customStyle="1" w:styleId="AERTitle1">
    <w:name w:val="AER Title 1"/>
    <w:basedOn w:val="AERheading4"/>
    <w:rsid w:val="00F84322"/>
    <w:pPr>
      <w:jc w:val="center"/>
    </w:pPr>
    <w:rPr>
      <w:sz w:val="40"/>
    </w:rPr>
  </w:style>
  <w:style w:type="paragraph" w:customStyle="1" w:styleId="AERTitle2">
    <w:name w:val="AER Title 2"/>
    <w:basedOn w:val="AERTitle1"/>
    <w:rsid w:val="00F84322"/>
    <w:pPr>
      <w:spacing w:before="1680"/>
    </w:pPr>
    <w:rPr>
      <w:b w:val="0"/>
      <w:sz w:val="32"/>
    </w:rPr>
  </w:style>
</w:styles>
</file>

<file path=word/webSettings.xml><?xml version="1.0" encoding="utf-8"?>
<w:webSettings xmlns:r="http://schemas.openxmlformats.org/officeDocument/2006/relationships" xmlns:w="http://schemas.openxmlformats.org/wordprocessingml/2006/main">
  <w:divs>
    <w:div w:id="220606400">
      <w:bodyDiv w:val="1"/>
      <w:marLeft w:val="0"/>
      <w:marRight w:val="0"/>
      <w:marTop w:val="0"/>
      <w:marBottom w:val="0"/>
      <w:divBdr>
        <w:top w:val="none" w:sz="0" w:space="0" w:color="auto"/>
        <w:left w:val="none" w:sz="0" w:space="0" w:color="auto"/>
        <w:bottom w:val="none" w:sz="0" w:space="0" w:color="auto"/>
        <w:right w:val="none" w:sz="0" w:space="0" w:color="auto"/>
      </w:divBdr>
      <w:divsChild>
        <w:div w:id="1908766085">
          <w:marLeft w:val="0"/>
          <w:marRight w:val="0"/>
          <w:marTop w:val="0"/>
          <w:marBottom w:val="0"/>
          <w:divBdr>
            <w:top w:val="none" w:sz="0" w:space="0" w:color="auto"/>
            <w:left w:val="none" w:sz="0" w:space="0" w:color="auto"/>
            <w:bottom w:val="none" w:sz="0" w:space="0" w:color="auto"/>
            <w:right w:val="none" w:sz="0" w:space="0" w:color="auto"/>
          </w:divBdr>
        </w:div>
      </w:divsChild>
    </w:div>
    <w:div w:id="281156689">
      <w:bodyDiv w:val="1"/>
      <w:marLeft w:val="0"/>
      <w:marRight w:val="0"/>
      <w:marTop w:val="0"/>
      <w:marBottom w:val="0"/>
      <w:divBdr>
        <w:top w:val="none" w:sz="0" w:space="0" w:color="auto"/>
        <w:left w:val="none" w:sz="0" w:space="0" w:color="auto"/>
        <w:bottom w:val="none" w:sz="0" w:space="0" w:color="auto"/>
        <w:right w:val="none" w:sz="0" w:space="0" w:color="auto"/>
      </w:divBdr>
    </w:div>
    <w:div w:id="343433531">
      <w:bodyDiv w:val="1"/>
      <w:marLeft w:val="0"/>
      <w:marRight w:val="0"/>
      <w:marTop w:val="0"/>
      <w:marBottom w:val="0"/>
      <w:divBdr>
        <w:top w:val="none" w:sz="0" w:space="0" w:color="auto"/>
        <w:left w:val="none" w:sz="0" w:space="0" w:color="auto"/>
        <w:bottom w:val="none" w:sz="0" w:space="0" w:color="auto"/>
        <w:right w:val="none" w:sz="0" w:space="0" w:color="auto"/>
      </w:divBdr>
    </w:div>
    <w:div w:id="1377044047">
      <w:bodyDiv w:val="1"/>
      <w:marLeft w:val="0"/>
      <w:marRight w:val="0"/>
      <w:marTop w:val="0"/>
      <w:marBottom w:val="0"/>
      <w:divBdr>
        <w:top w:val="none" w:sz="0" w:space="0" w:color="auto"/>
        <w:left w:val="none" w:sz="0" w:space="0" w:color="auto"/>
        <w:bottom w:val="none" w:sz="0" w:space="0" w:color="auto"/>
        <w:right w:val="none" w:sz="0" w:space="0" w:color="auto"/>
      </w:divBdr>
    </w:div>
    <w:div w:id="1508668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VicGAAR@aer.gov.au" TargetMode="External"/><Relationship Id="rId13" Type="http://schemas.openxmlformats.org/officeDocument/2006/relationships/hyperlink" Target="http://www.austlii.edu.au/au/legis/sa/consol_act/ngaa2008294/sch1.html" TargetMode="External"/><Relationship Id="rId18" Type="http://schemas.openxmlformats.org/officeDocument/2006/relationships/image" Target="media/image3.emf"/><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image" Target="media/image6.png"/><Relationship Id="rId7" Type="http://schemas.openxmlformats.org/officeDocument/2006/relationships/image" Target="media/image1.jpeg"/><Relationship Id="rId12" Type="http://schemas.openxmlformats.org/officeDocument/2006/relationships/hyperlink" Target="http://www.aer.gov.au/node/4799" TargetMode="External"/><Relationship Id="rId17" Type="http://schemas.openxmlformats.org/officeDocument/2006/relationships/oleObject" Target="embeddings/oleObject1.bin"/><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image" Target="media/image5.pn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er.gov.au/node/4810"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www.aer.gov.au/node/478" TargetMode="External"/><Relationship Id="rId23" Type="http://schemas.openxmlformats.org/officeDocument/2006/relationships/hyperlink" Target="mailto:VicGAAR@aer.gov.au" TargetMode="External"/><Relationship Id="rId28" Type="http://schemas.openxmlformats.org/officeDocument/2006/relationships/fontTable" Target="fontTable.xml"/><Relationship Id="rId10" Type="http://schemas.openxmlformats.org/officeDocument/2006/relationships/hyperlink" Target="http://www.aer.gov.au/node/14473" TargetMode="External"/><Relationship Id="rId19"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hyperlink" Target="http://www.aer.gov.au/node/13556" TargetMode="External"/><Relationship Id="rId14" Type="http://schemas.openxmlformats.org/officeDocument/2006/relationships/hyperlink" Target="http://www.aemc.gov.au/gas/national-gas-rules/current-rules.html" TargetMode="External"/><Relationship Id="rId22" Type="http://schemas.openxmlformats.org/officeDocument/2006/relationships/image" Target="media/image7.png"/><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29</Pages>
  <Words>8311</Words>
  <Characters>47374</Characters>
  <Application>Microsoft Office Word</Application>
  <DocSecurity>0</DocSecurity>
  <Lines>394</Lines>
  <Paragraphs>111</Paragraphs>
  <ScaleCrop>false</ScaleCrop>
  <Company/>
  <LinksUpToDate>false</LinksUpToDate>
  <CharactersWithSpaces>55574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AER - Customer consultation paper - AER draft decisions on Victorian gas access arrangements</dc:title>
  <dc:subject/>
  <dc:creator/>
  <cp:keywords/>
  <dc:description/>
  <cp:lastModifiedBy/>
  <cp:revision>1</cp:revision>
  <dcterms:created xsi:type="dcterms:W3CDTF">2012-10-09T01:16:00Z</dcterms:created>
  <dcterms:modified xsi:type="dcterms:W3CDTF">2012-10-09T01:19:00Z</dcterms:modified>
</cp:coreProperties>
</file>