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4A" w:rsidRPr="00E313AA" w:rsidRDefault="00B678C1" w:rsidP="00E313AA">
      <w:pPr>
        <w:jc w:val="center"/>
        <w:rPr>
          <w:b/>
        </w:rPr>
      </w:pPr>
      <w:r w:rsidRPr="00E313AA">
        <w:rPr>
          <w:b/>
        </w:rPr>
        <w:t>Discussion</w:t>
      </w:r>
      <w:r w:rsidR="00632E27" w:rsidRPr="00E313AA">
        <w:rPr>
          <w:b/>
        </w:rPr>
        <w:t xml:space="preserve"> of revisions to the </w:t>
      </w:r>
      <w:r w:rsidR="00632E27" w:rsidRPr="00E313AA">
        <w:rPr>
          <w:b/>
          <w:i/>
        </w:rPr>
        <w:t>Sustainable Payment Plans</w:t>
      </w:r>
      <w:r w:rsidR="00632E27" w:rsidRPr="00E313AA">
        <w:rPr>
          <w:b/>
        </w:rPr>
        <w:t xml:space="preserve"> </w:t>
      </w:r>
      <w:r w:rsidR="00B84832" w:rsidRPr="00E313AA">
        <w:rPr>
          <w:b/>
        </w:rPr>
        <w:t>Framework</w:t>
      </w:r>
      <w:r w:rsidRPr="00E313AA">
        <w:rPr>
          <w:b/>
        </w:rPr>
        <w:t xml:space="preserve"> v0.3 – </w:t>
      </w:r>
      <w:r w:rsidR="00523A94">
        <w:rPr>
          <w:b/>
        </w:rPr>
        <w:t xml:space="preserve">8 </w:t>
      </w:r>
      <w:r w:rsidRPr="00E313AA">
        <w:rPr>
          <w:b/>
        </w:rPr>
        <w:t>January 2016</w:t>
      </w:r>
    </w:p>
    <w:p w:rsidR="00632E27" w:rsidRDefault="00632E27"/>
    <w:tbl>
      <w:tblPr>
        <w:tblStyle w:val="LightShading"/>
        <w:tblW w:w="0" w:type="auto"/>
        <w:tblLook w:val="04A0" w:firstRow="1" w:lastRow="0" w:firstColumn="1" w:lastColumn="0" w:noHBand="0" w:noVBand="1"/>
      </w:tblPr>
      <w:tblGrid>
        <w:gridCol w:w="3227"/>
        <w:gridCol w:w="11111"/>
      </w:tblGrid>
      <w:tr w:rsidR="00632E27" w:rsidTr="00BA4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rsidR="00632E27" w:rsidRDefault="00632E27" w:rsidP="00BA419A">
            <w:r>
              <w:t>Issue</w:t>
            </w:r>
          </w:p>
        </w:tc>
        <w:tc>
          <w:tcPr>
            <w:tcW w:w="11111" w:type="dxa"/>
            <w:shd w:val="clear" w:color="auto" w:fill="002060"/>
          </w:tcPr>
          <w:p w:rsidR="00632E27" w:rsidRDefault="00632E27" w:rsidP="00BA419A">
            <w:pPr>
              <w:cnfStyle w:val="100000000000" w:firstRow="1" w:lastRow="0" w:firstColumn="0" w:lastColumn="0" w:oddVBand="0" w:evenVBand="0" w:oddHBand="0" w:evenHBand="0" w:firstRowFirstColumn="0" w:firstRowLastColumn="0" w:lastRowFirstColumn="0" w:lastRowLastColumn="0"/>
            </w:pPr>
            <w:r>
              <w:t>AER comment</w:t>
            </w:r>
          </w:p>
        </w:tc>
      </w:tr>
      <w:tr w:rsidR="00802C42" w:rsidTr="00BA419A">
        <w:tc>
          <w:tcPr>
            <w:cnfStyle w:val="001000000000" w:firstRow="0" w:lastRow="0" w:firstColumn="1" w:lastColumn="0" w:oddVBand="0" w:evenVBand="0" w:oddHBand="0" w:evenHBand="0" w:firstRowFirstColumn="0" w:firstRowLastColumn="0" w:lastRowFirstColumn="0" w:lastRowLastColumn="0"/>
            <w:tcW w:w="3227" w:type="dxa"/>
          </w:tcPr>
          <w:p w:rsidR="00802C42" w:rsidRDefault="00802C42" w:rsidP="00BA419A">
            <w:r>
              <w:t>Title</w:t>
            </w:r>
          </w:p>
        </w:tc>
        <w:tc>
          <w:tcPr>
            <w:tcW w:w="11111" w:type="dxa"/>
          </w:tcPr>
          <w:p w:rsidR="00565C60" w:rsidRDefault="00802C42" w:rsidP="00BA419A">
            <w:pPr>
              <w:cnfStyle w:val="000000000000" w:firstRow="0" w:lastRow="0" w:firstColumn="0" w:lastColumn="0" w:oddVBand="0" w:evenVBand="0" w:oddHBand="0" w:evenHBand="0" w:firstRowFirstColumn="0" w:firstRowLastColumn="0" w:lastRowFirstColumn="0" w:lastRowLastColumn="0"/>
            </w:pPr>
            <w:r>
              <w:t xml:space="preserve">We have changed the title of the Framework </w:t>
            </w:r>
            <w:r w:rsidR="00565C60">
              <w:t xml:space="preserve">from </w:t>
            </w:r>
            <w:r w:rsidR="00565C60" w:rsidRPr="00E313AA">
              <w:rPr>
                <w:i/>
              </w:rPr>
              <w:t>Capacity to Pay good practice framework</w:t>
            </w:r>
            <w:r w:rsidR="00565C60">
              <w:t xml:space="preserve"> to </w:t>
            </w:r>
            <w:r w:rsidR="00565C60" w:rsidRPr="00E313AA">
              <w:rPr>
                <w:i/>
              </w:rPr>
              <w:t>Sustainable Payment Plans: a good practice framework for assessing customers’ capacity to pay.</w:t>
            </w:r>
          </w:p>
          <w:p w:rsidR="00802C42" w:rsidRPr="00E313AA" w:rsidRDefault="00565C60" w:rsidP="00BA419A">
            <w:pPr>
              <w:cnfStyle w:val="000000000000" w:firstRow="0" w:lastRow="0" w:firstColumn="0" w:lastColumn="0" w:oddVBand="0" w:evenVBand="0" w:oddHBand="0" w:evenHBand="0" w:firstRowFirstColumn="0" w:firstRowLastColumn="0" w:lastRowFirstColumn="0" w:lastRowLastColumn="0"/>
            </w:pPr>
            <w:r>
              <w:t>This reflects</w:t>
            </w:r>
            <w:r w:rsidR="00802C42">
              <w:t xml:space="preserve"> the </w:t>
            </w:r>
            <w:r>
              <w:t xml:space="preserve">document’s </w:t>
            </w:r>
            <w:r w:rsidR="00802C42">
              <w:t xml:space="preserve">overarching aim of </w:t>
            </w:r>
            <w:r w:rsidR="00523A94">
              <w:t xml:space="preserve">facilitating the </w:t>
            </w:r>
            <w:r w:rsidR="00802C42">
              <w:t>establish</w:t>
            </w:r>
            <w:r w:rsidR="00523A94">
              <w:t>ment of</w:t>
            </w:r>
            <w:r w:rsidR="00802C42">
              <w:t xml:space="preserve"> payment plans that customers can successfully maintain and complete. </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Testing what a customer says they can afford to pay</w:t>
            </w:r>
          </w:p>
        </w:tc>
        <w:tc>
          <w:tcPr>
            <w:tcW w:w="11111" w:type="dxa"/>
          </w:tcPr>
          <w:p w:rsidR="00632E27" w:rsidRPr="00E47F22" w:rsidRDefault="00632E27" w:rsidP="00BA419A">
            <w:pPr>
              <w:cnfStyle w:val="000000000000" w:firstRow="0" w:lastRow="0" w:firstColumn="0" w:lastColumn="0" w:oddVBand="0" w:evenVBand="0" w:oddHBand="0" w:evenHBand="0" w:firstRowFirstColumn="0" w:firstRowLastColumn="0" w:lastRowFirstColumn="0" w:lastRowLastColumn="0"/>
              <w:rPr>
                <w:b/>
                <w:i/>
              </w:rPr>
            </w:pPr>
            <w:r w:rsidRPr="00E47F22">
              <w:rPr>
                <w:b/>
                <w:i/>
              </w:rPr>
              <w:t xml:space="preserve">Starting </w:t>
            </w:r>
            <w:r>
              <w:rPr>
                <w:b/>
                <w:i/>
              </w:rPr>
              <w:t xml:space="preserve">a conversation </w:t>
            </w:r>
            <w:r w:rsidRPr="00E47F22">
              <w:rPr>
                <w:b/>
                <w:i/>
              </w:rPr>
              <w:t>with ‘What can you afford?’</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While there was agreement that this was a reasonable starting point, some retailers said that asking the question on its own was not sufficient as many customers would not immediately understand what they could afford in the context of their future consumption. They were concerned this would lead to unsustainable repayments</w:t>
            </w:r>
            <w:r w:rsidR="00523A94">
              <w:t xml:space="preserve">, </w:t>
            </w:r>
            <w:r>
              <w:t xml:space="preserve">broken plans, </w:t>
            </w:r>
            <w:r w:rsidR="00EA435D">
              <w:t xml:space="preserve">and </w:t>
            </w:r>
            <w:r>
              <w:t>also restrict their ability to explore a customer’s situation in more detail.</w:t>
            </w:r>
          </w:p>
          <w:p w:rsidR="00632E27" w:rsidRPr="002D7085" w:rsidRDefault="00632E27" w:rsidP="00BA419A">
            <w:pPr>
              <w:cnfStyle w:val="000000000000" w:firstRow="0" w:lastRow="0" w:firstColumn="0" w:lastColumn="0" w:oddVBand="0" w:evenVBand="0" w:oddHBand="0" w:evenHBand="0" w:firstRowFirstColumn="0" w:firstRowLastColumn="0" w:lastRowFirstColumn="0" w:lastRowLastColumn="0"/>
            </w:pPr>
            <w:r>
              <w:t xml:space="preserve">In our discussions with retailers, we have clarified that the intention of this section is not to restrict retailers from taking steps to test whether a nominated amount is affordable, but to highlight the risk of prompting a customer to consider a specific repayment amount (e.g. by asking </w:t>
            </w:r>
            <w:r>
              <w:rPr>
                <w:i/>
              </w:rPr>
              <w:t>“can you afford $x per fortnight?”</w:t>
            </w:r>
            <w:r>
              <w:t>)</w:t>
            </w:r>
            <w:r>
              <w:rPr>
                <w:i/>
              </w:rPr>
              <w:t xml:space="preserve"> </w:t>
            </w:r>
            <w:r>
              <w:t>is likely to make a customer feel pressured to accept the proposed amount, regardless of whether they can afford it. This can lead to unsustainable and broken plans.</w:t>
            </w:r>
          </w:p>
          <w:p w:rsidR="00632E27" w:rsidRPr="00005515" w:rsidRDefault="00632E27" w:rsidP="00BA419A">
            <w:pPr>
              <w:cnfStyle w:val="000000000000" w:firstRow="0" w:lastRow="0" w:firstColumn="0" w:lastColumn="0" w:oddVBand="0" w:evenVBand="0" w:oddHBand="0" w:evenHBand="0" w:firstRowFirstColumn="0" w:firstRowLastColumn="0" w:lastRowFirstColumn="0" w:lastRowLastColumn="0"/>
              <w:rPr>
                <w:b/>
                <w:color w:val="0070C0"/>
              </w:rPr>
            </w:pPr>
            <w:r w:rsidRPr="00005515">
              <w:rPr>
                <w:b/>
                <w:color w:val="0070C0"/>
              </w:rPr>
              <w:t xml:space="preserve">We have added </w:t>
            </w:r>
            <w:r>
              <w:rPr>
                <w:b/>
                <w:color w:val="0070C0"/>
              </w:rPr>
              <w:t>text</w:t>
            </w:r>
            <w:r w:rsidRPr="00005515">
              <w:rPr>
                <w:b/>
                <w:color w:val="0070C0"/>
              </w:rPr>
              <w:t xml:space="preserve"> to clarify </w:t>
            </w:r>
            <w:proofErr w:type="gramStart"/>
            <w:r w:rsidRPr="00005515">
              <w:rPr>
                <w:b/>
                <w:color w:val="0070C0"/>
              </w:rPr>
              <w:t>th</w:t>
            </w:r>
            <w:r>
              <w:rPr>
                <w:b/>
                <w:color w:val="0070C0"/>
              </w:rPr>
              <w:t>at exploratory</w:t>
            </w:r>
            <w:r w:rsidR="00B678C1">
              <w:rPr>
                <w:b/>
                <w:color w:val="0070C0"/>
              </w:rPr>
              <w:t xml:space="preserve"> </w:t>
            </w:r>
            <w:r>
              <w:rPr>
                <w:b/>
                <w:color w:val="0070C0"/>
              </w:rPr>
              <w:t>questions</w:t>
            </w:r>
            <w:proofErr w:type="gramEnd"/>
            <w:r>
              <w:rPr>
                <w:b/>
                <w:color w:val="0070C0"/>
              </w:rPr>
              <w:t xml:space="preserve"> may be useful and/or appropriate when done respectfully</w:t>
            </w:r>
            <w:r w:rsidRPr="00005515">
              <w:rPr>
                <w:b/>
                <w:color w:val="0070C0"/>
              </w:rPr>
              <w:t>.</w:t>
            </w:r>
          </w:p>
          <w:p w:rsidR="00632E27" w:rsidRPr="00E47F22" w:rsidRDefault="00632E27" w:rsidP="00BA419A">
            <w:pPr>
              <w:cnfStyle w:val="000000000000" w:firstRow="0" w:lastRow="0" w:firstColumn="0" w:lastColumn="0" w:oddVBand="0" w:evenVBand="0" w:oddHBand="0" w:evenHBand="0" w:firstRowFirstColumn="0" w:firstRowLastColumn="0" w:lastRowFirstColumn="0" w:lastRowLastColumn="0"/>
              <w:rPr>
                <w:b/>
                <w:i/>
              </w:rPr>
            </w:pPr>
            <w:r w:rsidRPr="00E47F22">
              <w:rPr>
                <w:b/>
                <w:i/>
              </w:rPr>
              <w:t>Testing what’s affordable</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There was general support for the </w:t>
            </w:r>
            <w:r w:rsidR="00B84832">
              <w:t>Framework</w:t>
            </w:r>
            <w:r>
              <w:t>’s suggestions for testing whether an amount is realistic and appropriate through open prompting for customers to consider their other expenses and circumstances.</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Consumer stakeholders and a number of retailers highlighted the importance of this initial conversation setting a foundation for future engagement with a retailer, with trust in what a customer said they could afford being an important factor in building an open relationship with </w:t>
            </w:r>
            <w:r w:rsidR="00EA435D">
              <w:t>that</w:t>
            </w:r>
            <w:r>
              <w:t xml:space="preserve"> customer.</w:t>
            </w:r>
          </w:p>
          <w:p w:rsidR="00B678C1" w:rsidRDefault="00632E27" w:rsidP="00BA419A">
            <w:pPr>
              <w:cnfStyle w:val="000000000000" w:firstRow="0" w:lastRow="0" w:firstColumn="0" w:lastColumn="0" w:oddVBand="0" w:evenVBand="0" w:oddHBand="0" w:evenHBand="0" w:firstRowFirstColumn="0" w:firstRowLastColumn="0" w:lastRowFirstColumn="0" w:lastRowLastColumn="0"/>
              <w:rPr>
                <w:b/>
                <w:color w:val="0070C0"/>
              </w:rPr>
            </w:pPr>
            <w:r>
              <w:t xml:space="preserve">Some stakeholders noted that </w:t>
            </w:r>
            <w:r w:rsidR="00FF7972">
              <w:t xml:space="preserve">the </w:t>
            </w:r>
            <w:r>
              <w:t>shame and embarrassment associated with payment difficulties were significant impediments to seeking assistance for some customers, and approaches that sought to reduce stigma associated with financial difficulties were often effectiv</w:t>
            </w:r>
            <w:r w:rsidR="00B84832">
              <w:t>e. T</w:t>
            </w:r>
            <w:r>
              <w:t>hey noted th</w:t>
            </w:r>
            <w:r w:rsidR="00B84832">
              <w:t xml:space="preserve">at some of </w:t>
            </w:r>
            <w:r w:rsidR="00802C42">
              <w:t xml:space="preserve">the </w:t>
            </w:r>
            <w:r>
              <w:t xml:space="preserve">proposed questions to clarify the customer’s circumstances may be perceived to contain underlying assumptions about a customer’s status </w:t>
            </w:r>
            <w:r w:rsidR="00B678C1">
              <w:t>(</w:t>
            </w:r>
            <w:r w:rsidR="00B84832">
              <w:t xml:space="preserve">e.g. </w:t>
            </w:r>
            <w:r>
              <w:t>‘Are you in public housing?’)</w:t>
            </w:r>
            <w:r w:rsidR="00802C42">
              <w:t>.</w:t>
            </w:r>
            <w:r>
              <w:t xml:space="preserve"> </w:t>
            </w:r>
            <w:r w:rsidR="00802C42">
              <w:t>These</w:t>
            </w:r>
            <w:r>
              <w:t xml:space="preserve"> may create a fear of being categorised as disadvantaged that would act as an impediment to </w:t>
            </w:r>
            <w:r w:rsidR="00802C42">
              <w:t xml:space="preserve">some customers </w:t>
            </w:r>
            <w:r>
              <w:t xml:space="preserve">seeking assistance. We also received feedback that </w:t>
            </w:r>
            <w:r w:rsidR="00B84832">
              <w:t>while</w:t>
            </w:r>
            <w:r>
              <w:t xml:space="preserve"> </w:t>
            </w:r>
            <w:r w:rsidR="00B678C1">
              <w:t xml:space="preserve">the </w:t>
            </w:r>
            <w:r>
              <w:t xml:space="preserve">questions were relevant to identifying </w:t>
            </w:r>
            <w:r>
              <w:lastRenderedPageBreak/>
              <w:t xml:space="preserve">vulnerability, they would not be </w:t>
            </w:r>
            <w:r w:rsidR="00B84832">
              <w:t>of practical assistance</w:t>
            </w:r>
            <w:r>
              <w:t xml:space="preserve"> in </w:t>
            </w:r>
            <w:r w:rsidR="00B84832">
              <w:t xml:space="preserve">reaching agreement on </w:t>
            </w:r>
            <w:r>
              <w:t>a</w:t>
            </w:r>
            <w:r w:rsidR="00F343DE">
              <w:t>n affordable</w:t>
            </w:r>
            <w:r>
              <w:t xml:space="preserve"> payment plan amount.</w:t>
            </w:r>
          </w:p>
          <w:p w:rsidR="00632E27" w:rsidRPr="00005515" w:rsidRDefault="00632E27" w:rsidP="00BA419A">
            <w:pPr>
              <w:cnfStyle w:val="000000000000" w:firstRow="0" w:lastRow="0" w:firstColumn="0" w:lastColumn="0" w:oddVBand="0" w:evenVBand="0" w:oddHBand="0" w:evenHBand="0" w:firstRowFirstColumn="0" w:firstRowLastColumn="0" w:lastRowFirstColumn="0" w:lastRowLastColumn="0"/>
              <w:rPr>
                <w:b/>
                <w:color w:val="0070C0"/>
              </w:rPr>
            </w:pPr>
            <w:r w:rsidRPr="00005515">
              <w:rPr>
                <w:b/>
                <w:color w:val="0070C0"/>
              </w:rPr>
              <w:t xml:space="preserve">We added examples of the questions that may be asked to test the amount suggested by the customer. </w:t>
            </w:r>
            <w:r>
              <w:rPr>
                <w:b/>
                <w:color w:val="0070C0"/>
              </w:rPr>
              <w:t xml:space="preserve">We also removed the example questions that were intended to clarify the customer’s circumstances. </w:t>
            </w:r>
          </w:p>
          <w:p w:rsidR="00632E27" w:rsidRPr="00E47F22" w:rsidRDefault="00632E27" w:rsidP="00BA419A">
            <w:pPr>
              <w:cnfStyle w:val="000000000000" w:firstRow="0" w:lastRow="0" w:firstColumn="0" w:lastColumn="0" w:oddVBand="0" w:evenVBand="0" w:oddHBand="0" w:evenHBand="0" w:firstRowFirstColumn="0" w:firstRowLastColumn="0" w:lastRowFirstColumn="0" w:lastRowLastColumn="0"/>
              <w:rPr>
                <w:b/>
                <w:i/>
              </w:rPr>
            </w:pPr>
            <w:r w:rsidRPr="00E47F22">
              <w:rPr>
                <w:b/>
                <w:i/>
              </w:rPr>
              <w:t xml:space="preserve">Factors that identify a customer is more likely </w:t>
            </w:r>
            <w:r>
              <w:rPr>
                <w:b/>
                <w:i/>
              </w:rPr>
              <w:t>to need</w:t>
            </w:r>
            <w:r w:rsidRPr="00E47F22">
              <w:rPr>
                <w:b/>
                <w:i/>
              </w:rPr>
              <w:t xml:space="preserve"> assistance</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We received feedback that there were a number of factors that a retailer could use to identify customers who were more likely to encounter long-term or severe financial difficulties. These factors can indicate that a customer would benefit from the additional support of the kind listed under Option C. </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Factors that would identify a customer as higher risk might be evident from a customer’s account history (e.g. previous plans, applications for relief grants, concessions) or may be volunteered by the customer (e.g. unemployment or pending unemployment, illness, accident, family death).</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Our view is that it is good practice for retailers to be alert to these factors and proactively consider whether additional support is necessary.</w:t>
            </w:r>
          </w:p>
          <w:p w:rsidR="00632E27" w:rsidRPr="005C3407" w:rsidRDefault="00632E27" w:rsidP="00BA419A">
            <w:pPr>
              <w:cnfStyle w:val="000000000000" w:firstRow="0" w:lastRow="0" w:firstColumn="0" w:lastColumn="0" w:oddVBand="0" w:evenVBand="0" w:oddHBand="0" w:evenHBand="0" w:firstRowFirstColumn="0" w:firstRowLastColumn="0" w:lastRowFirstColumn="0" w:lastRowLastColumn="0"/>
              <w:rPr>
                <w:b/>
                <w:szCs w:val="20"/>
              </w:rPr>
            </w:pPr>
            <w:r w:rsidRPr="005C3407">
              <w:rPr>
                <w:b/>
                <w:color w:val="2272A3" w:themeColor="accent4" w:themeShade="80"/>
                <w:szCs w:val="20"/>
              </w:rPr>
              <w:t xml:space="preserve">We have amended the </w:t>
            </w:r>
            <w:r w:rsidR="00B84832">
              <w:rPr>
                <w:b/>
                <w:color w:val="2272A3" w:themeColor="accent4" w:themeShade="80"/>
                <w:szCs w:val="20"/>
              </w:rPr>
              <w:t>Framework</w:t>
            </w:r>
            <w:r w:rsidRPr="005C3407">
              <w:rPr>
                <w:b/>
                <w:color w:val="2272A3" w:themeColor="accent4" w:themeShade="80"/>
                <w:szCs w:val="20"/>
              </w:rPr>
              <w:t xml:space="preserve"> to note that</w:t>
            </w:r>
            <w:r w:rsidR="00B84832">
              <w:rPr>
                <w:b/>
                <w:color w:val="2272A3" w:themeColor="accent4" w:themeShade="80"/>
                <w:szCs w:val="20"/>
              </w:rPr>
              <w:t xml:space="preserve"> </w:t>
            </w:r>
            <w:r w:rsidRPr="004357BC">
              <w:rPr>
                <w:b/>
                <w:color w:val="2272A3" w:themeColor="accent4" w:themeShade="80"/>
                <w:szCs w:val="20"/>
              </w:rPr>
              <w:t>customers identified as being at high</w:t>
            </w:r>
            <w:r w:rsidR="00B84832">
              <w:rPr>
                <w:b/>
                <w:color w:val="2272A3" w:themeColor="accent4" w:themeShade="80"/>
                <w:szCs w:val="20"/>
              </w:rPr>
              <w:t>er</w:t>
            </w:r>
            <w:r w:rsidRPr="004357BC">
              <w:rPr>
                <w:b/>
                <w:color w:val="2272A3" w:themeColor="accent4" w:themeShade="80"/>
                <w:szCs w:val="20"/>
              </w:rPr>
              <w:t xml:space="preserve"> risk of further payment difficulties should be given additional support,</w:t>
            </w:r>
            <w:r w:rsidR="00B84832">
              <w:rPr>
                <w:b/>
                <w:color w:val="2272A3" w:themeColor="accent4" w:themeShade="80"/>
                <w:szCs w:val="20"/>
              </w:rPr>
              <w:t xml:space="preserve"> </w:t>
            </w:r>
            <w:r w:rsidRPr="004357BC">
              <w:rPr>
                <w:b/>
                <w:color w:val="2272A3" w:themeColor="accent4" w:themeShade="80"/>
                <w:szCs w:val="20"/>
              </w:rPr>
              <w:t>regardless of which category they fall into.</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lastRenderedPageBreak/>
              <w:t>Referral to financial counsellors</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Consumer stakeholders (including financial counsellors) supported the </w:t>
            </w:r>
            <w:r w:rsidR="00B84832">
              <w:t>Framework</w:t>
            </w:r>
            <w:r>
              <w:t xml:space="preserve">’s suggested triggers for referring a customer to a financial counsellor. No retailers raised concerns with the </w:t>
            </w:r>
            <w:r w:rsidR="00B84832">
              <w:t>Framework</w:t>
            </w:r>
            <w:r>
              <w:t>’s proposed approach to financial counselling referrals.</w:t>
            </w:r>
          </w:p>
          <w:p w:rsidR="00632E27" w:rsidRPr="00D32C1C" w:rsidRDefault="00632E27" w:rsidP="00BA419A">
            <w:pPr>
              <w:cnfStyle w:val="000000000000" w:firstRow="0" w:lastRow="0" w:firstColumn="0" w:lastColumn="0" w:oddVBand="0" w:evenVBand="0" w:oddHBand="0" w:evenHBand="0" w:firstRowFirstColumn="0" w:firstRowLastColumn="0" w:lastRowFirstColumn="0" w:lastRowLastColumn="0"/>
              <w:rPr>
                <w:szCs w:val="20"/>
              </w:rPr>
            </w:pPr>
            <w:r>
              <w:t xml:space="preserve">Financial counsellors and other consumer stakeholders agreed that retailers should always attempt to work out a reasonable repayment amount with a customer, accepting that some customers will not be able to afford usage and debt, and that this on its own should not </w:t>
            </w:r>
            <w:r w:rsidRPr="00D32C1C">
              <w:rPr>
                <w:szCs w:val="20"/>
              </w:rPr>
              <w:t>be a trigger for a referral to a financial counsellor.</w:t>
            </w:r>
          </w:p>
          <w:p w:rsidR="00632E27" w:rsidRPr="00990EC5" w:rsidRDefault="00632E27" w:rsidP="00523A94">
            <w:pPr>
              <w:ind w:left="34"/>
              <w:cnfStyle w:val="000000000000" w:firstRow="0" w:lastRow="0" w:firstColumn="0" w:lastColumn="0" w:oddVBand="0" w:evenVBand="0" w:oddHBand="0" w:evenHBand="0" w:firstRowFirstColumn="0" w:firstRowLastColumn="0" w:lastRowFirstColumn="0" w:lastRowLastColumn="0"/>
              <w:rPr>
                <w:b/>
              </w:rPr>
            </w:pPr>
            <w:r w:rsidRPr="00764CA4">
              <w:rPr>
                <w:szCs w:val="20"/>
              </w:rPr>
              <w:t xml:space="preserve">Financial counsellors commented that once they advised a retailer of what a customer can reasonably afford, retailers should not ask for a customer’s further financial details. We </w:t>
            </w:r>
            <w:r w:rsidR="00EA435D">
              <w:rPr>
                <w:szCs w:val="20"/>
              </w:rPr>
              <w:t>support this view</w:t>
            </w:r>
            <w:r w:rsidRPr="00764CA4">
              <w:rPr>
                <w:szCs w:val="20"/>
              </w:rPr>
              <w:t xml:space="preserve">, and note the </w:t>
            </w:r>
            <w:r w:rsidR="00B84832">
              <w:rPr>
                <w:szCs w:val="20"/>
              </w:rPr>
              <w:t>Framework</w:t>
            </w:r>
            <w:r w:rsidR="00EA435D">
              <w:rPr>
                <w:szCs w:val="20"/>
              </w:rPr>
              <w:t xml:space="preserve"> states</w:t>
            </w:r>
            <w:r w:rsidRPr="005C3407">
              <w:rPr>
                <w:szCs w:val="20"/>
              </w:rPr>
              <w:t>: “</w:t>
            </w:r>
            <w:r w:rsidRPr="004357BC">
              <w:rPr>
                <w:szCs w:val="20"/>
              </w:rPr>
              <w:t>Retailers should accept advice from the financial counsellor about what the customer can afford to pay.”</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Referral to self-assisted budget tool</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We have broadened the section referring to the </w:t>
            </w:r>
            <w:proofErr w:type="spellStart"/>
            <w:r>
              <w:t>MoneySmart</w:t>
            </w:r>
            <w:proofErr w:type="spellEnd"/>
            <w:r>
              <w:t xml:space="preserve"> budget planner. This is one of a range of tools that may be suitable, and we have changed the reference to a more general one.</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Option A</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Retailer and consumer stakeholders commented that the 15 month maximum time for Option A was quite long and increased the risk of a customer experiencing more serious issues, particularly if there was no review of payments.</w:t>
            </w:r>
            <w:r w:rsidR="00B678C1">
              <w:t xml:space="preserve"> </w:t>
            </w:r>
            <w:r>
              <w:t>In general, retailers considered if a repayment arrangement was to take longer than 12 months, it was more likely that a customer would require the greater level of hardship assistance available under options B or C.</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rsidRPr="00005515">
              <w:rPr>
                <w:b/>
                <w:color w:val="0070C0"/>
              </w:rPr>
              <w:lastRenderedPageBreak/>
              <w:t xml:space="preserve">We </w:t>
            </w:r>
            <w:r>
              <w:rPr>
                <w:b/>
                <w:color w:val="0070C0"/>
              </w:rPr>
              <w:t>have reduced the maximum timeframe for Option A</w:t>
            </w:r>
            <w:r w:rsidRPr="00005515">
              <w:rPr>
                <w:b/>
                <w:color w:val="0070C0"/>
              </w:rPr>
              <w:t xml:space="preserve"> to 12 months.</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lastRenderedPageBreak/>
              <w:t>Option B</w:t>
            </w:r>
          </w:p>
        </w:tc>
        <w:tc>
          <w:tcPr>
            <w:tcW w:w="11111" w:type="dxa"/>
          </w:tcPr>
          <w:p w:rsidR="00632E27" w:rsidRPr="00005515" w:rsidRDefault="00632E27" w:rsidP="00BA419A">
            <w:pPr>
              <w:cnfStyle w:val="000000000000" w:firstRow="0" w:lastRow="0" w:firstColumn="0" w:lastColumn="0" w:oddVBand="0" w:evenVBand="0" w:oddHBand="0" w:evenHBand="0" w:firstRowFirstColumn="0" w:firstRowLastColumn="0" w:lastRowFirstColumn="0" w:lastRowLastColumn="0"/>
            </w:pPr>
            <w:r w:rsidRPr="00005515">
              <w:t>Based on the same reasoning above, we reduced the timeframes for option B.</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rsidRPr="00005515">
              <w:rPr>
                <w:b/>
                <w:color w:val="0070C0"/>
              </w:rPr>
              <w:t xml:space="preserve">We have changed the timeframes </w:t>
            </w:r>
            <w:r>
              <w:rPr>
                <w:b/>
                <w:color w:val="0070C0"/>
              </w:rPr>
              <w:t>for Option B to</w:t>
            </w:r>
            <w:r w:rsidRPr="00005515">
              <w:rPr>
                <w:b/>
                <w:color w:val="0070C0"/>
              </w:rPr>
              <w:t xml:space="preserve"> 12 to </w:t>
            </w:r>
            <w:r>
              <w:rPr>
                <w:b/>
                <w:color w:val="0070C0"/>
              </w:rPr>
              <w:t>18</w:t>
            </w:r>
            <w:r w:rsidRPr="00005515">
              <w:rPr>
                <w:b/>
                <w:color w:val="0070C0"/>
              </w:rPr>
              <w:t xml:space="preserve"> months</w:t>
            </w:r>
            <w:r w:rsidRPr="00194A3B">
              <w:rPr>
                <w:color w:val="0070C0"/>
              </w:rPr>
              <w:t>.</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Option C</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Consumer stakeholders said that the actions a retailer could take to close the gap between ongoing usage and what they can afford should include </w:t>
            </w:r>
            <w:proofErr w:type="gramStart"/>
            <w:r>
              <w:t>a reference</w:t>
            </w:r>
            <w:proofErr w:type="gramEnd"/>
            <w:r>
              <w:t xml:space="preserve"> to replacing (or retrofitting) inefficient equipment. </w:t>
            </w:r>
          </w:p>
          <w:p w:rsidR="00632E27" w:rsidRPr="00005515" w:rsidRDefault="00632E27" w:rsidP="00BA419A">
            <w:pPr>
              <w:cnfStyle w:val="000000000000" w:firstRow="0" w:lastRow="0" w:firstColumn="0" w:lastColumn="0" w:oddVBand="0" w:evenVBand="0" w:oddHBand="0" w:evenHBand="0" w:firstRowFirstColumn="0" w:firstRowLastColumn="0" w:lastRowFirstColumn="0" w:lastRowLastColumn="0"/>
              <w:rPr>
                <w:b/>
              </w:rPr>
            </w:pPr>
            <w:r w:rsidRPr="00005515">
              <w:rPr>
                <w:b/>
                <w:color w:val="0070C0"/>
              </w:rPr>
              <w:t xml:space="preserve">We </w:t>
            </w:r>
            <w:r>
              <w:rPr>
                <w:b/>
                <w:color w:val="0070C0"/>
              </w:rPr>
              <w:t xml:space="preserve">consider that the current wording in Option C clearly indicates that the list is non-exclusive. Retailers remain free to offer additional services such as equipment replacement. </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
              <w:t xml:space="preserve">Interim payment plans </w:t>
            </w:r>
            <w:r w:rsidR="00B84832">
              <w:t>(</w:t>
            </w:r>
            <w:r>
              <w:t>to put in place while a customer is referred to a financial counsellor)</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We received feedback that including this step was appropriate, with some noting that retailers should be aware that in some areas it could take several weeks for a customer to see a financial counsellor.</w:t>
            </w:r>
          </w:p>
          <w:p w:rsidR="00F602BF" w:rsidRPr="004357BC" w:rsidRDefault="00F602BF" w:rsidP="00F602BF">
            <w:pPr>
              <w:cnfStyle w:val="000000000000" w:firstRow="0" w:lastRow="0" w:firstColumn="0" w:lastColumn="0" w:oddVBand="0" w:evenVBand="0" w:oddHBand="0" w:evenHBand="0" w:firstRowFirstColumn="0" w:firstRowLastColumn="0" w:lastRowFirstColumn="0" w:lastRowLastColumn="0"/>
            </w:pPr>
            <w:r w:rsidRPr="00680F15">
              <w:t xml:space="preserve">In the case of </w:t>
            </w:r>
            <w:r w:rsidRPr="00AE3A97">
              <w:t xml:space="preserve">a retailer </w:t>
            </w:r>
            <w:r w:rsidRPr="00680F15">
              <w:t xml:space="preserve">agreeing to a temporary payment plan with a customer who is referred to a financial counsellor, our view is that it is good practice for a retailer to accept </w:t>
            </w:r>
            <w:r w:rsidR="00EA435D">
              <w:t>the</w:t>
            </w:r>
            <w:r w:rsidRPr="00680F15">
              <w:t xml:space="preserve"> amount</w:t>
            </w:r>
            <w:r w:rsidR="00EA435D">
              <w:t xml:space="preserve"> offered by the</w:t>
            </w:r>
            <w:r w:rsidRPr="00680F15">
              <w:t xml:space="preserve"> customer until a further discussion can occur, informed by a financial counsellor’s input.</w:t>
            </w:r>
            <w:r w:rsidRPr="004357BC">
              <w:t xml:space="preserve"> </w:t>
            </w:r>
          </w:p>
          <w:p w:rsidR="00632E27" w:rsidRPr="00005515" w:rsidRDefault="00632E27" w:rsidP="00EA435D">
            <w:pPr>
              <w:cnfStyle w:val="000000000000" w:firstRow="0" w:lastRow="0" w:firstColumn="0" w:lastColumn="0" w:oddVBand="0" w:evenVBand="0" w:oddHBand="0" w:evenHBand="0" w:firstRowFirstColumn="0" w:firstRowLastColumn="0" w:lastRowFirstColumn="0" w:lastRowLastColumn="0"/>
              <w:rPr>
                <w:b/>
              </w:rPr>
            </w:pPr>
            <w:r w:rsidRPr="0068338D">
              <w:rPr>
                <w:b/>
                <w:color w:val="0070C0"/>
              </w:rPr>
              <w:t xml:space="preserve">We have added the text ‘affordable’ </w:t>
            </w:r>
            <w:r>
              <w:rPr>
                <w:b/>
                <w:color w:val="0070C0"/>
              </w:rPr>
              <w:t xml:space="preserve">to </w:t>
            </w:r>
            <w:proofErr w:type="gramStart"/>
            <w:r w:rsidR="00EA435D">
              <w:rPr>
                <w:b/>
                <w:color w:val="0070C0"/>
              </w:rPr>
              <w:t xml:space="preserve">reflect  </w:t>
            </w:r>
            <w:r>
              <w:rPr>
                <w:b/>
                <w:color w:val="0070C0"/>
              </w:rPr>
              <w:t>this</w:t>
            </w:r>
            <w:proofErr w:type="gramEnd"/>
            <w:r>
              <w:rPr>
                <w:b/>
                <w:color w:val="0070C0"/>
              </w:rPr>
              <w:t>.</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Centrepay</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Consumer stakeholders commented that Centrepay can assist customers manage payments and should be offered as early as possible.</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We agree that good practice is to promote the benefits of Centrepay to any customer a retailer identifies as receiving </w:t>
            </w:r>
            <w:r w:rsidR="00B84832">
              <w:t xml:space="preserve">income support </w:t>
            </w:r>
            <w:r>
              <w:t>– i</w:t>
            </w:r>
            <w:r w:rsidR="00B84832">
              <w:t>.</w:t>
            </w:r>
            <w:r>
              <w:t>e</w:t>
            </w:r>
            <w:r w:rsidR="00B84832">
              <w:t>.</w:t>
            </w:r>
            <w:r>
              <w:t xml:space="preserve"> concession</w:t>
            </w:r>
            <w:r w:rsidR="00B84832">
              <w:t xml:space="preserve"> card </w:t>
            </w:r>
            <w:r>
              <w:t xml:space="preserve">holders – in addition </w:t>
            </w:r>
            <w:r w:rsidR="00EA435D">
              <w:t xml:space="preserve">to </w:t>
            </w:r>
            <w:r>
              <w:t>offering it as a matter of course for Option B and C customers.</w:t>
            </w:r>
          </w:p>
          <w:p w:rsidR="00632E27" w:rsidRPr="00BF2AD4" w:rsidRDefault="00632E27" w:rsidP="00BA419A">
            <w:pPr>
              <w:cnfStyle w:val="000000000000" w:firstRow="0" w:lastRow="0" w:firstColumn="0" w:lastColumn="0" w:oddVBand="0" w:evenVBand="0" w:oddHBand="0" w:evenHBand="0" w:firstRowFirstColumn="0" w:firstRowLastColumn="0" w:lastRowFirstColumn="0" w:lastRowLastColumn="0"/>
              <w:rPr>
                <w:b/>
              </w:rPr>
            </w:pPr>
            <w:r w:rsidRPr="00BF2AD4">
              <w:rPr>
                <w:b/>
                <w:color w:val="0070C0"/>
              </w:rPr>
              <w:t>We have added consideration of Centrepay</w:t>
            </w:r>
            <w:r w:rsidR="00EA435D">
              <w:rPr>
                <w:b/>
                <w:color w:val="0070C0"/>
              </w:rPr>
              <w:t xml:space="preserve"> to</w:t>
            </w:r>
            <w:r w:rsidRPr="00BF2AD4">
              <w:rPr>
                <w:b/>
                <w:color w:val="0070C0"/>
              </w:rPr>
              <w:t xml:space="preserve"> </w:t>
            </w:r>
            <w:r>
              <w:rPr>
                <w:b/>
                <w:color w:val="0070C0"/>
              </w:rPr>
              <w:t>the first box to make it clear that Centrepay is a basic level of assistance that should be offered to any customer seeking a payment plan who receives payments from Centrelink</w:t>
            </w:r>
            <w:r w:rsidRPr="00BF2AD4">
              <w:rPr>
                <w:b/>
                <w:color w:val="0070C0"/>
              </w:rPr>
              <w:t>.</w:t>
            </w:r>
          </w:p>
        </w:tc>
      </w:tr>
      <w:tr w:rsidR="00632E27" w:rsidTr="00BA419A">
        <w:trPr>
          <w:trHeight w:val="4450"/>
        </w:trPr>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Practices around increasing a customer’s repayment amounts</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Consumer stakeholders strongly agreed that repayment amounts should not be increased for hardship customers without first having a conversation with the customer. Most retailers who provided feedback said this reflected their existing practices.</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Retailers, particularly larger retailers, noted that the large number of customers on payment plans outside hardship programs made it impractical to contact all these individuals by phone.</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For non-hardship </w:t>
            </w:r>
            <w:r w:rsidR="00EA435D">
              <w:t xml:space="preserve">program </w:t>
            </w:r>
            <w:r>
              <w:t>customers on payment plans we consider that it is good practice to contact a customer by mail to advise them of a new repayment amount, provided that the letter:</w:t>
            </w:r>
          </w:p>
          <w:p w:rsidR="00632E27" w:rsidRDefault="00632E27" w:rsidP="00BA41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explains the reason for the increase (</w:t>
            </w:r>
            <w:r w:rsidR="00B84832">
              <w:t>e.g</w:t>
            </w:r>
            <w:r>
              <w:t>. that their usage has gone up)</w:t>
            </w:r>
          </w:p>
          <w:p w:rsidR="00632E27" w:rsidRDefault="00632E27" w:rsidP="00BA41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0A5B05">
              <w:t xml:space="preserve">makes </w:t>
            </w:r>
            <w:r>
              <w:t xml:space="preserve">it </w:t>
            </w:r>
            <w:r w:rsidRPr="000A5B05">
              <w:t>cle</w:t>
            </w:r>
            <w:r>
              <w:t xml:space="preserve">ar that the customers </w:t>
            </w:r>
            <w:r w:rsidRPr="000A5B05">
              <w:t>can contact the retailer if they have an</w:t>
            </w:r>
            <w:r>
              <w:t>y concerns about the affordability of the revised amount with the amount</w:t>
            </w:r>
          </w:p>
          <w:p w:rsidR="00B84832" w:rsidRDefault="00632E27" w:rsidP="00BA41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provides a period of time in which a customer can contact the retailer to discuss the revised amount</w:t>
            </w:r>
          </w:p>
          <w:p w:rsidR="00632E27" w:rsidRPr="000A5B05" w:rsidRDefault="00B84832" w:rsidP="00BA41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proofErr w:type="gramStart"/>
            <w:r>
              <w:t>states</w:t>
            </w:r>
            <w:proofErr w:type="gramEnd"/>
            <w:r>
              <w:t xml:space="preserve"> when the revised amount will take effect.</w:t>
            </w:r>
          </w:p>
          <w:p w:rsidR="00B84832" w:rsidRDefault="00632E27" w:rsidP="00BA419A">
            <w:pPr>
              <w:cnfStyle w:val="000000000000" w:firstRow="0" w:lastRow="0" w:firstColumn="0" w:lastColumn="0" w:oddVBand="0" w:evenVBand="0" w:oddHBand="0" w:evenHBand="0" w:firstRowFirstColumn="0" w:firstRowLastColumn="0" w:lastRowFirstColumn="0" w:lastRowLastColumn="0"/>
            </w:pPr>
            <w:r>
              <w:t>For hardship customers,</w:t>
            </w:r>
            <w:r w:rsidR="00B678C1">
              <w:t xml:space="preserve"> </w:t>
            </w:r>
            <w:r>
              <w:t xml:space="preserve">our view is that good practice is to attempt to contact a customer by phone to have a conversation about the increased repayment, in the context of what is affordable. </w:t>
            </w:r>
          </w:p>
          <w:p w:rsidR="00B84832" w:rsidRDefault="00B84832" w:rsidP="00BA419A">
            <w:pPr>
              <w:cnfStyle w:val="000000000000" w:firstRow="0" w:lastRow="0" w:firstColumn="0" w:lastColumn="0" w:oddVBand="0" w:evenVBand="0" w:oddHBand="0" w:evenHBand="0" w:firstRowFirstColumn="0" w:firstRowLastColumn="0" w:lastRowFirstColumn="0" w:lastRowLastColumn="0"/>
            </w:pPr>
            <w:r>
              <w:t xml:space="preserve">For </w:t>
            </w:r>
            <w:r w:rsidR="00774B1A">
              <w:t xml:space="preserve">other </w:t>
            </w:r>
            <w:r>
              <w:t xml:space="preserve">payment plan customers, </w:t>
            </w:r>
            <w:r w:rsidR="00632E27">
              <w:t xml:space="preserve">the retailer should also attempt to </w:t>
            </w:r>
            <w:r w:rsidR="00F333DB">
              <w:t>have a conversation with the customer when</w:t>
            </w:r>
            <w:r>
              <w:t xml:space="preserve"> the </w:t>
            </w:r>
            <w:r w:rsidR="00F333DB">
              <w:t xml:space="preserve">repayment </w:t>
            </w:r>
            <w:r w:rsidR="00774B1A">
              <w:t xml:space="preserve">amount </w:t>
            </w:r>
            <w:r>
              <w:t>increase is significant</w:t>
            </w:r>
            <w:r w:rsidR="00632E27">
              <w:t>.</w:t>
            </w:r>
            <w:r w:rsidR="00F333DB">
              <w:t xml:space="preserve"> Some retailers told us </w:t>
            </w:r>
            <w:r w:rsidR="00802C42">
              <w:t xml:space="preserve">their threshold for </w:t>
            </w:r>
            <w:r w:rsidR="00F333DB">
              <w:t>contact</w:t>
            </w:r>
            <w:r w:rsidR="00FF7972">
              <w:t>ing</w:t>
            </w:r>
            <w:r w:rsidR="00F333DB">
              <w:t xml:space="preserve"> customers by phone </w:t>
            </w:r>
            <w:r w:rsidR="00802C42">
              <w:t xml:space="preserve">was </w:t>
            </w:r>
            <w:r w:rsidR="00F333DB">
              <w:t>when the increase was greater than 20 per cent.</w:t>
            </w:r>
          </w:p>
          <w:p w:rsidR="00F333DB" w:rsidRDefault="00632E27" w:rsidP="00BA419A">
            <w:pPr>
              <w:cnfStyle w:val="000000000000" w:firstRow="0" w:lastRow="0" w:firstColumn="0" w:lastColumn="0" w:oddVBand="0" w:evenVBand="0" w:oddHBand="0" w:evenHBand="0" w:firstRowFirstColumn="0" w:firstRowLastColumn="0" w:lastRowFirstColumn="0" w:lastRowLastColumn="0"/>
            </w:pPr>
            <w:r>
              <w:t>Significant</w:t>
            </w:r>
            <w:r w:rsidR="00F333DB">
              <w:t xml:space="preserve"> increases </w:t>
            </w:r>
            <w:r w:rsidR="00EA435D">
              <w:t>in a customer’s usage</w:t>
            </w:r>
            <w:r w:rsidR="00523A94">
              <w:t xml:space="preserve"> </w:t>
            </w:r>
            <w:r w:rsidR="00B84832">
              <w:t xml:space="preserve">may </w:t>
            </w:r>
            <w:r>
              <w:t>indicate a</w:t>
            </w:r>
            <w:r w:rsidR="00F333DB">
              <w:t>n underlying change in consumption patterns</w:t>
            </w:r>
            <w:r w:rsidR="00B678C1">
              <w:t xml:space="preserve"> </w:t>
            </w:r>
            <w:r w:rsidR="00483306">
              <w:t>and</w:t>
            </w:r>
            <w:r w:rsidR="00F333DB">
              <w:t xml:space="preserve"> an early conversation about usage and energy efficiency may help </w:t>
            </w:r>
            <w:r w:rsidR="00483306">
              <w:t xml:space="preserve">avoid a customer’s financial situation worsening. </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Additionally, the initial conversation to set up a payment plan should include the circumstances in </w:t>
            </w:r>
            <w:r w:rsidR="00483306">
              <w:t xml:space="preserve">which </w:t>
            </w:r>
            <w:r>
              <w:t>the retailer will contact the customer to conduct routine reviews of payment plans.</w:t>
            </w:r>
          </w:p>
          <w:p w:rsidR="00632E27" w:rsidRPr="00BF2AD4" w:rsidRDefault="00632E27">
            <w:pPr>
              <w:cnfStyle w:val="000000000000" w:firstRow="0" w:lastRow="0" w:firstColumn="0" w:lastColumn="0" w:oddVBand="0" w:evenVBand="0" w:oddHBand="0" w:evenHBand="0" w:firstRowFirstColumn="0" w:firstRowLastColumn="0" w:lastRowFirstColumn="0" w:lastRowLastColumn="0"/>
              <w:rPr>
                <w:b/>
              </w:rPr>
            </w:pPr>
            <w:r w:rsidRPr="00BF2AD4">
              <w:rPr>
                <w:b/>
                <w:color w:val="0070C0"/>
              </w:rPr>
              <w:t xml:space="preserve">We have </w:t>
            </w:r>
            <w:r w:rsidR="00483306">
              <w:rPr>
                <w:b/>
                <w:color w:val="0070C0"/>
              </w:rPr>
              <w:t>updated</w:t>
            </w:r>
            <w:r w:rsidR="00483306" w:rsidRPr="00BF2AD4">
              <w:rPr>
                <w:b/>
                <w:color w:val="0070C0"/>
              </w:rPr>
              <w:t xml:space="preserve"> </w:t>
            </w:r>
            <w:r w:rsidRPr="00BF2AD4">
              <w:rPr>
                <w:b/>
                <w:color w:val="0070C0"/>
              </w:rPr>
              <w:t xml:space="preserve">the </w:t>
            </w:r>
            <w:r w:rsidR="00B84832">
              <w:rPr>
                <w:b/>
                <w:color w:val="0070C0"/>
              </w:rPr>
              <w:t>Framework</w:t>
            </w:r>
            <w:r w:rsidRPr="00BF2AD4">
              <w:rPr>
                <w:b/>
                <w:color w:val="0070C0"/>
              </w:rPr>
              <w:t xml:space="preserve"> to clarify what we consider good practice in this area.</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Missed payment amounts</w:t>
            </w:r>
          </w:p>
        </w:tc>
        <w:tc>
          <w:tcPr>
            <w:tcW w:w="11111" w:type="dxa"/>
          </w:tcPr>
          <w:p w:rsidR="00483306" w:rsidRDefault="00483306" w:rsidP="00BA419A">
            <w:pPr>
              <w:cnfStyle w:val="000000000000" w:firstRow="0" w:lastRow="0" w:firstColumn="0" w:lastColumn="0" w:oddVBand="0" w:evenVBand="0" w:oddHBand="0" w:evenHBand="0" w:firstRowFirstColumn="0" w:firstRowLastColumn="0" w:lastRowFirstColumn="0" w:lastRowLastColumn="0"/>
            </w:pPr>
            <w:r>
              <w:t xml:space="preserve">While most stakeholders did not raise any concerns with the proposed </w:t>
            </w:r>
            <w:r w:rsidR="00774B1A">
              <w:t xml:space="preserve">three </w:t>
            </w:r>
            <w:r>
              <w:t xml:space="preserve">day minimum period before contacting a customer who missed a payment, some consumer stakeholders felt that five days </w:t>
            </w:r>
            <w:r w:rsidR="0026047D">
              <w:t>would provide more flexibility to customers.</w:t>
            </w:r>
          </w:p>
          <w:p w:rsidR="00214FBE" w:rsidRDefault="00774B1A" w:rsidP="00BA419A">
            <w:pPr>
              <w:cnfStyle w:val="000000000000" w:firstRow="0" w:lastRow="0" w:firstColumn="0" w:lastColumn="0" w:oddVBand="0" w:evenVBand="0" w:oddHBand="0" w:evenHBand="0" w:firstRowFirstColumn="0" w:firstRowLastColumn="0" w:lastRowFirstColumn="0" w:lastRowLastColumn="0"/>
            </w:pPr>
            <w:r>
              <w:t xml:space="preserve">Our view is that the three </w:t>
            </w:r>
            <w:r w:rsidR="00483306">
              <w:t xml:space="preserve">day minimum period </w:t>
            </w:r>
            <w:r w:rsidR="000F2990">
              <w:t xml:space="preserve">is appropriate as it </w:t>
            </w:r>
            <w:r w:rsidR="003000CC">
              <w:t>provid</w:t>
            </w:r>
            <w:r w:rsidR="000F2990">
              <w:t>es</w:t>
            </w:r>
            <w:r>
              <w:t xml:space="preserve"> some</w:t>
            </w:r>
            <w:r w:rsidR="003000CC">
              <w:t xml:space="preserve"> </w:t>
            </w:r>
            <w:r w:rsidR="00483306">
              <w:t>flexibility</w:t>
            </w:r>
            <w:r w:rsidR="003000CC">
              <w:t xml:space="preserve"> and space </w:t>
            </w:r>
            <w:r w:rsidR="00483306">
              <w:t>to customers</w:t>
            </w:r>
            <w:r>
              <w:t xml:space="preserve"> to meet their payment obligations</w:t>
            </w:r>
            <w:r w:rsidR="00483306">
              <w:t xml:space="preserve"> </w:t>
            </w:r>
            <w:r w:rsidR="000F2990">
              <w:t xml:space="preserve">while </w:t>
            </w:r>
            <w:r w:rsidR="008F0CDF">
              <w:t xml:space="preserve">giving </w:t>
            </w:r>
            <w:r w:rsidR="000F2990">
              <w:t xml:space="preserve">retailers </w:t>
            </w:r>
            <w:r w:rsidR="007265E6">
              <w:t>the opportunity to proactively</w:t>
            </w:r>
            <w:r w:rsidR="0026047D">
              <w:t xml:space="preserve"> </w:t>
            </w:r>
            <w:r w:rsidR="007265E6">
              <w:t>contact</w:t>
            </w:r>
            <w:r w:rsidR="00214FBE">
              <w:t xml:space="preserve"> customers to discuss their circumstances </w:t>
            </w:r>
            <w:r w:rsidR="000F2990">
              <w:t xml:space="preserve">(noting that they are </w:t>
            </w:r>
            <w:r w:rsidR="00214FBE">
              <w:t>free to wait longer if desired)</w:t>
            </w:r>
            <w:r>
              <w:t xml:space="preserve">. This </w:t>
            </w:r>
            <w:r w:rsidR="00214FBE">
              <w:t>consistent with the Framework’s aim of facilitating prompt and constructive engagement.</w:t>
            </w:r>
          </w:p>
          <w:p w:rsidR="007265E6" w:rsidRDefault="00D93B3B" w:rsidP="00E961AB">
            <w:pPr>
              <w:cnfStyle w:val="000000000000" w:firstRow="0" w:lastRow="0" w:firstColumn="0" w:lastColumn="0" w:oddVBand="0" w:evenVBand="0" w:oddHBand="0" w:evenHBand="0" w:firstRowFirstColumn="0" w:firstRowLastColumn="0" w:lastRowFirstColumn="0" w:lastRowLastColumn="0"/>
            </w:pPr>
            <w:r w:rsidRPr="00021823">
              <w:t>Applying the Framework’s principles to engagement with customers</w:t>
            </w:r>
            <w:r w:rsidR="00AB62B6" w:rsidRPr="00021823">
              <w:t xml:space="preserve"> should increase the likelihood that customers will proactively</w:t>
            </w:r>
            <w:r w:rsidRPr="00021823">
              <w:t xml:space="preserve"> contact</w:t>
            </w:r>
            <w:r w:rsidR="00AB62B6" w:rsidRPr="00021823">
              <w:t xml:space="preserve"> their retailer in advance </w:t>
            </w:r>
            <w:r w:rsidR="00E961AB" w:rsidRPr="00021823">
              <w:t xml:space="preserve">when they are unable to make their payment by </w:t>
            </w:r>
            <w:r w:rsidR="00AB62B6" w:rsidRPr="00021823">
              <w:t>the agreed date</w:t>
            </w:r>
            <w:r w:rsidRPr="00021823">
              <w:t>.</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 xml:space="preserve">Applying the </w:t>
            </w:r>
            <w:r w:rsidR="00B84832">
              <w:t>Framework</w:t>
            </w:r>
            <w:r>
              <w:t xml:space="preserve"> to inactive accounts</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A number of stakeholders including retailers, consumer representatives and Ombudsmen considered the </w:t>
            </w:r>
            <w:r w:rsidR="00B84832">
              <w:t>Framework</w:t>
            </w:r>
            <w:r>
              <w:t>’s principles should flow through a retailer’s treatment of customers who have a debt with a retailer but no longer have an active account with them</w:t>
            </w:r>
            <w:r w:rsidR="00B678C1">
              <w:t xml:space="preserve"> (inactive account customers</w:t>
            </w:r>
            <w:r w:rsidR="000F2990">
              <w:t>).</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Other retailers raised concerns that </w:t>
            </w:r>
            <w:r w:rsidR="007033FC">
              <w:t>applying the Framework’s processes</w:t>
            </w:r>
            <w:r>
              <w:t xml:space="preserve"> </w:t>
            </w:r>
            <w:r w:rsidR="00680F15">
              <w:t xml:space="preserve">to </w:t>
            </w:r>
            <w:r>
              <w:t>inactive</w:t>
            </w:r>
            <w:r w:rsidR="000F2990">
              <w:t xml:space="preserve"> account</w:t>
            </w:r>
            <w:r>
              <w:t xml:space="preserve"> customers would increase administration costs for retailers who would have to put extra resourcing into managing</w:t>
            </w:r>
            <w:r w:rsidR="007033FC">
              <w:t xml:space="preserve"> this group.</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Additionally financial counsellors provided feedback that many debt recovery agencies </w:t>
            </w:r>
            <w:r w:rsidR="00680F15">
              <w:t xml:space="preserve">already </w:t>
            </w:r>
            <w:r>
              <w:t>considered a</w:t>
            </w:r>
            <w:r w:rsidR="000F2990">
              <w:t xml:space="preserve"> debtor’s </w:t>
            </w:r>
            <w:r>
              <w:t>capacity to pay when negotiating payment arrangements.</w:t>
            </w:r>
          </w:p>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Our view is that it is good practice for retailers to give inactive </w:t>
            </w:r>
            <w:r w:rsidR="00B678C1">
              <w:t xml:space="preserve">account </w:t>
            </w:r>
            <w:r>
              <w:t>customers with a debt a reasonable opportunity to repay the amount owed, taking into account what a customer can reasonably afford, and apply the principles of flexibility, consistency, empathy and respect when negotiating these repayment plans.</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Measuring the</w:t>
            </w:r>
            <w:r w:rsidR="00523A94">
              <w:t xml:space="preserve"> Framework’s</w:t>
            </w:r>
            <w:r>
              <w:t xml:space="preserve"> effectiveness</w:t>
            </w:r>
          </w:p>
        </w:tc>
        <w:tc>
          <w:tcPr>
            <w:tcW w:w="11111" w:type="dxa"/>
          </w:tcPr>
          <w:p w:rsidR="00632E27" w:rsidRDefault="00632E27" w:rsidP="00BA419A">
            <w:pPr>
              <w:cnfStyle w:val="000000000000" w:firstRow="0" w:lastRow="0" w:firstColumn="0" w:lastColumn="0" w:oddVBand="0" w:evenVBand="0" w:oddHBand="0" w:evenHBand="0" w:firstRowFirstColumn="0" w:firstRowLastColumn="0" w:lastRowFirstColumn="0" w:lastRowLastColumn="0"/>
            </w:pPr>
            <w:r>
              <w:t xml:space="preserve">Stakeholders suggested the AER could consider a number of quantitative and qualitative metrics to measure the impact retailers’ implementation of the </w:t>
            </w:r>
            <w:r w:rsidR="00B84832">
              <w:t>Framework</w:t>
            </w:r>
            <w:r>
              <w:t>. Key suggestions included:</w:t>
            </w:r>
          </w:p>
          <w:p w:rsidR="00632E27" w:rsidRDefault="00774B1A" w:rsidP="00BA41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w:t>
            </w:r>
            <w:r w:rsidR="00632E27">
              <w:t xml:space="preserve">number of </w:t>
            </w:r>
            <w:r>
              <w:t xml:space="preserve">customers </w:t>
            </w:r>
            <w:r w:rsidR="00632E27">
              <w:t>successfully complet</w:t>
            </w:r>
            <w:r>
              <w:t>ing</w:t>
            </w:r>
            <w:r w:rsidR="00B678C1">
              <w:t xml:space="preserve"> </w:t>
            </w:r>
            <w:r w:rsidR="00632E27">
              <w:t xml:space="preserve">hardship </w:t>
            </w:r>
            <w:r>
              <w:t xml:space="preserve">programs </w:t>
            </w:r>
            <w:r w:rsidR="00632E27">
              <w:t>and payment plans</w:t>
            </w:r>
          </w:p>
          <w:p w:rsidR="00632E27" w:rsidRDefault="00632E27" w:rsidP="00BA41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number of customers </w:t>
            </w:r>
            <w:r w:rsidR="00774B1A">
              <w:t>using</w:t>
            </w:r>
            <w:r>
              <w:t xml:space="preserve"> payment plans and hardship programs</w:t>
            </w:r>
          </w:p>
          <w:p w:rsidR="00632E27" w:rsidRDefault="00632E27" w:rsidP="00BA41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customer complaints to retailers about payment plans and hardship</w:t>
            </w:r>
            <w:r w:rsidR="00774B1A">
              <w:t xml:space="preserve"> programs</w:t>
            </w:r>
          </w:p>
          <w:p w:rsidR="00632E27" w:rsidRDefault="00632E27" w:rsidP="00BA41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customer complaints to Ombudsm</w:t>
            </w:r>
            <w:r w:rsidR="00774B1A">
              <w:t>a</w:t>
            </w:r>
            <w:r>
              <w:t>n</w:t>
            </w:r>
            <w:r w:rsidR="00774B1A">
              <w:t xml:space="preserve"> schemes</w:t>
            </w:r>
            <w:r>
              <w:t xml:space="preserve"> about payment plans and hardship</w:t>
            </w:r>
            <w:r w:rsidR="00774B1A">
              <w:t xml:space="preserve"> programs</w:t>
            </w:r>
          </w:p>
          <w:p w:rsidR="00632E27" w:rsidRDefault="00632E27" w:rsidP="00BA41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proofErr w:type="gramStart"/>
            <w:r>
              <w:t>retailers</w:t>
            </w:r>
            <w:proofErr w:type="gramEnd"/>
            <w:r>
              <w:t xml:space="preserve"> surveying payment plan and hardship </w:t>
            </w:r>
            <w:r w:rsidR="00774B1A">
              <w:t xml:space="preserve">program </w:t>
            </w:r>
            <w:r>
              <w:t>customers about their experiences</w:t>
            </w:r>
            <w:r w:rsidR="00774B1A">
              <w:t>.</w:t>
            </w:r>
          </w:p>
          <w:p w:rsidR="00632E27" w:rsidRPr="007033FC" w:rsidRDefault="00632E27" w:rsidP="00E313AA">
            <w:pPr>
              <w:cnfStyle w:val="000000000000" w:firstRow="0" w:lastRow="0" w:firstColumn="0" w:lastColumn="0" w:oddVBand="0" w:evenVBand="0" w:oddHBand="0" w:evenHBand="0" w:firstRowFirstColumn="0" w:firstRowLastColumn="0" w:lastRowFirstColumn="0" w:lastRowLastColumn="0"/>
            </w:pPr>
            <w:r w:rsidRPr="00C30C92">
              <w:rPr>
                <w:b/>
                <w:color w:val="0070C0"/>
              </w:rPr>
              <w:t>We will continue</w:t>
            </w:r>
            <w:r>
              <w:rPr>
                <w:b/>
                <w:color w:val="0070C0"/>
              </w:rPr>
              <w:t xml:space="preserve"> </w:t>
            </w:r>
            <w:r w:rsidRPr="00C30C92">
              <w:rPr>
                <w:b/>
                <w:color w:val="0070C0"/>
              </w:rPr>
              <w:t xml:space="preserve">to consider what measures might be appropriate to measure the impact of the </w:t>
            </w:r>
            <w:r w:rsidR="00B84832">
              <w:rPr>
                <w:b/>
                <w:color w:val="0070C0"/>
              </w:rPr>
              <w:t>Framework</w:t>
            </w:r>
            <w:r w:rsidRPr="00C30C92">
              <w:rPr>
                <w:b/>
                <w:color w:val="0070C0"/>
              </w:rPr>
              <w:t>.</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Pr="004357BC" w:rsidRDefault="00632E27" w:rsidP="00BA419A">
            <w:r w:rsidRPr="004357BC">
              <w:t>Barriers to access</w:t>
            </w:r>
          </w:p>
        </w:tc>
        <w:tc>
          <w:tcPr>
            <w:tcW w:w="11111" w:type="dxa"/>
          </w:tcPr>
          <w:p w:rsidR="001F3F3A" w:rsidRPr="00021823" w:rsidRDefault="00632E27" w:rsidP="00BA419A">
            <w:pPr>
              <w:cnfStyle w:val="000000000000" w:firstRow="0" w:lastRow="0" w:firstColumn="0" w:lastColumn="0" w:oddVBand="0" w:evenVBand="0" w:oddHBand="0" w:evenHBand="0" w:firstRowFirstColumn="0" w:firstRowLastColumn="0" w:lastRowFirstColumn="0" w:lastRowLastColumn="0"/>
            </w:pPr>
            <w:bookmarkStart w:id="0" w:name="_GoBack"/>
            <w:bookmarkEnd w:id="0"/>
            <w:r w:rsidRPr="00021823">
              <w:t>An issue raised in our Hardship Review and emphasised by consumer stakeholders was that of retailer</w:t>
            </w:r>
            <w:r w:rsidR="00774B1A" w:rsidRPr="00021823">
              <w:t>s</w:t>
            </w:r>
            <w:r w:rsidRPr="00021823">
              <w:t xml:space="preserve"> putting barriers in the way of customers accessing hardship assistance.</w:t>
            </w:r>
            <w:r w:rsidR="002069A3" w:rsidRPr="00021823">
              <w:t xml:space="preserve"> </w:t>
            </w:r>
            <w:r w:rsidR="001F3F3A" w:rsidRPr="00021823">
              <w:t xml:space="preserve">These </w:t>
            </w:r>
            <w:r w:rsidR="009448D1" w:rsidRPr="00021823">
              <w:t xml:space="preserve">barriers </w:t>
            </w:r>
            <w:r w:rsidR="001F3F3A" w:rsidRPr="00021823">
              <w:t>included</w:t>
            </w:r>
            <w:r w:rsidR="00774B1A" w:rsidRPr="00021823">
              <w:t xml:space="preserve"> retailers </w:t>
            </w:r>
            <w:r w:rsidR="002069A3" w:rsidRPr="00021823">
              <w:t>requiring a customer to see a financial counsellor or make a</w:t>
            </w:r>
            <w:r w:rsidR="001F3F3A" w:rsidRPr="00021823">
              <w:t>n up-front</w:t>
            </w:r>
            <w:r w:rsidR="002069A3" w:rsidRPr="00021823">
              <w:t xml:space="preserve"> payment as pre-conditions of access to a hardship program</w:t>
            </w:r>
            <w:r w:rsidR="00774B1A" w:rsidRPr="00021823">
              <w:t xml:space="preserve"> or payment plan.</w:t>
            </w:r>
          </w:p>
          <w:p w:rsidR="009448D1" w:rsidRPr="00021823" w:rsidRDefault="001F3F3A" w:rsidP="00BA419A">
            <w:pPr>
              <w:cnfStyle w:val="000000000000" w:firstRow="0" w:lastRow="0" w:firstColumn="0" w:lastColumn="0" w:oddVBand="0" w:evenVBand="0" w:oddHBand="0" w:evenHBand="0" w:firstRowFirstColumn="0" w:firstRowLastColumn="0" w:lastRowFirstColumn="0" w:lastRowLastColumn="0"/>
            </w:pPr>
            <w:r w:rsidRPr="00021823">
              <w:t>Requiring an up-front payment from a customer who</w:t>
            </w:r>
            <w:r w:rsidR="00774B1A" w:rsidRPr="00021823">
              <w:t xml:space="preserve"> has made contact because they are unable to pay their bill on time or to advise they are experiencing financial difficulty </w:t>
            </w:r>
            <w:r w:rsidR="00DA79A7" w:rsidRPr="00021823">
              <w:t xml:space="preserve">has the potential to exacerbate their </w:t>
            </w:r>
            <w:r w:rsidR="00E961AB" w:rsidRPr="00021823">
              <w:t>situation</w:t>
            </w:r>
            <w:r w:rsidR="00DA79A7" w:rsidRPr="00021823">
              <w:t>.</w:t>
            </w:r>
          </w:p>
          <w:p w:rsidR="009448D1" w:rsidRPr="00021823" w:rsidRDefault="00AB62B6" w:rsidP="00BA419A">
            <w:pPr>
              <w:cnfStyle w:val="000000000000" w:firstRow="0" w:lastRow="0" w:firstColumn="0" w:lastColumn="0" w:oddVBand="0" w:evenVBand="0" w:oddHBand="0" w:evenHBand="0" w:firstRowFirstColumn="0" w:firstRowLastColumn="0" w:lastRowFirstColumn="0" w:lastRowLastColumn="0"/>
            </w:pPr>
            <w:r w:rsidRPr="00021823">
              <w:t xml:space="preserve">As the Framework states, there are circumstances where referral to a financial counsellor may be necessary. However </w:t>
            </w:r>
            <w:r w:rsidR="005C4DBC" w:rsidRPr="00021823">
              <w:t>r</w:t>
            </w:r>
            <w:r w:rsidR="009448D1" w:rsidRPr="00021823">
              <w:t>equiring a customer</w:t>
            </w:r>
            <w:r w:rsidR="001F3F3A" w:rsidRPr="00021823">
              <w:t xml:space="preserve"> to </w:t>
            </w:r>
            <w:r w:rsidR="00DA79A7" w:rsidRPr="00021823">
              <w:t xml:space="preserve">unnecessarily </w:t>
            </w:r>
            <w:r w:rsidR="001F3F3A" w:rsidRPr="00021823">
              <w:t xml:space="preserve">see a financial counsellor without </w:t>
            </w:r>
            <w:r w:rsidR="00DA79A7" w:rsidRPr="00021823">
              <w:t xml:space="preserve">providing hardship assistance or </w:t>
            </w:r>
            <w:r w:rsidR="001F3F3A" w:rsidRPr="00021823">
              <w:t xml:space="preserve">attempting to </w:t>
            </w:r>
            <w:r w:rsidR="009448D1" w:rsidRPr="00021823">
              <w:t>agree an</w:t>
            </w:r>
            <w:r w:rsidR="001F3F3A" w:rsidRPr="00021823">
              <w:t xml:space="preserve"> affordable payment plan</w:t>
            </w:r>
            <w:r w:rsidR="009448D1" w:rsidRPr="00021823">
              <w:t xml:space="preserve"> could delay a customer receiving assistance by several weeks, potentially </w:t>
            </w:r>
            <w:r w:rsidR="00680F15" w:rsidRPr="00021823">
              <w:t>worsening</w:t>
            </w:r>
            <w:r w:rsidR="009448D1" w:rsidRPr="00021823">
              <w:t xml:space="preserve"> </w:t>
            </w:r>
            <w:r w:rsidR="00DA79A7" w:rsidRPr="00021823">
              <w:t>their situation</w:t>
            </w:r>
            <w:r w:rsidR="00680F15" w:rsidRPr="00021823">
              <w:t xml:space="preserve">. </w:t>
            </w:r>
            <w:r w:rsidR="009448D1" w:rsidRPr="00021823">
              <w:t xml:space="preserve">Additionally, it </w:t>
            </w:r>
            <w:r w:rsidR="00E961AB" w:rsidRPr="00021823">
              <w:t xml:space="preserve">can </w:t>
            </w:r>
            <w:r w:rsidR="001F3F3A" w:rsidRPr="00021823">
              <w:t xml:space="preserve">place </w:t>
            </w:r>
            <w:r w:rsidR="009448D1" w:rsidRPr="00021823">
              <w:t>an unnecessary</w:t>
            </w:r>
            <w:r w:rsidR="001F3F3A" w:rsidRPr="00021823">
              <w:t xml:space="preserve"> strain on scarce financial counselling resources. </w:t>
            </w:r>
          </w:p>
          <w:p w:rsidR="009448D1" w:rsidRDefault="00DA79A7" w:rsidP="00BA419A">
            <w:pPr>
              <w:cnfStyle w:val="000000000000" w:firstRow="0" w:lastRow="0" w:firstColumn="0" w:lastColumn="0" w:oddVBand="0" w:evenVBand="0" w:oddHBand="0" w:evenHBand="0" w:firstRowFirstColumn="0" w:firstRowLastColumn="0" w:lastRowFirstColumn="0" w:lastRowLastColumn="0"/>
            </w:pPr>
            <w:r w:rsidRPr="00021823">
              <w:t xml:space="preserve">We consider it is not appropriate to put these types of </w:t>
            </w:r>
            <w:r w:rsidR="009448D1" w:rsidRPr="00021823">
              <w:t>barrier</w:t>
            </w:r>
            <w:r w:rsidRPr="00021823">
              <w:t>s</w:t>
            </w:r>
            <w:r w:rsidR="009448D1" w:rsidRPr="00021823">
              <w:t xml:space="preserve"> in the way of a customer getting access to a </w:t>
            </w:r>
            <w:r w:rsidRPr="00021823">
              <w:t xml:space="preserve">payment plan or a </w:t>
            </w:r>
            <w:r w:rsidR="009448D1" w:rsidRPr="00021823">
              <w:t>retailer’s hardship program</w:t>
            </w:r>
            <w:r w:rsidRPr="00021823">
              <w:t>, particularly where this may exacerbate their circumstances.</w:t>
            </w:r>
          </w:p>
          <w:p w:rsidR="00680F15" w:rsidRPr="004357BC" w:rsidRDefault="00632E27" w:rsidP="00BA419A">
            <w:pPr>
              <w:cnfStyle w:val="000000000000" w:firstRow="0" w:lastRow="0" w:firstColumn="0" w:lastColumn="0" w:oddVBand="0" w:evenVBand="0" w:oddHBand="0" w:evenHBand="0" w:firstRowFirstColumn="0" w:firstRowLastColumn="0" w:lastRowFirstColumn="0" w:lastRowLastColumn="0"/>
              <w:rPr>
                <w:b/>
              </w:rPr>
            </w:pPr>
            <w:r w:rsidRPr="00021823">
              <w:rPr>
                <w:b/>
                <w:color w:val="2272A3" w:themeColor="accent4" w:themeShade="80"/>
              </w:rPr>
              <w:t xml:space="preserve">The </w:t>
            </w:r>
            <w:r w:rsidR="00B84832" w:rsidRPr="00021823">
              <w:rPr>
                <w:b/>
                <w:color w:val="2272A3" w:themeColor="accent4" w:themeShade="80"/>
              </w:rPr>
              <w:t>Framework</w:t>
            </w:r>
            <w:r w:rsidRPr="00021823">
              <w:rPr>
                <w:b/>
                <w:color w:val="2272A3" w:themeColor="accent4" w:themeShade="80"/>
              </w:rPr>
              <w:t xml:space="preserve"> emphasises that all payments are to be based on the customer’s capacity to pay.</w:t>
            </w:r>
          </w:p>
        </w:tc>
      </w:tr>
      <w:tr w:rsidR="00632E27" w:rsidTr="00BA419A">
        <w:tc>
          <w:tcPr>
            <w:cnfStyle w:val="001000000000" w:firstRow="0" w:lastRow="0" w:firstColumn="1" w:lastColumn="0" w:oddVBand="0" w:evenVBand="0" w:oddHBand="0" w:evenHBand="0" w:firstRowFirstColumn="0" w:firstRowLastColumn="0" w:lastRowFirstColumn="0" w:lastRowLastColumn="0"/>
            <w:tcW w:w="3227" w:type="dxa"/>
          </w:tcPr>
          <w:p w:rsidR="00632E27" w:rsidRDefault="00632E27" w:rsidP="00BA419A">
            <w:r>
              <w:t>Principle of consistency</w:t>
            </w:r>
          </w:p>
        </w:tc>
        <w:tc>
          <w:tcPr>
            <w:tcW w:w="11111" w:type="dxa"/>
          </w:tcPr>
          <w:p w:rsidR="00680F15" w:rsidRDefault="00632E27" w:rsidP="00BA419A">
            <w:pPr>
              <w:cnfStyle w:val="000000000000" w:firstRow="0" w:lastRow="0" w:firstColumn="0" w:lastColumn="0" w:oddVBand="0" w:evenVBand="0" w:oddHBand="0" w:evenHBand="0" w:firstRowFirstColumn="0" w:firstRowLastColumn="0" w:lastRowFirstColumn="0" w:lastRowLastColumn="0"/>
            </w:pPr>
            <w:r>
              <w:t>Some consumer stakeholders said that it was important that customers receive written confirmation of their repayment arrangements.</w:t>
            </w:r>
          </w:p>
          <w:p w:rsidR="00680F15" w:rsidRDefault="00680F15" w:rsidP="00680F15">
            <w:pPr>
              <w:cnfStyle w:val="000000000000" w:firstRow="0" w:lastRow="0" w:firstColumn="0" w:lastColumn="0" w:oddVBand="0" w:evenVBand="0" w:oddHBand="0" w:evenHBand="0" w:firstRowFirstColumn="0" w:firstRowLastColumn="0" w:lastRowFirstColumn="0" w:lastRowLastColumn="0"/>
            </w:pPr>
            <w:r>
              <w:t xml:space="preserve">We note that the Retail Rules </w:t>
            </w:r>
            <w:r w:rsidR="000902F0">
              <w:t>(</w:t>
            </w:r>
            <w:r>
              <w:t xml:space="preserve">72(2)) already require retailers to inform customers of: </w:t>
            </w:r>
          </w:p>
          <w:p w:rsidR="00680F15" w:rsidRDefault="00680F15" w:rsidP="00E313A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the duration of the plan</w:t>
            </w:r>
          </w:p>
          <w:p w:rsidR="00680F15" w:rsidRDefault="00680F15" w:rsidP="00E313A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t</w:t>
            </w:r>
            <w:r w:rsidRPr="00680F15">
              <w:t>he amount of each instalment payable under the plan, the frequency of instalments and the date by which ea</w:t>
            </w:r>
            <w:r>
              <w:t>ch instalment must be paid</w:t>
            </w:r>
          </w:p>
          <w:p w:rsidR="00680F15" w:rsidRDefault="00680F15" w:rsidP="00E313A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80F15">
              <w:t>if the customer is in arrears—the number of inst</w:t>
            </w:r>
            <w:r>
              <w:t>alments to pay the arrears</w:t>
            </w:r>
          </w:p>
          <w:p w:rsidR="00680F15" w:rsidRPr="00680F15" w:rsidRDefault="00680F15" w:rsidP="00E313A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proofErr w:type="gramStart"/>
            <w:r w:rsidRPr="00680F15">
              <w:t>if</w:t>
            </w:r>
            <w:proofErr w:type="gramEnd"/>
            <w:r w:rsidRPr="00680F15">
              <w:t xml:space="preserve"> the customer is to pay in advance—the basis on which instalments are calculated.</w:t>
            </w:r>
          </w:p>
          <w:p w:rsidR="00632E27" w:rsidRDefault="000902F0" w:rsidP="00BA419A">
            <w:pPr>
              <w:cnfStyle w:val="000000000000" w:firstRow="0" w:lastRow="0" w:firstColumn="0" w:lastColumn="0" w:oddVBand="0" w:evenVBand="0" w:oddHBand="0" w:evenHBand="0" w:firstRowFirstColumn="0" w:firstRowLastColumn="0" w:lastRowFirstColumn="0" w:lastRowLastColumn="0"/>
            </w:pPr>
            <w:r>
              <w:t>Given the amount of information to be provided, we consider it good practice to provide this in writing to the customer so they have a copy they can refer to if needed.</w:t>
            </w:r>
          </w:p>
        </w:tc>
      </w:tr>
    </w:tbl>
    <w:p w:rsidR="00632E27" w:rsidRDefault="00632E27"/>
    <w:sectPr w:rsidR="00632E27" w:rsidSect="00680F15">
      <w:headerReference w:type="default" r:id="rId10"/>
      <w:footerReference w:type="default" r:id="rId11"/>
      <w:footerReference w:type="first" r:id="rId12"/>
      <w:pgSz w:w="16838" w:h="11906" w:orient="landscape"/>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D9" w:rsidRDefault="009530D9" w:rsidP="004B4412">
      <w:pPr>
        <w:spacing w:before="0"/>
      </w:pPr>
      <w:r>
        <w:separator/>
      </w:r>
    </w:p>
  </w:endnote>
  <w:endnote w:type="continuationSeparator" w:id="0">
    <w:p w:rsidR="009530D9" w:rsidRDefault="009530D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91716"/>
      <w:docPartObj>
        <w:docPartGallery w:val="Page Numbers (Bottom of Page)"/>
        <w:docPartUnique/>
      </w:docPartObj>
    </w:sdtPr>
    <w:sdtEndPr>
      <w:rPr>
        <w:noProof/>
      </w:rPr>
    </w:sdtEndPr>
    <w:sdtContent>
      <w:p w:rsidR="00632E27" w:rsidRDefault="00632E27">
        <w:pPr>
          <w:pStyle w:val="Footer"/>
          <w:jc w:val="center"/>
        </w:pPr>
        <w:r>
          <w:fldChar w:fldCharType="begin"/>
        </w:r>
        <w:r>
          <w:instrText xml:space="preserve"> PAGE   \* MERGEFORMAT </w:instrText>
        </w:r>
        <w:r>
          <w:fldChar w:fldCharType="separate"/>
        </w:r>
        <w:r w:rsidR="00021823">
          <w:rPr>
            <w:noProof/>
          </w:rPr>
          <w:t>5</w:t>
        </w:r>
        <w:r>
          <w:rPr>
            <w:noProof/>
          </w:rPr>
          <w:fldChar w:fldCharType="end"/>
        </w:r>
      </w:p>
    </w:sdtContent>
  </w:sdt>
  <w:p w:rsidR="00632E27" w:rsidRDefault="00632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D9" w:rsidRDefault="009530D9" w:rsidP="004B4412">
      <w:pPr>
        <w:spacing w:before="0"/>
      </w:pPr>
      <w:r>
        <w:separator/>
      </w:r>
    </w:p>
  </w:footnote>
  <w:footnote w:type="continuationSeparator" w:id="0">
    <w:p w:rsidR="009530D9" w:rsidRDefault="009530D9"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27" w:rsidRDefault="00632E27">
    <w:pPr>
      <w:pStyle w:val="Header"/>
    </w:pPr>
    <w:r>
      <w:t xml:space="preserve">Australian Energy Regulator – </w:t>
    </w:r>
    <w:r w:rsidRPr="00E313AA">
      <w:rPr>
        <w:i/>
      </w:rPr>
      <w:t>Sustainable Payment Plans</w:t>
    </w:r>
    <w:r w:rsidR="00B678C1">
      <w:rPr>
        <w:i/>
      </w:rPr>
      <w:t xml:space="preserve"> v0.3 revisions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2B65634"/>
    <w:multiLevelType w:val="hybridMultilevel"/>
    <w:tmpl w:val="9D681DC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4">
    <w:nsid w:val="2D606C15"/>
    <w:multiLevelType w:val="hybridMultilevel"/>
    <w:tmpl w:val="6178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3D5180"/>
    <w:multiLevelType w:val="hybridMultilevel"/>
    <w:tmpl w:val="D3F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5E3613B2"/>
    <w:multiLevelType w:val="hybridMultilevel"/>
    <w:tmpl w:val="A1B0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nsid w:val="749003A6"/>
    <w:multiLevelType w:val="hybridMultilevel"/>
    <w:tmpl w:val="4624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7"/>
  </w:num>
  <w:num w:numId="11">
    <w:abstractNumId w:val="9"/>
  </w:num>
  <w:num w:numId="12">
    <w:abstractNumId w:val="12"/>
  </w:num>
  <w:num w:numId="13">
    <w:abstractNumId w:val="16"/>
  </w:num>
  <w:num w:numId="14">
    <w:abstractNumId w:val="2"/>
  </w:num>
  <w:num w:numId="15">
    <w:abstractNumId w:val="26"/>
  </w:num>
  <w:num w:numId="16">
    <w:abstractNumId w:val="30"/>
  </w:num>
  <w:num w:numId="17">
    <w:abstractNumId w:val="29"/>
  </w:num>
  <w:num w:numId="18">
    <w:abstractNumId w:val="21"/>
  </w:num>
  <w:num w:numId="19">
    <w:abstractNumId w:val="15"/>
  </w:num>
  <w:num w:numId="20">
    <w:abstractNumId w:val="18"/>
  </w:num>
  <w:num w:numId="21">
    <w:abstractNumId w:val="27"/>
  </w:num>
  <w:num w:numId="22">
    <w:abstractNumId w:val="23"/>
  </w:num>
  <w:num w:numId="23">
    <w:abstractNumId w:val="8"/>
  </w:num>
  <w:num w:numId="24">
    <w:abstractNumId w:val="3"/>
  </w:num>
  <w:num w:numId="25">
    <w:abstractNumId w:val="19"/>
  </w:num>
  <w:num w:numId="26">
    <w:abstractNumId w:val="11"/>
  </w:num>
  <w:num w:numId="27">
    <w:abstractNumId w:val="24"/>
  </w:num>
  <w:num w:numId="28">
    <w:abstractNumId w:val="13"/>
  </w:num>
  <w:num w:numId="29">
    <w:abstractNumId w:val="20"/>
  </w:num>
  <w:num w:numId="30">
    <w:abstractNumId w:val="14"/>
  </w:num>
  <w:num w:numId="31">
    <w:abstractNumId w:val="22"/>
  </w:num>
  <w:num w:numId="3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arc\AppData\Local\Microsoft\Windows\Temporary Internet Files\Content.Outlook\R09U7OVZ\D15 188386  DRAFT - AER response to key issues.docx"/>
  </w:docVars>
  <w:rsids>
    <w:rsidRoot w:val="009B280D"/>
    <w:rsid w:val="00005515"/>
    <w:rsid w:val="0002115F"/>
    <w:rsid w:val="00021202"/>
    <w:rsid w:val="00021823"/>
    <w:rsid w:val="000225C4"/>
    <w:rsid w:val="0002358B"/>
    <w:rsid w:val="0003578C"/>
    <w:rsid w:val="00041B73"/>
    <w:rsid w:val="00063247"/>
    <w:rsid w:val="00070F9F"/>
    <w:rsid w:val="0007137B"/>
    <w:rsid w:val="00085663"/>
    <w:rsid w:val="00085EBF"/>
    <w:rsid w:val="000902F0"/>
    <w:rsid w:val="00096A33"/>
    <w:rsid w:val="000A5B05"/>
    <w:rsid w:val="000C3993"/>
    <w:rsid w:val="000D122C"/>
    <w:rsid w:val="000E1819"/>
    <w:rsid w:val="000E59AF"/>
    <w:rsid w:val="000E6C72"/>
    <w:rsid w:val="000F2368"/>
    <w:rsid w:val="000F2990"/>
    <w:rsid w:val="00116EB2"/>
    <w:rsid w:val="00124609"/>
    <w:rsid w:val="001573E4"/>
    <w:rsid w:val="00160756"/>
    <w:rsid w:val="0017232E"/>
    <w:rsid w:val="00174102"/>
    <w:rsid w:val="00180157"/>
    <w:rsid w:val="00181223"/>
    <w:rsid w:val="00186F77"/>
    <w:rsid w:val="001926A4"/>
    <w:rsid w:val="00194A3B"/>
    <w:rsid w:val="001A3A19"/>
    <w:rsid w:val="001B246B"/>
    <w:rsid w:val="001B45A0"/>
    <w:rsid w:val="001C18EE"/>
    <w:rsid w:val="001D055E"/>
    <w:rsid w:val="001F3F3A"/>
    <w:rsid w:val="001F492E"/>
    <w:rsid w:val="001F6DA3"/>
    <w:rsid w:val="002068D0"/>
    <w:rsid w:val="002069A3"/>
    <w:rsid w:val="00212737"/>
    <w:rsid w:val="00214FBE"/>
    <w:rsid w:val="00224DB9"/>
    <w:rsid w:val="00251745"/>
    <w:rsid w:val="0026047D"/>
    <w:rsid w:val="00263AC0"/>
    <w:rsid w:val="0026772D"/>
    <w:rsid w:val="00286874"/>
    <w:rsid w:val="00296B65"/>
    <w:rsid w:val="002A7DEF"/>
    <w:rsid w:val="002C3426"/>
    <w:rsid w:val="002D7085"/>
    <w:rsid w:val="002E0615"/>
    <w:rsid w:val="002F1ACC"/>
    <w:rsid w:val="002F7986"/>
    <w:rsid w:val="003000CC"/>
    <w:rsid w:val="00303C4A"/>
    <w:rsid w:val="00307F6D"/>
    <w:rsid w:val="003177A2"/>
    <w:rsid w:val="003271B5"/>
    <w:rsid w:val="003301BA"/>
    <w:rsid w:val="00330CA0"/>
    <w:rsid w:val="00331264"/>
    <w:rsid w:val="00334C8D"/>
    <w:rsid w:val="00336FBF"/>
    <w:rsid w:val="00340655"/>
    <w:rsid w:val="003459E6"/>
    <w:rsid w:val="00347F59"/>
    <w:rsid w:val="003518B3"/>
    <w:rsid w:val="00353C4B"/>
    <w:rsid w:val="00371641"/>
    <w:rsid w:val="003846F1"/>
    <w:rsid w:val="003A673F"/>
    <w:rsid w:val="003B5A70"/>
    <w:rsid w:val="004357BC"/>
    <w:rsid w:val="00475DDE"/>
    <w:rsid w:val="00480B4B"/>
    <w:rsid w:val="00483306"/>
    <w:rsid w:val="00485DC4"/>
    <w:rsid w:val="004B4412"/>
    <w:rsid w:val="004C348C"/>
    <w:rsid w:val="004D55BA"/>
    <w:rsid w:val="004E2855"/>
    <w:rsid w:val="005038DB"/>
    <w:rsid w:val="0052379B"/>
    <w:rsid w:val="00523A94"/>
    <w:rsid w:val="00524056"/>
    <w:rsid w:val="00530128"/>
    <w:rsid w:val="00532467"/>
    <w:rsid w:val="00547BA2"/>
    <w:rsid w:val="00547CCF"/>
    <w:rsid w:val="00564A4D"/>
    <w:rsid w:val="00565C60"/>
    <w:rsid w:val="00571B35"/>
    <w:rsid w:val="00571C9F"/>
    <w:rsid w:val="00577A09"/>
    <w:rsid w:val="00580B78"/>
    <w:rsid w:val="005815E1"/>
    <w:rsid w:val="00584D8F"/>
    <w:rsid w:val="00596D42"/>
    <w:rsid w:val="005A404D"/>
    <w:rsid w:val="005B0006"/>
    <w:rsid w:val="005B1E3C"/>
    <w:rsid w:val="005C24AC"/>
    <w:rsid w:val="005C26CC"/>
    <w:rsid w:val="005C3407"/>
    <w:rsid w:val="005C4DBC"/>
    <w:rsid w:val="005E6C0E"/>
    <w:rsid w:val="00607496"/>
    <w:rsid w:val="00615C6B"/>
    <w:rsid w:val="00632D6D"/>
    <w:rsid w:val="00632E27"/>
    <w:rsid w:val="00642C3E"/>
    <w:rsid w:val="00646025"/>
    <w:rsid w:val="00663DAD"/>
    <w:rsid w:val="00676679"/>
    <w:rsid w:val="00680F15"/>
    <w:rsid w:val="0068408C"/>
    <w:rsid w:val="00691616"/>
    <w:rsid w:val="006B4CF9"/>
    <w:rsid w:val="006B7AC8"/>
    <w:rsid w:val="006C1144"/>
    <w:rsid w:val="006D550F"/>
    <w:rsid w:val="006D77F3"/>
    <w:rsid w:val="006E46B4"/>
    <w:rsid w:val="00701CAB"/>
    <w:rsid w:val="007033FC"/>
    <w:rsid w:val="00707563"/>
    <w:rsid w:val="0072348C"/>
    <w:rsid w:val="00724A37"/>
    <w:rsid w:val="007265E6"/>
    <w:rsid w:val="007303C3"/>
    <w:rsid w:val="00740938"/>
    <w:rsid w:val="00743223"/>
    <w:rsid w:val="00746E01"/>
    <w:rsid w:val="007623D0"/>
    <w:rsid w:val="00763E5D"/>
    <w:rsid w:val="00764CA4"/>
    <w:rsid w:val="00767740"/>
    <w:rsid w:val="00774B1A"/>
    <w:rsid w:val="00777EE6"/>
    <w:rsid w:val="00782EEA"/>
    <w:rsid w:val="00792694"/>
    <w:rsid w:val="007B2C72"/>
    <w:rsid w:val="007C1C53"/>
    <w:rsid w:val="007E26A9"/>
    <w:rsid w:val="007E4904"/>
    <w:rsid w:val="007E4CB5"/>
    <w:rsid w:val="007F066B"/>
    <w:rsid w:val="007F51DB"/>
    <w:rsid w:val="00802C42"/>
    <w:rsid w:val="008033C4"/>
    <w:rsid w:val="00806C88"/>
    <w:rsid w:val="0081034E"/>
    <w:rsid w:val="008344F6"/>
    <w:rsid w:val="0083510F"/>
    <w:rsid w:val="00851209"/>
    <w:rsid w:val="0088007E"/>
    <w:rsid w:val="008837AC"/>
    <w:rsid w:val="008945B4"/>
    <w:rsid w:val="008A587D"/>
    <w:rsid w:val="008B43A6"/>
    <w:rsid w:val="008B52A4"/>
    <w:rsid w:val="008C5486"/>
    <w:rsid w:val="008E7031"/>
    <w:rsid w:val="008E7849"/>
    <w:rsid w:val="008F0CDF"/>
    <w:rsid w:val="008F274A"/>
    <w:rsid w:val="00922C95"/>
    <w:rsid w:val="009233EE"/>
    <w:rsid w:val="009448D1"/>
    <w:rsid w:val="009530D9"/>
    <w:rsid w:val="009661DE"/>
    <w:rsid w:val="00980136"/>
    <w:rsid w:val="009856B7"/>
    <w:rsid w:val="0098602B"/>
    <w:rsid w:val="00990EC5"/>
    <w:rsid w:val="00991B3B"/>
    <w:rsid w:val="009962BA"/>
    <w:rsid w:val="00997A38"/>
    <w:rsid w:val="009B280D"/>
    <w:rsid w:val="009B74B0"/>
    <w:rsid w:val="009D4414"/>
    <w:rsid w:val="009D6B46"/>
    <w:rsid w:val="009F4940"/>
    <w:rsid w:val="00A04034"/>
    <w:rsid w:val="00A1665B"/>
    <w:rsid w:val="00A4478A"/>
    <w:rsid w:val="00A44852"/>
    <w:rsid w:val="00A57D04"/>
    <w:rsid w:val="00A60A26"/>
    <w:rsid w:val="00A61598"/>
    <w:rsid w:val="00A84F46"/>
    <w:rsid w:val="00A871F4"/>
    <w:rsid w:val="00AB62B6"/>
    <w:rsid w:val="00AB6F1A"/>
    <w:rsid w:val="00AC1B2C"/>
    <w:rsid w:val="00AC3264"/>
    <w:rsid w:val="00AC6F01"/>
    <w:rsid w:val="00AD5E5C"/>
    <w:rsid w:val="00AE0FE2"/>
    <w:rsid w:val="00AE1BF1"/>
    <w:rsid w:val="00AF0DD2"/>
    <w:rsid w:val="00B10314"/>
    <w:rsid w:val="00B13048"/>
    <w:rsid w:val="00B15998"/>
    <w:rsid w:val="00B159E9"/>
    <w:rsid w:val="00B1716D"/>
    <w:rsid w:val="00B17A1D"/>
    <w:rsid w:val="00B207A0"/>
    <w:rsid w:val="00B25509"/>
    <w:rsid w:val="00B56E03"/>
    <w:rsid w:val="00B60F5D"/>
    <w:rsid w:val="00B678C1"/>
    <w:rsid w:val="00B67E91"/>
    <w:rsid w:val="00B8080B"/>
    <w:rsid w:val="00B84832"/>
    <w:rsid w:val="00B87C39"/>
    <w:rsid w:val="00BA4665"/>
    <w:rsid w:val="00BB05DB"/>
    <w:rsid w:val="00BB2FB2"/>
    <w:rsid w:val="00BB3304"/>
    <w:rsid w:val="00BD3446"/>
    <w:rsid w:val="00BE1F1B"/>
    <w:rsid w:val="00BE47B5"/>
    <w:rsid w:val="00BE4C99"/>
    <w:rsid w:val="00BF2AD4"/>
    <w:rsid w:val="00C058AB"/>
    <w:rsid w:val="00C06739"/>
    <w:rsid w:val="00C30C92"/>
    <w:rsid w:val="00C538A9"/>
    <w:rsid w:val="00C53B5A"/>
    <w:rsid w:val="00C54F5A"/>
    <w:rsid w:val="00C755AD"/>
    <w:rsid w:val="00C86679"/>
    <w:rsid w:val="00CB666B"/>
    <w:rsid w:val="00CF799E"/>
    <w:rsid w:val="00D01CF0"/>
    <w:rsid w:val="00D0442A"/>
    <w:rsid w:val="00D203E1"/>
    <w:rsid w:val="00D32C1C"/>
    <w:rsid w:val="00D544B8"/>
    <w:rsid w:val="00D61388"/>
    <w:rsid w:val="00D61A54"/>
    <w:rsid w:val="00D64DEA"/>
    <w:rsid w:val="00D80893"/>
    <w:rsid w:val="00D86EC8"/>
    <w:rsid w:val="00D92CF1"/>
    <w:rsid w:val="00D92D38"/>
    <w:rsid w:val="00D93B3B"/>
    <w:rsid w:val="00D950F5"/>
    <w:rsid w:val="00DA79A7"/>
    <w:rsid w:val="00DB0F93"/>
    <w:rsid w:val="00DB29FF"/>
    <w:rsid w:val="00DC3124"/>
    <w:rsid w:val="00DC542F"/>
    <w:rsid w:val="00DC7981"/>
    <w:rsid w:val="00DD5ED6"/>
    <w:rsid w:val="00DE1D9E"/>
    <w:rsid w:val="00DE4EFA"/>
    <w:rsid w:val="00DE5520"/>
    <w:rsid w:val="00DF325D"/>
    <w:rsid w:val="00E04818"/>
    <w:rsid w:val="00E04EA6"/>
    <w:rsid w:val="00E06442"/>
    <w:rsid w:val="00E13249"/>
    <w:rsid w:val="00E23993"/>
    <w:rsid w:val="00E25B8C"/>
    <w:rsid w:val="00E313AA"/>
    <w:rsid w:val="00E440E7"/>
    <w:rsid w:val="00E4674F"/>
    <w:rsid w:val="00E47F22"/>
    <w:rsid w:val="00E65C85"/>
    <w:rsid w:val="00E66199"/>
    <w:rsid w:val="00E755EC"/>
    <w:rsid w:val="00E7624D"/>
    <w:rsid w:val="00E961AB"/>
    <w:rsid w:val="00EA0E08"/>
    <w:rsid w:val="00EA3D42"/>
    <w:rsid w:val="00EA435D"/>
    <w:rsid w:val="00EA6B1B"/>
    <w:rsid w:val="00EE28F3"/>
    <w:rsid w:val="00EF5110"/>
    <w:rsid w:val="00F029BB"/>
    <w:rsid w:val="00F15882"/>
    <w:rsid w:val="00F20BD3"/>
    <w:rsid w:val="00F333DB"/>
    <w:rsid w:val="00F343DE"/>
    <w:rsid w:val="00F373A5"/>
    <w:rsid w:val="00F47559"/>
    <w:rsid w:val="00F602BF"/>
    <w:rsid w:val="00F60BE4"/>
    <w:rsid w:val="00F61B84"/>
    <w:rsid w:val="00F64C7B"/>
    <w:rsid w:val="00F676DD"/>
    <w:rsid w:val="00F75A26"/>
    <w:rsid w:val="00F83FAD"/>
    <w:rsid w:val="00F91DC6"/>
    <w:rsid w:val="00F952A0"/>
    <w:rsid w:val="00FA3228"/>
    <w:rsid w:val="00FA3C7F"/>
    <w:rsid w:val="00FB52D7"/>
    <w:rsid w:val="00FB55D6"/>
    <w:rsid w:val="00FB74E2"/>
    <w:rsid w:val="00FD5614"/>
    <w:rsid w:val="00FE03F2"/>
    <w:rsid w:val="00FE0BE1"/>
    <w:rsid w:val="00FE1DE9"/>
    <w:rsid w:val="00FE39C2"/>
    <w:rsid w:val="00FE64AE"/>
    <w:rsid w:val="00FF7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2F1ACC"/>
    <w:rPr>
      <w:sz w:val="16"/>
      <w:szCs w:val="16"/>
    </w:rPr>
  </w:style>
  <w:style w:type="paragraph" w:styleId="CommentText">
    <w:name w:val="annotation text"/>
    <w:basedOn w:val="Normal"/>
    <w:link w:val="CommentTextChar"/>
    <w:uiPriority w:val="99"/>
    <w:semiHidden/>
    <w:unhideWhenUsed/>
    <w:rsid w:val="002F1ACC"/>
    <w:rPr>
      <w:sz w:val="20"/>
      <w:szCs w:val="20"/>
    </w:rPr>
  </w:style>
  <w:style w:type="character" w:customStyle="1" w:styleId="CommentTextChar">
    <w:name w:val="Comment Text Char"/>
    <w:basedOn w:val="DefaultParagraphFont"/>
    <w:link w:val="CommentText"/>
    <w:uiPriority w:val="99"/>
    <w:semiHidden/>
    <w:rsid w:val="002F1A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ACC"/>
    <w:rPr>
      <w:b/>
      <w:bCs/>
    </w:rPr>
  </w:style>
  <w:style w:type="character" w:customStyle="1" w:styleId="CommentSubjectChar">
    <w:name w:val="Comment Subject Char"/>
    <w:basedOn w:val="CommentTextChar"/>
    <w:link w:val="CommentSubject"/>
    <w:uiPriority w:val="99"/>
    <w:semiHidden/>
    <w:rsid w:val="002F1ACC"/>
    <w:rPr>
      <w:rFonts w:ascii="Arial" w:hAnsi="Arial"/>
      <w:b/>
      <w:bCs/>
      <w:sz w:val="20"/>
      <w:szCs w:val="20"/>
    </w:rPr>
  </w:style>
  <w:style w:type="paragraph" w:styleId="Revision">
    <w:name w:val="Revision"/>
    <w:hidden/>
    <w:uiPriority w:val="99"/>
    <w:semiHidden/>
    <w:rsid w:val="00D32C1C"/>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2F1ACC"/>
    <w:rPr>
      <w:sz w:val="16"/>
      <w:szCs w:val="16"/>
    </w:rPr>
  </w:style>
  <w:style w:type="paragraph" w:styleId="CommentText">
    <w:name w:val="annotation text"/>
    <w:basedOn w:val="Normal"/>
    <w:link w:val="CommentTextChar"/>
    <w:uiPriority w:val="99"/>
    <w:semiHidden/>
    <w:unhideWhenUsed/>
    <w:rsid w:val="002F1ACC"/>
    <w:rPr>
      <w:sz w:val="20"/>
      <w:szCs w:val="20"/>
    </w:rPr>
  </w:style>
  <w:style w:type="character" w:customStyle="1" w:styleId="CommentTextChar">
    <w:name w:val="Comment Text Char"/>
    <w:basedOn w:val="DefaultParagraphFont"/>
    <w:link w:val="CommentText"/>
    <w:uiPriority w:val="99"/>
    <w:semiHidden/>
    <w:rsid w:val="002F1A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ACC"/>
    <w:rPr>
      <w:b/>
      <w:bCs/>
    </w:rPr>
  </w:style>
  <w:style w:type="character" w:customStyle="1" w:styleId="CommentSubjectChar">
    <w:name w:val="Comment Subject Char"/>
    <w:basedOn w:val="CommentTextChar"/>
    <w:link w:val="CommentSubject"/>
    <w:uiPriority w:val="99"/>
    <w:semiHidden/>
    <w:rsid w:val="002F1ACC"/>
    <w:rPr>
      <w:rFonts w:ascii="Arial" w:hAnsi="Arial"/>
      <w:b/>
      <w:bCs/>
      <w:sz w:val="20"/>
      <w:szCs w:val="20"/>
    </w:rPr>
  </w:style>
  <w:style w:type="paragraph" w:styleId="Revision">
    <w:name w:val="Revision"/>
    <w:hidden/>
    <w:uiPriority w:val="99"/>
    <w:semiHidden/>
    <w:rsid w:val="00D32C1C"/>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C0F6D-C610-44A1-9721-5331CB36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1369CB8C</Template>
  <TotalTime>434</TotalTime>
  <Pages>6</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Kidd, Simon</dc:creator>
  <cp:lastModifiedBy>Kidd, Simon</cp:lastModifiedBy>
  <cp:revision>27</cp:revision>
  <dcterms:created xsi:type="dcterms:W3CDTF">2015-12-16T07:21:00Z</dcterms:created>
  <dcterms:modified xsi:type="dcterms:W3CDTF">2016-01-07T23:12:00Z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8598783</vt:lpwstr>
  </property>
  <property fmtid="{D5CDD505-2E9C-101B-9397-08002B2CF9AE}" pid="3" name="currfile">
    <vt:lpwstr>\\cdchnas-evs02\home$\skidd\aer sustainable payment plans framework - discussion of key stakeholder issues - 8 january 2016 (D2015-00189191).docx</vt:lpwstr>
  </property>
</Properties>
</file>