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33C" w:rsidRDefault="00F70204" w:rsidP="00D43956">
      <w:pPr>
        <w:pStyle w:val="AERbodytext"/>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91pt;margin-top:-58pt;width:313.5pt;height:159.7pt;z-index:251660288" filled="t">
            <v:imagedata r:id="rId9" o:title="AER"/>
          </v:shape>
        </w:pict>
      </w:r>
    </w:p>
    <w:p w:rsidR="0039533C" w:rsidRDefault="0039533C" w:rsidP="000510D1"/>
    <w:p w:rsidR="00C316DA" w:rsidRPr="00C316DA" w:rsidRDefault="00C316DA" w:rsidP="00C316DA">
      <w:pPr>
        <w:tabs>
          <w:tab w:val="left" w:pos="1701"/>
        </w:tabs>
        <w:spacing w:line="240" w:lineRule="atLeast"/>
        <w:ind w:right="567"/>
        <w:rPr>
          <w:rFonts w:ascii="Arial" w:hAnsi="Arial"/>
          <w:sz w:val="20"/>
          <w:szCs w:val="20"/>
          <w:lang w:val="en-GB"/>
        </w:rPr>
      </w:pPr>
    </w:p>
    <w:p w:rsidR="00C316DA" w:rsidRPr="00C316DA" w:rsidRDefault="00C316DA" w:rsidP="00C316DA">
      <w:pPr>
        <w:tabs>
          <w:tab w:val="left" w:pos="1701"/>
        </w:tabs>
        <w:spacing w:line="240" w:lineRule="atLeast"/>
        <w:ind w:right="567"/>
        <w:rPr>
          <w:rFonts w:ascii="Arial" w:hAnsi="Arial"/>
          <w:sz w:val="20"/>
          <w:szCs w:val="20"/>
          <w:lang w:val="en-GB"/>
        </w:rPr>
      </w:pPr>
    </w:p>
    <w:p w:rsidR="00C316DA" w:rsidRPr="00C316DA" w:rsidRDefault="00C316DA" w:rsidP="00C316DA">
      <w:pPr>
        <w:tabs>
          <w:tab w:val="left" w:pos="1701"/>
        </w:tabs>
        <w:spacing w:line="240" w:lineRule="atLeast"/>
        <w:ind w:right="567"/>
        <w:rPr>
          <w:rFonts w:ascii="Arial" w:hAnsi="Arial"/>
          <w:sz w:val="20"/>
          <w:szCs w:val="20"/>
          <w:lang w:val="en-GB"/>
        </w:rPr>
      </w:pPr>
    </w:p>
    <w:p w:rsidR="00C316DA" w:rsidRPr="00C316DA" w:rsidRDefault="00C316DA" w:rsidP="00C316DA">
      <w:pPr>
        <w:tabs>
          <w:tab w:val="left" w:pos="1701"/>
        </w:tabs>
        <w:spacing w:line="240" w:lineRule="atLeast"/>
        <w:ind w:right="567"/>
        <w:rPr>
          <w:rFonts w:ascii="Arial" w:hAnsi="Arial"/>
          <w:sz w:val="20"/>
          <w:szCs w:val="20"/>
          <w:lang w:val="en-GB"/>
        </w:rPr>
      </w:pPr>
    </w:p>
    <w:p w:rsidR="00C316DA" w:rsidRPr="00C316DA" w:rsidRDefault="00C316DA" w:rsidP="00C316DA">
      <w:pPr>
        <w:tabs>
          <w:tab w:val="left" w:pos="1701"/>
        </w:tabs>
        <w:spacing w:line="240" w:lineRule="atLeast"/>
        <w:ind w:right="567"/>
        <w:rPr>
          <w:rFonts w:ascii="Arial" w:hAnsi="Arial"/>
          <w:sz w:val="20"/>
          <w:szCs w:val="20"/>
          <w:lang w:val="en-GB"/>
        </w:rPr>
      </w:pPr>
    </w:p>
    <w:p w:rsidR="00C316DA" w:rsidRPr="005F1F99" w:rsidRDefault="00C316DA" w:rsidP="00C316DA">
      <w:pPr>
        <w:tabs>
          <w:tab w:val="left" w:pos="1701"/>
        </w:tabs>
        <w:spacing w:line="240" w:lineRule="atLeast"/>
        <w:ind w:right="567"/>
        <w:rPr>
          <w:rFonts w:ascii="Arial" w:hAnsi="Arial"/>
          <w:sz w:val="16"/>
          <w:szCs w:val="16"/>
          <w:lang w:val="en-GB"/>
        </w:rPr>
      </w:pPr>
    </w:p>
    <w:p w:rsidR="00C316DA" w:rsidRPr="005F1F99" w:rsidRDefault="00C316DA" w:rsidP="00C316DA">
      <w:pPr>
        <w:tabs>
          <w:tab w:val="left" w:pos="1701"/>
        </w:tabs>
        <w:spacing w:line="240" w:lineRule="atLeast"/>
        <w:ind w:right="567"/>
        <w:rPr>
          <w:rFonts w:ascii="Arial" w:hAnsi="Arial"/>
          <w:sz w:val="16"/>
          <w:szCs w:val="16"/>
          <w:lang w:val="en-GB"/>
        </w:rPr>
      </w:pPr>
      <w:r w:rsidRPr="005F1F99">
        <w:rPr>
          <w:rFonts w:ascii="Arial" w:hAnsi="Arial"/>
          <w:sz w:val="16"/>
          <w:szCs w:val="16"/>
          <w:lang w:val="en-GB"/>
        </w:rPr>
        <w:t>Our Ref:</w:t>
      </w:r>
      <w:r w:rsidR="00392B85" w:rsidRPr="005F1F99">
        <w:rPr>
          <w:rFonts w:ascii="Arial" w:hAnsi="Arial"/>
          <w:sz w:val="16"/>
          <w:szCs w:val="16"/>
          <w:lang w:val="en-GB"/>
        </w:rPr>
        <w:t xml:space="preserve"> D15/77213</w:t>
      </w:r>
      <w:r w:rsidRPr="005F1F99">
        <w:rPr>
          <w:rFonts w:ascii="Arial" w:hAnsi="Arial"/>
          <w:sz w:val="16"/>
          <w:szCs w:val="16"/>
          <w:lang w:val="en-GB"/>
        </w:rPr>
        <w:tab/>
      </w:r>
      <w:bookmarkStart w:id="1" w:name="OurRef"/>
      <w:bookmarkEnd w:id="1"/>
    </w:p>
    <w:p w:rsidR="00C316DA" w:rsidRPr="005F1F99" w:rsidRDefault="00C316DA" w:rsidP="00C316DA">
      <w:pPr>
        <w:tabs>
          <w:tab w:val="left" w:pos="1701"/>
        </w:tabs>
        <w:spacing w:line="240" w:lineRule="atLeast"/>
        <w:ind w:right="567"/>
        <w:rPr>
          <w:rFonts w:ascii="Arial" w:hAnsi="Arial"/>
          <w:sz w:val="16"/>
          <w:szCs w:val="16"/>
          <w:lang w:val="en-GB"/>
        </w:rPr>
      </w:pPr>
      <w:r w:rsidRPr="005F1F99">
        <w:rPr>
          <w:rFonts w:ascii="Arial" w:hAnsi="Arial"/>
          <w:sz w:val="16"/>
          <w:szCs w:val="16"/>
          <w:lang w:val="en-GB"/>
        </w:rPr>
        <w:t>Your Ref:</w:t>
      </w:r>
      <w:r w:rsidR="003C2A68" w:rsidRPr="005F1F99">
        <w:rPr>
          <w:rFonts w:ascii="Arial" w:hAnsi="Arial"/>
          <w:sz w:val="16"/>
          <w:szCs w:val="16"/>
          <w:lang w:val="en-GB"/>
        </w:rPr>
        <w:t xml:space="preserve"> ERC0184</w:t>
      </w:r>
      <w:r w:rsidRPr="005F1F99">
        <w:rPr>
          <w:rFonts w:ascii="Arial" w:hAnsi="Arial"/>
          <w:sz w:val="16"/>
          <w:szCs w:val="16"/>
          <w:lang w:val="en-GB"/>
        </w:rPr>
        <w:tab/>
      </w:r>
      <w:bookmarkStart w:id="2" w:name="YourRef"/>
      <w:bookmarkEnd w:id="2"/>
    </w:p>
    <w:p w:rsidR="00C316DA" w:rsidRDefault="00C316DA" w:rsidP="00C316DA">
      <w:pPr>
        <w:tabs>
          <w:tab w:val="left" w:pos="1701"/>
        </w:tabs>
        <w:spacing w:line="240" w:lineRule="atLeast"/>
        <w:ind w:right="567"/>
        <w:rPr>
          <w:sz w:val="20"/>
          <w:szCs w:val="20"/>
          <w:lang w:val="en-GB"/>
        </w:rPr>
      </w:pPr>
      <w:bookmarkStart w:id="3" w:name="ContactOfficer"/>
      <w:bookmarkStart w:id="4" w:name="ContactPhone"/>
      <w:bookmarkEnd w:id="3"/>
      <w:bookmarkEnd w:id="4"/>
    </w:p>
    <w:p w:rsidR="005F1F99" w:rsidRDefault="005F1F99" w:rsidP="00C316DA">
      <w:pPr>
        <w:tabs>
          <w:tab w:val="left" w:pos="1701"/>
        </w:tabs>
        <w:spacing w:line="240" w:lineRule="atLeast"/>
        <w:ind w:right="567"/>
        <w:rPr>
          <w:sz w:val="20"/>
          <w:szCs w:val="20"/>
          <w:lang w:val="en-GB"/>
        </w:rPr>
      </w:pPr>
    </w:p>
    <w:p w:rsidR="005F1F99" w:rsidRPr="00C316DA" w:rsidRDefault="005F1F99" w:rsidP="00C316DA">
      <w:pPr>
        <w:tabs>
          <w:tab w:val="left" w:pos="1701"/>
        </w:tabs>
        <w:spacing w:line="240" w:lineRule="atLeast"/>
        <w:ind w:right="567"/>
        <w:rPr>
          <w:sz w:val="20"/>
          <w:szCs w:val="20"/>
          <w:lang w:val="en-GB"/>
        </w:rPr>
      </w:pPr>
    </w:p>
    <w:p w:rsidR="00C316DA" w:rsidRPr="00C316DA" w:rsidRDefault="005F1F99" w:rsidP="00C316DA">
      <w:pPr>
        <w:tabs>
          <w:tab w:val="left" w:pos="1701"/>
        </w:tabs>
        <w:spacing w:line="240" w:lineRule="atLeast"/>
        <w:ind w:right="567"/>
        <w:rPr>
          <w:rFonts w:ascii="Arial" w:hAnsi="Arial"/>
          <w:sz w:val="20"/>
          <w:szCs w:val="20"/>
          <w:lang w:val="en-GB"/>
        </w:rPr>
      </w:pPr>
      <w:bookmarkStart w:id="5" w:name="Date"/>
      <w:bookmarkEnd w:id="5"/>
      <w:r>
        <w:rPr>
          <w:rFonts w:ascii="Arial" w:hAnsi="Arial"/>
          <w:sz w:val="20"/>
          <w:szCs w:val="20"/>
          <w:lang w:val="en-GB"/>
        </w:rPr>
        <w:t>1</w:t>
      </w:r>
      <w:r w:rsidR="00BF606E">
        <w:rPr>
          <w:rFonts w:ascii="Arial" w:hAnsi="Arial"/>
          <w:sz w:val="20"/>
          <w:szCs w:val="20"/>
          <w:lang w:val="en-GB"/>
        </w:rPr>
        <w:t>5</w:t>
      </w:r>
      <w:r w:rsidR="00C316DA" w:rsidRPr="00C316DA">
        <w:rPr>
          <w:rFonts w:ascii="Arial" w:hAnsi="Arial"/>
          <w:sz w:val="20"/>
          <w:szCs w:val="20"/>
          <w:lang w:val="en-GB"/>
        </w:rPr>
        <w:t xml:space="preserve"> June 2015</w:t>
      </w:r>
    </w:p>
    <w:p w:rsidR="00C316DA" w:rsidRDefault="00C316DA" w:rsidP="00C316DA">
      <w:pPr>
        <w:tabs>
          <w:tab w:val="left" w:pos="1701"/>
        </w:tabs>
        <w:spacing w:line="240" w:lineRule="atLeast"/>
        <w:ind w:right="567"/>
        <w:rPr>
          <w:rFonts w:ascii="Arial" w:hAnsi="Arial"/>
          <w:sz w:val="20"/>
          <w:szCs w:val="20"/>
          <w:lang w:val="en-GB"/>
        </w:rPr>
      </w:pPr>
    </w:p>
    <w:p w:rsidR="005F1F99" w:rsidRPr="00C316DA" w:rsidRDefault="005F1F99" w:rsidP="00C316DA">
      <w:pPr>
        <w:tabs>
          <w:tab w:val="left" w:pos="1701"/>
        </w:tabs>
        <w:spacing w:line="240" w:lineRule="atLeast"/>
        <w:ind w:right="567"/>
        <w:rPr>
          <w:rFonts w:ascii="Arial" w:hAnsi="Arial"/>
          <w:sz w:val="20"/>
          <w:szCs w:val="20"/>
          <w:lang w:val="en-GB"/>
        </w:rPr>
      </w:pPr>
    </w:p>
    <w:p w:rsidR="00C316DA" w:rsidRPr="00C316DA" w:rsidRDefault="00BF606E" w:rsidP="00C316DA">
      <w:pPr>
        <w:tabs>
          <w:tab w:val="left" w:pos="1701"/>
        </w:tabs>
        <w:spacing w:line="240" w:lineRule="atLeast"/>
        <w:ind w:right="567"/>
        <w:rPr>
          <w:rFonts w:ascii="Arial" w:hAnsi="Arial"/>
          <w:sz w:val="20"/>
          <w:szCs w:val="20"/>
          <w:lang w:val="en-GB"/>
        </w:rPr>
      </w:pPr>
      <w:bookmarkStart w:id="6" w:name="Recipient"/>
      <w:bookmarkEnd w:id="6"/>
      <w:r>
        <w:rPr>
          <w:rFonts w:ascii="Arial" w:hAnsi="Arial"/>
          <w:sz w:val="20"/>
          <w:szCs w:val="20"/>
          <w:lang w:val="en-GB"/>
        </w:rPr>
        <w:t>Mr John Pierce</w:t>
      </w:r>
    </w:p>
    <w:p w:rsidR="00C316DA" w:rsidRPr="00C316DA" w:rsidRDefault="00BF606E" w:rsidP="00C316DA">
      <w:pPr>
        <w:tabs>
          <w:tab w:val="left" w:pos="1701"/>
        </w:tabs>
        <w:spacing w:line="240" w:lineRule="atLeast"/>
        <w:ind w:right="567"/>
        <w:rPr>
          <w:rFonts w:ascii="Arial" w:hAnsi="Arial"/>
          <w:sz w:val="20"/>
          <w:szCs w:val="20"/>
          <w:lang w:val="en-GB"/>
        </w:rPr>
      </w:pPr>
      <w:r>
        <w:rPr>
          <w:rFonts w:ascii="Arial" w:hAnsi="Arial"/>
          <w:sz w:val="20"/>
          <w:szCs w:val="20"/>
          <w:lang w:val="en-GB"/>
        </w:rPr>
        <w:t>Chairman</w:t>
      </w:r>
    </w:p>
    <w:p w:rsidR="00C316DA" w:rsidRPr="00C316DA" w:rsidRDefault="00C316DA" w:rsidP="00C316DA">
      <w:pPr>
        <w:tabs>
          <w:tab w:val="left" w:pos="1701"/>
        </w:tabs>
        <w:spacing w:line="240" w:lineRule="atLeast"/>
        <w:ind w:right="567"/>
        <w:rPr>
          <w:rFonts w:ascii="Arial" w:hAnsi="Arial"/>
          <w:sz w:val="20"/>
          <w:szCs w:val="20"/>
          <w:lang w:val="en-GB"/>
        </w:rPr>
      </w:pPr>
      <w:r w:rsidRPr="00C316DA">
        <w:rPr>
          <w:rFonts w:ascii="Arial" w:hAnsi="Arial"/>
          <w:sz w:val="20"/>
          <w:szCs w:val="20"/>
          <w:lang w:val="en-GB"/>
        </w:rPr>
        <w:t>Australian Energy Market Commission</w:t>
      </w:r>
    </w:p>
    <w:p w:rsidR="00C316DA" w:rsidRPr="00C316DA" w:rsidRDefault="00C316DA" w:rsidP="00C316DA">
      <w:pPr>
        <w:tabs>
          <w:tab w:val="left" w:pos="1701"/>
        </w:tabs>
        <w:spacing w:line="240" w:lineRule="atLeast"/>
        <w:ind w:right="567"/>
        <w:rPr>
          <w:rFonts w:ascii="Arial" w:hAnsi="Arial"/>
          <w:sz w:val="20"/>
          <w:szCs w:val="20"/>
          <w:lang w:val="en-GB"/>
        </w:rPr>
      </w:pPr>
      <w:r w:rsidRPr="00C316DA">
        <w:rPr>
          <w:rFonts w:ascii="Arial" w:hAnsi="Arial"/>
          <w:sz w:val="20"/>
          <w:szCs w:val="20"/>
          <w:lang w:val="en-GB"/>
        </w:rPr>
        <w:t>PO Box A2449</w:t>
      </w:r>
    </w:p>
    <w:p w:rsidR="00C316DA" w:rsidRPr="00C316DA" w:rsidRDefault="00C316DA" w:rsidP="00C316DA">
      <w:pPr>
        <w:tabs>
          <w:tab w:val="left" w:pos="1701"/>
        </w:tabs>
        <w:spacing w:line="240" w:lineRule="atLeast"/>
        <w:ind w:right="567"/>
        <w:rPr>
          <w:rFonts w:ascii="Arial" w:hAnsi="Arial"/>
          <w:sz w:val="20"/>
          <w:szCs w:val="20"/>
          <w:lang w:val="en-GB"/>
        </w:rPr>
      </w:pPr>
      <w:r w:rsidRPr="00C316DA">
        <w:rPr>
          <w:rFonts w:ascii="Arial" w:hAnsi="Arial"/>
          <w:sz w:val="20"/>
          <w:szCs w:val="20"/>
          <w:lang w:val="en-GB"/>
        </w:rPr>
        <w:t>SYDNEY SOUTH NSW 1235</w:t>
      </w:r>
    </w:p>
    <w:p w:rsidR="00C316DA" w:rsidRPr="00C316DA" w:rsidRDefault="00C316DA" w:rsidP="00C316DA">
      <w:pPr>
        <w:tabs>
          <w:tab w:val="left" w:pos="1701"/>
        </w:tabs>
        <w:spacing w:line="240" w:lineRule="atLeast"/>
        <w:ind w:right="567"/>
        <w:rPr>
          <w:rFonts w:ascii="Arial" w:hAnsi="Arial"/>
          <w:sz w:val="20"/>
          <w:szCs w:val="20"/>
          <w:lang w:val="en-GB"/>
        </w:rPr>
      </w:pPr>
    </w:p>
    <w:p w:rsidR="00C316DA" w:rsidRPr="00C316DA" w:rsidRDefault="00C316DA" w:rsidP="00C316DA">
      <w:pPr>
        <w:tabs>
          <w:tab w:val="left" w:pos="1701"/>
        </w:tabs>
        <w:spacing w:line="240" w:lineRule="atLeast"/>
        <w:ind w:right="567"/>
        <w:rPr>
          <w:rFonts w:ascii="Arial" w:hAnsi="Arial"/>
          <w:sz w:val="20"/>
          <w:szCs w:val="20"/>
          <w:lang w:val="en-GB"/>
        </w:rPr>
      </w:pPr>
    </w:p>
    <w:p w:rsidR="00C316DA" w:rsidRPr="00C316DA" w:rsidRDefault="00C316DA" w:rsidP="00C316DA">
      <w:pPr>
        <w:tabs>
          <w:tab w:val="left" w:pos="1701"/>
        </w:tabs>
        <w:spacing w:line="240" w:lineRule="atLeast"/>
        <w:ind w:right="567"/>
        <w:rPr>
          <w:rFonts w:ascii="Arial" w:hAnsi="Arial"/>
          <w:sz w:val="20"/>
          <w:szCs w:val="20"/>
          <w:lang w:val="en-GB"/>
        </w:rPr>
      </w:pPr>
    </w:p>
    <w:p w:rsidR="00C316DA" w:rsidRPr="00C316DA" w:rsidRDefault="00C316DA" w:rsidP="00C316DA">
      <w:pPr>
        <w:tabs>
          <w:tab w:val="left" w:pos="1701"/>
        </w:tabs>
        <w:spacing w:line="240" w:lineRule="atLeast"/>
        <w:ind w:right="567"/>
        <w:rPr>
          <w:rFonts w:ascii="Arial" w:hAnsi="Arial"/>
          <w:sz w:val="20"/>
          <w:szCs w:val="20"/>
          <w:lang w:val="en-GB"/>
        </w:rPr>
      </w:pPr>
    </w:p>
    <w:p w:rsidR="00C316DA" w:rsidRPr="00C316DA" w:rsidRDefault="00C316DA" w:rsidP="00C316DA">
      <w:pPr>
        <w:spacing w:line="240" w:lineRule="atLeast"/>
        <w:ind w:right="567"/>
        <w:rPr>
          <w:rFonts w:ascii="Arial" w:eastAsia="Arial" w:hAnsi="Arial"/>
          <w:sz w:val="22"/>
          <w:szCs w:val="22"/>
          <w:lang w:eastAsia="en-US"/>
        </w:rPr>
      </w:pPr>
      <w:r w:rsidRPr="00C316DA">
        <w:rPr>
          <w:rFonts w:ascii="Arial" w:eastAsia="Arial" w:hAnsi="Arial"/>
          <w:sz w:val="22"/>
          <w:szCs w:val="22"/>
          <w:lang w:eastAsia="en-US"/>
        </w:rPr>
        <w:t xml:space="preserve">Dear </w:t>
      </w:r>
      <w:bookmarkStart w:id="7" w:name="Salutation"/>
      <w:bookmarkEnd w:id="7"/>
      <w:r w:rsidR="00BF606E">
        <w:rPr>
          <w:rFonts w:ascii="Arial" w:eastAsia="Arial" w:hAnsi="Arial"/>
          <w:sz w:val="22"/>
          <w:szCs w:val="22"/>
          <w:lang w:eastAsia="en-US"/>
        </w:rPr>
        <w:t>Mr Pierce</w:t>
      </w:r>
    </w:p>
    <w:p w:rsidR="00C316DA" w:rsidRPr="00C316DA" w:rsidRDefault="00C316DA" w:rsidP="00C316DA">
      <w:pPr>
        <w:spacing w:before="240" w:after="120" w:line="240" w:lineRule="atLeast"/>
        <w:ind w:right="567"/>
        <w:outlineLvl w:val="4"/>
        <w:rPr>
          <w:rFonts w:ascii="Arial" w:eastAsia="Arial" w:hAnsi="Arial"/>
          <w:b/>
          <w:sz w:val="22"/>
          <w:szCs w:val="22"/>
          <w:lang w:eastAsia="en-US"/>
        </w:rPr>
      </w:pPr>
      <w:bookmarkStart w:id="8" w:name="Subject"/>
      <w:bookmarkEnd w:id="8"/>
      <w:r w:rsidRPr="00C316DA">
        <w:rPr>
          <w:rFonts w:ascii="Arial" w:eastAsia="Arial" w:hAnsi="Arial"/>
          <w:b/>
          <w:sz w:val="22"/>
          <w:szCs w:val="22"/>
          <w:lang w:eastAsia="en-US"/>
        </w:rPr>
        <w:t>AEMO Access to Demand Forecasting Information</w:t>
      </w:r>
    </w:p>
    <w:p w:rsidR="00C316DA" w:rsidRPr="00C316DA" w:rsidRDefault="00C316DA" w:rsidP="00C316DA">
      <w:pPr>
        <w:spacing w:line="240" w:lineRule="atLeast"/>
        <w:ind w:right="567"/>
        <w:rPr>
          <w:rFonts w:ascii="Arial" w:hAnsi="Arial"/>
          <w:sz w:val="22"/>
          <w:szCs w:val="20"/>
        </w:rPr>
      </w:pPr>
      <w:r w:rsidRPr="00C316DA">
        <w:rPr>
          <w:rFonts w:ascii="Arial" w:hAnsi="Arial"/>
          <w:sz w:val="22"/>
          <w:szCs w:val="20"/>
        </w:rPr>
        <w:t>Thank you for the opportunity to comment on the proposed rule change which seeks to allow AEMO to collect information for the purpose of developing connection point forecasts for each region of the National Electricity Market (NEM).</w:t>
      </w:r>
    </w:p>
    <w:p w:rsidR="00C316DA" w:rsidRPr="00C316DA" w:rsidRDefault="00C316DA" w:rsidP="00C316DA">
      <w:pPr>
        <w:spacing w:line="240" w:lineRule="atLeast"/>
        <w:ind w:right="567"/>
        <w:rPr>
          <w:rFonts w:ascii="Arial" w:hAnsi="Arial"/>
          <w:sz w:val="22"/>
          <w:szCs w:val="20"/>
        </w:rPr>
      </w:pPr>
    </w:p>
    <w:p w:rsidR="00C316DA" w:rsidRPr="00C316DA" w:rsidRDefault="00C316DA" w:rsidP="00C316DA">
      <w:pPr>
        <w:spacing w:line="240" w:lineRule="atLeast"/>
        <w:ind w:right="567"/>
        <w:rPr>
          <w:rFonts w:ascii="Arial" w:hAnsi="Arial"/>
          <w:sz w:val="22"/>
          <w:szCs w:val="20"/>
        </w:rPr>
      </w:pPr>
      <w:r w:rsidRPr="00C316DA">
        <w:rPr>
          <w:rFonts w:ascii="Arial" w:hAnsi="Arial"/>
          <w:sz w:val="22"/>
          <w:szCs w:val="20"/>
        </w:rPr>
        <w:t xml:space="preserve">We support the COAG Energy Council's proposed rule change and consider that independent connection point demand forecasts are important to producing better informed investment and operational decisions. We consider that it is important to clarify the regulatory framework to ensure that AEMO has access to information needed to prepare high quality, independent demand forecasts. </w:t>
      </w:r>
    </w:p>
    <w:p w:rsidR="00C316DA" w:rsidRPr="00C316DA" w:rsidRDefault="00C316DA" w:rsidP="00C316DA">
      <w:pPr>
        <w:spacing w:line="240" w:lineRule="atLeast"/>
        <w:ind w:right="567"/>
        <w:rPr>
          <w:rFonts w:ascii="Arial" w:hAnsi="Arial"/>
          <w:sz w:val="22"/>
          <w:szCs w:val="20"/>
        </w:rPr>
      </w:pPr>
    </w:p>
    <w:p w:rsidR="00C316DA" w:rsidRPr="00C316DA" w:rsidRDefault="00C316DA" w:rsidP="00C316DA">
      <w:pPr>
        <w:spacing w:line="240" w:lineRule="atLeast"/>
        <w:ind w:right="567"/>
        <w:rPr>
          <w:rFonts w:ascii="Arial" w:hAnsi="Arial"/>
          <w:sz w:val="22"/>
          <w:szCs w:val="20"/>
        </w:rPr>
      </w:pPr>
      <w:r w:rsidRPr="00C316DA">
        <w:rPr>
          <w:rFonts w:ascii="Arial" w:hAnsi="Arial"/>
          <w:sz w:val="22"/>
          <w:szCs w:val="20"/>
        </w:rPr>
        <w:t>Attachment A to this letter responds to the questions raised in the AEMC discussion paper.</w:t>
      </w:r>
    </w:p>
    <w:p w:rsidR="00C316DA" w:rsidRPr="00C316DA" w:rsidRDefault="00C316DA" w:rsidP="00C316DA">
      <w:pPr>
        <w:spacing w:line="240" w:lineRule="atLeast"/>
        <w:ind w:right="567"/>
        <w:rPr>
          <w:rFonts w:ascii="Arial" w:eastAsia="Arial" w:hAnsi="Arial"/>
          <w:sz w:val="22"/>
          <w:szCs w:val="22"/>
          <w:lang w:eastAsia="en-US"/>
        </w:rPr>
      </w:pPr>
    </w:p>
    <w:p w:rsidR="00C316DA" w:rsidRPr="00C316DA" w:rsidRDefault="00C316DA" w:rsidP="00C316DA">
      <w:pPr>
        <w:spacing w:line="240" w:lineRule="atLeast"/>
        <w:ind w:right="567"/>
        <w:rPr>
          <w:rFonts w:ascii="Arial" w:eastAsia="Arial" w:hAnsi="Arial"/>
          <w:sz w:val="22"/>
          <w:szCs w:val="22"/>
          <w:lang w:eastAsia="en-US"/>
        </w:rPr>
      </w:pPr>
      <w:r w:rsidRPr="00C316DA">
        <w:rPr>
          <w:rFonts w:ascii="Arial" w:eastAsia="Arial" w:hAnsi="Arial"/>
          <w:sz w:val="22"/>
          <w:szCs w:val="22"/>
          <w:lang w:eastAsia="en-US"/>
        </w:rPr>
        <w:t>Should you have any queries regarding our submission please contact Ross Mitchell on 02 9230 9127.</w:t>
      </w:r>
    </w:p>
    <w:p w:rsidR="00C316DA" w:rsidRPr="00C316DA" w:rsidRDefault="00C316DA" w:rsidP="00C316DA">
      <w:pPr>
        <w:spacing w:line="240" w:lineRule="atLeast"/>
        <w:ind w:right="567"/>
        <w:rPr>
          <w:rFonts w:ascii="Arial" w:eastAsia="Arial" w:hAnsi="Arial"/>
          <w:sz w:val="22"/>
          <w:szCs w:val="22"/>
          <w:lang w:eastAsia="en-US"/>
        </w:rPr>
      </w:pPr>
    </w:p>
    <w:p w:rsidR="00C316DA" w:rsidRPr="00C316DA" w:rsidRDefault="00C316DA" w:rsidP="00C316DA">
      <w:pPr>
        <w:spacing w:line="240" w:lineRule="atLeast"/>
        <w:ind w:right="567"/>
        <w:rPr>
          <w:rFonts w:ascii="Arial" w:eastAsia="Arial" w:hAnsi="Arial"/>
          <w:sz w:val="22"/>
          <w:szCs w:val="22"/>
          <w:lang w:eastAsia="en-US"/>
        </w:rPr>
      </w:pPr>
      <w:r w:rsidRPr="00C316DA">
        <w:rPr>
          <w:rFonts w:ascii="Arial" w:eastAsia="Arial" w:hAnsi="Arial"/>
          <w:sz w:val="22"/>
          <w:szCs w:val="22"/>
          <w:lang w:eastAsia="en-US"/>
        </w:rPr>
        <w:t>Yours sincerely</w:t>
      </w:r>
    </w:p>
    <w:p w:rsidR="00C316DA" w:rsidRPr="00C316DA" w:rsidRDefault="00C316DA" w:rsidP="00C316DA">
      <w:pPr>
        <w:tabs>
          <w:tab w:val="left" w:pos="1701"/>
        </w:tabs>
        <w:spacing w:line="240" w:lineRule="atLeast"/>
        <w:ind w:right="567"/>
        <w:rPr>
          <w:rFonts w:ascii="Arial" w:hAnsi="Arial"/>
          <w:sz w:val="20"/>
          <w:szCs w:val="20"/>
          <w:lang w:val="en-GB"/>
        </w:rPr>
      </w:pPr>
    </w:p>
    <w:p w:rsidR="00C316DA" w:rsidRPr="00C316DA" w:rsidRDefault="00C316DA" w:rsidP="00C316DA">
      <w:pPr>
        <w:tabs>
          <w:tab w:val="left" w:pos="1701"/>
        </w:tabs>
        <w:spacing w:line="240" w:lineRule="atLeast"/>
        <w:ind w:right="567"/>
        <w:rPr>
          <w:rFonts w:ascii="Arial" w:hAnsi="Arial"/>
          <w:sz w:val="20"/>
          <w:szCs w:val="20"/>
          <w:lang w:val="en-GB"/>
        </w:rPr>
      </w:pPr>
    </w:p>
    <w:p w:rsidR="00C316DA" w:rsidRDefault="00C316DA" w:rsidP="00C316DA">
      <w:pPr>
        <w:tabs>
          <w:tab w:val="left" w:pos="1701"/>
        </w:tabs>
        <w:spacing w:line="240" w:lineRule="atLeast"/>
        <w:ind w:right="567"/>
        <w:rPr>
          <w:rFonts w:ascii="Arial" w:hAnsi="Arial"/>
          <w:sz w:val="20"/>
          <w:szCs w:val="20"/>
          <w:lang w:val="en-GB"/>
        </w:rPr>
      </w:pPr>
    </w:p>
    <w:p w:rsidR="005F1F99" w:rsidRPr="00C316DA" w:rsidRDefault="005F1F99" w:rsidP="00C316DA">
      <w:pPr>
        <w:tabs>
          <w:tab w:val="left" w:pos="1701"/>
        </w:tabs>
        <w:spacing w:line="240" w:lineRule="atLeast"/>
        <w:ind w:right="567"/>
        <w:rPr>
          <w:rFonts w:ascii="Arial" w:hAnsi="Arial"/>
          <w:sz w:val="20"/>
          <w:szCs w:val="20"/>
          <w:lang w:val="en-GB"/>
        </w:rPr>
      </w:pPr>
    </w:p>
    <w:p w:rsidR="00C316DA" w:rsidRDefault="00C316DA" w:rsidP="00C316DA">
      <w:pPr>
        <w:tabs>
          <w:tab w:val="left" w:pos="1701"/>
        </w:tabs>
        <w:spacing w:line="240" w:lineRule="atLeast"/>
        <w:ind w:right="567"/>
        <w:rPr>
          <w:rFonts w:ascii="Arial" w:hAnsi="Arial"/>
          <w:sz w:val="20"/>
          <w:szCs w:val="20"/>
          <w:lang w:val="en-GB"/>
        </w:rPr>
      </w:pPr>
    </w:p>
    <w:p w:rsidR="00392B85" w:rsidRPr="00C316DA" w:rsidRDefault="00392B85" w:rsidP="00C316DA">
      <w:pPr>
        <w:tabs>
          <w:tab w:val="left" w:pos="1701"/>
        </w:tabs>
        <w:spacing w:line="240" w:lineRule="atLeast"/>
        <w:ind w:right="567"/>
        <w:rPr>
          <w:rFonts w:ascii="Arial" w:hAnsi="Arial"/>
          <w:sz w:val="20"/>
          <w:szCs w:val="20"/>
          <w:lang w:val="en-GB"/>
        </w:rPr>
      </w:pPr>
    </w:p>
    <w:p w:rsidR="00C316DA" w:rsidRPr="00C316DA" w:rsidRDefault="00067E4A" w:rsidP="00C316DA">
      <w:pPr>
        <w:spacing w:line="240" w:lineRule="atLeast"/>
        <w:ind w:right="567"/>
        <w:rPr>
          <w:rFonts w:ascii="Arial" w:hAnsi="Arial"/>
          <w:sz w:val="22"/>
          <w:szCs w:val="20"/>
        </w:rPr>
      </w:pPr>
      <w:r>
        <w:rPr>
          <w:rFonts w:ascii="Arial" w:hAnsi="Arial"/>
          <w:sz w:val="22"/>
          <w:szCs w:val="20"/>
        </w:rPr>
        <w:t>Paula Conboy</w:t>
      </w:r>
    </w:p>
    <w:p w:rsidR="00C316DA" w:rsidRPr="00C316DA" w:rsidRDefault="00067E4A" w:rsidP="00C316DA">
      <w:pPr>
        <w:spacing w:line="240" w:lineRule="atLeast"/>
        <w:ind w:right="567"/>
        <w:rPr>
          <w:rFonts w:ascii="Arial" w:hAnsi="Arial"/>
          <w:sz w:val="22"/>
          <w:szCs w:val="20"/>
        </w:rPr>
      </w:pPr>
      <w:r>
        <w:rPr>
          <w:rFonts w:ascii="Arial" w:hAnsi="Arial"/>
          <w:sz w:val="22"/>
          <w:szCs w:val="20"/>
        </w:rPr>
        <w:t>Cha</w:t>
      </w:r>
      <w:r w:rsidR="00BB1DEB">
        <w:rPr>
          <w:rFonts w:ascii="Arial" w:hAnsi="Arial"/>
          <w:sz w:val="22"/>
          <w:szCs w:val="20"/>
        </w:rPr>
        <w:t>ir</w:t>
      </w:r>
    </w:p>
    <w:p w:rsidR="00C316DA" w:rsidRPr="00C316DA" w:rsidRDefault="00C316DA" w:rsidP="000B3B91">
      <w:pPr>
        <w:spacing w:line="240" w:lineRule="atLeast"/>
        <w:ind w:right="567"/>
        <w:rPr>
          <w:rFonts w:ascii="Arial" w:hAnsi="Arial"/>
          <w:b/>
          <w:szCs w:val="20"/>
        </w:rPr>
      </w:pPr>
      <w:r w:rsidRPr="00C316DA">
        <w:rPr>
          <w:rFonts w:ascii="Arial" w:eastAsia="Arial" w:hAnsi="Arial"/>
          <w:sz w:val="22"/>
          <w:szCs w:val="22"/>
          <w:lang w:eastAsia="en-US"/>
        </w:rPr>
        <w:br w:type="page"/>
      </w:r>
      <w:r w:rsidRPr="00C316DA">
        <w:rPr>
          <w:rFonts w:ascii="Arial" w:hAnsi="Arial"/>
          <w:b/>
          <w:szCs w:val="20"/>
        </w:rPr>
        <w:lastRenderedPageBreak/>
        <w:t>Attachment A - Answers to Consultation Paper Questions</w:t>
      </w:r>
    </w:p>
    <w:p w:rsidR="00C316DA" w:rsidRPr="00C316DA" w:rsidRDefault="00C316DA" w:rsidP="00C316DA">
      <w:pPr>
        <w:ind w:right="567"/>
        <w:rPr>
          <w:rFonts w:ascii="Arial" w:hAnsi="Arial"/>
          <w:b/>
          <w:szCs w:val="20"/>
        </w:rPr>
      </w:pPr>
    </w:p>
    <w:p w:rsidR="00C316DA" w:rsidRPr="00C316DA" w:rsidRDefault="00C316DA" w:rsidP="00C316DA">
      <w:pPr>
        <w:spacing w:line="240" w:lineRule="atLeast"/>
        <w:ind w:right="567"/>
        <w:rPr>
          <w:rFonts w:ascii="Arial" w:eastAsia="Arial" w:hAnsi="Arial"/>
          <w:b/>
          <w:bCs/>
          <w:i/>
          <w:iCs/>
          <w:sz w:val="22"/>
          <w:szCs w:val="22"/>
          <w:lang w:eastAsia="en-US"/>
        </w:rPr>
      </w:pPr>
      <w:r w:rsidRPr="00C316DA">
        <w:rPr>
          <w:rFonts w:ascii="Arial" w:eastAsia="Arial" w:hAnsi="Arial"/>
          <w:b/>
          <w:bCs/>
          <w:i/>
          <w:iCs/>
          <w:sz w:val="22"/>
          <w:szCs w:val="22"/>
          <w:lang w:eastAsia="en-US"/>
        </w:rPr>
        <w:t>Question 1</w:t>
      </w:r>
    </w:p>
    <w:p w:rsidR="00C316DA" w:rsidRPr="00C316DA" w:rsidRDefault="00C316DA" w:rsidP="00C316DA">
      <w:pPr>
        <w:tabs>
          <w:tab w:val="left" w:pos="340"/>
        </w:tabs>
        <w:spacing w:before="120" w:line="240" w:lineRule="atLeast"/>
        <w:ind w:left="340" w:right="567" w:hanging="340"/>
        <w:rPr>
          <w:rFonts w:ascii="Arial" w:eastAsia="Arial" w:hAnsi="Arial"/>
          <w:b/>
          <w:bCs/>
          <w:i/>
          <w:iCs/>
          <w:sz w:val="22"/>
          <w:szCs w:val="22"/>
          <w:lang w:eastAsia="en-US"/>
        </w:rPr>
      </w:pPr>
      <w:r w:rsidRPr="00C316DA">
        <w:rPr>
          <w:rFonts w:ascii="Arial" w:eastAsia="Arial" w:hAnsi="Arial"/>
          <w:b/>
          <w:bCs/>
          <w:i/>
          <w:iCs/>
          <w:sz w:val="22"/>
          <w:szCs w:val="22"/>
          <w:lang w:eastAsia="en-US"/>
        </w:rPr>
        <w:t>a)</w:t>
      </w:r>
      <w:r w:rsidRPr="00C316DA">
        <w:rPr>
          <w:rFonts w:ascii="Arial" w:eastAsia="Arial" w:hAnsi="Arial"/>
          <w:b/>
          <w:bCs/>
          <w:i/>
          <w:iCs/>
          <w:sz w:val="22"/>
          <w:szCs w:val="22"/>
          <w:lang w:eastAsia="en-US"/>
        </w:rPr>
        <w:tab/>
        <w:t>Will giving AEMO access to information to develop transmission connection point forecasts enable AEMO to produce improved transmission planning forecasts in the NTNDP?</w:t>
      </w:r>
    </w:p>
    <w:p w:rsidR="00C316DA" w:rsidRPr="00C316DA" w:rsidRDefault="00C316DA" w:rsidP="00C316DA">
      <w:pPr>
        <w:tabs>
          <w:tab w:val="left" w:pos="340"/>
        </w:tabs>
        <w:spacing w:before="120" w:line="240" w:lineRule="atLeast"/>
        <w:ind w:left="340" w:right="567" w:hanging="340"/>
        <w:rPr>
          <w:rFonts w:ascii="Arial" w:eastAsia="Arial" w:hAnsi="Arial"/>
          <w:b/>
          <w:bCs/>
          <w:i/>
          <w:iCs/>
          <w:sz w:val="22"/>
          <w:szCs w:val="22"/>
          <w:lang w:eastAsia="en-US"/>
        </w:rPr>
      </w:pPr>
      <w:r w:rsidRPr="00C316DA">
        <w:rPr>
          <w:rFonts w:ascii="Arial" w:eastAsia="Arial" w:hAnsi="Arial"/>
          <w:b/>
          <w:bCs/>
          <w:i/>
          <w:iCs/>
          <w:sz w:val="22"/>
          <w:szCs w:val="22"/>
          <w:lang w:eastAsia="en-US"/>
        </w:rPr>
        <w:t>b)</w:t>
      </w:r>
      <w:r w:rsidRPr="00C316DA">
        <w:rPr>
          <w:rFonts w:ascii="Arial" w:eastAsia="Arial" w:hAnsi="Arial"/>
          <w:b/>
          <w:bCs/>
          <w:i/>
          <w:iCs/>
          <w:sz w:val="22"/>
          <w:szCs w:val="22"/>
          <w:lang w:eastAsia="en-US"/>
        </w:rPr>
        <w:tab/>
        <w:t>Will transmission connection point forecasts prepared by AEMO enable TNSPs to make better informed investment decisions?</w:t>
      </w:r>
    </w:p>
    <w:p w:rsidR="00C316DA" w:rsidRPr="00C316DA" w:rsidRDefault="00C316DA" w:rsidP="00C316DA">
      <w:pPr>
        <w:tabs>
          <w:tab w:val="left" w:pos="340"/>
        </w:tabs>
        <w:spacing w:before="120" w:line="240" w:lineRule="atLeast"/>
        <w:ind w:left="340" w:right="567" w:hanging="340"/>
        <w:rPr>
          <w:rFonts w:ascii="Arial" w:eastAsia="Arial" w:hAnsi="Arial"/>
          <w:b/>
          <w:bCs/>
          <w:i/>
          <w:iCs/>
          <w:sz w:val="22"/>
          <w:szCs w:val="22"/>
          <w:lang w:eastAsia="en-US"/>
        </w:rPr>
      </w:pPr>
      <w:r w:rsidRPr="00C316DA">
        <w:rPr>
          <w:rFonts w:ascii="Arial" w:eastAsia="Arial" w:hAnsi="Arial"/>
          <w:b/>
          <w:bCs/>
          <w:i/>
          <w:iCs/>
          <w:sz w:val="22"/>
          <w:szCs w:val="22"/>
          <w:lang w:eastAsia="en-US"/>
        </w:rPr>
        <w:t>c)</w:t>
      </w:r>
      <w:r w:rsidRPr="00C316DA">
        <w:rPr>
          <w:rFonts w:ascii="Arial" w:eastAsia="Arial" w:hAnsi="Arial"/>
          <w:b/>
          <w:bCs/>
          <w:i/>
          <w:iCs/>
          <w:sz w:val="22"/>
          <w:szCs w:val="22"/>
          <w:lang w:eastAsia="en-US"/>
        </w:rPr>
        <w:tab/>
        <w:t>Will the demand forecasts assist the AER in assessing TNSPs’ regulatory proposals?</w:t>
      </w:r>
    </w:p>
    <w:p w:rsidR="00C316DA" w:rsidRPr="00C316DA" w:rsidRDefault="00C316DA" w:rsidP="00C316DA">
      <w:pPr>
        <w:tabs>
          <w:tab w:val="left" w:pos="340"/>
        </w:tabs>
        <w:spacing w:before="120" w:line="240" w:lineRule="atLeast"/>
        <w:ind w:left="340" w:right="567" w:hanging="340"/>
        <w:rPr>
          <w:rFonts w:ascii="Arial" w:eastAsia="Arial" w:hAnsi="Arial"/>
          <w:b/>
          <w:bCs/>
          <w:i/>
          <w:iCs/>
          <w:sz w:val="22"/>
          <w:szCs w:val="22"/>
          <w:lang w:eastAsia="en-US"/>
        </w:rPr>
      </w:pPr>
    </w:p>
    <w:p w:rsidR="00C316DA" w:rsidRPr="00C316DA" w:rsidRDefault="00C316DA" w:rsidP="00C316DA">
      <w:pPr>
        <w:spacing w:line="240" w:lineRule="atLeast"/>
        <w:ind w:right="567"/>
        <w:rPr>
          <w:rFonts w:ascii="Arial" w:hAnsi="Arial"/>
          <w:b/>
          <w:bCs/>
          <w:sz w:val="22"/>
          <w:szCs w:val="20"/>
        </w:rPr>
      </w:pPr>
      <w:r w:rsidRPr="00C316DA">
        <w:rPr>
          <w:rFonts w:ascii="Arial" w:hAnsi="Arial"/>
          <w:b/>
          <w:bCs/>
          <w:sz w:val="22"/>
          <w:szCs w:val="20"/>
        </w:rPr>
        <w:t>Improved transmission planning forecasts in the NTNDP</w:t>
      </w:r>
    </w:p>
    <w:p w:rsidR="00C316DA" w:rsidRPr="00C316DA" w:rsidRDefault="00C316DA" w:rsidP="00C316DA">
      <w:pPr>
        <w:spacing w:line="240" w:lineRule="atLeast"/>
        <w:ind w:right="567"/>
        <w:rPr>
          <w:rFonts w:ascii="Arial" w:hAnsi="Arial"/>
          <w:b/>
          <w:bCs/>
          <w:sz w:val="22"/>
          <w:szCs w:val="20"/>
        </w:rPr>
      </w:pPr>
    </w:p>
    <w:p w:rsidR="00C316DA" w:rsidRPr="00C316DA" w:rsidRDefault="00C316DA" w:rsidP="00C316DA">
      <w:pPr>
        <w:spacing w:line="240" w:lineRule="atLeast"/>
        <w:ind w:right="567"/>
        <w:rPr>
          <w:rFonts w:ascii="Arial" w:hAnsi="Arial"/>
          <w:sz w:val="22"/>
          <w:szCs w:val="20"/>
        </w:rPr>
      </w:pPr>
      <w:r w:rsidRPr="00C316DA">
        <w:rPr>
          <w:rFonts w:ascii="Arial" w:hAnsi="Arial"/>
          <w:sz w:val="22"/>
          <w:szCs w:val="20"/>
        </w:rPr>
        <w:t>We consider that AEMO is the appropriate body to prepare electricity demand forecasts as it is already producing a number of annual publications which facilitate efficient transmission network investment in the NEM.</w:t>
      </w:r>
    </w:p>
    <w:p w:rsidR="00C316DA" w:rsidRPr="00C316DA" w:rsidRDefault="00C316DA" w:rsidP="00C316DA">
      <w:pPr>
        <w:spacing w:line="240" w:lineRule="atLeast"/>
        <w:ind w:right="567"/>
        <w:rPr>
          <w:rFonts w:ascii="Arial" w:hAnsi="Arial"/>
          <w:sz w:val="22"/>
          <w:szCs w:val="20"/>
        </w:rPr>
      </w:pPr>
    </w:p>
    <w:p w:rsidR="00C316DA" w:rsidRDefault="00C316DA" w:rsidP="00C316DA">
      <w:pPr>
        <w:spacing w:line="240" w:lineRule="atLeast"/>
        <w:ind w:right="567"/>
        <w:rPr>
          <w:rFonts w:ascii="Arial" w:hAnsi="Arial"/>
          <w:sz w:val="22"/>
          <w:szCs w:val="20"/>
        </w:rPr>
      </w:pPr>
      <w:r w:rsidRPr="00C316DA">
        <w:rPr>
          <w:rFonts w:ascii="Arial" w:hAnsi="Arial"/>
          <w:sz w:val="22"/>
          <w:szCs w:val="20"/>
        </w:rPr>
        <w:t>AEMO is already tasked with developing the:</w:t>
      </w:r>
    </w:p>
    <w:p w:rsidR="00C316DA" w:rsidRPr="00C316DA" w:rsidRDefault="00C316DA" w:rsidP="00C316DA">
      <w:pPr>
        <w:spacing w:line="240" w:lineRule="atLeast"/>
        <w:ind w:right="567"/>
        <w:rPr>
          <w:rFonts w:ascii="Arial" w:hAnsi="Arial"/>
          <w:sz w:val="22"/>
          <w:szCs w:val="20"/>
        </w:rPr>
      </w:pPr>
    </w:p>
    <w:p w:rsidR="00C316DA" w:rsidRPr="00C316DA" w:rsidRDefault="00C316DA" w:rsidP="00C316DA">
      <w:pPr>
        <w:pStyle w:val="ListParagraph"/>
        <w:numPr>
          <w:ilvl w:val="0"/>
          <w:numId w:val="7"/>
        </w:numPr>
        <w:rPr>
          <w:rFonts w:ascii="Arial" w:eastAsia="Arial" w:hAnsi="Arial" w:cs="Arial"/>
          <w:sz w:val="22"/>
          <w:szCs w:val="22"/>
          <w:lang w:eastAsia="en-US"/>
        </w:rPr>
      </w:pPr>
      <w:r w:rsidRPr="00C316DA">
        <w:rPr>
          <w:rFonts w:ascii="Arial" w:eastAsia="Arial" w:hAnsi="Arial" w:cs="Arial"/>
          <w:sz w:val="22"/>
          <w:szCs w:val="22"/>
          <w:lang w:eastAsia="en-US"/>
        </w:rPr>
        <w:t>National Transmission Network Development Plan (NTNDP) which provides AEMO's view of the efficient development of the transmission network in the NEM for the next 20 years.</w:t>
      </w:r>
    </w:p>
    <w:p w:rsidR="00C316DA" w:rsidRPr="00C316DA" w:rsidRDefault="00C316DA" w:rsidP="00C316DA">
      <w:pPr>
        <w:pStyle w:val="ListParagraph"/>
        <w:numPr>
          <w:ilvl w:val="0"/>
          <w:numId w:val="7"/>
        </w:numPr>
        <w:rPr>
          <w:rFonts w:eastAsia="Arial"/>
          <w:lang w:eastAsia="en-US"/>
        </w:rPr>
      </w:pPr>
      <w:r w:rsidRPr="00C316DA">
        <w:rPr>
          <w:rFonts w:ascii="Arial" w:eastAsia="Arial" w:hAnsi="Arial"/>
          <w:sz w:val="22"/>
          <w:szCs w:val="22"/>
          <w:lang w:eastAsia="en-US"/>
        </w:rPr>
        <w:t>National Electricity Forecasting Report (NEFR) which provides electricity consumption forecasts for each NEM region for the next 10 years.</w:t>
      </w:r>
    </w:p>
    <w:p w:rsidR="00C316DA" w:rsidRPr="00BF606E" w:rsidRDefault="00C316DA" w:rsidP="00C316DA">
      <w:pPr>
        <w:pStyle w:val="ListParagraph"/>
        <w:numPr>
          <w:ilvl w:val="0"/>
          <w:numId w:val="7"/>
        </w:numPr>
        <w:rPr>
          <w:rFonts w:eastAsia="Arial"/>
          <w:lang w:eastAsia="en-US"/>
        </w:rPr>
      </w:pPr>
      <w:r w:rsidRPr="00C316DA">
        <w:rPr>
          <w:rFonts w:ascii="Arial" w:eastAsia="Arial" w:hAnsi="Arial"/>
          <w:sz w:val="22"/>
          <w:szCs w:val="22"/>
          <w:lang w:eastAsia="en-US"/>
        </w:rPr>
        <w:t xml:space="preserve">Electricity </w:t>
      </w:r>
      <w:r w:rsidRPr="00BF606E">
        <w:rPr>
          <w:rFonts w:ascii="Arial" w:eastAsia="Arial" w:hAnsi="Arial"/>
          <w:sz w:val="22"/>
          <w:szCs w:val="22"/>
          <w:lang w:eastAsia="en-US"/>
        </w:rPr>
        <w:t>Statement of Opportunities which provides AEMO's assessment of supply adequacy in the NEM for the next 10 years.</w:t>
      </w:r>
    </w:p>
    <w:p w:rsidR="00C316DA" w:rsidRPr="00BF606E" w:rsidRDefault="00C316DA" w:rsidP="00C316DA">
      <w:pPr>
        <w:spacing w:line="240" w:lineRule="atLeast"/>
        <w:ind w:right="567"/>
        <w:rPr>
          <w:rFonts w:ascii="Arial" w:hAnsi="Arial"/>
          <w:sz w:val="22"/>
          <w:szCs w:val="20"/>
        </w:rPr>
      </w:pPr>
    </w:p>
    <w:p w:rsidR="00C316DA" w:rsidRPr="00C316DA" w:rsidRDefault="00C316DA" w:rsidP="00C316DA">
      <w:pPr>
        <w:spacing w:line="240" w:lineRule="atLeast"/>
        <w:ind w:right="567"/>
        <w:rPr>
          <w:rFonts w:ascii="Arial" w:hAnsi="Arial"/>
          <w:sz w:val="22"/>
          <w:szCs w:val="20"/>
        </w:rPr>
      </w:pPr>
      <w:r w:rsidRPr="00BF606E">
        <w:rPr>
          <w:rFonts w:ascii="Arial" w:hAnsi="Arial"/>
          <w:sz w:val="22"/>
          <w:szCs w:val="20"/>
        </w:rPr>
        <w:t>We consider that having AEMO prepare both regional and lower level forecasts (including but not limited to transmission connection point forecasts) will result in better quality forecasts. It is important to note that in order for AEMO to undertake its role and to assist the AER, it will be necessary to understand demand at lower levels than transmission connection points, for example where the distribution network is heavily meshed</w:t>
      </w:r>
      <w:r w:rsidR="00181A1F" w:rsidRPr="00BF606E">
        <w:rPr>
          <w:rFonts w:ascii="Arial" w:hAnsi="Arial"/>
          <w:sz w:val="22"/>
          <w:szCs w:val="20"/>
        </w:rPr>
        <w:t xml:space="preserve"> this may include forecasts down to the zone substation level</w:t>
      </w:r>
      <w:r w:rsidRPr="00BF606E">
        <w:rPr>
          <w:rFonts w:ascii="Arial" w:hAnsi="Arial"/>
          <w:sz w:val="22"/>
          <w:szCs w:val="20"/>
        </w:rPr>
        <w:t>.</w:t>
      </w:r>
      <w:r w:rsidR="00181A1F" w:rsidRPr="00BF606E">
        <w:rPr>
          <w:rFonts w:ascii="Arial" w:hAnsi="Arial"/>
          <w:sz w:val="22"/>
          <w:szCs w:val="20"/>
        </w:rPr>
        <w:t xml:space="preserve"> We would encourage the AEMC to ensure that the rule as made includes sufficient flexibility to enable this to occur.</w:t>
      </w:r>
    </w:p>
    <w:p w:rsidR="00C316DA" w:rsidRPr="00C316DA" w:rsidRDefault="00C316DA" w:rsidP="00C316DA">
      <w:pPr>
        <w:spacing w:line="240" w:lineRule="atLeast"/>
        <w:ind w:right="567"/>
        <w:rPr>
          <w:rFonts w:ascii="Arial" w:hAnsi="Arial"/>
          <w:sz w:val="22"/>
          <w:szCs w:val="20"/>
        </w:rPr>
      </w:pPr>
    </w:p>
    <w:p w:rsidR="00C316DA" w:rsidRPr="00C316DA" w:rsidRDefault="00C316DA" w:rsidP="00C316DA">
      <w:pPr>
        <w:spacing w:line="240" w:lineRule="atLeast"/>
        <w:ind w:right="567"/>
        <w:rPr>
          <w:rFonts w:ascii="Arial" w:hAnsi="Arial"/>
          <w:sz w:val="22"/>
          <w:szCs w:val="20"/>
        </w:rPr>
      </w:pPr>
      <w:r w:rsidRPr="00C316DA">
        <w:rPr>
          <w:rFonts w:ascii="Arial" w:hAnsi="Arial"/>
          <w:sz w:val="22"/>
          <w:szCs w:val="20"/>
        </w:rPr>
        <w:t xml:space="preserve">As discussed below, different forecasting techniques are used to formulate regional forecasts (top-down) as opposed to connection point forecasts (bottom-up). AEMO will be able to cross-check the top-down and bottom-up results, thereby reconciling any inconsistencies. This reconciliation process will enable more robust forecasts to be produced. In this way the production of demand forecast not only fits within AEMO's existing role but it also enhances the existing functions that it performs. </w:t>
      </w:r>
    </w:p>
    <w:p w:rsidR="00C316DA" w:rsidRPr="00C316DA" w:rsidRDefault="00C316DA" w:rsidP="00C316DA">
      <w:pPr>
        <w:spacing w:line="240" w:lineRule="atLeast"/>
        <w:ind w:right="567"/>
        <w:rPr>
          <w:rFonts w:ascii="Arial" w:eastAsia="Arial" w:hAnsi="Arial"/>
          <w:b/>
          <w:bCs/>
          <w:i/>
          <w:iCs/>
          <w:sz w:val="22"/>
          <w:szCs w:val="22"/>
          <w:lang w:eastAsia="en-US"/>
        </w:rPr>
      </w:pPr>
    </w:p>
    <w:p w:rsidR="00C316DA" w:rsidRPr="00C316DA" w:rsidRDefault="00C316DA" w:rsidP="00C316DA">
      <w:pPr>
        <w:spacing w:line="240" w:lineRule="atLeast"/>
        <w:ind w:right="567"/>
        <w:rPr>
          <w:rFonts w:ascii="Arial" w:eastAsia="Arial" w:hAnsi="Arial"/>
          <w:b/>
          <w:bCs/>
          <w:sz w:val="22"/>
          <w:szCs w:val="22"/>
          <w:lang w:eastAsia="en-US"/>
        </w:rPr>
      </w:pPr>
      <w:r w:rsidRPr="00C316DA">
        <w:rPr>
          <w:rFonts w:ascii="Arial" w:eastAsia="Arial" w:hAnsi="Arial"/>
          <w:b/>
          <w:bCs/>
          <w:sz w:val="22"/>
          <w:szCs w:val="22"/>
          <w:lang w:eastAsia="en-US"/>
        </w:rPr>
        <w:t>Better informed investment decisions</w:t>
      </w:r>
    </w:p>
    <w:p w:rsidR="00C316DA" w:rsidRPr="00C316DA" w:rsidRDefault="00C316DA" w:rsidP="00C316DA">
      <w:pPr>
        <w:spacing w:line="240" w:lineRule="atLeast"/>
        <w:ind w:right="567"/>
        <w:rPr>
          <w:rFonts w:ascii="Arial" w:eastAsia="Arial" w:hAnsi="Arial"/>
          <w:b/>
          <w:bCs/>
          <w:sz w:val="22"/>
          <w:szCs w:val="22"/>
          <w:lang w:eastAsia="en-US"/>
        </w:rPr>
      </w:pPr>
    </w:p>
    <w:p w:rsidR="00C316DA" w:rsidRPr="00C316DA" w:rsidRDefault="00C316DA" w:rsidP="00C316DA">
      <w:pPr>
        <w:spacing w:line="240" w:lineRule="atLeast"/>
        <w:ind w:right="567"/>
        <w:rPr>
          <w:rFonts w:ascii="Arial" w:hAnsi="Arial"/>
          <w:sz w:val="22"/>
          <w:szCs w:val="20"/>
        </w:rPr>
      </w:pPr>
      <w:r w:rsidRPr="00C316DA">
        <w:rPr>
          <w:rFonts w:ascii="Arial" w:hAnsi="Arial"/>
          <w:sz w:val="22"/>
          <w:szCs w:val="20"/>
        </w:rPr>
        <w:t xml:space="preserve">We consider that AEMO's independent demand forecasts have already helped produce better forecasts of capital expenditure requirements. In turn, this should lead to better informed investment decisions. </w:t>
      </w:r>
    </w:p>
    <w:p w:rsidR="00C316DA" w:rsidRPr="00C316DA" w:rsidRDefault="00C316DA" w:rsidP="00C316DA">
      <w:pPr>
        <w:spacing w:line="240" w:lineRule="atLeast"/>
        <w:ind w:right="567"/>
        <w:rPr>
          <w:rFonts w:ascii="Arial" w:hAnsi="Arial"/>
          <w:sz w:val="22"/>
          <w:szCs w:val="20"/>
        </w:rPr>
      </w:pPr>
    </w:p>
    <w:p w:rsidR="00C316DA" w:rsidRPr="00C316DA" w:rsidRDefault="00C316DA" w:rsidP="00C316DA">
      <w:pPr>
        <w:spacing w:line="240" w:lineRule="atLeast"/>
        <w:ind w:right="567"/>
        <w:rPr>
          <w:rFonts w:ascii="Arial" w:hAnsi="Arial"/>
          <w:sz w:val="22"/>
          <w:szCs w:val="20"/>
        </w:rPr>
      </w:pPr>
      <w:r w:rsidRPr="00C316DA">
        <w:rPr>
          <w:rFonts w:ascii="Arial" w:hAnsi="Arial"/>
          <w:sz w:val="22"/>
          <w:szCs w:val="20"/>
        </w:rPr>
        <w:t xml:space="preserve">For example AEMO's forecasts, in part, helped TasNetworks Transmission to reduce its forecast transmission capital expenditure over the 2014-19 regulatory control period </w:t>
      </w:r>
      <w:r w:rsidRPr="00C316DA">
        <w:rPr>
          <w:rFonts w:ascii="Arial" w:hAnsi="Arial"/>
          <w:sz w:val="22"/>
          <w:szCs w:val="20"/>
        </w:rPr>
        <w:lastRenderedPageBreak/>
        <w:t>by $48 million (19 per cent reduction).</w:t>
      </w:r>
      <w:r w:rsidRPr="00C316DA">
        <w:rPr>
          <w:rFonts w:ascii="Arial" w:hAnsi="Arial"/>
          <w:sz w:val="16"/>
          <w:szCs w:val="20"/>
          <w:vertAlign w:val="superscript"/>
        </w:rPr>
        <w:footnoteReference w:id="1"/>
      </w:r>
      <w:r w:rsidRPr="00C316DA">
        <w:rPr>
          <w:rFonts w:ascii="Arial" w:hAnsi="Arial"/>
          <w:sz w:val="22"/>
          <w:szCs w:val="20"/>
        </w:rPr>
        <w:t xml:space="preserve"> Further, TasNetworks Transmission utilised AEMO's forecast to identify the connection points that did not require augmentation.</w:t>
      </w:r>
    </w:p>
    <w:p w:rsidR="00C316DA" w:rsidRPr="00C316DA" w:rsidRDefault="00C316DA" w:rsidP="00C316DA">
      <w:pPr>
        <w:spacing w:line="240" w:lineRule="atLeast"/>
        <w:ind w:right="567"/>
        <w:rPr>
          <w:rFonts w:ascii="Arial" w:hAnsi="Arial"/>
          <w:sz w:val="22"/>
          <w:szCs w:val="20"/>
        </w:rPr>
      </w:pPr>
      <w:r w:rsidRPr="00C316DA">
        <w:rPr>
          <w:rFonts w:ascii="Arial" w:hAnsi="Arial"/>
          <w:sz w:val="22"/>
          <w:szCs w:val="20"/>
        </w:rPr>
        <w:t>A further example is in relation to the AER's recent assessments of the NSW and Queensland distribution regulatory proposals. The AER was able to confirm the validity of the distribution businesses' forecasts, by reconciling with AEMO's forecasts.</w:t>
      </w:r>
    </w:p>
    <w:p w:rsidR="00C316DA" w:rsidRPr="00C316DA" w:rsidRDefault="00C316DA" w:rsidP="00C316DA">
      <w:pPr>
        <w:spacing w:line="240" w:lineRule="atLeast"/>
        <w:ind w:right="567"/>
        <w:rPr>
          <w:rFonts w:ascii="Arial" w:hAnsi="Arial"/>
          <w:sz w:val="22"/>
          <w:szCs w:val="20"/>
        </w:rPr>
      </w:pPr>
    </w:p>
    <w:p w:rsidR="00C316DA" w:rsidRPr="00C316DA" w:rsidRDefault="00C316DA" w:rsidP="00C316DA">
      <w:pPr>
        <w:spacing w:line="240" w:lineRule="atLeast"/>
        <w:ind w:right="567"/>
        <w:rPr>
          <w:rFonts w:ascii="Arial" w:eastAsia="Arial" w:hAnsi="Arial"/>
          <w:b/>
          <w:bCs/>
          <w:sz w:val="22"/>
          <w:szCs w:val="22"/>
          <w:lang w:eastAsia="en-US"/>
        </w:rPr>
      </w:pPr>
      <w:r w:rsidRPr="00C316DA">
        <w:rPr>
          <w:rFonts w:ascii="Arial" w:eastAsia="Arial" w:hAnsi="Arial"/>
          <w:b/>
          <w:bCs/>
          <w:sz w:val="22"/>
          <w:szCs w:val="22"/>
          <w:lang w:eastAsia="en-US"/>
        </w:rPr>
        <w:t>Improved demand forecasts will assist the AER in assessing TNSPs' regulatory proposals</w:t>
      </w:r>
    </w:p>
    <w:p w:rsidR="00C316DA" w:rsidRPr="00C316DA" w:rsidRDefault="00C316DA" w:rsidP="00C316DA">
      <w:pPr>
        <w:spacing w:line="240" w:lineRule="atLeast"/>
        <w:ind w:right="567"/>
        <w:rPr>
          <w:rFonts w:ascii="Arial" w:eastAsia="Arial" w:hAnsi="Arial"/>
          <w:b/>
          <w:bCs/>
          <w:sz w:val="22"/>
          <w:szCs w:val="22"/>
          <w:lang w:eastAsia="en-US"/>
        </w:rPr>
      </w:pPr>
    </w:p>
    <w:p w:rsidR="00C316DA" w:rsidRPr="00C316DA" w:rsidRDefault="00C316DA" w:rsidP="00C316DA">
      <w:pPr>
        <w:spacing w:line="240" w:lineRule="atLeast"/>
        <w:ind w:right="567"/>
        <w:rPr>
          <w:rFonts w:ascii="Arial" w:eastAsia="Arial" w:hAnsi="Arial"/>
          <w:sz w:val="22"/>
          <w:szCs w:val="22"/>
          <w:lang w:eastAsia="en-US"/>
        </w:rPr>
      </w:pPr>
      <w:r w:rsidRPr="00C316DA">
        <w:rPr>
          <w:rFonts w:ascii="Arial" w:eastAsia="Arial" w:hAnsi="Arial"/>
          <w:sz w:val="22"/>
          <w:szCs w:val="22"/>
          <w:lang w:eastAsia="en-US"/>
        </w:rPr>
        <w:t xml:space="preserve">Improvements in AEMO’s demand forecasts also provide the AER with access to high quality, independent data when assessing regulatory proposals from network businesses. Access to this data leads to more robust revenue determinations for network businesses. </w:t>
      </w:r>
    </w:p>
    <w:p w:rsidR="00C316DA" w:rsidRPr="00C316DA" w:rsidRDefault="00C316DA" w:rsidP="00C316DA">
      <w:pPr>
        <w:spacing w:line="240" w:lineRule="atLeast"/>
        <w:ind w:right="567"/>
        <w:rPr>
          <w:rFonts w:ascii="Arial" w:eastAsia="Arial" w:hAnsi="Arial"/>
          <w:b/>
          <w:bCs/>
          <w:sz w:val="22"/>
          <w:szCs w:val="22"/>
          <w:lang w:eastAsia="en-US"/>
        </w:rPr>
      </w:pPr>
    </w:p>
    <w:p w:rsidR="00C316DA" w:rsidRPr="00C316DA" w:rsidRDefault="00C316DA" w:rsidP="00C316DA">
      <w:pPr>
        <w:spacing w:line="240" w:lineRule="atLeast"/>
        <w:ind w:right="567"/>
        <w:rPr>
          <w:rFonts w:ascii="Arial" w:hAnsi="Arial"/>
          <w:sz w:val="22"/>
          <w:szCs w:val="20"/>
        </w:rPr>
      </w:pPr>
      <w:r w:rsidRPr="00C316DA">
        <w:rPr>
          <w:rFonts w:ascii="Arial" w:hAnsi="Arial"/>
          <w:sz w:val="22"/>
          <w:szCs w:val="20"/>
        </w:rPr>
        <w:t xml:space="preserve">As discussed in our response to question 2 below, we support AEMO preparing these forecasts because there are benefits from having an independent expert develop the forecasts from a perspective outside of the revenue determination process. </w:t>
      </w:r>
    </w:p>
    <w:p w:rsidR="00C316DA" w:rsidRPr="00C316DA" w:rsidRDefault="00C316DA" w:rsidP="00C316DA">
      <w:pPr>
        <w:spacing w:line="240" w:lineRule="atLeast"/>
        <w:ind w:right="567"/>
        <w:rPr>
          <w:rFonts w:ascii="Arial" w:eastAsia="Arial" w:hAnsi="Arial"/>
          <w:b/>
          <w:bCs/>
          <w:sz w:val="22"/>
          <w:szCs w:val="22"/>
          <w:lang w:eastAsia="en-US"/>
        </w:rPr>
      </w:pPr>
    </w:p>
    <w:p w:rsidR="00C316DA" w:rsidRPr="00C316DA" w:rsidRDefault="00C316DA" w:rsidP="00C316DA">
      <w:pPr>
        <w:spacing w:line="240" w:lineRule="atLeast"/>
        <w:ind w:right="567"/>
        <w:rPr>
          <w:rFonts w:ascii="Arial" w:eastAsia="Arial" w:hAnsi="Arial"/>
          <w:b/>
          <w:bCs/>
          <w:i/>
          <w:iCs/>
          <w:sz w:val="22"/>
          <w:szCs w:val="22"/>
          <w:lang w:eastAsia="en-US"/>
        </w:rPr>
      </w:pPr>
      <w:r w:rsidRPr="00C316DA">
        <w:rPr>
          <w:rFonts w:ascii="Arial" w:eastAsia="Arial" w:hAnsi="Arial"/>
          <w:b/>
          <w:bCs/>
          <w:i/>
          <w:iCs/>
          <w:sz w:val="22"/>
          <w:szCs w:val="22"/>
          <w:lang w:eastAsia="en-US"/>
        </w:rPr>
        <w:t>Question 2</w:t>
      </w:r>
    </w:p>
    <w:p w:rsidR="00C316DA" w:rsidRPr="00C316DA" w:rsidRDefault="00C316DA" w:rsidP="00C316DA">
      <w:pPr>
        <w:tabs>
          <w:tab w:val="left" w:pos="340"/>
        </w:tabs>
        <w:spacing w:before="120" w:line="240" w:lineRule="atLeast"/>
        <w:ind w:left="340" w:right="567" w:hanging="340"/>
        <w:rPr>
          <w:rFonts w:ascii="Arial" w:eastAsia="Arial" w:hAnsi="Arial"/>
          <w:b/>
          <w:bCs/>
          <w:i/>
          <w:iCs/>
          <w:sz w:val="22"/>
          <w:szCs w:val="22"/>
          <w:lang w:eastAsia="en-US"/>
        </w:rPr>
      </w:pPr>
      <w:r w:rsidRPr="00C316DA">
        <w:rPr>
          <w:rFonts w:ascii="Arial" w:eastAsia="Arial" w:hAnsi="Arial"/>
          <w:b/>
          <w:bCs/>
          <w:i/>
          <w:iCs/>
          <w:sz w:val="22"/>
          <w:szCs w:val="22"/>
          <w:lang w:eastAsia="en-US"/>
        </w:rPr>
        <w:t>a)</w:t>
      </w:r>
      <w:r w:rsidRPr="00C316DA">
        <w:rPr>
          <w:rFonts w:ascii="Arial" w:eastAsia="Arial" w:hAnsi="Arial"/>
          <w:b/>
          <w:bCs/>
          <w:i/>
          <w:iCs/>
          <w:sz w:val="22"/>
          <w:szCs w:val="22"/>
          <w:lang w:eastAsia="en-US"/>
        </w:rPr>
        <w:tab/>
        <w:t>Following on from question one, does the development of demand forecasts at the transmission connection point level appropriately sit within AEMO’s national transmission planning function?</w:t>
      </w:r>
    </w:p>
    <w:p w:rsidR="00C316DA" w:rsidRPr="00C316DA" w:rsidRDefault="00C316DA" w:rsidP="00C316DA">
      <w:pPr>
        <w:tabs>
          <w:tab w:val="left" w:pos="340"/>
        </w:tabs>
        <w:spacing w:before="120" w:line="240" w:lineRule="atLeast"/>
        <w:ind w:left="340" w:right="567" w:hanging="340"/>
        <w:rPr>
          <w:rFonts w:ascii="Arial" w:eastAsia="Arial" w:hAnsi="Arial"/>
          <w:b/>
          <w:bCs/>
          <w:i/>
          <w:iCs/>
          <w:sz w:val="22"/>
          <w:szCs w:val="22"/>
          <w:lang w:eastAsia="en-US"/>
        </w:rPr>
      </w:pPr>
      <w:r w:rsidRPr="00C316DA">
        <w:rPr>
          <w:rFonts w:ascii="Arial" w:eastAsia="Arial" w:hAnsi="Arial"/>
          <w:b/>
          <w:bCs/>
          <w:i/>
          <w:iCs/>
          <w:sz w:val="22"/>
          <w:szCs w:val="22"/>
          <w:lang w:eastAsia="en-US"/>
        </w:rPr>
        <w:t>b)</w:t>
      </w:r>
      <w:r w:rsidRPr="00C316DA">
        <w:rPr>
          <w:rFonts w:ascii="Arial" w:eastAsia="Arial" w:hAnsi="Arial"/>
          <w:b/>
          <w:bCs/>
          <w:i/>
          <w:iCs/>
          <w:sz w:val="22"/>
          <w:szCs w:val="22"/>
          <w:lang w:eastAsia="en-US"/>
        </w:rPr>
        <w:tab/>
        <w:t>Alternatively, should the AER develop these functions as part of its regulatory functions, should it consider them useful?</w:t>
      </w:r>
    </w:p>
    <w:p w:rsidR="00C316DA" w:rsidRPr="00C316DA" w:rsidRDefault="00C316DA" w:rsidP="00C316DA">
      <w:pPr>
        <w:keepNext/>
        <w:keepLines/>
        <w:spacing w:before="240" w:after="120" w:line="240" w:lineRule="atLeast"/>
        <w:ind w:right="567"/>
        <w:outlineLvl w:val="8"/>
        <w:rPr>
          <w:rFonts w:ascii="Arial" w:hAnsi="Arial"/>
          <w:b/>
          <w:i/>
          <w:sz w:val="22"/>
          <w:szCs w:val="20"/>
          <w:lang w:eastAsia="en-US"/>
        </w:rPr>
      </w:pPr>
      <w:r w:rsidRPr="00C316DA">
        <w:rPr>
          <w:rFonts w:ascii="Arial" w:hAnsi="Arial"/>
          <w:b/>
          <w:iCs/>
          <w:sz w:val="22"/>
          <w:szCs w:val="20"/>
          <w:lang w:eastAsia="en-US"/>
        </w:rPr>
        <w:t>Consistency with AEMO's National Transmission Planning Function</w:t>
      </w:r>
    </w:p>
    <w:p w:rsidR="00C316DA" w:rsidRPr="00C316DA" w:rsidRDefault="00C316DA" w:rsidP="00C316DA">
      <w:pPr>
        <w:spacing w:line="240" w:lineRule="atLeast"/>
        <w:ind w:right="567"/>
        <w:rPr>
          <w:rFonts w:ascii="Arial" w:hAnsi="Arial"/>
          <w:sz w:val="22"/>
          <w:szCs w:val="20"/>
        </w:rPr>
      </w:pPr>
      <w:r w:rsidRPr="00C316DA">
        <w:rPr>
          <w:rFonts w:ascii="Arial" w:hAnsi="Arial"/>
          <w:sz w:val="22"/>
          <w:szCs w:val="20"/>
        </w:rPr>
        <w:t>As discussed in our response to question 1, AEMO is already tasked with producing a number of annual publications which facilitate efficient transmission network investment in the NEM.</w:t>
      </w:r>
    </w:p>
    <w:p w:rsidR="00C316DA" w:rsidRPr="00C316DA" w:rsidRDefault="00C316DA" w:rsidP="00C316DA">
      <w:pPr>
        <w:spacing w:line="240" w:lineRule="atLeast"/>
        <w:ind w:right="567"/>
        <w:rPr>
          <w:rFonts w:ascii="Arial" w:hAnsi="Arial"/>
          <w:sz w:val="22"/>
          <w:szCs w:val="20"/>
        </w:rPr>
      </w:pPr>
    </w:p>
    <w:p w:rsidR="00C316DA" w:rsidRPr="00C316DA" w:rsidRDefault="00C316DA" w:rsidP="00C316DA">
      <w:pPr>
        <w:spacing w:line="240" w:lineRule="atLeast"/>
        <w:ind w:right="567"/>
        <w:rPr>
          <w:rFonts w:ascii="Arial" w:eastAsia="Arial" w:hAnsi="Arial"/>
          <w:sz w:val="22"/>
          <w:szCs w:val="22"/>
          <w:lang w:eastAsia="en-US"/>
        </w:rPr>
      </w:pPr>
      <w:r w:rsidRPr="00C316DA">
        <w:rPr>
          <w:rFonts w:ascii="Arial" w:eastAsia="Arial" w:hAnsi="Arial"/>
          <w:sz w:val="22"/>
          <w:szCs w:val="22"/>
          <w:lang w:eastAsia="en-US"/>
        </w:rPr>
        <w:t xml:space="preserve">Given AEMO's experience and demonstrated capability in this area we consider it is best placed to prepare independent connection point demand forecasts. The development of demand forecasts will complement AEMO's national transmission planning function. AEMO’s ‘bottom-up’ connection point demand forecasts improve the robustness of data which AEMO produces as part of its national transmission planning function. </w:t>
      </w:r>
    </w:p>
    <w:p w:rsidR="00C316DA" w:rsidRPr="00C316DA" w:rsidRDefault="00C316DA" w:rsidP="00C316DA">
      <w:pPr>
        <w:spacing w:line="240" w:lineRule="atLeast"/>
        <w:ind w:right="567"/>
        <w:rPr>
          <w:rFonts w:ascii="Arial" w:eastAsia="Arial" w:hAnsi="Arial"/>
          <w:sz w:val="22"/>
          <w:szCs w:val="22"/>
          <w:lang w:eastAsia="en-US"/>
        </w:rPr>
      </w:pPr>
    </w:p>
    <w:p w:rsidR="00C316DA" w:rsidRPr="00C316DA" w:rsidRDefault="00C316DA" w:rsidP="00C316DA">
      <w:pPr>
        <w:spacing w:line="240" w:lineRule="atLeast"/>
        <w:ind w:right="567"/>
        <w:rPr>
          <w:rFonts w:ascii="Arial" w:eastAsia="Arial" w:hAnsi="Arial"/>
          <w:sz w:val="22"/>
          <w:szCs w:val="22"/>
          <w:lang w:eastAsia="en-US"/>
        </w:rPr>
      </w:pPr>
      <w:r w:rsidRPr="00C316DA">
        <w:rPr>
          <w:rFonts w:ascii="Arial" w:eastAsia="Arial" w:hAnsi="Arial"/>
          <w:sz w:val="22"/>
          <w:szCs w:val="22"/>
          <w:lang w:eastAsia="en-US"/>
        </w:rPr>
        <w:t xml:space="preserve">It is through the reconciliation of these ‘bottom-up’ demand forecasts and ‘top-down’ regional level demand forecasts that AEMO can improve the accuracy of their demand forecasts and thereby reduce the investment risk borne by consumers. Preparing these connection point demand forecasts will have the additional benefit of improving the accuracy of the data AEMO already prepares. </w:t>
      </w:r>
    </w:p>
    <w:p w:rsidR="00C316DA" w:rsidRPr="00C316DA" w:rsidRDefault="00C316DA" w:rsidP="00C316DA">
      <w:pPr>
        <w:spacing w:line="240" w:lineRule="atLeast"/>
        <w:ind w:right="567"/>
        <w:rPr>
          <w:rFonts w:ascii="Arial" w:eastAsia="Arial" w:hAnsi="Arial"/>
          <w:sz w:val="22"/>
          <w:szCs w:val="22"/>
          <w:lang w:eastAsia="en-US"/>
        </w:rPr>
      </w:pPr>
    </w:p>
    <w:p w:rsidR="00C316DA" w:rsidRPr="00C316DA" w:rsidRDefault="00C316DA" w:rsidP="00C316DA">
      <w:pPr>
        <w:spacing w:line="240" w:lineRule="atLeast"/>
        <w:ind w:right="567"/>
        <w:rPr>
          <w:rFonts w:ascii="Arial" w:eastAsia="Arial" w:hAnsi="Arial"/>
          <w:sz w:val="22"/>
          <w:szCs w:val="22"/>
          <w:lang w:eastAsia="en-US"/>
        </w:rPr>
      </w:pPr>
      <w:r w:rsidRPr="00C316DA">
        <w:rPr>
          <w:rFonts w:ascii="Arial" w:eastAsia="Arial" w:hAnsi="Arial"/>
          <w:sz w:val="22"/>
          <w:szCs w:val="22"/>
          <w:lang w:eastAsia="en-US"/>
        </w:rPr>
        <w:t xml:space="preserve">Having a body other than AEMO prepare these demand forecasts will not maximise the robustness of the demand forecasts. In this way the potential for better informed investment and operational decisions is only maximised where AEMO is responsible for preparing demand forecasts. Therefore in order to promote the NEO and pursue the long-term interests of consumers of electricity, AEMO should prepare demand forecasts. </w:t>
      </w:r>
    </w:p>
    <w:p w:rsidR="00C316DA" w:rsidRPr="00C316DA" w:rsidRDefault="00C316DA" w:rsidP="00C316DA">
      <w:pPr>
        <w:spacing w:line="240" w:lineRule="atLeast"/>
        <w:ind w:right="567"/>
        <w:rPr>
          <w:rFonts w:ascii="Arial" w:hAnsi="Arial"/>
          <w:sz w:val="22"/>
          <w:szCs w:val="20"/>
        </w:rPr>
      </w:pPr>
    </w:p>
    <w:p w:rsidR="00C316DA" w:rsidRPr="00C316DA" w:rsidRDefault="00BF606E" w:rsidP="00C316DA">
      <w:pPr>
        <w:spacing w:line="240" w:lineRule="atLeast"/>
        <w:ind w:right="567"/>
        <w:rPr>
          <w:rFonts w:ascii="Arial" w:eastAsia="Arial" w:hAnsi="Arial"/>
          <w:b/>
          <w:bCs/>
          <w:sz w:val="22"/>
          <w:szCs w:val="22"/>
          <w:lang w:eastAsia="en-US"/>
        </w:rPr>
      </w:pPr>
      <w:r>
        <w:rPr>
          <w:rFonts w:ascii="Arial" w:eastAsia="Arial" w:hAnsi="Arial"/>
          <w:b/>
          <w:bCs/>
          <w:sz w:val="22"/>
          <w:szCs w:val="22"/>
          <w:lang w:eastAsia="en-US"/>
        </w:rPr>
        <w:br w:type="page"/>
      </w:r>
      <w:r w:rsidR="00C316DA" w:rsidRPr="00C316DA">
        <w:rPr>
          <w:rFonts w:ascii="Arial" w:eastAsia="Arial" w:hAnsi="Arial"/>
          <w:b/>
          <w:bCs/>
          <w:sz w:val="22"/>
          <w:szCs w:val="22"/>
          <w:lang w:eastAsia="en-US"/>
        </w:rPr>
        <w:lastRenderedPageBreak/>
        <w:t>The AER should not be preparing demand forecasts at the connection point level</w:t>
      </w:r>
    </w:p>
    <w:p w:rsidR="00C316DA" w:rsidRPr="00C316DA" w:rsidRDefault="00C316DA" w:rsidP="00C316DA">
      <w:pPr>
        <w:spacing w:line="240" w:lineRule="atLeast"/>
        <w:ind w:right="567"/>
        <w:rPr>
          <w:rFonts w:ascii="Arial" w:hAnsi="Arial"/>
          <w:sz w:val="22"/>
          <w:szCs w:val="20"/>
        </w:rPr>
      </w:pPr>
      <w:r w:rsidRPr="00C316DA">
        <w:rPr>
          <w:rFonts w:ascii="Arial" w:hAnsi="Arial"/>
          <w:sz w:val="22"/>
          <w:szCs w:val="20"/>
        </w:rPr>
        <w:t xml:space="preserve"> </w:t>
      </w:r>
    </w:p>
    <w:p w:rsidR="00C316DA" w:rsidRPr="00C316DA" w:rsidRDefault="00C316DA" w:rsidP="00C316DA">
      <w:pPr>
        <w:spacing w:line="240" w:lineRule="atLeast"/>
        <w:ind w:right="567"/>
        <w:rPr>
          <w:rFonts w:ascii="Arial" w:hAnsi="Arial"/>
          <w:sz w:val="22"/>
          <w:szCs w:val="20"/>
        </w:rPr>
      </w:pPr>
      <w:r w:rsidRPr="00C316DA">
        <w:rPr>
          <w:rFonts w:ascii="Arial" w:hAnsi="Arial"/>
          <w:sz w:val="22"/>
          <w:szCs w:val="20"/>
        </w:rPr>
        <w:t xml:space="preserve">Demand forecasting and the associated economic modelling is a specialised skill-set which is not retained within the AER. </w:t>
      </w:r>
    </w:p>
    <w:p w:rsidR="00C316DA" w:rsidRPr="00C316DA" w:rsidRDefault="00C316DA" w:rsidP="00C316DA">
      <w:pPr>
        <w:spacing w:line="240" w:lineRule="atLeast"/>
        <w:ind w:right="567"/>
        <w:rPr>
          <w:rFonts w:ascii="Arial" w:eastAsia="Arial" w:hAnsi="Arial"/>
          <w:sz w:val="22"/>
          <w:szCs w:val="22"/>
          <w:lang w:eastAsia="en-US"/>
        </w:rPr>
      </w:pPr>
    </w:p>
    <w:p w:rsidR="00C316DA" w:rsidRPr="00C316DA" w:rsidRDefault="00C316DA" w:rsidP="00C316DA">
      <w:pPr>
        <w:spacing w:line="240" w:lineRule="atLeast"/>
        <w:ind w:right="567"/>
        <w:rPr>
          <w:rFonts w:ascii="Arial" w:eastAsia="Arial" w:hAnsi="Arial"/>
          <w:sz w:val="22"/>
          <w:szCs w:val="22"/>
          <w:lang w:eastAsia="en-US"/>
        </w:rPr>
      </w:pPr>
      <w:r w:rsidRPr="00C316DA">
        <w:rPr>
          <w:rFonts w:ascii="Arial" w:eastAsia="Arial" w:hAnsi="Arial"/>
          <w:sz w:val="22"/>
          <w:szCs w:val="22"/>
          <w:lang w:eastAsia="en-US"/>
        </w:rPr>
        <w:t xml:space="preserve">The AER utilises demand forecasts in the revenue determination process. The allowed revenues for network businesses are partly based on the forecast expenditure considered necessary for investment. Forecasting higher demand growth will lead to a higher requirement for capex. Under the previous system the AER and the transmission network service provider (TNSP) would obtain separate consultant reports on the demand forecasts and debate the merits of the differing reports. This process was costly, time intensive and resource intensive. </w:t>
      </w:r>
    </w:p>
    <w:p w:rsidR="00C316DA" w:rsidRPr="00C316DA" w:rsidRDefault="00C316DA" w:rsidP="00C316DA">
      <w:pPr>
        <w:spacing w:line="240" w:lineRule="atLeast"/>
        <w:ind w:right="567"/>
        <w:rPr>
          <w:rFonts w:ascii="Arial" w:eastAsia="Arial" w:hAnsi="Arial"/>
          <w:sz w:val="22"/>
          <w:szCs w:val="22"/>
          <w:lang w:eastAsia="en-US"/>
        </w:rPr>
      </w:pPr>
    </w:p>
    <w:p w:rsidR="00C316DA" w:rsidRPr="00C316DA" w:rsidRDefault="00C316DA" w:rsidP="00C316DA">
      <w:pPr>
        <w:spacing w:line="240" w:lineRule="atLeast"/>
        <w:ind w:right="567"/>
        <w:rPr>
          <w:rFonts w:ascii="Arial" w:hAnsi="Arial"/>
          <w:sz w:val="22"/>
          <w:szCs w:val="20"/>
        </w:rPr>
      </w:pPr>
      <w:r w:rsidRPr="00C316DA">
        <w:rPr>
          <w:rFonts w:ascii="Arial" w:hAnsi="Arial"/>
          <w:sz w:val="22"/>
          <w:szCs w:val="20"/>
        </w:rPr>
        <w:t xml:space="preserve">We support AEMO preparing these forecasts as there are benefits from having an independent expert develop the forecasts, rather than having to inefficiently duplicate the expertise that AEMO has developed. </w:t>
      </w:r>
    </w:p>
    <w:p w:rsidR="00C316DA" w:rsidRPr="00C316DA" w:rsidRDefault="00C316DA" w:rsidP="00C316DA">
      <w:pPr>
        <w:spacing w:line="240" w:lineRule="atLeast"/>
        <w:ind w:right="567"/>
        <w:rPr>
          <w:rFonts w:ascii="Arial" w:hAnsi="Arial"/>
          <w:sz w:val="22"/>
          <w:szCs w:val="20"/>
        </w:rPr>
      </w:pPr>
    </w:p>
    <w:p w:rsidR="00C316DA" w:rsidRPr="00C316DA" w:rsidRDefault="00C316DA" w:rsidP="00C316DA">
      <w:pPr>
        <w:spacing w:line="240" w:lineRule="atLeast"/>
        <w:ind w:right="567"/>
        <w:rPr>
          <w:rFonts w:ascii="Arial" w:eastAsia="Arial" w:hAnsi="Arial"/>
          <w:b/>
          <w:bCs/>
          <w:i/>
          <w:iCs/>
          <w:sz w:val="22"/>
          <w:szCs w:val="22"/>
          <w:lang w:eastAsia="en-US"/>
        </w:rPr>
      </w:pPr>
      <w:r w:rsidRPr="00C316DA">
        <w:rPr>
          <w:rFonts w:ascii="Arial" w:eastAsia="Arial" w:hAnsi="Arial"/>
          <w:b/>
          <w:bCs/>
          <w:i/>
          <w:iCs/>
          <w:sz w:val="22"/>
          <w:szCs w:val="22"/>
          <w:lang w:eastAsia="en-US"/>
        </w:rPr>
        <w:t xml:space="preserve">Question 3 </w:t>
      </w:r>
    </w:p>
    <w:p w:rsidR="00C316DA" w:rsidRPr="00C316DA" w:rsidRDefault="00C316DA" w:rsidP="00C316DA">
      <w:pPr>
        <w:spacing w:line="240" w:lineRule="atLeast"/>
        <w:ind w:right="567"/>
        <w:rPr>
          <w:rFonts w:ascii="Arial" w:eastAsia="Arial" w:hAnsi="Arial"/>
          <w:b/>
          <w:bCs/>
          <w:i/>
          <w:iCs/>
          <w:sz w:val="22"/>
          <w:szCs w:val="22"/>
          <w:lang w:eastAsia="en-US"/>
        </w:rPr>
      </w:pPr>
      <w:r w:rsidRPr="00C316DA">
        <w:rPr>
          <w:rFonts w:ascii="Arial" w:eastAsia="Arial" w:hAnsi="Arial"/>
          <w:b/>
          <w:bCs/>
          <w:i/>
          <w:iCs/>
          <w:sz w:val="22"/>
          <w:szCs w:val="22"/>
          <w:lang w:eastAsia="en-US"/>
        </w:rPr>
        <w:t>It is arguable that AEMO can already use its information gathering powers in the NEL to compel the relevant person to provide information for transmission connection point forecasts. Should this be put beyond doubt in the NER?</w:t>
      </w:r>
    </w:p>
    <w:p w:rsidR="00C316DA" w:rsidRPr="00C316DA" w:rsidRDefault="00C316DA" w:rsidP="00C316DA">
      <w:pPr>
        <w:spacing w:line="240" w:lineRule="atLeast"/>
        <w:ind w:right="567"/>
        <w:rPr>
          <w:rFonts w:ascii="Arial" w:eastAsia="Arial" w:hAnsi="Arial"/>
          <w:b/>
          <w:bCs/>
          <w:i/>
          <w:iCs/>
          <w:sz w:val="22"/>
          <w:szCs w:val="22"/>
          <w:lang w:eastAsia="en-US"/>
        </w:rPr>
      </w:pPr>
    </w:p>
    <w:p w:rsidR="00C316DA" w:rsidRPr="00C316DA" w:rsidRDefault="00C316DA" w:rsidP="00C316DA">
      <w:pPr>
        <w:spacing w:line="240" w:lineRule="atLeast"/>
        <w:ind w:right="567"/>
        <w:rPr>
          <w:rFonts w:ascii="Arial" w:eastAsia="Arial" w:hAnsi="Arial"/>
          <w:b/>
          <w:bCs/>
          <w:sz w:val="22"/>
          <w:szCs w:val="22"/>
          <w:lang w:eastAsia="en-US"/>
        </w:rPr>
      </w:pPr>
      <w:r w:rsidRPr="00C316DA">
        <w:rPr>
          <w:rFonts w:ascii="Arial" w:eastAsia="Arial" w:hAnsi="Arial"/>
          <w:b/>
          <w:bCs/>
          <w:sz w:val="22"/>
          <w:szCs w:val="22"/>
          <w:lang w:eastAsia="en-US"/>
        </w:rPr>
        <w:t>The proposed rule change will provide regulatory certainty</w:t>
      </w:r>
    </w:p>
    <w:p w:rsidR="00C316DA" w:rsidRPr="00C316DA" w:rsidRDefault="00C316DA" w:rsidP="00C316DA">
      <w:pPr>
        <w:spacing w:line="240" w:lineRule="atLeast"/>
        <w:ind w:right="567"/>
        <w:rPr>
          <w:rFonts w:ascii="Arial" w:hAnsi="Arial"/>
          <w:sz w:val="22"/>
          <w:szCs w:val="20"/>
        </w:rPr>
      </w:pPr>
    </w:p>
    <w:p w:rsidR="00C316DA" w:rsidRPr="00C316DA" w:rsidRDefault="00C316DA" w:rsidP="00C316DA">
      <w:pPr>
        <w:spacing w:line="240" w:lineRule="atLeast"/>
        <w:ind w:right="567"/>
        <w:rPr>
          <w:rFonts w:ascii="Arial" w:eastAsia="Arial" w:hAnsi="Arial"/>
          <w:sz w:val="22"/>
          <w:szCs w:val="22"/>
          <w:lang w:eastAsia="en-US"/>
        </w:rPr>
      </w:pPr>
      <w:r w:rsidRPr="00C316DA">
        <w:rPr>
          <w:rFonts w:ascii="Arial" w:eastAsia="Arial" w:hAnsi="Arial"/>
          <w:sz w:val="22"/>
          <w:szCs w:val="22"/>
          <w:lang w:eastAsia="en-US"/>
        </w:rPr>
        <w:t>We consider that this is a sufficiently important issue that requires certainty and are of the view that the only way this certainty can be achieved is through adopting the proposed rule change.</w:t>
      </w:r>
    </w:p>
    <w:p w:rsidR="00C316DA" w:rsidRPr="00C316DA" w:rsidRDefault="00C316DA" w:rsidP="00C316DA">
      <w:pPr>
        <w:spacing w:line="240" w:lineRule="atLeast"/>
        <w:ind w:right="567"/>
        <w:rPr>
          <w:rFonts w:ascii="Arial" w:eastAsia="Arial" w:hAnsi="Arial"/>
          <w:sz w:val="22"/>
          <w:szCs w:val="22"/>
          <w:lang w:eastAsia="en-US"/>
        </w:rPr>
      </w:pPr>
    </w:p>
    <w:p w:rsidR="00C316DA" w:rsidRPr="00C316DA" w:rsidRDefault="00C316DA" w:rsidP="00C316DA">
      <w:pPr>
        <w:spacing w:line="240" w:lineRule="atLeast"/>
        <w:ind w:right="567"/>
        <w:rPr>
          <w:rFonts w:ascii="Arial" w:eastAsia="Arial" w:hAnsi="Arial"/>
          <w:sz w:val="22"/>
          <w:szCs w:val="22"/>
          <w:lang w:eastAsia="en-US"/>
        </w:rPr>
      </w:pPr>
      <w:r w:rsidRPr="00C316DA">
        <w:rPr>
          <w:rFonts w:ascii="Arial" w:eastAsia="Arial" w:hAnsi="Arial"/>
          <w:sz w:val="22"/>
          <w:szCs w:val="22"/>
          <w:lang w:eastAsia="en-US"/>
        </w:rPr>
        <w:t xml:space="preserve">We consider that at present AEMO's national transmission planner (NTP) functions are only set out in the NEL in general terms that do not specifically require AEMO to develop connection point forecasts. In these circumstances, AEMO may have to rely on its information gathering powers to acquire the relevant information from parties and as such must establish that it needs the information in order to perform a relevant function. </w:t>
      </w:r>
    </w:p>
    <w:p w:rsidR="00C316DA" w:rsidRPr="00C316DA" w:rsidRDefault="00C316DA" w:rsidP="00C316DA">
      <w:pPr>
        <w:spacing w:line="240" w:lineRule="atLeast"/>
        <w:ind w:right="567"/>
        <w:rPr>
          <w:rFonts w:ascii="Arial" w:eastAsia="Arial" w:hAnsi="Arial"/>
          <w:sz w:val="22"/>
          <w:szCs w:val="22"/>
          <w:lang w:eastAsia="en-US"/>
        </w:rPr>
      </w:pPr>
    </w:p>
    <w:p w:rsidR="00C316DA" w:rsidRPr="00C316DA" w:rsidRDefault="00C316DA" w:rsidP="00C316DA">
      <w:pPr>
        <w:spacing w:line="240" w:lineRule="atLeast"/>
        <w:ind w:right="567"/>
        <w:rPr>
          <w:rFonts w:ascii="Arial" w:eastAsia="Arial" w:hAnsi="Arial"/>
          <w:sz w:val="22"/>
          <w:szCs w:val="22"/>
          <w:lang w:eastAsia="en-US"/>
        </w:rPr>
      </w:pPr>
      <w:r w:rsidRPr="00C316DA">
        <w:rPr>
          <w:rFonts w:ascii="Arial" w:eastAsia="Arial" w:hAnsi="Arial"/>
          <w:sz w:val="22"/>
          <w:szCs w:val="22"/>
          <w:lang w:eastAsia="en-US"/>
        </w:rPr>
        <w:t>The AER recognises that, to date, network service providers have complied with relevant information requests from AEMO on a voluntary basis. However, if network service providers did not continue to comply with AEMO's requests and AEMO's information gathering powers were challenged during a regulatory determination process, this would be disruptive and difficult to resolve within the AER's timeframe.</w:t>
      </w:r>
    </w:p>
    <w:p w:rsidR="00C316DA" w:rsidRPr="00C316DA" w:rsidRDefault="00C316DA" w:rsidP="00C316DA">
      <w:pPr>
        <w:spacing w:line="240" w:lineRule="atLeast"/>
        <w:ind w:right="567"/>
        <w:rPr>
          <w:rFonts w:ascii="Arial" w:eastAsia="Arial" w:hAnsi="Arial"/>
          <w:sz w:val="22"/>
          <w:szCs w:val="22"/>
          <w:lang w:eastAsia="en-US"/>
        </w:rPr>
      </w:pPr>
    </w:p>
    <w:p w:rsidR="00C316DA" w:rsidRPr="00C316DA" w:rsidRDefault="00C316DA" w:rsidP="00C316DA">
      <w:pPr>
        <w:spacing w:line="240" w:lineRule="atLeast"/>
        <w:ind w:right="567"/>
        <w:rPr>
          <w:rFonts w:ascii="Arial" w:eastAsia="Arial" w:hAnsi="Arial"/>
          <w:sz w:val="22"/>
          <w:szCs w:val="22"/>
          <w:lang w:eastAsia="en-US"/>
        </w:rPr>
      </w:pPr>
      <w:r w:rsidRPr="00C316DA">
        <w:rPr>
          <w:rFonts w:ascii="Arial" w:eastAsia="Arial" w:hAnsi="Arial"/>
          <w:sz w:val="22"/>
          <w:szCs w:val="22"/>
          <w:lang w:eastAsia="en-US"/>
        </w:rPr>
        <w:t>Given that network businesses have explicit planning and reporting functions under the National Electricity Rules (NER) it is possible that connection point forecasting would be considered an improvement to AEMO's functions rather than the performance of the function itself. In these circumstances AEMO may not be able to rely on their information gathering powers.</w:t>
      </w:r>
      <w:r w:rsidR="00622845">
        <w:rPr>
          <w:rFonts w:ascii="Arial" w:eastAsia="Arial" w:hAnsi="Arial"/>
          <w:sz w:val="22"/>
          <w:szCs w:val="22"/>
          <w:lang w:eastAsia="en-US"/>
        </w:rPr>
        <w:t xml:space="preserve"> The proposed rule change is necessary to put this beyond doubt.</w:t>
      </w:r>
    </w:p>
    <w:p w:rsidR="00C316DA" w:rsidRPr="00C316DA" w:rsidRDefault="00C316DA" w:rsidP="00C316DA">
      <w:pPr>
        <w:spacing w:line="240" w:lineRule="atLeast"/>
        <w:ind w:right="567"/>
        <w:rPr>
          <w:rFonts w:ascii="Arial" w:eastAsia="Arial" w:hAnsi="Arial"/>
          <w:sz w:val="22"/>
          <w:szCs w:val="22"/>
          <w:lang w:eastAsia="en-US"/>
        </w:rPr>
      </w:pPr>
    </w:p>
    <w:p w:rsidR="00C316DA" w:rsidRPr="00C316DA" w:rsidRDefault="00C316DA" w:rsidP="00C316DA">
      <w:pPr>
        <w:spacing w:line="240" w:lineRule="atLeast"/>
        <w:ind w:right="567"/>
        <w:rPr>
          <w:rFonts w:ascii="Arial" w:eastAsia="Arial" w:hAnsi="Arial"/>
          <w:b/>
          <w:bCs/>
          <w:sz w:val="22"/>
          <w:szCs w:val="22"/>
          <w:lang w:eastAsia="en-US"/>
        </w:rPr>
      </w:pPr>
      <w:r w:rsidRPr="00C316DA">
        <w:rPr>
          <w:rFonts w:ascii="Arial" w:eastAsia="Arial" w:hAnsi="Arial"/>
          <w:b/>
          <w:bCs/>
          <w:sz w:val="22"/>
          <w:szCs w:val="22"/>
          <w:lang w:eastAsia="en-US"/>
        </w:rPr>
        <w:t>AEMO's existing information gathering powers are not sufficient</w:t>
      </w:r>
    </w:p>
    <w:p w:rsidR="00C316DA" w:rsidRPr="00C316DA" w:rsidRDefault="00C316DA" w:rsidP="00C316DA">
      <w:pPr>
        <w:spacing w:line="240" w:lineRule="atLeast"/>
        <w:ind w:right="567"/>
        <w:rPr>
          <w:rFonts w:ascii="Arial" w:eastAsia="Arial" w:hAnsi="Arial"/>
          <w:b/>
          <w:bCs/>
          <w:sz w:val="22"/>
          <w:szCs w:val="22"/>
          <w:lang w:eastAsia="en-US"/>
        </w:rPr>
      </w:pPr>
    </w:p>
    <w:p w:rsidR="00C316DA" w:rsidRPr="00C316DA" w:rsidRDefault="00622845" w:rsidP="00C316DA">
      <w:pPr>
        <w:spacing w:line="240" w:lineRule="atLeast"/>
        <w:ind w:right="567"/>
        <w:rPr>
          <w:rFonts w:ascii="Arial" w:eastAsia="Arial" w:hAnsi="Arial"/>
          <w:sz w:val="22"/>
          <w:szCs w:val="22"/>
          <w:lang w:eastAsia="en-US"/>
        </w:rPr>
      </w:pPr>
      <w:r>
        <w:rPr>
          <w:rFonts w:ascii="Arial" w:eastAsia="Arial" w:hAnsi="Arial"/>
          <w:sz w:val="22"/>
          <w:szCs w:val="22"/>
          <w:lang w:eastAsia="en-US"/>
        </w:rPr>
        <w:t>Our response</w:t>
      </w:r>
      <w:r w:rsidR="00C316DA" w:rsidRPr="00C316DA">
        <w:rPr>
          <w:rFonts w:ascii="Arial" w:eastAsia="Arial" w:hAnsi="Arial"/>
          <w:sz w:val="22"/>
          <w:szCs w:val="22"/>
          <w:lang w:eastAsia="en-US"/>
        </w:rPr>
        <w:t xml:space="preserve"> below to</w:t>
      </w:r>
      <w:r>
        <w:rPr>
          <w:rFonts w:ascii="Arial" w:eastAsia="Arial" w:hAnsi="Arial"/>
          <w:sz w:val="22"/>
          <w:szCs w:val="22"/>
          <w:lang w:eastAsia="en-US"/>
        </w:rPr>
        <w:t xml:space="preserve"> question 7 also outlines</w:t>
      </w:r>
      <w:r w:rsidR="00C316DA" w:rsidRPr="00C316DA">
        <w:rPr>
          <w:rFonts w:ascii="Arial" w:eastAsia="Arial" w:hAnsi="Arial"/>
          <w:sz w:val="22"/>
          <w:szCs w:val="22"/>
          <w:lang w:eastAsia="en-US"/>
        </w:rPr>
        <w:t xml:space="preserve"> why we do not consider that AEMO's existing information gathering powers are sufficient to perform their demand forecasting function.</w:t>
      </w:r>
    </w:p>
    <w:p w:rsidR="00C316DA" w:rsidRPr="00C316DA" w:rsidRDefault="00C316DA" w:rsidP="00C316DA">
      <w:pPr>
        <w:spacing w:line="240" w:lineRule="atLeast"/>
        <w:ind w:right="567"/>
        <w:rPr>
          <w:rFonts w:ascii="Arial" w:hAnsi="Arial"/>
          <w:sz w:val="22"/>
          <w:szCs w:val="20"/>
        </w:rPr>
      </w:pPr>
    </w:p>
    <w:p w:rsidR="00C316DA" w:rsidRPr="00C316DA" w:rsidRDefault="00C316DA" w:rsidP="00C316DA">
      <w:pPr>
        <w:spacing w:line="240" w:lineRule="atLeast"/>
        <w:ind w:right="567"/>
        <w:rPr>
          <w:rFonts w:ascii="Arial" w:eastAsia="Arial" w:hAnsi="Arial"/>
          <w:b/>
          <w:bCs/>
          <w:i/>
          <w:iCs/>
          <w:sz w:val="22"/>
          <w:szCs w:val="22"/>
          <w:lang w:eastAsia="en-US"/>
        </w:rPr>
      </w:pPr>
      <w:r w:rsidRPr="00C316DA">
        <w:rPr>
          <w:rFonts w:ascii="Arial" w:eastAsia="Arial" w:hAnsi="Arial"/>
          <w:b/>
          <w:bCs/>
          <w:i/>
          <w:iCs/>
          <w:sz w:val="22"/>
          <w:szCs w:val="22"/>
          <w:lang w:eastAsia="en-US"/>
        </w:rPr>
        <w:br w:type="page"/>
      </w:r>
      <w:r w:rsidRPr="00C316DA">
        <w:rPr>
          <w:rFonts w:ascii="Arial" w:eastAsia="Arial" w:hAnsi="Arial"/>
          <w:b/>
          <w:bCs/>
          <w:i/>
          <w:iCs/>
          <w:sz w:val="22"/>
          <w:szCs w:val="22"/>
          <w:lang w:eastAsia="en-US"/>
        </w:rPr>
        <w:lastRenderedPageBreak/>
        <w:t>Question 4</w:t>
      </w:r>
    </w:p>
    <w:p w:rsidR="00C316DA" w:rsidRPr="00C316DA" w:rsidRDefault="00C316DA" w:rsidP="00C316DA">
      <w:pPr>
        <w:spacing w:line="240" w:lineRule="atLeast"/>
        <w:ind w:right="567"/>
        <w:rPr>
          <w:rFonts w:ascii="Arial" w:eastAsia="Arial" w:hAnsi="Arial"/>
          <w:b/>
          <w:bCs/>
          <w:i/>
          <w:iCs/>
          <w:sz w:val="22"/>
          <w:szCs w:val="22"/>
          <w:lang w:eastAsia="en-US"/>
        </w:rPr>
      </w:pPr>
      <w:r w:rsidRPr="00C316DA">
        <w:rPr>
          <w:rFonts w:ascii="Arial" w:eastAsia="Arial" w:hAnsi="Arial"/>
          <w:b/>
          <w:bCs/>
          <w:i/>
          <w:iCs/>
          <w:sz w:val="22"/>
          <w:szCs w:val="22"/>
          <w:lang w:eastAsia="en-US"/>
        </w:rPr>
        <w:t>As regional level demand forecast information is an aggregation of transmission connection point forecasts, should the NER also refer to regional demand forecasts as proposed?</w:t>
      </w:r>
    </w:p>
    <w:p w:rsidR="00C316DA" w:rsidRPr="00C316DA" w:rsidRDefault="00C316DA" w:rsidP="00C316DA">
      <w:pPr>
        <w:spacing w:line="240" w:lineRule="atLeast"/>
        <w:ind w:right="567"/>
        <w:rPr>
          <w:rFonts w:ascii="Arial" w:hAnsi="Arial"/>
          <w:sz w:val="22"/>
          <w:szCs w:val="20"/>
        </w:rPr>
      </w:pPr>
    </w:p>
    <w:p w:rsidR="00C316DA" w:rsidRPr="00C316DA" w:rsidRDefault="00C316DA" w:rsidP="00C316DA">
      <w:pPr>
        <w:spacing w:line="240" w:lineRule="atLeast"/>
        <w:ind w:right="567"/>
        <w:rPr>
          <w:rFonts w:ascii="Arial" w:hAnsi="Arial"/>
          <w:b/>
          <w:bCs/>
          <w:sz w:val="22"/>
          <w:szCs w:val="20"/>
        </w:rPr>
      </w:pPr>
      <w:r w:rsidRPr="00C316DA">
        <w:rPr>
          <w:rFonts w:ascii="Arial" w:hAnsi="Arial"/>
          <w:b/>
          <w:bCs/>
          <w:sz w:val="22"/>
          <w:szCs w:val="20"/>
        </w:rPr>
        <w:t>Regional level demand forecast information is not the aggregation of transmission point forecasts</w:t>
      </w:r>
    </w:p>
    <w:p w:rsidR="00C316DA" w:rsidRPr="00C316DA" w:rsidRDefault="00C316DA" w:rsidP="00C316DA">
      <w:pPr>
        <w:spacing w:line="240" w:lineRule="atLeast"/>
        <w:ind w:right="567"/>
        <w:rPr>
          <w:rFonts w:ascii="Arial" w:hAnsi="Arial"/>
          <w:b/>
          <w:bCs/>
          <w:sz w:val="22"/>
          <w:szCs w:val="20"/>
        </w:rPr>
      </w:pPr>
    </w:p>
    <w:p w:rsidR="00C316DA" w:rsidRPr="00C316DA" w:rsidRDefault="00C316DA" w:rsidP="00C316DA">
      <w:pPr>
        <w:spacing w:line="240" w:lineRule="atLeast"/>
        <w:ind w:right="567"/>
        <w:rPr>
          <w:rFonts w:ascii="Arial" w:eastAsia="Arial" w:hAnsi="Arial"/>
          <w:sz w:val="22"/>
          <w:szCs w:val="22"/>
          <w:lang w:eastAsia="en-US"/>
        </w:rPr>
      </w:pPr>
      <w:r w:rsidRPr="00C316DA">
        <w:rPr>
          <w:rFonts w:ascii="Arial" w:eastAsia="Arial" w:hAnsi="Arial"/>
          <w:sz w:val="22"/>
          <w:szCs w:val="22"/>
          <w:lang w:eastAsia="en-US"/>
        </w:rPr>
        <w:t>We do not agree with the suggestion that regional level demand forecasts are an aggregation of connection point forecasts. We consider that these forecasts are prepared through two distinct forecasting techniques. Therefore it is important that as proposed, the NER also refer to regional demand forecasts.</w:t>
      </w:r>
    </w:p>
    <w:p w:rsidR="00C316DA" w:rsidRPr="00C316DA" w:rsidRDefault="00C316DA" w:rsidP="00C316DA">
      <w:pPr>
        <w:spacing w:line="240" w:lineRule="atLeast"/>
        <w:ind w:right="567"/>
        <w:rPr>
          <w:rFonts w:ascii="Arial" w:eastAsia="Arial" w:hAnsi="Arial"/>
          <w:sz w:val="22"/>
          <w:szCs w:val="22"/>
          <w:lang w:eastAsia="en-US"/>
        </w:rPr>
      </w:pPr>
    </w:p>
    <w:p w:rsidR="00C316DA" w:rsidRPr="00C316DA" w:rsidRDefault="00C316DA" w:rsidP="00C316DA">
      <w:pPr>
        <w:spacing w:line="240" w:lineRule="atLeast"/>
        <w:ind w:right="567"/>
        <w:rPr>
          <w:rFonts w:ascii="Arial" w:eastAsia="Arial" w:hAnsi="Arial"/>
          <w:sz w:val="22"/>
          <w:szCs w:val="22"/>
          <w:lang w:eastAsia="en-US"/>
        </w:rPr>
      </w:pPr>
      <w:r w:rsidRPr="00C316DA">
        <w:rPr>
          <w:rFonts w:ascii="Arial" w:eastAsia="Arial" w:hAnsi="Arial"/>
          <w:sz w:val="22"/>
          <w:szCs w:val="22"/>
          <w:lang w:eastAsia="en-US"/>
        </w:rPr>
        <w:t>Connection point forecasts are estimated at a very granular level using information on the movement of block loads and weather corrected historical demand levels. Regional demand is a complex econometric process including consideration of expected gross state product and includes global assumptions on energy efficiency and the uptake of new technologies. Forecasters within AEMO and the network service providers undertake a process of reconciling any differences between the bottom-up connection point forecasts and the regional demand forecasts. Connection point forecasts are often then adjusted (or 'trimmed') to take account of the regional forecast.</w:t>
      </w:r>
    </w:p>
    <w:p w:rsidR="00C316DA" w:rsidRPr="00C316DA" w:rsidRDefault="00C316DA" w:rsidP="00C316DA">
      <w:pPr>
        <w:spacing w:line="240" w:lineRule="atLeast"/>
        <w:ind w:right="567"/>
        <w:rPr>
          <w:rFonts w:ascii="Arial" w:eastAsia="Arial" w:hAnsi="Arial"/>
          <w:sz w:val="22"/>
          <w:szCs w:val="22"/>
          <w:lang w:eastAsia="en-US"/>
        </w:rPr>
      </w:pPr>
    </w:p>
    <w:p w:rsidR="00C316DA" w:rsidRPr="00C316DA" w:rsidRDefault="00C316DA" w:rsidP="00C316DA">
      <w:pPr>
        <w:spacing w:line="240" w:lineRule="atLeast"/>
        <w:ind w:right="567"/>
        <w:rPr>
          <w:rFonts w:ascii="Arial" w:eastAsia="Arial" w:hAnsi="Arial"/>
          <w:sz w:val="22"/>
          <w:szCs w:val="22"/>
          <w:lang w:eastAsia="en-US"/>
        </w:rPr>
      </w:pPr>
      <w:r w:rsidRPr="00C316DA">
        <w:rPr>
          <w:rFonts w:ascii="Arial" w:eastAsia="Arial" w:hAnsi="Arial"/>
          <w:sz w:val="22"/>
          <w:szCs w:val="22"/>
          <w:lang w:eastAsia="en-US"/>
        </w:rPr>
        <w:t xml:space="preserve">Given that AEMO has responsibility and established capability in preparing the NEFR, we consider that they are best placed to produce demand forecasts at the connection point level. AEMO’s ‘bottom-up’ connection point demand forecasts improve the robustness of the regional level demand forecasts which AEMO currently prepares as part of its NEFR Report. Preparing these connection point demand forecasts will have the additional benefit of improving the accuracy of the data AEMO prepares in their NEFR report. </w:t>
      </w:r>
    </w:p>
    <w:p w:rsidR="00C316DA" w:rsidRPr="00C316DA" w:rsidRDefault="00C316DA" w:rsidP="00C316DA">
      <w:pPr>
        <w:spacing w:line="240" w:lineRule="atLeast"/>
        <w:ind w:right="567"/>
        <w:rPr>
          <w:rFonts w:ascii="Arial" w:hAnsi="Arial"/>
          <w:sz w:val="22"/>
          <w:szCs w:val="20"/>
        </w:rPr>
      </w:pPr>
    </w:p>
    <w:p w:rsidR="00C316DA" w:rsidRPr="00C316DA" w:rsidRDefault="00C316DA" w:rsidP="00C316DA">
      <w:pPr>
        <w:spacing w:line="240" w:lineRule="atLeast"/>
        <w:ind w:right="567"/>
        <w:rPr>
          <w:rFonts w:ascii="Arial" w:eastAsia="Arial" w:hAnsi="Arial"/>
          <w:b/>
          <w:bCs/>
          <w:i/>
          <w:iCs/>
          <w:sz w:val="22"/>
          <w:szCs w:val="22"/>
          <w:lang w:eastAsia="en-US"/>
        </w:rPr>
      </w:pPr>
      <w:r w:rsidRPr="00C316DA">
        <w:rPr>
          <w:rFonts w:ascii="Arial" w:eastAsia="Arial" w:hAnsi="Arial"/>
          <w:b/>
          <w:bCs/>
          <w:i/>
          <w:iCs/>
          <w:sz w:val="22"/>
          <w:szCs w:val="22"/>
          <w:lang w:eastAsia="en-US"/>
        </w:rPr>
        <w:t>Question 5</w:t>
      </w:r>
    </w:p>
    <w:p w:rsidR="00C316DA" w:rsidRPr="00C316DA" w:rsidRDefault="00C316DA" w:rsidP="00C316DA">
      <w:pPr>
        <w:spacing w:line="240" w:lineRule="atLeast"/>
        <w:ind w:right="567"/>
        <w:rPr>
          <w:rFonts w:ascii="Arial" w:eastAsia="Arial" w:hAnsi="Arial"/>
          <w:b/>
          <w:bCs/>
          <w:i/>
          <w:iCs/>
          <w:sz w:val="22"/>
          <w:szCs w:val="22"/>
          <w:lang w:eastAsia="en-US"/>
        </w:rPr>
      </w:pPr>
      <w:r w:rsidRPr="00C316DA">
        <w:rPr>
          <w:rFonts w:ascii="Arial" w:eastAsia="Arial" w:hAnsi="Arial"/>
          <w:b/>
          <w:bCs/>
          <w:i/>
          <w:iCs/>
          <w:sz w:val="22"/>
          <w:szCs w:val="22"/>
          <w:lang w:eastAsia="en-US"/>
        </w:rPr>
        <w:t>Should AEMO be given an express discretion to consult with the AER on the transmission connection point demand forecasts?</w:t>
      </w:r>
    </w:p>
    <w:p w:rsidR="00C316DA" w:rsidRPr="00C316DA" w:rsidRDefault="00C316DA" w:rsidP="00C316DA">
      <w:pPr>
        <w:spacing w:line="240" w:lineRule="atLeast"/>
        <w:ind w:right="567"/>
        <w:rPr>
          <w:rFonts w:ascii="Arial" w:eastAsia="Arial" w:hAnsi="Arial"/>
          <w:b/>
          <w:bCs/>
          <w:i/>
          <w:iCs/>
          <w:sz w:val="22"/>
          <w:szCs w:val="22"/>
          <w:lang w:eastAsia="en-US"/>
        </w:rPr>
      </w:pPr>
    </w:p>
    <w:p w:rsidR="00C316DA" w:rsidRPr="00C316DA" w:rsidRDefault="00C316DA" w:rsidP="00C316DA">
      <w:pPr>
        <w:spacing w:line="240" w:lineRule="atLeast"/>
        <w:ind w:right="567"/>
        <w:rPr>
          <w:rFonts w:ascii="Arial" w:eastAsia="Arial" w:hAnsi="Arial"/>
          <w:b/>
          <w:bCs/>
          <w:i/>
          <w:iCs/>
          <w:sz w:val="22"/>
          <w:szCs w:val="22"/>
          <w:lang w:eastAsia="en-US"/>
        </w:rPr>
      </w:pPr>
      <w:r w:rsidRPr="00C316DA">
        <w:rPr>
          <w:rFonts w:ascii="Arial" w:eastAsia="Arial" w:hAnsi="Arial"/>
          <w:b/>
          <w:bCs/>
          <w:i/>
          <w:iCs/>
          <w:sz w:val="22"/>
          <w:szCs w:val="22"/>
          <w:lang w:eastAsia="en-US"/>
        </w:rPr>
        <w:t>Question 6</w:t>
      </w:r>
    </w:p>
    <w:p w:rsidR="00C316DA" w:rsidRPr="00C316DA" w:rsidRDefault="00C316DA" w:rsidP="00C316DA">
      <w:pPr>
        <w:spacing w:line="240" w:lineRule="atLeast"/>
        <w:ind w:right="567"/>
        <w:rPr>
          <w:rFonts w:ascii="Arial" w:eastAsia="Arial" w:hAnsi="Arial"/>
          <w:b/>
          <w:bCs/>
          <w:i/>
          <w:iCs/>
          <w:sz w:val="22"/>
          <w:szCs w:val="22"/>
          <w:lang w:eastAsia="en-US"/>
        </w:rPr>
      </w:pPr>
      <w:r w:rsidRPr="00C316DA">
        <w:rPr>
          <w:rFonts w:ascii="Arial" w:eastAsia="Arial" w:hAnsi="Arial"/>
          <w:b/>
          <w:bCs/>
          <w:i/>
          <w:iCs/>
          <w:sz w:val="22"/>
          <w:szCs w:val="22"/>
          <w:lang w:eastAsia="en-US"/>
        </w:rPr>
        <w:t>Should AEMO be explicitly required to provide the AER with the transmission connection point forecasts if the AER requests them?</w:t>
      </w:r>
    </w:p>
    <w:p w:rsidR="00C316DA" w:rsidRPr="00C316DA" w:rsidRDefault="00C316DA" w:rsidP="00C316DA">
      <w:pPr>
        <w:spacing w:line="240" w:lineRule="atLeast"/>
        <w:ind w:right="567"/>
        <w:rPr>
          <w:rFonts w:ascii="Arial" w:eastAsia="Arial" w:hAnsi="Arial"/>
          <w:b/>
          <w:bCs/>
          <w:i/>
          <w:iCs/>
          <w:sz w:val="22"/>
          <w:szCs w:val="22"/>
          <w:lang w:eastAsia="en-US"/>
        </w:rPr>
      </w:pPr>
    </w:p>
    <w:p w:rsidR="00C316DA" w:rsidRPr="00C316DA" w:rsidRDefault="00C316DA" w:rsidP="00C316DA">
      <w:pPr>
        <w:spacing w:line="240" w:lineRule="atLeast"/>
        <w:ind w:right="567"/>
        <w:rPr>
          <w:rFonts w:ascii="Arial" w:hAnsi="Arial"/>
          <w:b/>
          <w:bCs/>
          <w:sz w:val="22"/>
          <w:szCs w:val="20"/>
        </w:rPr>
      </w:pPr>
      <w:r w:rsidRPr="00C316DA">
        <w:rPr>
          <w:rFonts w:ascii="Arial" w:hAnsi="Arial"/>
          <w:b/>
          <w:bCs/>
          <w:sz w:val="22"/>
          <w:szCs w:val="20"/>
        </w:rPr>
        <w:t>AEMO should be given express discretion to consult and share findings with the AER</w:t>
      </w:r>
    </w:p>
    <w:p w:rsidR="00C316DA" w:rsidRPr="00C316DA" w:rsidRDefault="00C316DA" w:rsidP="00C316DA">
      <w:pPr>
        <w:spacing w:line="240" w:lineRule="atLeast"/>
        <w:ind w:right="567"/>
        <w:rPr>
          <w:rFonts w:ascii="Arial" w:hAnsi="Arial"/>
          <w:sz w:val="22"/>
          <w:szCs w:val="20"/>
        </w:rPr>
      </w:pPr>
    </w:p>
    <w:p w:rsidR="00C316DA" w:rsidRPr="00C316DA" w:rsidRDefault="00C316DA" w:rsidP="00C316DA">
      <w:pPr>
        <w:spacing w:line="240" w:lineRule="atLeast"/>
        <w:ind w:right="567"/>
        <w:rPr>
          <w:rFonts w:ascii="Arial" w:hAnsi="Arial"/>
          <w:sz w:val="22"/>
          <w:szCs w:val="20"/>
        </w:rPr>
      </w:pPr>
      <w:r w:rsidRPr="00C316DA">
        <w:rPr>
          <w:rFonts w:ascii="Arial" w:hAnsi="Arial"/>
          <w:sz w:val="22"/>
          <w:szCs w:val="20"/>
        </w:rPr>
        <w:t xml:space="preserve">It is appropriate for AEMO to consult and share findings on connection point forecasts with the AER. We consider that consultation between AEMO and the AER is essential to the process of better informed investment and operational decisions by network businesses. The AER uses AEMO's demand forecasts to assess the connection point forecasts in the regulatory proposals of network businesses. </w:t>
      </w:r>
    </w:p>
    <w:p w:rsidR="00C316DA" w:rsidRPr="00C316DA" w:rsidRDefault="00C316DA" w:rsidP="00C316DA">
      <w:pPr>
        <w:spacing w:line="240" w:lineRule="atLeast"/>
        <w:ind w:right="567"/>
        <w:rPr>
          <w:rFonts w:ascii="Arial" w:hAnsi="Arial"/>
          <w:sz w:val="22"/>
          <w:szCs w:val="20"/>
        </w:rPr>
      </w:pPr>
    </w:p>
    <w:p w:rsidR="00C316DA" w:rsidRPr="00C316DA" w:rsidRDefault="00C316DA" w:rsidP="00C316DA">
      <w:pPr>
        <w:spacing w:line="240" w:lineRule="atLeast"/>
        <w:ind w:right="567"/>
        <w:rPr>
          <w:rFonts w:ascii="Arial" w:hAnsi="Arial"/>
          <w:sz w:val="22"/>
          <w:szCs w:val="20"/>
        </w:rPr>
      </w:pPr>
      <w:r w:rsidRPr="00C316DA">
        <w:rPr>
          <w:rFonts w:ascii="Arial" w:hAnsi="Arial"/>
          <w:sz w:val="22"/>
          <w:szCs w:val="20"/>
        </w:rPr>
        <w:t xml:space="preserve">It is important to note that a network business that disagrees with AEMO’s forecasts is free to submit an alternative forecast in their regulatory proposal. Our response to question 7 outlines the growing complexity in producing demand forecasts in this increasingly dynamic electricity market. AEMO is not producing a final or determinative demand forecast but rather is acting as an independent source of information for the AER and interested parties. </w:t>
      </w:r>
    </w:p>
    <w:p w:rsidR="00C316DA" w:rsidRPr="00C316DA" w:rsidRDefault="00C316DA" w:rsidP="00C316DA">
      <w:pPr>
        <w:spacing w:line="240" w:lineRule="atLeast"/>
        <w:ind w:right="567"/>
        <w:rPr>
          <w:rFonts w:ascii="Arial" w:hAnsi="Arial"/>
          <w:sz w:val="22"/>
          <w:szCs w:val="20"/>
        </w:rPr>
      </w:pPr>
    </w:p>
    <w:p w:rsidR="00C316DA" w:rsidRPr="00C316DA" w:rsidRDefault="00C316DA" w:rsidP="00C316DA">
      <w:pPr>
        <w:spacing w:line="240" w:lineRule="atLeast"/>
        <w:ind w:right="567"/>
        <w:rPr>
          <w:rFonts w:ascii="Arial" w:hAnsi="Arial"/>
          <w:sz w:val="22"/>
          <w:szCs w:val="20"/>
        </w:rPr>
      </w:pPr>
      <w:r w:rsidRPr="00C316DA">
        <w:rPr>
          <w:rFonts w:ascii="Arial" w:hAnsi="Arial"/>
          <w:sz w:val="22"/>
          <w:szCs w:val="20"/>
        </w:rPr>
        <w:t xml:space="preserve">Throughout our revenue determination process we may need to consult with AEMO on their connection point demand forecasts. We may also need access to AEMO's </w:t>
      </w:r>
      <w:r w:rsidRPr="00C316DA">
        <w:rPr>
          <w:rFonts w:ascii="Arial" w:hAnsi="Arial"/>
          <w:sz w:val="22"/>
          <w:szCs w:val="20"/>
        </w:rPr>
        <w:lastRenderedPageBreak/>
        <w:t>connection point forecasts. Giving AEMO express discretion to consult and share findings with us on these forecasts provides regulatory certainty that this process can take place to provide maximum benefit to the long term interests of consumers of electricity.</w:t>
      </w:r>
    </w:p>
    <w:p w:rsidR="00C316DA" w:rsidRDefault="00C316DA" w:rsidP="00C316DA">
      <w:pPr>
        <w:spacing w:line="240" w:lineRule="atLeast"/>
        <w:ind w:right="567"/>
        <w:rPr>
          <w:rFonts w:ascii="Arial" w:eastAsia="Arial" w:hAnsi="Arial"/>
          <w:b/>
          <w:bCs/>
          <w:i/>
          <w:iCs/>
          <w:sz w:val="22"/>
          <w:szCs w:val="22"/>
          <w:lang w:eastAsia="en-US"/>
        </w:rPr>
      </w:pPr>
    </w:p>
    <w:p w:rsidR="00C316DA" w:rsidRPr="00C316DA" w:rsidRDefault="00C316DA" w:rsidP="00C316DA">
      <w:pPr>
        <w:spacing w:line="240" w:lineRule="atLeast"/>
        <w:ind w:right="567"/>
        <w:rPr>
          <w:rFonts w:ascii="Arial" w:eastAsia="Arial" w:hAnsi="Arial"/>
          <w:b/>
          <w:bCs/>
          <w:i/>
          <w:iCs/>
          <w:sz w:val="22"/>
          <w:szCs w:val="22"/>
          <w:lang w:eastAsia="en-US"/>
        </w:rPr>
      </w:pPr>
      <w:r w:rsidRPr="00C316DA">
        <w:rPr>
          <w:rFonts w:ascii="Arial" w:eastAsia="Arial" w:hAnsi="Arial"/>
          <w:b/>
          <w:bCs/>
          <w:i/>
          <w:iCs/>
          <w:sz w:val="22"/>
          <w:szCs w:val="22"/>
          <w:lang w:eastAsia="en-US"/>
        </w:rPr>
        <w:t>Question 7</w:t>
      </w:r>
    </w:p>
    <w:p w:rsidR="00C316DA" w:rsidRPr="00C316DA" w:rsidRDefault="00C316DA" w:rsidP="00C316DA">
      <w:pPr>
        <w:spacing w:line="240" w:lineRule="atLeast"/>
        <w:ind w:right="567"/>
        <w:rPr>
          <w:rFonts w:ascii="Arial" w:eastAsia="Arial" w:hAnsi="Arial"/>
          <w:b/>
          <w:bCs/>
          <w:i/>
          <w:iCs/>
          <w:sz w:val="22"/>
          <w:szCs w:val="22"/>
          <w:lang w:eastAsia="en-US"/>
        </w:rPr>
      </w:pPr>
      <w:r w:rsidRPr="00C316DA">
        <w:rPr>
          <w:rFonts w:ascii="Arial" w:eastAsia="Arial" w:hAnsi="Arial"/>
          <w:b/>
          <w:bCs/>
          <w:i/>
          <w:iCs/>
          <w:sz w:val="22"/>
          <w:szCs w:val="22"/>
          <w:lang w:eastAsia="en-US"/>
        </w:rPr>
        <w:t>Should AEMO be given a rules based power to gather the information to develop the transmission connection point forecasts in addition to its information gathering powers under the NEL?</w:t>
      </w:r>
    </w:p>
    <w:p w:rsidR="00C316DA" w:rsidRPr="00C316DA" w:rsidRDefault="00C316DA" w:rsidP="00C316DA">
      <w:pPr>
        <w:spacing w:line="240" w:lineRule="atLeast"/>
        <w:ind w:right="567"/>
        <w:rPr>
          <w:rFonts w:ascii="Arial" w:eastAsia="Arial" w:hAnsi="Arial"/>
          <w:b/>
          <w:bCs/>
          <w:i/>
          <w:iCs/>
          <w:sz w:val="22"/>
          <w:szCs w:val="22"/>
          <w:lang w:eastAsia="en-US"/>
        </w:rPr>
      </w:pPr>
    </w:p>
    <w:p w:rsidR="00C316DA" w:rsidRPr="00C316DA" w:rsidRDefault="00C316DA" w:rsidP="00C316DA">
      <w:pPr>
        <w:spacing w:line="240" w:lineRule="atLeast"/>
        <w:ind w:right="567"/>
        <w:rPr>
          <w:rFonts w:ascii="Arial" w:eastAsia="Arial" w:hAnsi="Arial"/>
          <w:b/>
          <w:bCs/>
          <w:sz w:val="22"/>
          <w:szCs w:val="22"/>
          <w:lang w:eastAsia="en-US"/>
        </w:rPr>
      </w:pPr>
      <w:r w:rsidRPr="00C316DA">
        <w:rPr>
          <w:rFonts w:ascii="Arial" w:eastAsia="Arial" w:hAnsi="Arial"/>
          <w:b/>
          <w:bCs/>
          <w:sz w:val="22"/>
          <w:szCs w:val="22"/>
          <w:lang w:eastAsia="en-US"/>
        </w:rPr>
        <w:t xml:space="preserve">AEMO requires </w:t>
      </w:r>
      <w:proofErr w:type="gramStart"/>
      <w:r w:rsidRPr="00C316DA">
        <w:rPr>
          <w:rFonts w:ascii="Arial" w:eastAsia="Arial" w:hAnsi="Arial"/>
          <w:b/>
          <w:bCs/>
          <w:sz w:val="22"/>
          <w:szCs w:val="22"/>
          <w:lang w:eastAsia="en-US"/>
        </w:rPr>
        <w:t>a rules</w:t>
      </w:r>
      <w:proofErr w:type="gramEnd"/>
      <w:r w:rsidRPr="00C316DA">
        <w:rPr>
          <w:rFonts w:ascii="Arial" w:eastAsia="Arial" w:hAnsi="Arial"/>
          <w:b/>
          <w:bCs/>
          <w:sz w:val="22"/>
          <w:szCs w:val="22"/>
          <w:lang w:eastAsia="en-US"/>
        </w:rPr>
        <w:t xml:space="preserve"> based power to gather</w:t>
      </w:r>
      <w:r w:rsidR="0016452C">
        <w:rPr>
          <w:rFonts w:ascii="Arial" w:eastAsia="Arial" w:hAnsi="Arial"/>
          <w:b/>
          <w:bCs/>
          <w:sz w:val="22"/>
          <w:szCs w:val="22"/>
          <w:lang w:eastAsia="en-US"/>
        </w:rPr>
        <w:t xml:space="preserve"> the information to develop </w:t>
      </w:r>
      <w:r w:rsidRPr="00C316DA">
        <w:rPr>
          <w:rFonts w:ascii="Arial" w:eastAsia="Arial" w:hAnsi="Arial"/>
          <w:b/>
          <w:bCs/>
          <w:sz w:val="22"/>
          <w:szCs w:val="22"/>
          <w:lang w:eastAsia="en-US"/>
        </w:rPr>
        <w:t>connection point forecasts</w:t>
      </w:r>
    </w:p>
    <w:p w:rsidR="00C316DA" w:rsidRPr="00C316DA" w:rsidRDefault="00C316DA" w:rsidP="00C316DA">
      <w:pPr>
        <w:spacing w:line="240" w:lineRule="atLeast"/>
        <w:ind w:right="567"/>
        <w:rPr>
          <w:rFonts w:ascii="Arial" w:eastAsia="Arial" w:hAnsi="Arial"/>
          <w:sz w:val="22"/>
          <w:szCs w:val="22"/>
          <w:lang w:eastAsia="en-US"/>
        </w:rPr>
      </w:pPr>
    </w:p>
    <w:p w:rsidR="00EB1E76" w:rsidRPr="00EB1E76" w:rsidRDefault="00EB1E76" w:rsidP="00EB1E76">
      <w:pPr>
        <w:spacing w:line="240" w:lineRule="atLeast"/>
        <w:ind w:right="567"/>
        <w:rPr>
          <w:rFonts w:ascii="Arial" w:eastAsia="Arial" w:hAnsi="Arial"/>
          <w:sz w:val="22"/>
          <w:szCs w:val="22"/>
          <w:lang w:eastAsia="en-US"/>
        </w:rPr>
      </w:pPr>
      <w:bookmarkStart w:id="9" w:name="Signature"/>
      <w:bookmarkEnd w:id="9"/>
      <w:r w:rsidRPr="00EB1E76">
        <w:rPr>
          <w:rFonts w:ascii="Arial" w:eastAsia="Arial" w:hAnsi="Arial"/>
          <w:sz w:val="22"/>
          <w:szCs w:val="22"/>
          <w:lang w:eastAsia="en-US"/>
        </w:rPr>
        <w:t xml:space="preserve">AEMO's information gathering powers in the NEL are set out in Part 5 Division 5. Under this provision AEMO can use either a market information order or market information notice to collect information from network businesses. We consider that these instruments will generally be effective in enabling AEMO to collect the information necessary to prepare demand forecasts. </w:t>
      </w:r>
    </w:p>
    <w:p w:rsidR="00EB1E76" w:rsidRPr="00EB1E76" w:rsidRDefault="00EB1E76" w:rsidP="00EB1E76">
      <w:pPr>
        <w:spacing w:line="240" w:lineRule="atLeast"/>
        <w:ind w:right="567"/>
        <w:rPr>
          <w:rFonts w:ascii="Arial" w:eastAsia="Arial" w:hAnsi="Arial"/>
          <w:sz w:val="22"/>
          <w:szCs w:val="22"/>
          <w:lang w:eastAsia="en-US"/>
        </w:rPr>
      </w:pPr>
    </w:p>
    <w:p w:rsidR="00EB1E76" w:rsidRPr="00EB1E76" w:rsidRDefault="00EB1E76" w:rsidP="00EB1E76">
      <w:pPr>
        <w:spacing w:line="240" w:lineRule="atLeast"/>
        <w:ind w:right="567"/>
        <w:rPr>
          <w:rFonts w:ascii="Arial" w:eastAsia="Arial" w:hAnsi="Arial"/>
          <w:sz w:val="22"/>
          <w:szCs w:val="22"/>
          <w:lang w:eastAsia="en-US"/>
        </w:rPr>
      </w:pPr>
      <w:r w:rsidRPr="00EB1E76">
        <w:rPr>
          <w:rFonts w:ascii="Arial" w:eastAsia="Arial" w:hAnsi="Arial"/>
          <w:sz w:val="22"/>
          <w:szCs w:val="22"/>
          <w:lang w:eastAsia="en-US"/>
        </w:rPr>
        <w:t>We do not have concerns that AEMO will use clause 5.20.5 as a rules-based alternative to their information gathering powers. We consider that clause 5.20.5 will complement AEMO’s information gathering powers by formally recognising AEMO’s role in preparing demand forecasts. The proposed clause directs the attention of AEMO and the network businesses towards engaging and seeking to understand their input assumptions and forecasting techniques. This engagement will allow AEMO to produce more robust demand forecasts which will lead to more efficient investment and operational decisions by network businesses.</w:t>
      </w:r>
    </w:p>
    <w:p w:rsidR="00EB1E76" w:rsidRPr="00EB1E76" w:rsidRDefault="00EB1E76" w:rsidP="00EB1E76">
      <w:pPr>
        <w:spacing w:line="240" w:lineRule="atLeast"/>
        <w:ind w:right="567"/>
        <w:rPr>
          <w:rFonts w:ascii="Arial" w:eastAsia="Arial" w:hAnsi="Arial"/>
          <w:sz w:val="22"/>
          <w:szCs w:val="22"/>
          <w:lang w:eastAsia="en-US"/>
        </w:rPr>
      </w:pPr>
    </w:p>
    <w:p w:rsidR="00EB1E76" w:rsidRPr="00EB1E76" w:rsidRDefault="00EB1E76" w:rsidP="00EB1E76">
      <w:pPr>
        <w:spacing w:line="240" w:lineRule="atLeast"/>
        <w:ind w:right="567"/>
        <w:rPr>
          <w:rFonts w:ascii="Arial" w:eastAsia="Arial" w:hAnsi="Arial"/>
          <w:sz w:val="22"/>
          <w:szCs w:val="22"/>
          <w:lang w:eastAsia="en-US"/>
        </w:rPr>
      </w:pPr>
      <w:r w:rsidRPr="00EB1E76">
        <w:rPr>
          <w:rFonts w:ascii="Arial" w:eastAsia="Arial" w:hAnsi="Arial"/>
          <w:sz w:val="22"/>
          <w:szCs w:val="22"/>
          <w:lang w:eastAsia="en-US"/>
        </w:rPr>
        <w:t>In the absence of the proposed rule change, AEMO’s ability to engage with the network businesses and the ability of network businesses to cooperate with AEMO may be limited by a reliance on a prescriptive process.</w:t>
      </w:r>
    </w:p>
    <w:p w:rsidR="00C316DA" w:rsidRPr="00C316DA" w:rsidRDefault="00C316DA" w:rsidP="00C316DA">
      <w:pPr>
        <w:tabs>
          <w:tab w:val="left" w:pos="1701"/>
        </w:tabs>
        <w:spacing w:line="240" w:lineRule="atLeast"/>
        <w:ind w:right="567"/>
        <w:rPr>
          <w:rFonts w:ascii="Arial" w:hAnsi="Arial"/>
          <w:sz w:val="22"/>
          <w:szCs w:val="22"/>
          <w:lang w:val="en-GB"/>
        </w:rPr>
      </w:pPr>
    </w:p>
    <w:p w:rsidR="0039533C" w:rsidRDefault="0039533C" w:rsidP="000510D1"/>
    <w:sectPr w:rsidR="0039533C" w:rsidSect="00606A63">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E96" w:rsidRDefault="00896E96">
      <w:r>
        <w:separator/>
      </w:r>
    </w:p>
  </w:endnote>
  <w:endnote w:type="continuationSeparator" w:id="0">
    <w:p w:rsidR="00896E96" w:rsidRDefault="0089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204" w:rsidRDefault="00F702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BAC" w:rsidRPr="00606A63" w:rsidRDefault="005D7BAC" w:rsidP="00606A63">
    <w:pPr>
      <w:pStyle w:val="Footer"/>
      <w:tabs>
        <w:tab w:val="clear" w:pos="4153"/>
        <w:tab w:val="clear" w:pos="8306"/>
        <w:tab w:val="right" w:pos="90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204" w:rsidRDefault="00F702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E96" w:rsidRDefault="00896E96">
      <w:r>
        <w:separator/>
      </w:r>
    </w:p>
  </w:footnote>
  <w:footnote w:type="continuationSeparator" w:id="0">
    <w:p w:rsidR="00896E96" w:rsidRDefault="00896E96">
      <w:r>
        <w:continuationSeparator/>
      </w:r>
    </w:p>
  </w:footnote>
  <w:footnote w:id="1">
    <w:p w:rsidR="005D7BAC" w:rsidRDefault="005D7BAC" w:rsidP="00C316DA">
      <w:pPr>
        <w:pStyle w:val="FootnoteText"/>
      </w:pPr>
      <w:r>
        <w:rPr>
          <w:rStyle w:val="FootnoteReference"/>
        </w:rPr>
        <w:footnoteRef/>
      </w:r>
      <w:r>
        <w:t xml:space="preserve"> AEMO, Submission to Tasmanian Government - Draft Tasmanian Energy Strategy (15 February 2015) &lt;</w:t>
      </w:r>
      <w:r w:rsidRPr="007237A2">
        <w:t>http://www.stategrowth.tas.gov.au/__data/assets/pdf_file/0010/98704/AEMO_Submission.PDF</w:t>
      </w:r>
      <w:r>
        <w:t>&gt; 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204" w:rsidRDefault="00F702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204" w:rsidRDefault="00F702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204" w:rsidRDefault="00F702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2D0"/>
    <w:multiLevelType w:val="hybridMultilevel"/>
    <w:tmpl w:val="5E1CB6F0"/>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1">
    <w:nsid w:val="1BD8601A"/>
    <w:multiLevelType w:val="hybridMultilevel"/>
    <w:tmpl w:val="26305C1A"/>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
    <w:nsid w:val="1D3C322A"/>
    <w:multiLevelType w:val="multilevel"/>
    <w:tmpl w:val="A5227144"/>
    <w:styleLink w:val="NumberedList"/>
    <w:lvl w:ilvl="0">
      <w:start w:val="1"/>
      <w:numFmt w:val="decimal"/>
      <w:lvlText w:val="%1"/>
      <w:lvlJc w:val="left"/>
      <w:pPr>
        <w:ind w:left="284" w:hanging="284"/>
      </w:pPr>
      <w:rPr>
        <w:rFonts w:hint="default"/>
        <w:sz w:val="22"/>
      </w:rPr>
    </w:lvl>
    <w:lvl w:ilvl="1">
      <w:start w:val="1"/>
      <w:numFmt w:val="decimal"/>
      <w:lvlRestart w:val="0"/>
      <w:lvlText w:val="%1.%2"/>
      <w:lvlJc w:val="left"/>
      <w:pPr>
        <w:ind w:left="567" w:hanging="283"/>
      </w:pPr>
      <w:rPr>
        <w:rFonts w:hint="default"/>
        <w:sz w:val="22"/>
      </w:rPr>
    </w:lvl>
    <w:lvl w:ilvl="2">
      <w:start w:val="1"/>
      <w:numFmt w:val="decimal"/>
      <w:lvlRestart w:val="0"/>
      <w:lvlText w:val="%1.%2.%3"/>
      <w:lvlJc w:val="left"/>
      <w:pPr>
        <w:ind w:left="851" w:hanging="284"/>
      </w:pPr>
      <w:rPr>
        <w:rFonts w:hint="default"/>
        <w:sz w:val="22"/>
      </w:rPr>
    </w:lvl>
    <w:lvl w:ilvl="3">
      <w:start w:val="1"/>
      <w:numFmt w:val="decimal"/>
      <w:lvlRestart w:val="0"/>
      <w:lvlText w:val="%1.%2.%3.%4"/>
      <w:lvlJc w:val="left"/>
      <w:pPr>
        <w:ind w:left="1134" w:hanging="283"/>
      </w:pPr>
      <w:rPr>
        <w:rFonts w:hint="default"/>
        <w:sz w:val="22"/>
      </w:rPr>
    </w:lvl>
    <w:lvl w:ilvl="4">
      <w:start w:val="1"/>
      <w:numFmt w:val="decimal"/>
      <w:lvlRestart w:val="0"/>
      <w:lvlText w:val="%1.%2.%3.%4.%5"/>
      <w:lvlJc w:val="left"/>
      <w:pPr>
        <w:ind w:left="1418" w:hanging="284"/>
      </w:pPr>
      <w:rPr>
        <w:rFonts w:hint="default"/>
        <w:sz w:val="22"/>
      </w:rPr>
    </w:lvl>
    <w:lvl w:ilvl="5">
      <w:start w:val="1"/>
      <w:numFmt w:val="decimal"/>
      <w:lvlRestart w:val="0"/>
      <w:lvlText w:val="%1.%2.%3.%4.%5.%6"/>
      <w:lvlJc w:val="left"/>
      <w:pPr>
        <w:ind w:left="1701" w:hanging="283"/>
      </w:pPr>
      <w:rPr>
        <w:rFonts w:hint="default"/>
        <w:sz w:val="22"/>
      </w:rPr>
    </w:lvl>
    <w:lvl w:ilvl="6">
      <w:start w:val="1"/>
      <w:numFmt w:val="decimal"/>
      <w:lvlText w:val="%7."/>
      <w:lvlJc w:val="left"/>
      <w:pPr>
        <w:ind w:left="4222" w:hanging="360"/>
      </w:pPr>
      <w:rPr>
        <w:rFonts w:hint="default"/>
      </w:rPr>
    </w:lvl>
    <w:lvl w:ilvl="7">
      <w:start w:val="1"/>
      <w:numFmt w:val="lowerLetter"/>
      <w:lvlText w:val="%8."/>
      <w:lvlJc w:val="left"/>
      <w:pPr>
        <w:ind w:left="4582" w:hanging="360"/>
      </w:pPr>
      <w:rPr>
        <w:rFonts w:hint="default"/>
      </w:rPr>
    </w:lvl>
    <w:lvl w:ilvl="8">
      <w:start w:val="1"/>
      <w:numFmt w:val="lowerRoman"/>
      <w:lvlText w:val="%9."/>
      <w:lvlJc w:val="left"/>
      <w:pPr>
        <w:ind w:left="4942" w:hanging="360"/>
      </w:pPr>
      <w:rPr>
        <w:rFonts w:hint="default"/>
      </w:rPr>
    </w:lvl>
  </w:abstractNum>
  <w:abstractNum w:abstractNumId="3">
    <w:nsid w:val="3CEF6DE4"/>
    <w:multiLevelType w:val="hybridMultilevel"/>
    <w:tmpl w:val="8E4EF3A6"/>
    <w:lvl w:ilvl="0" w:tplc="BAC0E806">
      <w:start w:val="1"/>
      <w:numFmt w:val="bullet"/>
      <w:pStyle w:val="AERboxbullet"/>
      <w:lvlText w:val=""/>
      <w:lvlJc w:val="left"/>
      <w:pPr>
        <w:tabs>
          <w:tab w:val="num" w:pos="360"/>
        </w:tabs>
        <w:ind w:left="36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4EA14B52"/>
    <w:multiLevelType w:val="hybridMultilevel"/>
    <w:tmpl w:val="7E8A1058"/>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5">
    <w:nsid w:val="5AB761C6"/>
    <w:multiLevelType w:val="hybridMultilevel"/>
    <w:tmpl w:val="7306433A"/>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6">
    <w:nsid w:val="64387801"/>
    <w:multiLevelType w:val="hybridMultilevel"/>
    <w:tmpl w:val="1188DDC4"/>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7">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7EB36614"/>
    <w:multiLevelType w:val="hybridMultilevel"/>
    <w:tmpl w:val="B28AFB36"/>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num w:numId="1">
    <w:abstractNumId w:val="3"/>
  </w:num>
  <w:num w:numId="2">
    <w:abstractNumId w:val="7"/>
  </w:num>
  <w:num w:numId="3">
    <w:abstractNumId w:val="0"/>
  </w:num>
  <w:num w:numId="4">
    <w:abstractNumId w:val="8"/>
  </w:num>
  <w:num w:numId="5">
    <w:abstractNumId w:val="5"/>
  </w:num>
  <w:num w:numId="6">
    <w:abstractNumId w:val="2"/>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Users\cfern\AppData\Local\Microsoft\Windows\Temporary Internet Files\Content.Outlook\NUKK8LN5\D15 77213  20150612 - 3 3 - Staff Paper - AER Submission to AEMC Consultation Paper - AEMO access to demand forecasting information (for Paula Conboy'.docx"/>
  </w:docVars>
  <w:rsids>
    <w:rsidRoot w:val="001D40C7"/>
    <w:rsid w:val="000016BC"/>
    <w:rsid w:val="00003EB5"/>
    <w:rsid w:val="00023702"/>
    <w:rsid w:val="00025304"/>
    <w:rsid w:val="00031E05"/>
    <w:rsid w:val="00033C48"/>
    <w:rsid w:val="0004288F"/>
    <w:rsid w:val="000510D1"/>
    <w:rsid w:val="0006306C"/>
    <w:rsid w:val="00067E4A"/>
    <w:rsid w:val="00076ACF"/>
    <w:rsid w:val="000A0635"/>
    <w:rsid w:val="000A4235"/>
    <w:rsid w:val="000A6215"/>
    <w:rsid w:val="000A7502"/>
    <w:rsid w:val="000B3B91"/>
    <w:rsid w:val="000E72BD"/>
    <w:rsid w:val="000F12EB"/>
    <w:rsid w:val="000F4F0E"/>
    <w:rsid w:val="00102C3B"/>
    <w:rsid w:val="00110512"/>
    <w:rsid w:val="001278EF"/>
    <w:rsid w:val="00132B12"/>
    <w:rsid w:val="00145035"/>
    <w:rsid w:val="0016452C"/>
    <w:rsid w:val="0017493F"/>
    <w:rsid w:val="00181A1F"/>
    <w:rsid w:val="001832FD"/>
    <w:rsid w:val="00192422"/>
    <w:rsid w:val="001A6AA6"/>
    <w:rsid w:val="001B1423"/>
    <w:rsid w:val="001C649F"/>
    <w:rsid w:val="001D40C7"/>
    <w:rsid w:val="001E7BBC"/>
    <w:rsid w:val="0020055D"/>
    <w:rsid w:val="00215222"/>
    <w:rsid w:val="0022166F"/>
    <w:rsid w:val="0024067A"/>
    <w:rsid w:val="002565F5"/>
    <w:rsid w:val="00263D74"/>
    <w:rsid w:val="00274DA8"/>
    <w:rsid w:val="00290AFF"/>
    <w:rsid w:val="002B62A5"/>
    <w:rsid w:val="002B67D2"/>
    <w:rsid w:val="002C4003"/>
    <w:rsid w:val="002E2720"/>
    <w:rsid w:val="003029BF"/>
    <w:rsid w:val="003231A9"/>
    <w:rsid w:val="00366B4E"/>
    <w:rsid w:val="003739ED"/>
    <w:rsid w:val="00392B85"/>
    <w:rsid w:val="0039533C"/>
    <w:rsid w:val="003C2A68"/>
    <w:rsid w:val="0040384F"/>
    <w:rsid w:val="00426B3A"/>
    <w:rsid w:val="00447809"/>
    <w:rsid w:val="00486817"/>
    <w:rsid w:val="004E5A6A"/>
    <w:rsid w:val="004E747B"/>
    <w:rsid w:val="004F047B"/>
    <w:rsid w:val="004F69D0"/>
    <w:rsid w:val="00500A72"/>
    <w:rsid w:val="0053094A"/>
    <w:rsid w:val="00532797"/>
    <w:rsid w:val="00534C9B"/>
    <w:rsid w:val="00535196"/>
    <w:rsid w:val="00535C57"/>
    <w:rsid w:val="005440FD"/>
    <w:rsid w:val="00557B67"/>
    <w:rsid w:val="005648BB"/>
    <w:rsid w:val="00565AF9"/>
    <w:rsid w:val="00572807"/>
    <w:rsid w:val="0057413E"/>
    <w:rsid w:val="00596DA6"/>
    <w:rsid w:val="005A1002"/>
    <w:rsid w:val="005B2DBA"/>
    <w:rsid w:val="005B35DA"/>
    <w:rsid w:val="005C7615"/>
    <w:rsid w:val="005D3118"/>
    <w:rsid w:val="005D6C7D"/>
    <w:rsid w:val="005D7BAC"/>
    <w:rsid w:val="005E259D"/>
    <w:rsid w:val="005E2B4D"/>
    <w:rsid w:val="005E79A3"/>
    <w:rsid w:val="005F1F99"/>
    <w:rsid w:val="00606A63"/>
    <w:rsid w:val="00616105"/>
    <w:rsid w:val="00622845"/>
    <w:rsid w:val="00625849"/>
    <w:rsid w:val="006264AE"/>
    <w:rsid w:val="00640188"/>
    <w:rsid w:val="0064563E"/>
    <w:rsid w:val="00653DE9"/>
    <w:rsid w:val="006645C8"/>
    <w:rsid w:val="006702E6"/>
    <w:rsid w:val="00681F28"/>
    <w:rsid w:val="00682289"/>
    <w:rsid w:val="006B680A"/>
    <w:rsid w:val="006C68CE"/>
    <w:rsid w:val="006D2B14"/>
    <w:rsid w:val="00722CB3"/>
    <w:rsid w:val="00724AE3"/>
    <w:rsid w:val="007540E5"/>
    <w:rsid w:val="00756A51"/>
    <w:rsid w:val="00762B83"/>
    <w:rsid w:val="0076333A"/>
    <w:rsid w:val="007A414E"/>
    <w:rsid w:val="007A6A98"/>
    <w:rsid w:val="007C6AD5"/>
    <w:rsid w:val="007D7F08"/>
    <w:rsid w:val="007F5027"/>
    <w:rsid w:val="00803758"/>
    <w:rsid w:val="00813ACF"/>
    <w:rsid w:val="008157A2"/>
    <w:rsid w:val="00821227"/>
    <w:rsid w:val="00835666"/>
    <w:rsid w:val="008411B3"/>
    <w:rsid w:val="00842848"/>
    <w:rsid w:val="0084538D"/>
    <w:rsid w:val="00866C3F"/>
    <w:rsid w:val="00896E96"/>
    <w:rsid w:val="008A7A75"/>
    <w:rsid w:val="008B6AA5"/>
    <w:rsid w:val="008B78BC"/>
    <w:rsid w:val="008F2DFA"/>
    <w:rsid w:val="008F4582"/>
    <w:rsid w:val="00902069"/>
    <w:rsid w:val="0090386F"/>
    <w:rsid w:val="0090670E"/>
    <w:rsid w:val="009213EE"/>
    <w:rsid w:val="00935D6F"/>
    <w:rsid w:val="009757BD"/>
    <w:rsid w:val="00980A50"/>
    <w:rsid w:val="00992937"/>
    <w:rsid w:val="009A6DF3"/>
    <w:rsid w:val="009B01BF"/>
    <w:rsid w:val="009B1246"/>
    <w:rsid w:val="009B6D64"/>
    <w:rsid w:val="009C08B6"/>
    <w:rsid w:val="00A11F71"/>
    <w:rsid w:val="00A21679"/>
    <w:rsid w:val="00A25758"/>
    <w:rsid w:val="00A35233"/>
    <w:rsid w:val="00A43693"/>
    <w:rsid w:val="00A6170A"/>
    <w:rsid w:val="00A61C82"/>
    <w:rsid w:val="00A70E2E"/>
    <w:rsid w:val="00AB1424"/>
    <w:rsid w:val="00AC0644"/>
    <w:rsid w:val="00AD601E"/>
    <w:rsid w:val="00AF1F0A"/>
    <w:rsid w:val="00AF45AF"/>
    <w:rsid w:val="00B004F3"/>
    <w:rsid w:val="00B20832"/>
    <w:rsid w:val="00B25BA0"/>
    <w:rsid w:val="00B2604D"/>
    <w:rsid w:val="00B431AF"/>
    <w:rsid w:val="00B7061A"/>
    <w:rsid w:val="00B87522"/>
    <w:rsid w:val="00B92C44"/>
    <w:rsid w:val="00B93552"/>
    <w:rsid w:val="00BA685C"/>
    <w:rsid w:val="00BB1AA0"/>
    <w:rsid w:val="00BB1DEB"/>
    <w:rsid w:val="00BB7F67"/>
    <w:rsid w:val="00BC1FF6"/>
    <w:rsid w:val="00BC73DF"/>
    <w:rsid w:val="00BD1E7F"/>
    <w:rsid w:val="00BE27E0"/>
    <w:rsid w:val="00BF606E"/>
    <w:rsid w:val="00C063DD"/>
    <w:rsid w:val="00C07B5C"/>
    <w:rsid w:val="00C13A14"/>
    <w:rsid w:val="00C15EFE"/>
    <w:rsid w:val="00C238C7"/>
    <w:rsid w:val="00C311C0"/>
    <w:rsid w:val="00C316DA"/>
    <w:rsid w:val="00C44B79"/>
    <w:rsid w:val="00C51C55"/>
    <w:rsid w:val="00C64141"/>
    <w:rsid w:val="00C80CAB"/>
    <w:rsid w:val="00C87553"/>
    <w:rsid w:val="00C9273C"/>
    <w:rsid w:val="00C931A7"/>
    <w:rsid w:val="00C93BFE"/>
    <w:rsid w:val="00CB7D25"/>
    <w:rsid w:val="00D13382"/>
    <w:rsid w:val="00D16657"/>
    <w:rsid w:val="00D43956"/>
    <w:rsid w:val="00D4574B"/>
    <w:rsid w:val="00D662F8"/>
    <w:rsid w:val="00D714AC"/>
    <w:rsid w:val="00D877AC"/>
    <w:rsid w:val="00D95DFD"/>
    <w:rsid w:val="00DB0632"/>
    <w:rsid w:val="00DB3CC2"/>
    <w:rsid w:val="00DD2B06"/>
    <w:rsid w:val="00DE4CA0"/>
    <w:rsid w:val="00DF01B0"/>
    <w:rsid w:val="00DF25E0"/>
    <w:rsid w:val="00E03D9B"/>
    <w:rsid w:val="00E165BC"/>
    <w:rsid w:val="00E30C1D"/>
    <w:rsid w:val="00E3199B"/>
    <w:rsid w:val="00E54497"/>
    <w:rsid w:val="00E65F23"/>
    <w:rsid w:val="00E861F3"/>
    <w:rsid w:val="00E86675"/>
    <w:rsid w:val="00E90D4C"/>
    <w:rsid w:val="00E91BFB"/>
    <w:rsid w:val="00E9207A"/>
    <w:rsid w:val="00E97362"/>
    <w:rsid w:val="00EA490B"/>
    <w:rsid w:val="00EB1E76"/>
    <w:rsid w:val="00ED1AC5"/>
    <w:rsid w:val="00ED4480"/>
    <w:rsid w:val="00EE4B4B"/>
    <w:rsid w:val="00EE56CA"/>
    <w:rsid w:val="00EF2580"/>
    <w:rsid w:val="00EF43FD"/>
    <w:rsid w:val="00F063C7"/>
    <w:rsid w:val="00F31251"/>
    <w:rsid w:val="00F330A2"/>
    <w:rsid w:val="00F70204"/>
    <w:rsid w:val="00F82D28"/>
    <w:rsid w:val="00F8469A"/>
    <w:rsid w:val="00F97D78"/>
    <w:rsid w:val="00FD1EB8"/>
    <w:rsid w:val="00FD4CB6"/>
    <w:rsid w:val="00FD609C"/>
    <w:rsid w:val="00FF39CF"/>
    <w:rsid w:val="00FF45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2"/>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45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3739ED"/>
    <w:rPr>
      <w:sz w:val="16"/>
      <w:szCs w:val="16"/>
    </w:rPr>
  </w:style>
  <w:style w:type="paragraph" w:styleId="CommentText">
    <w:name w:val="annotation text"/>
    <w:basedOn w:val="Normal"/>
    <w:semiHidden/>
    <w:rsid w:val="003739ED"/>
    <w:rPr>
      <w:sz w:val="20"/>
      <w:szCs w:val="20"/>
    </w:rPr>
  </w:style>
  <w:style w:type="paragraph" w:styleId="BalloonText">
    <w:name w:val="Balloon Text"/>
    <w:basedOn w:val="Normal"/>
    <w:semiHidden/>
    <w:rsid w:val="003739ED"/>
    <w:rPr>
      <w:rFonts w:ascii="Tahoma" w:hAnsi="Tahoma" w:cs="Tahoma"/>
      <w:sz w:val="16"/>
      <w:szCs w:val="16"/>
    </w:rPr>
  </w:style>
  <w:style w:type="paragraph" w:styleId="CommentSubject">
    <w:name w:val="annotation subject"/>
    <w:basedOn w:val="CommentText"/>
    <w:next w:val="CommentText"/>
    <w:semiHidden/>
    <w:rsid w:val="003739ED"/>
    <w:rPr>
      <w:b/>
      <w:bCs/>
    </w:rPr>
  </w:style>
  <w:style w:type="table" w:styleId="TableGrid">
    <w:name w:val="Table Grid"/>
    <w:basedOn w:val="TableNormal"/>
    <w:rsid w:val="00574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81F28"/>
    <w:pPr>
      <w:tabs>
        <w:tab w:val="center" w:pos="4153"/>
        <w:tab w:val="right" w:pos="8306"/>
      </w:tabs>
    </w:pPr>
  </w:style>
  <w:style w:type="paragraph" w:styleId="Footer">
    <w:name w:val="footer"/>
    <w:basedOn w:val="Normal"/>
    <w:rsid w:val="00681F28"/>
    <w:pPr>
      <w:tabs>
        <w:tab w:val="center" w:pos="4153"/>
        <w:tab w:val="right" w:pos="8306"/>
      </w:tabs>
    </w:pPr>
  </w:style>
  <w:style w:type="paragraph" w:customStyle="1" w:styleId="AERboxbullet">
    <w:name w:val="AER box bullet"/>
    <w:basedOn w:val="Normal"/>
    <w:rsid w:val="00606A63"/>
    <w:pPr>
      <w:numPr>
        <w:numId w:val="1"/>
      </w:numPr>
      <w:pBdr>
        <w:top w:val="single" w:sz="4" w:space="1" w:color="auto"/>
        <w:left w:val="single" w:sz="4" w:space="4" w:color="auto"/>
        <w:bottom w:val="single" w:sz="4" w:space="1" w:color="auto"/>
        <w:right w:val="single" w:sz="4" w:space="4" w:color="auto"/>
      </w:pBdr>
    </w:pPr>
    <w:rPr>
      <w:szCs w:val="20"/>
      <w:lang w:val="en-GB"/>
    </w:rPr>
  </w:style>
  <w:style w:type="paragraph" w:customStyle="1" w:styleId="AERbodytext">
    <w:name w:val="AER body text"/>
    <w:link w:val="AERbodytextChar"/>
    <w:rsid w:val="00606A63"/>
    <w:pPr>
      <w:spacing w:after="240"/>
    </w:pPr>
    <w:rPr>
      <w:sz w:val="24"/>
      <w:szCs w:val="24"/>
      <w:lang w:eastAsia="en-US"/>
    </w:rPr>
  </w:style>
  <w:style w:type="paragraph" w:customStyle="1" w:styleId="AERbulletlistfirststyle">
    <w:name w:val="AER bullet list (first style)"/>
    <w:basedOn w:val="Normal"/>
    <w:rsid w:val="00606A63"/>
    <w:pPr>
      <w:numPr>
        <w:numId w:val="2"/>
      </w:numPr>
      <w:tabs>
        <w:tab w:val="left" w:pos="567"/>
      </w:tabs>
      <w:spacing w:after="240" w:line="240" w:lineRule="atLeast"/>
    </w:pPr>
    <w:rPr>
      <w:lang w:eastAsia="en-US"/>
    </w:rPr>
  </w:style>
  <w:style w:type="paragraph" w:styleId="Subtitle">
    <w:name w:val="Subtitle"/>
    <w:qFormat/>
    <w:rsid w:val="00606A63"/>
    <w:pPr>
      <w:spacing w:after="60"/>
      <w:jc w:val="center"/>
      <w:outlineLvl w:val="1"/>
    </w:pPr>
    <w:rPr>
      <w:rFonts w:ascii="Arial" w:hAnsi="Arial" w:cs="Arial"/>
      <w:sz w:val="28"/>
      <w:szCs w:val="24"/>
      <w:lang w:eastAsia="en-US"/>
    </w:rPr>
  </w:style>
  <w:style w:type="paragraph" w:customStyle="1" w:styleId="AERunnumberedheading1">
    <w:name w:val="AER unnumbered heading 1"/>
    <w:basedOn w:val="Normal"/>
    <w:next w:val="AERbodytext"/>
    <w:link w:val="AERunnumberedheading1Char"/>
    <w:rsid w:val="00606A63"/>
    <w:pPr>
      <w:pageBreakBefore/>
      <w:widowControl w:val="0"/>
      <w:tabs>
        <w:tab w:val="left" w:pos="851"/>
      </w:tabs>
      <w:spacing w:before="240" w:after="120"/>
      <w:outlineLvl w:val="0"/>
    </w:pPr>
    <w:rPr>
      <w:rFonts w:ascii="Arial Bold" w:hAnsi="Arial Bold"/>
      <w:b/>
      <w:bCs/>
      <w:spacing w:val="5"/>
      <w:kern w:val="36"/>
      <w:sz w:val="36"/>
      <w:szCs w:val="27"/>
      <w:lang w:eastAsia="en-US"/>
    </w:rPr>
  </w:style>
  <w:style w:type="character" w:customStyle="1" w:styleId="AERunnumberedheading1Char">
    <w:name w:val="AER unnumbered heading 1 Char"/>
    <w:link w:val="AERunnumberedheading1"/>
    <w:rsid w:val="00606A63"/>
    <w:rPr>
      <w:rFonts w:ascii="Arial Bold" w:hAnsi="Arial Bold"/>
      <w:b/>
      <w:bCs/>
      <w:spacing w:val="5"/>
      <w:kern w:val="36"/>
      <w:sz w:val="36"/>
      <w:szCs w:val="27"/>
      <w:lang w:val="en-AU" w:eastAsia="en-US" w:bidi="ar-SA"/>
    </w:rPr>
  </w:style>
  <w:style w:type="paragraph" w:customStyle="1" w:styleId="AERunnumberedheading2">
    <w:name w:val="AER unnumbered heading 2"/>
    <w:basedOn w:val="Normal"/>
    <w:next w:val="AERbodytext"/>
    <w:rsid w:val="00606A63"/>
    <w:pPr>
      <w:keepNext/>
      <w:tabs>
        <w:tab w:val="left" w:pos="851"/>
      </w:tabs>
      <w:spacing w:before="240" w:after="120"/>
    </w:pPr>
    <w:rPr>
      <w:rFonts w:ascii="Arial Bold" w:hAnsi="Arial Bold"/>
      <w:sz w:val="30"/>
      <w:lang w:eastAsia="en-US"/>
    </w:rPr>
  </w:style>
  <w:style w:type="paragraph" w:customStyle="1" w:styleId="AERunnumberedheading3">
    <w:name w:val="AER unnumbered heading 3"/>
    <w:basedOn w:val="Normal"/>
    <w:next w:val="AERbodytext"/>
    <w:rsid w:val="00606A63"/>
    <w:pPr>
      <w:keepNext/>
      <w:tabs>
        <w:tab w:val="left" w:pos="851"/>
      </w:tabs>
      <w:spacing w:before="240" w:after="120"/>
    </w:pPr>
    <w:rPr>
      <w:rFonts w:ascii="Arial Bold" w:hAnsi="Arial Bold"/>
      <w:lang w:eastAsia="en-US"/>
    </w:rPr>
  </w:style>
  <w:style w:type="character" w:customStyle="1" w:styleId="AERbodytextChar">
    <w:name w:val="AER body text Char"/>
    <w:link w:val="AERbodytext"/>
    <w:rsid w:val="00606A63"/>
    <w:rPr>
      <w:sz w:val="24"/>
      <w:szCs w:val="24"/>
      <w:lang w:val="en-AU" w:eastAsia="en-US" w:bidi="ar-SA"/>
    </w:rPr>
  </w:style>
  <w:style w:type="character" w:styleId="PageNumber">
    <w:name w:val="page number"/>
    <w:basedOn w:val="DefaultParagraphFont"/>
    <w:rsid w:val="00606A63"/>
  </w:style>
  <w:style w:type="paragraph" w:styleId="ListParagraph">
    <w:name w:val="List Paragraph"/>
    <w:basedOn w:val="Normal"/>
    <w:uiPriority w:val="34"/>
    <w:qFormat/>
    <w:rsid w:val="00C311C0"/>
    <w:pPr>
      <w:ind w:left="340"/>
    </w:pPr>
  </w:style>
  <w:style w:type="character" w:styleId="Strong">
    <w:name w:val="Strong"/>
    <w:basedOn w:val="DefaultParagraphFont"/>
    <w:qFormat/>
    <w:rsid w:val="00D662F8"/>
    <w:rPr>
      <w:b/>
      <w:bCs/>
    </w:rPr>
  </w:style>
  <w:style w:type="paragraph" w:customStyle="1" w:styleId="NER-RC-List-1-MNum">
    <w:name w:val="NER-RC-List-1-MNum"/>
    <w:basedOn w:val="Normal"/>
    <w:uiPriority w:val="99"/>
    <w:rsid w:val="00B004F3"/>
    <w:pPr>
      <w:tabs>
        <w:tab w:val="left" w:pos="1701"/>
      </w:tabs>
      <w:autoSpaceDE w:val="0"/>
      <w:autoSpaceDN w:val="0"/>
      <w:adjustRightInd w:val="0"/>
      <w:spacing w:before="120" w:after="120"/>
      <w:ind w:left="1701" w:hanging="567"/>
      <w:jc w:val="both"/>
    </w:pPr>
    <w:rPr>
      <w:rFonts w:eastAsiaTheme="minorEastAsia"/>
      <w:color w:val="000000"/>
    </w:rPr>
  </w:style>
  <w:style w:type="paragraph" w:customStyle="1" w:styleId="NER-RC-List-2-MNum">
    <w:name w:val="NER-RC-List-2-MNum"/>
    <w:basedOn w:val="Normal"/>
    <w:uiPriority w:val="99"/>
    <w:rsid w:val="00B004F3"/>
    <w:pPr>
      <w:tabs>
        <w:tab w:val="left" w:pos="2268"/>
      </w:tabs>
      <w:autoSpaceDE w:val="0"/>
      <w:autoSpaceDN w:val="0"/>
      <w:adjustRightInd w:val="0"/>
      <w:spacing w:before="120" w:after="120"/>
      <w:ind w:left="2268" w:hanging="567"/>
      <w:jc w:val="both"/>
    </w:pPr>
    <w:rPr>
      <w:rFonts w:eastAsiaTheme="minorEastAsia"/>
      <w:color w:val="000000"/>
    </w:rPr>
  </w:style>
  <w:style w:type="paragraph" w:customStyle="1" w:styleId="NER-RC-List-3-MNum">
    <w:name w:val="NER-RC-List-3-MNum"/>
    <w:basedOn w:val="Normal"/>
    <w:uiPriority w:val="99"/>
    <w:rsid w:val="00B004F3"/>
    <w:pPr>
      <w:tabs>
        <w:tab w:val="left" w:pos="2835"/>
      </w:tabs>
      <w:autoSpaceDE w:val="0"/>
      <w:autoSpaceDN w:val="0"/>
      <w:adjustRightInd w:val="0"/>
      <w:spacing w:before="120" w:after="120"/>
      <w:ind w:left="2835" w:hanging="567"/>
      <w:jc w:val="both"/>
    </w:pPr>
    <w:rPr>
      <w:rFonts w:eastAsiaTheme="minorEastAsia"/>
      <w:color w:val="000000"/>
    </w:rPr>
  </w:style>
  <w:style w:type="paragraph" w:customStyle="1" w:styleId="NER-Cl-Title-Lvl-4">
    <w:name w:val="NER-Cl-Title-Lvl-4"/>
    <w:basedOn w:val="Normal"/>
    <w:uiPriority w:val="99"/>
    <w:rsid w:val="00B004F3"/>
    <w:pPr>
      <w:keepNext/>
      <w:keepLines/>
      <w:tabs>
        <w:tab w:val="left" w:pos="1134"/>
      </w:tabs>
      <w:autoSpaceDE w:val="0"/>
      <w:autoSpaceDN w:val="0"/>
      <w:adjustRightInd w:val="0"/>
      <w:spacing w:before="240" w:after="60"/>
      <w:ind w:left="1134" w:hanging="1134"/>
      <w:outlineLvl w:val="3"/>
    </w:pPr>
    <w:rPr>
      <w:rFonts w:ascii="Arial Bold" w:eastAsiaTheme="minorEastAsia" w:hAnsi="Arial Bold" w:cs="Arial Bold"/>
      <w:b/>
      <w:bCs/>
      <w:color w:val="000000"/>
    </w:rPr>
  </w:style>
  <w:style w:type="character" w:customStyle="1" w:styleId="NER-Term-Inline">
    <w:name w:val="NER-Term-Inline"/>
    <w:uiPriority w:val="99"/>
    <w:rsid w:val="00B004F3"/>
    <w:rPr>
      <w:rFonts w:ascii="Times New Roman" w:hAnsi="Times New Roman" w:cs="Times New Roman"/>
      <w:b/>
      <w:bCs/>
      <w:w w:val="100"/>
      <w:sz w:val="24"/>
      <w:szCs w:val="24"/>
    </w:rPr>
  </w:style>
  <w:style w:type="paragraph" w:customStyle="1" w:styleId="NER-RC-Para">
    <w:name w:val="NER-RC-Para"/>
    <w:basedOn w:val="Normal"/>
    <w:uiPriority w:val="99"/>
    <w:rsid w:val="00B004F3"/>
    <w:pPr>
      <w:autoSpaceDE w:val="0"/>
      <w:autoSpaceDN w:val="0"/>
      <w:adjustRightInd w:val="0"/>
      <w:spacing w:before="120" w:after="120"/>
      <w:ind w:left="1134"/>
      <w:jc w:val="both"/>
    </w:pPr>
    <w:rPr>
      <w:rFonts w:eastAsiaTheme="minorEastAsia"/>
      <w:color w:val="000000"/>
    </w:rPr>
  </w:style>
  <w:style w:type="paragraph" w:customStyle="1" w:styleId="NER-Term-Global">
    <w:name w:val="NER-Term-Global"/>
    <w:basedOn w:val="Normal"/>
    <w:uiPriority w:val="99"/>
    <w:rsid w:val="00B004F3"/>
    <w:pPr>
      <w:keepNext/>
      <w:keepLines/>
      <w:autoSpaceDE w:val="0"/>
      <w:autoSpaceDN w:val="0"/>
      <w:adjustRightInd w:val="0"/>
      <w:spacing w:before="120" w:after="60"/>
      <w:jc w:val="both"/>
    </w:pPr>
    <w:rPr>
      <w:rFonts w:eastAsiaTheme="minorEastAsia"/>
      <w:b/>
      <w:bCs/>
      <w:i/>
      <w:iCs/>
      <w:color w:val="000000"/>
    </w:rPr>
  </w:style>
  <w:style w:type="numbering" w:customStyle="1" w:styleId="NumberedList">
    <w:name w:val="Numbered List"/>
    <w:uiPriority w:val="99"/>
    <w:rsid w:val="0022166F"/>
    <w:pPr>
      <w:numPr>
        <w:numId w:val="6"/>
      </w:numPr>
    </w:pPr>
  </w:style>
  <w:style w:type="paragraph" w:styleId="FootnoteText">
    <w:name w:val="footnote text"/>
    <w:basedOn w:val="Normal"/>
    <w:link w:val="FootnoteTextChar"/>
    <w:uiPriority w:val="2"/>
    <w:rsid w:val="0024067A"/>
    <w:pPr>
      <w:ind w:right="567"/>
    </w:pPr>
    <w:rPr>
      <w:rFonts w:ascii="Arial" w:eastAsia="Arial" w:hAnsi="Arial"/>
      <w:sz w:val="16"/>
      <w:szCs w:val="20"/>
      <w:lang w:eastAsia="en-US"/>
    </w:rPr>
  </w:style>
  <w:style w:type="character" w:customStyle="1" w:styleId="FootnoteTextChar">
    <w:name w:val="Footnote Text Char"/>
    <w:basedOn w:val="DefaultParagraphFont"/>
    <w:link w:val="FootnoteText"/>
    <w:uiPriority w:val="2"/>
    <w:rsid w:val="0024067A"/>
    <w:rPr>
      <w:rFonts w:ascii="Arial" w:eastAsia="Arial" w:hAnsi="Arial"/>
      <w:sz w:val="16"/>
      <w:lang w:eastAsia="en-US"/>
    </w:rPr>
  </w:style>
  <w:style w:type="character" w:styleId="FootnoteReference">
    <w:name w:val="footnote reference"/>
    <w:uiPriority w:val="99"/>
    <w:rsid w:val="0024067A"/>
    <w:rPr>
      <w:rFonts w:ascii="Arial" w:hAnsi="Arial"/>
      <w:sz w:val="16"/>
      <w:vertAlign w:val="superscript"/>
    </w:rPr>
  </w:style>
  <w:style w:type="character" w:styleId="Hyperlink">
    <w:name w:val="Hyperlink"/>
    <w:basedOn w:val="DefaultParagraphFont"/>
    <w:rsid w:val="003029BF"/>
    <w:rPr>
      <w:color w:val="0000FF" w:themeColor="hyperlink"/>
      <w:u w:val="single"/>
    </w:rPr>
  </w:style>
  <w:style w:type="paragraph" w:styleId="Quote">
    <w:name w:val="Quote"/>
    <w:basedOn w:val="Normal"/>
    <w:next w:val="Normal"/>
    <w:link w:val="QuoteChar"/>
    <w:uiPriority w:val="29"/>
    <w:qFormat/>
    <w:rsid w:val="0064563E"/>
    <w:rPr>
      <w:i/>
      <w:iCs/>
      <w:color w:val="000000" w:themeColor="text1"/>
    </w:rPr>
  </w:style>
  <w:style w:type="character" w:customStyle="1" w:styleId="QuoteChar">
    <w:name w:val="Quote Char"/>
    <w:basedOn w:val="DefaultParagraphFont"/>
    <w:link w:val="Quote"/>
    <w:uiPriority w:val="29"/>
    <w:rsid w:val="0064563E"/>
    <w:rPr>
      <w:i/>
      <w:iCs/>
      <w:color w:val="000000" w:themeColor="text1"/>
      <w:sz w:val="24"/>
      <w:szCs w:val="24"/>
    </w:rPr>
  </w:style>
  <w:style w:type="character" w:styleId="SubtleEmphasis">
    <w:name w:val="Subtle Emphasis"/>
    <w:basedOn w:val="DefaultParagraphFont"/>
    <w:uiPriority w:val="19"/>
    <w:qFormat/>
    <w:rsid w:val="0064563E"/>
    <w:rPr>
      <w:i/>
      <w:iCs/>
      <w:color w:val="808080" w:themeColor="text1" w:themeTint="7F"/>
    </w:rPr>
  </w:style>
  <w:style w:type="character" w:styleId="Emphasis">
    <w:name w:val="Emphasis"/>
    <w:basedOn w:val="DefaultParagraphFont"/>
    <w:qFormat/>
    <w:rsid w:val="0064563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mmentReference">
    <w:name w:val="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641882">
      <w:bodyDiv w:val="1"/>
      <w:marLeft w:val="0"/>
      <w:marRight w:val="0"/>
      <w:marTop w:val="0"/>
      <w:marBottom w:val="0"/>
      <w:divBdr>
        <w:top w:val="none" w:sz="0" w:space="0" w:color="auto"/>
        <w:left w:val="none" w:sz="0" w:space="0" w:color="auto"/>
        <w:bottom w:val="none" w:sz="0" w:space="0" w:color="auto"/>
        <w:right w:val="none" w:sz="0" w:space="0" w:color="auto"/>
      </w:divBdr>
    </w:div>
    <w:div w:id="68204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B4A31-D9F8-4020-A769-65A47E273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2138</Words>
  <Characters>12342</Characters>
  <Application>Microsoft Office Word</Application>
  <DocSecurity>0</DocSecurity>
  <Lines>102</Lines>
  <Paragraphs>28</Paragraphs>
  <ScaleCrop>false</ScaleCrop>
  <Company/>
  <LinksUpToDate>false</LinksUpToDate>
  <CharactersWithSpaces>14452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2015-09-16T02:51:00Z</dcterms:created>
  <dcterms:modified xsi:type="dcterms:W3CDTF">2015-09-16T02:51:00Z</dcterms:modified>
</cp:coreProperties>
</file>