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C2" w:rsidRPr="0020711E" w:rsidRDefault="00A131FB" w:rsidP="00824CC8">
      <w:pPr>
        <w:pStyle w:val="AERbodytextindent1"/>
        <w:rPr>
          <w:rStyle w:val="AERtextsize8"/>
        </w:rPr>
      </w:pPr>
      <w:r w:rsidRPr="00824CC8">
        <w:rPr>
          <w:noProof/>
          <w:lang w:eastAsia="en-AU"/>
        </w:rPr>
        <w:drawing>
          <wp:anchor distT="0" distB="0" distL="114300" distR="114300" simplePos="0" relativeHeight="251648512" behindDoc="1" locked="0" layoutInCell="1" allowOverlap="1" wp14:anchorId="1FE2F18D" wp14:editId="605977E0">
            <wp:simplePos x="0" y="0"/>
            <wp:positionH relativeFrom="column">
              <wp:posOffset>-914400</wp:posOffset>
            </wp:positionH>
            <wp:positionV relativeFrom="paragraph">
              <wp:posOffset>-944169</wp:posOffset>
            </wp:positionV>
            <wp:extent cx="7602854" cy="10783019"/>
            <wp:effectExtent l="0" t="0" r="0"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02854" cy="107830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C49D4" w:rsidRPr="00824CC8">
        <w:rPr>
          <w:noProof/>
          <w:lang w:eastAsia="en-AU"/>
        </w:rPr>
        <w:drawing>
          <wp:anchor distT="0" distB="0" distL="114300" distR="114300" simplePos="0" relativeHeight="251647488" behindDoc="1" locked="0" layoutInCell="1" allowOverlap="1" wp14:anchorId="6358BB6B" wp14:editId="5E1AD90D">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9658F0" w:rsidRDefault="009658F0" w:rsidP="000A1CC2">
      <w:pPr>
        <w:pStyle w:val="AERtitle1"/>
      </w:pPr>
    </w:p>
    <w:p w:rsidR="009658F0" w:rsidRDefault="009658F0" w:rsidP="000A1CC2">
      <w:pPr>
        <w:pStyle w:val="AERtitle1"/>
      </w:pPr>
    </w:p>
    <w:p w:rsidR="00A131FB" w:rsidRDefault="00A131FB" w:rsidP="000A1CC2">
      <w:pPr>
        <w:pStyle w:val="AERtitle1"/>
      </w:pPr>
    </w:p>
    <w:p w:rsidR="00A131FB" w:rsidRDefault="00A131FB" w:rsidP="000A1CC2">
      <w:pPr>
        <w:pStyle w:val="AERtitle1"/>
      </w:pPr>
    </w:p>
    <w:p w:rsidR="00A131FB" w:rsidRDefault="00A131FB" w:rsidP="000A1CC2">
      <w:pPr>
        <w:pStyle w:val="AERtitle1"/>
      </w:pPr>
    </w:p>
    <w:p w:rsidR="00A131FB" w:rsidRDefault="00A131FB" w:rsidP="000A1CC2">
      <w:pPr>
        <w:pStyle w:val="AERtitle1"/>
      </w:pPr>
    </w:p>
    <w:p w:rsidR="000A1CC2" w:rsidRDefault="00624F72" w:rsidP="000A1CC2">
      <w:pPr>
        <w:pStyle w:val="AERtitle1"/>
      </w:pPr>
      <w:r>
        <w:t>Gas market s</w:t>
      </w:r>
      <w:r w:rsidR="00DA4AD2">
        <w:t>ignificant price variation report</w:t>
      </w:r>
    </w:p>
    <w:p w:rsidR="000A1CC2" w:rsidRDefault="000A1CC2" w:rsidP="000A1CC2">
      <w:pPr>
        <w:pStyle w:val="AERtitle1"/>
      </w:pPr>
    </w:p>
    <w:p w:rsidR="00DA4AD2" w:rsidRDefault="008747A1" w:rsidP="000B15CA">
      <w:pPr>
        <w:pStyle w:val="AERtitle2"/>
      </w:pPr>
      <w:r>
        <w:t>7 July 2014, Brisbane</w:t>
      </w:r>
      <w:r w:rsidR="00DA4AD2">
        <w:t xml:space="preserve"> STTM</w:t>
      </w:r>
    </w:p>
    <w:p w:rsidR="000B15CA" w:rsidRDefault="000B15CA" w:rsidP="000B15CA">
      <w:pPr>
        <w:pStyle w:val="AERtitle2"/>
      </w:pPr>
    </w:p>
    <w:p w:rsidR="000B15CA" w:rsidRDefault="000B15CA" w:rsidP="000B15CA">
      <w:pPr>
        <w:pStyle w:val="AERtitle2"/>
      </w:pPr>
    </w:p>
    <w:p w:rsidR="000B15CA" w:rsidRDefault="000B15CA" w:rsidP="000B15CA">
      <w:pPr>
        <w:pStyle w:val="AERtitle2"/>
      </w:pPr>
    </w:p>
    <w:p w:rsidR="004E73F7" w:rsidRDefault="004E73F7" w:rsidP="00507FC5">
      <w:pPr>
        <w:pStyle w:val="AERbodytextnospace"/>
        <w:numPr>
          <w:ilvl w:val="0"/>
          <w:numId w:val="6"/>
        </w:numPr>
      </w:pPr>
    </w:p>
    <w:p w:rsidR="000B15CA" w:rsidRDefault="000B15CA" w:rsidP="00507FC5">
      <w:pPr>
        <w:pStyle w:val="AERbodytextnospace"/>
        <w:numPr>
          <w:ilvl w:val="0"/>
          <w:numId w:val="6"/>
        </w:numPr>
      </w:pPr>
    </w:p>
    <w:p w:rsidR="00CC49D4" w:rsidRPr="00412D01" w:rsidRDefault="00CC49D4" w:rsidP="00CC49D4"/>
    <w:p w:rsidR="00D36144" w:rsidRDefault="00D36144" w:rsidP="00D36144">
      <w:pPr>
        <w:pStyle w:val="AERbodytextnospace"/>
        <w:rPr>
          <w:rStyle w:val="AERtextbold"/>
        </w:rPr>
      </w:pPr>
      <w:bookmarkStart w:id="0" w:name="_Toc360023682"/>
      <w:bookmarkStart w:id="1" w:name="_Toc360024843"/>
      <w:bookmarkStart w:id="2" w:name="_Toc360026187"/>
    </w:p>
    <w:p w:rsidR="00D36144" w:rsidRDefault="00D36144" w:rsidP="00D36144">
      <w:pPr>
        <w:pStyle w:val="AERbodytextnospace"/>
        <w:rPr>
          <w:rStyle w:val="AERtextbold"/>
        </w:rPr>
      </w:pPr>
    </w:p>
    <w:p w:rsidR="00D36144" w:rsidRDefault="00D36144" w:rsidP="00D36144">
      <w:pPr>
        <w:pStyle w:val="AERbodytextnospace"/>
        <w:rPr>
          <w:rStyle w:val="AERtextbold"/>
        </w:rPr>
      </w:pPr>
    </w:p>
    <w:p w:rsidR="00D36144" w:rsidRDefault="00D36144" w:rsidP="00D36144">
      <w:pPr>
        <w:pStyle w:val="AERbodytextnospace"/>
        <w:rPr>
          <w:rStyle w:val="AERtextbold"/>
        </w:rPr>
      </w:pPr>
    </w:p>
    <w:p w:rsidR="00D36144" w:rsidRDefault="00D36144" w:rsidP="00D36144">
      <w:pPr>
        <w:pStyle w:val="AERbodytextnospace"/>
        <w:rPr>
          <w:rStyle w:val="AERtextbold"/>
        </w:rPr>
      </w:pPr>
    </w:p>
    <w:p w:rsidR="00D36144" w:rsidRDefault="00D36144" w:rsidP="00D36144">
      <w:pPr>
        <w:pStyle w:val="AERbodytextnospace"/>
        <w:rPr>
          <w:rStyle w:val="AERtextbold"/>
        </w:rPr>
      </w:pPr>
    </w:p>
    <w:p w:rsidR="00D36144" w:rsidRDefault="00D36144" w:rsidP="00D36144">
      <w:pPr>
        <w:pStyle w:val="AERbodytextnospace"/>
        <w:rPr>
          <w:rStyle w:val="AERtextbold"/>
        </w:rPr>
      </w:pPr>
    </w:p>
    <w:p w:rsidR="00D36144" w:rsidRDefault="00D36144" w:rsidP="00D36144">
      <w:pPr>
        <w:pStyle w:val="AERbodytextnospace"/>
        <w:rPr>
          <w:rStyle w:val="AERtextbold"/>
        </w:rPr>
      </w:pPr>
    </w:p>
    <w:p w:rsidR="00D36144" w:rsidRDefault="00D36144" w:rsidP="00D36144">
      <w:pPr>
        <w:pStyle w:val="AERbodytextnospace"/>
        <w:rPr>
          <w:rStyle w:val="AERtextbold"/>
        </w:rPr>
      </w:pPr>
    </w:p>
    <w:p w:rsidR="006E0734" w:rsidRDefault="006E0734" w:rsidP="00D36144">
      <w:pPr>
        <w:pStyle w:val="AERbodytextnospace"/>
        <w:rPr>
          <w:rStyle w:val="AERtextbold"/>
        </w:rPr>
      </w:pPr>
    </w:p>
    <w:p w:rsidR="007A5812" w:rsidRDefault="007A5812" w:rsidP="007A5812">
      <w:pPr>
        <w:pStyle w:val="AERbodytextnospace"/>
        <w:rPr>
          <w:rStyle w:val="AERtextbold"/>
        </w:rPr>
      </w:pPr>
    </w:p>
    <w:p w:rsidR="00D36144" w:rsidRPr="00D36144" w:rsidRDefault="00D36144" w:rsidP="007A5812">
      <w:pPr>
        <w:pStyle w:val="AERbodytextnospace"/>
        <w:rPr>
          <w:rStyle w:val="AERtextbold"/>
        </w:rPr>
      </w:pPr>
      <w:r w:rsidRPr="008F1A4A">
        <w:rPr>
          <w:rStyle w:val="AERtextbold"/>
        </w:rPr>
        <w:t>©</w:t>
      </w:r>
      <w:r w:rsidR="003604D5">
        <w:rPr>
          <w:rStyle w:val="AERtextbold"/>
        </w:rPr>
        <w:t xml:space="preserve"> Commonwealth of Australia 2014</w:t>
      </w:r>
    </w:p>
    <w:p w:rsidR="00D36144" w:rsidRPr="00F6235D" w:rsidRDefault="00D36144" w:rsidP="00D36144">
      <w:r w:rsidRPr="00F6235D">
        <w:lastRenderedPageBreak/>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D36144" w:rsidRDefault="00D36144" w:rsidP="00D36144">
      <w:r>
        <w:t>Inquiries about this document should be addressed to:</w:t>
      </w:r>
    </w:p>
    <w:p w:rsidR="00D36144" w:rsidRDefault="00D36144" w:rsidP="00507FC5">
      <w:pPr>
        <w:pStyle w:val="AERbodytextnospace"/>
        <w:numPr>
          <w:ilvl w:val="0"/>
          <w:numId w:val="6"/>
        </w:numPr>
      </w:pPr>
      <w:r>
        <w:t>Australian Energy Regulator</w:t>
      </w:r>
    </w:p>
    <w:p w:rsidR="00D36144" w:rsidRDefault="00D36144" w:rsidP="00507FC5">
      <w:pPr>
        <w:pStyle w:val="AERbodytextnospace"/>
        <w:numPr>
          <w:ilvl w:val="0"/>
          <w:numId w:val="6"/>
        </w:numPr>
      </w:pPr>
      <w:r>
        <w:t>GPO Box 520</w:t>
      </w:r>
    </w:p>
    <w:p w:rsidR="00D36144" w:rsidRDefault="00D36144" w:rsidP="00507FC5">
      <w:pPr>
        <w:pStyle w:val="AERbodytextnospace"/>
        <w:numPr>
          <w:ilvl w:val="0"/>
          <w:numId w:val="6"/>
        </w:numPr>
      </w:pPr>
      <w:r>
        <w:t>Melbourne  Vic  3001</w:t>
      </w:r>
    </w:p>
    <w:p w:rsidR="00D36144" w:rsidRDefault="00D36144" w:rsidP="00507FC5">
      <w:pPr>
        <w:pStyle w:val="AERbodytextnospace"/>
        <w:numPr>
          <w:ilvl w:val="0"/>
          <w:numId w:val="6"/>
        </w:numPr>
      </w:pPr>
      <w:r>
        <w:t>Tel: (03) 9290 1444</w:t>
      </w:r>
    </w:p>
    <w:p w:rsidR="00D36144" w:rsidRDefault="00D36144" w:rsidP="00507FC5">
      <w:pPr>
        <w:pStyle w:val="AERbodytextnospace"/>
        <w:numPr>
          <w:ilvl w:val="0"/>
          <w:numId w:val="6"/>
        </w:numPr>
      </w:pPr>
      <w:r>
        <w:t>Fax: (03) 9290 1457</w:t>
      </w:r>
    </w:p>
    <w:p w:rsidR="00D36144" w:rsidRDefault="00D36144" w:rsidP="00507FC5">
      <w:pPr>
        <w:pStyle w:val="AERbodytextnospace"/>
        <w:numPr>
          <w:ilvl w:val="0"/>
          <w:numId w:val="6"/>
        </w:numPr>
      </w:pPr>
      <w:r>
        <w:t xml:space="preserve">Email: </w:t>
      </w:r>
      <w:hyperlink r:id="rId10" w:history="1">
        <w:r w:rsidRPr="003E184A">
          <w:rPr>
            <w:rStyle w:val="Hyperlink"/>
          </w:rPr>
          <w:t>AERInquiry@aer.gov.au</w:t>
        </w:r>
      </w:hyperlink>
    </w:p>
    <w:p w:rsidR="00D36144" w:rsidRPr="008F1A4A" w:rsidRDefault="00D36144" w:rsidP="00D36144"/>
    <w:p w:rsidR="00D36144" w:rsidRDefault="00D36144" w:rsidP="00D36144">
      <w:r>
        <w:t xml:space="preserve">AER reference:   </w:t>
      </w:r>
      <w:r w:rsidR="0013058F" w:rsidRPr="0013058F">
        <w:t>51673</w:t>
      </w:r>
      <w:r w:rsidR="0013058F">
        <w:t xml:space="preserve"> </w:t>
      </w:r>
      <w:r w:rsidR="004E0FBE">
        <w:t>-</w:t>
      </w:r>
      <w:r w:rsidR="00216353" w:rsidRPr="00216353">
        <w:t>D13/134960</w:t>
      </w:r>
    </w:p>
    <w:p w:rsidR="0063440C" w:rsidRDefault="00AF3E95" w:rsidP="0063440C">
      <w:pPr>
        <w:pStyle w:val="UnnumberedHeading"/>
      </w:pPr>
      <w:bookmarkStart w:id="3" w:name="_Toc367106863"/>
      <w:bookmarkStart w:id="4" w:name="_Toc367192702"/>
      <w:bookmarkStart w:id="5" w:name="_Toc368048795"/>
      <w:bookmarkStart w:id="6" w:name="_Toc397498713"/>
      <w:r>
        <w:lastRenderedPageBreak/>
        <w:t>Contents</w:t>
      </w:r>
      <w:bookmarkEnd w:id="0"/>
      <w:bookmarkEnd w:id="1"/>
      <w:bookmarkEnd w:id="2"/>
      <w:bookmarkEnd w:id="3"/>
      <w:bookmarkEnd w:id="4"/>
      <w:bookmarkEnd w:id="5"/>
      <w:bookmarkEnd w:id="6"/>
    </w:p>
    <w:p w:rsidR="0006365C" w:rsidRDefault="00824CC8">
      <w:pPr>
        <w:pStyle w:val="TOC1"/>
        <w:tabs>
          <w:tab w:val="right" w:leader="dot" w:pos="9016"/>
        </w:tabs>
        <w:rPr>
          <w:rFonts w:asciiTheme="minorHAnsi" w:eastAsiaTheme="minorEastAsia" w:hAnsiTheme="minorHAnsi" w:cstheme="minorBidi"/>
          <w:b w:val="0"/>
          <w:bCs w:val="0"/>
          <w:noProof/>
          <w:sz w:val="22"/>
          <w:szCs w:val="22"/>
          <w:lang w:eastAsia="en-AU"/>
        </w:rPr>
      </w:pPr>
      <w:r w:rsidRPr="00AC1B94">
        <w:rPr>
          <w:rFonts w:eastAsia="Times New Roman"/>
          <w:color w:val="E36C0A"/>
          <w:sz w:val="36"/>
          <w:szCs w:val="28"/>
        </w:rPr>
        <w:fldChar w:fldCharType="begin"/>
      </w:r>
      <w:r w:rsidRPr="00971655">
        <w:instrText xml:space="preserve"> TOC \o "1-2" \h \z \u </w:instrText>
      </w:r>
      <w:r w:rsidRPr="00AC1B94">
        <w:rPr>
          <w:rFonts w:eastAsia="Times New Roman"/>
          <w:color w:val="E36C0A"/>
          <w:sz w:val="36"/>
          <w:szCs w:val="28"/>
        </w:rPr>
        <w:fldChar w:fldCharType="separate"/>
      </w:r>
      <w:hyperlink w:anchor="_Toc397498713" w:history="1">
        <w:r w:rsidR="0006365C" w:rsidRPr="005001DB">
          <w:rPr>
            <w:rStyle w:val="Hyperlink"/>
            <w:noProof/>
          </w:rPr>
          <w:t>Contents</w:t>
        </w:r>
        <w:r w:rsidR="0006365C">
          <w:rPr>
            <w:noProof/>
            <w:webHidden/>
          </w:rPr>
          <w:tab/>
        </w:r>
        <w:r w:rsidR="0006365C">
          <w:rPr>
            <w:noProof/>
            <w:webHidden/>
          </w:rPr>
          <w:fldChar w:fldCharType="begin"/>
        </w:r>
        <w:r w:rsidR="0006365C">
          <w:rPr>
            <w:noProof/>
            <w:webHidden/>
          </w:rPr>
          <w:instrText xml:space="preserve"> PAGEREF _Toc397498713 \h </w:instrText>
        </w:r>
        <w:r w:rsidR="0006365C">
          <w:rPr>
            <w:noProof/>
            <w:webHidden/>
          </w:rPr>
        </w:r>
        <w:r w:rsidR="0006365C">
          <w:rPr>
            <w:noProof/>
            <w:webHidden/>
          </w:rPr>
          <w:fldChar w:fldCharType="separate"/>
        </w:r>
        <w:r w:rsidR="0022670F">
          <w:rPr>
            <w:noProof/>
            <w:webHidden/>
          </w:rPr>
          <w:t>3</w:t>
        </w:r>
        <w:r w:rsidR="0006365C">
          <w:rPr>
            <w:noProof/>
            <w:webHidden/>
          </w:rPr>
          <w:fldChar w:fldCharType="end"/>
        </w:r>
      </w:hyperlink>
    </w:p>
    <w:p w:rsidR="0006365C" w:rsidRDefault="00FF133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97498714" w:history="1">
        <w:r w:rsidR="0006365C" w:rsidRPr="005001DB">
          <w:rPr>
            <w:rStyle w:val="Hyperlink"/>
            <w:noProof/>
          </w:rPr>
          <w:t>1</w:t>
        </w:r>
        <w:r w:rsidR="0006365C">
          <w:rPr>
            <w:rFonts w:asciiTheme="minorHAnsi" w:eastAsiaTheme="minorEastAsia" w:hAnsiTheme="minorHAnsi" w:cstheme="minorBidi"/>
            <w:b w:val="0"/>
            <w:bCs w:val="0"/>
            <w:noProof/>
            <w:sz w:val="22"/>
            <w:szCs w:val="22"/>
            <w:lang w:eastAsia="en-AU"/>
          </w:rPr>
          <w:tab/>
        </w:r>
        <w:r w:rsidR="009743AB">
          <w:rPr>
            <w:rFonts w:asciiTheme="minorHAnsi" w:eastAsiaTheme="minorEastAsia" w:hAnsiTheme="minorHAnsi" w:cstheme="minorBidi"/>
            <w:b w:val="0"/>
            <w:bCs w:val="0"/>
            <w:noProof/>
            <w:sz w:val="22"/>
            <w:szCs w:val="22"/>
            <w:lang w:eastAsia="en-AU"/>
          </w:rPr>
          <w:t xml:space="preserve"> </w:t>
        </w:r>
        <w:r w:rsidR="0006365C" w:rsidRPr="005001DB">
          <w:rPr>
            <w:rStyle w:val="Hyperlink"/>
            <w:noProof/>
          </w:rPr>
          <w:t>Background</w:t>
        </w:r>
        <w:r w:rsidR="0006365C">
          <w:rPr>
            <w:noProof/>
            <w:webHidden/>
          </w:rPr>
          <w:tab/>
        </w:r>
        <w:r w:rsidR="0006365C">
          <w:rPr>
            <w:noProof/>
            <w:webHidden/>
          </w:rPr>
          <w:fldChar w:fldCharType="begin"/>
        </w:r>
        <w:r w:rsidR="0006365C">
          <w:rPr>
            <w:noProof/>
            <w:webHidden/>
          </w:rPr>
          <w:instrText xml:space="preserve"> PAGEREF _Toc397498714 \h </w:instrText>
        </w:r>
        <w:r w:rsidR="0006365C">
          <w:rPr>
            <w:noProof/>
            <w:webHidden/>
          </w:rPr>
        </w:r>
        <w:r w:rsidR="0006365C">
          <w:rPr>
            <w:noProof/>
            <w:webHidden/>
          </w:rPr>
          <w:fldChar w:fldCharType="separate"/>
        </w:r>
        <w:r w:rsidR="0022670F">
          <w:rPr>
            <w:noProof/>
            <w:webHidden/>
          </w:rPr>
          <w:t>4</w:t>
        </w:r>
        <w:r w:rsidR="0006365C">
          <w:rPr>
            <w:noProof/>
            <w:webHidden/>
          </w:rPr>
          <w:fldChar w:fldCharType="end"/>
        </w:r>
      </w:hyperlink>
    </w:p>
    <w:p w:rsidR="0006365C" w:rsidRDefault="009743AB">
      <w:pPr>
        <w:pStyle w:val="TOC2"/>
        <w:tabs>
          <w:tab w:val="left" w:pos="800"/>
          <w:tab w:val="right" w:leader="dot" w:pos="9016"/>
        </w:tabs>
        <w:rPr>
          <w:rFonts w:asciiTheme="minorHAnsi" w:eastAsiaTheme="minorEastAsia" w:hAnsiTheme="minorHAnsi" w:cstheme="minorBidi"/>
          <w:iCs w:val="0"/>
          <w:noProof/>
          <w:sz w:val="22"/>
          <w:szCs w:val="22"/>
          <w:lang w:eastAsia="en-AU"/>
        </w:rPr>
      </w:pPr>
      <w:r>
        <w:t xml:space="preserve">     </w:t>
      </w:r>
      <w:hyperlink w:anchor="_Toc397498715" w:history="1">
        <w:r w:rsidR="0006365C" w:rsidRPr="005001DB">
          <w:rPr>
            <w:rStyle w:val="Hyperlink"/>
            <w:noProof/>
          </w:rPr>
          <w:t>1.1</w:t>
        </w:r>
        <w:r w:rsidR="0006365C">
          <w:rPr>
            <w:rFonts w:asciiTheme="minorHAnsi" w:eastAsiaTheme="minorEastAsia" w:hAnsiTheme="minorHAnsi" w:cstheme="minorBidi"/>
            <w:iCs w:val="0"/>
            <w:noProof/>
            <w:sz w:val="22"/>
            <w:szCs w:val="22"/>
            <w:lang w:eastAsia="en-AU"/>
          </w:rPr>
          <w:tab/>
        </w:r>
        <w:r w:rsidR="003866A9">
          <w:rPr>
            <w:rFonts w:asciiTheme="minorHAnsi" w:eastAsiaTheme="minorEastAsia" w:hAnsiTheme="minorHAnsi" w:cstheme="minorBidi"/>
            <w:iCs w:val="0"/>
            <w:noProof/>
            <w:sz w:val="22"/>
            <w:szCs w:val="22"/>
            <w:lang w:eastAsia="en-AU"/>
          </w:rPr>
          <w:t xml:space="preserve"> </w:t>
        </w:r>
        <w:r w:rsidR="0006365C" w:rsidRPr="005001DB">
          <w:rPr>
            <w:rStyle w:val="Hyperlink"/>
            <w:noProof/>
          </w:rPr>
          <w:t>The AER's reporting role</w:t>
        </w:r>
        <w:r w:rsidR="0006365C">
          <w:rPr>
            <w:noProof/>
            <w:webHidden/>
          </w:rPr>
          <w:tab/>
        </w:r>
        <w:r w:rsidR="0006365C">
          <w:rPr>
            <w:noProof/>
            <w:webHidden/>
          </w:rPr>
          <w:fldChar w:fldCharType="begin"/>
        </w:r>
        <w:r w:rsidR="0006365C">
          <w:rPr>
            <w:noProof/>
            <w:webHidden/>
          </w:rPr>
          <w:instrText xml:space="preserve"> PAGEREF _Toc397498715 \h </w:instrText>
        </w:r>
        <w:r w:rsidR="0006365C">
          <w:rPr>
            <w:noProof/>
            <w:webHidden/>
          </w:rPr>
        </w:r>
        <w:r w:rsidR="0006365C">
          <w:rPr>
            <w:noProof/>
            <w:webHidden/>
          </w:rPr>
          <w:fldChar w:fldCharType="separate"/>
        </w:r>
        <w:r w:rsidR="0022670F">
          <w:rPr>
            <w:noProof/>
            <w:webHidden/>
          </w:rPr>
          <w:t>4</w:t>
        </w:r>
        <w:r w:rsidR="0006365C">
          <w:rPr>
            <w:noProof/>
            <w:webHidden/>
          </w:rPr>
          <w:fldChar w:fldCharType="end"/>
        </w:r>
      </w:hyperlink>
    </w:p>
    <w:p w:rsidR="0006365C" w:rsidRDefault="009743AB">
      <w:pPr>
        <w:pStyle w:val="TOC2"/>
        <w:tabs>
          <w:tab w:val="left" w:pos="800"/>
          <w:tab w:val="right" w:leader="dot" w:pos="9016"/>
        </w:tabs>
        <w:rPr>
          <w:rFonts w:asciiTheme="minorHAnsi" w:eastAsiaTheme="minorEastAsia" w:hAnsiTheme="minorHAnsi" w:cstheme="minorBidi"/>
          <w:iCs w:val="0"/>
          <w:noProof/>
          <w:sz w:val="22"/>
          <w:szCs w:val="22"/>
          <w:lang w:eastAsia="en-AU"/>
        </w:rPr>
      </w:pPr>
      <w:r>
        <w:t xml:space="preserve">     </w:t>
      </w:r>
      <w:hyperlink w:anchor="_Toc397498716" w:history="1">
        <w:r w:rsidR="0006365C" w:rsidRPr="005001DB">
          <w:rPr>
            <w:rStyle w:val="Hyperlink"/>
            <w:noProof/>
          </w:rPr>
          <w:t>1.2</w:t>
        </w:r>
        <w:r w:rsidR="0006365C">
          <w:rPr>
            <w:rFonts w:asciiTheme="minorHAnsi" w:eastAsiaTheme="minorEastAsia" w:hAnsiTheme="minorHAnsi" w:cstheme="minorBidi"/>
            <w:iCs w:val="0"/>
            <w:noProof/>
            <w:sz w:val="22"/>
            <w:szCs w:val="22"/>
            <w:lang w:eastAsia="en-AU"/>
          </w:rPr>
          <w:tab/>
        </w:r>
        <w:r w:rsidR="003866A9">
          <w:rPr>
            <w:rFonts w:asciiTheme="minorHAnsi" w:eastAsiaTheme="minorEastAsia" w:hAnsiTheme="minorHAnsi" w:cstheme="minorBidi"/>
            <w:iCs w:val="0"/>
            <w:noProof/>
            <w:sz w:val="22"/>
            <w:szCs w:val="22"/>
            <w:lang w:eastAsia="en-AU"/>
          </w:rPr>
          <w:t xml:space="preserve"> </w:t>
        </w:r>
        <w:r w:rsidR="0006365C" w:rsidRPr="005001DB">
          <w:rPr>
            <w:rStyle w:val="Hyperlink"/>
            <w:noProof/>
          </w:rPr>
          <w:t>Brisbane Hub</w:t>
        </w:r>
        <w:r w:rsidR="0006365C">
          <w:rPr>
            <w:noProof/>
            <w:webHidden/>
          </w:rPr>
          <w:tab/>
        </w:r>
        <w:r w:rsidR="0006365C">
          <w:rPr>
            <w:noProof/>
            <w:webHidden/>
          </w:rPr>
          <w:fldChar w:fldCharType="begin"/>
        </w:r>
        <w:r w:rsidR="0006365C">
          <w:rPr>
            <w:noProof/>
            <w:webHidden/>
          </w:rPr>
          <w:instrText xml:space="preserve"> PAGEREF _Toc397498716 \h </w:instrText>
        </w:r>
        <w:r w:rsidR="0006365C">
          <w:rPr>
            <w:noProof/>
            <w:webHidden/>
          </w:rPr>
        </w:r>
        <w:r w:rsidR="0006365C">
          <w:rPr>
            <w:noProof/>
            <w:webHidden/>
          </w:rPr>
          <w:fldChar w:fldCharType="separate"/>
        </w:r>
        <w:r w:rsidR="0022670F">
          <w:rPr>
            <w:noProof/>
            <w:webHidden/>
          </w:rPr>
          <w:t>4</w:t>
        </w:r>
        <w:r w:rsidR="0006365C">
          <w:rPr>
            <w:noProof/>
            <w:webHidden/>
          </w:rPr>
          <w:fldChar w:fldCharType="end"/>
        </w:r>
      </w:hyperlink>
    </w:p>
    <w:p w:rsidR="0006365C" w:rsidRDefault="00FF133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97498717" w:history="1">
        <w:r w:rsidR="0006365C" w:rsidRPr="005001DB">
          <w:rPr>
            <w:rStyle w:val="Hyperlink"/>
            <w:noProof/>
          </w:rPr>
          <w:t>2</w:t>
        </w:r>
        <w:r w:rsidR="0006365C">
          <w:rPr>
            <w:rFonts w:asciiTheme="minorHAnsi" w:eastAsiaTheme="minorEastAsia" w:hAnsiTheme="minorHAnsi" w:cstheme="minorBidi"/>
            <w:b w:val="0"/>
            <w:bCs w:val="0"/>
            <w:noProof/>
            <w:sz w:val="22"/>
            <w:szCs w:val="22"/>
            <w:lang w:eastAsia="en-AU"/>
          </w:rPr>
          <w:tab/>
        </w:r>
        <w:r w:rsidR="009743AB">
          <w:rPr>
            <w:rFonts w:asciiTheme="minorHAnsi" w:eastAsiaTheme="minorEastAsia" w:hAnsiTheme="minorHAnsi" w:cstheme="minorBidi"/>
            <w:b w:val="0"/>
            <w:bCs w:val="0"/>
            <w:noProof/>
            <w:sz w:val="22"/>
            <w:szCs w:val="22"/>
            <w:lang w:eastAsia="en-AU"/>
          </w:rPr>
          <w:t xml:space="preserve"> </w:t>
        </w:r>
        <w:r w:rsidR="0006365C" w:rsidRPr="005001DB">
          <w:rPr>
            <w:rStyle w:val="Hyperlink"/>
            <w:noProof/>
          </w:rPr>
          <w:t>Brisbane Hub - 7 July 2014 gas day</w:t>
        </w:r>
        <w:r w:rsidR="0006365C">
          <w:rPr>
            <w:noProof/>
            <w:webHidden/>
          </w:rPr>
          <w:tab/>
        </w:r>
        <w:r w:rsidR="0006365C">
          <w:rPr>
            <w:noProof/>
            <w:webHidden/>
          </w:rPr>
          <w:fldChar w:fldCharType="begin"/>
        </w:r>
        <w:r w:rsidR="0006365C">
          <w:rPr>
            <w:noProof/>
            <w:webHidden/>
          </w:rPr>
          <w:instrText xml:space="preserve"> PAGEREF _Toc397498717 \h </w:instrText>
        </w:r>
        <w:r w:rsidR="0006365C">
          <w:rPr>
            <w:noProof/>
            <w:webHidden/>
          </w:rPr>
        </w:r>
        <w:r w:rsidR="0006365C">
          <w:rPr>
            <w:noProof/>
            <w:webHidden/>
          </w:rPr>
          <w:fldChar w:fldCharType="separate"/>
        </w:r>
        <w:r w:rsidR="0022670F">
          <w:rPr>
            <w:noProof/>
            <w:webHidden/>
          </w:rPr>
          <w:t>5</w:t>
        </w:r>
        <w:r w:rsidR="0006365C">
          <w:rPr>
            <w:noProof/>
            <w:webHidden/>
          </w:rPr>
          <w:fldChar w:fldCharType="end"/>
        </w:r>
      </w:hyperlink>
    </w:p>
    <w:p w:rsidR="0006365C" w:rsidRDefault="00FF133C">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397498718" w:history="1">
        <w:r w:rsidR="0006365C" w:rsidRPr="005001DB">
          <w:rPr>
            <w:rStyle w:val="Hyperlink"/>
            <w:noProof/>
          </w:rPr>
          <w:t xml:space="preserve">3. </w:t>
        </w:r>
        <w:r w:rsidR="009743AB">
          <w:rPr>
            <w:rFonts w:asciiTheme="minorHAnsi" w:eastAsiaTheme="minorEastAsia" w:hAnsiTheme="minorHAnsi" w:cstheme="minorBidi"/>
            <w:b w:val="0"/>
            <w:bCs w:val="0"/>
            <w:noProof/>
            <w:sz w:val="22"/>
            <w:szCs w:val="22"/>
            <w:lang w:eastAsia="en-AU"/>
          </w:rPr>
          <w:t xml:space="preserve">    </w:t>
        </w:r>
        <w:r w:rsidR="0006365C" w:rsidRPr="005001DB">
          <w:rPr>
            <w:rStyle w:val="Hyperlink"/>
            <w:noProof/>
          </w:rPr>
          <w:t>Conclusion</w:t>
        </w:r>
        <w:r w:rsidR="0006365C">
          <w:rPr>
            <w:noProof/>
            <w:webHidden/>
          </w:rPr>
          <w:tab/>
        </w:r>
        <w:r w:rsidR="0006365C">
          <w:rPr>
            <w:noProof/>
            <w:webHidden/>
          </w:rPr>
          <w:fldChar w:fldCharType="begin"/>
        </w:r>
        <w:r w:rsidR="0006365C">
          <w:rPr>
            <w:noProof/>
            <w:webHidden/>
          </w:rPr>
          <w:instrText xml:space="preserve"> PAGEREF _Toc397498718 \h </w:instrText>
        </w:r>
        <w:r w:rsidR="0006365C">
          <w:rPr>
            <w:noProof/>
            <w:webHidden/>
          </w:rPr>
        </w:r>
        <w:r w:rsidR="0006365C">
          <w:rPr>
            <w:noProof/>
            <w:webHidden/>
          </w:rPr>
          <w:fldChar w:fldCharType="separate"/>
        </w:r>
        <w:r w:rsidR="0022670F">
          <w:rPr>
            <w:noProof/>
            <w:webHidden/>
          </w:rPr>
          <w:t>9</w:t>
        </w:r>
        <w:r w:rsidR="0006365C">
          <w:rPr>
            <w:noProof/>
            <w:webHidden/>
          </w:rPr>
          <w:fldChar w:fldCharType="end"/>
        </w:r>
      </w:hyperlink>
    </w:p>
    <w:p w:rsidR="00AF3E95" w:rsidRPr="00AF3E95" w:rsidRDefault="00824CC8" w:rsidP="00DF16C2">
      <w:pPr>
        <w:pStyle w:val="TOC1"/>
      </w:pPr>
      <w:r w:rsidRPr="00AC1B94">
        <w:fldChar w:fldCharType="end"/>
      </w:r>
    </w:p>
    <w:p w:rsidR="00EF0E19" w:rsidRDefault="00EF0E19" w:rsidP="00507FC5">
      <w:pPr>
        <w:pStyle w:val="AERbodytextnospace"/>
        <w:numPr>
          <w:ilvl w:val="0"/>
          <w:numId w:val="6"/>
        </w:numPr>
      </w:pPr>
    </w:p>
    <w:p w:rsidR="00EF0E19" w:rsidRDefault="00EF0E19" w:rsidP="00EF0E19"/>
    <w:p w:rsidR="00EF0E19" w:rsidRDefault="00EF0E19" w:rsidP="00EF0E19"/>
    <w:p w:rsidR="00EF0E19" w:rsidRDefault="00EF0E19" w:rsidP="00EF0E19">
      <w:bookmarkStart w:id="7" w:name="OLE_LINK1"/>
      <w:bookmarkStart w:id="8" w:name="OLE_LINK2"/>
    </w:p>
    <w:p w:rsidR="00EF0E19" w:rsidRDefault="00EF0E19" w:rsidP="00EF0E19"/>
    <w:p w:rsidR="00EF0E19" w:rsidRDefault="00EF0E19" w:rsidP="00EF0E19"/>
    <w:bookmarkEnd w:id="7"/>
    <w:bookmarkEnd w:id="8"/>
    <w:p w:rsidR="00A131FB" w:rsidRDefault="00A131FB" w:rsidP="00A131FB">
      <w:pPr>
        <w:pStyle w:val="AERbodytextnospace"/>
        <w:numPr>
          <w:ilvl w:val="0"/>
          <w:numId w:val="0"/>
        </w:numPr>
        <w:rPr>
          <w:rFonts w:eastAsia="Calibri"/>
        </w:rPr>
      </w:pPr>
    </w:p>
    <w:p w:rsidR="009E5905" w:rsidRDefault="009E5905" w:rsidP="009E5905">
      <w:pPr>
        <w:pStyle w:val="Heading1"/>
      </w:pPr>
      <w:bookmarkStart w:id="9" w:name="_Toc397498714"/>
      <w:r>
        <w:lastRenderedPageBreak/>
        <w:t>Background</w:t>
      </w:r>
      <w:bookmarkEnd w:id="9"/>
    </w:p>
    <w:p w:rsidR="003F5741" w:rsidRDefault="00667C18" w:rsidP="003F5741">
      <w:pPr>
        <w:pStyle w:val="Heading2"/>
      </w:pPr>
      <w:bookmarkStart w:id="10" w:name="_Toc397498715"/>
      <w:r>
        <w:t xml:space="preserve">The </w:t>
      </w:r>
      <w:r w:rsidR="003F5741">
        <w:t>AER's reporting role</w:t>
      </w:r>
      <w:bookmarkEnd w:id="10"/>
    </w:p>
    <w:p w:rsidR="00A315EC" w:rsidRDefault="003F5741" w:rsidP="002B6D7E">
      <w:pPr>
        <w:pStyle w:val="AERbodytextnospace"/>
      </w:pPr>
      <w:r w:rsidRPr="00056574">
        <w:t xml:space="preserve">This </w:t>
      </w:r>
      <w:r>
        <w:t>S</w:t>
      </w:r>
      <w:r w:rsidR="005814F0">
        <w:t xml:space="preserve">ignificant </w:t>
      </w:r>
      <w:r>
        <w:t>P</w:t>
      </w:r>
      <w:r w:rsidR="005814F0">
        <w:t xml:space="preserve">rice </w:t>
      </w:r>
      <w:r>
        <w:t>V</w:t>
      </w:r>
      <w:r w:rsidR="005814F0">
        <w:t xml:space="preserve">ariation </w:t>
      </w:r>
      <w:r w:rsidR="005814F0" w:rsidRPr="009254E7">
        <w:rPr>
          <w:rStyle w:val="AERtextbold"/>
          <w:b w:val="0"/>
        </w:rPr>
        <w:t>(</w:t>
      </w:r>
      <w:r w:rsidR="005814F0" w:rsidRPr="005814F0">
        <w:rPr>
          <w:rStyle w:val="AERtextbold"/>
        </w:rPr>
        <w:t>SPV</w:t>
      </w:r>
      <w:r w:rsidR="005814F0" w:rsidRPr="009254E7">
        <w:rPr>
          <w:rStyle w:val="AERtextbold"/>
          <w:b w:val="0"/>
        </w:rPr>
        <w:t>)</w:t>
      </w:r>
      <w:r w:rsidRPr="00056574">
        <w:t xml:space="preserve"> report is published by the AER in accordance with the requirements under </w:t>
      </w:r>
      <w:r w:rsidR="00773BB9">
        <w:t>r</w:t>
      </w:r>
      <w:r w:rsidR="00773BB9" w:rsidRPr="00056574">
        <w:t xml:space="preserve">ule </w:t>
      </w:r>
      <w:r w:rsidRPr="00056574">
        <w:t>498</w:t>
      </w:r>
      <w:r>
        <w:t>(1</w:t>
      </w:r>
      <w:proofErr w:type="gramStart"/>
      <w:r>
        <w:t>)(</w:t>
      </w:r>
      <w:proofErr w:type="gramEnd"/>
      <w:r>
        <w:t>b)</w:t>
      </w:r>
      <w:r w:rsidRPr="00056574">
        <w:t xml:space="preserve"> of Part 20 of the National Gas Rules </w:t>
      </w:r>
      <w:r w:rsidRPr="009254E7">
        <w:rPr>
          <w:rStyle w:val="AERtextbold"/>
          <w:b w:val="0"/>
        </w:rPr>
        <w:t>(</w:t>
      </w:r>
      <w:r w:rsidRPr="003F5741">
        <w:rPr>
          <w:rStyle w:val="AERtextbold"/>
        </w:rPr>
        <w:t>Gas Rules</w:t>
      </w:r>
      <w:r w:rsidRPr="009254E7">
        <w:rPr>
          <w:rStyle w:val="AERtextbold"/>
          <w:b w:val="0"/>
        </w:rPr>
        <w:t>)</w:t>
      </w:r>
      <w:r w:rsidRPr="00056574">
        <w:t>.</w:t>
      </w:r>
      <w:r>
        <w:rPr>
          <w:rStyle w:val="FootnoteReference"/>
        </w:rPr>
        <w:footnoteReference w:id="1"/>
      </w:r>
      <w:r w:rsidRPr="00056574">
        <w:t xml:space="preserve"> </w:t>
      </w:r>
      <w:r w:rsidR="00A315EC">
        <w:t xml:space="preserve"> </w:t>
      </w:r>
      <w:r w:rsidR="009A29B5">
        <w:t>In accordance with</w:t>
      </w:r>
      <w:r>
        <w:t xml:space="preserve"> rule 498(2)</w:t>
      </w:r>
      <w:r w:rsidR="009A29B5">
        <w:t xml:space="preserve">, the AER published </w:t>
      </w:r>
      <w:r w:rsidR="00E0393A">
        <w:t>the</w:t>
      </w:r>
      <w:r w:rsidR="00C740E2">
        <w:t xml:space="preserve"> </w:t>
      </w:r>
      <w:hyperlink r:id="rId11" w:history="1">
        <w:r w:rsidR="009A29B5" w:rsidRPr="009A29B5">
          <w:rPr>
            <w:rStyle w:val="Hyperlink"/>
          </w:rPr>
          <w:t>S</w:t>
        </w:r>
        <w:r w:rsidR="00C740E2">
          <w:rPr>
            <w:rStyle w:val="Hyperlink"/>
          </w:rPr>
          <w:t xml:space="preserve">hort Term </w:t>
        </w:r>
        <w:r>
          <w:rPr>
            <w:rStyle w:val="Hyperlink"/>
          </w:rPr>
          <w:t>T</w:t>
        </w:r>
        <w:r w:rsidR="00C740E2">
          <w:rPr>
            <w:rStyle w:val="Hyperlink"/>
          </w:rPr>
          <w:t xml:space="preserve">rading </w:t>
        </w:r>
        <w:r>
          <w:rPr>
            <w:rStyle w:val="Hyperlink"/>
          </w:rPr>
          <w:t>M</w:t>
        </w:r>
        <w:r w:rsidR="00E0393A">
          <w:rPr>
            <w:rStyle w:val="Hyperlink"/>
          </w:rPr>
          <w:t xml:space="preserve">arket </w:t>
        </w:r>
        <w:r w:rsidR="00E0393A" w:rsidRPr="008A08AB">
          <w:rPr>
            <w:rStyle w:val="Hyperlink"/>
            <w:b/>
          </w:rPr>
          <w:t>(STTM)</w:t>
        </w:r>
        <w:r>
          <w:rPr>
            <w:rStyle w:val="Hyperlink"/>
          </w:rPr>
          <w:t xml:space="preserve"> S</w:t>
        </w:r>
        <w:r w:rsidR="009A29B5" w:rsidRPr="009A29B5">
          <w:rPr>
            <w:rStyle w:val="Hyperlink"/>
          </w:rPr>
          <w:t>PV Guideline</w:t>
        </w:r>
      </w:hyperlink>
      <w:r w:rsidR="009A29B5">
        <w:t xml:space="preserve"> on 21 December 2012. The guideline sets out a number of thresholds </w:t>
      </w:r>
      <w:r w:rsidR="0036775C">
        <w:t xml:space="preserve">that determine whether or not an SPV has occurred. </w:t>
      </w:r>
      <w:r w:rsidR="00134EED">
        <w:t>T</w:t>
      </w:r>
      <w:r>
        <w:t>he AER</w:t>
      </w:r>
      <w:r w:rsidR="00134EED">
        <w:t xml:space="preserve"> is required</w:t>
      </w:r>
      <w:r>
        <w:t xml:space="preserve"> to </w:t>
      </w:r>
      <w:r w:rsidR="00624F72">
        <w:t>prepare a report</w:t>
      </w:r>
      <w:r>
        <w:t xml:space="preserve"> when </w:t>
      </w:r>
      <w:r w:rsidR="00134EED">
        <w:t>one of these defined events occurs</w:t>
      </w:r>
      <w:r w:rsidR="009A29B5">
        <w:t xml:space="preserve">. </w:t>
      </w:r>
    </w:p>
    <w:p w:rsidR="00A315EC" w:rsidRDefault="00A315EC" w:rsidP="00202B8F">
      <w:pPr>
        <w:pStyle w:val="AERbodytextnospace"/>
        <w:numPr>
          <w:ilvl w:val="0"/>
          <w:numId w:val="0"/>
        </w:numPr>
      </w:pPr>
      <w:bookmarkStart w:id="11" w:name="_GoBack"/>
      <w:bookmarkEnd w:id="11"/>
    </w:p>
    <w:p w:rsidR="00134EED" w:rsidRDefault="00134EED" w:rsidP="00202B8F">
      <w:pPr>
        <w:pStyle w:val="AERbodytextnospace"/>
        <w:numPr>
          <w:ilvl w:val="0"/>
          <w:numId w:val="0"/>
        </w:numPr>
      </w:pPr>
      <w:r>
        <w:t>Relevant to this report, a SPV includes circumstances where the difference between the</w:t>
      </w:r>
      <w:r w:rsidRPr="006427FC">
        <w:t xml:space="preserve"> </w:t>
      </w:r>
      <w:r w:rsidRPr="00FC33D0">
        <w:t>D-2 provisional price and the ex</w:t>
      </w:r>
      <w:r>
        <w:t> </w:t>
      </w:r>
      <w:r w:rsidRPr="00FC33D0">
        <w:t>ante price</w:t>
      </w:r>
      <w:r>
        <w:t xml:space="preserve"> is greater than $7/GJ. On </w:t>
      </w:r>
      <w:r w:rsidRPr="00FC33D0">
        <w:t>7 July 2014</w:t>
      </w:r>
      <w:r>
        <w:t xml:space="preserve">, </w:t>
      </w:r>
      <w:r w:rsidRPr="00FC33D0">
        <w:t>the difference between the D-2 provisional price and the</w:t>
      </w:r>
      <w:r w:rsidR="009743AB">
        <w:t xml:space="preserve"> D-1</w:t>
      </w:r>
      <w:r w:rsidRPr="00FC33D0">
        <w:t xml:space="preserve"> ex</w:t>
      </w:r>
      <w:r>
        <w:t> </w:t>
      </w:r>
      <w:r w:rsidRPr="00FC33D0">
        <w:t>ante price was $7.15/GJ</w:t>
      </w:r>
      <w:r w:rsidR="00773BB9">
        <w:t xml:space="preserve"> in the Brisbane </w:t>
      </w:r>
      <w:r w:rsidR="00E0393A">
        <w:t>STTM</w:t>
      </w:r>
      <w:r w:rsidR="00773BB9">
        <w:t xml:space="preserve"> gas </w:t>
      </w:r>
      <w:r w:rsidR="00773BB9" w:rsidRPr="00EA2114">
        <w:t>hub</w:t>
      </w:r>
      <w:r w:rsidR="00773BB9">
        <w:t xml:space="preserve"> </w:t>
      </w:r>
      <w:r w:rsidR="00773BB9" w:rsidRPr="00B6144E">
        <w:rPr>
          <w:b/>
        </w:rPr>
        <w:t>(Brisbane hub)</w:t>
      </w:r>
      <w:r>
        <w:t>.</w:t>
      </w:r>
    </w:p>
    <w:p w:rsidR="00A315EC" w:rsidRDefault="00A315EC" w:rsidP="00202B8F">
      <w:pPr>
        <w:pStyle w:val="AERbodytextnospace"/>
        <w:numPr>
          <w:ilvl w:val="0"/>
          <w:numId w:val="0"/>
        </w:numPr>
      </w:pPr>
    </w:p>
    <w:p w:rsidR="003F5741" w:rsidRDefault="00134EED" w:rsidP="003F5741">
      <w:pPr>
        <w:pStyle w:val="Heading2"/>
      </w:pPr>
      <w:bookmarkStart w:id="12" w:name="_Toc397498716"/>
      <w:r>
        <w:t>Brisbane Hub</w:t>
      </w:r>
      <w:bookmarkEnd w:id="12"/>
      <w:r>
        <w:t xml:space="preserve"> </w:t>
      </w:r>
    </w:p>
    <w:p w:rsidR="008A08AB" w:rsidRDefault="00B0066B" w:rsidP="00B72E3E">
      <w:pPr>
        <w:spacing w:after="0"/>
        <w:rPr>
          <w:rFonts w:eastAsia="Times New Roman"/>
          <w:szCs w:val="24"/>
        </w:rPr>
      </w:pPr>
      <w:bookmarkStart w:id="13" w:name="_Ref364349160"/>
      <w:r w:rsidRPr="00EA2114">
        <w:rPr>
          <w:rFonts w:eastAsia="Times New Roman"/>
          <w:szCs w:val="24"/>
        </w:rPr>
        <w:t xml:space="preserve">The </w:t>
      </w:r>
      <w:r w:rsidR="00614FB5" w:rsidRPr="00EA2114">
        <w:rPr>
          <w:rFonts w:eastAsia="Times New Roman"/>
          <w:szCs w:val="24"/>
        </w:rPr>
        <w:t>Brisbane</w:t>
      </w:r>
      <w:r w:rsidRPr="00EA2114">
        <w:rPr>
          <w:rFonts w:eastAsia="Times New Roman"/>
          <w:szCs w:val="24"/>
        </w:rPr>
        <w:t xml:space="preserve"> hub </w:t>
      </w:r>
      <w:r w:rsidR="00C95728">
        <w:rPr>
          <w:rFonts w:eastAsia="Times New Roman"/>
          <w:szCs w:val="24"/>
        </w:rPr>
        <w:t>commenced operation</w:t>
      </w:r>
      <w:r w:rsidR="003D4D26">
        <w:rPr>
          <w:rFonts w:eastAsia="Times New Roman"/>
          <w:szCs w:val="24"/>
        </w:rPr>
        <w:t xml:space="preserve"> on</w:t>
      </w:r>
      <w:r w:rsidR="00C95728">
        <w:rPr>
          <w:rFonts w:eastAsia="Times New Roman"/>
          <w:szCs w:val="24"/>
        </w:rPr>
        <w:t xml:space="preserve"> 1 December 2011</w:t>
      </w:r>
      <w:r w:rsidRPr="00EA2114">
        <w:rPr>
          <w:rFonts w:eastAsia="Times New Roman"/>
          <w:szCs w:val="24"/>
        </w:rPr>
        <w:t>.</w:t>
      </w:r>
      <w:r w:rsidR="00614FB5" w:rsidRPr="00EA2114">
        <w:rPr>
          <w:rFonts w:eastAsia="Times New Roman"/>
          <w:szCs w:val="24"/>
        </w:rPr>
        <w:t xml:space="preserve"> </w:t>
      </w:r>
      <w:r w:rsidR="000F3C4F">
        <w:rPr>
          <w:rFonts w:eastAsia="Times New Roman"/>
          <w:szCs w:val="24"/>
        </w:rPr>
        <w:t xml:space="preserve">The hub provides a market-based mechanism to deliver </w:t>
      </w:r>
      <w:r w:rsidR="00C740E2">
        <w:rPr>
          <w:rFonts w:eastAsia="Times New Roman"/>
          <w:szCs w:val="24"/>
        </w:rPr>
        <w:t xml:space="preserve">wholesale </w:t>
      </w:r>
      <w:r w:rsidR="000F3C4F">
        <w:rPr>
          <w:rFonts w:eastAsia="Times New Roman"/>
          <w:szCs w:val="24"/>
        </w:rPr>
        <w:t xml:space="preserve">balancing gas to </w:t>
      </w:r>
      <w:r w:rsidR="008A08AB">
        <w:rPr>
          <w:rFonts w:eastAsia="Times New Roman"/>
          <w:szCs w:val="24"/>
        </w:rPr>
        <w:t xml:space="preserve">and from </w:t>
      </w:r>
      <w:r w:rsidR="000F3C4F">
        <w:rPr>
          <w:rFonts w:eastAsia="Times New Roman"/>
          <w:szCs w:val="24"/>
        </w:rPr>
        <w:t>Brisbane</w:t>
      </w:r>
      <w:r w:rsidR="008A08AB">
        <w:rPr>
          <w:rFonts w:eastAsia="Times New Roman"/>
          <w:szCs w:val="24"/>
        </w:rPr>
        <w:t xml:space="preserve"> via the Roma to Brisbane Pipeline </w:t>
      </w:r>
      <w:r w:rsidR="008A08AB">
        <w:rPr>
          <w:rFonts w:eastAsia="Times New Roman"/>
          <w:b/>
          <w:szCs w:val="24"/>
        </w:rPr>
        <w:t>(RBP)</w:t>
      </w:r>
      <w:r w:rsidR="008A08AB">
        <w:rPr>
          <w:rFonts w:eastAsia="Times New Roman"/>
          <w:szCs w:val="24"/>
        </w:rPr>
        <w:t>. U</w:t>
      </w:r>
      <w:r w:rsidR="00C740E2">
        <w:rPr>
          <w:rFonts w:eastAsia="Times New Roman"/>
          <w:szCs w:val="24"/>
        </w:rPr>
        <w:t>sers</w:t>
      </w:r>
      <w:r w:rsidR="000F3C4F">
        <w:rPr>
          <w:rFonts w:eastAsia="Times New Roman"/>
          <w:szCs w:val="24"/>
        </w:rPr>
        <w:t xml:space="preserve"> participate in the Brisbane hub, by submitting bids or offers for the purchase or supply of gas</w:t>
      </w:r>
      <w:r w:rsidR="00E0393A">
        <w:rPr>
          <w:rFonts w:eastAsia="Times New Roman"/>
          <w:szCs w:val="24"/>
        </w:rPr>
        <w:t>.</w:t>
      </w:r>
      <w:r w:rsidR="00C07880">
        <w:rPr>
          <w:rFonts w:eastAsia="Times New Roman"/>
          <w:szCs w:val="24"/>
        </w:rPr>
        <w:t xml:space="preserve"> </w:t>
      </w:r>
    </w:p>
    <w:p w:rsidR="008A08AB" w:rsidRDefault="008A08AB" w:rsidP="00B72E3E">
      <w:pPr>
        <w:spacing w:after="0"/>
        <w:rPr>
          <w:rFonts w:eastAsia="Times New Roman"/>
          <w:szCs w:val="24"/>
        </w:rPr>
      </w:pPr>
    </w:p>
    <w:p w:rsidR="00B72E3E" w:rsidRPr="00B0066B" w:rsidRDefault="009A6DCE" w:rsidP="00B72E3E">
      <w:pPr>
        <w:spacing w:after="0"/>
      </w:pPr>
      <w:r>
        <w:t>As shown in Figure 1 below</w:t>
      </w:r>
      <w:r w:rsidR="008A08AB">
        <w:t xml:space="preserve"> </w:t>
      </w:r>
      <w:r w:rsidR="00CE28EE">
        <w:t>major gas u</w:t>
      </w:r>
      <w:r>
        <w:t>ser</w:t>
      </w:r>
      <w:r w:rsidR="002B6D7E">
        <w:t>s</w:t>
      </w:r>
      <w:r w:rsidR="00CE28EE">
        <w:t xml:space="preserve"> in the hub </w:t>
      </w:r>
      <w:r>
        <w:t xml:space="preserve">include </w:t>
      </w:r>
      <w:r w:rsidR="00CE28EE">
        <w:t>the Swanbank P</w:t>
      </w:r>
      <w:r>
        <w:t xml:space="preserve">ower </w:t>
      </w:r>
      <w:r w:rsidR="00CE28EE">
        <w:t>S</w:t>
      </w:r>
      <w:r>
        <w:t xml:space="preserve">tation and </w:t>
      </w:r>
      <w:r w:rsidR="00CE28EE">
        <w:t xml:space="preserve">two industrial users - </w:t>
      </w:r>
      <w:proofErr w:type="spellStart"/>
      <w:r>
        <w:t>Incitec</w:t>
      </w:r>
      <w:proofErr w:type="spellEnd"/>
      <w:r>
        <w:t xml:space="preserve"> Pivot and BP </w:t>
      </w:r>
      <w:r w:rsidR="00CE28EE">
        <w:t>(</w:t>
      </w:r>
      <w:proofErr w:type="spellStart"/>
      <w:r>
        <w:t>Bulwar</w:t>
      </w:r>
      <w:proofErr w:type="spellEnd"/>
      <w:r>
        <w:t xml:space="preserve"> Refinery</w:t>
      </w:r>
      <w:r w:rsidR="00CE28EE">
        <w:t>)</w:t>
      </w:r>
      <w:r w:rsidR="008A08AB">
        <w:t>.</w:t>
      </w:r>
      <w:r w:rsidR="00BB65C5">
        <w:rPr>
          <w:rStyle w:val="FootnoteReference"/>
        </w:rPr>
        <w:footnoteReference w:id="2"/>
      </w:r>
      <w:r w:rsidR="008A08AB">
        <w:t xml:space="preserve"> </w:t>
      </w:r>
      <w:r w:rsidR="00CE28EE">
        <w:t xml:space="preserve">Users also </w:t>
      </w:r>
      <w:r w:rsidR="00B90801">
        <w:t xml:space="preserve">regularly </w:t>
      </w:r>
      <w:r w:rsidR="00CE28EE">
        <w:t>submit b</w:t>
      </w:r>
      <w:r w:rsidR="008A08AB">
        <w:t>ids to withdraw gas fro</w:t>
      </w:r>
      <w:r w:rsidR="00BB65C5">
        <w:t xml:space="preserve">m the hub </w:t>
      </w:r>
      <w:r w:rsidR="00CE28EE">
        <w:t xml:space="preserve">such as </w:t>
      </w:r>
      <w:r w:rsidR="00BB65C5">
        <w:t>for the</w:t>
      </w:r>
      <w:r w:rsidR="008A08AB">
        <w:t xml:space="preserve"> use of power stations located along the RBP.</w:t>
      </w:r>
      <w:r w:rsidR="008A08AB">
        <w:rPr>
          <w:rFonts w:eastAsia="Times New Roman"/>
          <w:szCs w:val="24"/>
        </w:rPr>
        <w:t xml:space="preserve"> </w:t>
      </w:r>
      <w:r w:rsidR="00BB65C5">
        <w:rPr>
          <w:rFonts w:eastAsia="Times New Roman"/>
          <w:szCs w:val="24"/>
        </w:rPr>
        <w:t>G</w:t>
      </w:r>
      <w:r w:rsidR="00AD50D2">
        <w:rPr>
          <w:rFonts w:eastAsia="Times New Roman"/>
          <w:szCs w:val="24"/>
        </w:rPr>
        <w:t xml:space="preserve">as </w:t>
      </w:r>
      <w:r w:rsidR="00BB65C5">
        <w:rPr>
          <w:rFonts w:eastAsia="Times New Roman"/>
          <w:szCs w:val="24"/>
        </w:rPr>
        <w:t xml:space="preserve">supplied </w:t>
      </w:r>
      <w:r w:rsidR="008A08AB">
        <w:rPr>
          <w:rFonts w:eastAsia="Times New Roman"/>
          <w:szCs w:val="24"/>
        </w:rPr>
        <w:t xml:space="preserve">is understood to </w:t>
      </w:r>
      <w:r w:rsidR="00BB65C5">
        <w:rPr>
          <w:rFonts w:eastAsia="Times New Roman"/>
          <w:szCs w:val="24"/>
        </w:rPr>
        <w:t xml:space="preserve">largely </w:t>
      </w:r>
      <w:r w:rsidR="00321278">
        <w:rPr>
          <w:rFonts w:eastAsia="Times New Roman"/>
          <w:szCs w:val="24"/>
        </w:rPr>
        <w:t xml:space="preserve">originate from </w:t>
      </w:r>
      <w:r w:rsidR="00CE28EE">
        <w:rPr>
          <w:rFonts w:eastAsia="Times New Roman"/>
          <w:szCs w:val="24"/>
        </w:rPr>
        <w:t xml:space="preserve">the </w:t>
      </w:r>
      <w:r w:rsidR="00321278">
        <w:rPr>
          <w:rFonts w:eastAsia="Times New Roman"/>
          <w:szCs w:val="24"/>
        </w:rPr>
        <w:t xml:space="preserve">Queensland coal seam gas facilities </w:t>
      </w:r>
      <w:r w:rsidR="00BA64D9">
        <w:rPr>
          <w:rFonts w:eastAsia="Times New Roman"/>
          <w:szCs w:val="24"/>
        </w:rPr>
        <w:t>in the Roma region</w:t>
      </w:r>
      <w:r w:rsidR="00321278">
        <w:rPr>
          <w:rFonts w:eastAsia="Times New Roman"/>
          <w:szCs w:val="24"/>
        </w:rPr>
        <w:t>.</w:t>
      </w:r>
      <w:r w:rsidR="00321278">
        <w:rPr>
          <w:rStyle w:val="FootnoteReference"/>
          <w:rFonts w:eastAsia="Times New Roman"/>
          <w:szCs w:val="24"/>
        </w:rPr>
        <w:footnoteReference w:id="3"/>
      </w:r>
      <w:r w:rsidR="00BB65C5">
        <w:rPr>
          <w:rFonts w:eastAsia="Times New Roman"/>
          <w:szCs w:val="24"/>
        </w:rPr>
        <w:t xml:space="preserve"> I</w:t>
      </w:r>
      <w:r w:rsidR="000F3C4F" w:rsidRPr="0052086C">
        <w:rPr>
          <w:rFonts w:eastAsia="Times New Roman"/>
          <w:szCs w:val="24"/>
        </w:rPr>
        <w:t>n contrast to the Adelaide and Sydney hubs,</w:t>
      </w:r>
      <w:r w:rsidR="002B6D7E">
        <w:rPr>
          <w:rFonts w:eastAsia="Times New Roman"/>
          <w:szCs w:val="24"/>
        </w:rPr>
        <w:t xml:space="preserve"> which are</w:t>
      </w:r>
      <w:r w:rsidR="000F3C4F" w:rsidRPr="0052086C">
        <w:rPr>
          <w:rFonts w:eastAsia="Times New Roman"/>
          <w:szCs w:val="24"/>
        </w:rPr>
        <w:t xml:space="preserve"> serviced by two</w:t>
      </w:r>
      <w:r w:rsidR="00C07880">
        <w:rPr>
          <w:rFonts w:eastAsia="Times New Roman"/>
          <w:szCs w:val="24"/>
        </w:rPr>
        <w:t xml:space="preserve"> </w:t>
      </w:r>
      <w:r w:rsidR="00CE28EE">
        <w:rPr>
          <w:rFonts w:eastAsia="Times New Roman"/>
          <w:szCs w:val="24"/>
        </w:rPr>
        <w:t xml:space="preserve">main </w:t>
      </w:r>
      <w:r w:rsidR="00C07880" w:rsidRPr="0052086C">
        <w:rPr>
          <w:rFonts w:eastAsia="Times New Roman"/>
          <w:szCs w:val="24"/>
        </w:rPr>
        <w:t>pipelines</w:t>
      </w:r>
      <w:r w:rsidR="008A08AB">
        <w:rPr>
          <w:rFonts w:eastAsia="Times New Roman"/>
          <w:szCs w:val="24"/>
        </w:rPr>
        <w:t xml:space="preserve">, </w:t>
      </w:r>
      <w:r w:rsidR="001B0AFE">
        <w:rPr>
          <w:rFonts w:eastAsia="Times New Roman"/>
          <w:szCs w:val="24"/>
        </w:rPr>
        <w:t xml:space="preserve">the </w:t>
      </w:r>
      <w:r w:rsidR="00CE28EE">
        <w:rPr>
          <w:rFonts w:eastAsia="Times New Roman"/>
          <w:szCs w:val="24"/>
        </w:rPr>
        <w:t xml:space="preserve">Brisbane hub relies </w:t>
      </w:r>
      <w:r w:rsidR="008A08AB">
        <w:rPr>
          <w:rFonts w:eastAsia="Times New Roman"/>
          <w:szCs w:val="24"/>
        </w:rPr>
        <w:t xml:space="preserve">on </w:t>
      </w:r>
      <w:r w:rsidR="002B6D7E">
        <w:rPr>
          <w:rFonts w:eastAsia="Times New Roman"/>
          <w:szCs w:val="24"/>
        </w:rPr>
        <w:t xml:space="preserve">gas delivered by the </w:t>
      </w:r>
      <w:r w:rsidR="008A08AB">
        <w:rPr>
          <w:rFonts w:eastAsia="Times New Roman"/>
          <w:szCs w:val="24"/>
        </w:rPr>
        <w:t>RBP</w:t>
      </w:r>
      <w:r w:rsidR="00C07880" w:rsidRPr="0052086C">
        <w:rPr>
          <w:rFonts w:eastAsia="Times New Roman"/>
          <w:szCs w:val="24"/>
        </w:rPr>
        <w:t>.</w:t>
      </w:r>
      <w:r w:rsidR="00B72E3E" w:rsidRPr="00B72E3E">
        <w:t xml:space="preserve"> </w:t>
      </w:r>
      <w:r w:rsidR="00B90801">
        <w:t xml:space="preserve">Accordingly, </w:t>
      </w:r>
      <w:r w:rsidR="00B72E3E">
        <w:t xml:space="preserve">gas can only be </w:t>
      </w:r>
      <w:r w:rsidR="00BB65C5">
        <w:t xml:space="preserve">scheduled </w:t>
      </w:r>
      <w:r w:rsidR="00B90801">
        <w:t xml:space="preserve">by AEMO </w:t>
      </w:r>
      <w:r w:rsidR="00B72E3E">
        <w:t>up to the capacity of the RBP</w:t>
      </w:r>
      <w:r w:rsidR="00A315EC">
        <w:t xml:space="preserve"> </w:t>
      </w:r>
      <w:r w:rsidR="00CE28EE">
        <w:t xml:space="preserve">as </w:t>
      </w:r>
      <w:r w:rsidR="00A315EC">
        <w:t>determined by APA</w:t>
      </w:r>
      <w:r w:rsidR="00B90801">
        <w:t xml:space="preserve">, </w:t>
      </w:r>
      <w:r>
        <w:t>the pipeline operator</w:t>
      </w:r>
      <w:r w:rsidR="00B72E3E">
        <w:t>.</w:t>
      </w:r>
      <w:r w:rsidR="00B90801">
        <w:rPr>
          <w:rStyle w:val="FootnoteReference"/>
        </w:rPr>
        <w:footnoteReference w:id="4"/>
      </w:r>
      <w:r w:rsidR="00B72E3E">
        <w:t xml:space="preserve"> </w:t>
      </w:r>
    </w:p>
    <w:p w:rsidR="00A315EC" w:rsidRPr="00D32E08" w:rsidRDefault="00BB65C5" w:rsidP="002B6D7E">
      <w:pPr>
        <w:pStyle w:val="AERfigureheading-unnumbered"/>
        <w:tabs>
          <w:tab w:val="num" w:pos="1080"/>
        </w:tabs>
        <w:rPr>
          <w:rFonts w:ascii="Arial" w:hAnsi="Arial" w:cs="Arial"/>
          <w:sz w:val="20"/>
          <w:szCs w:val="20"/>
        </w:rPr>
      </w:pPr>
      <w:bookmarkStart w:id="14" w:name="_Ref367369383"/>
      <w:r>
        <w:rPr>
          <w:rFonts w:ascii="Arial" w:hAnsi="Arial" w:cs="Arial"/>
          <w:sz w:val="20"/>
          <w:szCs w:val="20"/>
        </w:rPr>
        <w:t>The Roma Brisbane Pipeline, connected facilities and t</w:t>
      </w:r>
      <w:r w:rsidR="00CC71E8">
        <w:rPr>
          <w:rFonts w:ascii="Arial" w:hAnsi="Arial" w:cs="Arial"/>
          <w:sz w:val="20"/>
          <w:szCs w:val="20"/>
        </w:rPr>
        <w:t xml:space="preserve">he </w:t>
      </w:r>
      <w:r w:rsidR="00CC71E8" w:rsidRPr="00900CEB">
        <w:rPr>
          <w:rFonts w:ascii="Arial" w:hAnsi="Arial" w:cs="Arial"/>
          <w:sz w:val="20"/>
          <w:szCs w:val="20"/>
        </w:rPr>
        <w:t xml:space="preserve">Brisbane </w:t>
      </w:r>
      <w:r w:rsidR="00CC71E8">
        <w:rPr>
          <w:rFonts w:ascii="Arial" w:hAnsi="Arial" w:cs="Arial"/>
          <w:sz w:val="20"/>
          <w:szCs w:val="20"/>
        </w:rPr>
        <w:t>hub</w:t>
      </w:r>
      <w:r w:rsidR="00321278">
        <w:rPr>
          <w:rFonts w:ascii="Arial" w:hAnsi="Arial" w:cs="Arial"/>
          <w:sz w:val="20"/>
          <w:szCs w:val="20"/>
        </w:rPr>
        <w:t xml:space="preserve"> </w:t>
      </w:r>
      <w:bookmarkStart w:id="15" w:name="_Ref367186933"/>
      <w:bookmarkEnd w:id="13"/>
      <w:bookmarkEnd w:id="14"/>
      <w:r w:rsidR="00D6667C">
        <w:rPr>
          <w:noProof/>
          <w:lang w:eastAsia="en-AU"/>
        </w:rPr>
        <w:drawing>
          <wp:inline distT="0" distB="0" distL="0" distR="0" wp14:anchorId="4705B81D" wp14:editId="41751C0F">
            <wp:extent cx="4233862" cy="2381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s STT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37395" cy="2383007"/>
                    </a:xfrm>
                    <a:prstGeom prst="rect">
                      <a:avLst/>
                    </a:prstGeom>
                  </pic:spPr>
                </pic:pic>
              </a:graphicData>
            </a:graphic>
          </wp:inline>
        </w:drawing>
      </w:r>
      <w:bookmarkStart w:id="16" w:name="_Toc365903598"/>
      <w:bookmarkStart w:id="17" w:name="_Toc365903665"/>
      <w:bookmarkStart w:id="18" w:name="_Toc365903599"/>
      <w:bookmarkStart w:id="19" w:name="_Toc365903666"/>
      <w:bookmarkStart w:id="20" w:name="_Toc365903600"/>
      <w:bookmarkStart w:id="21" w:name="_Toc365903667"/>
      <w:bookmarkStart w:id="22" w:name="_Toc365903601"/>
      <w:bookmarkStart w:id="23" w:name="_Toc365903668"/>
      <w:bookmarkStart w:id="24" w:name="_Toc365903602"/>
      <w:bookmarkStart w:id="25" w:name="_Toc365903669"/>
      <w:bookmarkStart w:id="26" w:name="_Toc365903603"/>
      <w:bookmarkStart w:id="27" w:name="_Toc365903670"/>
      <w:bookmarkStart w:id="28" w:name="_Toc365903604"/>
      <w:bookmarkStart w:id="29" w:name="_Toc36590367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365EDD" w:rsidRPr="0052086C" w:rsidRDefault="00FB0110" w:rsidP="002B6D7E">
      <w:pPr>
        <w:pStyle w:val="Heading1"/>
      </w:pPr>
      <w:bookmarkStart w:id="30" w:name="_Toc397498717"/>
      <w:r>
        <w:lastRenderedPageBreak/>
        <w:t xml:space="preserve">Brisbane Hub - </w:t>
      </w:r>
      <w:r w:rsidR="00134EED" w:rsidRPr="0052086C">
        <w:t>7 July 2014</w:t>
      </w:r>
      <w:r w:rsidR="00B6144E">
        <w:t xml:space="preserve"> </w:t>
      </w:r>
      <w:r>
        <w:t>gas day</w:t>
      </w:r>
      <w:bookmarkEnd w:id="30"/>
    </w:p>
    <w:p w:rsidR="00F356A4" w:rsidRDefault="004E0FBE" w:rsidP="00CC71E8">
      <w:pPr>
        <w:pStyle w:val="AERnumberedlistfirststyle"/>
        <w:numPr>
          <w:ilvl w:val="0"/>
          <w:numId w:val="0"/>
        </w:numPr>
        <w:spacing w:after="0"/>
      </w:pPr>
      <w:r>
        <w:t>T</w:t>
      </w:r>
      <w:r w:rsidR="00F356A4">
        <w:t>he</w:t>
      </w:r>
      <w:r w:rsidR="00134EED" w:rsidRPr="003D5CEF">
        <w:rPr>
          <w:b/>
        </w:rPr>
        <w:t xml:space="preserve"> </w:t>
      </w:r>
      <w:r w:rsidR="00134EED" w:rsidRPr="003D5CEF">
        <w:t xml:space="preserve">capacity </w:t>
      </w:r>
      <w:r w:rsidR="00BB65C5">
        <w:t xml:space="preserve">to deliver </w:t>
      </w:r>
      <w:r>
        <w:t xml:space="preserve">gas </w:t>
      </w:r>
      <w:r w:rsidR="00BB65C5">
        <w:t xml:space="preserve">to the Brisbane hub </w:t>
      </w:r>
      <w:r w:rsidR="002D6F11">
        <w:t xml:space="preserve">was reduced </w:t>
      </w:r>
      <w:r w:rsidR="00BB65C5">
        <w:t xml:space="preserve">by APA </w:t>
      </w:r>
      <w:r w:rsidR="00F166AB">
        <w:t>in late June to 186 TJ</w:t>
      </w:r>
      <w:r w:rsidR="00DD4A9D">
        <w:rPr>
          <w:rStyle w:val="FootnoteReference"/>
        </w:rPr>
        <w:footnoteReference w:id="5"/>
      </w:r>
      <w:r w:rsidR="00BD7647">
        <w:t xml:space="preserve">. This </w:t>
      </w:r>
      <w:r w:rsidR="00F166AB">
        <w:t>impact</w:t>
      </w:r>
      <w:r w:rsidR="00BD7647">
        <w:t>ed</w:t>
      </w:r>
      <w:r w:rsidR="00F166AB">
        <w:t xml:space="preserve"> on how much gas could be scheduled to the Brisbane hub</w:t>
      </w:r>
      <w:r w:rsidR="00134EED">
        <w:t>.</w:t>
      </w:r>
      <w:r w:rsidR="00F356A4">
        <w:t xml:space="preserve"> </w:t>
      </w:r>
    </w:p>
    <w:p w:rsidR="00F166AB" w:rsidRDefault="00F166AB" w:rsidP="00CC71E8">
      <w:pPr>
        <w:pStyle w:val="AERnumberedlistfirststyle"/>
        <w:numPr>
          <w:ilvl w:val="0"/>
          <w:numId w:val="0"/>
        </w:numPr>
        <w:spacing w:after="0"/>
      </w:pPr>
    </w:p>
    <w:p w:rsidR="00F166AB" w:rsidRPr="00F166AB" w:rsidRDefault="00A936D9" w:rsidP="00A936D9">
      <w:pPr>
        <w:pStyle w:val="AERnumberedlistfirststyle"/>
        <w:numPr>
          <w:ilvl w:val="0"/>
          <w:numId w:val="0"/>
        </w:numPr>
        <w:spacing w:after="0"/>
        <w:rPr>
          <w:szCs w:val="20"/>
        </w:rPr>
      </w:pPr>
      <w:r>
        <w:t xml:space="preserve">APA advised that on 25 June 2014 </w:t>
      </w:r>
      <w:r w:rsidR="00F166AB" w:rsidRPr="00F166AB">
        <w:rPr>
          <w:szCs w:val="20"/>
        </w:rPr>
        <w:t>a defect was identified in the RBP 10” pipeline downstream of Toowoomba. The affected section of the RBP 10” pipeline was isolated and</w:t>
      </w:r>
      <w:r w:rsidR="00DD4A9D">
        <w:rPr>
          <w:szCs w:val="20"/>
        </w:rPr>
        <w:t>,</w:t>
      </w:r>
      <w:r w:rsidR="00F166AB" w:rsidRPr="00F166AB">
        <w:rPr>
          <w:szCs w:val="20"/>
        </w:rPr>
        <w:t xml:space="preserve"> as </w:t>
      </w:r>
      <w:r w:rsidR="001D3F82">
        <w:rPr>
          <w:szCs w:val="20"/>
        </w:rPr>
        <w:t>at</w:t>
      </w:r>
      <w:r w:rsidR="001D3F82" w:rsidRPr="00F166AB">
        <w:rPr>
          <w:szCs w:val="20"/>
        </w:rPr>
        <w:t xml:space="preserve"> </w:t>
      </w:r>
      <w:r w:rsidR="001D3F82">
        <w:rPr>
          <w:szCs w:val="20"/>
        </w:rPr>
        <w:t>21 </w:t>
      </w:r>
      <w:r w:rsidR="00F166AB" w:rsidRPr="00F166AB">
        <w:rPr>
          <w:szCs w:val="20"/>
        </w:rPr>
        <w:t xml:space="preserve">September 2014, remains isolated reducing capacity to the Brisbane STTM Hub to 186 TJ/d. APA continues to work on the section of the 10” pipeline and </w:t>
      </w:r>
      <w:r w:rsidR="004E0FBE">
        <w:rPr>
          <w:szCs w:val="20"/>
        </w:rPr>
        <w:t>i</w:t>
      </w:r>
      <w:r w:rsidR="00F166AB" w:rsidRPr="00F166AB">
        <w:rPr>
          <w:szCs w:val="20"/>
        </w:rPr>
        <w:t>nvestigations have identified issues that will require rectification prior to the section of pipeline being reinstated. APA is investigating a range of solutions. At this stage it is expected that capacity will remain at the current reduced level for the immediate future.</w:t>
      </w:r>
    </w:p>
    <w:p w:rsidR="00134EED" w:rsidRPr="00900CEB" w:rsidRDefault="00134EED" w:rsidP="00134EED">
      <w:pPr>
        <w:pStyle w:val="AERfigureheading-unnumbered"/>
        <w:tabs>
          <w:tab w:val="num" w:pos="1080"/>
        </w:tabs>
        <w:spacing w:before="480"/>
        <w:rPr>
          <w:rFonts w:ascii="Arial" w:hAnsi="Arial" w:cs="Arial"/>
          <w:sz w:val="20"/>
          <w:szCs w:val="20"/>
        </w:rPr>
      </w:pPr>
      <w:r>
        <w:rPr>
          <w:rFonts w:ascii="Arial" w:hAnsi="Arial" w:cs="Arial"/>
          <w:sz w:val="20"/>
          <w:szCs w:val="20"/>
        </w:rPr>
        <w:t xml:space="preserve">Reduced </w:t>
      </w:r>
      <w:r w:rsidR="00321FFF">
        <w:rPr>
          <w:rFonts w:ascii="Arial" w:hAnsi="Arial" w:cs="Arial"/>
          <w:sz w:val="20"/>
          <w:szCs w:val="20"/>
        </w:rPr>
        <w:t>p</w:t>
      </w:r>
      <w:r>
        <w:rPr>
          <w:rFonts w:ascii="Arial" w:hAnsi="Arial" w:cs="Arial"/>
          <w:sz w:val="20"/>
          <w:szCs w:val="20"/>
        </w:rPr>
        <w:t xml:space="preserve">ipeline </w:t>
      </w:r>
      <w:r w:rsidR="00321FFF">
        <w:rPr>
          <w:rFonts w:ascii="Arial" w:hAnsi="Arial" w:cs="Arial"/>
          <w:sz w:val="20"/>
          <w:szCs w:val="20"/>
        </w:rPr>
        <w:t>c</w:t>
      </w:r>
      <w:r>
        <w:rPr>
          <w:rFonts w:ascii="Arial" w:hAnsi="Arial" w:cs="Arial"/>
          <w:sz w:val="20"/>
          <w:szCs w:val="20"/>
        </w:rPr>
        <w:t>apacity</w:t>
      </w:r>
      <w:r w:rsidR="00D14C4C">
        <w:rPr>
          <w:rFonts w:ascii="Arial" w:hAnsi="Arial" w:cs="Arial"/>
          <w:sz w:val="20"/>
          <w:szCs w:val="20"/>
        </w:rPr>
        <w:t xml:space="preserve"> limiting scheduled</w:t>
      </w:r>
      <w:r>
        <w:rPr>
          <w:rFonts w:ascii="Arial" w:hAnsi="Arial" w:cs="Arial"/>
          <w:sz w:val="20"/>
          <w:szCs w:val="20"/>
        </w:rPr>
        <w:t xml:space="preserve"> deliveries to the </w:t>
      </w:r>
      <w:r w:rsidRPr="00900CEB">
        <w:rPr>
          <w:rFonts w:ascii="Arial" w:hAnsi="Arial" w:cs="Arial"/>
          <w:sz w:val="20"/>
          <w:szCs w:val="20"/>
        </w:rPr>
        <w:t xml:space="preserve">Brisbane STTM </w:t>
      </w:r>
      <w:r>
        <w:rPr>
          <w:rFonts w:ascii="Arial" w:hAnsi="Arial" w:cs="Arial"/>
          <w:sz w:val="20"/>
          <w:szCs w:val="20"/>
        </w:rPr>
        <w:t>hub</w:t>
      </w:r>
    </w:p>
    <w:p w:rsidR="00710583" w:rsidRDefault="0002512B" w:rsidP="004C204D">
      <w:pPr>
        <w:pStyle w:val="AERnumberedlistfirststyle"/>
        <w:numPr>
          <w:ilvl w:val="0"/>
          <w:numId w:val="0"/>
        </w:numPr>
        <w:spacing w:after="0" w:line="240" w:lineRule="auto"/>
      </w:pPr>
      <w:r w:rsidRPr="0002512B">
        <w:rPr>
          <w:noProof/>
          <w:lang w:eastAsia="en-AU"/>
        </w:rPr>
        <w:drawing>
          <wp:inline distT="0" distB="0" distL="0" distR="0" wp14:anchorId="44C23807" wp14:editId="69EC3071">
            <wp:extent cx="5729582" cy="28545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855479"/>
                    </a:xfrm>
                    <a:prstGeom prst="rect">
                      <a:avLst/>
                    </a:prstGeom>
                    <a:noFill/>
                    <a:ln>
                      <a:noFill/>
                    </a:ln>
                  </pic:spPr>
                </pic:pic>
              </a:graphicData>
            </a:graphic>
          </wp:inline>
        </w:drawing>
      </w:r>
      <w:r w:rsidR="00647248" w:rsidRPr="00647248">
        <w:t xml:space="preserve"> </w:t>
      </w:r>
    </w:p>
    <w:p w:rsidR="004C204D" w:rsidRDefault="004C204D" w:rsidP="00BF3839">
      <w:pPr>
        <w:pStyle w:val="AERnumberedlistfirststyle"/>
        <w:numPr>
          <w:ilvl w:val="0"/>
          <w:numId w:val="0"/>
        </w:numPr>
        <w:spacing w:after="0"/>
      </w:pPr>
    </w:p>
    <w:p w:rsidR="00F166AB" w:rsidRDefault="00EF556E" w:rsidP="00BF3839">
      <w:pPr>
        <w:pStyle w:val="AERnumberedlistfirststyle"/>
        <w:numPr>
          <w:ilvl w:val="0"/>
          <w:numId w:val="0"/>
        </w:numPr>
        <w:spacing w:after="0"/>
      </w:pPr>
      <w:r>
        <w:t>As shown in figure 2 above</w:t>
      </w:r>
      <w:r w:rsidR="00A936D9">
        <w:t>,</w:t>
      </w:r>
      <w:r>
        <w:t xml:space="preserve"> u</w:t>
      </w:r>
      <w:r w:rsidR="00F166AB">
        <w:t xml:space="preserve">p to and including 7 July </w:t>
      </w:r>
      <w:r>
        <w:t xml:space="preserve">(circled) </w:t>
      </w:r>
      <w:r w:rsidR="00F166AB">
        <w:t xml:space="preserve">there were a number of days where </w:t>
      </w:r>
      <w:r>
        <w:t xml:space="preserve">the </w:t>
      </w:r>
      <w:r w:rsidR="007A0042">
        <w:t xml:space="preserve">lower </w:t>
      </w:r>
      <w:r w:rsidR="00F166AB">
        <w:t xml:space="preserve">RBP capacity </w:t>
      </w:r>
      <w:r>
        <w:t>prevented the scheduling of further offers to match bids in merit order for the Brisbane hub</w:t>
      </w:r>
      <w:r w:rsidR="008F12D5">
        <w:rPr>
          <w:rStyle w:val="FootnoteReference"/>
        </w:rPr>
        <w:footnoteReference w:id="6"/>
      </w:r>
      <w:r>
        <w:t>.</w:t>
      </w:r>
      <w:r w:rsidR="007A0042">
        <w:t xml:space="preserve"> </w:t>
      </w:r>
      <w:r w:rsidR="008F12D5">
        <w:t>M</w:t>
      </w:r>
      <w:r w:rsidR="007A0042">
        <w:t xml:space="preserve">arket rules do not allow </w:t>
      </w:r>
      <w:r w:rsidR="008F12D5">
        <w:t xml:space="preserve">volumes of </w:t>
      </w:r>
      <w:r w:rsidR="007A0042">
        <w:t xml:space="preserve">gas to be scheduled </w:t>
      </w:r>
      <w:r w:rsidR="008F12D5">
        <w:t xml:space="preserve">to the Brisbane hub </w:t>
      </w:r>
      <w:r w:rsidR="007A0042">
        <w:t xml:space="preserve">beyond the </w:t>
      </w:r>
      <w:r w:rsidR="008F12D5">
        <w:t xml:space="preserve">physical </w:t>
      </w:r>
      <w:r w:rsidR="007A0042">
        <w:t>capacity of the pipeline</w:t>
      </w:r>
      <w:r w:rsidR="008F12D5">
        <w:t xml:space="preserve"> even if there are parties willing to buy more gas. </w:t>
      </w:r>
      <w:r>
        <w:t xml:space="preserve"> </w:t>
      </w:r>
      <w:r w:rsidR="008F12D5">
        <w:t>Notably, s</w:t>
      </w:r>
      <w:r>
        <w:t xml:space="preserve">ince </w:t>
      </w:r>
      <w:r w:rsidR="00BD7647">
        <w:t xml:space="preserve">7 July, </w:t>
      </w:r>
      <w:r w:rsidR="007A0042">
        <w:t>this</w:t>
      </w:r>
      <w:r>
        <w:t xml:space="preserve"> capacity limit has not influenced scheduling because of a reduction in demand.</w:t>
      </w:r>
    </w:p>
    <w:p w:rsidR="00F166AB" w:rsidRDefault="00F166AB" w:rsidP="00BF3839">
      <w:pPr>
        <w:pStyle w:val="AERnumberedlistfirststyle"/>
        <w:numPr>
          <w:ilvl w:val="0"/>
          <w:numId w:val="0"/>
        </w:numPr>
        <w:spacing w:after="0"/>
      </w:pPr>
    </w:p>
    <w:p w:rsidR="007A0042" w:rsidRDefault="00CE28EE" w:rsidP="00BF3839">
      <w:pPr>
        <w:pStyle w:val="AERnumberedlistfirststyle"/>
        <w:numPr>
          <w:ilvl w:val="0"/>
          <w:numId w:val="0"/>
        </w:numPr>
        <w:spacing w:after="0"/>
      </w:pPr>
      <w:r>
        <w:t>As shown in figure 3,</w:t>
      </w:r>
      <w:r w:rsidR="00BF3839">
        <w:t xml:space="preserve"> </w:t>
      </w:r>
      <w:r w:rsidR="001B0AFE">
        <w:t xml:space="preserve">for 7 </w:t>
      </w:r>
      <w:r w:rsidR="00EF556E">
        <w:t>July</w:t>
      </w:r>
      <w:r w:rsidR="007A0042">
        <w:t xml:space="preserve"> across the three schedules:</w:t>
      </w:r>
    </w:p>
    <w:p w:rsidR="007A0042" w:rsidRDefault="007A0042" w:rsidP="00BF3839">
      <w:pPr>
        <w:pStyle w:val="AERnumberedlistfirststyle"/>
        <w:numPr>
          <w:ilvl w:val="0"/>
          <w:numId w:val="0"/>
        </w:numPr>
        <w:spacing w:after="0"/>
      </w:pPr>
    </w:p>
    <w:p w:rsidR="007A0042" w:rsidRDefault="007A0042" w:rsidP="007A0042">
      <w:pPr>
        <w:pStyle w:val="AERnumberedlistfirststyle"/>
        <w:numPr>
          <w:ilvl w:val="0"/>
          <w:numId w:val="15"/>
        </w:numPr>
        <w:spacing w:after="0"/>
      </w:pPr>
      <w:r>
        <w:t xml:space="preserve">186 TJ of </w:t>
      </w:r>
      <w:r w:rsidR="00CE28EE">
        <w:t xml:space="preserve">offers </w:t>
      </w:r>
      <w:r w:rsidR="00EF556E">
        <w:t>were scheduled to meet</w:t>
      </w:r>
      <w:r w:rsidR="00CE28EE">
        <w:t xml:space="preserve"> price taker</w:t>
      </w:r>
      <w:r w:rsidR="002B6D7E">
        <w:t xml:space="preserve"> bids</w:t>
      </w:r>
      <w:r w:rsidR="00CE28EE">
        <w:t xml:space="preserve"> (uncontrollable demand) of around 156 TJ</w:t>
      </w:r>
      <w:r w:rsidR="00BF3839">
        <w:t xml:space="preserve"> </w:t>
      </w:r>
      <w:r w:rsidR="00EF556E">
        <w:t xml:space="preserve">and </w:t>
      </w:r>
      <w:r w:rsidR="00CE28EE">
        <w:t xml:space="preserve">around </w:t>
      </w:r>
      <w:r w:rsidR="00BF3839">
        <w:t xml:space="preserve">30 TJ </w:t>
      </w:r>
      <w:r w:rsidR="00CE28EE">
        <w:t xml:space="preserve">of controllable withdrawal bids. </w:t>
      </w:r>
    </w:p>
    <w:p w:rsidR="00BF3839" w:rsidRDefault="007A0042" w:rsidP="007A0042">
      <w:pPr>
        <w:pStyle w:val="AERnumberedlistfirststyle"/>
        <w:numPr>
          <w:ilvl w:val="0"/>
          <w:numId w:val="15"/>
        </w:numPr>
        <w:spacing w:after="0"/>
      </w:pPr>
      <w:r>
        <w:t xml:space="preserve">With </w:t>
      </w:r>
      <w:r w:rsidR="00CE28EE">
        <w:t>the capacity constraint</w:t>
      </w:r>
      <w:r w:rsidR="001B0AFE">
        <w:t>,</w:t>
      </w:r>
      <w:r w:rsidR="00CE28EE">
        <w:t xml:space="preserve"> </w:t>
      </w:r>
      <w:r w:rsidR="00BB65C5">
        <w:t xml:space="preserve">there </w:t>
      </w:r>
      <w:r w:rsidR="002B6D7E">
        <w:t>was</w:t>
      </w:r>
      <w:r w:rsidR="0022670F">
        <w:t xml:space="preserve"> about 6 TJ</w:t>
      </w:r>
      <w:r w:rsidR="0022670F" w:rsidDel="0022670F">
        <w:t xml:space="preserve"> </w:t>
      </w:r>
      <w:proofErr w:type="spellStart"/>
      <w:r w:rsidR="00CE28EE">
        <w:t>TJ</w:t>
      </w:r>
      <w:proofErr w:type="spellEnd"/>
      <w:r w:rsidR="00CE28EE">
        <w:t xml:space="preserve"> </w:t>
      </w:r>
      <w:r w:rsidR="002B6D7E">
        <w:t xml:space="preserve">of gas </w:t>
      </w:r>
      <w:r w:rsidR="00BB65C5">
        <w:t>which could not be scheduled despite there being bids to take gas priced above offers to supply gas.</w:t>
      </w:r>
    </w:p>
    <w:p w:rsidR="008A1109" w:rsidRDefault="008A1109" w:rsidP="008A1109">
      <w:pPr>
        <w:pStyle w:val="AERnumberedlistfirststyle"/>
        <w:numPr>
          <w:ilvl w:val="0"/>
          <w:numId w:val="0"/>
        </w:numPr>
        <w:spacing w:after="0"/>
        <w:rPr>
          <w:rFonts w:ascii="Arial" w:hAnsi="Arial" w:cs="Arial"/>
          <w:b/>
          <w:szCs w:val="20"/>
        </w:rPr>
      </w:pPr>
    </w:p>
    <w:p w:rsidR="008A1109" w:rsidRDefault="008A1109" w:rsidP="008A1109">
      <w:pPr>
        <w:pStyle w:val="AERnumberedlistfirststyle"/>
        <w:numPr>
          <w:ilvl w:val="0"/>
          <w:numId w:val="0"/>
        </w:numPr>
        <w:spacing w:after="0"/>
        <w:rPr>
          <w:rFonts w:ascii="Arial" w:hAnsi="Arial" w:cs="Arial"/>
          <w:b/>
          <w:szCs w:val="20"/>
        </w:rPr>
      </w:pPr>
      <w:r>
        <w:rPr>
          <w:rFonts w:ascii="Arial" w:hAnsi="Arial" w:cs="Arial"/>
          <w:b/>
          <w:szCs w:val="20"/>
        </w:rPr>
        <w:lastRenderedPageBreak/>
        <w:t xml:space="preserve">Figure 3:     </w:t>
      </w:r>
      <w:r w:rsidR="002B6D7E">
        <w:rPr>
          <w:rFonts w:ascii="Arial" w:hAnsi="Arial" w:cs="Arial"/>
          <w:b/>
          <w:szCs w:val="20"/>
        </w:rPr>
        <w:t xml:space="preserve">7 July - </w:t>
      </w:r>
      <w:r w:rsidR="004938B9">
        <w:rPr>
          <w:rFonts w:ascii="Arial" w:hAnsi="Arial" w:cs="Arial"/>
          <w:b/>
          <w:szCs w:val="20"/>
        </w:rPr>
        <w:t>Capacity, demand and pricing information</w:t>
      </w:r>
    </w:p>
    <w:p w:rsidR="00DB69B1" w:rsidRDefault="00DB69B1" w:rsidP="008A1109">
      <w:pPr>
        <w:pStyle w:val="AERnumberedlistfirststyle"/>
        <w:numPr>
          <w:ilvl w:val="0"/>
          <w:numId w:val="0"/>
        </w:numPr>
        <w:spacing w:after="0"/>
        <w:rPr>
          <w:rFonts w:ascii="Arial" w:hAnsi="Arial" w:cs="Arial"/>
          <w:b/>
          <w:szCs w:val="20"/>
        </w:rPr>
      </w:pPr>
    </w:p>
    <w:tbl>
      <w:tblPr>
        <w:tblStyle w:val="AERtable-numbers"/>
        <w:tblW w:w="0" w:type="auto"/>
        <w:tblLook w:val="04A0" w:firstRow="1" w:lastRow="0" w:firstColumn="1" w:lastColumn="0" w:noHBand="0" w:noVBand="1"/>
      </w:tblPr>
      <w:tblGrid>
        <w:gridCol w:w="959"/>
        <w:gridCol w:w="1134"/>
        <w:gridCol w:w="1026"/>
        <w:gridCol w:w="1265"/>
        <w:gridCol w:w="992"/>
        <w:gridCol w:w="425"/>
        <w:gridCol w:w="1276"/>
        <w:gridCol w:w="1678"/>
      </w:tblGrid>
      <w:tr w:rsidR="004938B9" w:rsidRPr="00A2518F" w:rsidTr="004C20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Align w:val="top"/>
          </w:tcPr>
          <w:p w:rsidR="00DB69B1" w:rsidRPr="00A2518F" w:rsidRDefault="00DB69B1" w:rsidP="004C204D">
            <w:pPr>
              <w:pStyle w:val="AERbodytext"/>
              <w:jc w:val="left"/>
            </w:pPr>
            <w:r>
              <w:t>Schedule</w:t>
            </w:r>
          </w:p>
        </w:tc>
        <w:tc>
          <w:tcPr>
            <w:tcW w:w="1134" w:type="dxa"/>
            <w:vAlign w:val="top"/>
          </w:tcPr>
          <w:p w:rsidR="00DB69B1" w:rsidRPr="00777D81" w:rsidRDefault="00DB69B1" w:rsidP="004C204D">
            <w:pPr>
              <w:pStyle w:val="AERbodytext"/>
              <w:spacing w:after="0"/>
              <w:jc w:val="left"/>
              <w:cnfStyle w:val="100000000000" w:firstRow="1" w:lastRow="0" w:firstColumn="0" w:lastColumn="0" w:oddVBand="0" w:evenVBand="0" w:oddHBand="0" w:evenHBand="0" w:firstRowFirstColumn="0" w:firstRowLastColumn="0" w:lastRowFirstColumn="0" w:lastRowLastColumn="0"/>
            </w:pPr>
            <w:r>
              <w:t xml:space="preserve">Capacity &amp; </w:t>
            </w:r>
            <w:r w:rsidRPr="00777D81">
              <w:t>Scheduled Offers</w:t>
            </w:r>
            <w:r>
              <w:t xml:space="preserve"> (TJ)</w:t>
            </w:r>
          </w:p>
          <w:p w:rsidR="00DB69B1" w:rsidRPr="00A2518F" w:rsidRDefault="00DB69B1" w:rsidP="004C204D">
            <w:pPr>
              <w:pStyle w:val="AERbodytext"/>
              <w:jc w:val="left"/>
              <w:cnfStyle w:val="100000000000" w:firstRow="1" w:lastRow="0" w:firstColumn="0" w:lastColumn="0" w:oddVBand="0" w:evenVBand="0" w:oddHBand="0" w:evenHBand="0" w:firstRowFirstColumn="0" w:firstRowLastColumn="0" w:lastRowFirstColumn="0" w:lastRowLastColumn="0"/>
            </w:pPr>
          </w:p>
        </w:tc>
        <w:tc>
          <w:tcPr>
            <w:tcW w:w="1026" w:type="dxa"/>
            <w:vAlign w:val="top"/>
          </w:tcPr>
          <w:p w:rsidR="00DB69B1" w:rsidRPr="00A2518F" w:rsidRDefault="00DB69B1" w:rsidP="004C204D">
            <w:pPr>
              <w:pStyle w:val="AERbodytext"/>
              <w:jc w:val="left"/>
              <w:cnfStyle w:val="100000000000" w:firstRow="1" w:lastRow="0" w:firstColumn="0" w:lastColumn="0" w:oddVBand="0" w:evenVBand="0" w:oddHBand="0" w:evenHBand="0" w:firstRowFirstColumn="0" w:firstRowLastColumn="0" w:lastRowFirstColumn="0" w:lastRowLastColumn="0"/>
            </w:pPr>
            <w:r>
              <w:t xml:space="preserve">Scheduled Demand </w:t>
            </w:r>
            <w:r w:rsidR="004938B9">
              <w:t>(TJ)</w:t>
            </w:r>
          </w:p>
        </w:tc>
        <w:tc>
          <w:tcPr>
            <w:tcW w:w="1265" w:type="dxa"/>
            <w:vAlign w:val="top"/>
          </w:tcPr>
          <w:p w:rsidR="00DB69B1" w:rsidRPr="00A2518F" w:rsidRDefault="00DB69B1" w:rsidP="004C204D">
            <w:pPr>
              <w:pStyle w:val="AERbodytext"/>
              <w:jc w:val="left"/>
              <w:cnfStyle w:val="100000000000" w:firstRow="1" w:lastRow="0" w:firstColumn="0" w:lastColumn="0" w:oddVBand="0" w:evenVBand="0" w:oddHBand="0" w:evenHBand="0" w:firstRowFirstColumn="0" w:firstRowLastColumn="0" w:lastRowFirstColumn="0" w:lastRowLastColumn="0"/>
            </w:pPr>
            <w:r>
              <w:t xml:space="preserve">Scheduled Controllable demand </w:t>
            </w:r>
            <w:r w:rsidR="004938B9">
              <w:t>(TJ)</w:t>
            </w:r>
          </w:p>
        </w:tc>
        <w:tc>
          <w:tcPr>
            <w:tcW w:w="1417" w:type="dxa"/>
            <w:gridSpan w:val="2"/>
            <w:vAlign w:val="top"/>
          </w:tcPr>
          <w:p w:rsidR="00DB69B1" w:rsidRPr="00A2518F" w:rsidRDefault="00DB69B1" w:rsidP="004C204D">
            <w:pPr>
              <w:pStyle w:val="AERbodytext"/>
              <w:jc w:val="left"/>
              <w:cnfStyle w:val="100000000000" w:firstRow="1" w:lastRow="0" w:firstColumn="0" w:lastColumn="0" w:oddVBand="0" w:evenVBand="0" w:oddHBand="0" w:evenHBand="0" w:firstRowFirstColumn="0" w:firstRowLastColumn="0" w:lastRowFirstColumn="0" w:lastRowLastColumn="0"/>
            </w:pPr>
            <w:r>
              <w:t>Marginal offer (MO) price</w:t>
            </w:r>
            <w:r w:rsidRPr="00846419">
              <w:t xml:space="preserve"> </w:t>
            </w:r>
            <w:r>
              <w:t>at 186</w:t>
            </w:r>
            <w:r w:rsidR="004938B9">
              <w:t> </w:t>
            </w:r>
            <w:r>
              <w:t>TJ ($/GJ)</w:t>
            </w:r>
          </w:p>
        </w:tc>
        <w:tc>
          <w:tcPr>
            <w:tcW w:w="1276" w:type="dxa"/>
            <w:vAlign w:val="top"/>
          </w:tcPr>
          <w:p w:rsidR="00DB69B1" w:rsidRPr="00A2518F" w:rsidRDefault="00DB69B1" w:rsidP="004C204D">
            <w:pPr>
              <w:pStyle w:val="AERbodytext"/>
              <w:jc w:val="left"/>
              <w:cnfStyle w:val="100000000000" w:firstRow="1" w:lastRow="0" w:firstColumn="0" w:lastColumn="0" w:oddVBand="0" w:evenVBand="0" w:oddHBand="0" w:evenHBand="0" w:firstRowFirstColumn="0" w:firstRowLastColumn="0" w:lastRowFirstColumn="0" w:lastRowLastColumn="0"/>
            </w:pPr>
            <w:r>
              <w:t>Marginal bid (MB) price at 186 TJ ($/GJ)</w:t>
            </w:r>
          </w:p>
        </w:tc>
        <w:tc>
          <w:tcPr>
            <w:tcW w:w="1678" w:type="dxa"/>
            <w:vAlign w:val="top"/>
          </w:tcPr>
          <w:p w:rsidR="00DB69B1" w:rsidRPr="00A2518F" w:rsidRDefault="00DB69B1" w:rsidP="004C204D">
            <w:pPr>
              <w:pStyle w:val="AERbodytext"/>
              <w:jc w:val="left"/>
              <w:cnfStyle w:val="100000000000" w:firstRow="1" w:lastRow="0" w:firstColumn="0" w:lastColumn="0" w:oddVBand="0" w:evenVBand="0" w:oddHBand="0" w:evenHBand="0" w:firstRowFirstColumn="0" w:firstRowLastColumn="0" w:lastRowFirstColumn="0" w:lastRowLastColumn="0"/>
            </w:pPr>
            <w:r>
              <w:t>Quantity of unscheduled / unmatched gas between MO and MB price (TJ)</w:t>
            </w:r>
          </w:p>
        </w:tc>
      </w:tr>
      <w:tr w:rsidR="00881D72" w:rsidRPr="00C659EC" w:rsidTr="004C204D">
        <w:tc>
          <w:tcPr>
            <w:cnfStyle w:val="001000000000" w:firstRow="0" w:lastRow="0" w:firstColumn="1" w:lastColumn="0" w:oddVBand="0" w:evenVBand="0" w:oddHBand="0" w:evenHBand="0" w:firstRowFirstColumn="0" w:firstRowLastColumn="0" w:lastRowFirstColumn="0" w:lastRowLastColumn="0"/>
            <w:tcW w:w="959" w:type="dxa"/>
            <w:vAlign w:val="top"/>
          </w:tcPr>
          <w:p w:rsidR="00881D72" w:rsidRDefault="00881D72" w:rsidP="004C204D">
            <w:pPr>
              <w:pStyle w:val="AERbodytext"/>
              <w:jc w:val="left"/>
            </w:pPr>
            <w:r>
              <w:rPr>
                <w:rFonts w:cs="Gautami"/>
                <w:color w:val="000000"/>
              </w:rPr>
              <w:t>D-3</w:t>
            </w:r>
          </w:p>
        </w:tc>
        <w:tc>
          <w:tcPr>
            <w:tcW w:w="1134" w:type="dxa"/>
            <w:vAlign w:val="top"/>
          </w:tcPr>
          <w:p w:rsidR="00881D72" w:rsidRPr="00C659EC" w:rsidRDefault="00881D72" w:rsidP="004C204D">
            <w:pPr>
              <w:pStyle w:val="AERbodytext"/>
              <w:jc w:val="left"/>
              <w:cnfStyle w:val="000000000000" w:firstRow="0" w:lastRow="0" w:firstColumn="0" w:lastColumn="0" w:oddVBand="0" w:evenVBand="0" w:oddHBand="0" w:evenHBand="0" w:firstRowFirstColumn="0" w:firstRowLastColumn="0" w:lastRowFirstColumn="0" w:lastRowLastColumn="0"/>
            </w:pPr>
            <w:r>
              <w:rPr>
                <w:rFonts w:cs="Gautami"/>
                <w:color w:val="000000"/>
              </w:rPr>
              <w:t>186</w:t>
            </w:r>
          </w:p>
        </w:tc>
        <w:tc>
          <w:tcPr>
            <w:tcW w:w="1026" w:type="dxa"/>
            <w:vAlign w:val="top"/>
          </w:tcPr>
          <w:p w:rsidR="00881D72" w:rsidRDefault="00881D72" w:rsidP="004C204D">
            <w:pPr>
              <w:pStyle w:val="AERbodytext"/>
              <w:jc w:val="left"/>
              <w:cnfStyle w:val="000000000000" w:firstRow="0" w:lastRow="0" w:firstColumn="0" w:lastColumn="0" w:oddVBand="0" w:evenVBand="0" w:oddHBand="0" w:evenHBand="0" w:firstRowFirstColumn="0" w:firstRowLastColumn="0" w:lastRowFirstColumn="0" w:lastRowLastColumn="0"/>
            </w:pPr>
            <w:r>
              <w:rPr>
                <w:rFonts w:cs="Gautami"/>
                <w:color w:val="000000"/>
              </w:rPr>
              <w:t>155.9</w:t>
            </w:r>
          </w:p>
        </w:tc>
        <w:tc>
          <w:tcPr>
            <w:tcW w:w="1265" w:type="dxa"/>
            <w:vAlign w:val="top"/>
          </w:tcPr>
          <w:p w:rsidR="00881D72" w:rsidRPr="00C659EC" w:rsidRDefault="00881D72" w:rsidP="004C204D">
            <w:pPr>
              <w:pStyle w:val="AERbodytext"/>
              <w:jc w:val="left"/>
              <w:cnfStyle w:val="000000000000" w:firstRow="0" w:lastRow="0" w:firstColumn="0" w:lastColumn="0" w:oddVBand="0" w:evenVBand="0" w:oddHBand="0" w:evenHBand="0" w:firstRowFirstColumn="0" w:firstRowLastColumn="0" w:lastRowFirstColumn="0" w:lastRowLastColumn="0"/>
            </w:pPr>
            <w:r>
              <w:rPr>
                <w:rFonts w:cs="Gautami"/>
                <w:color w:val="000000"/>
              </w:rPr>
              <w:t>30.1</w:t>
            </w:r>
          </w:p>
        </w:tc>
        <w:tc>
          <w:tcPr>
            <w:tcW w:w="992" w:type="dxa"/>
            <w:vAlign w:val="top"/>
          </w:tcPr>
          <w:p w:rsidR="00881D72" w:rsidRPr="00C659EC" w:rsidRDefault="00881D72" w:rsidP="004C204D">
            <w:pPr>
              <w:pStyle w:val="AERbodytext"/>
              <w:jc w:val="left"/>
              <w:cnfStyle w:val="000000000000" w:firstRow="0" w:lastRow="0" w:firstColumn="0" w:lastColumn="0" w:oddVBand="0" w:evenVBand="0" w:oddHBand="0" w:evenHBand="0" w:firstRowFirstColumn="0" w:firstRowLastColumn="0" w:lastRowFirstColumn="0" w:lastRowLastColumn="0"/>
            </w:pPr>
            <w:r>
              <w:rPr>
                <w:rFonts w:cs="Gautami"/>
                <w:b/>
                <w:bCs/>
                <w:color w:val="000000"/>
              </w:rPr>
              <w:t>$2.01</w:t>
            </w:r>
          </w:p>
        </w:tc>
        <w:tc>
          <w:tcPr>
            <w:tcW w:w="1701" w:type="dxa"/>
            <w:gridSpan w:val="2"/>
            <w:vAlign w:val="top"/>
          </w:tcPr>
          <w:p w:rsidR="00881D72" w:rsidRPr="00C659EC" w:rsidRDefault="00881D72" w:rsidP="004C204D">
            <w:pPr>
              <w:pStyle w:val="AERbodytext"/>
              <w:jc w:val="center"/>
              <w:cnfStyle w:val="000000000000" w:firstRow="0" w:lastRow="0" w:firstColumn="0" w:lastColumn="0" w:oddVBand="0" w:evenVBand="0" w:oddHBand="0" w:evenHBand="0" w:firstRowFirstColumn="0" w:firstRowLastColumn="0" w:lastRowFirstColumn="0" w:lastRowLastColumn="0"/>
              <w:rPr>
                <w:rStyle w:val="AERtextbold"/>
              </w:rPr>
            </w:pPr>
            <w:r>
              <w:rPr>
                <w:rFonts w:cs="Gautami"/>
                <w:b/>
                <w:bCs/>
                <w:color w:val="000000"/>
              </w:rPr>
              <w:t>$9.85</w:t>
            </w:r>
          </w:p>
        </w:tc>
        <w:tc>
          <w:tcPr>
            <w:tcW w:w="1678" w:type="dxa"/>
            <w:vAlign w:val="top"/>
          </w:tcPr>
          <w:p w:rsidR="00881D72" w:rsidRPr="00B51776" w:rsidRDefault="00881D72" w:rsidP="004C204D">
            <w:pPr>
              <w:pStyle w:val="AERbodytext"/>
              <w:jc w:val="left"/>
              <w:cnfStyle w:val="000000000000" w:firstRow="0" w:lastRow="0" w:firstColumn="0" w:lastColumn="0" w:oddVBand="0" w:evenVBand="0" w:oddHBand="0" w:evenHBand="0" w:firstRowFirstColumn="0" w:firstRowLastColumn="0" w:lastRowFirstColumn="0" w:lastRowLastColumn="0"/>
              <w:rPr>
                <w:rStyle w:val="AERtextbold"/>
              </w:rPr>
            </w:pPr>
            <w:r>
              <w:rPr>
                <w:rFonts w:cs="Gautami"/>
                <w:b/>
                <w:bCs/>
                <w:color w:val="000000"/>
              </w:rPr>
              <w:t>7.0</w:t>
            </w:r>
          </w:p>
        </w:tc>
      </w:tr>
      <w:tr w:rsidR="002B6D7E" w:rsidRPr="00C659EC" w:rsidTr="004C20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Align w:val="top"/>
          </w:tcPr>
          <w:p w:rsidR="00881D72" w:rsidRDefault="00881D72" w:rsidP="004C204D">
            <w:pPr>
              <w:pStyle w:val="AERbodytext"/>
              <w:jc w:val="left"/>
            </w:pPr>
            <w:r>
              <w:rPr>
                <w:rFonts w:cs="Gautami"/>
                <w:color w:val="000000"/>
              </w:rPr>
              <w:t>D-2</w:t>
            </w:r>
          </w:p>
        </w:tc>
        <w:tc>
          <w:tcPr>
            <w:tcW w:w="1134" w:type="dxa"/>
            <w:vAlign w:val="top"/>
          </w:tcPr>
          <w:p w:rsidR="00881D72" w:rsidRPr="00C659EC" w:rsidRDefault="00881D72" w:rsidP="004C204D">
            <w:pPr>
              <w:pStyle w:val="AERbodytext"/>
              <w:jc w:val="left"/>
              <w:cnfStyle w:val="000000010000" w:firstRow="0" w:lastRow="0" w:firstColumn="0" w:lastColumn="0" w:oddVBand="0" w:evenVBand="0" w:oddHBand="0" w:evenHBand="1" w:firstRowFirstColumn="0" w:firstRowLastColumn="0" w:lastRowFirstColumn="0" w:lastRowLastColumn="0"/>
            </w:pPr>
            <w:r>
              <w:rPr>
                <w:rFonts w:cs="Gautami"/>
                <w:color w:val="000000"/>
              </w:rPr>
              <w:t>186</w:t>
            </w:r>
          </w:p>
        </w:tc>
        <w:tc>
          <w:tcPr>
            <w:tcW w:w="1026" w:type="dxa"/>
            <w:vAlign w:val="top"/>
          </w:tcPr>
          <w:p w:rsidR="00881D72" w:rsidRDefault="00881D72" w:rsidP="004C204D">
            <w:pPr>
              <w:pStyle w:val="AERbodytext"/>
              <w:jc w:val="left"/>
              <w:cnfStyle w:val="000000010000" w:firstRow="0" w:lastRow="0" w:firstColumn="0" w:lastColumn="0" w:oddVBand="0" w:evenVBand="0" w:oddHBand="0" w:evenHBand="1" w:firstRowFirstColumn="0" w:firstRowLastColumn="0" w:lastRowFirstColumn="0" w:lastRowLastColumn="0"/>
            </w:pPr>
            <w:r>
              <w:rPr>
                <w:rFonts w:cs="Gautami"/>
                <w:color w:val="000000"/>
              </w:rPr>
              <w:t>155.6</w:t>
            </w:r>
          </w:p>
        </w:tc>
        <w:tc>
          <w:tcPr>
            <w:tcW w:w="1265" w:type="dxa"/>
            <w:vAlign w:val="top"/>
          </w:tcPr>
          <w:p w:rsidR="00881D72" w:rsidRPr="00C659EC" w:rsidRDefault="00881D72" w:rsidP="004C204D">
            <w:pPr>
              <w:pStyle w:val="AERbodytext"/>
              <w:jc w:val="left"/>
              <w:cnfStyle w:val="000000010000" w:firstRow="0" w:lastRow="0" w:firstColumn="0" w:lastColumn="0" w:oddVBand="0" w:evenVBand="0" w:oddHBand="0" w:evenHBand="1" w:firstRowFirstColumn="0" w:firstRowLastColumn="0" w:lastRowFirstColumn="0" w:lastRowLastColumn="0"/>
            </w:pPr>
            <w:r>
              <w:rPr>
                <w:rFonts w:cs="Gautami"/>
                <w:color w:val="000000"/>
              </w:rPr>
              <w:t>30.4</w:t>
            </w:r>
          </w:p>
        </w:tc>
        <w:tc>
          <w:tcPr>
            <w:tcW w:w="992" w:type="dxa"/>
            <w:vAlign w:val="top"/>
          </w:tcPr>
          <w:p w:rsidR="00881D72" w:rsidRPr="00C659EC" w:rsidRDefault="00881D72" w:rsidP="004C204D">
            <w:pPr>
              <w:pStyle w:val="AERbodytext"/>
              <w:jc w:val="left"/>
              <w:cnfStyle w:val="000000010000" w:firstRow="0" w:lastRow="0" w:firstColumn="0" w:lastColumn="0" w:oddVBand="0" w:evenVBand="0" w:oddHBand="0" w:evenHBand="1" w:firstRowFirstColumn="0" w:firstRowLastColumn="0" w:lastRowFirstColumn="0" w:lastRowLastColumn="0"/>
            </w:pPr>
            <w:r>
              <w:rPr>
                <w:rFonts w:cs="Gautami"/>
                <w:b/>
                <w:bCs/>
                <w:color w:val="000000"/>
              </w:rPr>
              <w:t>$1.77</w:t>
            </w:r>
          </w:p>
        </w:tc>
        <w:tc>
          <w:tcPr>
            <w:tcW w:w="1701" w:type="dxa"/>
            <w:gridSpan w:val="2"/>
            <w:vAlign w:val="top"/>
          </w:tcPr>
          <w:p w:rsidR="00881D72" w:rsidRPr="00C659EC" w:rsidRDefault="00881D72" w:rsidP="004C204D">
            <w:pPr>
              <w:pStyle w:val="AERbodytext"/>
              <w:jc w:val="center"/>
              <w:cnfStyle w:val="000000010000" w:firstRow="0" w:lastRow="0" w:firstColumn="0" w:lastColumn="0" w:oddVBand="0" w:evenVBand="0" w:oddHBand="0" w:evenHBand="1" w:firstRowFirstColumn="0" w:firstRowLastColumn="0" w:lastRowFirstColumn="0" w:lastRowLastColumn="0"/>
              <w:rPr>
                <w:rStyle w:val="AERtextbold"/>
              </w:rPr>
            </w:pPr>
            <w:r>
              <w:rPr>
                <w:rFonts w:cs="Gautami"/>
                <w:b/>
                <w:bCs/>
                <w:color w:val="000000"/>
              </w:rPr>
              <w:t>$9.85</w:t>
            </w:r>
          </w:p>
        </w:tc>
        <w:tc>
          <w:tcPr>
            <w:tcW w:w="1678" w:type="dxa"/>
            <w:vAlign w:val="top"/>
          </w:tcPr>
          <w:p w:rsidR="00881D72" w:rsidRPr="00B51776" w:rsidRDefault="00881D72" w:rsidP="004C204D">
            <w:pPr>
              <w:pStyle w:val="AERbodytext"/>
              <w:jc w:val="left"/>
              <w:cnfStyle w:val="000000010000" w:firstRow="0" w:lastRow="0" w:firstColumn="0" w:lastColumn="0" w:oddVBand="0" w:evenVBand="0" w:oddHBand="0" w:evenHBand="1" w:firstRowFirstColumn="0" w:firstRowLastColumn="0" w:lastRowFirstColumn="0" w:lastRowLastColumn="0"/>
              <w:rPr>
                <w:rStyle w:val="AERtextbold"/>
              </w:rPr>
            </w:pPr>
            <w:r>
              <w:rPr>
                <w:rFonts w:cs="Gautami"/>
                <w:b/>
                <w:bCs/>
                <w:color w:val="000000"/>
              </w:rPr>
              <w:t>6.7</w:t>
            </w:r>
          </w:p>
        </w:tc>
      </w:tr>
      <w:tr w:rsidR="00881D72" w:rsidRPr="00C659EC" w:rsidTr="005B0EEA">
        <w:trPr>
          <w:trHeight w:val="507"/>
        </w:trPr>
        <w:tc>
          <w:tcPr>
            <w:cnfStyle w:val="001000000000" w:firstRow="0" w:lastRow="0" w:firstColumn="1" w:lastColumn="0" w:oddVBand="0" w:evenVBand="0" w:oddHBand="0" w:evenHBand="0" w:firstRowFirstColumn="0" w:firstRowLastColumn="0" w:lastRowFirstColumn="0" w:lastRowLastColumn="0"/>
            <w:tcW w:w="959" w:type="dxa"/>
            <w:vAlign w:val="top"/>
          </w:tcPr>
          <w:p w:rsidR="00881D72" w:rsidRDefault="00881D72" w:rsidP="004C204D">
            <w:pPr>
              <w:pStyle w:val="AERbodytext"/>
              <w:jc w:val="left"/>
            </w:pPr>
            <w:r>
              <w:rPr>
                <w:rFonts w:cs="Gautami"/>
                <w:color w:val="000000"/>
              </w:rPr>
              <w:t>D-1</w:t>
            </w:r>
          </w:p>
        </w:tc>
        <w:tc>
          <w:tcPr>
            <w:tcW w:w="1134" w:type="dxa"/>
            <w:vAlign w:val="top"/>
          </w:tcPr>
          <w:p w:rsidR="00881D72" w:rsidRPr="00C659EC" w:rsidRDefault="00881D72" w:rsidP="004C204D">
            <w:pPr>
              <w:pStyle w:val="AERbodytext"/>
              <w:jc w:val="left"/>
              <w:cnfStyle w:val="000000000000" w:firstRow="0" w:lastRow="0" w:firstColumn="0" w:lastColumn="0" w:oddVBand="0" w:evenVBand="0" w:oddHBand="0" w:evenHBand="0" w:firstRowFirstColumn="0" w:firstRowLastColumn="0" w:lastRowFirstColumn="0" w:lastRowLastColumn="0"/>
            </w:pPr>
            <w:r>
              <w:rPr>
                <w:rFonts w:cs="Gautami"/>
                <w:color w:val="000000"/>
              </w:rPr>
              <w:t>186</w:t>
            </w:r>
          </w:p>
        </w:tc>
        <w:tc>
          <w:tcPr>
            <w:tcW w:w="1026" w:type="dxa"/>
            <w:vAlign w:val="top"/>
          </w:tcPr>
          <w:p w:rsidR="00881D72" w:rsidRDefault="00881D72" w:rsidP="004C204D">
            <w:pPr>
              <w:pStyle w:val="AERbodytext"/>
              <w:jc w:val="left"/>
              <w:cnfStyle w:val="000000000000" w:firstRow="0" w:lastRow="0" w:firstColumn="0" w:lastColumn="0" w:oddVBand="0" w:evenVBand="0" w:oddHBand="0" w:evenHBand="0" w:firstRowFirstColumn="0" w:firstRowLastColumn="0" w:lastRowFirstColumn="0" w:lastRowLastColumn="0"/>
            </w:pPr>
            <w:r>
              <w:rPr>
                <w:rFonts w:cs="Gautami"/>
                <w:color w:val="000000"/>
              </w:rPr>
              <w:t>155.6</w:t>
            </w:r>
          </w:p>
        </w:tc>
        <w:tc>
          <w:tcPr>
            <w:tcW w:w="1265" w:type="dxa"/>
            <w:vAlign w:val="top"/>
          </w:tcPr>
          <w:p w:rsidR="00881D72" w:rsidRPr="00C659EC" w:rsidRDefault="00881D72" w:rsidP="004C204D">
            <w:pPr>
              <w:pStyle w:val="AERbodytext"/>
              <w:jc w:val="left"/>
              <w:cnfStyle w:val="000000000000" w:firstRow="0" w:lastRow="0" w:firstColumn="0" w:lastColumn="0" w:oddVBand="0" w:evenVBand="0" w:oddHBand="0" w:evenHBand="0" w:firstRowFirstColumn="0" w:firstRowLastColumn="0" w:lastRowFirstColumn="0" w:lastRowLastColumn="0"/>
            </w:pPr>
            <w:r>
              <w:rPr>
                <w:rFonts w:cs="Gautami"/>
                <w:color w:val="000000"/>
              </w:rPr>
              <w:t>30.4</w:t>
            </w:r>
          </w:p>
        </w:tc>
        <w:tc>
          <w:tcPr>
            <w:tcW w:w="992" w:type="dxa"/>
            <w:vAlign w:val="top"/>
          </w:tcPr>
          <w:p w:rsidR="00881D72" w:rsidRPr="00C659EC" w:rsidRDefault="00881D72" w:rsidP="004C204D">
            <w:pPr>
              <w:pStyle w:val="AERbodytext"/>
              <w:jc w:val="left"/>
              <w:cnfStyle w:val="000000000000" w:firstRow="0" w:lastRow="0" w:firstColumn="0" w:lastColumn="0" w:oddVBand="0" w:evenVBand="0" w:oddHBand="0" w:evenHBand="0" w:firstRowFirstColumn="0" w:firstRowLastColumn="0" w:lastRowFirstColumn="0" w:lastRowLastColumn="0"/>
            </w:pPr>
            <w:r>
              <w:rPr>
                <w:rFonts w:cs="Gautami"/>
                <w:b/>
                <w:bCs/>
                <w:color w:val="000000"/>
              </w:rPr>
              <w:t>$2.28</w:t>
            </w:r>
          </w:p>
        </w:tc>
        <w:tc>
          <w:tcPr>
            <w:tcW w:w="1701" w:type="dxa"/>
            <w:gridSpan w:val="2"/>
            <w:vAlign w:val="top"/>
          </w:tcPr>
          <w:p w:rsidR="00881D72" w:rsidRPr="00C659EC" w:rsidRDefault="00881D72" w:rsidP="004C204D">
            <w:pPr>
              <w:pStyle w:val="AERbodytext"/>
              <w:jc w:val="center"/>
              <w:cnfStyle w:val="000000000000" w:firstRow="0" w:lastRow="0" w:firstColumn="0" w:lastColumn="0" w:oddVBand="0" w:evenVBand="0" w:oddHBand="0" w:evenHBand="0" w:firstRowFirstColumn="0" w:firstRowLastColumn="0" w:lastRowFirstColumn="0" w:lastRowLastColumn="0"/>
              <w:rPr>
                <w:rStyle w:val="AERtextbold"/>
              </w:rPr>
            </w:pPr>
            <w:r>
              <w:rPr>
                <w:rFonts w:cs="Gautami"/>
                <w:b/>
                <w:bCs/>
                <w:color w:val="000000"/>
              </w:rPr>
              <w:t>$2.70</w:t>
            </w:r>
          </w:p>
        </w:tc>
        <w:tc>
          <w:tcPr>
            <w:tcW w:w="1678" w:type="dxa"/>
            <w:vAlign w:val="top"/>
          </w:tcPr>
          <w:p w:rsidR="00881D72" w:rsidRPr="00B51776" w:rsidRDefault="00881D72" w:rsidP="004C204D">
            <w:pPr>
              <w:pStyle w:val="AERbodytext"/>
              <w:jc w:val="left"/>
              <w:cnfStyle w:val="000000000000" w:firstRow="0" w:lastRow="0" w:firstColumn="0" w:lastColumn="0" w:oddVBand="0" w:evenVBand="0" w:oddHBand="0" w:evenHBand="0" w:firstRowFirstColumn="0" w:firstRowLastColumn="0" w:lastRowFirstColumn="0" w:lastRowLastColumn="0"/>
              <w:rPr>
                <w:rStyle w:val="AERtextbold"/>
              </w:rPr>
            </w:pPr>
            <w:r>
              <w:rPr>
                <w:rFonts w:cs="Gautami"/>
                <w:b/>
                <w:bCs/>
                <w:color w:val="000000"/>
              </w:rPr>
              <w:t>6.6</w:t>
            </w:r>
          </w:p>
        </w:tc>
      </w:tr>
    </w:tbl>
    <w:p w:rsidR="00DB69B1" w:rsidRPr="000E097C" w:rsidRDefault="00DB69B1" w:rsidP="008A1109">
      <w:pPr>
        <w:pStyle w:val="AERnumberedlistfirststyle"/>
        <w:numPr>
          <w:ilvl w:val="0"/>
          <w:numId w:val="0"/>
        </w:numPr>
        <w:spacing w:after="0"/>
        <w:rPr>
          <w:rFonts w:ascii="Arial" w:hAnsi="Arial" w:cs="Arial"/>
          <w:b/>
          <w:szCs w:val="20"/>
        </w:rPr>
      </w:pPr>
    </w:p>
    <w:p w:rsidR="00345EE1" w:rsidRDefault="00774B28" w:rsidP="00345EE1">
      <w:pPr>
        <w:pStyle w:val="AERnumberedlistfirststyle"/>
        <w:numPr>
          <w:ilvl w:val="0"/>
          <w:numId w:val="0"/>
        </w:numPr>
        <w:spacing w:after="0"/>
      </w:pPr>
      <w:r>
        <w:t>F</w:t>
      </w:r>
      <w:r w:rsidR="008A1109">
        <w:t xml:space="preserve">igure 4 </w:t>
      </w:r>
      <w:r w:rsidR="00BD7647">
        <w:t xml:space="preserve">highlights </w:t>
      </w:r>
      <w:r w:rsidR="00EF556E">
        <w:t>how</w:t>
      </w:r>
      <w:r w:rsidR="005C5D03">
        <w:t xml:space="preserve"> t</w:t>
      </w:r>
      <w:r w:rsidR="00D14C4C">
        <w:t>he reduced capacity</w:t>
      </w:r>
      <w:r>
        <w:t xml:space="preserve"> contributed to</w:t>
      </w:r>
      <w:r w:rsidR="00CE28EE">
        <w:t xml:space="preserve"> </w:t>
      </w:r>
      <w:r w:rsidR="00D14C4C">
        <w:t xml:space="preserve">higher </w:t>
      </w:r>
      <w:r w:rsidR="007A0042">
        <w:t xml:space="preserve">provisional </w:t>
      </w:r>
      <w:r w:rsidR="00D14C4C">
        <w:t>prices for the D</w:t>
      </w:r>
      <w:r w:rsidR="00BD7647">
        <w:noBreakHyphen/>
      </w:r>
      <w:r w:rsidR="00D14C4C">
        <w:t>3 and D-2 schedule</w:t>
      </w:r>
      <w:r w:rsidR="001B0AFE">
        <w:t>s</w:t>
      </w:r>
      <w:r w:rsidR="00D14C4C">
        <w:t xml:space="preserve"> than otherwise would have occurred</w:t>
      </w:r>
      <w:r w:rsidR="00CE28EE">
        <w:t xml:space="preserve"> absent the constraint</w:t>
      </w:r>
      <w:r w:rsidR="00345EE1">
        <w:t xml:space="preserve">. With the capacity limit restricting additional volumes </w:t>
      </w:r>
      <w:r w:rsidR="002B6D7E">
        <w:t>from being scheduled</w:t>
      </w:r>
      <w:r w:rsidR="00345EE1">
        <w:t xml:space="preserve">, $9.85/GJ bids set the D-3 and D-2 provisional prices. </w:t>
      </w:r>
      <w:r w:rsidR="00EF556E">
        <w:t xml:space="preserve"> </w:t>
      </w:r>
      <w:r w:rsidR="00321FFF">
        <w:t>F</w:t>
      </w:r>
      <w:r w:rsidR="00345EE1">
        <w:t xml:space="preserve">or the D-1 schedule, </w:t>
      </w:r>
      <w:r w:rsidR="00321FFF">
        <w:t xml:space="preserve">however, </w:t>
      </w:r>
      <w:r w:rsidR="00345EE1">
        <w:t xml:space="preserve">4.9 TJ of gas was rebid from $9.85/GJ down to a lower bid price. Following this rebid </w:t>
      </w:r>
      <w:r w:rsidR="00EF556E">
        <w:t>(</w:t>
      </w:r>
      <w:r w:rsidR="00345EE1">
        <w:t xml:space="preserve">and </w:t>
      </w:r>
      <w:r w:rsidR="00EF556E">
        <w:t>re</w:t>
      </w:r>
      <w:r w:rsidR="00345EE1">
        <w:t>offers</w:t>
      </w:r>
      <w:r w:rsidR="00EF556E">
        <w:t>)</w:t>
      </w:r>
      <w:proofErr w:type="gramStart"/>
      <w:r w:rsidR="00345EE1">
        <w:t>,</w:t>
      </w:r>
      <w:proofErr w:type="gramEnd"/>
      <w:r w:rsidR="00345EE1">
        <w:t xml:space="preserve"> the resulting ex ante price was set at the price of the last partially cleared bid of $2.70/GJ. </w:t>
      </w:r>
      <w:r w:rsidR="007A0042">
        <w:t xml:space="preserve"> </w:t>
      </w:r>
      <w:r w:rsidR="00345EE1">
        <w:t xml:space="preserve">This led to a </w:t>
      </w:r>
      <w:r w:rsidR="00CE28EE">
        <w:t xml:space="preserve">change </w:t>
      </w:r>
      <w:r w:rsidR="00345EE1">
        <w:t>between the D</w:t>
      </w:r>
      <w:r w:rsidR="00345EE1">
        <w:noBreakHyphen/>
        <w:t>2 and D</w:t>
      </w:r>
      <w:r w:rsidR="00345EE1">
        <w:noBreakHyphen/>
      </w:r>
      <w:r w:rsidR="00EF556E">
        <w:t>1</w:t>
      </w:r>
      <w:r w:rsidR="007A0042">
        <w:t xml:space="preserve"> price</w:t>
      </w:r>
      <w:r w:rsidR="00EF556E">
        <w:t xml:space="preserve"> of $7.15/GJ triggering this price event report.</w:t>
      </w:r>
    </w:p>
    <w:p w:rsidR="00BF3839" w:rsidRDefault="00BF3839" w:rsidP="00D14C4C">
      <w:pPr>
        <w:pStyle w:val="AERnumberedlistfirststyle"/>
        <w:numPr>
          <w:ilvl w:val="0"/>
          <w:numId w:val="0"/>
        </w:numPr>
        <w:spacing w:after="0"/>
        <w:rPr>
          <w:rFonts w:ascii="Arial" w:hAnsi="Arial" w:cs="Arial"/>
          <w:b/>
          <w:szCs w:val="20"/>
        </w:rPr>
      </w:pPr>
    </w:p>
    <w:p w:rsidR="00D14C4C" w:rsidRPr="000E097C" w:rsidRDefault="00D14C4C" w:rsidP="00D14C4C">
      <w:pPr>
        <w:pStyle w:val="AERnumberedlistfirststyle"/>
        <w:numPr>
          <w:ilvl w:val="0"/>
          <w:numId w:val="0"/>
        </w:numPr>
        <w:spacing w:after="0"/>
        <w:rPr>
          <w:rFonts w:ascii="Arial" w:hAnsi="Arial" w:cs="Arial"/>
          <w:b/>
          <w:szCs w:val="20"/>
        </w:rPr>
      </w:pPr>
      <w:r>
        <w:rPr>
          <w:rFonts w:ascii="Arial" w:hAnsi="Arial" w:cs="Arial"/>
          <w:b/>
          <w:szCs w:val="20"/>
        </w:rPr>
        <w:t xml:space="preserve">Figure </w:t>
      </w:r>
      <w:r w:rsidR="008A1109">
        <w:rPr>
          <w:rFonts w:ascii="Arial" w:hAnsi="Arial" w:cs="Arial"/>
          <w:b/>
          <w:szCs w:val="20"/>
        </w:rPr>
        <w:t>4</w:t>
      </w:r>
      <w:r>
        <w:rPr>
          <w:rFonts w:ascii="Arial" w:hAnsi="Arial" w:cs="Arial"/>
          <w:b/>
          <w:szCs w:val="20"/>
        </w:rPr>
        <w:t xml:space="preserve">:     </w:t>
      </w:r>
      <w:r w:rsidRPr="00D14C4C">
        <w:rPr>
          <w:rFonts w:ascii="Arial" w:hAnsi="Arial" w:cs="Arial"/>
          <w:b/>
          <w:szCs w:val="20"/>
        </w:rPr>
        <w:t xml:space="preserve">Reduced </w:t>
      </w:r>
      <w:r w:rsidR="00321FFF">
        <w:rPr>
          <w:rFonts w:ascii="Arial" w:hAnsi="Arial" w:cs="Arial"/>
          <w:b/>
          <w:szCs w:val="20"/>
        </w:rPr>
        <w:t>p</w:t>
      </w:r>
      <w:r w:rsidRPr="00D14C4C">
        <w:rPr>
          <w:rFonts w:ascii="Arial" w:hAnsi="Arial" w:cs="Arial"/>
          <w:b/>
          <w:szCs w:val="20"/>
        </w:rPr>
        <w:t xml:space="preserve">ipeline </w:t>
      </w:r>
      <w:r w:rsidR="00321FFF">
        <w:rPr>
          <w:rFonts w:ascii="Arial" w:hAnsi="Arial" w:cs="Arial"/>
          <w:b/>
          <w:szCs w:val="20"/>
        </w:rPr>
        <w:t>c</w:t>
      </w:r>
      <w:r w:rsidRPr="00D14C4C">
        <w:rPr>
          <w:rFonts w:ascii="Arial" w:hAnsi="Arial" w:cs="Arial"/>
          <w:b/>
          <w:szCs w:val="20"/>
        </w:rPr>
        <w:t xml:space="preserve">apacity affecting deliveries </w:t>
      </w:r>
      <w:r>
        <w:rPr>
          <w:rFonts w:ascii="Arial" w:hAnsi="Arial" w:cs="Arial"/>
          <w:b/>
          <w:szCs w:val="20"/>
        </w:rPr>
        <w:t>and prices on 7 July</w:t>
      </w:r>
      <w:r w:rsidR="00BF3839">
        <w:rPr>
          <w:rFonts w:ascii="Arial" w:hAnsi="Arial" w:cs="Arial"/>
          <w:b/>
          <w:szCs w:val="20"/>
        </w:rPr>
        <w:t>*</w:t>
      </w:r>
    </w:p>
    <w:p w:rsidR="000E097C" w:rsidRDefault="000E097C" w:rsidP="00D14C4C">
      <w:pPr>
        <w:pStyle w:val="AERnumberedlistfirststyle"/>
        <w:numPr>
          <w:ilvl w:val="0"/>
          <w:numId w:val="0"/>
        </w:numPr>
        <w:spacing w:after="0"/>
      </w:pPr>
      <w:r w:rsidRPr="000E097C">
        <w:rPr>
          <w:noProof/>
          <w:lang w:eastAsia="en-AU"/>
        </w:rPr>
        <w:drawing>
          <wp:inline distT="0" distB="0" distL="0" distR="0" wp14:anchorId="250B5F54" wp14:editId="4054F228">
            <wp:extent cx="5169267" cy="270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1049" cy="2704132"/>
                    </a:xfrm>
                    <a:prstGeom prst="rect">
                      <a:avLst/>
                    </a:prstGeom>
                    <a:noFill/>
                    <a:ln>
                      <a:noFill/>
                    </a:ln>
                  </pic:spPr>
                </pic:pic>
              </a:graphicData>
            </a:graphic>
          </wp:inline>
        </w:drawing>
      </w:r>
    </w:p>
    <w:p w:rsidR="00D14C4C" w:rsidRPr="004C204D" w:rsidRDefault="00BF3839" w:rsidP="00D14C4C">
      <w:pPr>
        <w:pStyle w:val="AERnumberedlistfirststyle"/>
        <w:numPr>
          <w:ilvl w:val="0"/>
          <w:numId w:val="0"/>
        </w:numPr>
        <w:spacing w:after="0"/>
        <w:rPr>
          <w:sz w:val="16"/>
          <w:szCs w:val="16"/>
        </w:rPr>
      </w:pPr>
      <w:r w:rsidRPr="004C204D">
        <w:rPr>
          <w:sz w:val="16"/>
          <w:szCs w:val="16"/>
        </w:rPr>
        <w:t xml:space="preserve">*Not all offers and bids shown </w:t>
      </w:r>
    </w:p>
    <w:p w:rsidR="00D14C4C" w:rsidRDefault="00D14C4C" w:rsidP="00CC71E8">
      <w:pPr>
        <w:pStyle w:val="AERnumberedlistfirststyle"/>
        <w:numPr>
          <w:ilvl w:val="0"/>
          <w:numId w:val="0"/>
        </w:numPr>
        <w:spacing w:after="0"/>
        <w:rPr>
          <w:b/>
        </w:rPr>
      </w:pPr>
    </w:p>
    <w:p w:rsidR="007A0042" w:rsidRDefault="007A0042" w:rsidP="00CC71E8">
      <w:pPr>
        <w:pStyle w:val="AERnumberedlistfirststyle"/>
        <w:numPr>
          <w:ilvl w:val="0"/>
          <w:numId w:val="0"/>
        </w:numPr>
        <w:spacing w:after="0"/>
        <w:rPr>
          <w:b/>
        </w:rPr>
      </w:pPr>
    </w:p>
    <w:p w:rsidR="006F2E77" w:rsidRPr="0002799F" w:rsidRDefault="006F2E77" w:rsidP="00CC71E8">
      <w:pPr>
        <w:pStyle w:val="AERnumberedlistfirststyle"/>
        <w:numPr>
          <w:ilvl w:val="0"/>
          <w:numId w:val="0"/>
        </w:numPr>
        <w:spacing w:after="0"/>
        <w:rPr>
          <w:b/>
        </w:rPr>
      </w:pPr>
      <w:r>
        <w:rPr>
          <w:b/>
        </w:rPr>
        <w:t>Rebidding</w:t>
      </w:r>
    </w:p>
    <w:p w:rsidR="006F2E77" w:rsidRDefault="006F2E77" w:rsidP="00CC71E8">
      <w:pPr>
        <w:pStyle w:val="AERnumberedlistfirststyle"/>
        <w:numPr>
          <w:ilvl w:val="0"/>
          <w:numId w:val="0"/>
        </w:numPr>
        <w:spacing w:after="0"/>
      </w:pPr>
    </w:p>
    <w:p w:rsidR="001406B0" w:rsidRPr="001406B0" w:rsidRDefault="00321FFF" w:rsidP="007A0042">
      <w:pPr>
        <w:pStyle w:val="AERnumberedlistfirststyle"/>
        <w:numPr>
          <w:ilvl w:val="0"/>
          <w:numId w:val="0"/>
        </w:numPr>
        <w:spacing w:after="0"/>
      </w:pPr>
      <w:r>
        <w:t>A</w:t>
      </w:r>
      <w:r w:rsidR="002B6D7E">
        <w:t xml:space="preserve"> </w:t>
      </w:r>
      <w:r w:rsidR="006B6C7E">
        <w:t xml:space="preserve">rebid by Stanwell </w:t>
      </w:r>
      <w:r w:rsidR="00E274B8">
        <w:t>for the</w:t>
      </w:r>
      <w:r w:rsidR="006B6C7E">
        <w:t xml:space="preserve"> D-1</w:t>
      </w:r>
      <w:r w:rsidR="00E274B8">
        <w:t xml:space="preserve"> schedule</w:t>
      </w:r>
      <w:r w:rsidR="002B6D7E">
        <w:t xml:space="preserve"> was influential in </w:t>
      </w:r>
      <w:r w:rsidR="00345EE1">
        <w:t>the</w:t>
      </w:r>
      <w:r w:rsidR="00E274B8">
        <w:t xml:space="preserve"> fall in </w:t>
      </w:r>
      <w:r w:rsidR="007A0042">
        <w:t xml:space="preserve">the ex ante </w:t>
      </w:r>
      <w:r w:rsidR="00E274B8">
        <w:t>price</w:t>
      </w:r>
      <w:r w:rsidR="006B6C7E">
        <w:t>.</w:t>
      </w:r>
      <w:r w:rsidR="0016224B">
        <w:t xml:space="preserve"> This rebid</w:t>
      </w:r>
      <w:r w:rsidR="003B1089">
        <w:t xml:space="preserve"> led to a significant fall in the</w:t>
      </w:r>
      <w:r w:rsidR="00774B28">
        <w:t xml:space="preserve"> marginal </w:t>
      </w:r>
      <w:r w:rsidR="002B6D7E">
        <w:t>bid</w:t>
      </w:r>
      <w:r w:rsidR="003B1089">
        <w:t xml:space="preserve"> </w:t>
      </w:r>
      <w:r w:rsidR="002B6D7E">
        <w:t xml:space="preserve">price </w:t>
      </w:r>
      <w:r w:rsidR="003B1089">
        <w:t>at the pipeline capacity limit</w:t>
      </w:r>
      <w:r w:rsidR="00DC3433">
        <w:t>.</w:t>
      </w:r>
      <w:r w:rsidR="00E274B8">
        <w:t xml:space="preserve"> </w:t>
      </w:r>
      <w:r w:rsidR="00E274B8" w:rsidRPr="002B6D7E">
        <w:t>Other participants did not</w:t>
      </w:r>
      <w:r w:rsidR="00C1268E" w:rsidRPr="002B6D7E">
        <w:t xml:space="preserve"> significantly</w:t>
      </w:r>
      <w:r w:rsidR="00E274B8" w:rsidRPr="002B6D7E">
        <w:t xml:space="preserve"> change their backhaul bid prices.</w:t>
      </w:r>
      <w:r w:rsidR="007A0042">
        <w:t xml:space="preserve"> </w:t>
      </w:r>
      <w:r w:rsidR="00F166AB">
        <w:t>Stanwell has noted to the AER that it changed its bids (and offers) for the D-1 schedule in response to a potential exposure to capacity payments (discussed below) for as available gas quantities</w:t>
      </w:r>
      <w:r w:rsidR="00EF556E">
        <w:t xml:space="preserve"> it </w:t>
      </w:r>
      <w:r w:rsidR="007A0042">
        <w:t xml:space="preserve">had </w:t>
      </w:r>
      <w:r w:rsidR="00EF556E">
        <w:t>scheduled</w:t>
      </w:r>
      <w:r w:rsidR="00F166AB">
        <w:t xml:space="preserve"> based on the D-2 provisional schedule.</w:t>
      </w:r>
    </w:p>
    <w:p w:rsidR="00134EED" w:rsidRPr="00900CEB" w:rsidRDefault="00F96525" w:rsidP="004C204D">
      <w:pPr>
        <w:pStyle w:val="AERfigureheading-unnumbered"/>
        <w:numPr>
          <w:ilvl w:val="0"/>
          <w:numId w:val="0"/>
        </w:numPr>
        <w:tabs>
          <w:tab w:val="num" w:pos="1134"/>
        </w:tabs>
        <w:spacing w:before="480"/>
        <w:rPr>
          <w:rFonts w:ascii="Arial" w:hAnsi="Arial" w:cs="Arial"/>
          <w:sz w:val="20"/>
          <w:szCs w:val="20"/>
        </w:rPr>
      </w:pPr>
      <w:r>
        <w:rPr>
          <w:rFonts w:ascii="Arial" w:hAnsi="Arial" w:cs="Arial"/>
          <w:sz w:val="20"/>
          <w:szCs w:val="20"/>
        </w:rPr>
        <w:lastRenderedPageBreak/>
        <w:t xml:space="preserve">Figure 5: </w:t>
      </w:r>
      <w:r w:rsidR="00134EED">
        <w:rPr>
          <w:rFonts w:ascii="Arial" w:hAnsi="Arial" w:cs="Arial"/>
          <w:sz w:val="20"/>
          <w:szCs w:val="20"/>
        </w:rPr>
        <w:t>Change in controllable withdrawal bid quantity/price between schedules</w:t>
      </w:r>
    </w:p>
    <w:p w:rsidR="00134EED" w:rsidRDefault="0002512B" w:rsidP="00134EED">
      <w:pPr>
        <w:pStyle w:val="AERnumberedlistfirststyle"/>
        <w:numPr>
          <w:ilvl w:val="0"/>
          <w:numId w:val="0"/>
        </w:numPr>
        <w:spacing w:after="0" w:line="240" w:lineRule="auto"/>
      </w:pPr>
      <w:r w:rsidRPr="0002512B">
        <w:rPr>
          <w:noProof/>
          <w:lang w:eastAsia="en-AU"/>
        </w:rPr>
        <w:drawing>
          <wp:inline distT="0" distB="0" distL="0" distR="0" wp14:anchorId="15DABDCD" wp14:editId="03B03014">
            <wp:extent cx="5734821" cy="183937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838309"/>
                    </a:xfrm>
                    <a:prstGeom prst="rect">
                      <a:avLst/>
                    </a:prstGeom>
                    <a:noFill/>
                    <a:ln>
                      <a:noFill/>
                    </a:ln>
                  </pic:spPr>
                </pic:pic>
              </a:graphicData>
            </a:graphic>
          </wp:inline>
        </w:drawing>
      </w:r>
    </w:p>
    <w:p w:rsidR="008F12D5" w:rsidRDefault="008F12D5" w:rsidP="0002512B">
      <w:pPr>
        <w:pStyle w:val="AERnumberedlistfirststyle"/>
        <w:keepNext/>
        <w:numPr>
          <w:ilvl w:val="0"/>
          <w:numId w:val="0"/>
        </w:numPr>
        <w:spacing w:after="0"/>
        <w:rPr>
          <w:b/>
        </w:rPr>
      </w:pPr>
    </w:p>
    <w:p w:rsidR="00DC3433" w:rsidRPr="003B73A4" w:rsidRDefault="00D14C4C" w:rsidP="0002512B">
      <w:pPr>
        <w:pStyle w:val="AERnumberedlistfirststyle"/>
        <w:keepNext/>
        <w:numPr>
          <w:ilvl w:val="0"/>
          <w:numId w:val="0"/>
        </w:numPr>
        <w:spacing w:after="0"/>
        <w:rPr>
          <w:b/>
        </w:rPr>
      </w:pPr>
      <w:r w:rsidRPr="005C5D03">
        <w:rPr>
          <w:b/>
        </w:rPr>
        <w:t xml:space="preserve">Capacity </w:t>
      </w:r>
      <w:r w:rsidR="00321FFF">
        <w:rPr>
          <w:b/>
        </w:rPr>
        <w:t>p</w:t>
      </w:r>
      <w:r w:rsidRPr="005C5D03">
        <w:rPr>
          <w:b/>
        </w:rPr>
        <w:t xml:space="preserve">rices and </w:t>
      </w:r>
      <w:r w:rsidR="00321FFF">
        <w:rPr>
          <w:b/>
        </w:rPr>
        <w:t>p</w:t>
      </w:r>
      <w:r w:rsidRPr="005C5D03">
        <w:rPr>
          <w:b/>
        </w:rPr>
        <w:t>ayments</w:t>
      </w:r>
      <w:r w:rsidR="00F96525">
        <w:rPr>
          <w:b/>
        </w:rPr>
        <w:t xml:space="preserve"> </w:t>
      </w:r>
    </w:p>
    <w:p w:rsidR="00DC3433" w:rsidRDefault="00DC3433" w:rsidP="0002512B">
      <w:pPr>
        <w:pStyle w:val="AERnumberedlistfirststyle"/>
        <w:keepNext/>
        <w:numPr>
          <w:ilvl w:val="0"/>
          <w:numId w:val="0"/>
        </w:numPr>
        <w:spacing w:after="0"/>
      </w:pPr>
    </w:p>
    <w:p w:rsidR="00E274B8" w:rsidRDefault="005C5D03" w:rsidP="004C204D">
      <w:pPr>
        <w:pStyle w:val="AERnumberedlistfirststyle"/>
        <w:numPr>
          <w:ilvl w:val="0"/>
          <w:numId w:val="0"/>
        </w:numPr>
        <w:spacing w:after="0"/>
      </w:pPr>
      <w:r w:rsidRPr="00AE22FD">
        <w:t>The reduction in capacity on the RBP led to a number of capacity constraint prices (CCPs</w:t>
      </w:r>
      <w:proofErr w:type="gramStart"/>
      <w:r w:rsidRPr="00AE22FD">
        <w:t>)</w:t>
      </w:r>
      <w:proofErr w:type="gramEnd"/>
      <w:r w:rsidRPr="004C204D">
        <w:rPr>
          <w:rStyle w:val="FootnoteReference"/>
        </w:rPr>
        <w:footnoteReference w:id="7"/>
      </w:r>
      <w:r w:rsidRPr="004C204D">
        <w:rPr>
          <w:rStyle w:val="FootnoteReference"/>
        </w:rPr>
        <w:t xml:space="preserve"> </w:t>
      </w:r>
      <w:r w:rsidR="001357A4">
        <w:t xml:space="preserve">over </w:t>
      </w:r>
      <w:r w:rsidRPr="00AE22FD">
        <w:t>a number of gas days</w:t>
      </w:r>
      <w:r w:rsidR="00F96525">
        <w:t xml:space="preserve"> including</w:t>
      </w:r>
      <w:r w:rsidR="00DB69B1">
        <w:t xml:space="preserve"> </w:t>
      </w:r>
      <w:r w:rsidR="00F96525">
        <w:t>7 July</w:t>
      </w:r>
      <w:r w:rsidRPr="00AE22FD">
        <w:t>.</w:t>
      </w:r>
      <w:r w:rsidR="00774B28" w:rsidRPr="00774B28" w:rsidDel="00D14C4C">
        <w:t xml:space="preserve"> </w:t>
      </w:r>
      <w:r w:rsidR="002B6D7E">
        <w:t>As shown in figure 6</w:t>
      </w:r>
      <w:r w:rsidR="001B0AFE">
        <w:t>,</w:t>
      </w:r>
      <w:r w:rsidR="002B6D7E">
        <w:t xml:space="preserve"> </w:t>
      </w:r>
      <w:r w:rsidR="007A0042">
        <w:t xml:space="preserve">for the provisional schedules </w:t>
      </w:r>
      <w:r w:rsidR="002B6D7E">
        <w:t>t</w:t>
      </w:r>
      <w:r w:rsidR="00F96525">
        <w:t>here were</w:t>
      </w:r>
      <w:r w:rsidR="00DC3433">
        <w:t xml:space="preserve"> </w:t>
      </w:r>
      <w:r w:rsidR="00AD779C">
        <w:t xml:space="preserve">relatively </w:t>
      </w:r>
      <w:r w:rsidR="00DC3433">
        <w:t xml:space="preserve">high </w:t>
      </w:r>
      <w:r w:rsidR="00DB69B1">
        <w:t>CCPs</w:t>
      </w:r>
      <w:r w:rsidR="00DC3433">
        <w:t xml:space="preserve"> due to the large area of separation between the low priced offers and high priced </w:t>
      </w:r>
      <w:r w:rsidR="002B6D7E">
        <w:t xml:space="preserve">bids. </w:t>
      </w:r>
      <w:r w:rsidR="00774B28">
        <w:t>However, t</w:t>
      </w:r>
      <w:r w:rsidR="00DC3433">
        <w:t xml:space="preserve">he capacity price decreased to $0.42/GJ </w:t>
      </w:r>
      <w:r w:rsidR="00AD779C">
        <w:t xml:space="preserve">for </w:t>
      </w:r>
      <w:r w:rsidR="00DC3433">
        <w:t>the ex</w:t>
      </w:r>
      <w:r w:rsidR="00774B28">
        <w:t xml:space="preserve"> ante </w:t>
      </w:r>
      <w:r w:rsidR="00AD779C">
        <w:t xml:space="preserve">schedule </w:t>
      </w:r>
      <w:r w:rsidR="00774B28">
        <w:t>due to rebids.</w:t>
      </w:r>
      <w:r w:rsidR="00F96525">
        <w:t xml:space="preserve"> </w:t>
      </w:r>
    </w:p>
    <w:p w:rsidR="00D14C4C" w:rsidRPr="00D14C4C" w:rsidRDefault="001357A4" w:rsidP="002B6D7E">
      <w:pPr>
        <w:pStyle w:val="AERfigureheading-unnumbered"/>
        <w:numPr>
          <w:ilvl w:val="0"/>
          <w:numId w:val="0"/>
        </w:numPr>
        <w:rPr>
          <w:rFonts w:ascii="Arial" w:hAnsi="Arial" w:cs="Arial"/>
          <w:b w:val="0"/>
          <w:sz w:val="20"/>
          <w:szCs w:val="20"/>
        </w:rPr>
      </w:pPr>
      <w:r>
        <w:rPr>
          <w:rFonts w:ascii="Arial" w:hAnsi="Arial" w:cs="Arial"/>
          <w:sz w:val="20"/>
          <w:szCs w:val="20"/>
        </w:rPr>
        <w:t xml:space="preserve">Figure 6:   </w:t>
      </w:r>
      <w:r w:rsidR="00E274B8" w:rsidRPr="00AC63A7">
        <w:rPr>
          <w:rFonts w:ascii="Arial" w:hAnsi="Arial" w:cs="Arial"/>
          <w:sz w:val="20"/>
          <w:szCs w:val="20"/>
        </w:rPr>
        <w:t xml:space="preserve">Reduced </w:t>
      </w:r>
      <w:r w:rsidR="00321FFF">
        <w:rPr>
          <w:rFonts w:ascii="Arial" w:hAnsi="Arial" w:cs="Arial"/>
          <w:sz w:val="20"/>
          <w:szCs w:val="20"/>
        </w:rPr>
        <w:t>p</w:t>
      </w:r>
      <w:r w:rsidR="00E274B8" w:rsidRPr="00AC63A7">
        <w:rPr>
          <w:rFonts w:ascii="Arial" w:hAnsi="Arial" w:cs="Arial"/>
          <w:sz w:val="20"/>
          <w:szCs w:val="20"/>
        </w:rPr>
        <w:t xml:space="preserve">ipeline </w:t>
      </w:r>
      <w:r w:rsidR="00321FFF">
        <w:rPr>
          <w:rFonts w:ascii="Arial" w:hAnsi="Arial" w:cs="Arial"/>
          <w:sz w:val="20"/>
          <w:szCs w:val="20"/>
        </w:rPr>
        <w:t>c</w:t>
      </w:r>
      <w:r w:rsidR="00E274B8" w:rsidRPr="00AC63A7">
        <w:rPr>
          <w:rFonts w:ascii="Arial" w:hAnsi="Arial" w:cs="Arial"/>
          <w:sz w:val="20"/>
          <w:szCs w:val="20"/>
        </w:rPr>
        <w:t xml:space="preserve">apacity affecting </w:t>
      </w:r>
      <w:r w:rsidR="00321FFF">
        <w:rPr>
          <w:rFonts w:ascii="Arial" w:hAnsi="Arial" w:cs="Arial"/>
          <w:sz w:val="20"/>
          <w:szCs w:val="20"/>
        </w:rPr>
        <w:t>c</w:t>
      </w:r>
      <w:r w:rsidR="00E274B8">
        <w:rPr>
          <w:rFonts w:ascii="Arial" w:hAnsi="Arial" w:cs="Arial"/>
          <w:sz w:val="20"/>
          <w:szCs w:val="20"/>
        </w:rPr>
        <w:t>apacity prices</w:t>
      </w:r>
      <w:r w:rsidR="00E274B8" w:rsidRPr="00AC63A7">
        <w:rPr>
          <w:rFonts w:ascii="Arial" w:hAnsi="Arial" w:cs="Arial"/>
          <w:sz w:val="20"/>
          <w:szCs w:val="20"/>
        </w:rPr>
        <w:t xml:space="preserve"> on 7 J</w:t>
      </w:r>
      <w:r w:rsidR="00E274B8" w:rsidRPr="0002512B">
        <w:rPr>
          <w:rFonts w:ascii="Arial" w:hAnsi="Arial" w:cs="Arial"/>
          <w:sz w:val="20"/>
          <w:szCs w:val="20"/>
        </w:rPr>
        <w:t>ul</w:t>
      </w:r>
      <w:r w:rsidR="00E274B8" w:rsidRPr="0002512B">
        <w:rPr>
          <w:rFonts w:ascii="Gautami" w:hAnsi="Gautami"/>
          <w:sz w:val="20"/>
        </w:rPr>
        <w:t>y</w:t>
      </w:r>
      <w:r w:rsidR="00E274B8" w:rsidRPr="000E097C">
        <w:rPr>
          <w:noProof/>
          <w:lang w:eastAsia="en-AU"/>
        </w:rPr>
        <w:drawing>
          <wp:inline distT="0" distB="0" distL="0" distR="0" wp14:anchorId="05D9C8DF" wp14:editId="0EFBC465">
            <wp:extent cx="5581540" cy="27326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2503" cy="2733100"/>
                    </a:xfrm>
                    <a:prstGeom prst="rect">
                      <a:avLst/>
                    </a:prstGeom>
                    <a:noFill/>
                    <a:ln>
                      <a:noFill/>
                    </a:ln>
                  </pic:spPr>
                </pic:pic>
              </a:graphicData>
            </a:graphic>
          </wp:inline>
        </w:drawing>
      </w:r>
    </w:p>
    <w:p w:rsidR="00624306" w:rsidRDefault="00624306" w:rsidP="00E823E3">
      <w:pPr>
        <w:pStyle w:val="CommentText"/>
      </w:pPr>
      <w:r>
        <w:t xml:space="preserve">The CCP forms part of a </w:t>
      </w:r>
      <w:r w:rsidRPr="00AE22FD" w:rsidDel="00D14C4C">
        <w:t>mechanism used to compensate shippers with firm transportation rights</w:t>
      </w:r>
      <w:r>
        <w:t xml:space="preserve"> when two conditions are met. Firstly, quantities of firm gas are unscheduled because of a constraint and secondly non-firm or as available gas quantities are scheduled (ahead of this firm gas).  </w:t>
      </w:r>
    </w:p>
    <w:p w:rsidR="00E823E3" w:rsidRDefault="007A0042" w:rsidP="00E823E3">
      <w:pPr>
        <w:pStyle w:val="CommentText"/>
        <w:rPr>
          <w:rFonts w:eastAsia="Times New Roman"/>
          <w:szCs w:val="24"/>
        </w:rPr>
      </w:pPr>
      <w:r>
        <w:rPr>
          <w:rFonts w:eastAsia="Times New Roman"/>
          <w:szCs w:val="24"/>
        </w:rPr>
        <w:t xml:space="preserve">Stanwell’s rebidding </w:t>
      </w:r>
      <w:r w:rsidR="00624306">
        <w:rPr>
          <w:rFonts w:eastAsia="Times New Roman"/>
          <w:szCs w:val="24"/>
        </w:rPr>
        <w:t xml:space="preserve">noted above </w:t>
      </w:r>
      <w:r>
        <w:rPr>
          <w:rFonts w:eastAsia="Times New Roman"/>
          <w:szCs w:val="24"/>
        </w:rPr>
        <w:t xml:space="preserve">reduced its exposure to high CCPs it may otherwise have had to pay </w:t>
      </w:r>
      <w:r w:rsidR="00624306">
        <w:rPr>
          <w:rFonts w:eastAsia="Times New Roman"/>
          <w:szCs w:val="24"/>
        </w:rPr>
        <w:t xml:space="preserve">to </w:t>
      </w:r>
      <w:r>
        <w:rPr>
          <w:rFonts w:eastAsia="Times New Roman"/>
          <w:szCs w:val="24"/>
        </w:rPr>
        <w:t>firm shippers</w:t>
      </w:r>
      <w:r w:rsidR="00624306">
        <w:rPr>
          <w:rFonts w:eastAsia="Times New Roman"/>
          <w:szCs w:val="24"/>
        </w:rPr>
        <w:t xml:space="preserve"> at </w:t>
      </w:r>
      <w:r w:rsidR="00CF32AA">
        <w:rPr>
          <w:rFonts w:eastAsia="Times New Roman"/>
          <w:szCs w:val="24"/>
        </w:rPr>
        <w:t xml:space="preserve">a </w:t>
      </w:r>
      <w:r w:rsidR="00624306">
        <w:rPr>
          <w:rFonts w:eastAsia="Times New Roman"/>
          <w:szCs w:val="24"/>
        </w:rPr>
        <w:t xml:space="preserve">relatively high CCP because in the provisional schedules it had </w:t>
      </w:r>
      <w:r w:rsidR="00321FFF">
        <w:rPr>
          <w:rFonts w:eastAsia="Times New Roman"/>
          <w:szCs w:val="24"/>
        </w:rPr>
        <w:t>“</w:t>
      </w:r>
      <w:r w:rsidR="00624306">
        <w:rPr>
          <w:rFonts w:eastAsia="Times New Roman"/>
          <w:szCs w:val="24"/>
        </w:rPr>
        <w:t>as available</w:t>
      </w:r>
      <w:r w:rsidR="00321FFF">
        <w:rPr>
          <w:rFonts w:eastAsia="Times New Roman"/>
          <w:szCs w:val="24"/>
        </w:rPr>
        <w:t>”</w:t>
      </w:r>
      <w:r w:rsidR="00624306">
        <w:rPr>
          <w:rFonts w:eastAsia="Times New Roman"/>
          <w:szCs w:val="24"/>
        </w:rPr>
        <w:t xml:space="preserve"> gas scheduled ahead of firm shippers</w:t>
      </w:r>
      <w:r>
        <w:rPr>
          <w:rFonts w:eastAsia="Times New Roman"/>
          <w:szCs w:val="24"/>
        </w:rPr>
        <w:t>.</w:t>
      </w:r>
    </w:p>
    <w:p w:rsidR="001357A4" w:rsidRDefault="001357A4" w:rsidP="00A24E9A">
      <w:pPr>
        <w:pStyle w:val="Heading1"/>
        <w:numPr>
          <w:ilvl w:val="0"/>
          <w:numId w:val="0"/>
        </w:numPr>
        <w:ind w:hanging="851"/>
      </w:pPr>
      <w:bookmarkStart w:id="31" w:name="_Toc397498718"/>
      <w:r w:rsidRPr="001357A4">
        <w:lastRenderedPageBreak/>
        <w:t xml:space="preserve">3. </w:t>
      </w:r>
      <w:r w:rsidR="00A24E9A">
        <w:tab/>
      </w:r>
      <w:r w:rsidRPr="001357A4">
        <w:t>Conclusion</w:t>
      </w:r>
      <w:bookmarkEnd w:id="31"/>
    </w:p>
    <w:p w:rsidR="002B6D7E" w:rsidRDefault="001357A4" w:rsidP="001357A4">
      <w:pPr>
        <w:pStyle w:val="AERnumberedlistfirststyle"/>
        <w:numPr>
          <w:ilvl w:val="0"/>
          <w:numId w:val="0"/>
        </w:numPr>
        <w:spacing w:after="0" w:line="240" w:lineRule="auto"/>
      </w:pPr>
      <w:r>
        <w:t>Gas can only be scheduled to Brisbane up to the capacity of the RBP</w:t>
      </w:r>
      <w:r w:rsidR="002B6D7E">
        <w:t xml:space="preserve"> determined by APA</w:t>
      </w:r>
      <w:r>
        <w:t xml:space="preserve">. As a result </w:t>
      </w:r>
      <w:r w:rsidR="002B6D7E">
        <w:t xml:space="preserve">of a constraint </w:t>
      </w:r>
      <w:r>
        <w:t>on 7 July</w:t>
      </w:r>
      <w:r w:rsidR="002B6D7E">
        <w:t xml:space="preserve">, </w:t>
      </w:r>
      <w:r>
        <w:t xml:space="preserve">pipeline capacity was insufficient to service </w:t>
      </w:r>
      <w:r w:rsidR="00F166AB">
        <w:t>all demand including controllable withdrawal bids.</w:t>
      </w:r>
    </w:p>
    <w:p w:rsidR="00F166AB" w:rsidRDefault="00F166AB" w:rsidP="001357A4">
      <w:pPr>
        <w:pStyle w:val="AERnumberedlistfirststyle"/>
        <w:numPr>
          <w:ilvl w:val="0"/>
          <w:numId w:val="0"/>
        </w:numPr>
        <w:spacing w:after="0" w:line="240" w:lineRule="auto"/>
      </w:pPr>
    </w:p>
    <w:p w:rsidR="001357A4" w:rsidRDefault="001357A4" w:rsidP="001357A4">
      <w:pPr>
        <w:pStyle w:val="AERnumberedlistfirststyle"/>
        <w:numPr>
          <w:ilvl w:val="0"/>
          <w:numId w:val="0"/>
        </w:numPr>
        <w:spacing w:after="0" w:line="240" w:lineRule="auto"/>
      </w:pPr>
      <w:r>
        <w:t xml:space="preserve">A quantity of controllable </w:t>
      </w:r>
      <w:r w:rsidR="00F166AB">
        <w:t xml:space="preserve">withdrawal </w:t>
      </w:r>
      <w:r>
        <w:t>bid</w:t>
      </w:r>
      <w:r w:rsidR="00F166AB">
        <w:t>s</w:t>
      </w:r>
      <w:r>
        <w:t xml:space="preserve"> at prices </w:t>
      </w:r>
      <w:r w:rsidR="007A0042">
        <w:t xml:space="preserve">higher </w:t>
      </w:r>
      <w:r>
        <w:t>than the capacity constrained market clearing price</w:t>
      </w:r>
      <w:r w:rsidR="007A0042">
        <w:t xml:space="preserve"> </w:t>
      </w:r>
      <w:r>
        <w:t xml:space="preserve">was not scheduled. This is in line with market rules which do not allow forward haul gas to be scheduled beyond the pipeline operator capacity of the pipeline. </w:t>
      </w:r>
    </w:p>
    <w:p w:rsidR="001357A4" w:rsidRDefault="001357A4" w:rsidP="001357A4">
      <w:pPr>
        <w:pStyle w:val="AERnumberedlistfirststyle"/>
        <w:numPr>
          <w:ilvl w:val="0"/>
          <w:numId w:val="0"/>
        </w:numPr>
        <w:spacing w:after="0" w:line="240" w:lineRule="auto"/>
      </w:pPr>
    </w:p>
    <w:p w:rsidR="001357A4" w:rsidRDefault="001357A4" w:rsidP="001357A4">
      <w:pPr>
        <w:pStyle w:val="AERnumberedlistfirststyle"/>
        <w:numPr>
          <w:ilvl w:val="0"/>
          <w:numId w:val="0"/>
        </w:numPr>
        <w:spacing w:after="0" w:line="240" w:lineRule="auto"/>
      </w:pPr>
      <w:r>
        <w:t xml:space="preserve">For the ex-ante schedule, the fall in price appears to have </w:t>
      </w:r>
      <w:r w:rsidR="002B6D7E">
        <w:t xml:space="preserve">been </w:t>
      </w:r>
      <w:r>
        <w:t xml:space="preserve">a </w:t>
      </w:r>
      <w:r w:rsidR="002B6D7E">
        <w:t xml:space="preserve">response to a </w:t>
      </w:r>
      <w:r>
        <w:t xml:space="preserve">high provisional market price </w:t>
      </w:r>
      <w:r w:rsidR="002B6D7E">
        <w:t>given capacity constraints</w:t>
      </w:r>
      <w:r w:rsidR="0002512B">
        <w:t>,</w:t>
      </w:r>
      <w:r w:rsidR="002B6D7E">
        <w:t xml:space="preserve"> </w:t>
      </w:r>
      <w:r>
        <w:t>le</w:t>
      </w:r>
      <w:r w:rsidR="002B6D7E">
        <w:t>a</w:t>
      </w:r>
      <w:r>
        <w:t>d</w:t>
      </w:r>
      <w:r w:rsidR="002B6D7E">
        <w:t>ing</w:t>
      </w:r>
      <w:r>
        <w:t xml:space="preserve"> to rebidding which reduced the </w:t>
      </w:r>
      <w:r w:rsidR="009743AB">
        <w:t xml:space="preserve">D-1 </w:t>
      </w:r>
      <w:r>
        <w:t xml:space="preserve">ex-ante price. </w:t>
      </w:r>
      <w:r w:rsidR="002B590F">
        <w:t>Based on information provided to the AER</w:t>
      </w:r>
      <w:r w:rsidR="00CF32AA">
        <w:t>,</w:t>
      </w:r>
      <w:r w:rsidR="002B590F">
        <w:t xml:space="preserve"> the $7.15/GJ fall in price for this gas day </w:t>
      </w:r>
      <w:r w:rsidR="0022670F">
        <w:t xml:space="preserve">appears to </w:t>
      </w:r>
      <w:r w:rsidR="002B590F">
        <w:t xml:space="preserve">indicate a rational response to an identified potential high price and high market exposure for some participants. </w:t>
      </w:r>
      <w:r w:rsidR="00CF32AA">
        <w:t xml:space="preserve"> </w:t>
      </w:r>
      <w:r w:rsidR="0022670F">
        <w:t xml:space="preserve">It appears consistent with the price discovery process facilitated by provisional schedules and final schedules where participants can refine their trading based on material changes in the market. </w:t>
      </w:r>
    </w:p>
    <w:p w:rsidR="00D07489" w:rsidRDefault="00D07489" w:rsidP="00134EED">
      <w:pPr>
        <w:pStyle w:val="AERnumberedlistfirststyle"/>
        <w:numPr>
          <w:ilvl w:val="0"/>
          <w:numId w:val="0"/>
        </w:numPr>
        <w:spacing w:after="0" w:line="240" w:lineRule="auto"/>
      </w:pPr>
    </w:p>
    <w:p w:rsidR="00D07489" w:rsidRDefault="00D07489" w:rsidP="00134EED">
      <w:pPr>
        <w:pStyle w:val="AERnumberedlistfirststyle"/>
        <w:numPr>
          <w:ilvl w:val="0"/>
          <w:numId w:val="0"/>
        </w:numPr>
        <w:spacing w:after="0" w:line="240" w:lineRule="auto"/>
      </w:pPr>
    </w:p>
    <w:p w:rsidR="00D07489" w:rsidRDefault="00D07489" w:rsidP="00134EED">
      <w:pPr>
        <w:pStyle w:val="AERnumberedlistfirststyle"/>
        <w:numPr>
          <w:ilvl w:val="0"/>
          <w:numId w:val="0"/>
        </w:numPr>
        <w:spacing w:after="0" w:line="240" w:lineRule="auto"/>
      </w:pPr>
    </w:p>
    <w:p w:rsidR="00D07489" w:rsidRPr="00BE1F1B" w:rsidRDefault="00D07489" w:rsidP="00134EED">
      <w:pPr>
        <w:pStyle w:val="AERnumberedlistfirststyle"/>
        <w:numPr>
          <w:ilvl w:val="0"/>
          <w:numId w:val="0"/>
        </w:numPr>
        <w:spacing w:after="0" w:line="240" w:lineRule="auto"/>
      </w:pPr>
    </w:p>
    <w:sectPr w:rsidR="00D07489" w:rsidRPr="00BE1F1B" w:rsidSect="00C010AF">
      <w:headerReference w:type="even" r:id="rId17"/>
      <w:headerReference w:type="default" r:id="rId18"/>
      <w:footerReference w:type="even" r:id="rId19"/>
      <w:footerReference w:type="default" r:id="rId20"/>
      <w:headerReference w:type="first" r:id="rId21"/>
      <w:footerReference w:type="first" r:id="rId22"/>
      <w:pgSz w:w="11906" w:h="16838"/>
      <w:pgMar w:top="1418" w:right="1440" w:bottom="127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AF4" w:rsidRPr="00AB4345" w:rsidRDefault="00450AF4" w:rsidP="00AB4345">
      <w:r>
        <w:separator/>
      </w:r>
    </w:p>
  </w:endnote>
  <w:endnote w:type="continuationSeparator" w:id="0">
    <w:p w:rsidR="00450AF4" w:rsidRPr="00AB4345" w:rsidRDefault="00450AF4"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541541"/>
      <w:docPartObj>
        <w:docPartGallery w:val="Page Numbers (Bottom of Page)"/>
        <w:docPartUnique/>
      </w:docPartObj>
    </w:sdtPr>
    <w:sdtEndPr/>
    <w:sdtContent>
      <w:p w:rsidR="00450AF4" w:rsidRPr="00824CC8" w:rsidRDefault="00450AF4" w:rsidP="00824CC8">
        <w:pPr>
          <w:pStyle w:val="Footer"/>
        </w:pPr>
        <w:r w:rsidRPr="00824CC8">
          <w:fldChar w:fldCharType="begin"/>
        </w:r>
        <w:r w:rsidRPr="00824CC8">
          <w:instrText xml:space="preserve"> PAGE   \* MERGEFORMAT </w:instrText>
        </w:r>
        <w:r w:rsidRPr="00824CC8">
          <w:fldChar w:fldCharType="separate"/>
        </w:r>
        <w:r w:rsidR="00FF133C">
          <w:rPr>
            <w:noProof/>
          </w:rPr>
          <w:t>4</w:t>
        </w:r>
        <w:r w:rsidRPr="00824CC8">
          <w:fldChar w:fldCharType="end"/>
        </w:r>
        <w:r w:rsidRPr="00824CC8">
          <w:tab/>
        </w:r>
        <w:r>
          <w:rPr>
            <w:rStyle w:val="AERbody"/>
          </w:rPr>
          <w:t>SPV report - 7 July 2014, Brisbane STTM</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AF4" w:rsidRPr="00824CC8" w:rsidRDefault="00676CC2" w:rsidP="00824CC8">
    <w:pPr>
      <w:pStyle w:val="Footer"/>
      <w:rPr>
        <w:rStyle w:val="AERbody"/>
      </w:rPr>
    </w:pPr>
    <w:r>
      <w:rPr>
        <w:rStyle w:val="AERbody"/>
      </w:rPr>
      <w:t>SPV report - 7 July 2014, Brisbane STTM</w:t>
    </w:r>
    <w:r w:rsidR="00450AF4" w:rsidRPr="00210880">
      <w:rPr>
        <w:rStyle w:val="AERbody"/>
      </w:rPr>
      <w:tab/>
    </w:r>
    <w:r w:rsidR="00450AF4" w:rsidRPr="00824CC8">
      <w:rPr>
        <w:rStyle w:val="AERbody"/>
      </w:rPr>
      <w:fldChar w:fldCharType="begin"/>
    </w:r>
    <w:r w:rsidR="00450AF4" w:rsidRPr="00824CC8">
      <w:rPr>
        <w:rStyle w:val="AERbody"/>
      </w:rPr>
      <w:instrText xml:space="preserve"> PAGE   \* MERGEFORMAT </w:instrText>
    </w:r>
    <w:r w:rsidR="00450AF4" w:rsidRPr="00824CC8">
      <w:rPr>
        <w:rStyle w:val="AERbody"/>
      </w:rPr>
      <w:fldChar w:fldCharType="separate"/>
    </w:r>
    <w:r w:rsidR="0049674D">
      <w:rPr>
        <w:rStyle w:val="AERbody"/>
        <w:noProof/>
      </w:rPr>
      <w:t>3</w:t>
    </w:r>
    <w:r w:rsidR="00450AF4" w:rsidRPr="00824CC8">
      <w:rPr>
        <w:rStyle w:val="AERbod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08" w:rsidRDefault="00D32E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AF4" w:rsidRPr="00AB4345" w:rsidRDefault="00450AF4" w:rsidP="00AB4345">
      <w:r>
        <w:separator/>
      </w:r>
    </w:p>
  </w:footnote>
  <w:footnote w:type="continuationSeparator" w:id="0">
    <w:p w:rsidR="00450AF4" w:rsidRPr="00AB4345" w:rsidRDefault="00450AF4" w:rsidP="00AB4345">
      <w:r>
        <w:continuationSeparator/>
      </w:r>
    </w:p>
  </w:footnote>
  <w:footnote w:id="1">
    <w:p w:rsidR="00450AF4" w:rsidRDefault="00450AF4">
      <w:pPr>
        <w:pStyle w:val="FootnoteText"/>
      </w:pPr>
      <w:r>
        <w:rPr>
          <w:rStyle w:val="FootnoteReference"/>
        </w:rPr>
        <w:footnoteRef/>
      </w:r>
      <w:r>
        <w:t xml:space="preserve"> </w:t>
      </w:r>
      <w:r>
        <w:tab/>
      </w:r>
      <w:r w:rsidRPr="00056574">
        <w:t xml:space="preserve">Under </w:t>
      </w:r>
      <w:r>
        <w:t>Rule 490(1</w:t>
      </w:r>
      <w:proofErr w:type="gramStart"/>
      <w:r>
        <w:t>)(</w:t>
      </w:r>
      <w:proofErr w:type="gramEnd"/>
      <w:r>
        <w:t>a)</w:t>
      </w:r>
      <w:r w:rsidRPr="00056574">
        <w:t xml:space="preserve">, the AER is to monitor that trading participants </w:t>
      </w:r>
      <w:r>
        <w:t xml:space="preserve">activity </w:t>
      </w:r>
      <w:r w:rsidRPr="00056574">
        <w:t>meet ob</w:t>
      </w:r>
      <w:r>
        <w:t>ligations under Part 20 of the Gas Rules.</w:t>
      </w:r>
    </w:p>
  </w:footnote>
  <w:footnote w:id="2">
    <w:p w:rsidR="00BB65C5" w:rsidRDefault="00BB65C5">
      <w:pPr>
        <w:pStyle w:val="FootnoteText"/>
      </w:pPr>
      <w:r>
        <w:rPr>
          <w:rStyle w:val="FootnoteReference"/>
        </w:rPr>
        <w:footnoteRef/>
      </w:r>
      <w:r>
        <w:t xml:space="preserve">        Users also include retailers </w:t>
      </w:r>
      <w:r w:rsidR="002B6D7E">
        <w:t xml:space="preserve">such as AGL and Origin </w:t>
      </w:r>
      <w:r>
        <w:t>who sell gas to residential customers in Brisbane.</w:t>
      </w:r>
    </w:p>
  </w:footnote>
  <w:footnote w:id="3">
    <w:p w:rsidR="00321278" w:rsidRDefault="00321278">
      <w:pPr>
        <w:pStyle w:val="FootnoteText"/>
      </w:pPr>
      <w:r>
        <w:rPr>
          <w:rStyle w:val="FootnoteReference"/>
        </w:rPr>
        <w:footnoteRef/>
      </w:r>
      <w:r>
        <w:t xml:space="preserve"> </w:t>
      </w:r>
      <w:r>
        <w:tab/>
        <w:t>Based on flows on the natural gas services bulletin board, there is no gas flowing east from gas facilities to the south at Moomba. www.gasbb.com.au</w:t>
      </w:r>
    </w:p>
  </w:footnote>
  <w:footnote w:id="4">
    <w:p w:rsidR="00B90801" w:rsidRDefault="00B90801">
      <w:pPr>
        <w:pStyle w:val="FootnoteText"/>
      </w:pPr>
      <w:r>
        <w:rPr>
          <w:rStyle w:val="FootnoteReference"/>
        </w:rPr>
        <w:footnoteRef/>
      </w:r>
      <w:r>
        <w:t xml:space="preserve"> </w:t>
      </w:r>
      <w:r>
        <w:tab/>
        <w:t xml:space="preserve">Rule 405 of the Gas Rules </w:t>
      </w:r>
    </w:p>
  </w:footnote>
  <w:footnote w:id="5">
    <w:p w:rsidR="00DD4A9D" w:rsidRDefault="00DD4A9D" w:rsidP="00DD4A9D">
      <w:pPr>
        <w:pStyle w:val="FootnoteText"/>
      </w:pPr>
      <w:r>
        <w:rPr>
          <w:rStyle w:val="FootnoteReference"/>
        </w:rPr>
        <w:footnoteRef/>
      </w:r>
      <w:r>
        <w:t xml:space="preserve"> </w:t>
      </w:r>
      <w:r>
        <w:tab/>
        <w:t>Previous pipeline capacity for Brisbane STTM hub gas deliveries on the RBP had been 206.3 TJ since mid-May.</w:t>
      </w:r>
    </w:p>
  </w:footnote>
  <w:footnote w:id="6">
    <w:p w:rsidR="008F12D5" w:rsidRDefault="008F12D5" w:rsidP="00DD4A9D">
      <w:pPr>
        <w:pStyle w:val="FootnoteText"/>
      </w:pPr>
      <w:r>
        <w:rPr>
          <w:rStyle w:val="FootnoteReference"/>
        </w:rPr>
        <w:footnoteRef/>
      </w:r>
      <w:r>
        <w:t xml:space="preserve"> </w:t>
      </w:r>
      <w:r w:rsidR="00DD4A9D">
        <w:tab/>
      </w:r>
      <w:r>
        <w:t xml:space="preserve">Other days where the capacity constraint prevented the further scheduling of offers/bids in provisional or final schedules were 1,2,3,8 July.  On these days, however, there were not significant differences between D-2 prices and </w:t>
      </w:r>
      <w:r w:rsidR="009743AB">
        <w:t xml:space="preserve">D-1 </w:t>
      </w:r>
      <w:r>
        <w:t xml:space="preserve">ex ante prices. For these days, the impact on prices of the capacity constraint on D-2 and </w:t>
      </w:r>
      <w:r w:rsidR="009743AB">
        <w:t xml:space="preserve">D-1 </w:t>
      </w:r>
      <w:r>
        <w:t>ex ante prices was less because the unscheduled bids were price</w:t>
      </w:r>
      <w:r w:rsidR="00CF32AA">
        <w:t>d much lower</w:t>
      </w:r>
      <w:r>
        <w:t xml:space="preserve"> than the unscheduled bid price of $9.85/GJ on 7 July.</w:t>
      </w:r>
    </w:p>
  </w:footnote>
  <w:footnote w:id="7">
    <w:p w:rsidR="005C5D03" w:rsidRDefault="005C5D03" w:rsidP="005C5D03">
      <w:pPr>
        <w:pStyle w:val="FootnoteText"/>
      </w:pPr>
      <w:r>
        <w:rPr>
          <w:rStyle w:val="FootnoteReference"/>
        </w:rPr>
        <w:footnoteRef/>
      </w:r>
      <w:r>
        <w:t xml:space="preserve"> </w:t>
      </w:r>
      <w:r>
        <w:tab/>
        <w:t>The capacity pricing mechanism was triggered in Brisbane on three occasions during the previous week (1, 2 and 3 July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08" w:rsidRDefault="00D32E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08" w:rsidRDefault="00D32E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08" w:rsidRDefault="00D32E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130F68E5"/>
    <w:multiLevelType w:val="hybridMultilevel"/>
    <w:tmpl w:val="BE729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597CF9"/>
    <w:multiLevelType w:val="multilevel"/>
    <w:tmpl w:val="B478DFE6"/>
    <w:numStyleLink w:val="AERnumberedlist"/>
  </w:abstractNum>
  <w:abstractNum w:abstractNumId="3">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4">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0895FE3"/>
    <w:multiLevelType w:val="multilevel"/>
    <w:tmpl w:val="B6FEDB8A"/>
    <w:lvl w:ilvl="0">
      <w:start w:val="1"/>
      <w:numFmt w:val="decimal"/>
      <w:pStyle w:val="AERheading1"/>
      <w:lvlText w:val="%1"/>
      <w:lvlJc w:val="left"/>
      <w:pPr>
        <w:tabs>
          <w:tab w:val="num" w:pos="851"/>
        </w:tabs>
        <w:ind w:left="851" w:hanging="851"/>
      </w:pPr>
      <w:rPr>
        <w:rFonts w:hint="default"/>
      </w:rPr>
    </w:lvl>
    <w:lvl w:ilvl="1">
      <w:start w:val="1"/>
      <w:numFmt w:val="decimal"/>
      <w:pStyle w:val="AERheading2"/>
      <w:lvlText w:val="%1.%2"/>
      <w:lvlJc w:val="left"/>
      <w:pPr>
        <w:tabs>
          <w:tab w:val="num" w:pos="851"/>
        </w:tabs>
        <w:ind w:left="851" w:hanging="851"/>
      </w:pPr>
      <w:rPr>
        <w:rFonts w:hint="default"/>
      </w:rPr>
    </w:lvl>
    <w:lvl w:ilvl="2">
      <w:start w:val="1"/>
      <w:numFmt w:val="decimal"/>
      <w:pStyle w:val="AERheading3"/>
      <w:lvlText w:val="%1.%2.%3"/>
      <w:lvlJc w:val="left"/>
      <w:pPr>
        <w:tabs>
          <w:tab w:val="num" w:pos="851"/>
        </w:tabs>
        <w:ind w:left="851" w:hanging="851"/>
      </w:pPr>
      <w:rPr>
        <w:rFonts w:hint="default"/>
      </w:rPr>
    </w:lvl>
    <w:lvl w:ilvl="3">
      <w:start w:val="1"/>
      <w:numFmt w:val="decimal"/>
      <w:pStyle w:val="AERheading4"/>
      <w:lvlText w:val="%1.%2.%3.%4"/>
      <w:lvlJc w:val="left"/>
      <w:pPr>
        <w:tabs>
          <w:tab w:val="num" w:pos="851"/>
        </w:tabs>
        <w:ind w:left="851" w:hanging="851"/>
      </w:pPr>
      <w:rPr>
        <w:rFonts w:hint="default"/>
      </w:rPr>
    </w:lvl>
    <w:lvl w:ilvl="4">
      <w:start w:val="1"/>
      <w:numFmt w:val="decimal"/>
      <w:lvlRestart w:val="1"/>
      <w:pStyle w:val="AERtableheading"/>
      <w:lvlText w:val="Table %1.%5"/>
      <w:lvlJc w:val="left"/>
      <w:pPr>
        <w:tabs>
          <w:tab w:val="num" w:pos="1361"/>
        </w:tabs>
        <w:ind w:left="1361" w:hanging="1361"/>
      </w:pPr>
      <w:rPr>
        <w:rFonts w:hint="default"/>
      </w:rPr>
    </w:lvl>
    <w:lvl w:ilvl="5">
      <w:start w:val="1"/>
      <w:numFmt w:val="decimal"/>
      <w:lvlRestart w:val="1"/>
      <w:pStyle w:val="AERfigureheading"/>
      <w:lvlText w:val="Figure %1.%6:"/>
      <w:lvlJc w:val="left"/>
      <w:pPr>
        <w:tabs>
          <w:tab w:val="num" w:pos="1361"/>
        </w:tabs>
        <w:ind w:left="1134" w:hanging="1134"/>
      </w:pPr>
      <w:rPr>
        <w:rFonts w:ascii="Arial" w:hAnsi="Arial" w:cs="Arial" w:hint="default"/>
        <w:b/>
        <w:i w:val="0"/>
        <w:caps w:val="0"/>
        <w:strike w:val="0"/>
        <w:dstrike w:val="0"/>
        <w:shadow w:val="0"/>
        <w:emboss w:val="0"/>
        <w:imprint w:val="0"/>
        <w:vanish w:val="0"/>
        <w:sz w:val="20"/>
        <w:vertAlign w:val="baseline"/>
      </w:rPr>
    </w:lvl>
    <w:lvl w:ilvl="6">
      <w:start w:val="1"/>
      <w:numFmt w:val="lowerLetter"/>
      <w:lvlRestart w:val="0"/>
      <w:pStyle w:val="AERtableheading-unnumbered"/>
      <w:lvlText w:val="Figure 2.2 (%7)"/>
      <w:lvlJc w:val="left"/>
      <w:pPr>
        <w:tabs>
          <w:tab w:val="num" w:pos="1361"/>
        </w:tabs>
        <w:ind w:left="1361" w:hanging="1361"/>
      </w:pPr>
      <w:rPr>
        <w:rFonts w:hint="default"/>
      </w:rPr>
    </w:lvl>
    <w:lvl w:ilvl="7">
      <w:start w:val="1"/>
      <w:numFmt w:val="decimal"/>
      <w:lvlRestart w:val="0"/>
      <w:pStyle w:val="AERfigureheading-unnumbered"/>
      <w:lvlText w:val="Figure %8:"/>
      <w:lvlJc w:val="left"/>
      <w:pPr>
        <w:tabs>
          <w:tab w:val="num" w:pos="1134"/>
        </w:tabs>
        <w:ind w:left="1361" w:hanging="1361"/>
      </w:pPr>
      <w:rPr>
        <w:rFonts w:ascii="Arial Bold" w:hAnsi="Arial Bold" w:hint="default"/>
        <w:b/>
        <w:i w:val="0"/>
        <w:caps w:val="0"/>
        <w:strike w:val="0"/>
        <w:dstrike w:val="0"/>
        <w:outline w:val="0"/>
        <w:shadow w:val="0"/>
        <w:emboss w:val="0"/>
        <w:imprint w:val="0"/>
        <w:vanish w:val="0"/>
        <w:sz w:val="20"/>
        <w:vertAlign w:val="baseline"/>
      </w:rPr>
    </w:lvl>
    <w:lvl w:ilvl="8">
      <w:start w:val="1"/>
      <w:numFmt w:val="none"/>
      <w:lvlText w:val=""/>
      <w:lvlJc w:val="right"/>
      <w:pPr>
        <w:tabs>
          <w:tab w:val="num" w:pos="1584"/>
        </w:tabs>
        <w:ind w:left="1584" w:hanging="144"/>
      </w:pPr>
      <w:rPr>
        <w:rFonts w:hint="default"/>
      </w:rPr>
    </w:lvl>
  </w:abstractNum>
  <w:abstractNum w:abstractNumId="8">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7AAC6DD7"/>
    <w:multiLevelType w:val="multilevel"/>
    <w:tmpl w:val="950A1C52"/>
    <w:numStyleLink w:val="AERHeadings"/>
  </w:abstractNum>
  <w:abstractNum w:abstractNumId="10">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10"/>
  </w:num>
  <w:num w:numId="5">
    <w:abstractNumId w:val="0"/>
  </w:num>
  <w:num w:numId="6">
    <w:abstractNumId w:val="8"/>
  </w:num>
  <w:num w:numId="7">
    <w:abstractNumId w:val="5"/>
  </w:num>
  <w:num w:numId="8">
    <w:abstractNumId w:val="2"/>
  </w:num>
  <w:num w:numId="9">
    <w:abstractNumId w:val="9"/>
  </w:num>
  <w:num w:numId="10">
    <w:abstractNumId w:val="7"/>
  </w:num>
  <w:num w:numId="11">
    <w:abstractNumId w:val="9"/>
  </w:num>
  <w:num w:numId="12">
    <w:abstractNumId w:val="9"/>
  </w:num>
  <w:num w:numId="13">
    <w:abstractNumId w:val="9"/>
  </w:num>
  <w:num w:numId="14">
    <w:abstractNumId w:val="9"/>
  </w:num>
  <w:num w:numId="1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32769" style="mso-width-relative:margin;mso-height-relative:margin">
      <v:stroke dashstyle="1 1" weight="2.25pt" endcap="round"/>
      <v:textbox style="mso-fit-shape-to-text:t"/>
      <o:colormru v:ext="edit" colors="white,#39f,#0c0,red,#06f,#f2f2f2,#38ce4a,#b2ecb9"/>
      <o:colormenu v:ext="edit" fillcolor="white" strokecolor="#b2ecb9"/>
    </o:shapedefaults>
  </w:hdrShapeDefaults>
  <w:footnotePr>
    <w:footnote w:id="-1"/>
    <w:footnote w:id="0"/>
  </w:footnotePr>
  <w:endnotePr>
    <w:endnote w:id="-1"/>
    <w:endnote w:id="0"/>
  </w:endnotePr>
  <w:compat>
    <w:compatSetting w:name="compatibilityMode" w:uri="http://schemas.microsoft.com/office/word" w:val="12"/>
  </w:compat>
  <w:docVars>
    <w:docVar w:name="currentname" w:val="C:\Documents and Settings\kauret\Local Settings\Temporary Internet Files\Content.Outlook\BR07H58I\AER SPV report Brisbane hub 7 July.DOCX"/>
  </w:docVars>
  <w:rsids>
    <w:rsidRoot w:val="000C052F"/>
    <w:rsid w:val="000006B6"/>
    <w:rsid w:val="00002ACE"/>
    <w:rsid w:val="00002BFE"/>
    <w:rsid w:val="00006032"/>
    <w:rsid w:val="00011129"/>
    <w:rsid w:val="0001461C"/>
    <w:rsid w:val="00022606"/>
    <w:rsid w:val="0002512B"/>
    <w:rsid w:val="0002799F"/>
    <w:rsid w:val="00036855"/>
    <w:rsid w:val="0003711C"/>
    <w:rsid w:val="00040599"/>
    <w:rsid w:val="00040749"/>
    <w:rsid w:val="0005303E"/>
    <w:rsid w:val="00055123"/>
    <w:rsid w:val="00056574"/>
    <w:rsid w:val="00056CA5"/>
    <w:rsid w:val="0006365C"/>
    <w:rsid w:val="00072DAA"/>
    <w:rsid w:val="00077265"/>
    <w:rsid w:val="00080D0C"/>
    <w:rsid w:val="0008178B"/>
    <w:rsid w:val="000867BC"/>
    <w:rsid w:val="00087DC1"/>
    <w:rsid w:val="000916A4"/>
    <w:rsid w:val="000A06F7"/>
    <w:rsid w:val="000A0E97"/>
    <w:rsid w:val="000A1CC2"/>
    <w:rsid w:val="000A5342"/>
    <w:rsid w:val="000A6022"/>
    <w:rsid w:val="000B15CA"/>
    <w:rsid w:val="000B5976"/>
    <w:rsid w:val="000B5CD6"/>
    <w:rsid w:val="000C052F"/>
    <w:rsid w:val="000C2F88"/>
    <w:rsid w:val="000C3430"/>
    <w:rsid w:val="000C5BD9"/>
    <w:rsid w:val="000D03C2"/>
    <w:rsid w:val="000D04B1"/>
    <w:rsid w:val="000D401F"/>
    <w:rsid w:val="000D6926"/>
    <w:rsid w:val="000E097C"/>
    <w:rsid w:val="000E1A25"/>
    <w:rsid w:val="000E7C0F"/>
    <w:rsid w:val="000E7D06"/>
    <w:rsid w:val="000F3A6A"/>
    <w:rsid w:val="000F3C4F"/>
    <w:rsid w:val="00100243"/>
    <w:rsid w:val="00101272"/>
    <w:rsid w:val="001033B3"/>
    <w:rsid w:val="00105636"/>
    <w:rsid w:val="001069D9"/>
    <w:rsid w:val="0011090F"/>
    <w:rsid w:val="001162B7"/>
    <w:rsid w:val="0011673A"/>
    <w:rsid w:val="00120874"/>
    <w:rsid w:val="00121636"/>
    <w:rsid w:val="0012471E"/>
    <w:rsid w:val="00124E45"/>
    <w:rsid w:val="001269DD"/>
    <w:rsid w:val="0013058F"/>
    <w:rsid w:val="00132FF9"/>
    <w:rsid w:val="00134EED"/>
    <w:rsid w:val="001357A4"/>
    <w:rsid w:val="00136427"/>
    <w:rsid w:val="001406B0"/>
    <w:rsid w:val="00143A51"/>
    <w:rsid w:val="001500DA"/>
    <w:rsid w:val="001528F1"/>
    <w:rsid w:val="001543D2"/>
    <w:rsid w:val="0016224B"/>
    <w:rsid w:val="00163CDD"/>
    <w:rsid w:val="00165ADF"/>
    <w:rsid w:val="00173125"/>
    <w:rsid w:val="00174026"/>
    <w:rsid w:val="00175B58"/>
    <w:rsid w:val="001764B0"/>
    <w:rsid w:val="00176E86"/>
    <w:rsid w:val="00177157"/>
    <w:rsid w:val="001823C4"/>
    <w:rsid w:val="001856EE"/>
    <w:rsid w:val="00194C3C"/>
    <w:rsid w:val="001A03D1"/>
    <w:rsid w:val="001B0AFE"/>
    <w:rsid w:val="001B2045"/>
    <w:rsid w:val="001C12E5"/>
    <w:rsid w:val="001C1510"/>
    <w:rsid w:val="001C2F68"/>
    <w:rsid w:val="001C601D"/>
    <w:rsid w:val="001C68F0"/>
    <w:rsid w:val="001C76D1"/>
    <w:rsid w:val="001C7A79"/>
    <w:rsid w:val="001D04AC"/>
    <w:rsid w:val="001D3F82"/>
    <w:rsid w:val="001D7F68"/>
    <w:rsid w:val="001E4D56"/>
    <w:rsid w:val="001E591F"/>
    <w:rsid w:val="001F2B35"/>
    <w:rsid w:val="001F3973"/>
    <w:rsid w:val="00202B8F"/>
    <w:rsid w:val="002042B9"/>
    <w:rsid w:val="00205474"/>
    <w:rsid w:val="00205A83"/>
    <w:rsid w:val="0020711E"/>
    <w:rsid w:val="00210880"/>
    <w:rsid w:val="002126F1"/>
    <w:rsid w:val="00216353"/>
    <w:rsid w:val="00217086"/>
    <w:rsid w:val="002225C9"/>
    <w:rsid w:val="002257B9"/>
    <w:rsid w:val="0022670F"/>
    <w:rsid w:val="00227519"/>
    <w:rsid w:val="00230B94"/>
    <w:rsid w:val="0023137D"/>
    <w:rsid w:val="002363B8"/>
    <w:rsid w:val="00244E46"/>
    <w:rsid w:val="00246177"/>
    <w:rsid w:val="0025211D"/>
    <w:rsid w:val="002551B9"/>
    <w:rsid w:val="00257CD0"/>
    <w:rsid w:val="002606F8"/>
    <w:rsid w:val="00265A4B"/>
    <w:rsid w:val="00266710"/>
    <w:rsid w:val="00271648"/>
    <w:rsid w:val="00274DAF"/>
    <w:rsid w:val="002805B8"/>
    <w:rsid w:val="00292F56"/>
    <w:rsid w:val="0029318B"/>
    <w:rsid w:val="002938CE"/>
    <w:rsid w:val="002A6D9A"/>
    <w:rsid w:val="002B590F"/>
    <w:rsid w:val="002B6640"/>
    <w:rsid w:val="002B6D7E"/>
    <w:rsid w:val="002C4408"/>
    <w:rsid w:val="002C731C"/>
    <w:rsid w:val="002D1D83"/>
    <w:rsid w:val="002D61AC"/>
    <w:rsid w:val="002D6F11"/>
    <w:rsid w:val="002D7706"/>
    <w:rsid w:val="002E4720"/>
    <w:rsid w:val="002E49C5"/>
    <w:rsid w:val="002E620D"/>
    <w:rsid w:val="002E6998"/>
    <w:rsid w:val="00301368"/>
    <w:rsid w:val="00303452"/>
    <w:rsid w:val="00310C10"/>
    <w:rsid w:val="00320C51"/>
    <w:rsid w:val="00321278"/>
    <w:rsid w:val="00321639"/>
    <w:rsid w:val="00321FFF"/>
    <w:rsid w:val="00324B28"/>
    <w:rsid w:val="0032559F"/>
    <w:rsid w:val="00325AC6"/>
    <w:rsid w:val="003324F7"/>
    <w:rsid w:val="00334F88"/>
    <w:rsid w:val="00335425"/>
    <w:rsid w:val="00335EAE"/>
    <w:rsid w:val="00340127"/>
    <w:rsid w:val="00343061"/>
    <w:rsid w:val="00345EE1"/>
    <w:rsid w:val="00346246"/>
    <w:rsid w:val="003604D5"/>
    <w:rsid w:val="00363EA9"/>
    <w:rsid w:val="00364A7F"/>
    <w:rsid w:val="00365EDD"/>
    <w:rsid w:val="0036775C"/>
    <w:rsid w:val="003707DB"/>
    <w:rsid w:val="00371C43"/>
    <w:rsid w:val="00375AEC"/>
    <w:rsid w:val="00376236"/>
    <w:rsid w:val="0037652C"/>
    <w:rsid w:val="003800E4"/>
    <w:rsid w:val="00380FF5"/>
    <w:rsid w:val="00385135"/>
    <w:rsid w:val="003866A9"/>
    <w:rsid w:val="00395A13"/>
    <w:rsid w:val="003A2BC0"/>
    <w:rsid w:val="003A4CD1"/>
    <w:rsid w:val="003A4F7F"/>
    <w:rsid w:val="003A6174"/>
    <w:rsid w:val="003A6E70"/>
    <w:rsid w:val="003B1089"/>
    <w:rsid w:val="003B196B"/>
    <w:rsid w:val="003B73A4"/>
    <w:rsid w:val="003D4D26"/>
    <w:rsid w:val="003E5430"/>
    <w:rsid w:val="003E7367"/>
    <w:rsid w:val="003F2DC0"/>
    <w:rsid w:val="003F3C5C"/>
    <w:rsid w:val="003F5741"/>
    <w:rsid w:val="004030AB"/>
    <w:rsid w:val="00410853"/>
    <w:rsid w:val="00412282"/>
    <w:rsid w:val="004136AD"/>
    <w:rsid w:val="00416764"/>
    <w:rsid w:val="00421517"/>
    <w:rsid w:val="004256BA"/>
    <w:rsid w:val="00430388"/>
    <w:rsid w:val="00431999"/>
    <w:rsid w:val="00435682"/>
    <w:rsid w:val="00441796"/>
    <w:rsid w:val="00442844"/>
    <w:rsid w:val="004442B1"/>
    <w:rsid w:val="00450AF4"/>
    <w:rsid w:val="00451343"/>
    <w:rsid w:val="00456081"/>
    <w:rsid w:val="00456D9E"/>
    <w:rsid w:val="00464F5D"/>
    <w:rsid w:val="00466B6E"/>
    <w:rsid w:val="00472197"/>
    <w:rsid w:val="0047307B"/>
    <w:rsid w:val="00474FBD"/>
    <w:rsid w:val="004760FE"/>
    <w:rsid w:val="004821D0"/>
    <w:rsid w:val="0048266C"/>
    <w:rsid w:val="00491D7D"/>
    <w:rsid w:val="00493362"/>
    <w:rsid w:val="004938B9"/>
    <w:rsid w:val="00495E53"/>
    <w:rsid w:val="0049674D"/>
    <w:rsid w:val="004974B4"/>
    <w:rsid w:val="00497517"/>
    <w:rsid w:val="004A6FD9"/>
    <w:rsid w:val="004B0B73"/>
    <w:rsid w:val="004B3549"/>
    <w:rsid w:val="004B5111"/>
    <w:rsid w:val="004C204D"/>
    <w:rsid w:val="004C3F45"/>
    <w:rsid w:val="004C535D"/>
    <w:rsid w:val="004D0C4E"/>
    <w:rsid w:val="004D17A3"/>
    <w:rsid w:val="004E0FBE"/>
    <w:rsid w:val="004E40EF"/>
    <w:rsid w:val="004E7117"/>
    <w:rsid w:val="004E73F7"/>
    <w:rsid w:val="004F76A0"/>
    <w:rsid w:val="005005C0"/>
    <w:rsid w:val="00500E7F"/>
    <w:rsid w:val="00502780"/>
    <w:rsid w:val="00503B13"/>
    <w:rsid w:val="00507FC5"/>
    <w:rsid w:val="00510C44"/>
    <w:rsid w:val="0052086C"/>
    <w:rsid w:val="0052179D"/>
    <w:rsid w:val="00522CD0"/>
    <w:rsid w:val="005340F2"/>
    <w:rsid w:val="00534E74"/>
    <w:rsid w:val="00537105"/>
    <w:rsid w:val="005456A9"/>
    <w:rsid w:val="00547F06"/>
    <w:rsid w:val="0055077F"/>
    <w:rsid w:val="00550B7A"/>
    <w:rsid w:val="00554BE4"/>
    <w:rsid w:val="00555D52"/>
    <w:rsid w:val="005566D7"/>
    <w:rsid w:val="00561F7F"/>
    <w:rsid w:val="005639E8"/>
    <w:rsid w:val="005668A0"/>
    <w:rsid w:val="00566B35"/>
    <w:rsid w:val="00567724"/>
    <w:rsid w:val="005732CC"/>
    <w:rsid w:val="00575422"/>
    <w:rsid w:val="00576DC7"/>
    <w:rsid w:val="005814F0"/>
    <w:rsid w:val="005938C6"/>
    <w:rsid w:val="005A0431"/>
    <w:rsid w:val="005A089A"/>
    <w:rsid w:val="005A420E"/>
    <w:rsid w:val="005B0EEA"/>
    <w:rsid w:val="005B3752"/>
    <w:rsid w:val="005B5CDF"/>
    <w:rsid w:val="005B61C2"/>
    <w:rsid w:val="005B7309"/>
    <w:rsid w:val="005C1F22"/>
    <w:rsid w:val="005C5D03"/>
    <w:rsid w:val="005C6DAB"/>
    <w:rsid w:val="005D0DF3"/>
    <w:rsid w:val="005D2574"/>
    <w:rsid w:val="005D26B7"/>
    <w:rsid w:val="005D3B18"/>
    <w:rsid w:val="005D4AA1"/>
    <w:rsid w:val="005D55A9"/>
    <w:rsid w:val="005E6872"/>
    <w:rsid w:val="005F5268"/>
    <w:rsid w:val="0060146C"/>
    <w:rsid w:val="00601FEF"/>
    <w:rsid w:val="0060207D"/>
    <w:rsid w:val="00602A0B"/>
    <w:rsid w:val="006039F2"/>
    <w:rsid w:val="00605A71"/>
    <w:rsid w:val="006061B0"/>
    <w:rsid w:val="0060732E"/>
    <w:rsid w:val="006076A9"/>
    <w:rsid w:val="00611457"/>
    <w:rsid w:val="00614B7F"/>
    <w:rsid w:val="00614FB5"/>
    <w:rsid w:val="00624306"/>
    <w:rsid w:val="00624E40"/>
    <w:rsid w:val="00624F72"/>
    <w:rsid w:val="0063440C"/>
    <w:rsid w:val="00635A76"/>
    <w:rsid w:val="00637AD2"/>
    <w:rsid w:val="00642B58"/>
    <w:rsid w:val="00642D2E"/>
    <w:rsid w:val="00647248"/>
    <w:rsid w:val="006544EA"/>
    <w:rsid w:val="00654C07"/>
    <w:rsid w:val="00655B34"/>
    <w:rsid w:val="0066176E"/>
    <w:rsid w:val="0066569F"/>
    <w:rsid w:val="00667C18"/>
    <w:rsid w:val="0067658A"/>
    <w:rsid w:val="00676CC2"/>
    <w:rsid w:val="006827E4"/>
    <w:rsid w:val="0068291B"/>
    <w:rsid w:val="00682FC9"/>
    <w:rsid w:val="00683459"/>
    <w:rsid w:val="00684B6D"/>
    <w:rsid w:val="0069004B"/>
    <w:rsid w:val="0069109B"/>
    <w:rsid w:val="00691F5C"/>
    <w:rsid w:val="00691FE5"/>
    <w:rsid w:val="006A06EA"/>
    <w:rsid w:val="006A2D4B"/>
    <w:rsid w:val="006A32F5"/>
    <w:rsid w:val="006B08EB"/>
    <w:rsid w:val="006B481F"/>
    <w:rsid w:val="006B6C7E"/>
    <w:rsid w:val="006C0ECE"/>
    <w:rsid w:val="006C7AEE"/>
    <w:rsid w:val="006D1C58"/>
    <w:rsid w:val="006E0734"/>
    <w:rsid w:val="006E33E7"/>
    <w:rsid w:val="006F24EE"/>
    <w:rsid w:val="006F2E77"/>
    <w:rsid w:val="006F2EA1"/>
    <w:rsid w:val="006F638E"/>
    <w:rsid w:val="007022A6"/>
    <w:rsid w:val="00703E42"/>
    <w:rsid w:val="007061F5"/>
    <w:rsid w:val="007100B4"/>
    <w:rsid w:val="00710583"/>
    <w:rsid w:val="007140C3"/>
    <w:rsid w:val="00714471"/>
    <w:rsid w:val="007219EE"/>
    <w:rsid w:val="0072289F"/>
    <w:rsid w:val="00730559"/>
    <w:rsid w:val="00731A89"/>
    <w:rsid w:val="00733602"/>
    <w:rsid w:val="0073614B"/>
    <w:rsid w:val="007368AD"/>
    <w:rsid w:val="00747AE4"/>
    <w:rsid w:val="00751D2A"/>
    <w:rsid w:val="00753BCE"/>
    <w:rsid w:val="00755095"/>
    <w:rsid w:val="00755896"/>
    <w:rsid w:val="00763C27"/>
    <w:rsid w:val="0076587E"/>
    <w:rsid w:val="00771497"/>
    <w:rsid w:val="00771A37"/>
    <w:rsid w:val="00773BB9"/>
    <w:rsid w:val="00774B28"/>
    <w:rsid w:val="007765A0"/>
    <w:rsid w:val="00777D81"/>
    <w:rsid w:val="00782D2E"/>
    <w:rsid w:val="00786EFB"/>
    <w:rsid w:val="007908DC"/>
    <w:rsid w:val="007945C4"/>
    <w:rsid w:val="00796A07"/>
    <w:rsid w:val="007A0042"/>
    <w:rsid w:val="007A5812"/>
    <w:rsid w:val="007B0480"/>
    <w:rsid w:val="007B1189"/>
    <w:rsid w:val="007B3F74"/>
    <w:rsid w:val="007B619D"/>
    <w:rsid w:val="007D4FF5"/>
    <w:rsid w:val="007D5C52"/>
    <w:rsid w:val="007E0071"/>
    <w:rsid w:val="007E075A"/>
    <w:rsid w:val="007F10E3"/>
    <w:rsid w:val="007F2C0E"/>
    <w:rsid w:val="007F57DA"/>
    <w:rsid w:val="007F5A18"/>
    <w:rsid w:val="00801566"/>
    <w:rsid w:val="00801931"/>
    <w:rsid w:val="008019AA"/>
    <w:rsid w:val="00804AEB"/>
    <w:rsid w:val="00806509"/>
    <w:rsid w:val="00812E1D"/>
    <w:rsid w:val="00813CB3"/>
    <w:rsid w:val="00814033"/>
    <w:rsid w:val="008217C9"/>
    <w:rsid w:val="00824CC8"/>
    <w:rsid w:val="008251C7"/>
    <w:rsid w:val="00825661"/>
    <w:rsid w:val="00826120"/>
    <w:rsid w:val="0083145B"/>
    <w:rsid w:val="0083610B"/>
    <w:rsid w:val="00836A23"/>
    <w:rsid w:val="00836D17"/>
    <w:rsid w:val="00837604"/>
    <w:rsid w:val="00840A55"/>
    <w:rsid w:val="00840E4B"/>
    <w:rsid w:val="00841E25"/>
    <w:rsid w:val="00842513"/>
    <w:rsid w:val="008464CD"/>
    <w:rsid w:val="00846916"/>
    <w:rsid w:val="00847181"/>
    <w:rsid w:val="00851335"/>
    <w:rsid w:val="008515EE"/>
    <w:rsid w:val="008570F5"/>
    <w:rsid w:val="00861C4E"/>
    <w:rsid w:val="00864AAF"/>
    <w:rsid w:val="00866D21"/>
    <w:rsid w:val="00872D85"/>
    <w:rsid w:val="008743E9"/>
    <w:rsid w:val="008747A1"/>
    <w:rsid w:val="00875F02"/>
    <w:rsid w:val="00881D72"/>
    <w:rsid w:val="00883DDA"/>
    <w:rsid w:val="0088415D"/>
    <w:rsid w:val="00884F03"/>
    <w:rsid w:val="00887D61"/>
    <w:rsid w:val="008916DE"/>
    <w:rsid w:val="00891FF9"/>
    <w:rsid w:val="00893186"/>
    <w:rsid w:val="00893367"/>
    <w:rsid w:val="008A08AB"/>
    <w:rsid w:val="008A1109"/>
    <w:rsid w:val="008A51F6"/>
    <w:rsid w:val="008A6B41"/>
    <w:rsid w:val="008B04B9"/>
    <w:rsid w:val="008B7956"/>
    <w:rsid w:val="008C2D62"/>
    <w:rsid w:val="008C31E6"/>
    <w:rsid w:val="008C3B67"/>
    <w:rsid w:val="008C3F48"/>
    <w:rsid w:val="008D1A22"/>
    <w:rsid w:val="008D49B4"/>
    <w:rsid w:val="008D7498"/>
    <w:rsid w:val="008E3B37"/>
    <w:rsid w:val="008F12D5"/>
    <w:rsid w:val="008F1CBF"/>
    <w:rsid w:val="00900E45"/>
    <w:rsid w:val="00902592"/>
    <w:rsid w:val="00905A62"/>
    <w:rsid w:val="00910101"/>
    <w:rsid w:val="00913BB4"/>
    <w:rsid w:val="009223EE"/>
    <w:rsid w:val="009247D2"/>
    <w:rsid w:val="009254E7"/>
    <w:rsid w:val="0092618F"/>
    <w:rsid w:val="00927EA1"/>
    <w:rsid w:val="00932E96"/>
    <w:rsid w:val="0093307E"/>
    <w:rsid w:val="009418E6"/>
    <w:rsid w:val="00941D2D"/>
    <w:rsid w:val="0094235F"/>
    <w:rsid w:val="0094279F"/>
    <w:rsid w:val="009441F7"/>
    <w:rsid w:val="00946B98"/>
    <w:rsid w:val="00947050"/>
    <w:rsid w:val="0095052A"/>
    <w:rsid w:val="00950EE5"/>
    <w:rsid w:val="00952874"/>
    <w:rsid w:val="00957E14"/>
    <w:rsid w:val="00962D90"/>
    <w:rsid w:val="00965041"/>
    <w:rsid w:val="009658F0"/>
    <w:rsid w:val="00971655"/>
    <w:rsid w:val="00971C63"/>
    <w:rsid w:val="0097394A"/>
    <w:rsid w:val="009743AB"/>
    <w:rsid w:val="0098503B"/>
    <w:rsid w:val="0099079E"/>
    <w:rsid w:val="009909A2"/>
    <w:rsid w:val="009917C7"/>
    <w:rsid w:val="009A1E1E"/>
    <w:rsid w:val="009A29B5"/>
    <w:rsid w:val="009A2BB8"/>
    <w:rsid w:val="009A3318"/>
    <w:rsid w:val="009A4AE9"/>
    <w:rsid w:val="009A4CBF"/>
    <w:rsid w:val="009A6DCE"/>
    <w:rsid w:val="009B04E9"/>
    <w:rsid w:val="009B4FE9"/>
    <w:rsid w:val="009B637A"/>
    <w:rsid w:val="009B784F"/>
    <w:rsid w:val="009B7ED9"/>
    <w:rsid w:val="009C71D5"/>
    <w:rsid w:val="009D00C4"/>
    <w:rsid w:val="009D4938"/>
    <w:rsid w:val="009E4047"/>
    <w:rsid w:val="009E5905"/>
    <w:rsid w:val="009E5CF9"/>
    <w:rsid w:val="009F6AC3"/>
    <w:rsid w:val="009F7CE4"/>
    <w:rsid w:val="00A00197"/>
    <w:rsid w:val="00A0233C"/>
    <w:rsid w:val="00A040C9"/>
    <w:rsid w:val="00A0563B"/>
    <w:rsid w:val="00A107A2"/>
    <w:rsid w:val="00A11162"/>
    <w:rsid w:val="00A131FB"/>
    <w:rsid w:val="00A20CCD"/>
    <w:rsid w:val="00A22573"/>
    <w:rsid w:val="00A227F7"/>
    <w:rsid w:val="00A23C18"/>
    <w:rsid w:val="00A24E9A"/>
    <w:rsid w:val="00A2518F"/>
    <w:rsid w:val="00A2532A"/>
    <w:rsid w:val="00A3143E"/>
    <w:rsid w:val="00A315EC"/>
    <w:rsid w:val="00A337A1"/>
    <w:rsid w:val="00A33A19"/>
    <w:rsid w:val="00A40E2A"/>
    <w:rsid w:val="00A40E6C"/>
    <w:rsid w:val="00A41D58"/>
    <w:rsid w:val="00A43227"/>
    <w:rsid w:val="00A464B3"/>
    <w:rsid w:val="00A469BA"/>
    <w:rsid w:val="00A46CCD"/>
    <w:rsid w:val="00A5068A"/>
    <w:rsid w:val="00A60D13"/>
    <w:rsid w:val="00A65133"/>
    <w:rsid w:val="00A652C5"/>
    <w:rsid w:val="00A654BA"/>
    <w:rsid w:val="00A855F4"/>
    <w:rsid w:val="00A85C5A"/>
    <w:rsid w:val="00A936D9"/>
    <w:rsid w:val="00A95107"/>
    <w:rsid w:val="00A96A08"/>
    <w:rsid w:val="00AA0161"/>
    <w:rsid w:val="00AA576B"/>
    <w:rsid w:val="00AA7236"/>
    <w:rsid w:val="00AB1D08"/>
    <w:rsid w:val="00AB4345"/>
    <w:rsid w:val="00AB43D5"/>
    <w:rsid w:val="00AB5BD7"/>
    <w:rsid w:val="00AC0135"/>
    <w:rsid w:val="00AC070D"/>
    <w:rsid w:val="00AC1B94"/>
    <w:rsid w:val="00AC1D36"/>
    <w:rsid w:val="00AC63A7"/>
    <w:rsid w:val="00AD0616"/>
    <w:rsid w:val="00AD0A5C"/>
    <w:rsid w:val="00AD34FF"/>
    <w:rsid w:val="00AD38B9"/>
    <w:rsid w:val="00AD4DE6"/>
    <w:rsid w:val="00AD50D2"/>
    <w:rsid w:val="00AD54E9"/>
    <w:rsid w:val="00AD68E9"/>
    <w:rsid w:val="00AD779C"/>
    <w:rsid w:val="00AE2159"/>
    <w:rsid w:val="00AE22FD"/>
    <w:rsid w:val="00AE5913"/>
    <w:rsid w:val="00AE6DBC"/>
    <w:rsid w:val="00AE6FB3"/>
    <w:rsid w:val="00AF1143"/>
    <w:rsid w:val="00AF264A"/>
    <w:rsid w:val="00AF3E95"/>
    <w:rsid w:val="00AF5F7A"/>
    <w:rsid w:val="00AF7C67"/>
    <w:rsid w:val="00B0066B"/>
    <w:rsid w:val="00B02460"/>
    <w:rsid w:val="00B131D7"/>
    <w:rsid w:val="00B15FE9"/>
    <w:rsid w:val="00B16C03"/>
    <w:rsid w:val="00B21FBA"/>
    <w:rsid w:val="00B26AD4"/>
    <w:rsid w:val="00B31CE6"/>
    <w:rsid w:val="00B33688"/>
    <w:rsid w:val="00B33B4A"/>
    <w:rsid w:val="00B50C46"/>
    <w:rsid w:val="00B5102F"/>
    <w:rsid w:val="00B51776"/>
    <w:rsid w:val="00B51883"/>
    <w:rsid w:val="00B540F1"/>
    <w:rsid w:val="00B6144E"/>
    <w:rsid w:val="00B61FD4"/>
    <w:rsid w:val="00B62EC6"/>
    <w:rsid w:val="00B674DB"/>
    <w:rsid w:val="00B72E3E"/>
    <w:rsid w:val="00B75096"/>
    <w:rsid w:val="00B80FE1"/>
    <w:rsid w:val="00B82E8D"/>
    <w:rsid w:val="00B878DD"/>
    <w:rsid w:val="00B90801"/>
    <w:rsid w:val="00B9264D"/>
    <w:rsid w:val="00B935E4"/>
    <w:rsid w:val="00B93CD7"/>
    <w:rsid w:val="00B94D99"/>
    <w:rsid w:val="00B97E98"/>
    <w:rsid w:val="00BA0DE0"/>
    <w:rsid w:val="00BA1CE5"/>
    <w:rsid w:val="00BA64D9"/>
    <w:rsid w:val="00BB3FA1"/>
    <w:rsid w:val="00BB4795"/>
    <w:rsid w:val="00BB526A"/>
    <w:rsid w:val="00BB5CF6"/>
    <w:rsid w:val="00BB62BB"/>
    <w:rsid w:val="00BB65C5"/>
    <w:rsid w:val="00BC05C5"/>
    <w:rsid w:val="00BC195E"/>
    <w:rsid w:val="00BD04BE"/>
    <w:rsid w:val="00BD439A"/>
    <w:rsid w:val="00BD4FB0"/>
    <w:rsid w:val="00BD7647"/>
    <w:rsid w:val="00BE0A09"/>
    <w:rsid w:val="00BE4F86"/>
    <w:rsid w:val="00BE5B6C"/>
    <w:rsid w:val="00BE6ADF"/>
    <w:rsid w:val="00BE6F28"/>
    <w:rsid w:val="00BF1A73"/>
    <w:rsid w:val="00BF29FA"/>
    <w:rsid w:val="00BF3839"/>
    <w:rsid w:val="00BF503D"/>
    <w:rsid w:val="00BF6919"/>
    <w:rsid w:val="00C010AF"/>
    <w:rsid w:val="00C04D2B"/>
    <w:rsid w:val="00C06F8B"/>
    <w:rsid w:val="00C07880"/>
    <w:rsid w:val="00C1268E"/>
    <w:rsid w:val="00C16F84"/>
    <w:rsid w:val="00C260DD"/>
    <w:rsid w:val="00C276B6"/>
    <w:rsid w:val="00C278CE"/>
    <w:rsid w:val="00C33357"/>
    <w:rsid w:val="00C35C97"/>
    <w:rsid w:val="00C37289"/>
    <w:rsid w:val="00C37E32"/>
    <w:rsid w:val="00C42C1C"/>
    <w:rsid w:val="00C659EC"/>
    <w:rsid w:val="00C721DE"/>
    <w:rsid w:val="00C7272F"/>
    <w:rsid w:val="00C737C5"/>
    <w:rsid w:val="00C740E2"/>
    <w:rsid w:val="00C95728"/>
    <w:rsid w:val="00C97335"/>
    <w:rsid w:val="00CA3540"/>
    <w:rsid w:val="00CA6DED"/>
    <w:rsid w:val="00CB05ED"/>
    <w:rsid w:val="00CC1C94"/>
    <w:rsid w:val="00CC36A9"/>
    <w:rsid w:val="00CC4157"/>
    <w:rsid w:val="00CC49D4"/>
    <w:rsid w:val="00CC663E"/>
    <w:rsid w:val="00CC71E8"/>
    <w:rsid w:val="00CD0CA8"/>
    <w:rsid w:val="00CE28EE"/>
    <w:rsid w:val="00CE5D01"/>
    <w:rsid w:val="00CE6F5A"/>
    <w:rsid w:val="00CE7E10"/>
    <w:rsid w:val="00CF28DF"/>
    <w:rsid w:val="00CF32AA"/>
    <w:rsid w:val="00CF42CF"/>
    <w:rsid w:val="00CF730C"/>
    <w:rsid w:val="00D06830"/>
    <w:rsid w:val="00D07489"/>
    <w:rsid w:val="00D102E9"/>
    <w:rsid w:val="00D14C4C"/>
    <w:rsid w:val="00D1688F"/>
    <w:rsid w:val="00D2117F"/>
    <w:rsid w:val="00D21362"/>
    <w:rsid w:val="00D246C2"/>
    <w:rsid w:val="00D249DF"/>
    <w:rsid w:val="00D25317"/>
    <w:rsid w:val="00D25C7F"/>
    <w:rsid w:val="00D30C24"/>
    <w:rsid w:val="00D32E08"/>
    <w:rsid w:val="00D36144"/>
    <w:rsid w:val="00D3716F"/>
    <w:rsid w:val="00D41924"/>
    <w:rsid w:val="00D4255A"/>
    <w:rsid w:val="00D4780E"/>
    <w:rsid w:val="00D50C51"/>
    <w:rsid w:val="00D62583"/>
    <w:rsid w:val="00D6353C"/>
    <w:rsid w:val="00D63B7E"/>
    <w:rsid w:val="00D6667C"/>
    <w:rsid w:val="00D66E8B"/>
    <w:rsid w:val="00D703A7"/>
    <w:rsid w:val="00D71756"/>
    <w:rsid w:val="00D805DB"/>
    <w:rsid w:val="00D818B1"/>
    <w:rsid w:val="00D85715"/>
    <w:rsid w:val="00D8706C"/>
    <w:rsid w:val="00D90972"/>
    <w:rsid w:val="00D934DF"/>
    <w:rsid w:val="00D97586"/>
    <w:rsid w:val="00DA0A0B"/>
    <w:rsid w:val="00DA22C0"/>
    <w:rsid w:val="00DA4AD2"/>
    <w:rsid w:val="00DA4C62"/>
    <w:rsid w:val="00DB18D1"/>
    <w:rsid w:val="00DB1F71"/>
    <w:rsid w:val="00DB4010"/>
    <w:rsid w:val="00DB69B1"/>
    <w:rsid w:val="00DB6A17"/>
    <w:rsid w:val="00DB70BE"/>
    <w:rsid w:val="00DC2C51"/>
    <w:rsid w:val="00DC3155"/>
    <w:rsid w:val="00DC3433"/>
    <w:rsid w:val="00DC47AB"/>
    <w:rsid w:val="00DC7ED4"/>
    <w:rsid w:val="00DD163A"/>
    <w:rsid w:val="00DD43AF"/>
    <w:rsid w:val="00DD4A9D"/>
    <w:rsid w:val="00DD5520"/>
    <w:rsid w:val="00DD6019"/>
    <w:rsid w:val="00DE3394"/>
    <w:rsid w:val="00DE3D3C"/>
    <w:rsid w:val="00DE5C9D"/>
    <w:rsid w:val="00DE716B"/>
    <w:rsid w:val="00DF16C2"/>
    <w:rsid w:val="00DF20E8"/>
    <w:rsid w:val="00DF26E5"/>
    <w:rsid w:val="00DF5231"/>
    <w:rsid w:val="00E00029"/>
    <w:rsid w:val="00E0016E"/>
    <w:rsid w:val="00E00F76"/>
    <w:rsid w:val="00E01197"/>
    <w:rsid w:val="00E0393A"/>
    <w:rsid w:val="00E05DE3"/>
    <w:rsid w:val="00E13CF0"/>
    <w:rsid w:val="00E14CE8"/>
    <w:rsid w:val="00E16658"/>
    <w:rsid w:val="00E20C02"/>
    <w:rsid w:val="00E21E75"/>
    <w:rsid w:val="00E274B8"/>
    <w:rsid w:val="00E45711"/>
    <w:rsid w:val="00E519DC"/>
    <w:rsid w:val="00E56C5B"/>
    <w:rsid w:val="00E56D67"/>
    <w:rsid w:val="00E57343"/>
    <w:rsid w:val="00E62CA9"/>
    <w:rsid w:val="00E807DA"/>
    <w:rsid w:val="00E823E3"/>
    <w:rsid w:val="00E841C2"/>
    <w:rsid w:val="00E84E3A"/>
    <w:rsid w:val="00E9715A"/>
    <w:rsid w:val="00EA05AF"/>
    <w:rsid w:val="00EA2114"/>
    <w:rsid w:val="00EB67CD"/>
    <w:rsid w:val="00EB78AE"/>
    <w:rsid w:val="00EC43B9"/>
    <w:rsid w:val="00ED17CE"/>
    <w:rsid w:val="00ED2768"/>
    <w:rsid w:val="00ED33C6"/>
    <w:rsid w:val="00ED4D69"/>
    <w:rsid w:val="00ED613A"/>
    <w:rsid w:val="00EE1C64"/>
    <w:rsid w:val="00EE362F"/>
    <w:rsid w:val="00EE5773"/>
    <w:rsid w:val="00EE7F17"/>
    <w:rsid w:val="00EF0E19"/>
    <w:rsid w:val="00EF556E"/>
    <w:rsid w:val="00EF5BB7"/>
    <w:rsid w:val="00EF5C27"/>
    <w:rsid w:val="00EF6D74"/>
    <w:rsid w:val="00F07190"/>
    <w:rsid w:val="00F1144B"/>
    <w:rsid w:val="00F114AE"/>
    <w:rsid w:val="00F117AD"/>
    <w:rsid w:val="00F166AB"/>
    <w:rsid w:val="00F22A17"/>
    <w:rsid w:val="00F308E8"/>
    <w:rsid w:val="00F33212"/>
    <w:rsid w:val="00F34588"/>
    <w:rsid w:val="00F34B9C"/>
    <w:rsid w:val="00F356A4"/>
    <w:rsid w:val="00F36989"/>
    <w:rsid w:val="00F4216D"/>
    <w:rsid w:val="00F43CA0"/>
    <w:rsid w:val="00F55030"/>
    <w:rsid w:val="00F5746D"/>
    <w:rsid w:val="00F613C3"/>
    <w:rsid w:val="00F65AA9"/>
    <w:rsid w:val="00F7696F"/>
    <w:rsid w:val="00F8209B"/>
    <w:rsid w:val="00F96525"/>
    <w:rsid w:val="00F97CD9"/>
    <w:rsid w:val="00FA0576"/>
    <w:rsid w:val="00FA5FE6"/>
    <w:rsid w:val="00FA6FE3"/>
    <w:rsid w:val="00FA7F23"/>
    <w:rsid w:val="00FB0110"/>
    <w:rsid w:val="00FB50B4"/>
    <w:rsid w:val="00FB5FBD"/>
    <w:rsid w:val="00FB7E51"/>
    <w:rsid w:val="00FC0331"/>
    <w:rsid w:val="00FC045A"/>
    <w:rsid w:val="00FC40B7"/>
    <w:rsid w:val="00FC5CAD"/>
    <w:rsid w:val="00FC5DC4"/>
    <w:rsid w:val="00FD4B97"/>
    <w:rsid w:val="00FD5CBE"/>
    <w:rsid w:val="00FE4C08"/>
    <w:rsid w:val="00FE5511"/>
    <w:rsid w:val="00FE55EB"/>
    <w:rsid w:val="00FF0645"/>
    <w:rsid w:val="00FF133C"/>
    <w:rsid w:val="00FF42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style="mso-width-relative:margin;mso-height-relative:margin">
      <v:stroke dashstyle="1 1" weight="2.25pt" endcap="round"/>
      <v:textbox style="mso-fit-shape-to-text:t"/>
      <o:colormru v:ext="edit" colors="white,#39f,#0c0,red,#06f,#f2f2f2,#38ce4a,#b2ecb9"/>
      <o:colormenu v:ext="edit" fillcolor="white" strokecolor="#b2ecb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9"/>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8"/>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uiPriority w:val="99"/>
    <w:semiHidden/>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2E4720"/>
    <w:pPr>
      <w:keepNext/>
      <w:spacing w:before="120" w:after="120"/>
    </w:pPr>
    <w:rPr>
      <w:b/>
      <w:color w:val="21798E" w:themeColor="accent1" w:themeShade="BF"/>
      <w:sz w:val="22"/>
    </w:rPr>
  </w:style>
  <w:style w:type="paragraph" w:customStyle="1" w:styleId="HeadingBoldItalic">
    <w:name w:val="Heading Bold Italic"/>
    <w:basedOn w:val="AERbodytext"/>
    <w:next w:val="AERbodytext"/>
    <w:qFormat/>
    <w:rsid w:val="002E4720"/>
    <w:pPr>
      <w:keepNext/>
      <w:spacing w:before="120" w:after="120"/>
    </w:pPr>
    <w:rPr>
      <w:b/>
      <w:i/>
      <w:color w:val="E36C0A"/>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2E4720"/>
    <w:rPr>
      <w:rFonts w:eastAsia="Times New Roman"/>
      <w:b/>
      <w:color w:val="21798E" w:themeColor="accent1" w:themeShade="BF"/>
      <w:sz w:val="22"/>
      <w:szCs w:val="24"/>
      <w:lang w:eastAsia="en-US"/>
    </w:rPr>
  </w:style>
  <w:style w:type="paragraph" w:customStyle="1" w:styleId="HeadingItalic">
    <w:name w:val="Heading Italic"/>
    <w:basedOn w:val="AERbodytext"/>
    <w:next w:val="AERbodytext"/>
    <w:qFormat/>
    <w:rsid w:val="002E4720"/>
    <w:pPr>
      <w:keepNext/>
      <w:spacing w:before="120" w:after="120"/>
    </w:pPr>
    <w:rPr>
      <w:i/>
      <w:color w:val="21798E" w:themeColor="accent1" w:themeShade="BF"/>
    </w:rPr>
  </w:style>
  <w:style w:type="character" w:styleId="PageNumber">
    <w:name w:val="page number"/>
    <w:basedOn w:val="DefaultParagraphFont"/>
    <w:rsid w:val="00CC49D4"/>
    <w:rPr>
      <w:rFonts w:ascii="Gautami" w:hAnsi="Gautami"/>
      <w:sz w:val="18"/>
    </w:rPr>
  </w:style>
  <w:style w:type="character" w:styleId="FollowedHyperlink">
    <w:name w:val="FollowedHyperlink"/>
    <w:basedOn w:val="DefaultParagraphFont"/>
    <w:uiPriority w:val="99"/>
    <w:semiHidden/>
    <w:unhideWhenUsed/>
    <w:rsid w:val="009A29B5"/>
    <w:rPr>
      <w:color w:val="44B9E8" w:themeColor="followedHyperlink"/>
      <w:u w:val="single"/>
    </w:rPr>
  </w:style>
  <w:style w:type="paragraph" w:styleId="Revision">
    <w:name w:val="Revision"/>
    <w:hidden/>
    <w:uiPriority w:val="99"/>
    <w:semiHidden/>
    <w:rsid w:val="00BB5CF6"/>
    <w:rPr>
      <w:lang w:eastAsia="en-US"/>
    </w:rPr>
  </w:style>
  <w:style w:type="paragraph" w:styleId="NormalWeb">
    <w:name w:val="Normal (Web)"/>
    <w:basedOn w:val="Normal"/>
    <w:uiPriority w:val="99"/>
    <w:semiHidden/>
    <w:unhideWhenUsed/>
    <w:locked/>
    <w:rsid w:val="009B04E9"/>
    <w:rPr>
      <w:rFonts w:ascii="Times New Roman" w:hAnsi="Times New Roman"/>
      <w:sz w:val="24"/>
      <w:szCs w:val="24"/>
    </w:rPr>
  </w:style>
  <w:style w:type="paragraph" w:customStyle="1" w:styleId="AERheading2">
    <w:name w:val="AER heading 2"/>
    <w:basedOn w:val="Heading2"/>
    <w:next w:val="AERbodytext"/>
    <w:rsid w:val="00134EED"/>
    <w:pPr>
      <w:keepLines w:val="0"/>
      <w:numPr>
        <w:ilvl w:val="1"/>
        <w:numId w:val="10"/>
      </w:numPr>
      <w:spacing w:before="240" w:line="240" w:lineRule="auto"/>
    </w:pPr>
    <w:rPr>
      <w:rFonts w:ascii="Times New Roman" w:hAnsi="Times New Roman" w:cs="Arial"/>
      <w:bCs/>
      <w:iCs/>
      <w:color w:val="auto"/>
      <w:sz w:val="30"/>
      <w:szCs w:val="28"/>
      <w:lang w:eastAsia="en-AU"/>
    </w:rPr>
  </w:style>
  <w:style w:type="paragraph" w:customStyle="1" w:styleId="AERheading3">
    <w:name w:val="AER heading 3"/>
    <w:basedOn w:val="Heading3"/>
    <w:next w:val="AERbodytext"/>
    <w:rsid w:val="00134EED"/>
    <w:pPr>
      <w:keepLines w:val="0"/>
      <w:numPr>
        <w:ilvl w:val="2"/>
        <w:numId w:val="10"/>
      </w:numPr>
      <w:spacing w:before="240" w:line="240" w:lineRule="auto"/>
    </w:pPr>
    <w:rPr>
      <w:rFonts w:ascii="Arial Bold" w:hAnsi="Arial Bold" w:cs="Arial"/>
      <w:color w:val="auto"/>
      <w:szCs w:val="24"/>
      <w:lang w:eastAsia="en-AU"/>
    </w:rPr>
  </w:style>
  <w:style w:type="paragraph" w:customStyle="1" w:styleId="AERheading4">
    <w:name w:val="AER heading 4"/>
    <w:basedOn w:val="Heading4"/>
    <w:next w:val="AERbodytext"/>
    <w:rsid w:val="00134EED"/>
    <w:pPr>
      <w:numPr>
        <w:ilvl w:val="3"/>
        <w:numId w:val="10"/>
      </w:numPr>
      <w:spacing w:before="240" w:after="120" w:line="240" w:lineRule="auto"/>
      <w:jc w:val="left"/>
    </w:pPr>
    <w:rPr>
      <w:rFonts w:ascii="Times New Roman" w:hAnsi="Times New Roman"/>
      <w:bCs/>
      <w:iCs w:val="0"/>
      <w:color w:val="auto"/>
      <w:szCs w:val="28"/>
      <w:lang w:eastAsia="en-AU"/>
    </w:rPr>
  </w:style>
  <w:style w:type="paragraph" w:customStyle="1" w:styleId="AERtableheading">
    <w:name w:val="AER table heading"/>
    <w:basedOn w:val="Normal"/>
    <w:next w:val="Normal"/>
    <w:rsid w:val="00134EED"/>
    <w:pPr>
      <w:keepNext/>
      <w:numPr>
        <w:ilvl w:val="4"/>
        <w:numId w:val="10"/>
      </w:numPr>
      <w:spacing w:before="240" w:after="120" w:line="240" w:lineRule="auto"/>
      <w:jc w:val="left"/>
      <w:outlineLvl w:val="3"/>
    </w:pPr>
    <w:rPr>
      <w:rFonts w:ascii="Times New Roman" w:eastAsia="Times New Roman" w:hAnsi="Times New Roman"/>
      <w:b/>
      <w:sz w:val="22"/>
      <w:szCs w:val="24"/>
    </w:rPr>
  </w:style>
  <w:style w:type="paragraph" w:customStyle="1" w:styleId="AERfigureheading">
    <w:name w:val="AER figure heading"/>
    <w:basedOn w:val="Normal"/>
    <w:next w:val="AERbodytext"/>
    <w:rsid w:val="00134EED"/>
    <w:pPr>
      <w:keepNext/>
      <w:numPr>
        <w:ilvl w:val="5"/>
        <w:numId w:val="10"/>
      </w:numPr>
      <w:spacing w:before="240" w:after="120" w:line="240" w:lineRule="auto"/>
      <w:jc w:val="left"/>
      <w:outlineLvl w:val="3"/>
    </w:pPr>
    <w:rPr>
      <w:rFonts w:ascii="Times New Roman" w:eastAsia="Times New Roman" w:hAnsi="Times New Roman"/>
      <w:b/>
      <w:sz w:val="22"/>
      <w:szCs w:val="24"/>
    </w:rPr>
  </w:style>
  <w:style w:type="paragraph" w:customStyle="1" w:styleId="AERtableheading-unnumbered">
    <w:name w:val="AER table heading - unnumbered"/>
    <w:basedOn w:val="AERtableheading"/>
    <w:rsid w:val="00134EED"/>
    <w:pPr>
      <w:numPr>
        <w:ilvl w:val="6"/>
      </w:numPr>
    </w:pPr>
  </w:style>
  <w:style w:type="paragraph" w:customStyle="1" w:styleId="AERfigureheading-unnumbered">
    <w:name w:val="AER figure heading - unnumbered"/>
    <w:basedOn w:val="AERfigureheading"/>
    <w:rsid w:val="00134EED"/>
    <w:pPr>
      <w:numPr>
        <w:ilvl w:val="7"/>
      </w:numPr>
    </w:pPr>
  </w:style>
  <w:style w:type="paragraph" w:customStyle="1" w:styleId="AERheading1">
    <w:name w:val="AER heading 1"/>
    <w:basedOn w:val="Heading1"/>
    <w:next w:val="AERbodytext"/>
    <w:rsid w:val="00134EED"/>
    <w:pPr>
      <w:keepLines w:val="0"/>
      <w:numPr>
        <w:ilvl w:val="0"/>
        <w:numId w:val="10"/>
      </w:numPr>
      <w:spacing w:before="240" w:line="240" w:lineRule="auto"/>
    </w:pPr>
    <w:rPr>
      <w:rFonts w:ascii="Arial" w:hAnsi="Arial" w:cs="Arial"/>
      <w:color w:val="auto"/>
      <w:kern w:val="32"/>
      <w:szCs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88950">
      <w:bodyDiv w:val="1"/>
      <w:marLeft w:val="0"/>
      <w:marRight w:val="0"/>
      <w:marTop w:val="0"/>
      <w:marBottom w:val="0"/>
      <w:divBdr>
        <w:top w:val="none" w:sz="0" w:space="0" w:color="auto"/>
        <w:left w:val="none" w:sz="0" w:space="0" w:color="auto"/>
        <w:bottom w:val="none" w:sz="0" w:space="0" w:color="auto"/>
        <w:right w:val="none" w:sz="0" w:space="0" w:color="auto"/>
      </w:divBdr>
    </w:div>
    <w:div w:id="701906631">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214582918">
      <w:bodyDiv w:val="1"/>
      <w:marLeft w:val="0"/>
      <w:marRight w:val="0"/>
      <w:marTop w:val="0"/>
      <w:marBottom w:val="0"/>
      <w:divBdr>
        <w:top w:val="none" w:sz="0" w:space="0" w:color="auto"/>
        <w:left w:val="none" w:sz="0" w:space="0" w:color="auto"/>
        <w:bottom w:val="none" w:sz="0" w:space="0" w:color="auto"/>
        <w:right w:val="none" w:sz="0" w:space="0" w:color="auto"/>
      </w:divBdr>
    </w:div>
    <w:div w:id="1419063370">
      <w:bodyDiv w:val="1"/>
      <w:marLeft w:val="0"/>
      <w:marRight w:val="0"/>
      <w:marTop w:val="0"/>
      <w:marBottom w:val="0"/>
      <w:divBdr>
        <w:top w:val="none" w:sz="0" w:space="0" w:color="auto"/>
        <w:left w:val="none" w:sz="0" w:space="0" w:color="auto"/>
        <w:bottom w:val="none" w:sz="0" w:space="0" w:color="auto"/>
        <w:right w:val="none" w:sz="0" w:space="0" w:color="auto"/>
      </w:divBdr>
    </w:div>
    <w:div w:id="170324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r.gov.au/node/1840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hyperlink" Target="mailto:AERInquiry@aer.gov.a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A7DC9-94C1-4B6E-9191-2F961585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9736147F.dotm</Template>
  <TotalTime>0</TotalTime>
  <Pages>8</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SPV report Brisbane STTM</dc:title>
  <dc:subject/>
  <dc:creator/>
  <cp:keywords/>
  <cp:lastModifiedBy/>
  <cp:revision>1</cp:revision>
  <dcterms:created xsi:type="dcterms:W3CDTF">2014-09-24T00:56:00Z</dcterms:created>
  <dcterms:modified xsi:type="dcterms:W3CDTF">2014-09-24T00:56:00Z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C:\Documents and Settings\kauret\Local Settings\Temporary Internet Files\Content.Outlook\BR07H58I\AER SPV report Brisbane hub 7 July.DOCX</vt:lpwstr>
  </property>
</Properties>
</file>