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A131FB" w:rsidP="00824CC8">
      <w:pPr>
        <w:pStyle w:val="AERbodytextindent1"/>
        <w:rPr>
          <w:rStyle w:val="AERtextsize8"/>
        </w:rPr>
      </w:pPr>
      <w:bookmarkStart w:id="0" w:name="_GoBack"/>
      <w:bookmarkEnd w:id="0"/>
      <w:r w:rsidRPr="00824CC8">
        <w:rPr>
          <w:noProof/>
          <w:lang w:eastAsia="en-AU"/>
        </w:rPr>
        <w:drawing>
          <wp:anchor distT="0" distB="0" distL="114300" distR="114300" simplePos="0" relativeHeight="251648512" behindDoc="1" locked="0" layoutInCell="1" allowOverlap="1" wp14:anchorId="60D331D0" wp14:editId="212AE789">
            <wp:simplePos x="0" y="0"/>
            <wp:positionH relativeFrom="column">
              <wp:posOffset>-914400</wp:posOffset>
            </wp:positionH>
            <wp:positionV relativeFrom="paragraph">
              <wp:posOffset>-944169</wp:posOffset>
            </wp:positionV>
            <wp:extent cx="7602854" cy="10783019"/>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02854" cy="107830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49D4" w:rsidRPr="00824CC8">
        <w:rPr>
          <w:noProof/>
          <w:lang w:eastAsia="en-AU"/>
        </w:rPr>
        <w:drawing>
          <wp:anchor distT="0" distB="0" distL="114300" distR="114300" simplePos="0" relativeHeight="251647488" behindDoc="1" locked="0" layoutInCell="1" allowOverlap="1" wp14:anchorId="060126A0" wp14:editId="75336FE9">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A131FB" w:rsidRDefault="00A131FB" w:rsidP="000A1CC2">
      <w:pPr>
        <w:pStyle w:val="AERtitle1"/>
      </w:pPr>
    </w:p>
    <w:p w:rsidR="00A131FB" w:rsidRDefault="00A131FB" w:rsidP="000A1CC2">
      <w:pPr>
        <w:pStyle w:val="AERtitle1"/>
      </w:pPr>
    </w:p>
    <w:p w:rsidR="00A131FB" w:rsidRDefault="00A131FB" w:rsidP="000A1CC2">
      <w:pPr>
        <w:pStyle w:val="AERtitle1"/>
      </w:pPr>
    </w:p>
    <w:p w:rsidR="00A131FB" w:rsidRDefault="00A131FB" w:rsidP="000A1CC2">
      <w:pPr>
        <w:pStyle w:val="AERtitle1"/>
      </w:pPr>
    </w:p>
    <w:p w:rsidR="000A1CC2" w:rsidRDefault="00624F72" w:rsidP="000A1CC2">
      <w:pPr>
        <w:pStyle w:val="AERtitle1"/>
      </w:pPr>
      <w:r>
        <w:t>Gas market s</w:t>
      </w:r>
      <w:r w:rsidR="00DA4AD2">
        <w:t>ignificant price variation report</w:t>
      </w:r>
    </w:p>
    <w:p w:rsidR="000A1CC2" w:rsidRDefault="000A1CC2" w:rsidP="000A1CC2">
      <w:pPr>
        <w:pStyle w:val="AERtitle1"/>
      </w:pPr>
    </w:p>
    <w:p w:rsidR="00AF3E95" w:rsidRDefault="00AB43D5" w:rsidP="000B15CA">
      <w:pPr>
        <w:pStyle w:val="AERtitle2"/>
      </w:pPr>
      <w:r>
        <w:t>MOS</w:t>
      </w:r>
      <w:r w:rsidR="0001461C">
        <w:t xml:space="preserve"> </w:t>
      </w:r>
      <w:r w:rsidR="00DA4AD2">
        <w:t>service payments</w:t>
      </w:r>
    </w:p>
    <w:p w:rsidR="00DA4AD2" w:rsidRDefault="00DA4AD2" w:rsidP="000B15CA">
      <w:pPr>
        <w:pStyle w:val="AERtitle2"/>
      </w:pPr>
      <w:r>
        <w:t>25 June 2013, Adelaide STTM</w:t>
      </w:r>
    </w:p>
    <w:p w:rsidR="000B15CA" w:rsidRDefault="000B15CA" w:rsidP="000B15CA">
      <w:pPr>
        <w:pStyle w:val="AERtitle2"/>
      </w:pPr>
    </w:p>
    <w:p w:rsidR="000B15CA" w:rsidRDefault="000B15CA" w:rsidP="000B15CA">
      <w:pPr>
        <w:pStyle w:val="AERtitle2"/>
      </w:pPr>
    </w:p>
    <w:p w:rsidR="000B15CA" w:rsidRDefault="000B15CA" w:rsidP="000B15CA">
      <w:pPr>
        <w:pStyle w:val="AERtitle2"/>
      </w:pPr>
    </w:p>
    <w:p w:rsidR="004E73F7" w:rsidRDefault="004E73F7" w:rsidP="00F97CD9">
      <w:pPr>
        <w:pStyle w:val="AERbodytextnospace"/>
        <w:numPr>
          <w:ilvl w:val="0"/>
          <w:numId w:val="13"/>
        </w:numPr>
      </w:pPr>
    </w:p>
    <w:p w:rsidR="000B15CA" w:rsidRDefault="000B15CA" w:rsidP="00F97CD9">
      <w:pPr>
        <w:pStyle w:val="AERbodytextnospace"/>
        <w:numPr>
          <w:ilvl w:val="0"/>
          <w:numId w:val="13"/>
        </w:numPr>
      </w:pPr>
    </w:p>
    <w:p w:rsidR="00CC49D4" w:rsidRPr="00412D01" w:rsidRDefault="00CC49D4" w:rsidP="00CC49D4"/>
    <w:p w:rsidR="00D36144" w:rsidRDefault="00D36144" w:rsidP="00D36144">
      <w:pPr>
        <w:pStyle w:val="AERbodytextnospace"/>
        <w:rPr>
          <w:rStyle w:val="AERtextbold"/>
        </w:rPr>
      </w:pPr>
      <w:bookmarkStart w:id="1" w:name="_Toc360023682"/>
      <w:bookmarkStart w:id="2" w:name="_Toc360024843"/>
      <w:bookmarkStart w:id="3" w:name="_Toc360026187"/>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6E0734" w:rsidRDefault="006E0734" w:rsidP="00D36144">
      <w:pPr>
        <w:pStyle w:val="AERbodytextnospace"/>
        <w:rPr>
          <w:rStyle w:val="AERtextbold"/>
        </w:rPr>
      </w:pPr>
    </w:p>
    <w:p w:rsidR="007A5812" w:rsidRDefault="007A5812" w:rsidP="007A5812">
      <w:pPr>
        <w:pStyle w:val="AERbodytextnospace"/>
        <w:rPr>
          <w:rStyle w:val="AERtextbold"/>
        </w:rPr>
      </w:pPr>
    </w:p>
    <w:p w:rsidR="00D36144" w:rsidRPr="00D36144" w:rsidRDefault="00D36144" w:rsidP="007A5812">
      <w:pPr>
        <w:pStyle w:val="AERbodytextnospace"/>
        <w:rPr>
          <w:rStyle w:val="AERtextbold"/>
        </w:rPr>
      </w:pPr>
      <w:r w:rsidRPr="008F1A4A">
        <w:rPr>
          <w:rStyle w:val="AERtextbold"/>
        </w:rPr>
        <w:t>©</w:t>
      </w:r>
      <w:r w:rsidRPr="00D36144">
        <w:rPr>
          <w:rStyle w:val="AERtextbold"/>
        </w:rPr>
        <w:t xml:space="preserve"> Commonwealth of Australia 2013</w:t>
      </w:r>
    </w:p>
    <w:p w:rsidR="00D36144" w:rsidRPr="00F6235D" w:rsidRDefault="00D36144" w:rsidP="00D36144">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36144" w:rsidRDefault="00D36144" w:rsidP="00D36144">
      <w:r>
        <w:t>Inquiries about this document should be addressed to:</w:t>
      </w:r>
    </w:p>
    <w:p w:rsidR="00D36144" w:rsidRDefault="00D36144" w:rsidP="00D36144">
      <w:pPr>
        <w:pStyle w:val="AERbodytextnospace"/>
        <w:numPr>
          <w:ilvl w:val="0"/>
          <w:numId w:val="13"/>
        </w:numPr>
      </w:pPr>
      <w:r>
        <w:t>Australian Energy Regulator</w:t>
      </w:r>
    </w:p>
    <w:p w:rsidR="00D36144" w:rsidRDefault="00D36144" w:rsidP="00D36144">
      <w:pPr>
        <w:pStyle w:val="AERbodytextnospace"/>
        <w:numPr>
          <w:ilvl w:val="0"/>
          <w:numId w:val="13"/>
        </w:numPr>
      </w:pPr>
      <w:r>
        <w:t>GPO Box 520</w:t>
      </w:r>
    </w:p>
    <w:p w:rsidR="00D36144" w:rsidRDefault="00D36144" w:rsidP="00D36144">
      <w:pPr>
        <w:pStyle w:val="AERbodytextnospace"/>
        <w:numPr>
          <w:ilvl w:val="0"/>
          <w:numId w:val="13"/>
        </w:numPr>
      </w:pPr>
      <w:r>
        <w:t>Melbourne  Vic  3001</w:t>
      </w:r>
    </w:p>
    <w:p w:rsidR="00D36144" w:rsidRDefault="00D36144" w:rsidP="00D36144">
      <w:pPr>
        <w:pStyle w:val="AERbodytextnospace"/>
        <w:numPr>
          <w:ilvl w:val="0"/>
          <w:numId w:val="13"/>
        </w:numPr>
      </w:pPr>
      <w:r>
        <w:t>Tel: (03) 9290 1444</w:t>
      </w:r>
    </w:p>
    <w:p w:rsidR="00D36144" w:rsidRDefault="00D36144" w:rsidP="00D36144">
      <w:pPr>
        <w:pStyle w:val="AERbodytextnospace"/>
        <w:numPr>
          <w:ilvl w:val="0"/>
          <w:numId w:val="13"/>
        </w:numPr>
      </w:pPr>
      <w:r>
        <w:t>Fax: (03) 9290 1457</w:t>
      </w:r>
    </w:p>
    <w:p w:rsidR="00D36144" w:rsidRDefault="00D36144" w:rsidP="00D36144">
      <w:pPr>
        <w:pStyle w:val="AERbodytextnospace"/>
        <w:numPr>
          <w:ilvl w:val="0"/>
          <w:numId w:val="13"/>
        </w:numPr>
      </w:pPr>
      <w:r>
        <w:t xml:space="preserve">Email: </w:t>
      </w:r>
      <w:hyperlink r:id="rId10" w:history="1">
        <w:r w:rsidRPr="003E184A">
          <w:rPr>
            <w:rStyle w:val="Hyperlink"/>
          </w:rPr>
          <w:t>AERInquiry@aer.gov.au</w:t>
        </w:r>
      </w:hyperlink>
    </w:p>
    <w:p w:rsidR="00D36144" w:rsidRPr="008F1A4A" w:rsidRDefault="00D36144" w:rsidP="00D36144"/>
    <w:p w:rsidR="00D36144" w:rsidRDefault="00D36144" w:rsidP="00D36144">
      <w:r>
        <w:t xml:space="preserve">AER reference:   </w:t>
      </w:r>
      <w:r w:rsidR="0013058F" w:rsidRPr="0013058F">
        <w:t>51673</w:t>
      </w:r>
      <w:r w:rsidR="0013058F">
        <w:t xml:space="preserve"> / </w:t>
      </w:r>
      <w:r w:rsidR="00216353" w:rsidRPr="00216353">
        <w:t>D13/134960</w:t>
      </w:r>
    </w:p>
    <w:p w:rsidR="00101272" w:rsidRDefault="00AF3E95" w:rsidP="00BD439A">
      <w:pPr>
        <w:pStyle w:val="UnnumberedHeading"/>
        <w:numPr>
          <w:ilvl w:val="0"/>
          <w:numId w:val="2"/>
        </w:numPr>
        <w:tabs>
          <w:tab w:val="right" w:leader="dot" w:pos="9016"/>
        </w:tabs>
        <w:rPr>
          <w:noProof/>
        </w:rPr>
      </w:pPr>
      <w:bookmarkStart w:id="4" w:name="_Toc367106863"/>
      <w:bookmarkStart w:id="5" w:name="_Toc367192702"/>
      <w:bookmarkStart w:id="6" w:name="_Toc368048795"/>
      <w:r>
        <w:lastRenderedPageBreak/>
        <w:t>Contents</w:t>
      </w:r>
      <w:bookmarkEnd w:id="1"/>
      <w:bookmarkEnd w:id="2"/>
      <w:bookmarkEnd w:id="3"/>
      <w:bookmarkEnd w:id="4"/>
      <w:bookmarkEnd w:id="5"/>
      <w:bookmarkEnd w:id="6"/>
      <w:r w:rsidR="00824CC8" w:rsidRPr="00AC1B94">
        <w:fldChar w:fldCharType="begin"/>
      </w:r>
      <w:r w:rsidR="00824CC8" w:rsidRPr="00971655">
        <w:instrText xml:space="preserve"> TOC \o "1-2" \h \z \u </w:instrText>
      </w:r>
      <w:r w:rsidR="00824CC8" w:rsidRPr="00AC1B94">
        <w:fldChar w:fldCharType="separate"/>
      </w:r>
    </w:p>
    <w:p w:rsidR="00101272" w:rsidRDefault="00EF6D74">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8048796" w:history="1">
        <w:r w:rsidR="00101272" w:rsidRPr="00A138C5">
          <w:rPr>
            <w:rStyle w:val="Hyperlink"/>
            <w:noProof/>
          </w:rPr>
          <w:t>Executive summary</w:t>
        </w:r>
        <w:r w:rsidR="00101272">
          <w:rPr>
            <w:noProof/>
            <w:webHidden/>
          </w:rPr>
          <w:tab/>
        </w:r>
        <w:r w:rsidR="00101272">
          <w:rPr>
            <w:noProof/>
            <w:webHidden/>
          </w:rPr>
          <w:fldChar w:fldCharType="begin"/>
        </w:r>
        <w:r w:rsidR="00101272">
          <w:rPr>
            <w:noProof/>
            <w:webHidden/>
          </w:rPr>
          <w:instrText xml:space="preserve"> PAGEREF _Toc368048796 \h </w:instrText>
        </w:r>
        <w:r w:rsidR="00101272">
          <w:rPr>
            <w:noProof/>
            <w:webHidden/>
          </w:rPr>
        </w:r>
        <w:r w:rsidR="00101272">
          <w:rPr>
            <w:noProof/>
            <w:webHidden/>
          </w:rPr>
          <w:fldChar w:fldCharType="separate"/>
        </w:r>
        <w:r>
          <w:rPr>
            <w:noProof/>
            <w:webHidden/>
          </w:rPr>
          <w:t>4</w:t>
        </w:r>
        <w:r w:rsidR="00101272">
          <w:rPr>
            <w:noProof/>
            <w:webHidden/>
          </w:rPr>
          <w:fldChar w:fldCharType="end"/>
        </w:r>
      </w:hyperlink>
    </w:p>
    <w:p w:rsidR="00101272" w:rsidRDefault="00EF6D7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8048797" w:history="1">
        <w:r w:rsidR="00101272" w:rsidRPr="00A138C5">
          <w:rPr>
            <w:rStyle w:val="Hyperlink"/>
            <w:noProof/>
          </w:rPr>
          <w:t>1</w:t>
        </w:r>
        <w:r w:rsidR="00101272">
          <w:rPr>
            <w:rFonts w:asciiTheme="minorHAnsi" w:eastAsiaTheme="minorEastAsia" w:hAnsiTheme="minorHAnsi" w:cstheme="minorBidi"/>
            <w:b w:val="0"/>
            <w:bCs w:val="0"/>
            <w:noProof/>
            <w:sz w:val="22"/>
            <w:szCs w:val="22"/>
            <w:lang w:eastAsia="en-AU"/>
          </w:rPr>
          <w:tab/>
        </w:r>
        <w:r w:rsidR="00101272" w:rsidRPr="00A138C5">
          <w:rPr>
            <w:rStyle w:val="Hyperlink"/>
            <w:noProof/>
          </w:rPr>
          <w:t>Background</w:t>
        </w:r>
        <w:r w:rsidR="00101272">
          <w:rPr>
            <w:noProof/>
            <w:webHidden/>
          </w:rPr>
          <w:tab/>
        </w:r>
        <w:r w:rsidR="00101272">
          <w:rPr>
            <w:noProof/>
            <w:webHidden/>
          </w:rPr>
          <w:fldChar w:fldCharType="begin"/>
        </w:r>
        <w:r w:rsidR="00101272">
          <w:rPr>
            <w:noProof/>
            <w:webHidden/>
          </w:rPr>
          <w:instrText xml:space="preserve"> PAGEREF _Toc368048797 \h </w:instrText>
        </w:r>
        <w:r w:rsidR="00101272">
          <w:rPr>
            <w:noProof/>
            <w:webHidden/>
          </w:rPr>
        </w:r>
        <w:r w:rsidR="00101272">
          <w:rPr>
            <w:noProof/>
            <w:webHidden/>
          </w:rPr>
          <w:fldChar w:fldCharType="separate"/>
        </w:r>
        <w:r>
          <w:rPr>
            <w:noProof/>
            <w:webHidden/>
          </w:rPr>
          <w:t>5</w:t>
        </w:r>
        <w:r w:rsidR="00101272">
          <w:rPr>
            <w:noProof/>
            <w:webHidden/>
          </w:rPr>
          <w:fldChar w:fldCharType="end"/>
        </w:r>
      </w:hyperlink>
    </w:p>
    <w:p w:rsidR="00101272" w:rsidRDefault="00EF6D7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8048798" w:history="1">
        <w:r w:rsidR="00101272" w:rsidRPr="00A138C5">
          <w:rPr>
            <w:rStyle w:val="Hyperlink"/>
            <w:noProof/>
          </w:rPr>
          <w:t>1.1</w:t>
        </w:r>
        <w:r w:rsidR="00101272">
          <w:rPr>
            <w:rFonts w:asciiTheme="minorHAnsi" w:eastAsiaTheme="minorEastAsia" w:hAnsiTheme="minorHAnsi" w:cstheme="minorBidi"/>
            <w:iCs w:val="0"/>
            <w:noProof/>
            <w:sz w:val="22"/>
            <w:szCs w:val="22"/>
            <w:lang w:eastAsia="en-AU"/>
          </w:rPr>
          <w:tab/>
        </w:r>
        <w:r w:rsidR="00101272" w:rsidRPr="00A138C5">
          <w:rPr>
            <w:rStyle w:val="Hyperlink"/>
            <w:noProof/>
          </w:rPr>
          <w:t>The AER's reporting role</w:t>
        </w:r>
        <w:r w:rsidR="00101272">
          <w:rPr>
            <w:noProof/>
            <w:webHidden/>
          </w:rPr>
          <w:tab/>
        </w:r>
        <w:r w:rsidR="00101272">
          <w:rPr>
            <w:noProof/>
            <w:webHidden/>
          </w:rPr>
          <w:fldChar w:fldCharType="begin"/>
        </w:r>
        <w:r w:rsidR="00101272">
          <w:rPr>
            <w:noProof/>
            <w:webHidden/>
          </w:rPr>
          <w:instrText xml:space="preserve"> PAGEREF _Toc368048798 \h </w:instrText>
        </w:r>
        <w:r w:rsidR="00101272">
          <w:rPr>
            <w:noProof/>
            <w:webHidden/>
          </w:rPr>
        </w:r>
        <w:r w:rsidR="00101272">
          <w:rPr>
            <w:noProof/>
            <w:webHidden/>
          </w:rPr>
          <w:fldChar w:fldCharType="separate"/>
        </w:r>
        <w:r>
          <w:rPr>
            <w:noProof/>
            <w:webHidden/>
          </w:rPr>
          <w:t>5</w:t>
        </w:r>
        <w:r w:rsidR="00101272">
          <w:rPr>
            <w:noProof/>
            <w:webHidden/>
          </w:rPr>
          <w:fldChar w:fldCharType="end"/>
        </w:r>
      </w:hyperlink>
    </w:p>
    <w:p w:rsidR="00101272" w:rsidRDefault="00EF6D7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8048799" w:history="1">
        <w:r w:rsidR="00101272" w:rsidRPr="00A138C5">
          <w:rPr>
            <w:rStyle w:val="Hyperlink"/>
            <w:noProof/>
          </w:rPr>
          <w:t>1.2</w:t>
        </w:r>
        <w:r w:rsidR="00101272">
          <w:rPr>
            <w:rFonts w:asciiTheme="minorHAnsi" w:eastAsiaTheme="minorEastAsia" w:hAnsiTheme="minorHAnsi" w:cstheme="minorBidi"/>
            <w:iCs w:val="0"/>
            <w:noProof/>
            <w:sz w:val="22"/>
            <w:szCs w:val="22"/>
            <w:lang w:eastAsia="en-AU"/>
          </w:rPr>
          <w:tab/>
        </w:r>
        <w:r w:rsidR="00101272" w:rsidRPr="00A138C5">
          <w:rPr>
            <w:rStyle w:val="Hyperlink"/>
            <w:noProof/>
          </w:rPr>
          <w:t>Adelaide hub</w:t>
        </w:r>
        <w:r w:rsidR="00101272">
          <w:rPr>
            <w:noProof/>
            <w:webHidden/>
          </w:rPr>
          <w:tab/>
        </w:r>
        <w:r w:rsidR="00101272">
          <w:rPr>
            <w:noProof/>
            <w:webHidden/>
          </w:rPr>
          <w:fldChar w:fldCharType="begin"/>
        </w:r>
        <w:r w:rsidR="00101272">
          <w:rPr>
            <w:noProof/>
            <w:webHidden/>
          </w:rPr>
          <w:instrText xml:space="preserve"> PAGEREF _Toc368048799 \h </w:instrText>
        </w:r>
        <w:r w:rsidR="00101272">
          <w:rPr>
            <w:noProof/>
            <w:webHidden/>
          </w:rPr>
        </w:r>
        <w:r w:rsidR="00101272">
          <w:rPr>
            <w:noProof/>
            <w:webHidden/>
          </w:rPr>
          <w:fldChar w:fldCharType="separate"/>
        </w:r>
        <w:r>
          <w:rPr>
            <w:noProof/>
            <w:webHidden/>
          </w:rPr>
          <w:t>5</w:t>
        </w:r>
        <w:r w:rsidR="00101272">
          <w:rPr>
            <w:noProof/>
            <w:webHidden/>
          </w:rPr>
          <w:fldChar w:fldCharType="end"/>
        </w:r>
      </w:hyperlink>
    </w:p>
    <w:p w:rsidR="00101272" w:rsidRDefault="00EF6D7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8048800" w:history="1">
        <w:r w:rsidR="00101272" w:rsidRPr="00A138C5">
          <w:rPr>
            <w:rStyle w:val="Hyperlink"/>
            <w:noProof/>
          </w:rPr>
          <w:t>2</w:t>
        </w:r>
        <w:r w:rsidR="00101272">
          <w:rPr>
            <w:rFonts w:asciiTheme="minorHAnsi" w:eastAsiaTheme="minorEastAsia" w:hAnsiTheme="minorHAnsi" w:cstheme="minorBidi"/>
            <w:b w:val="0"/>
            <w:bCs w:val="0"/>
            <w:noProof/>
            <w:sz w:val="22"/>
            <w:szCs w:val="22"/>
            <w:lang w:eastAsia="en-AU"/>
          </w:rPr>
          <w:tab/>
        </w:r>
        <w:r w:rsidR="00101272" w:rsidRPr="00A138C5">
          <w:rPr>
            <w:rStyle w:val="Hyperlink"/>
            <w:noProof/>
          </w:rPr>
          <w:t>Winter 2013 in the Adelaide hub</w:t>
        </w:r>
        <w:r w:rsidR="00101272">
          <w:rPr>
            <w:noProof/>
            <w:webHidden/>
          </w:rPr>
          <w:tab/>
        </w:r>
        <w:r w:rsidR="00101272">
          <w:rPr>
            <w:noProof/>
            <w:webHidden/>
          </w:rPr>
          <w:fldChar w:fldCharType="begin"/>
        </w:r>
        <w:r w:rsidR="00101272">
          <w:rPr>
            <w:noProof/>
            <w:webHidden/>
          </w:rPr>
          <w:instrText xml:space="preserve"> PAGEREF _Toc368048800 \h </w:instrText>
        </w:r>
        <w:r w:rsidR="00101272">
          <w:rPr>
            <w:noProof/>
            <w:webHidden/>
          </w:rPr>
        </w:r>
        <w:r w:rsidR="00101272">
          <w:rPr>
            <w:noProof/>
            <w:webHidden/>
          </w:rPr>
          <w:fldChar w:fldCharType="separate"/>
        </w:r>
        <w:r>
          <w:rPr>
            <w:noProof/>
            <w:webHidden/>
          </w:rPr>
          <w:t>7</w:t>
        </w:r>
        <w:r w:rsidR="00101272">
          <w:rPr>
            <w:noProof/>
            <w:webHidden/>
          </w:rPr>
          <w:fldChar w:fldCharType="end"/>
        </w:r>
      </w:hyperlink>
    </w:p>
    <w:p w:rsidR="00101272" w:rsidRDefault="00EF6D7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8048801" w:history="1">
        <w:r w:rsidR="00101272" w:rsidRPr="00A138C5">
          <w:rPr>
            <w:rStyle w:val="Hyperlink"/>
            <w:noProof/>
          </w:rPr>
          <w:t>3</w:t>
        </w:r>
        <w:r w:rsidR="00101272">
          <w:rPr>
            <w:rFonts w:asciiTheme="minorHAnsi" w:eastAsiaTheme="minorEastAsia" w:hAnsiTheme="minorHAnsi" w:cstheme="minorBidi"/>
            <w:b w:val="0"/>
            <w:bCs w:val="0"/>
            <w:noProof/>
            <w:sz w:val="22"/>
            <w:szCs w:val="22"/>
            <w:lang w:eastAsia="en-AU"/>
          </w:rPr>
          <w:tab/>
        </w:r>
        <w:r w:rsidR="00101272" w:rsidRPr="00A138C5">
          <w:rPr>
            <w:rStyle w:val="Hyperlink"/>
            <w:noProof/>
          </w:rPr>
          <w:t>The 25 June 2013 gas day</w:t>
        </w:r>
        <w:r w:rsidR="00101272">
          <w:rPr>
            <w:noProof/>
            <w:webHidden/>
          </w:rPr>
          <w:tab/>
        </w:r>
        <w:r w:rsidR="00101272">
          <w:rPr>
            <w:noProof/>
            <w:webHidden/>
          </w:rPr>
          <w:fldChar w:fldCharType="begin"/>
        </w:r>
        <w:r w:rsidR="00101272">
          <w:rPr>
            <w:noProof/>
            <w:webHidden/>
          </w:rPr>
          <w:instrText xml:space="preserve"> PAGEREF _Toc368048801 \h </w:instrText>
        </w:r>
        <w:r w:rsidR="00101272">
          <w:rPr>
            <w:noProof/>
            <w:webHidden/>
          </w:rPr>
        </w:r>
        <w:r w:rsidR="00101272">
          <w:rPr>
            <w:noProof/>
            <w:webHidden/>
          </w:rPr>
          <w:fldChar w:fldCharType="separate"/>
        </w:r>
        <w:r>
          <w:rPr>
            <w:noProof/>
            <w:webHidden/>
          </w:rPr>
          <w:t>11</w:t>
        </w:r>
        <w:r w:rsidR="00101272">
          <w:rPr>
            <w:noProof/>
            <w:webHidden/>
          </w:rPr>
          <w:fldChar w:fldCharType="end"/>
        </w:r>
      </w:hyperlink>
    </w:p>
    <w:p w:rsidR="00AF3E95" w:rsidRPr="00AF3E95" w:rsidRDefault="00824CC8" w:rsidP="00DF16C2">
      <w:pPr>
        <w:pStyle w:val="TOC1"/>
      </w:pPr>
      <w:r w:rsidRPr="00AC1B94">
        <w:fldChar w:fldCharType="end"/>
      </w:r>
    </w:p>
    <w:p w:rsidR="00EF0E19" w:rsidRDefault="00EF0E19" w:rsidP="00F97CD9">
      <w:pPr>
        <w:pStyle w:val="AERbodytextnospace"/>
        <w:numPr>
          <w:ilvl w:val="0"/>
          <w:numId w:val="13"/>
        </w:numPr>
      </w:pPr>
    </w:p>
    <w:p w:rsidR="00EF0E19" w:rsidRDefault="00EF0E19" w:rsidP="00EF0E19"/>
    <w:p w:rsidR="00EF0E19" w:rsidRDefault="00EF0E19" w:rsidP="00EF0E19"/>
    <w:p w:rsidR="00EF0E19" w:rsidRDefault="00EF0E19" w:rsidP="00EF0E19">
      <w:bookmarkStart w:id="7" w:name="OLE_LINK1"/>
      <w:bookmarkStart w:id="8" w:name="OLE_LINK2"/>
    </w:p>
    <w:p w:rsidR="00EF0E19" w:rsidRDefault="00EF0E19" w:rsidP="00EF0E19"/>
    <w:p w:rsidR="00EF0E19" w:rsidRDefault="00EF0E19" w:rsidP="00EF0E19"/>
    <w:bookmarkEnd w:id="7"/>
    <w:bookmarkEnd w:id="8"/>
    <w:p w:rsidR="00A131FB" w:rsidRDefault="00A131FB" w:rsidP="00A131FB">
      <w:pPr>
        <w:pStyle w:val="AERbodytextnospace"/>
        <w:numPr>
          <w:ilvl w:val="0"/>
          <w:numId w:val="0"/>
        </w:numPr>
        <w:rPr>
          <w:rFonts w:eastAsia="Calibri"/>
        </w:rPr>
      </w:pPr>
    </w:p>
    <w:p w:rsidR="00A131FB" w:rsidRDefault="00A131FB" w:rsidP="009E5905">
      <w:pPr>
        <w:pStyle w:val="UnnumberedHeading"/>
        <w:rPr>
          <w:rStyle w:val="AERtextblue"/>
        </w:rPr>
      </w:pPr>
      <w:bookmarkStart w:id="9" w:name="_Toc368048796"/>
      <w:r w:rsidRPr="009E5905">
        <w:rPr>
          <w:rStyle w:val="AERtextblue"/>
          <w:color w:val="E36C0A"/>
        </w:rPr>
        <w:lastRenderedPageBreak/>
        <w:t>Executive summary</w:t>
      </w:r>
      <w:bookmarkEnd w:id="9"/>
    </w:p>
    <w:p w:rsidR="00056574" w:rsidRPr="00056574" w:rsidRDefault="00A337A1" w:rsidP="00A337A1">
      <w:pPr>
        <w:pStyle w:val="AERbodytext"/>
        <w:numPr>
          <w:ilvl w:val="0"/>
          <w:numId w:val="13"/>
        </w:numPr>
      </w:pPr>
      <w:r>
        <w:t xml:space="preserve">On the 25 June 2013 gas day in the Adelaide Short Term Trading Market </w:t>
      </w:r>
      <w:r w:rsidR="00624F72">
        <w:t>(</w:t>
      </w:r>
      <w:r w:rsidR="00624F72" w:rsidRPr="007140C3">
        <w:rPr>
          <w:b/>
        </w:rPr>
        <w:t>STTM</w:t>
      </w:r>
      <w:r w:rsidR="00624F72">
        <w:t xml:space="preserve">) gas </w:t>
      </w:r>
      <w:r>
        <w:t>hub (</w:t>
      </w:r>
      <w:r>
        <w:rPr>
          <w:b/>
        </w:rPr>
        <w:t>Adelaide hub</w:t>
      </w:r>
      <w:r>
        <w:t>) 41 TJ of market operator service (</w:t>
      </w:r>
      <w:r>
        <w:rPr>
          <w:b/>
        </w:rPr>
        <w:t>MOS</w:t>
      </w:r>
      <w:r>
        <w:t xml:space="preserve">) was required. This resulted in a MOS service payment of $252 727. </w:t>
      </w:r>
      <w:r w:rsidR="00DF26E5">
        <w:t xml:space="preserve">This </w:t>
      </w:r>
      <w:r>
        <w:t>was</w:t>
      </w:r>
      <w:r w:rsidR="00913BB4">
        <w:t xml:space="preserve"> the highest MOS </w:t>
      </w:r>
      <w:r w:rsidR="00DF26E5">
        <w:t xml:space="preserve">payment </w:t>
      </w:r>
      <w:r w:rsidR="001C601D">
        <w:t xml:space="preserve">over </w:t>
      </w:r>
      <w:r w:rsidR="00DF26E5">
        <w:t>winter</w:t>
      </w:r>
      <w:r w:rsidR="00056574">
        <w:t xml:space="preserve"> </w:t>
      </w:r>
      <w:r w:rsidR="001C1510">
        <w:t>2013</w:t>
      </w:r>
      <w:r w:rsidR="00913BB4">
        <w:t>.</w:t>
      </w:r>
    </w:p>
    <w:p w:rsidR="009F6AC3" w:rsidRPr="009F6AC3" w:rsidRDefault="009F6AC3" w:rsidP="00CC36A9">
      <w:pPr>
        <w:pStyle w:val="AERbodytext"/>
        <w:numPr>
          <w:ilvl w:val="0"/>
          <w:numId w:val="13"/>
        </w:numPr>
        <w:rPr>
          <w:rStyle w:val="AERbody"/>
        </w:rPr>
      </w:pPr>
      <w:r w:rsidRPr="009F6AC3">
        <w:rPr>
          <w:rStyle w:val="AERbody"/>
        </w:rPr>
        <w:t xml:space="preserve">On 25 June, a day of high hub demand, there was a record high amount of gas flow scheduled on the </w:t>
      </w:r>
      <w:r w:rsidR="00C010AF">
        <w:rPr>
          <w:rStyle w:val="AERbody"/>
        </w:rPr>
        <w:t xml:space="preserve">South East Australia Gas pipeline </w:t>
      </w:r>
      <w:r w:rsidR="00C010AF" w:rsidRPr="00747AE4">
        <w:rPr>
          <w:rStyle w:val="AERtextbold"/>
          <w:b w:val="0"/>
        </w:rPr>
        <w:t>(</w:t>
      </w:r>
      <w:r w:rsidR="00EE7F17">
        <w:rPr>
          <w:rStyle w:val="AERtextbold"/>
        </w:rPr>
        <w:t>SEA Gas</w:t>
      </w:r>
      <w:r w:rsidR="00C010AF" w:rsidRPr="00602A0B">
        <w:rPr>
          <w:rStyle w:val="AERtextbold"/>
          <w:b w:val="0"/>
        </w:rPr>
        <w:t>)</w:t>
      </w:r>
      <w:r w:rsidR="00747AE4">
        <w:rPr>
          <w:rStyle w:val="AERbody"/>
        </w:rPr>
        <w:t xml:space="preserve"> </w:t>
      </w:r>
      <w:r w:rsidR="00A20CCD">
        <w:rPr>
          <w:rStyle w:val="AERbody"/>
        </w:rPr>
        <w:t>at the same time as</w:t>
      </w:r>
      <w:r w:rsidRPr="009F6AC3">
        <w:rPr>
          <w:rStyle w:val="AERbody"/>
        </w:rPr>
        <w:t xml:space="preserve"> low gas flows scheduled on the </w:t>
      </w:r>
      <w:r w:rsidR="00A20CCD">
        <w:rPr>
          <w:rStyle w:val="AERbody"/>
        </w:rPr>
        <w:t>Moomba to Adelaide pipeline (</w:t>
      </w:r>
      <w:r w:rsidRPr="00C010AF">
        <w:rPr>
          <w:rStyle w:val="AERbody"/>
          <w:b/>
        </w:rPr>
        <w:t>MAP</w:t>
      </w:r>
      <w:r w:rsidR="00A20CCD">
        <w:rPr>
          <w:rStyle w:val="AERbody"/>
        </w:rPr>
        <w:t>)</w:t>
      </w:r>
      <w:r w:rsidRPr="009F6AC3">
        <w:rPr>
          <w:rStyle w:val="AERbody"/>
        </w:rPr>
        <w:t>. On the day, 19.7 TJ more gas than was nominated on the MAP flowed through to t</w:t>
      </w:r>
      <w:r>
        <w:rPr>
          <w:rStyle w:val="AERbody"/>
        </w:rPr>
        <w:t>he Adelaide hub as increase MOS.</w:t>
      </w:r>
      <w:r w:rsidRPr="009F6AC3">
        <w:rPr>
          <w:rStyle w:val="AERbody"/>
        </w:rPr>
        <w:t xml:space="preserve"> At the same time, 21 TJ of nominated gas</w:t>
      </w:r>
      <w:r w:rsidR="00CC36A9">
        <w:rPr>
          <w:rStyle w:val="AERbody"/>
        </w:rPr>
        <w:t xml:space="preserve">, </w:t>
      </w:r>
      <w:r w:rsidRPr="009F6AC3">
        <w:rPr>
          <w:rStyle w:val="AERbody"/>
        </w:rPr>
        <w:t xml:space="preserve">which couldn’t be delivered into the distribution network, was effectively parked on the </w:t>
      </w:r>
      <w:r w:rsidR="00EE7F17">
        <w:rPr>
          <w:rStyle w:val="AERbody"/>
        </w:rPr>
        <w:t>SEA Gas</w:t>
      </w:r>
      <w:r w:rsidRPr="009F6AC3">
        <w:rPr>
          <w:rStyle w:val="AERbody"/>
        </w:rPr>
        <w:t xml:space="preserve"> pipeline.</w:t>
      </w:r>
    </w:p>
    <w:p w:rsidR="00002BFE" w:rsidRDefault="00A337A1" w:rsidP="00B93CD7">
      <w:pPr>
        <w:pStyle w:val="AERbodytext"/>
        <w:numPr>
          <w:ilvl w:val="0"/>
          <w:numId w:val="13"/>
        </w:numPr>
      </w:pPr>
      <w:r>
        <w:t>The large requirement for MOS on the day was caused by</w:t>
      </w:r>
      <w:r w:rsidR="00B93CD7">
        <w:t xml:space="preserve"> </w:t>
      </w:r>
      <w:r w:rsidR="00CC36A9">
        <w:t xml:space="preserve">the </w:t>
      </w:r>
      <w:r w:rsidR="00EE7F17">
        <w:t>SEA Gas</w:t>
      </w:r>
      <w:r w:rsidR="00B93CD7">
        <w:t xml:space="preserve"> </w:t>
      </w:r>
      <w:r w:rsidR="00CC36A9">
        <w:t xml:space="preserve">pipeline </w:t>
      </w:r>
      <w:r w:rsidR="00B93CD7">
        <w:t>not being able to deliver its</w:t>
      </w:r>
      <w:r w:rsidR="00165ADF">
        <w:t xml:space="preserve"> nominated</w:t>
      </w:r>
      <w:r w:rsidR="00B93CD7">
        <w:t xml:space="preserve"> q</w:t>
      </w:r>
      <w:r>
        <w:t>uantity</w:t>
      </w:r>
      <w:r w:rsidR="00B93CD7">
        <w:t xml:space="preserve"> of gas </w:t>
      </w:r>
      <w:r>
        <w:t>into the Adelaide distribution network</w:t>
      </w:r>
      <w:r w:rsidR="001C76D1">
        <w:t xml:space="preserve">. </w:t>
      </w:r>
      <w:r w:rsidR="00C278CE">
        <w:t xml:space="preserve">On this day, two </w:t>
      </w:r>
      <w:r w:rsidR="0047307B">
        <w:t xml:space="preserve">physical </w:t>
      </w:r>
      <w:r w:rsidR="00C278CE">
        <w:t>issues</w:t>
      </w:r>
      <w:r w:rsidR="00002BFE">
        <w:t xml:space="preserve"> </w:t>
      </w:r>
      <w:r w:rsidR="00C278CE">
        <w:t xml:space="preserve">significantly affected SEA Gas and MAP deliveries and </w:t>
      </w:r>
      <w:r w:rsidR="00002BFE">
        <w:t>increas</w:t>
      </w:r>
      <w:r w:rsidR="00C278CE">
        <w:t xml:space="preserve">ed MOS requirements. </w:t>
      </w:r>
    </w:p>
    <w:p w:rsidR="00002BFE" w:rsidRDefault="005D55A9" w:rsidP="00002BFE">
      <w:pPr>
        <w:pStyle w:val="AERbodytext"/>
        <w:numPr>
          <w:ilvl w:val="0"/>
          <w:numId w:val="13"/>
        </w:numPr>
      </w:pPr>
      <w:r>
        <w:t xml:space="preserve">Firstly, the Elizabeth zone (part of the distribution network) is completely isolated from the </w:t>
      </w:r>
      <w:r w:rsidR="00EE7F17">
        <w:t>SEA Gas</w:t>
      </w:r>
      <w:r>
        <w:t xml:space="preserve"> pipeline. This means demand within the Elizabeth zone can only be serviced by the </w:t>
      </w:r>
      <w:r w:rsidR="00A20CCD">
        <w:t>MAP</w:t>
      </w:r>
      <w:r>
        <w:t>. Secondly,</w:t>
      </w:r>
      <w:r w:rsidR="00952874">
        <w:t xml:space="preserve"> </w:t>
      </w:r>
      <w:r>
        <w:t>the AER understands th</w:t>
      </w:r>
      <w:r w:rsidR="002606F8">
        <w:t>at</w:t>
      </w:r>
      <w:r w:rsidR="00055123">
        <w:t xml:space="preserve"> </w:t>
      </w:r>
      <w:r>
        <w:t>pressure diff</w:t>
      </w:r>
      <w:r w:rsidR="00EE7F17">
        <w:t xml:space="preserve">erences </w:t>
      </w:r>
      <w:r w:rsidR="00C278CE">
        <w:t xml:space="preserve">between the delivery points and </w:t>
      </w:r>
      <w:r w:rsidR="00EE7F17">
        <w:t xml:space="preserve">within the distribution network </w:t>
      </w:r>
      <w:r>
        <w:t xml:space="preserve">may limit the ability of the </w:t>
      </w:r>
      <w:r w:rsidR="00EE7F17">
        <w:t>SEA Gas</w:t>
      </w:r>
      <w:r>
        <w:t xml:space="preserve"> pipeline to supply</w:t>
      </w:r>
      <w:r w:rsidR="007E0071">
        <w:t xml:space="preserve"> parts of the distribution network (particularly towards the Taperoo </w:t>
      </w:r>
      <w:r w:rsidR="00227519">
        <w:t>part of the network</w:t>
      </w:r>
      <w:r w:rsidR="007E0071">
        <w:t>).</w:t>
      </w:r>
    </w:p>
    <w:p w:rsidR="00416764" w:rsidRDefault="00416764" w:rsidP="00CC36A9">
      <w:pPr>
        <w:pStyle w:val="AERbodytext"/>
        <w:numPr>
          <w:ilvl w:val="0"/>
          <w:numId w:val="13"/>
        </w:numPr>
      </w:pPr>
      <w:r>
        <w:t xml:space="preserve">These two factors appear to increase the requirement for MOS as the ratio of gas flows scheduled on the </w:t>
      </w:r>
      <w:r w:rsidR="00EE7F17">
        <w:t>SEA Gas</w:t>
      </w:r>
      <w:r>
        <w:t xml:space="preserve"> relative to the MAP increases, especially on days of high hub demand. </w:t>
      </w:r>
      <w:r w:rsidR="00120874">
        <w:t>In accordance with m</w:t>
      </w:r>
      <w:r>
        <w:t>arket participant</w:t>
      </w:r>
      <w:r w:rsidR="00120874">
        <w:t xml:space="preserve"> offers</w:t>
      </w:r>
      <w:r w:rsidR="00952874">
        <w:t>,</w:t>
      </w:r>
      <w:r w:rsidR="00120874">
        <w:t xml:space="preserve"> more gas was </w:t>
      </w:r>
      <w:r>
        <w:t>schedul</w:t>
      </w:r>
      <w:r w:rsidR="00120874">
        <w:t xml:space="preserve">ed </w:t>
      </w:r>
      <w:r>
        <w:t xml:space="preserve">into the distribution network on the </w:t>
      </w:r>
      <w:r w:rsidR="00EE7F17">
        <w:t>SEA Gas</w:t>
      </w:r>
      <w:r>
        <w:t xml:space="preserve"> pipeline relative to the MAP</w:t>
      </w:r>
      <w:r w:rsidRPr="00416764">
        <w:t xml:space="preserve"> </w:t>
      </w:r>
      <w:r>
        <w:t>during the 2013 winter period, particularly from late June to early August</w:t>
      </w:r>
      <w:r w:rsidR="00CC36A9">
        <w:t xml:space="preserve">. </w:t>
      </w:r>
      <w:r w:rsidRPr="00F117AD">
        <w:rPr>
          <w:rStyle w:val="AERbody"/>
        </w:rPr>
        <w:t>Discussions with industry have indicated this may be due to the different costs of gas from the two pipelines. We understand</w:t>
      </w:r>
      <w:r>
        <w:rPr>
          <w:rStyle w:val="AERbody"/>
        </w:rPr>
        <w:t xml:space="preserve"> </w:t>
      </w:r>
      <w:r w:rsidRPr="00F117AD">
        <w:rPr>
          <w:rStyle w:val="AERbody"/>
        </w:rPr>
        <w:t xml:space="preserve">gas from </w:t>
      </w:r>
      <w:r>
        <w:rPr>
          <w:rStyle w:val="AERbody"/>
        </w:rPr>
        <w:t xml:space="preserve">gas sources serviced by the </w:t>
      </w:r>
      <w:r w:rsidRPr="00F117AD">
        <w:rPr>
          <w:rStyle w:val="AERbody"/>
        </w:rPr>
        <w:t>MAP</w:t>
      </w:r>
      <w:r>
        <w:rPr>
          <w:rStyle w:val="AERbody"/>
        </w:rPr>
        <w:t xml:space="preserve"> (primarily </w:t>
      </w:r>
      <w:r w:rsidRPr="00F117AD">
        <w:rPr>
          <w:rStyle w:val="AERbody"/>
        </w:rPr>
        <w:t>Moomba</w:t>
      </w:r>
      <w:r>
        <w:rPr>
          <w:rStyle w:val="AERbody"/>
        </w:rPr>
        <w:t>)</w:t>
      </w:r>
      <w:r w:rsidRPr="00F117AD">
        <w:rPr>
          <w:rStyle w:val="AERbody"/>
        </w:rPr>
        <w:t xml:space="preserve"> </w:t>
      </w:r>
      <w:r>
        <w:rPr>
          <w:rStyle w:val="AERbody"/>
        </w:rPr>
        <w:t>is</w:t>
      </w:r>
      <w:r w:rsidRPr="00F117AD">
        <w:rPr>
          <w:rStyle w:val="AERbody"/>
        </w:rPr>
        <w:t xml:space="preserve"> relatively higher than </w:t>
      </w:r>
      <w:r>
        <w:rPr>
          <w:rStyle w:val="AERbody"/>
        </w:rPr>
        <w:t xml:space="preserve">the Victorian gas sources serviced by the </w:t>
      </w:r>
      <w:r w:rsidR="00EE7F17">
        <w:rPr>
          <w:rStyle w:val="AERbody"/>
        </w:rPr>
        <w:t>SEA Gas</w:t>
      </w:r>
      <w:r w:rsidRPr="00F117AD">
        <w:rPr>
          <w:rStyle w:val="AERbody"/>
        </w:rPr>
        <w:t xml:space="preserve"> pipeline</w:t>
      </w:r>
      <w:r>
        <w:rPr>
          <w:rStyle w:val="AERbody"/>
        </w:rPr>
        <w:t xml:space="preserve">.  The higher price of Moomba gas may be influenced by the expected gas exports from Gladstone. </w:t>
      </w:r>
    </w:p>
    <w:p w:rsidR="00002BFE" w:rsidRDefault="00002BFE" w:rsidP="00002BFE">
      <w:pPr>
        <w:pStyle w:val="AERbodytext"/>
        <w:numPr>
          <w:ilvl w:val="0"/>
          <w:numId w:val="13"/>
        </w:numPr>
      </w:pPr>
      <w:r>
        <w:t xml:space="preserve">AEMO has </w:t>
      </w:r>
      <w:r w:rsidR="00416764">
        <w:t>previously reported</w:t>
      </w:r>
      <w:r>
        <w:t xml:space="preserve"> </w:t>
      </w:r>
      <w:r w:rsidR="00A20CCD">
        <w:t xml:space="preserve">that </w:t>
      </w:r>
      <w:r w:rsidRPr="00002BFE">
        <w:rPr>
          <w:rStyle w:val="AERbody"/>
        </w:rPr>
        <w:t>hourly flow profile</w:t>
      </w:r>
      <w:r w:rsidR="00A20CCD">
        <w:rPr>
          <w:rStyle w:val="AERbody"/>
        </w:rPr>
        <w:t>s</w:t>
      </w:r>
      <w:r w:rsidRPr="00002BFE">
        <w:rPr>
          <w:rStyle w:val="AERbody"/>
        </w:rPr>
        <w:t xml:space="preserve"> nominated by shippers on the </w:t>
      </w:r>
      <w:r w:rsidR="00EE7F17">
        <w:rPr>
          <w:rStyle w:val="AERbody"/>
        </w:rPr>
        <w:t>SEA Gas</w:t>
      </w:r>
      <w:r w:rsidRPr="00002BFE">
        <w:rPr>
          <w:rStyle w:val="AERbody"/>
        </w:rPr>
        <w:t xml:space="preserve"> pipeline</w:t>
      </w:r>
      <w:r>
        <w:rPr>
          <w:rStyle w:val="AERbody"/>
        </w:rPr>
        <w:t xml:space="preserve"> may lead to counteracting MOS. AEMO </w:t>
      </w:r>
      <w:r w:rsidR="00416764">
        <w:rPr>
          <w:rStyle w:val="AERbody"/>
        </w:rPr>
        <w:t>has noted</w:t>
      </w:r>
      <w:r>
        <w:rPr>
          <w:rStyle w:val="AERbody"/>
        </w:rPr>
        <w:t xml:space="preserve"> that w</w:t>
      </w:r>
      <w:r w:rsidRPr="00002BFE">
        <w:rPr>
          <w:rStyle w:val="AERbody"/>
        </w:rPr>
        <w:t>hen hourly deliv</w:t>
      </w:r>
      <w:r w:rsidR="00416764">
        <w:rPr>
          <w:rStyle w:val="AERbody"/>
        </w:rPr>
        <w:t xml:space="preserve">eries from </w:t>
      </w:r>
      <w:r w:rsidR="00EE7F17">
        <w:rPr>
          <w:rStyle w:val="AERbody"/>
        </w:rPr>
        <w:t>SEA Gas</w:t>
      </w:r>
      <w:r w:rsidR="00416764">
        <w:rPr>
          <w:rStyle w:val="AERbody"/>
        </w:rPr>
        <w:t xml:space="preserve"> lag behind</w:t>
      </w:r>
      <w:r w:rsidRPr="00002BFE">
        <w:rPr>
          <w:rStyle w:val="AERbody"/>
        </w:rPr>
        <w:t xml:space="preserve"> demand, the MAP then supplies the shortfall</w:t>
      </w:r>
      <w:r>
        <w:rPr>
          <w:rStyle w:val="AERbody"/>
        </w:rPr>
        <w:t xml:space="preserve">. However, we note that hourly profiling on the </w:t>
      </w:r>
      <w:r w:rsidR="00EE7F17">
        <w:rPr>
          <w:rStyle w:val="AERbody"/>
        </w:rPr>
        <w:t>SEA Gas</w:t>
      </w:r>
      <w:r>
        <w:rPr>
          <w:rStyle w:val="AERbody"/>
        </w:rPr>
        <w:t xml:space="preserve"> pipeline had a</w:t>
      </w:r>
      <w:r w:rsidR="009F6AC3">
        <w:rPr>
          <w:rStyle w:val="AERbody"/>
        </w:rPr>
        <w:t xml:space="preserve"> comparatively</w:t>
      </w:r>
      <w:r>
        <w:rPr>
          <w:rStyle w:val="AERbody"/>
        </w:rPr>
        <w:t xml:space="preserve"> minimal impact on the MOS requirement on 25 June 2013.</w:t>
      </w:r>
    </w:p>
    <w:p w:rsidR="00C16F84" w:rsidRDefault="00205474" w:rsidP="00C010AF">
      <w:pPr>
        <w:pStyle w:val="AERbodytext"/>
        <w:numPr>
          <w:ilvl w:val="0"/>
          <w:numId w:val="0"/>
        </w:numPr>
      </w:pPr>
      <w:r>
        <w:t xml:space="preserve">Related to the issues </w:t>
      </w:r>
      <w:r w:rsidR="00C16F84">
        <w:t>we have</w:t>
      </w:r>
      <w:r w:rsidR="001F2B35">
        <w:t xml:space="preserve"> </w:t>
      </w:r>
      <w:r>
        <w:t xml:space="preserve">identified, </w:t>
      </w:r>
      <w:r w:rsidR="00056574" w:rsidRPr="00056574">
        <w:t>Envestra</w:t>
      </w:r>
      <w:r w:rsidR="008A51F6">
        <w:t xml:space="preserve"> (the owner of the Adelaide distribution network)</w:t>
      </w:r>
      <w:r w:rsidR="001F2B35">
        <w:t xml:space="preserve"> has indicated to</w:t>
      </w:r>
      <w:r>
        <w:t xml:space="preserve"> the AER that it plans to finalise </w:t>
      </w:r>
      <w:r w:rsidR="00056574" w:rsidRPr="00056574">
        <w:t xml:space="preserve">a review </w:t>
      </w:r>
      <w:r w:rsidR="001F2B35">
        <w:t xml:space="preserve">of </w:t>
      </w:r>
      <w:r w:rsidR="008A51F6">
        <w:t>its</w:t>
      </w:r>
      <w:r w:rsidR="00C721DE">
        <w:t xml:space="preserve"> network</w:t>
      </w:r>
      <w:r>
        <w:t xml:space="preserve"> by December 2013</w:t>
      </w:r>
      <w:r w:rsidR="00056574" w:rsidRPr="00056574">
        <w:t xml:space="preserve">. </w:t>
      </w:r>
      <w:r w:rsidR="00C16F84">
        <w:t>T</w:t>
      </w:r>
      <w:r w:rsidR="00056574" w:rsidRPr="00056574">
        <w:t xml:space="preserve">his </w:t>
      </w:r>
      <w:r>
        <w:t xml:space="preserve">review </w:t>
      </w:r>
      <w:r w:rsidR="00056574" w:rsidRPr="00056574">
        <w:t xml:space="preserve">will assist in understanding </w:t>
      </w:r>
      <w:r w:rsidR="008A51F6">
        <w:t xml:space="preserve">the </w:t>
      </w:r>
      <w:r w:rsidR="00056574" w:rsidRPr="00056574">
        <w:t>physical design issues affecting the Adelaide hub.</w:t>
      </w:r>
      <w:r w:rsidR="00C16F84">
        <w:t xml:space="preserve"> </w:t>
      </w:r>
      <w:r w:rsidR="00DF26E5">
        <w:t xml:space="preserve">Envestra </w:t>
      </w:r>
      <w:r w:rsidR="001F2B35">
        <w:t xml:space="preserve">noted it </w:t>
      </w:r>
      <w:r w:rsidR="00DF26E5">
        <w:t>will be modelling the consequence</w:t>
      </w:r>
      <w:r w:rsidR="004B0B73">
        <w:t>s</w:t>
      </w:r>
      <w:r w:rsidR="00DF26E5">
        <w:t xml:space="preserve"> of opening </w:t>
      </w:r>
      <w:r w:rsidR="00C16F84">
        <w:t>the</w:t>
      </w:r>
      <w:r w:rsidR="00DF26E5">
        <w:t xml:space="preserve"> valve which </w:t>
      </w:r>
      <w:r w:rsidR="005814F0">
        <w:t xml:space="preserve">currently </w:t>
      </w:r>
      <w:r w:rsidR="00DF26E5">
        <w:t>prevents gas from</w:t>
      </w:r>
      <w:r w:rsidR="004B0B73">
        <w:t xml:space="preserve"> the</w:t>
      </w:r>
      <w:r w:rsidR="00DF26E5">
        <w:t xml:space="preserve"> </w:t>
      </w:r>
      <w:r w:rsidR="00EE7F17">
        <w:t>SEA Gas</w:t>
      </w:r>
      <w:r w:rsidR="004B0B73">
        <w:t xml:space="preserve"> pipeline</w:t>
      </w:r>
      <w:r w:rsidR="00DF26E5">
        <w:t xml:space="preserve"> going </w:t>
      </w:r>
      <w:r w:rsidR="00C16F84">
        <w:t>into</w:t>
      </w:r>
      <w:r w:rsidR="00DF26E5">
        <w:t xml:space="preserve"> the Elizabeth zone</w:t>
      </w:r>
      <w:r w:rsidR="00C16F84">
        <w:t>.</w:t>
      </w:r>
      <w:r w:rsidR="00230B94" w:rsidRPr="00230B94">
        <w:t xml:space="preserve"> </w:t>
      </w:r>
      <w:r w:rsidR="001F2B35">
        <w:t xml:space="preserve">Engineering staff will be evaluating whether </w:t>
      </w:r>
      <w:r w:rsidR="00C16F84">
        <w:t xml:space="preserve">the </w:t>
      </w:r>
      <w:r w:rsidR="00EE7F17">
        <w:t>SEA Gas</w:t>
      </w:r>
      <w:r w:rsidR="00C16F84">
        <w:t xml:space="preserve"> pipeline</w:t>
      </w:r>
      <w:r w:rsidR="001F2B35">
        <w:t xml:space="preserve"> could </w:t>
      </w:r>
      <w:r w:rsidR="00C16F84">
        <w:t>provide the entire gas supply to the Adelaide hub if necessary.</w:t>
      </w:r>
      <w:r w:rsidR="001F2B35">
        <w:t xml:space="preserve"> </w:t>
      </w:r>
    </w:p>
    <w:p w:rsidR="00EE7F17" w:rsidRDefault="001F2B35" w:rsidP="00C010AF">
      <w:pPr>
        <w:pStyle w:val="AERbodytext"/>
        <w:numPr>
          <w:ilvl w:val="0"/>
          <w:numId w:val="13"/>
        </w:numPr>
      </w:pPr>
      <w:r>
        <w:t xml:space="preserve">This report concludes that </w:t>
      </w:r>
      <w:r w:rsidR="005A420E">
        <w:t>on 25 June 2013</w:t>
      </w:r>
      <w:r w:rsidR="00C16F84">
        <w:t>,</w:t>
      </w:r>
      <w:r w:rsidR="005A420E">
        <w:t xml:space="preserve"> </w:t>
      </w:r>
      <w:r w:rsidR="00EE7F17">
        <w:t>the large MOS requirement was driven by the isolation of the Elizabeth zone, and the difficulty in SEA Gas servicing the Taperoo part of the distribution network. We consider</w:t>
      </w:r>
      <w:r w:rsidR="006D1C58">
        <w:t xml:space="preserve"> it may be beneficial for </w:t>
      </w:r>
      <w:proofErr w:type="spellStart"/>
      <w:r w:rsidR="006D1C58">
        <w:t>Envestra</w:t>
      </w:r>
      <w:proofErr w:type="spellEnd"/>
      <w:r w:rsidR="006D1C58">
        <w:t xml:space="preserve"> to investigate</w:t>
      </w:r>
      <w:r w:rsidR="00EE7F17">
        <w:t xml:space="preserve"> </w:t>
      </w:r>
      <w:r w:rsidR="00AB43D5">
        <w:t xml:space="preserve">both </w:t>
      </w:r>
      <w:r w:rsidR="00EE7F17">
        <w:t xml:space="preserve">these issues </w:t>
      </w:r>
      <w:r w:rsidR="006D1C58">
        <w:t>as part of</w:t>
      </w:r>
      <w:r w:rsidR="00EE7F17">
        <w:t xml:space="preserve"> its review.</w:t>
      </w:r>
    </w:p>
    <w:p w:rsidR="00163CDD" w:rsidRPr="00056574" w:rsidRDefault="00C010AF" w:rsidP="00C010AF">
      <w:pPr>
        <w:pStyle w:val="AERbodytext"/>
        <w:numPr>
          <w:ilvl w:val="0"/>
          <w:numId w:val="13"/>
        </w:numPr>
      </w:pPr>
      <w:r>
        <w:t>Finally, o</w:t>
      </w:r>
      <w:r w:rsidR="00624F72">
        <w:t xml:space="preserve">n the basis of information currently available, the </w:t>
      </w:r>
      <w:r w:rsidR="00163CDD">
        <w:t>AER has not found any evidence of contravention</w:t>
      </w:r>
      <w:r w:rsidR="00624F72">
        <w:t>s</w:t>
      </w:r>
      <w:r w:rsidR="00163CDD">
        <w:t xml:space="preserve"> of the National Gas Rules </w:t>
      </w:r>
      <w:r w:rsidR="00163CDD" w:rsidRPr="009F6AC3">
        <w:rPr>
          <w:rStyle w:val="AERtextbold"/>
          <w:b w:val="0"/>
        </w:rPr>
        <w:t>(</w:t>
      </w:r>
      <w:r w:rsidR="00163CDD" w:rsidRPr="007B0480">
        <w:rPr>
          <w:rStyle w:val="AERtextbold"/>
        </w:rPr>
        <w:t>Gas Rules</w:t>
      </w:r>
      <w:r w:rsidR="00163CDD" w:rsidRPr="009F6AC3">
        <w:rPr>
          <w:rStyle w:val="AERtextbold"/>
          <w:b w:val="0"/>
        </w:rPr>
        <w:t>)</w:t>
      </w:r>
      <w:r w:rsidR="00624F72" w:rsidRPr="00624F72">
        <w:t xml:space="preserve"> </w:t>
      </w:r>
      <w:r w:rsidR="00624F72">
        <w:t>on 25 June 2013.</w:t>
      </w:r>
    </w:p>
    <w:p w:rsidR="009E5905" w:rsidRDefault="009E5905" w:rsidP="009E5905">
      <w:pPr>
        <w:pStyle w:val="Heading1"/>
      </w:pPr>
      <w:bookmarkStart w:id="10" w:name="_Toc368048797"/>
      <w:r>
        <w:lastRenderedPageBreak/>
        <w:t>Background</w:t>
      </w:r>
      <w:bookmarkEnd w:id="10"/>
    </w:p>
    <w:p w:rsidR="003F5741" w:rsidRDefault="00667C18" w:rsidP="003F5741">
      <w:pPr>
        <w:pStyle w:val="Heading2"/>
      </w:pPr>
      <w:bookmarkStart w:id="11" w:name="_Toc368048798"/>
      <w:r>
        <w:t xml:space="preserve">The </w:t>
      </w:r>
      <w:r w:rsidR="003F5741">
        <w:t>AER's reporting role</w:t>
      </w:r>
      <w:bookmarkEnd w:id="11"/>
    </w:p>
    <w:p w:rsidR="009A29B5" w:rsidRDefault="003F5741" w:rsidP="00884F03">
      <w:pPr>
        <w:pStyle w:val="AERbodytextnospace"/>
      </w:pPr>
      <w:r w:rsidRPr="00056574">
        <w:t xml:space="preserve">This </w:t>
      </w:r>
      <w:r>
        <w:t>S</w:t>
      </w:r>
      <w:r w:rsidR="005814F0">
        <w:t xml:space="preserve">ignificant </w:t>
      </w:r>
      <w:r>
        <w:t>P</w:t>
      </w:r>
      <w:r w:rsidR="005814F0">
        <w:t xml:space="preserve">rice </w:t>
      </w:r>
      <w:r>
        <w:t>V</w:t>
      </w:r>
      <w:r w:rsidR="005814F0">
        <w:t xml:space="preserve">ariation </w:t>
      </w:r>
      <w:r w:rsidR="005814F0" w:rsidRPr="009254E7">
        <w:rPr>
          <w:rStyle w:val="AERtextbold"/>
          <w:b w:val="0"/>
        </w:rPr>
        <w:t>(</w:t>
      </w:r>
      <w:r w:rsidR="005814F0" w:rsidRPr="005814F0">
        <w:rPr>
          <w:rStyle w:val="AERtextbold"/>
        </w:rPr>
        <w:t>SPV</w:t>
      </w:r>
      <w:r w:rsidR="005814F0" w:rsidRPr="009254E7">
        <w:rPr>
          <w:rStyle w:val="AERtextbold"/>
          <w:b w:val="0"/>
        </w:rPr>
        <w:t>)</w:t>
      </w:r>
      <w:r w:rsidRPr="00056574">
        <w:t xml:space="preserve"> report is published by the AER in accordance with the requirements under Rule 498</w:t>
      </w:r>
      <w:r>
        <w:t>(1</w:t>
      </w:r>
      <w:proofErr w:type="gramStart"/>
      <w:r>
        <w:t>)(</w:t>
      </w:r>
      <w:proofErr w:type="gramEnd"/>
      <w:r>
        <w:t>b)</w:t>
      </w:r>
      <w:r w:rsidRPr="00056574">
        <w:t xml:space="preserve"> of Part 20 of the National Gas Rules </w:t>
      </w:r>
      <w:r w:rsidRPr="009254E7">
        <w:rPr>
          <w:rStyle w:val="AERtextbold"/>
          <w:b w:val="0"/>
        </w:rPr>
        <w:t>(</w:t>
      </w:r>
      <w:r w:rsidRPr="003F5741">
        <w:rPr>
          <w:rStyle w:val="AERtextbold"/>
        </w:rPr>
        <w:t>Gas Rules</w:t>
      </w:r>
      <w:r w:rsidRPr="009254E7">
        <w:rPr>
          <w:rStyle w:val="AERtextbold"/>
          <w:b w:val="0"/>
        </w:rPr>
        <w:t>)</w:t>
      </w:r>
      <w:r w:rsidRPr="00056574">
        <w:t>.</w:t>
      </w:r>
      <w:r>
        <w:rPr>
          <w:rStyle w:val="FootnoteReference"/>
        </w:rPr>
        <w:footnoteReference w:id="1"/>
      </w:r>
      <w:r w:rsidRPr="00056574">
        <w:t xml:space="preserve"> </w:t>
      </w:r>
      <w:r w:rsidR="009A29B5">
        <w:t>In accordance with</w:t>
      </w:r>
      <w:r>
        <w:t xml:space="preserve"> rule 498(2)</w:t>
      </w:r>
      <w:r w:rsidR="009A29B5">
        <w:t xml:space="preserve">, the AER published an </w:t>
      </w:r>
      <w:hyperlink r:id="rId11" w:history="1">
        <w:r w:rsidR="009A29B5" w:rsidRPr="009A29B5">
          <w:rPr>
            <w:rStyle w:val="Hyperlink"/>
          </w:rPr>
          <w:t>S</w:t>
        </w:r>
        <w:r>
          <w:rPr>
            <w:rStyle w:val="Hyperlink"/>
          </w:rPr>
          <w:t>TTM S</w:t>
        </w:r>
        <w:r w:rsidR="009A29B5" w:rsidRPr="009A29B5">
          <w:rPr>
            <w:rStyle w:val="Hyperlink"/>
          </w:rPr>
          <w:t>PV Guideline</w:t>
        </w:r>
      </w:hyperlink>
      <w:r w:rsidR="009A29B5">
        <w:t xml:space="preserve"> on 21 December 2012. The guideline sets out a number of thresholds </w:t>
      </w:r>
      <w:r w:rsidR="0036775C">
        <w:t xml:space="preserve">that determine whether or not an SPV has occurred. </w:t>
      </w:r>
      <w:r w:rsidR="009A29B5">
        <w:t xml:space="preserve">One of the thresholds relates to </w:t>
      </w:r>
      <w:r>
        <w:t>MOS</w:t>
      </w:r>
      <w:r w:rsidR="009254E7">
        <w:t>,</w:t>
      </w:r>
      <w:r>
        <w:t xml:space="preserve"> and require</w:t>
      </w:r>
      <w:r w:rsidR="00EF5C27">
        <w:t>s</w:t>
      </w:r>
      <w:r>
        <w:t xml:space="preserve"> the AER to </w:t>
      </w:r>
      <w:r w:rsidR="00624F72">
        <w:t>prepare a report</w:t>
      </w:r>
      <w:r>
        <w:t xml:space="preserve"> when </w:t>
      </w:r>
      <w:r w:rsidR="009A29B5">
        <w:t>MOS service payment</w:t>
      </w:r>
      <w:r w:rsidR="00EF5C27">
        <w:t xml:space="preserve"> are</w:t>
      </w:r>
      <w:r w:rsidR="009A29B5">
        <w:t xml:space="preserve"> in excess of $250</w:t>
      </w:r>
      <w:r w:rsidR="00503B13">
        <w:t> </w:t>
      </w:r>
      <w:r w:rsidR="009A29B5">
        <w:t xml:space="preserve">000. </w:t>
      </w:r>
      <w:r w:rsidR="0036775C">
        <w:t xml:space="preserve">For </w:t>
      </w:r>
      <w:r w:rsidR="009A29B5">
        <w:t xml:space="preserve">the 25 June 2013 gas day, </w:t>
      </w:r>
      <w:r w:rsidR="00DF26E5">
        <w:t xml:space="preserve">the </w:t>
      </w:r>
      <w:r w:rsidR="009A29B5" w:rsidRPr="00A131FB">
        <w:t xml:space="preserve">MOS </w:t>
      </w:r>
      <w:r w:rsidR="00DF26E5">
        <w:t xml:space="preserve">service </w:t>
      </w:r>
      <w:r w:rsidR="009A29B5" w:rsidRPr="00A131FB">
        <w:t>payment</w:t>
      </w:r>
      <w:r w:rsidR="009A29B5">
        <w:t xml:space="preserve"> in the </w:t>
      </w:r>
      <w:r w:rsidR="00884F03">
        <w:t>Adelaide hub</w:t>
      </w:r>
      <w:r w:rsidR="009A29B5">
        <w:t xml:space="preserve"> </w:t>
      </w:r>
      <w:r w:rsidR="00DF26E5">
        <w:t>was $</w:t>
      </w:r>
      <w:r w:rsidR="00205A83">
        <w:t>252 </w:t>
      </w:r>
      <w:r w:rsidR="00503B13">
        <w:t>727</w:t>
      </w:r>
      <w:r w:rsidR="0036775C">
        <w:t xml:space="preserve">. </w:t>
      </w:r>
    </w:p>
    <w:p w:rsidR="003F5741" w:rsidRDefault="003F5741" w:rsidP="003F5741">
      <w:pPr>
        <w:pStyle w:val="Heading2"/>
      </w:pPr>
      <w:bookmarkStart w:id="12" w:name="_Toc368048799"/>
      <w:r>
        <w:t>Adelaide hub</w:t>
      </w:r>
      <w:bookmarkEnd w:id="12"/>
      <w:r>
        <w:t xml:space="preserve"> </w:t>
      </w:r>
    </w:p>
    <w:p w:rsidR="00B0066B" w:rsidRDefault="00EF6D74" w:rsidP="00B0066B">
      <w:pPr>
        <w:pStyle w:val="AERbodytext"/>
        <w:numPr>
          <w:ilvl w:val="0"/>
          <w:numId w:val="13"/>
        </w:numPr>
      </w:pPr>
      <w:bookmarkStart w:id="13" w:name="_Ref364349160"/>
      <w:r>
        <w:pict>
          <v:oval id="_x0000_s1101" style="position:absolute;left:0;text-align:left;margin-left:376.35pt;margin-top:121.95pt;width:20pt;height:18pt;z-index:251659776;mso-position-horizontal-relative:text;mso-position-vertical-relative:text" fillcolor="white [3201]" strokecolor="#79cbdf [1940]" strokeweight="1pt">
            <v:fill color2="#a6dcea [1300]" focusposition="1" focussize="" focus="100%" type="gradient"/>
            <v:shadow on="t" type="perspective" color="#16505e [1604]" opacity=".5" offset="1pt" offset2="-3pt"/>
          </v:oval>
        </w:pict>
      </w:r>
      <w:r>
        <w:pict>
          <v:roundrect id="_x0000_s1100" style="position:absolute;left:0;text-align:left;margin-left:215.25pt;margin-top:117.25pt;width:229.75pt;height:115.5pt;z-index:251658752;visibility:visible;mso-wrap-distance-left:9pt;mso-wrap-distance-top:0;mso-wrap-distance-right:9pt;mso-wrap-distance-bottom:0;mso-position-horizontal-relative:text;mso-position-vertical-relative:text;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white [3201]" strokecolor="#b2ecb9" strokeweight="2.5pt">
            <v:fill opacity="0"/>
            <v:shadow color="#868686"/>
            <v:textbox style="mso-next-textbox:#_x0000_s1100">
              <w:txbxContent>
                <w:p w:rsidR="00FB7E51" w:rsidRDefault="00FB7E51" w:rsidP="00B0066B">
                  <w:r>
                    <w:t>Custody transfer point:</w:t>
                  </w:r>
                </w:p>
                <w:p w:rsidR="00FB7E51" w:rsidRDefault="00FB7E51" w:rsidP="00B0066B">
                  <w:r>
                    <w:t>Moomba to Adelaide pipeline:</w:t>
                  </w:r>
                </w:p>
                <w:p w:rsidR="00FB7E51" w:rsidRDefault="00FB7E51" w:rsidP="00B0066B">
                  <w:r>
                    <w:t>SEA Gas:</w:t>
                  </w:r>
                </w:p>
                <w:p w:rsidR="00FB7E51" w:rsidRDefault="00FB7E51" w:rsidP="00B0066B">
                  <w:r>
                    <w:t>Envestra gas network:</w:t>
                  </w:r>
                </w:p>
                <w:p w:rsidR="00FB7E51" w:rsidRDefault="00FB7E51" w:rsidP="00B0066B"/>
              </w:txbxContent>
            </v:textbox>
          </v:roundrect>
        </w:pict>
      </w:r>
      <w:r>
        <w:pict>
          <v:polyline id="_x0000_s1090" style="position:absolute;left:0;text-align:left;z-index:251650560;mso-position-horizontal-relative:text;mso-position-vertical-relative:text" points="159.2pt,121.95pt,159.1pt,366.45pt,14.05pt,280.6pt,159.2pt,157.95pt" coordsize="2903,4890" filled="f" strokecolor="#06f" strokeweight="2.25pt">
            <v:stroke dashstyle="1 1" endcap="round"/>
            <v:path arrowok="t"/>
          </v:polyline>
        </w:pict>
      </w:r>
      <w:r w:rsidR="00B0066B">
        <w:t>The Adelaide hub started operation on 1 September 2010.</w:t>
      </w:r>
      <w:r w:rsidR="00B0066B">
        <w:rPr>
          <w:rStyle w:val="FootnoteReference"/>
        </w:rPr>
        <w:footnoteReference w:id="2"/>
      </w:r>
      <w:r w:rsidR="00B0066B">
        <w:t xml:space="preserve"> The Adelaide hub is comprised of the custody transfer points </w:t>
      </w:r>
      <w:r w:rsidR="00EF5C27">
        <w:t xml:space="preserve">(often referred to as delivery points) </w:t>
      </w:r>
      <w:r w:rsidR="00B0066B">
        <w:t>where the transmission pipelines meet the distribution network. There are two transmission pipelines that service the distribution network; the Moomba to Adelaide Pipeline (</w:t>
      </w:r>
      <w:r w:rsidR="00B0066B" w:rsidRPr="00DB18D1">
        <w:rPr>
          <w:b/>
        </w:rPr>
        <w:t>MAP</w:t>
      </w:r>
      <w:r w:rsidR="00B0066B">
        <w:t>) and the South East Australia Gas Pipeline (</w:t>
      </w:r>
      <w:r w:rsidR="00EE7F17">
        <w:rPr>
          <w:b/>
        </w:rPr>
        <w:t>SEA Gas</w:t>
      </w:r>
      <w:r w:rsidR="00B0066B" w:rsidRPr="00DB18D1">
        <w:rPr>
          <w:b/>
        </w:rPr>
        <w:t xml:space="preserve"> pipeline</w:t>
      </w:r>
      <w:r w:rsidR="00B0066B">
        <w:t xml:space="preserve">). The </w:t>
      </w:r>
      <w:r w:rsidR="00EE7F17">
        <w:t>SEA Gas</w:t>
      </w:r>
      <w:r w:rsidR="00B0066B">
        <w:t xml:space="preserve"> pipeline has one custody transfer point, located at Cavan. The MAP has three custody transfer points, located at Elizabeth, Gepps Cross, and Taperoo respectively. The distribution network is owned by </w:t>
      </w:r>
      <w:proofErr w:type="spellStart"/>
      <w:r w:rsidR="00B0066B">
        <w:t>Envestra</w:t>
      </w:r>
      <w:proofErr w:type="spellEnd"/>
      <w:r w:rsidR="00B0066B">
        <w:t xml:space="preserve">. </w:t>
      </w:r>
      <w:r w:rsidR="00E841C2">
        <w:fldChar w:fldCharType="begin"/>
      </w:r>
      <w:r w:rsidR="00E841C2">
        <w:instrText xml:space="preserve"> REF _Ref367369383 \h </w:instrText>
      </w:r>
      <w:r w:rsidR="00E841C2">
        <w:fldChar w:fldCharType="separate"/>
      </w:r>
      <w:r w:rsidRPr="00B0066B">
        <w:t xml:space="preserve">Figure </w:t>
      </w:r>
      <w:r>
        <w:rPr>
          <w:noProof/>
        </w:rPr>
        <w:t>1</w:t>
      </w:r>
      <w:r w:rsidR="00E841C2">
        <w:fldChar w:fldCharType="end"/>
      </w:r>
      <w:r w:rsidR="00E841C2">
        <w:t xml:space="preserve"> </w:t>
      </w:r>
      <w:r w:rsidR="00B0066B">
        <w:t xml:space="preserve">below illustrates the MAP and the </w:t>
      </w:r>
      <w:r w:rsidR="00EE7F17">
        <w:t>SEA Gas</w:t>
      </w:r>
      <w:r w:rsidR="00B0066B">
        <w:t xml:space="preserve"> pipeline</w:t>
      </w:r>
      <w:r w:rsidR="00AD54E9">
        <w:t>, their</w:t>
      </w:r>
      <w:r w:rsidR="00B0066B">
        <w:t xml:space="preserve"> respective custody transfer points and the Adelaide distribution network.</w:t>
      </w:r>
    </w:p>
    <w:p w:rsidR="00B0066B" w:rsidRPr="00B0066B" w:rsidRDefault="00B0066B" w:rsidP="00B0066B">
      <w:pPr>
        <w:pStyle w:val="Caption"/>
        <w:ind w:left="0" w:firstLine="0"/>
      </w:pPr>
      <w:bookmarkStart w:id="14" w:name="_Ref367369383"/>
      <w:r w:rsidRPr="00B0066B">
        <w:t xml:space="preserve">Figure </w:t>
      </w:r>
      <w:r w:rsidR="00EF6D74">
        <w:fldChar w:fldCharType="begin"/>
      </w:r>
      <w:r w:rsidR="00EF6D74">
        <w:instrText xml:space="preserve"> SEQ Figure \* ARABIC </w:instrText>
      </w:r>
      <w:r w:rsidR="00EF6D74">
        <w:fldChar w:fldCharType="separate"/>
      </w:r>
      <w:r w:rsidR="00EF6D74">
        <w:rPr>
          <w:noProof/>
        </w:rPr>
        <w:t>1</w:t>
      </w:r>
      <w:r w:rsidR="00EF6D74">
        <w:rPr>
          <w:noProof/>
        </w:rPr>
        <w:fldChar w:fldCharType="end"/>
      </w:r>
      <w:bookmarkEnd w:id="13"/>
      <w:bookmarkEnd w:id="14"/>
      <w:r w:rsidRPr="00B0066B">
        <w:t xml:space="preserve"> – The Adelaide hub</w:t>
      </w:r>
    </w:p>
    <w:p w:rsidR="00B0066B" w:rsidRPr="009B784F" w:rsidRDefault="00EF6D74" w:rsidP="00B0066B">
      <w:r>
        <w:pict>
          <v:shape id="_x0000_s1102" style="position:absolute;left:0;text-align:left;margin-left:370.35pt;margin-top:16.6pt;width:60.15pt;height:0;z-index:251660800;mso-position-horizontal-relative:text;mso-position-vertical-relative:text" coordsize="1203,1" path="m1203,l,e" filled="f" strokecolor="#06f" strokeweight="2.25pt">
            <v:stroke dashstyle="1 1" endcap="round"/>
            <v:path arrowok="t"/>
          </v:shape>
        </w:pict>
      </w:r>
    </w:p>
    <w:p w:rsidR="00B0066B" w:rsidRPr="009B784F" w:rsidRDefault="00EF6D74" w:rsidP="00B0066B">
      <w:r>
        <w:pict>
          <v:polyline id="_x0000_s1103" style="position:absolute;left:0;text-align:left;z-index:251661824;mso-position-horizontal-relative:text;mso-position-vertical-relative:text" points="434.25pt,15.9pt,413.3pt,15.9pt,370.35pt,15.5pt" coordsize="1278,8" filled="f" strokecolor="red" strokeweight="3pt">
            <v:stroke dashstyle="1 1"/>
            <v:path arrowok="t"/>
          </v:polyline>
        </w:pict>
      </w:r>
    </w:p>
    <w:p w:rsidR="00B0066B" w:rsidRPr="009B784F" w:rsidRDefault="00EF6D74" w:rsidP="00B0066B">
      <w:r>
        <w:pict>
          <v:shape id="_x0000_s1104" style="position:absolute;left:0;text-align:left;margin-left:370.6pt;margin-top:7.95pt;width:59.9pt;height:17.9pt;z-index:251662848;mso-position-horizontal-relative:text;mso-position-vertical-relative:text" coordsize="1198,358" path="m1198,358l,358,,,1198,r,358xe" strokeweight="1.5pt">
            <v:path arrowok="t"/>
          </v:shape>
        </w:pict>
      </w:r>
    </w:p>
    <w:p w:rsidR="00B0066B" w:rsidRPr="009B784F" w:rsidRDefault="00EF6D74" w:rsidP="00B0066B">
      <w:r>
        <w:pict>
          <v:polyline id="_x0000_s1091" style="position:absolute;left:0;text-align:left;z-index:251652608;mso-position-horizontal-relative:text;mso-position-vertical-relative:text" points="430pt,38.15pt,124.6pt,8.5pt,125pt,114.7pt,56.65pt,73.25pt" coordsize="7467,2124" filled="f" strokecolor="red" strokeweight="3pt">
            <v:stroke dashstyle="1 1"/>
            <v:path arrowok="t"/>
          </v:polyline>
        </w:pict>
      </w:r>
    </w:p>
    <w:p w:rsidR="00B0066B" w:rsidRPr="009B784F" w:rsidRDefault="00EF6D74" w:rsidP="00B0066B">
      <w:r>
        <w:pict>
          <v:shape id="_x0000_s1089" style="position:absolute;left:0;text-align:left;margin-left:30pt;margin-top:2.45pt;width:250.1pt;height:171pt;z-index:251649536;mso-position-horizontal-relative:text;mso-position-vertical-relative:text" coordsize="5002,3420" path="m5002,r,3418l1602,3420r1,-899l,1621,,1075r1601,906l1601,2,5002,xe" strokeweight="1.5pt">
            <v:path arrowok="t"/>
          </v:shape>
        </w:pict>
      </w:r>
      <w:r>
        <w:pict>
          <v:oval id="_x0000_s1095" style="position:absolute;left:0;text-align:left;margin-left:159.2pt;margin-top:85.55pt;width:20pt;height:18pt;z-index:251667968;mso-position-horizontal-relative:text;mso-position-vertical-relative:text" fillcolor="white [3201]" strokecolor="#79cbdf [1940]" strokeweight="1pt">
            <v:fill color2="#a6dcea [1300]" focusposition="1" focussize="" focus="100%" type="gradient"/>
            <v:shadow on="t" type="perspective" color="#16505e [1604]" opacity=".5" offset="1pt" offset2="-3pt"/>
          </v:oval>
        </w:pict>
      </w:r>
      <w:r>
        <w:pict>
          <v:oval id="_x0000_s1092" style="position:absolute;left:0;text-align:left;margin-left:159.2pt;margin-top:11.55pt;width:20pt;height:18pt;z-index:251666944;mso-position-horizontal-relative:text;mso-position-vertical-relative:text" fillcolor="white [3201]" strokecolor="#79cbdf [1940]" strokeweight="1pt">
            <v:fill color2="#a6dcea [1300]" focusposition="1" focussize="" focus="100%" type="gradient"/>
            <v:shadow on="t" type="perspective" color="#16505e [1604]" opacity=".5" offset="1pt" offset2="-3pt"/>
          </v:oval>
        </w:pict>
      </w:r>
      <w:r>
        <w:pict>
          <v:shapetype id="_x0000_t202" coordsize="21600,21600" o:spt="202" path="m,l,21600r21600,l21600,xe">
            <v:stroke joinstyle="miter"/>
            <v:path gradientshapeok="t" o:connecttype="rect"/>
          </v:shapetype>
          <v:shape id="Text Box 2" o:spid="_x0000_s1096" type="#_x0000_t202" style="position:absolute;left:0;text-align:left;margin-left:174.2pt;margin-top:11.55pt;width:59.2pt;height:18.9pt;z-index:2516546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fill opacity="0"/>
            <v:textbox style="mso-next-textbox:#Text Box 2">
              <w:txbxContent>
                <w:p w:rsidR="00FB7E51" w:rsidRPr="00C721DE" w:rsidRDefault="00FB7E51" w:rsidP="00B0066B">
                  <w:pPr>
                    <w:rPr>
                      <w:sz w:val="18"/>
                      <w:szCs w:val="18"/>
                    </w:rPr>
                  </w:pPr>
                  <w:r w:rsidRPr="00C721DE">
                    <w:rPr>
                      <w:sz w:val="18"/>
                      <w:szCs w:val="18"/>
                    </w:rPr>
                    <w:t>Elizabeth</w:t>
                  </w:r>
                </w:p>
              </w:txbxContent>
            </v:textbox>
          </v:shape>
        </w:pict>
      </w:r>
    </w:p>
    <w:p w:rsidR="00B0066B" w:rsidRPr="009B784F" w:rsidRDefault="00EF6D74" w:rsidP="00B0066B">
      <w:r>
        <w:pict>
          <v:shape id="_x0000_s1099" type="#_x0000_t202" style="position:absolute;left:0;text-align:left;margin-left:120pt;margin-top:22.9pt;width:59.2pt;height:18.9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fill opacity="0"/>
            <v:textbox style="mso-next-textbox:#_x0000_s1099">
              <w:txbxContent>
                <w:p w:rsidR="00FB7E51" w:rsidRPr="00C721DE" w:rsidRDefault="00FB7E51" w:rsidP="00B0066B">
                  <w:pPr>
                    <w:rPr>
                      <w:sz w:val="18"/>
                      <w:szCs w:val="18"/>
                    </w:rPr>
                  </w:pPr>
                  <w:r w:rsidRPr="00C721DE">
                    <w:rPr>
                      <w:sz w:val="18"/>
                      <w:szCs w:val="18"/>
                    </w:rPr>
                    <w:t>Cavan</w:t>
                  </w:r>
                </w:p>
              </w:txbxContent>
            </v:textbox>
          </v:shape>
        </w:pict>
      </w:r>
    </w:p>
    <w:p w:rsidR="00B0066B" w:rsidRPr="009B784F" w:rsidRDefault="00EF6D74" w:rsidP="00B0066B">
      <w:r>
        <w:pict>
          <v:shape id="_x0000_s1098" type="#_x0000_t202" style="position:absolute;left:0;text-align:left;margin-left:30pt;margin-top:22.95pt;width:54.65pt;height:18.9pt;z-index:2516567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fill opacity="0"/>
            <v:textbox style="mso-next-textbox:#_x0000_s1098">
              <w:txbxContent>
                <w:p w:rsidR="00FB7E51" w:rsidRPr="00C721DE" w:rsidRDefault="00FB7E51" w:rsidP="00B0066B">
                  <w:pPr>
                    <w:rPr>
                      <w:sz w:val="18"/>
                      <w:szCs w:val="18"/>
                    </w:rPr>
                  </w:pPr>
                  <w:r w:rsidRPr="00C721DE">
                    <w:rPr>
                      <w:sz w:val="18"/>
                      <w:szCs w:val="18"/>
                    </w:rPr>
                    <w:t>Taperoo</w:t>
                  </w:r>
                </w:p>
              </w:txbxContent>
            </v:textbox>
          </v:shape>
        </w:pict>
      </w:r>
      <w:r>
        <w:pict>
          <v:oval id="_x0000_s1093" style="position:absolute;left:0;text-align:left;margin-left:40pt;margin-top:4.95pt;width:20pt;height:18.95pt;z-index:251665920;mso-position-horizontal-relative:text;mso-position-vertical-relative:text" fillcolor="white [3201]" strokecolor="#79cbdf [1940]" strokeweight="1pt">
            <v:fill color2="#a6dcea [1300]" focusposition="1" focussize="" focus="100%" type="gradient"/>
            <v:shadow on="t" type="perspective" color="#16505e [1604]" opacity=".5" offset="1pt" offset2="-3pt"/>
          </v:oval>
        </w:pict>
      </w:r>
      <w:r>
        <w:pict>
          <v:oval id="_x0000_s1094" style="position:absolute;left:0;text-align:left;margin-left:125pt;margin-top:16pt;width:20pt;height:18pt;z-index:251653632;mso-position-horizontal-relative:text;mso-position-vertical-relative:text" fillcolor="white [3201]" strokecolor="#79cbdf [1940]" strokeweight="1pt">
            <v:fill color2="#a6dcea [1300]" focusposition="1" focussize="" focus="100%" type="gradient"/>
            <v:shadow on="t" type="perspective" color="#16505e [1604]" opacity=".5" offset="1pt" offset2="-3pt"/>
          </v:oval>
        </w:pict>
      </w:r>
    </w:p>
    <w:p w:rsidR="00B0066B" w:rsidRPr="009B784F" w:rsidRDefault="00EF6D74" w:rsidP="00B0066B">
      <w:r>
        <w:pict>
          <v:shape id="_x0000_s1097" type="#_x0000_t202" style="position:absolute;left:0;text-align:left;margin-left:174.2pt;margin-top:.45pt;width:53.25pt;height:34.2pt;z-index:2516556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fill opacity="0"/>
            <v:textbox style="mso-next-textbox:#_x0000_s1097">
              <w:txbxContent>
                <w:p w:rsidR="00FB7E51" w:rsidRPr="00C721DE" w:rsidRDefault="00FB7E51" w:rsidP="00B0066B">
                  <w:pPr>
                    <w:rPr>
                      <w:sz w:val="18"/>
                      <w:szCs w:val="18"/>
                    </w:rPr>
                  </w:pPr>
                  <w:r w:rsidRPr="00C721DE">
                    <w:rPr>
                      <w:sz w:val="18"/>
                      <w:szCs w:val="18"/>
                    </w:rPr>
                    <w:t>Gepps Cross</w:t>
                  </w:r>
                </w:p>
              </w:txbxContent>
            </v:textbox>
          </v:shape>
        </w:pict>
      </w:r>
    </w:p>
    <w:p w:rsidR="00B0066B" w:rsidRPr="009B784F" w:rsidRDefault="00B0066B" w:rsidP="00B0066B"/>
    <w:p w:rsidR="00B0066B" w:rsidRPr="009B784F" w:rsidRDefault="00B0066B" w:rsidP="00B0066B"/>
    <w:p w:rsidR="00B0066B" w:rsidRPr="009B784F" w:rsidRDefault="00B0066B" w:rsidP="00B0066B"/>
    <w:p w:rsidR="00B0066B" w:rsidRPr="009B784F" w:rsidRDefault="00B0066B" w:rsidP="00B0066B"/>
    <w:p w:rsidR="00DB18D1" w:rsidRDefault="00DB18D1" w:rsidP="00B0066B"/>
    <w:p w:rsidR="00D249DF" w:rsidRDefault="00B0066B" w:rsidP="00B0066B">
      <w:r>
        <w:lastRenderedPageBreak/>
        <w:t xml:space="preserve">There are 6 trading participants </w:t>
      </w:r>
      <w:r w:rsidR="00EF5C27">
        <w:t xml:space="preserve">operating </w:t>
      </w:r>
      <w:r>
        <w:t xml:space="preserve">in the Adelaide </w:t>
      </w:r>
      <w:r w:rsidRPr="009E5CF9">
        <w:t>hub</w:t>
      </w:r>
      <w:r w:rsidR="00D3716F">
        <w:t>.</w:t>
      </w:r>
      <w:r>
        <w:t xml:space="preserve"> </w:t>
      </w:r>
      <w:r w:rsidR="00D3716F">
        <w:t>Five of these participants</w:t>
      </w:r>
      <w:r w:rsidR="0055077F">
        <w:t xml:space="preserve"> </w:t>
      </w:r>
      <w:r w:rsidR="00D3716F">
        <w:t>s</w:t>
      </w:r>
      <w:r>
        <w:t xml:space="preserve">hip gas to Adelaide using the MAP and </w:t>
      </w:r>
      <w:r w:rsidR="00DB18D1">
        <w:t xml:space="preserve">the </w:t>
      </w:r>
      <w:r w:rsidR="00EE7F17">
        <w:t>SEA Gas</w:t>
      </w:r>
      <w:r w:rsidR="00DB18D1">
        <w:t xml:space="preserve"> pipeline</w:t>
      </w:r>
      <w:r w:rsidR="007D5C52">
        <w:t>. They participate in the hub</w:t>
      </w:r>
      <w:r>
        <w:t xml:space="preserve"> to meet </w:t>
      </w:r>
      <w:r w:rsidR="00D3716F">
        <w:t xml:space="preserve">their </w:t>
      </w:r>
      <w:r>
        <w:t>demand</w:t>
      </w:r>
      <w:r w:rsidR="007D5C52">
        <w:t xml:space="preserve"> and to buy or </w:t>
      </w:r>
      <w:r w:rsidR="005814F0">
        <w:t>sell small amounts of imbalance gas</w:t>
      </w:r>
      <w:r w:rsidR="007D5C52">
        <w:t>.</w:t>
      </w:r>
      <w:r w:rsidR="005814F0">
        <w:rPr>
          <w:rStyle w:val="FootnoteReference"/>
        </w:rPr>
        <w:footnoteReference w:id="3"/>
      </w:r>
      <w:r>
        <w:t xml:space="preserve"> </w:t>
      </w:r>
      <w:r w:rsidR="007D5C52">
        <w:fldChar w:fldCharType="begin"/>
      </w:r>
      <w:r w:rsidR="007D5C52">
        <w:instrText xml:space="preserve"> REF _Ref367186933 \h </w:instrText>
      </w:r>
      <w:r w:rsidR="007D5C52">
        <w:fldChar w:fldCharType="separate"/>
      </w:r>
      <w:r w:rsidR="00EF6D74">
        <w:t xml:space="preserve">Figure </w:t>
      </w:r>
      <w:r w:rsidR="00EF6D74">
        <w:rPr>
          <w:noProof/>
        </w:rPr>
        <w:t>2</w:t>
      </w:r>
      <w:r w:rsidR="007D5C52">
        <w:fldChar w:fldCharType="end"/>
      </w:r>
      <w:r w:rsidR="007D5C52">
        <w:t xml:space="preserve"> </w:t>
      </w:r>
      <w:r w:rsidR="00A2532A">
        <w:t>shows</w:t>
      </w:r>
      <w:r w:rsidR="005F5268">
        <w:t>, for 25 June,</w:t>
      </w:r>
      <w:r w:rsidR="00A2532A">
        <w:t xml:space="preserve"> </w:t>
      </w:r>
      <w:r w:rsidR="005F5268">
        <w:t xml:space="preserve">the </w:t>
      </w:r>
      <w:r w:rsidR="00A2532A">
        <w:t xml:space="preserve">proportion of </w:t>
      </w:r>
      <w:r w:rsidR="00A855F4">
        <w:t xml:space="preserve">forward haul </w:t>
      </w:r>
      <w:r w:rsidR="00A2532A">
        <w:t xml:space="preserve">scheduled to the </w:t>
      </w:r>
      <w:r w:rsidR="005F5268">
        <w:t xml:space="preserve">Adelaide </w:t>
      </w:r>
      <w:r w:rsidR="00A2532A">
        <w:t xml:space="preserve">hub for </w:t>
      </w:r>
      <w:r w:rsidR="005F5268">
        <w:t>each of the participant</w:t>
      </w:r>
      <w:r w:rsidR="007D5C52">
        <w:t>s</w:t>
      </w:r>
      <w:r w:rsidR="00DB18D1">
        <w:t>.</w:t>
      </w:r>
      <w:r w:rsidR="00D249DF">
        <w:rPr>
          <w:rStyle w:val="FootnoteReference"/>
        </w:rPr>
        <w:footnoteReference w:id="4"/>
      </w:r>
    </w:p>
    <w:p w:rsidR="007D5C52" w:rsidRDefault="007D5C52" w:rsidP="007D5C52">
      <w:pPr>
        <w:pStyle w:val="Caption"/>
      </w:pPr>
      <w:bookmarkStart w:id="15" w:name="_Ref367186933"/>
      <w:r>
        <w:t xml:space="preserve">Figure </w:t>
      </w:r>
      <w:r w:rsidR="00EF6D74">
        <w:fldChar w:fldCharType="begin"/>
      </w:r>
      <w:r w:rsidR="00EF6D74">
        <w:instrText xml:space="preserve"> SEQ Figure \* ARABIC </w:instrText>
      </w:r>
      <w:r w:rsidR="00EF6D74">
        <w:fldChar w:fldCharType="separate"/>
      </w:r>
      <w:r w:rsidR="00EF6D74">
        <w:rPr>
          <w:noProof/>
        </w:rPr>
        <w:t>2</w:t>
      </w:r>
      <w:r w:rsidR="00EF6D74">
        <w:rPr>
          <w:noProof/>
        </w:rPr>
        <w:fldChar w:fldCharType="end"/>
      </w:r>
      <w:bookmarkEnd w:id="15"/>
      <w:r>
        <w:t xml:space="preserve"> – Participa</w:t>
      </w:r>
      <w:r w:rsidR="007140C3">
        <w:t>tion</w:t>
      </w:r>
      <w:r>
        <w:t xml:space="preserve"> in the Adelaide hub</w:t>
      </w:r>
      <w:r w:rsidR="007140C3">
        <w:t xml:space="preserve"> - p</w:t>
      </w:r>
      <w:r>
        <w:t>roportion of gas scheduled</w:t>
      </w:r>
      <w:r w:rsidR="007140C3">
        <w:t xml:space="preserve"> (25 June)</w:t>
      </w:r>
    </w:p>
    <w:p w:rsidR="00B0066B" w:rsidRDefault="00CD0CA8" w:rsidP="00B0066B">
      <w:r w:rsidRPr="00CD0CA8">
        <w:rPr>
          <w:noProof/>
          <w:lang w:eastAsia="en-AU"/>
        </w:rPr>
        <w:drawing>
          <wp:inline distT="0" distB="0" distL="0" distR="0" wp14:anchorId="57726579" wp14:editId="5AABC586">
            <wp:extent cx="4563745" cy="2734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3745" cy="2734945"/>
                    </a:xfrm>
                    <a:prstGeom prst="rect">
                      <a:avLst/>
                    </a:prstGeom>
                    <a:noFill/>
                    <a:ln>
                      <a:noFill/>
                    </a:ln>
                  </pic:spPr>
                </pic:pic>
              </a:graphicData>
            </a:graphic>
          </wp:inline>
        </w:drawing>
      </w:r>
    </w:p>
    <w:p w:rsidR="001F2B35" w:rsidRDefault="001F2B35" w:rsidP="001F2B35">
      <w:pPr>
        <w:pStyle w:val="FootnoteText"/>
      </w:pPr>
      <w:r>
        <w:t xml:space="preserve">Data: AEMO Market data (www.aemo.com.au): INT 651, 659 </w:t>
      </w:r>
    </w:p>
    <w:p w:rsidR="001F2B35" w:rsidRPr="001F2B35" w:rsidRDefault="001F2B35" w:rsidP="001F2B35">
      <w:pPr>
        <w:pStyle w:val="FootnoteText"/>
      </w:pPr>
    </w:p>
    <w:p w:rsidR="005814F0" w:rsidRPr="00D249DF" w:rsidRDefault="00B0066B" w:rsidP="00EF5C27">
      <w:pPr>
        <w:pStyle w:val="AERbodytext"/>
        <w:rPr>
          <w:rStyle w:val="AERtexthighlight"/>
          <w:shd w:val="clear" w:color="auto" w:fill="auto"/>
        </w:rPr>
      </w:pPr>
      <w:r>
        <w:t xml:space="preserve">Four of </w:t>
      </w:r>
      <w:r w:rsidR="000B5CD6">
        <w:t>the</w:t>
      </w:r>
      <w:r w:rsidR="005814F0">
        <w:t>se</w:t>
      </w:r>
      <w:r w:rsidR="000B5CD6">
        <w:t xml:space="preserve"> </w:t>
      </w:r>
      <w:r>
        <w:t>participants</w:t>
      </w:r>
      <w:r w:rsidR="005814F0">
        <w:t xml:space="preserve"> (Adelaide Brighton Cement, AGL, Energy Australia, </w:t>
      </w:r>
      <w:r w:rsidR="007D5C52">
        <w:t xml:space="preserve">and </w:t>
      </w:r>
      <w:r w:rsidR="005814F0">
        <w:t>Origin)</w:t>
      </w:r>
      <w:r>
        <w:t xml:space="preserve"> </w:t>
      </w:r>
      <w:r w:rsidR="001F3973">
        <w:t>offer</w:t>
      </w:r>
      <w:r w:rsidR="00EF5C27">
        <w:t>ed</w:t>
      </w:r>
      <w:r w:rsidR="001F3973">
        <w:t xml:space="preserve"> MOS </w:t>
      </w:r>
      <w:r w:rsidR="007D5C52">
        <w:t xml:space="preserve">on </w:t>
      </w:r>
      <w:r w:rsidR="00EF5C27" w:rsidRPr="00503B13">
        <w:t>25 June 2013</w:t>
      </w:r>
      <w:r w:rsidR="007D5C52">
        <w:t xml:space="preserve"> and throughout the winter period</w:t>
      </w:r>
      <w:r w:rsidR="00EF5C27" w:rsidRPr="00503B13">
        <w:t xml:space="preserve">. </w:t>
      </w:r>
      <w:r w:rsidR="00EF5C27" w:rsidRPr="00503B13">
        <w:rPr>
          <w:rStyle w:val="AERtexthighlight"/>
          <w:shd w:val="clear" w:color="auto" w:fill="auto"/>
        </w:rPr>
        <w:t>A</w:t>
      </w:r>
      <w:r w:rsidR="006827E4" w:rsidRPr="00503B13">
        <w:rPr>
          <w:rStyle w:val="AERtexthighlight"/>
          <w:shd w:val="clear" w:color="auto" w:fill="auto"/>
        </w:rPr>
        <w:t xml:space="preserve">ttachment A </w:t>
      </w:r>
      <w:r w:rsidR="00EF5C27" w:rsidRPr="00503B13">
        <w:rPr>
          <w:rStyle w:val="AERtexthighlight"/>
          <w:shd w:val="clear" w:color="auto" w:fill="auto"/>
        </w:rPr>
        <w:t xml:space="preserve">provides an explanation of </w:t>
      </w:r>
      <w:r w:rsidR="007D5C52">
        <w:rPr>
          <w:rStyle w:val="AERtexthighlight"/>
          <w:shd w:val="clear" w:color="auto" w:fill="auto"/>
        </w:rPr>
        <w:t xml:space="preserve">MOS, and </w:t>
      </w:r>
      <w:r w:rsidR="00EF5C27" w:rsidRPr="00503B13">
        <w:rPr>
          <w:rStyle w:val="AERtexthighlight"/>
          <w:shd w:val="clear" w:color="auto" w:fill="auto"/>
        </w:rPr>
        <w:t>how trading participant</w:t>
      </w:r>
      <w:r w:rsidR="00325AC6">
        <w:rPr>
          <w:rStyle w:val="AERtexthighlight"/>
          <w:shd w:val="clear" w:color="auto" w:fill="auto"/>
        </w:rPr>
        <w:t xml:space="preserve"> </w:t>
      </w:r>
      <w:r w:rsidR="00EF5C27" w:rsidRPr="00325AC6">
        <w:rPr>
          <w:rStyle w:val="AERtexthighlight"/>
          <w:shd w:val="clear" w:color="auto" w:fill="auto"/>
        </w:rPr>
        <w:t>offers and demand forecasts (price taker bids) can influence the amount of MOS required</w:t>
      </w:r>
      <w:r w:rsidR="007D5C52">
        <w:rPr>
          <w:rStyle w:val="AERtexthighlight"/>
          <w:shd w:val="clear" w:color="auto" w:fill="auto"/>
        </w:rPr>
        <w:t>.</w:t>
      </w:r>
      <w:r w:rsidR="00EF5C27" w:rsidRPr="00EF5C27">
        <w:rPr>
          <w:rStyle w:val="AERtexthighlight"/>
          <w:shd w:val="clear" w:color="auto" w:fill="auto"/>
        </w:rPr>
        <w:t xml:space="preserve"> </w:t>
      </w:r>
    </w:p>
    <w:p w:rsidR="00B0066B" w:rsidRPr="00B0066B" w:rsidRDefault="00B0066B" w:rsidP="00B0066B">
      <w:pPr>
        <w:pStyle w:val="AERbodytext"/>
      </w:pPr>
    </w:p>
    <w:p w:rsidR="00365EDD" w:rsidRDefault="00ED17CE" w:rsidP="00CF28DF">
      <w:pPr>
        <w:pStyle w:val="Heading1"/>
      </w:pPr>
      <w:bookmarkStart w:id="16" w:name="_Toc365903598"/>
      <w:bookmarkStart w:id="17" w:name="_Toc365903665"/>
      <w:bookmarkStart w:id="18" w:name="_Toc365903599"/>
      <w:bookmarkStart w:id="19" w:name="_Toc365903666"/>
      <w:bookmarkStart w:id="20" w:name="_Toc365903600"/>
      <w:bookmarkStart w:id="21" w:name="_Toc365903667"/>
      <w:bookmarkStart w:id="22" w:name="_Toc365903601"/>
      <w:bookmarkStart w:id="23" w:name="_Toc365903668"/>
      <w:bookmarkStart w:id="24" w:name="_Toc365903602"/>
      <w:bookmarkStart w:id="25" w:name="_Toc365903669"/>
      <w:bookmarkStart w:id="26" w:name="_Toc365903603"/>
      <w:bookmarkStart w:id="27" w:name="_Toc365903670"/>
      <w:bookmarkStart w:id="28" w:name="_Toc365903604"/>
      <w:bookmarkStart w:id="29" w:name="_Toc365903671"/>
      <w:bookmarkStart w:id="30" w:name="_Ref364760490"/>
      <w:bookmarkStart w:id="31" w:name="_Toc368048800"/>
      <w:bookmarkEnd w:id="16"/>
      <w:bookmarkEnd w:id="17"/>
      <w:bookmarkEnd w:id="18"/>
      <w:bookmarkEnd w:id="19"/>
      <w:bookmarkEnd w:id="20"/>
      <w:bookmarkEnd w:id="21"/>
      <w:bookmarkEnd w:id="22"/>
      <w:bookmarkEnd w:id="23"/>
      <w:bookmarkEnd w:id="24"/>
      <w:bookmarkEnd w:id="25"/>
      <w:bookmarkEnd w:id="26"/>
      <w:bookmarkEnd w:id="27"/>
      <w:bookmarkEnd w:id="28"/>
      <w:bookmarkEnd w:id="29"/>
      <w:r>
        <w:t xml:space="preserve">Winter 2013 in the </w:t>
      </w:r>
      <w:r w:rsidR="00CF28DF">
        <w:t xml:space="preserve">Adelaide </w:t>
      </w:r>
      <w:r w:rsidR="007100B4">
        <w:t>hub</w:t>
      </w:r>
      <w:bookmarkEnd w:id="30"/>
      <w:bookmarkEnd w:id="31"/>
    </w:p>
    <w:p w:rsidR="0001461C" w:rsidRDefault="00801566" w:rsidP="00BF1A73">
      <w:pPr>
        <w:pStyle w:val="AERbodytext"/>
        <w:numPr>
          <w:ilvl w:val="0"/>
          <w:numId w:val="13"/>
        </w:numPr>
      </w:pPr>
      <w:r>
        <w:t xml:space="preserve">As shown in </w:t>
      </w:r>
      <w:r w:rsidR="00DE5C9D">
        <w:fldChar w:fldCharType="begin"/>
      </w:r>
      <w:r w:rsidR="00DE5C9D">
        <w:instrText xml:space="preserve"> REF _Ref367187461 \h </w:instrText>
      </w:r>
      <w:r w:rsidR="00DE5C9D">
        <w:fldChar w:fldCharType="separate"/>
      </w:r>
      <w:r w:rsidR="00EF6D74">
        <w:t xml:space="preserve">Figure </w:t>
      </w:r>
      <w:r w:rsidR="00EF6D74">
        <w:rPr>
          <w:noProof/>
        </w:rPr>
        <w:t>3</w:t>
      </w:r>
      <w:r w:rsidR="00DE5C9D">
        <w:fldChar w:fldCharType="end"/>
      </w:r>
      <w:r w:rsidR="00FD5CBE">
        <w:t>,</w:t>
      </w:r>
      <w:r w:rsidR="00DE5C9D">
        <w:t xml:space="preserve"> </w:t>
      </w:r>
      <w:r w:rsidR="00801931">
        <w:t>there</w:t>
      </w:r>
      <w:r>
        <w:t xml:space="preserve"> have been clusters of days</w:t>
      </w:r>
      <w:r w:rsidR="00C35C97">
        <w:t xml:space="preserve"> throughout winter 2013</w:t>
      </w:r>
      <w:r>
        <w:t xml:space="preserve"> where </w:t>
      </w:r>
      <w:r w:rsidR="00FD5CBE">
        <w:t>counteracting MOS</w:t>
      </w:r>
      <w:r w:rsidR="00801931">
        <w:t xml:space="preserve"> </w:t>
      </w:r>
      <w:r>
        <w:t xml:space="preserve">has </w:t>
      </w:r>
      <w:bookmarkStart w:id="32" w:name="_Ref364857357"/>
      <w:r>
        <w:t>occurred</w:t>
      </w:r>
      <w:r w:rsidR="00FD5CBE">
        <w:t xml:space="preserve">. Counteracting MOS in the Adelaide hub is defined for this report </w:t>
      </w:r>
      <w:r w:rsidR="00C35C97">
        <w:t>as</w:t>
      </w:r>
      <w:r w:rsidR="00FD5CBE">
        <w:t xml:space="preserve"> the occurrence of MOS on a gas day whe</w:t>
      </w:r>
      <w:r w:rsidR="00173125">
        <w:t>re</w:t>
      </w:r>
      <w:r w:rsidR="00FD5CBE">
        <w:t xml:space="preserve"> </w:t>
      </w:r>
      <w:r w:rsidR="00C35C97">
        <w:t xml:space="preserve">the </w:t>
      </w:r>
      <w:r w:rsidR="00FD5CBE">
        <w:t xml:space="preserve">MAP injects more </w:t>
      </w:r>
      <w:r w:rsidR="00173125">
        <w:t xml:space="preserve">gas </w:t>
      </w:r>
      <w:r w:rsidR="00FD5CBE">
        <w:t xml:space="preserve">than nominated (increase MOS) at the same time that </w:t>
      </w:r>
      <w:r w:rsidR="00C35C97">
        <w:t xml:space="preserve">the </w:t>
      </w:r>
      <w:r w:rsidR="00EE7F17">
        <w:t>SEA Gas</w:t>
      </w:r>
      <w:r w:rsidR="00C35C97">
        <w:t xml:space="preserve"> pipeline</w:t>
      </w:r>
      <w:r w:rsidR="00FD5CBE">
        <w:t xml:space="preserve"> delivers a similar TJ amount less gas than nominated (decrease MOS).</w:t>
      </w:r>
      <w:r w:rsidR="0001461C">
        <w:t xml:space="preserve"> </w:t>
      </w:r>
      <w:r w:rsidR="00BF1A73">
        <w:t>Theoretically, the main cause of MOS should be inaccurate demand forecasts.</w:t>
      </w:r>
      <w:r w:rsidR="00BF1A73">
        <w:rPr>
          <w:rStyle w:val="FootnoteReference"/>
        </w:rPr>
        <w:footnoteReference w:id="5"/>
      </w:r>
      <w:r w:rsidR="00BF1A73">
        <w:t xml:space="preserve"> However, as explained below, we consider counteracting MOS in Adelaide </w:t>
      </w:r>
      <w:r w:rsidR="00AB43D5">
        <w:t>this winter wa</w:t>
      </w:r>
      <w:r w:rsidR="00BF1A73">
        <w:t xml:space="preserve">s mainly caused by physical design issues </w:t>
      </w:r>
      <w:r w:rsidR="00AB43D5">
        <w:t xml:space="preserve">affecting </w:t>
      </w:r>
      <w:r w:rsidR="00BF1A73">
        <w:t xml:space="preserve">the Adelaide </w:t>
      </w:r>
      <w:r w:rsidR="00952874">
        <w:t>network</w:t>
      </w:r>
      <w:r w:rsidR="00BF1A73">
        <w:t xml:space="preserve">. When MOS is used, there is a cost, which is paid for by market participants.  This could result in undesirable outcomes, as participants may end up incurring charges due to </w:t>
      </w:r>
      <w:r w:rsidR="007140C3">
        <w:t xml:space="preserve">physical network issues not reflected in </w:t>
      </w:r>
      <w:r w:rsidR="00BF1A73">
        <w:t>design of the STTM rather than their demand forecasting accuracy.</w:t>
      </w:r>
    </w:p>
    <w:p w:rsidR="00DE5C9D" w:rsidRDefault="00FD5CBE" w:rsidP="00DE5C9D">
      <w:pPr>
        <w:pStyle w:val="AERbodytext"/>
        <w:numPr>
          <w:ilvl w:val="0"/>
          <w:numId w:val="0"/>
        </w:numPr>
      </w:pPr>
      <w:r>
        <w:t xml:space="preserve">Generally </w:t>
      </w:r>
      <w:r w:rsidR="00C35C97">
        <w:t xml:space="preserve">counteracting MOS has occurred in the Adelaide hub </w:t>
      </w:r>
      <w:r w:rsidR="00801566">
        <w:t>when scheduled MAP net flows (</w:t>
      </w:r>
      <w:r w:rsidR="00DF5231">
        <w:t>ex </w:t>
      </w:r>
      <w:r w:rsidR="00EF5C27">
        <w:t xml:space="preserve">ante </w:t>
      </w:r>
      <w:r w:rsidR="00801566">
        <w:t>scheduled forward haul minus backhaul)</w:t>
      </w:r>
      <w:r w:rsidR="00165ADF">
        <w:t xml:space="preserve">, reflecting MAP nominations, </w:t>
      </w:r>
      <w:r w:rsidR="00801566">
        <w:t>were low</w:t>
      </w:r>
      <w:r w:rsidR="006827E4">
        <w:t xml:space="preserve"> and demand</w:t>
      </w:r>
      <w:r w:rsidR="00C35C97">
        <w:t xml:space="preserve"> within the distribution network was</w:t>
      </w:r>
      <w:r w:rsidR="006827E4">
        <w:t xml:space="preserve"> relatively high</w:t>
      </w:r>
      <w:r w:rsidR="00801566">
        <w:t>.</w:t>
      </w:r>
      <w:r w:rsidR="009A4CBF">
        <w:t xml:space="preserve"> On a number of the top ten high MOS quantity days </w:t>
      </w:r>
      <w:r w:rsidR="005D2574">
        <w:t xml:space="preserve">in winter 2013 </w:t>
      </w:r>
      <w:r w:rsidR="009A4CBF">
        <w:t xml:space="preserve">(see </w:t>
      </w:r>
      <w:r w:rsidR="00DE5C9D">
        <w:fldChar w:fldCharType="begin"/>
      </w:r>
      <w:r w:rsidR="00DE5C9D">
        <w:instrText xml:space="preserve"> REF _Ref367187506 \h </w:instrText>
      </w:r>
      <w:r w:rsidR="00DE5C9D">
        <w:fldChar w:fldCharType="separate"/>
      </w:r>
      <w:r w:rsidR="00EF6D74">
        <w:t xml:space="preserve">Figure </w:t>
      </w:r>
      <w:r w:rsidR="00EF6D74">
        <w:rPr>
          <w:noProof/>
        </w:rPr>
        <w:t>4</w:t>
      </w:r>
      <w:r w:rsidR="00DE5C9D">
        <w:fldChar w:fldCharType="end"/>
      </w:r>
      <w:r w:rsidR="00DE5C9D">
        <w:t xml:space="preserve"> </w:t>
      </w:r>
      <w:r w:rsidR="009A4CBF">
        <w:t>below), nominations of gas on MAP were even lower than scheduled flows</w:t>
      </w:r>
      <w:bookmarkEnd w:id="32"/>
      <w:r w:rsidR="00165ADF">
        <w:t xml:space="preserve"> and this accentuated to some degree counteracting MOS outcomes.</w:t>
      </w:r>
    </w:p>
    <w:p w:rsidR="00DE5C9D" w:rsidRDefault="00DE5C9D" w:rsidP="00DE5C9D">
      <w:pPr>
        <w:pStyle w:val="Caption"/>
      </w:pPr>
      <w:bookmarkStart w:id="33" w:name="_Ref367187461"/>
      <w:r>
        <w:t xml:space="preserve">Figure </w:t>
      </w:r>
      <w:r w:rsidR="00EF6D74">
        <w:fldChar w:fldCharType="begin"/>
      </w:r>
      <w:r w:rsidR="00EF6D74">
        <w:instrText xml:space="preserve"> SEQ Figure \* ARABIC </w:instrText>
      </w:r>
      <w:r w:rsidR="00EF6D74">
        <w:fldChar w:fldCharType="separate"/>
      </w:r>
      <w:r w:rsidR="00EF6D74">
        <w:rPr>
          <w:noProof/>
        </w:rPr>
        <w:t>3</w:t>
      </w:r>
      <w:r w:rsidR="00EF6D74">
        <w:rPr>
          <w:noProof/>
        </w:rPr>
        <w:fldChar w:fldCharType="end"/>
      </w:r>
      <w:bookmarkEnd w:id="33"/>
      <w:r>
        <w:t xml:space="preserve"> – Counteracting MOS in the Adelaide hub 1 January 2013</w:t>
      </w:r>
      <w:r w:rsidR="007140C3">
        <w:t xml:space="preserve"> to 30 August 2013</w:t>
      </w:r>
      <w:r w:rsidR="00ED2768">
        <w:t>*</w:t>
      </w:r>
    </w:p>
    <w:p w:rsidR="00801931" w:rsidRDefault="00771497" w:rsidP="008A6B41">
      <w:pPr>
        <w:pStyle w:val="AERbodytext"/>
      </w:pPr>
      <w:r w:rsidRPr="00771497">
        <w:t xml:space="preserve"> </w:t>
      </w:r>
      <w:r w:rsidR="008A6B41" w:rsidRPr="008A6B41">
        <w:rPr>
          <w:noProof/>
          <w:lang w:eastAsia="en-AU"/>
        </w:rPr>
        <w:drawing>
          <wp:inline distT="0" distB="0" distL="0" distR="0" wp14:anchorId="60B1E466" wp14:editId="23941521">
            <wp:extent cx="5731510" cy="23764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376459"/>
                    </a:xfrm>
                    <a:prstGeom prst="rect">
                      <a:avLst/>
                    </a:prstGeom>
                    <a:noFill/>
                    <a:ln>
                      <a:noFill/>
                    </a:ln>
                  </pic:spPr>
                </pic:pic>
              </a:graphicData>
            </a:graphic>
          </wp:inline>
        </w:drawing>
      </w:r>
    </w:p>
    <w:p w:rsidR="00CD0CA8" w:rsidRPr="00ED2768" w:rsidRDefault="00CD0CA8" w:rsidP="00ED2768">
      <w:pPr>
        <w:pStyle w:val="FootnoteText"/>
        <w:tabs>
          <w:tab w:val="clear" w:pos="426"/>
          <w:tab w:val="left" w:pos="0"/>
        </w:tabs>
      </w:pPr>
      <w:r w:rsidRPr="00ED2768">
        <w:t>* ‘MAP net flow</w:t>
      </w:r>
      <w:r w:rsidR="00DE3394" w:rsidRPr="00ED2768">
        <w:t xml:space="preserve"> (excluding MOS)</w:t>
      </w:r>
      <w:r w:rsidR="0072289F">
        <w:t>’</w:t>
      </w:r>
      <w:r w:rsidRPr="00ED2768">
        <w:t xml:space="preserve"> and ‘Hub Demand’ are represented on the secondary axis to the right</w:t>
      </w:r>
    </w:p>
    <w:p w:rsidR="00DE3394" w:rsidRPr="00DE3394" w:rsidRDefault="00ED2768" w:rsidP="00837604">
      <w:pPr>
        <w:pStyle w:val="FootnoteText"/>
        <w:tabs>
          <w:tab w:val="clear" w:pos="426"/>
          <w:tab w:val="left" w:pos="0"/>
        </w:tabs>
      </w:pPr>
      <w:r>
        <w:t xml:space="preserve">   </w:t>
      </w:r>
      <w:r w:rsidR="00DE3394" w:rsidRPr="00DE3394">
        <w:t>Data: AEMO Market data (www.aemo.com.au): INT 65</w:t>
      </w:r>
      <w:r w:rsidR="00DE3394">
        <w:t>8</w:t>
      </w:r>
      <w:r w:rsidR="00DE3394" w:rsidRPr="00DE3394">
        <w:t>, 6</w:t>
      </w:r>
      <w:r w:rsidR="00DE3394">
        <w:t>64</w:t>
      </w:r>
      <w:r w:rsidR="00DE3394" w:rsidRPr="00DE3394">
        <w:t xml:space="preserve"> </w:t>
      </w:r>
    </w:p>
    <w:p w:rsidR="00DE3394" w:rsidRPr="00CD0CA8" w:rsidRDefault="00DE3394" w:rsidP="001F2B35">
      <w:pPr>
        <w:pStyle w:val="AERbodytext"/>
        <w:rPr>
          <w:rStyle w:val="AERsubscript"/>
        </w:rPr>
      </w:pPr>
    </w:p>
    <w:p w:rsidR="00771497" w:rsidRDefault="00E841C2" w:rsidP="00E841C2">
      <w:pPr>
        <w:pStyle w:val="AERbodytext"/>
      </w:pPr>
      <w:r>
        <w:rPr>
          <w:rStyle w:val="AERtexthighlight"/>
          <w:shd w:val="clear" w:color="auto" w:fill="auto"/>
        </w:rPr>
        <w:fldChar w:fldCharType="begin"/>
      </w:r>
      <w:r>
        <w:rPr>
          <w:rStyle w:val="AERtexthighlight"/>
          <w:shd w:val="clear" w:color="auto" w:fill="auto"/>
        </w:rPr>
        <w:instrText xml:space="preserve"> REF _Ref367187506 \h </w:instrText>
      </w:r>
      <w:r>
        <w:rPr>
          <w:rStyle w:val="AERtexthighlight"/>
          <w:shd w:val="clear" w:color="auto" w:fill="auto"/>
        </w:rPr>
      </w:r>
      <w:r>
        <w:rPr>
          <w:rStyle w:val="AERtexthighlight"/>
          <w:shd w:val="clear" w:color="auto" w:fill="auto"/>
        </w:rPr>
        <w:fldChar w:fldCharType="separate"/>
      </w:r>
      <w:r w:rsidR="00EF6D74">
        <w:t xml:space="preserve">Figure </w:t>
      </w:r>
      <w:r w:rsidR="00EF6D74">
        <w:rPr>
          <w:noProof/>
        </w:rPr>
        <w:t>4</w:t>
      </w:r>
      <w:r>
        <w:rPr>
          <w:rStyle w:val="AERtexthighlight"/>
          <w:shd w:val="clear" w:color="auto" w:fill="auto"/>
        </w:rPr>
        <w:fldChar w:fldCharType="end"/>
      </w:r>
      <w:r>
        <w:rPr>
          <w:rStyle w:val="AERtexthighlight"/>
          <w:shd w:val="clear" w:color="auto" w:fill="auto"/>
        </w:rPr>
        <w:t xml:space="preserve"> </w:t>
      </w:r>
      <w:r w:rsidR="00510C44" w:rsidRPr="00510C44">
        <w:t>below shows the top ten MOS days during</w:t>
      </w:r>
      <w:r w:rsidR="000A06F7">
        <w:t xml:space="preserve"> </w:t>
      </w:r>
      <w:r w:rsidR="00510C44" w:rsidRPr="00510C44">
        <w:t>winter</w:t>
      </w:r>
      <w:r w:rsidR="002C731C">
        <w:t xml:space="preserve"> 2013</w:t>
      </w:r>
      <w:r w:rsidR="00510C44" w:rsidRPr="00510C44">
        <w:t xml:space="preserve"> in Adelaide. </w:t>
      </w:r>
      <w:r w:rsidR="002C731C">
        <w:t>For the majority of</w:t>
      </w:r>
      <w:r w:rsidR="002C731C" w:rsidRPr="00510C44">
        <w:t xml:space="preserve"> </w:t>
      </w:r>
      <w:r w:rsidR="002C731C">
        <w:t>these days</w:t>
      </w:r>
      <w:r w:rsidR="00510C44">
        <w:t xml:space="preserve">, </w:t>
      </w:r>
      <w:r w:rsidR="00510C44" w:rsidRPr="00510C44">
        <w:t xml:space="preserve">the levels of increase MOS on the MAP are similar to the levels of decrease MOS on the </w:t>
      </w:r>
      <w:r w:rsidR="00EE7F17">
        <w:t>SEA Gas</w:t>
      </w:r>
      <w:r w:rsidR="00510C44" w:rsidRPr="00510C44">
        <w:t xml:space="preserve"> pipeline</w:t>
      </w:r>
      <w:r w:rsidR="00385135">
        <w:t xml:space="preserve"> (i.e. counteracting MOS)</w:t>
      </w:r>
      <w:r w:rsidR="00510C44" w:rsidRPr="00510C44">
        <w:t xml:space="preserve">. </w:t>
      </w:r>
      <w:r w:rsidR="00510C44">
        <w:t>By comparison, the</w:t>
      </w:r>
      <w:r w:rsidR="00AB43D5">
        <w:t xml:space="preserve"> difference between forecast and actual hub demand, </w:t>
      </w:r>
      <w:r w:rsidR="00510C44">
        <w:t>reflecting the accuracy of demand forecasting</w:t>
      </w:r>
      <w:r w:rsidR="00AB43D5">
        <w:t>,</w:t>
      </w:r>
      <w:r w:rsidR="00510C44">
        <w:t xml:space="preserve"> is small.</w:t>
      </w:r>
    </w:p>
    <w:p w:rsidR="00510C44" w:rsidRPr="00A654BA" w:rsidRDefault="00DE5C9D" w:rsidP="00DE5C9D">
      <w:pPr>
        <w:pStyle w:val="Caption"/>
      </w:pPr>
      <w:bookmarkStart w:id="34" w:name="_Ref367187506"/>
      <w:r>
        <w:t xml:space="preserve">Figure </w:t>
      </w:r>
      <w:r w:rsidR="00EF6D74">
        <w:fldChar w:fldCharType="begin"/>
      </w:r>
      <w:r w:rsidR="00EF6D74">
        <w:instrText xml:space="preserve"> SEQ Figure \* ARABIC </w:instrText>
      </w:r>
      <w:r w:rsidR="00EF6D74">
        <w:fldChar w:fldCharType="separate"/>
      </w:r>
      <w:r w:rsidR="00EF6D74">
        <w:rPr>
          <w:noProof/>
        </w:rPr>
        <w:t>4</w:t>
      </w:r>
      <w:r w:rsidR="00EF6D74">
        <w:rPr>
          <w:noProof/>
        </w:rPr>
        <w:fldChar w:fldCharType="end"/>
      </w:r>
      <w:bookmarkEnd w:id="34"/>
      <w:r>
        <w:t xml:space="preserve"> – Top ten MOS days in Adelaide during winter 2013 (TJ unless stated)</w:t>
      </w:r>
      <w:r>
        <w:rPr>
          <w:rStyle w:val="FootnoteReference"/>
        </w:rPr>
        <w:footnoteReference w:id="6"/>
      </w:r>
    </w:p>
    <w:tbl>
      <w:tblPr>
        <w:tblStyle w:val="AERtable-numbers"/>
        <w:tblW w:w="9203" w:type="dxa"/>
        <w:tblLayout w:type="fixed"/>
        <w:tblLook w:val="04A0" w:firstRow="1" w:lastRow="0" w:firstColumn="1" w:lastColumn="0" w:noHBand="0" w:noVBand="1"/>
      </w:tblPr>
      <w:tblGrid>
        <w:gridCol w:w="1101"/>
        <w:gridCol w:w="850"/>
        <w:gridCol w:w="874"/>
        <w:gridCol w:w="992"/>
        <w:gridCol w:w="686"/>
        <w:gridCol w:w="992"/>
        <w:gridCol w:w="1157"/>
        <w:gridCol w:w="1276"/>
        <w:gridCol w:w="1275"/>
      </w:tblGrid>
      <w:tr w:rsidR="002A6D9A" w:rsidTr="00AB43D5">
        <w:trPr>
          <w:cnfStyle w:val="100000000000" w:firstRow="1" w:lastRow="0" w:firstColumn="0" w:lastColumn="0" w:oddVBand="0" w:evenVBand="0" w:oddHBand="0"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1101" w:type="dxa"/>
            <w:vAlign w:val="top"/>
          </w:tcPr>
          <w:p w:rsidR="002A6D9A" w:rsidRPr="00321639" w:rsidRDefault="002A6D9A" w:rsidP="00321639">
            <w:pPr>
              <w:jc w:val="left"/>
            </w:pPr>
            <w:r w:rsidRPr="00321639">
              <w:t>Date</w:t>
            </w:r>
          </w:p>
        </w:tc>
        <w:tc>
          <w:tcPr>
            <w:tcW w:w="850" w:type="dxa"/>
            <w:vAlign w:val="top"/>
          </w:tcPr>
          <w:p w:rsidR="002A6D9A" w:rsidRPr="00321639" w:rsidRDefault="002A6D9A" w:rsidP="00321639">
            <w:pPr>
              <w:jc w:val="left"/>
              <w:cnfStyle w:val="100000000000" w:firstRow="1" w:lastRow="0" w:firstColumn="0" w:lastColumn="0" w:oddVBand="0" w:evenVBand="0" w:oddHBand="0" w:evenHBand="0" w:firstRowFirstColumn="0" w:firstRowLastColumn="0" w:lastRowFirstColumn="0" w:lastRowLastColumn="0"/>
            </w:pPr>
            <w:r w:rsidRPr="00321639">
              <w:t>Total MOS quantity</w:t>
            </w:r>
          </w:p>
        </w:tc>
        <w:tc>
          <w:tcPr>
            <w:tcW w:w="874" w:type="dxa"/>
            <w:vAlign w:val="top"/>
          </w:tcPr>
          <w:p w:rsidR="002A6D9A" w:rsidRPr="00321639" w:rsidRDefault="002A6D9A" w:rsidP="00DB1F71">
            <w:pPr>
              <w:jc w:val="left"/>
              <w:cnfStyle w:val="100000000000" w:firstRow="1" w:lastRow="0" w:firstColumn="0" w:lastColumn="0" w:oddVBand="0" w:evenVBand="0" w:oddHBand="0" w:evenHBand="0" w:firstRowFirstColumn="0" w:firstRowLastColumn="0" w:lastRowFirstColumn="0" w:lastRowLastColumn="0"/>
            </w:pPr>
            <w:r w:rsidRPr="00321639">
              <w:t>Rank</w:t>
            </w:r>
            <w:r>
              <w:t>ing</w:t>
            </w:r>
            <w:r w:rsidRPr="00321639">
              <w:t xml:space="preserve"> of MOS</w:t>
            </w:r>
            <w:r>
              <w:t xml:space="preserve"> </w:t>
            </w:r>
            <w:r w:rsidRPr="00321639">
              <w:t>quantity</w:t>
            </w:r>
            <w:r>
              <w:t>*</w:t>
            </w:r>
          </w:p>
        </w:tc>
        <w:tc>
          <w:tcPr>
            <w:tcW w:w="992" w:type="dxa"/>
            <w:vAlign w:val="top"/>
          </w:tcPr>
          <w:p w:rsidR="002A6D9A" w:rsidRPr="00321639" w:rsidRDefault="002A6D9A" w:rsidP="00321639">
            <w:pPr>
              <w:jc w:val="left"/>
              <w:cnfStyle w:val="100000000000" w:firstRow="1" w:lastRow="0" w:firstColumn="0" w:lastColumn="0" w:oddVBand="0" w:evenVBand="0" w:oddHBand="0" w:evenHBand="0" w:firstRowFirstColumn="0" w:firstRowLastColumn="0" w:lastRowFirstColumn="0" w:lastRowLastColumn="0"/>
            </w:pPr>
            <w:r w:rsidRPr="00321639">
              <w:t>MOS service payment</w:t>
            </w:r>
          </w:p>
        </w:tc>
        <w:tc>
          <w:tcPr>
            <w:tcW w:w="686" w:type="dxa"/>
            <w:vAlign w:val="top"/>
          </w:tcPr>
          <w:p w:rsidR="002A6D9A" w:rsidRPr="00F4216D" w:rsidRDefault="002A6D9A" w:rsidP="00321639">
            <w:pPr>
              <w:jc w:val="left"/>
              <w:cnfStyle w:val="100000000000" w:firstRow="1" w:lastRow="0" w:firstColumn="0" w:lastColumn="0" w:oddVBand="0" w:evenVBand="0" w:oddHBand="0" w:evenHBand="0" w:firstRowFirstColumn="0" w:firstRowLastColumn="0" w:lastRowFirstColumn="0" w:lastRowLastColumn="0"/>
            </w:pPr>
            <w:r w:rsidRPr="00F4216D">
              <w:t>MAP MOS</w:t>
            </w:r>
          </w:p>
        </w:tc>
        <w:tc>
          <w:tcPr>
            <w:tcW w:w="992" w:type="dxa"/>
            <w:vAlign w:val="top"/>
          </w:tcPr>
          <w:p w:rsidR="002A6D9A" w:rsidRPr="00A40E2A" w:rsidRDefault="00EE7F17" w:rsidP="00321639">
            <w:pPr>
              <w:jc w:val="left"/>
              <w:cnfStyle w:val="100000000000" w:firstRow="1" w:lastRow="0" w:firstColumn="0" w:lastColumn="0" w:oddVBand="0" w:evenVBand="0" w:oddHBand="0" w:evenHBand="0" w:firstRowFirstColumn="0" w:firstRowLastColumn="0" w:lastRowFirstColumn="0" w:lastRowLastColumn="0"/>
            </w:pPr>
            <w:r>
              <w:t>SEA Gas</w:t>
            </w:r>
            <w:r w:rsidR="002A6D9A" w:rsidRPr="000D6926">
              <w:t xml:space="preserve"> MO</w:t>
            </w:r>
            <w:r w:rsidR="002A6D9A" w:rsidRPr="00A40E2A">
              <w:t>S</w:t>
            </w:r>
          </w:p>
        </w:tc>
        <w:tc>
          <w:tcPr>
            <w:tcW w:w="1157" w:type="dxa"/>
            <w:vAlign w:val="top"/>
          </w:tcPr>
          <w:p w:rsidR="002A6D9A" w:rsidRPr="00321639" w:rsidRDefault="002A6D9A" w:rsidP="00BA1CE5">
            <w:pPr>
              <w:jc w:val="left"/>
              <w:cnfStyle w:val="100000000000" w:firstRow="1" w:lastRow="0" w:firstColumn="0" w:lastColumn="0" w:oddVBand="0" w:evenVBand="0" w:oddHBand="0" w:evenHBand="0" w:firstRowFirstColumn="0" w:firstRowLastColumn="0" w:lastRowFirstColumn="0" w:lastRowLastColumn="0"/>
            </w:pPr>
            <w:r w:rsidRPr="00321639">
              <w:t>M</w:t>
            </w:r>
            <w:r>
              <w:t>AP N</w:t>
            </w:r>
            <w:r w:rsidRPr="00321639">
              <w:t>et flow</w:t>
            </w:r>
            <w:r>
              <w:t xml:space="preserve"> </w:t>
            </w:r>
            <w:r w:rsidR="009E4047">
              <w:t>Scheduled  (Nominated)</w:t>
            </w:r>
            <w:r>
              <w:br/>
              <w:t>**</w:t>
            </w:r>
          </w:p>
        </w:tc>
        <w:tc>
          <w:tcPr>
            <w:tcW w:w="1276" w:type="dxa"/>
            <w:vAlign w:val="top"/>
          </w:tcPr>
          <w:p w:rsidR="002A6D9A" w:rsidRPr="00321639" w:rsidRDefault="002A6D9A" w:rsidP="00456D9E">
            <w:pPr>
              <w:jc w:val="left"/>
              <w:cnfStyle w:val="100000000000" w:firstRow="1" w:lastRow="0" w:firstColumn="0" w:lastColumn="0" w:oddVBand="0" w:evenVBand="0" w:oddHBand="0" w:evenHBand="0" w:firstRowFirstColumn="0" w:firstRowLastColumn="0" w:lastRowFirstColumn="0" w:lastRowLastColumn="0"/>
            </w:pPr>
            <w:r w:rsidRPr="00321639">
              <w:t>SEA</w:t>
            </w:r>
            <w:r w:rsidR="009E4047">
              <w:t xml:space="preserve"> </w:t>
            </w:r>
            <w:r w:rsidRPr="00321639">
              <w:t>Gas net flo</w:t>
            </w:r>
            <w:r w:rsidR="009E4047">
              <w:t>w  Scheduled  (Nominated)</w:t>
            </w:r>
            <w:r>
              <w:t>**</w:t>
            </w:r>
          </w:p>
        </w:tc>
        <w:tc>
          <w:tcPr>
            <w:tcW w:w="1275" w:type="dxa"/>
            <w:vAlign w:val="top"/>
          </w:tcPr>
          <w:p w:rsidR="002A6D9A" w:rsidRDefault="002A6D9A" w:rsidP="00321639">
            <w:pPr>
              <w:jc w:val="left"/>
              <w:cnfStyle w:val="100000000000" w:firstRow="1" w:lastRow="0" w:firstColumn="0" w:lastColumn="0" w:oddVBand="0" w:evenVBand="0" w:oddHBand="0" w:evenHBand="0" w:firstRowFirstColumn="0" w:firstRowLastColumn="0" w:lastRowFirstColumn="0" w:lastRowLastColumn="0"/>
            </w:pPr>
            <w:r>
              <w:t>H</w:t>
            </w:r>
            <w:r w:rsidRPr="00F4216D">
              <w:t>ub demand</w:t>
            </w:r>
          </w:p>
          <w:p w:rsidR="00AB43D5" w:rsidRPr="00F4216D" w:rsidRDefault="00AB43D5" w:rsidP="00321639">
            <w:pPr>
              <w:jc w:val="left"/>
              <w:cnfStyle w:val="100000000000" w:firstRow="1" w:lastRow="0" w:firstColumn="0" w:lastColumn="0" w:oddVBand="0" w:evenVBand="0" w:oddHBand="0" w:evenHBand="0" w:firstRowFirstColumn="0" w:firstRowLastColumn="0" w:lastRowFirstColumn="0" w:lastRowLastColumn="0"/>
            </w:pPr>
            <w:r>
              <w:t>Forecast (actual) ***</w:t>
            </w:r>
          </w:p>
        </w:tc>
      </w:tr>
      <w:tr w:rsidR="00DF5231" w:rsidTr="00AB43D5">
        <w:trPr>
          <w:trHeight w:val="465"/>
        </w:trPr>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25/06/2013</w:t>
            </w:r>
          </w:p>
        </w:tc>
        <w:tc>
          <w:tcPr>
            <w:tcW w:w="850"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41</w:t>
            </w:r>
          </w:p>
        </w:tc>
        <w:tc>
          <w:tcPr>
            <w:tcW w:w="874" w:type="dxa"/>
            <w:vAlign w:val="bottom"/>
          </w:tcPr>
          <w:p w:rsidR="00DF5231" w:rsidRPr="00DF5231" w:rsidRDefault="00DF5231">
            <w:pPr>
              <w:cnfStyle w:val="000000000000" w:firstRow="0" w:lastRow="0" w:firstColumn="0" w:lastColumn="0" w:oddVBand="0" w:evenVBand="0" w:oddHBand="0" w:evenHBand="0" w:firstRowFirstColumn="0" w:firstRowLastColumn="0" w:lastRowFirstColumn="0" w:lastRowLastColumn="0"/>
            </w:pPr>
            <w:r w:rsidRPr="00DF5231">
              <w:t>#1</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$252,727</w:t>
            </w:r>
          </w:p>
        </w:tc>
        <w:tc>
          <w:tcPr>
            <w:tcW w:w="68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20</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-21</w:t>
            </w:r>
          </w:p>
        </w:tc>
        <w:tc>
          <w:tcPr>
            <w:tcW w:w="1157"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7 (6)</w:t>
            </w:r>
          </w:p>
        </w:tc>
        <w:tc>
          <w:tcPr>
            <w:tcW w:w="127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87 (87)</w:t>
            </w:r>
          </w:p>
        </w:tc>
        <w:tc>
          <w:tcPr>
            <w:tcW w:w="1275"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93 (91)</w:t>
            </w:r>
          </w:p>
        </w:tc>
      </w:tr>
      <w:tr w:rsidR="00DF5231" w:rsidTr="00AB43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26/06/2013</w:t>
            </w:r>
          </w:p>
        </w:tc>
        <w:tc>
          <w:tcPr>
            <w:tcW w:w="850"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35</w:t>
            </w:r>
          </w:p>
        </w:tc>
        <w:tc>
          <w:tcPr>
            <w:tcW w:w="874" w:type="dxa"/>
            <w:vAlign w:val="bottom"/>
          </w:tcPr>
          <w:p w:rsidR="00DF5231" w:rsidRPr="00DF5231" w:rsidRDefault="00DF5231">
            <w:pPr>
              <w:cnfStyle w:val="000000010000" w:firstRow="0" w:lastRow="0" w:firstColumn="0" w:lastColumn="0" w:oddVBand="0" w:evenVBand="0" w:oddHBand="0" w:evenHBand="1" w:firstRowFirstColumn="0" w:firstRowLastColumn="0" w:lastRowFirstColumn="0" w:lastRowLastColumn="0"/>
            </w:pPr>
            <w:r w:rsidRPr="00DF5231">
              <w:t>#2</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$182,736</w:t>
            </w:r>
          </w:p>
        </w:tc>
        <w:tc>
          <w:tcPr>
            <w:tcW w:w="68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18</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-17</w:t>
            </w:r>
          </w:p>
        </w:tc>
        <w:tc>
          <w:tcPr>
            <w:tcW w:w="1157"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13 (8)</w:t>
            </w:r>
          </w:p>
        </w:tc>
        <w:tc>
          <w:tcPr>
            <w:tcW w:w="127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77 (82)</w:t>
            </w:r>
          </w:p>
        </w:tc>
        <w:tc>
          <w:tcPr>
            <w:tcW w:w="1275"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90 (91)</w:t>
            </w:r>
          </w:p>
        </w:tc>
      </w:tr>
      <w:tr w:rsidR="00DF5231" w:rsidTr="00AB43D5">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9/08/2013</w:t>
            </w:r>
          </w:p>
        </w:tc>
        <w:tc>
          <w:tcPr>
            <w:tcW w:w="850"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31</w:t>
            </w:r>
          </w:p>
        </w:tc>
        <w:tc>
          <w:tcPr>
            <w:tcW w:w="874" w:type="dxa"/>
            <w:vAlign w:val="bottom"/>
          </w:tcPr>
          <w:p w:rsidR="00DF5231" w:rsidRPr="00DF5231" w:rsidRDefault="00DF5231">
            <w:pPr>
              <w:cnfStyle w:val="000000000000" w:firstRow="0" w:lastRow="0" w:firstColumn="0" w:lastColumn="0" w:oddVBand="0" w:evenVBand="0" w:oddHBand="0" w:evenHBand="0" w:firstRowFirstColumn="0" w:firstRowLastColumn="0" w:lastRowFirstColumn="0" w:lastRowLastColumn="0"/>
            </w:pPr>
            <w:r w:rsidRPr="00DF5231">
              <w:t>#3</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$135,507</w:t>
            </w:r>
          </w:p>
        </w:tc>
        <w:tc>
          <w:tcPr>
            <w:tcW w:w="68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17</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-13</w:t>
            </w:r>
          </w:p>
        </w:tc>
        <w:tc>
          <w:tcPr>
            <w:tcW w:w="1157"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4 (4)</w:t>
            </w:r>
          </w:p>
        </w:tc>
        <w:tc>
          <w:tcPr>
            <w:tcW w:w="127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75 (75)</w:t>
            </w:r>
          </w:p>
        </w:tc>
        <w:tc>
          <w:tcPr>
            <w:tcW w:w="1275"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79 (82)</w:t>
            </w:r>
          </w:p>
        </w:tc>
      </w:tr>
      <w:tr w:rsidR="00DF5231" w:rsidTr="00AB43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27/06/2013</w:t>
            </w:r>
          </w:p>
        </w:tc>
        <w:tc>
          <w:tcPr>
            <w:tcW w:w="850"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28</w:t>
            </w:r>
          </w:p>
        </w:tc>
        <w:tc>
          <w:tcPr>
            <w:tcW w:w="874" w:type="dxa"/>
            <w:vAlign w:val="bottom"/>
          </w:tcPr>
          <w:p w:rsidR="00DF5231" w:rsidRPr="00DF5231" w:rsidRDefault="00DF5231">
            <w:pPr>
              <w:cnfStyle w:val="000000010000" w:firstRow="0" w:lastRow="0" w:firstColumn="0" w:lastColumn="0" w:oddVBand="0" w:evenVBand="0" w:oddHBand="0" w:evenHBand="1" w:firstRowFirstColumn="0" w:firstRowLastColumn="0" w:lastRowFirstColumn="0" w:lastRowLastColumn="0"/>
            </w:pPr>
            <w:r w:rsidRPr="00DF5231">
              <w:t>#5</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$111,956</w:t>
            </w:r>
          </w:p>
        </w:tc>
        <w:tc>
          <w:tcPr>
            <w:tcW w:w="68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12</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-16</w:t>
            </w:r>
          </w:p>
        </w:tc>
        <w:tc>
          <w:tcPr>
            <w:tcW w:w="1157"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17 (7)</w:t>
            </w:r>
          </w:p>
        </w:tc>
        <w:tc>
          <w:tcPr>
            <w:tcW w:w="127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72 (74)</w:t>
            </w:r>
          </w:p>
        </w:tc>
        <w:tc>
          <w:tcPr>
            <w:tcW w:w="1275"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89 (78)</w:t>
            </w:r>
          </w:p>
        </w:tc>
      </w:tr>
      <w:tr w:rsidR="00DF5231" w:rsidTr="00AB43D5">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5/07/2013</w:t>
            </w:r>
          </w:p>
        </w:tc>
        <w:tc>
          <w:tcPr>
            <w:tcW w:w="850"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26</w:t>
            </w:r>
          </w:p>
        </w:tc>
        <w:tc>
          <w:tcPr>
            <w:tcW w:w="874" w:type="dxa"/>
            <w:vAlign w:val="bottom"/>
          </w:tcPr>
          <w:p w:rsidR="00DF5231" w:rsidRPr="00DF5231" w:rsidRDefault="00DF5231">
            <w:pPr>
              <w:cnfStyle w:val="000000000000" w:firstRow="0" w:lastRow="0" w:firstColumn="0" w:lastColumn="0" w:oddVBand="0" w:evenVBand="0" w:oddHBand="0" w:evenHBand="0" w:firstRowFirstColumn="0" w:firstRowLastColumn="0" w:lastRowFirstColumn="0" w:lastRowLastColumn="0"/>
            </w:pPr>
            <w:r w:rsidRPr="00DF5231">
              <w:t>#6</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$92,400</w:t>
            </w:r>
          </w:p>
        </w:tc>
        <w:tc>
          <w:tcPr>
            <w:tcW w:w="68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14</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-12</w:t>
            </w:r>
          </w:p>
        </w:tc>
        <w:tc>
          <w:tcPr>
            <w:tcW w:w="1157"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17 (7)</w:t>
            </w:r>
          </w:p>
        </w:tc>
        <w:tc>
          <w:tcPr>
            <w:tcW w:w="127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73 (77)</w:t>
            </w:r>
          </w:p>
        </w:tc>
        <w:tc>
          <w:tcPr>
            <w:tcW w:w="1275"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90 (85)</w:t>
            </w:r>
          </w:p>
        </w:tc>
      </w:tr>
      <w:tr w:rsidR="00DF5231" w:rsidTr="00AB43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28/07/2013</w:t>
            </w:r>
          </w:p>
        </w:tc>
        <w:tc>
          <w:tcPr>
            <w:tcW w:w="850"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26</w:t>
            </w:r>
          </w:p>
        </w:tc>
        <w:tc>
          <w:tcPr>
            <w:tcW w:w="874" w:type="dxa"/>
            <w:vAlign w:val="bottom"/>
          </w:tcPr>
          <w:p w:rsidR="00DF5231" w:rsidRPr="00DF5231" w:rsidRDefault="00DF5231">
            <w:pPr>
              <w:cnfStyle w:val="000000010000" w:firstRow="0" w:lastRow="0" w:firstColumn="0" w:lastColumn="0" w:oddVBand="0" w:evenVBand="0" w:oddHBand="0" w:evenHBand="1" w:firstRowFirstColumn="0" w:firstRowLastColumn="0" w:lastRowFirstColumn="0" w:lastRowLastColumn="0"/>
            </w:pPr>
            <w:r w:rsidRPr="00DF5231">
              <w:t>#8</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$98,491</w:t>
            </w:r>
          </w:p>
        </w:tc>
        <w:tc>
          <w:tcPr>
            <w:tcW w:w="68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10</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-15</w:t>
            </w:r>
          </w:p>
        </w:tc>
        <w:tc>
          <w:tcPr>
            <w:tcW w:w="1157"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7 (5)</w:t>
            </w:r>
          </w:p>
        </w:tc>
        <w:tc>
          <w:tcPr>
            <w:tcW w:w="127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63 (65)</w:t>
            </w:r>
          </w:p>
        </w:tc>
        <w:tc>
          <w:tcPr>
            <w:tcW w:w="1275"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70 (65)</w:t>
            </w:r>
          </w:p>
        </w:tc>
      </w:tr>
      <w:tr w:rsidR="00DF5231" w:rsidTr="00AB43D5">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23/06/2013</w:t>
            </w:r>
          </w:p>
        </w:tc>
        <w:tc>
          <w:tcPr>
            <w:tcW w:w="850"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23</w:t>
            </w:r>
          </w:p>
        </w:tc>
        <w:tc>
          <w:tcPr>
            <w:tcW w:w="874" w:type="dxa"/>
            <w:vAlign w:val="bottom"/>
          </w:tcPr>
          <w:p w:rsidR="00DF5231" w:rsidRPr="00DF5231" w:rsidRDefault="00DF5231">
            <w:pPr>
              <w:cnfStyle w:val="000000000000" w:firstRow="0" w:lastRow="0" w:firstColumn="0" w:lastColumn="0" w:oddVBand="0" w:evenVBand="0" w:oddHBand="0" w:evenHBand="0" w:firstRowFirstColumn="0" w:firstRowLastColumn="0" w:lastRowFirstColumn="0" w:lastRowLastColumn="0"/>
            </w:pPr>
            <w:r w:rsidRPr="00DF5231">
              <w:t>#9</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$72,509</w:t>
            </w:r>
          </w:p>
        </w:tc>
        <w:tc>
          <w:tcPr>
            <w:tcW w:w="68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11</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-12</w:t>
            </w:r>
          </w:p>
        </w:tc>
        <w:tc>
          <w:tcPr>
            <w:tcW w:w="1157"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12 (8)</w:t>
            </w:r>
          </w:p>
        </w:tc>
        <w:tc>
          <w:tcPr>
            <w:tcW w:w="127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69 (69)</w:t>
            </w:r>
          </w:p>
        </w:tc>
        <w:tc>
          <w:tcPr>
            <w:tcW w:w="1275"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81 (76)</w:t>
            </w:r>
          </w:p>
        </w:tc>
      </w:tr>
      <w:tr w:rsidR="00DF5231" w:rsidTr="00AB43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4/07/2013</w:t>
            </w:r>
          </w:p>
        </w:tc>
        <w:tc>
          <w:tcPr>
            <w:tcW w:w="850"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22</w:t>
            </w:r>
          </w:p>
        </w:tc>
        <w:tc>
          <w:tcPr>
            <w:tcW w:w="874" w:type="dxa"/>
            <w:vAlign w:val="bottom"/>
          </w:tcPr>
          <w:p w:rsidR="00DF5231" w:rsidRPr="00DF5231" w:rsidRDefault="00DF5231">
            <w:pPr>
              <w:cnfStyle w:val="000000010000" w:firstRow="0" w:lastRow="0" w:firstColumn="0" w:lastColumn="0" w:oddVBand="0" w:evenVBand="0" w:oddHBand="0" w:evenHBand="1" w:firstRowFirstColumn="0" w:firstRowLastColumn="0" w:lastRowFirstColumn="0" w:lastRowLastColumn="0"/>
            </w:pPr>
            <w:r w:rsidRPr="00DF5231">
              <w:t>#10</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$68,180</w:t>
            </w:r>
          </w:p>
        </w:tc>
        <w:tc>
          <w:tcPr>
            <w:tcW w:w="68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14</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-8</w:t>
            </w:r>
          </w:p>
        </w:tc>
        <w:tc>
          <w:tcPr>
            <w:tcW w:w="1157"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12 (12)</w:t>
            </w:r>
          </w:p>
        </w:tc>
        <w:tc>
          <w:tcPr>
            <w:tcW w:w="127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76 (76)</w:t>
            </w:r>
          </w:p>
        </w:tc>
        <w:tc>
          <w:tcPr>
            <w:tcW w:w="1275"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88 (94)</w:t>
            </w:r>
          </w:p>
        </w:tc>
      </w:tr>
      <w:tr w:rsidR="00DF5231" w:rsidTr="00AB43D5">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4/08/2013</w:t>
            </w:r>
          </w:p>
        </w:tc>
        <w:tc>
          <w:tcPr>
            <w:tcW w:w="850"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22</w:t>
            </w:r>
          </w:p>
        </w:tc>
        <w:tc>
          <w:tcPr>
            <w:tcW w:w="874" w:type="dxa"/>
            <w:vAlign w:val="bottom"/>
          </w:tcPr>
          <w:p w:rsidR="00DF5231" w:rsidRPr="00DF5231" w:rsidRDefault="00DF5231">
            <w:pPr>
              <w:cnfStyle w:val="000000000000" w:firstRow="0" w:lastRow="0" w:firstColumn="0" w:lastColumn="0" w:oddVBand="0" w:evenVBand="0" w:oddHBand="0" w:evenHBand="0" w:firstRowFirstColumn="0" w:firstRowLastColumn="0" w:lastRowFirstColumn="0" w:lastRowLastColumn="0"/>
            </w:pPr>
            <w:r w:rsidRPr="00DF5231">
              <w:t>#11</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$65,904</w:t>
            </w:r>
          </w:p>
        </w:tc>
        <w:tc>
          <w:tcPr>
            <w:tcW w:w="68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12</w:t>
            </w:r>
          </w:p>
        </w:tc>
        <w:tc>
          <w:tcPr>
            <w:tcW w:w="992"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-10</w:t>
            </w:r>
          </w:p>
        </w:tc>
        <w:tc>
          <w:tcPr>
            <w:tcW w:w="1157"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10 (4)</w:t>
            </w:r>
          </w:p>
        </w:tc>
        <w:tc>
          <w:tcPr>
            <w:tcW w:w="1276"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65 (66)</w:t>
            </w:r>
          </w:p>
        </w:tc>
        <w:tc>
          <w:tcPr>
            <w:tcW w:w="1275" w:type="dxa"/>
            <w:vAlign w:val="bottom"/>
          </w:tcPr>
          <w:p w:rsidR="00DF5231" w:rsidRPr="00DF5231" w:rsidRDefault="00DF5231" w:rsidP="00DF5231">
            <w:pPr>
              <w:cnfStyle w:val="000000000000" w:firstRow="0" w:lastRow="0" w:firstColumn="0" w:lastColumn="0" w:oddVBand="0" w:evenVBand="0" w:oddHBand="0" w:evenHBand="0" w:firstRowFirstColumn="0" w:firstRowLastColumn="0" w:lastRowFirstColumn="0" w:lastRowLastColumn="0"/>
            </w:pPr>
            <w:r w:rsidRPr="00DF5231">
              <w:t>75 (72)</w:t>
            </w:r>
          </w:p>
        </w:tc>
      </w:tr>
      <w:tr w:rsidR="00DF5231" w:rsidTr="00AB43D5">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101" w:type="dxa"/>
            <w:vAlign w:val="bottom"/>
          </w:tcPr>
          <w:p w:rsidR="00DF5231" w:rsidRPr="00DF5231" w:rsidRDefault="00DF5231" w:rsidP="00DF5231">
            <w:r w:rsidRPr="00DF5231">
              <w:t>3/07/2013</w:t>
            </w:r>
          </w:p>
        </w:tc>
        <w:tc>
          <w:tcPr>
            <w:tcW w:w="850"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21</w:t>
            </w:r>
          </w:p>
        </w:tc>
        <w:tc>
          <w:tcPr>
            <w:tcW w:w="874" w:type="dxa"/>
            <w:vAlign w:val="bottom"/>
          </w:tcPr>
          <w:p w:rsidR="00DF5231" w:rsidRPr="00DF5231" w:rsidRDefault="00DF5231">
            <w:pPr>
              <w:cnfStyle w:val="000000010000" w:firstRow="0" w:lastRow="0" w:firstColumn="0" w:lastColumn="0" w:oddVBand="0" w:evenVBand="0" w:oddHBand="0" w:evenHBand="1" w:firstRowFirstColumn="0" w:firstRowLastColumn="0" w:lastRowFirstColumn="0" w:lastRowLastColumn="0"/>
            </w:pPr>
            <w:r w:rsidRPr="00DF5231">
              <w:t>#13</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$63,825</w:t>
            </w:r>
          </w:p>
        </w:tc>
        <w:tc>
          <w:tcPr>
            <w:tcW w:w="68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11</w:t>
            </w:r>
          </w:p>
        </w:tc>
        <w:tc>
          <w:tcPr>
            <w:tcW w:w="992"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-11</w:t>
            </w:r>
          </w:p>
        </w:tc>
        <w:tc>
          <w:tcPr>
            <w:tcW w:w="1157"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14 (14)</w:t>
            </w:r>
          </w:p>
        </w:tc>
        <w:tc>
          <w:tcPr>
            <w:tcW w:w="1276"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74 (74)</w:t>
            </w:r>
          </w:p>
        </w:tc>
        <w:tc>
          <w:tcPr>
            <w:tcW w:w="1275" w:type="dxa"/>
            <w:vAlign w:val="bottom"/>
          </w:tcPr>
          <w:p w:rsidR="00DF5231" w:rsidRPr="00DF5231" w:rsidRDefault="00DF5231" w:rsidP="00DF5231">
            <w:pPr>
              <w:cnfStyle w:val="000000010000" w:firstRow="0" w:lastRow="0" w:firstColumn="0" w:lastColumn="0" w:oddVBand="0" w:evenVBand="0" w:oddHBand="0" w:evenHBand="1" w:firstRowFirstColumn="0" w:firstRowLastColumn="0" w:lastRowFirstColumn="0" w:lastRowLastColumn="0"/>
            </w:pPr>
            <w:r w:rsidRPr="00DF5231">
              <w:t>88 (88)</w:t>
            </w:r>
          </w:p>
        </w:tc>
      </w:tr>
    </w:tbl>
    <w:p w:rsidR="00DB1F71" w:rsidRDefault="00DB1F71" w:rsidP="00DB1F71">
      <w:pPr>
        <w:pStyle w:val="FootnoteText"/>
      </w:pPr>
      <w:r w:rsidRPr="00DB1F71">
        <w:t>*</w:t>
      </w:r>
      <w:r w:rsidR="009A4CBF">
        <w:t xml:space="preserve">  </w:t>
      </w:r>
      <w:r w:rsidR="005D2574">
        <w:tab/>
      </w:r>
      <w:r w:rsidR="00957E14">
        <w:t xml:space="preserve">From </w:t>
      </w:r>
      <w:r>
        <w:t>market start</w:t>
      </w:r>
      <w:r w:rsidR="00456D9E">
        <w:t xml:space="preserve"> –</w:t>
      </w:r>
      <w:r w:rsidR="00957E14">
        <w:t xml:space="preserve"> </w:t>
      </w:r>
      <w:r w:rsidR="00456D9E">
        <w:t>September 2010</w:t>
      </w:r>
      <w:r w:rsidR="00957E14">
        <w:t xml:space="preserve"> to end August 2013</w:t>
      </w:r>
    </w:p>
    <w:p w:rsidR="00DB1F71" w:rsidRDefault="00DB1F71" w:rsidP="00DB1F71">
      <w:pPr>
        <w:pStyle w:val="FootnoteText"/>
      </w:pPr>
      <w:r>
        <w:t xml:space="preserve">** </w:t>
      </w:r>
      <w:r w:rsidR="005D2574">
        <w:tab/>
      </w:r>
      <w:r w:rsidR="002A6D9A">
        <w:t xml:space="preserve">Excludes MOS. </w:t>
      </w:r>
      <w:r w:rsidR="00BA1CE5">
        <w:t>S</w:t>
      </w:r>
      <w:r w:rsidR="00385135">
        <w:t xml:space="preserve">cheduled </w:t>
      </w:r>
      <w:r w:rsidR="00A0233C">
        <w:t>n</w:t>
      </w:r>
      <w:r w:rsidR="00BA1CE5">
        <w:t xml:space="preserve">et flows with nominations </w:t>
      </w:r>
      <w:r w:rsidR="00385135">
        <w:t xml:space="preserve">in brackets. </w:t>
      </w:r>
      <w:r w:rsidRPr="00DB1F71">
        <w:t>For example, even though 13 TJ was scheduled on 26</w:t>
      </w:r>
      <w:r w:rsidR="0072289F">
        <w:t> </w:t>
      </w:r>
      <w:r w:rsidRPr="00DB1F71">
        <w:t>June, only 8 TJ was nominated on MAP.</w:t>
      </w:r>
      <w:r w:rsidR="009A4CBF">
        <w:t xml:space="preserve"> (</w:t>
      </w:r>
      <w:r w:rsidR="00BA1CE5">
        <w:t xml:space="preserve">Scheduled flows are from AEMO's INT report </w:t>
      </w:r>
      <w:r w:rsidR="00DE3394">
        <w:t>652</w:t>
      </w:r>
      <w:r w:rsidR="00BA1CE5">
        <w:t xml:space="preserve">; </w:t>
      </w:r>
      <w:r w:rsidR="009A4CBF">
        <w:t>Nominations have been taken from allocations data</w:t>
      </w:r>
      <w:r w:rsidR="00BA1CE5">
        <w:t>,</w:t>
      </w:r>
      <w:r w:rsidR="009A4CBF">
        <w:t xml:space="preserve"> understood to reflect final nominations</w:t>
      </w:r>
      <w:r w:rsidR="00BA1CE5">
        <w:t xml:space="preserve"> from AEMO's INT report </w:t>
      </w:r>
      <w:r w:rsidR="0088415D">
        <w:t>658</w:t>
      </w:r>
      <w:r w:rsidR="009A4CBF">
        <w:t>)</w:t>
      </w:r>
    </w:p>
    <w:p w:rsidR="00495E53" w:rsidRDefault="00495E53" w:rsidP="00DB1F71">
      <w:pPr>
        <w:pStyle w:val="FootnoteText"/>
      </w:pPr>
      <w:r>
        <w:t>***</w:t>
      </w:r>
      <w:r>
        <w:tab/>
      </w:r>
      <w:r w:rsidR="002A6D9A">
        <w:t xml:space="preserve">Scheduled hub demand with allocations in brackets. For example, </w:t>
      </w:r>
      <w:r w:rsidR="00FB7E51">
        <w:t>forecast demand on 26 June was 1 TJ lower than the volume nominated</w:t>
      </w:r>
      <w:r w:rsidR="002A6D9A">
        <w:t xml:space="preserve">. </w:t>
      </w:r>
      <w:r w:rsidR="00A855F4">
        <w:t xml:space="preserve">This number represents the </w:t>
      </w:r>
      <w:r w:rsidR="002A6D9A">
        <w:t xml:space="preserve">scheduled demand and allocated demand </w:t>
      </w:r>
      <w:r w:rsidR="00BA1CE5">
        <w:t xml:space="preserve">published </w:t>
      </w:r>
      <w:r w:rsidR="00A855F4">
        <w:t>by AEMO</w:t>
      </w:r>
      <w:r w:rsidR="00BA1CE5">
        <w:t xml:space="preserve"> through AEMO's INT report </w:t>
      </w:r>
      <w:r w:rsidR="00DF5231">
        <w:t xml:space="preserve">652 </w:t>
      </w:r>
      <w:r w:rsidR="002A6D9A">
        <w:t xml:space="preserve">and </w:t>
      </w:r>
      <w:r w:rsidR="00DF5231">
        <w:t>658</w:t>
      </w:r>
      <w:r w:rsidR="002A6D9A">
        <w:t xml:space="preserve"> </w:t>
      </w:r>
    </w:p>
    <w:p w:rsidR="006E0734" w:rsidRPr="00DB1F71" w:rsidRDefault="006E0734" w:rsidP="00DB1F71">
      <w:pPr>
        <w:pStyle w:val="FootnoteText"/>
      </w:pPr>
    </w:p>
    <w:p w:rsidR="0088415D" w:rsidRDefault="0088415D" w:rsidP="00957E14">
      <w:pPr>
        <w:pStyle w:val="FootnoteText"/>
        <w:tabs>
          <w:tab w:val="clear" w:pos="426"/>
          <w:tab w:val="left" w:pos="0"/>
        </w:tabs>
      </w:pPr>
      <w:r w:rsidRPr="00DE3394">
        <w:t>Data: AEMO Market data (www.aemo.com.au): INT 65</w:t>
      </w:r>
      <w:r>
        <w:t>2, 658</w:t>
      </w:r>
      <w:r w:rsidRPr="00DE3394">
        <w:t xml:space="preserve">, </w:t>
      </w:r>
      <w:r>
        <w:t xml:space="preserve">663, </w:t>
      </w:r>
      <w:r w:rsidRPr="00DE3394">
        <w:t>6</w:t>
      </w:r>
      <w:r>
        <w:t>64</w:t>
      </w:r>
      <w:r w:rsidRPr="00DE3394">
        <w:t xml:space="preserve"> </w:t>
      </w:r>
    </w:p>
    <w:p w:rsidR="00957E14" w:rsidRPr="00DE3394" w:rsidRDefault="00957E14" w:rsidP="00837604">
      <w:pPr>
        <w:pStyle w:val="FootnoteText"/>
        <w:tabs>
          <w:tab w:val="clear" w:pos="426"/>
          <w:tab w:val="left" w:pos="0"/>
        </w:tabs>
      </w:pPr>
    </w:p>
    <w:p w:rsidR="009A4CBF" w:rsidRDefault="009A4CBF" w:rsidP="006E0734">
      <w:pPr>
        <w:pStyle w:val="AERbodytext"/>
        <w:numPr>
          <w:ilvl w:val="0"/>
          <w:numId w:val="0"/>
        </w:numPr>
      </w:pPr>
      <w:r>
        <w:t xml:space="preserve">As shown in the third column, winter 2013 gas days had the highest </w:t>
      </w:r>
      <w:r w:rsidR="00DF5231">
        <w:t xml:space="preserve">3 </w:t>
      </w:r>
      <w:r>
        <w:t>total MOS quantit</w:t>
      </w:r>
      <w:r w:rsidR="007140C3">
        <w:t>y days</w:t>
      </w:r>
      <w:r w:rsidR="009909A2">
        <w:t xml:space="preserve"> </w:t>
      </w:r>
      <w:r>
        <w:t xml:space="preserve">on record for the Adelaide hub. </w:t>
      </w:r>
      <w:r>
        <w:rPr>
          <w:rStyle w:val="AERbody"/>
        </w:rPr>
        <w:t>The factors that led to counteracting MOS in Adelaide over winter 2013 appear independent of demand forecasting accuracy</w:t>
      </w:r>
      <w:r w:rsidR="00385135">
        <w:rPr>
          <w:rStyle w:val="AERbody"/>
        </w:rPr>
        <w:t>, as the</w:t>
      </w:r>
      <w:r w:rsidR="006E0734">
        <w:rPr>
          <w:rStyle w:val="AERbody"/>
        </w:rPr>
        <w:t xml:space="preserve"> amounts of MOS</w:t>
      </w:r>
      <w:r w:rsidR="00385135">
        <w:rPr>
          <w:rStyle w:val="AERbody"/>
        </w:rPr>
        <w:t xml:space="preserve"> are</w:t>
      </w:r>
      <w:r w:rsidR="006E0734">
        <w:rPr>
          <w:rStyle w:val="AERbody"/>
        </w:rPr>
        <w:t xml:space="preserve"> much higher than </w:t>
      </w:r>
      <w:r w:rsidR="00AB43D5">
        <w:rPr>
          <w:rStyle w:val="AERbody"/>
        </w:rPr>
        <w:t>differences between forecast and actual hub demand</w:t>
      </w:r>
      <w:r>
        <w:rPr>
          <w:rStyle w:val="AERbody"/>
        </w:rPr>
        <w:t xml:space="preserve">. In fact, on 25 June, demand was only over forecast by around </w:t>
      </w:r>
      <w:r w:rsidR="00554BE4">
        <w:rPr>
          <w:rStyle w:val="AERbody"/>
        </w:rPr>
        <w:t>1.4 </w:t>
      </w:r>
      <w:r>
        <w:rPr>
          <w:rStyle w:val="AERbody"/>
        </w:rPr>
        <w:t>per cent or 1.3 TJ.</w:t>
      </w:r>
    </w:p>
    <w:p w:rsidR="009A4CBF" w:rsidRPr="009A4CBF" w:rsidRDefault="00385135" w:rsidP="009A4CBF">
      <w:pPr>
        <w:pStyle w:val="AERbodytext"/>
        <w:numPr>
          <w:ilvl w:val="0"/>
          <w:numId w:val="13"/>
        </w:numPr>
        <w:rPr>
          <w:rStyle w:val="AERbody"/>
        </w:rPr>
      </w:pPr>
      <w:r>
        <w:rPr>
          <w:rStyle w:val="AERbody"/>
        </w:rPr>
        <w:t>In the past two years</w:t>
      </w:r>
      <w:r w:rsidR="009A4CBF" w:rsidRPr="009A4CBF">
        <w:rPr>
          <w:rStyle w:val="AERbody"/>
        </w:rPr>
        <w:t xml:space="preserve"> AEMO, </w:t>
      </w:r>
      <w:r>
        <w:rPr>
          <w:rStyle w:val="AERbody"/>
        </w:rPr>
        <w:t xml:space="preserve">the </w:t>
      </w:r>
      <w:r w:rsidR="009A4CBF" w:rsidRPr="009A4CBF">
        <w:rPr>
          <w:rStyle w:val="AERbody"/>
        </w:rPr>
        <w:t xml:space="preserve">AER and industry have investigated and consulted on any likely physical or behavioural aspects driving counteracting MOS in the Adelaide hub. </w:t>
      </w:r>
    </w:p>
    <w:p w:rsidR="009909A2" w:rsidRDefault="009909A2" w:rsidP="009A4CBF">
      <w:pPr>
        <w:pStyle w:val="AERbodytext"/>
        <w:numPr>
          <w:ilvl w:val="0"/>
          <w:numId w:val="13"/>
        </w:numPr>
        <w:rPr>
          <w:rStyle w:val="AERbody"/>
        </w:rPr>
      </w:pPr>
      <w:proofErr w:type="gramStart"/>
      <w:r>
        <w:rPr>
          <w:rStyle w:val="AERbody"/>
        </w:rPr>
        <w:t xml:space="preserve">AEMO's </w:t>
      </w:r>
      <w:r w:rsidR="00AB43D5">
        <w:rPr>
          <w:rStyle w:val="AERbody"/>
        </w:rPr>
        <w:t xml:space="preserve"> 2012</w:t>
      </w:r>
      <w:proofErr w:type="gramEnd"/>
      <w:r w:rsidR="00AB43D5">
        <w:rPr>
          <w:rStyle w:val="AERbody"/>
        </w:rPr>
        <w:t xml:space="preserve"> </w:t>
      </w:r>
      <w:r w:rsidR="00642B58">
        <w:rPr>
          <w:rStyle w:val="AERbody"/>
        </w:rPr>
        <w:t xml:space="preserve"> </w:t>
      </w:r>
      <w:r w:rsidR="00A0563B">
        <w:rPr>
          <w:rStyle w:val="AERbody"/>
        </w:rPr>
        <w:t>'</w:t>
      </w:r>
      <w:hyperlink r:id="rId14" w:history="1">
        <w:r w:rsidRPr="009909A2">
          <w:rPr>
            <w:rStyle w:val="Hyperlink"/>
          </w:rPr>
          <w:t>STTM operational review and demand hubs review - final report</w:t>
        </w:r>
      </w:hyperlink>
      <w:r w:rsidR="00A0563B">
        <w:rPr>
          <w:rStyle w:val="AERbody"/>
        </w:rPr>
        <w:t>'</w:t>
      </w:r>
      <w:r>
        <w:rPr>
          <w:rStyle w:val="AERbody"/>
        </w:rPr>
        <w:t xml:space="preserve"> </w:t>
      </w:r>
      <w:r w:rsidR="00A0563B">
        <w:rPr>
          <w:rStyle w:val="AERbody"/>
        </w:rPr>
        <w:t>set out AEMO's view on the causes of counteracting MOS in Adelaide.</w:t>
      </w:r>
      <w:r w:rsidR="00A0563B">
        <w:rPr>
          <w:rStyle w:val="FootnoteReference"/>
        </w:rPr>
        <w:footnoteReference w:id="7"/>
      </w:r>
      <w:r w:rsidR="00A0563B">
        <w:rPr>
          <w:rStyle w:val="AERbody"/>
        </w:rPr>
        <w:t xml:space="preserve"> The report noted that the primary cause of counteracting MOS was the hourly flow profile nominated by shippers on the </w:t>
      </w:r>
      <w:r w:rsidR="00EE7F17">
        <w:rPr>
          <w:rStyle w:val="AERbody"/>
        </w:rPr>
        <w:t>SEA Gas</w:t>
      </w:r>
      <w:r w:rsidR="00A0563B">
        <w:rPr>
          <w:rStyle w:val="AERbody"/>
        </w:rPr>
        <w:t xml:space="preserve"> pipeline. When hourly deliveries from </w:t>
      </w:r>
      <w:r w:rsidR="00EE7F17">
        <w:rPr>
          <w:rStyle w:val="AERbody"/>
        </w:rPr>
        <w:t>SEA Gas</w:t>
      </w:r>
      <w:r w:rsidR="00A0563B">
        <w:rPr>
          <w:rStyle w:val="AERbody"/>
        </w:rPr>
        <w:t xml:space="preserve"> lag behind the demand, the MAP then supplies the shortfall. The report also noted that the isolation of the Elizabeth zone </w:t>
      </w:r>
      <w:r w:rsidR="00A0233C">
        <w:rPr>
          <w:rStyle w:val="AERbody"/>
        </w:rPr>
        <w:t>was</w:t>
      </w:r>
      <w:r w:rsidR="00A0563B">
        <w:rPr>
          <w:rStyle w:val="AERbody"/>
        </w:rPr>
        <w:t xml:space="preserve"> a secondary contributor. </w:t>
      </w:r>
    </w:p>
    <w:p w:rsidR="006E0734" w:rsidRDefault="00A0233C" w:rsidP="00165ADF">
      <w:pPr>
        <w:pStyle w:val="AERbodytext"/>
        <w:rPr>
          <w:rStyle w:val="AERbody"/>
        </w:rPr>
      </w:pPr>
      <w:r>
        <w:rPr>
          <w:rStyle w:val="AERbody"/>
        </w:rPr>
        <w:t>We have</w:t>
      </w:r>
      <w:r w:rsidR="009A4CBF" w:rsidRPr="009A4CBF">
        <w:rPr>
          <w:rStyle w:val="AERbody"/>
        </w:rPr>
        <w:t xml:space="preserve"> </w:t>
      </w:r>
      <w:r w:rsidR="009A4CBF">
        <w:rPr>
          <w:rStyle w:val="AERbody"/>
        </w:rPr>
        <w:t xml:space="preserve">reviewed patterns of gas scheduling </w:t>
      </w:r>
      <w:r w:rsidR="006E0734">
        <w:rPr>
          <w:rStyle w:val="AERbody"/>
        </w:rPr>
        <w:t xml:space="preserve">and pipeline flows for this winter, discussing </w:t>
      </w:r>
      <w:r w:rsidR="009A4CBF">
        <w:rPr>
          <w:rStyle w:val="AERbody"/>
        </w:rPr>
        <w:t>with participants</w:t>
      </w:r>
      <w:r w:rsidR="006E0734">
        <w:rPr>
          <w:rStyle w:val="AERbody"/>
        </w:rPr>
        <w:t xml:space="preserve"> and AEMO, to determine</w:t>
      </w:r>
      <w:r w:rsidR="00165ADF">
        <w:rPr>
          <w:rStyle w:val="AERbody"/>
        </w:rPr>
        <w:t xml:space="preserve"> </w:t>
      </w:r>
      <w:r w:rsidR="006E0734">
        <w:rPr>
          <w:rStyle w:val="AERbody"/>
        </w:rPr>
        <w:t>if counteracting MOS outcomes this winter reflected previous AEMO findings.</w:t>
      </w:r>
      <w:r w:rsidR="00165ADF">
        <w:rPr>
          <w:rStyle w:val="AERbody"/>
        </w:rPr>
        <w:t xml:space="preserve"> </w:t>
      </w:r>
    </w:p>
    <w:p w:rsidR="009A4CBF" w:rsidRPr="009A4CBF" w:rsidRDefault="00077265" w:rsidP="00642B58">
      <w:pPr>
        <w:pStyle w:val="AERbodytext"/>
      </w:pPr>
      <w:r>
        <w:t xml:space="preserve">Compared to when AEMO considered counteracting MOS, the composition of gas flows to the Adelaide hub has changed. </w:t>
      </w:r>
      <w:r w:rsidR="00495E53">
        <w:fldChar w:fldCharType="begin"/>
      </w:r>
      <w:r w:rsidR="00495E53">
        <w:instrText xml:space="preserve"> REF _Ref367272219 \h </w:instrText>
      </w:r>
      <w:r w:rsidR="00495E53">
        <w:fldChar w:fldCharType="separate"/>
      </w:r>
      <w:r w:rsidR="00EF6D74">
        <w:t xml:space="preserve">Figure </w:t>
      </w:r>
      <w:r w:rsidR="00EF6D74">
        <w:rPr>
          <w:noProof/>
        </w:rPr>
        <w:t>5</w:t>
      </w:r>
      <w:r w:rsidR="00495E53">
        <w:fldChar w:fldCharType="end"/>
      </w:r>
      <w:r w:rsidR="00495E53">
        <w:t xml:space="preserve"> </w:t>
      </w:r>
      <w:r w:rsidR="009A4CBF" w:rsidRPr="009A4CBF">
        <w:t>below</w:t>
      </w:r>
      <w:r w:rsidR="00495E53">
        <w:t xml:space="preserve"> illustrates the gas flows on the MAP and the </w:t>
      </w:r>
      <w:r w:rsidR="00EE7F17">
        <w:t>SEA Gas</w:t>
      </w:r>
      <w:r w:rsidR="00495E53">
        <w:t xml:space="preserve"> pipeline for three winter periods; June–August 2011, June–August 2012, and June–August 2013. Flows marked "T" (</w:t>
      </w:r>
      <w:r w:rsidR="00782D2E">
        <w:t>meaning 'to the hub'</w:t>
      </w:r>
      <w:r w:rsidR="00495E53">
        <w:t xml:space="preserve">) reflect gas flows from the respective pipeline </w:t>
      </w:r>
      <w:r w:rsidR="00495E53" w:rsidRPr="007140C3">
        <w:rPr>
          <w:rStyle w:val="AERbody"/>
        </w:rPr>
        <w:t>to</w:t>
      </w:r>
      <w:r w:rsidR="00495E53">
        <w:t xml:space="preserve"> the Adelaide distribution network. These </w:t>
      </w:r>
      <w:r w:rsidR="00782D2E">
        <w:t>quantities</w:t>
      </w:r>
      <w:r w:rsidR="00495E53">
        <w:t xml:space="preserve"> include forward haul (physical deliveries from the pipeline into the distribution network) and backhaul (notional gas flows away from the distribution network). Flows marked "F" (</w:t>
      </w:r>
      <w:r w:rsidR="00782D2E">
        <w:t>meaning 'from the hub'</w:t>
      </w:r>
      <w:r w:rsidR="00495E53">
        <w:t>) reflect backhaul</w:t>
      </w:r>
      <w:r w:rsidR="00782D2E">
        <w:t xml:space="preserve"> only</w:t>
      </w:r>
      <w:r w:rsidR="00495E53">
        <w:t>.</w:t>
      </w:r>
      <w:r w:rsidR="007140C3">
        <w:t xml:space="preserve"> F</w:t>
      </w:r>
      <w:r w:rsidR="009A4CBF" w:rsidRPr="009A4CBF">
        <w:t xml:space="preserve">rom late June to </w:t>
      </w:r>
      <w:r w:rsidR="00FB5FBD">
        <w:t xml:space="preserve">early August </w:t>
      </w:r>
      <w:r w:rsidR="009A4CBF" w:rsidRPr="009A4CBF">
        <w:t xml:space="preserve">2013, </w:t>
      </w:r>
      <w:r w:rsidR="006E0734">
        <w:t xml:space="preserve">on a sustained basis, scheduled </w:t>
      </w:r>
      <w:r w:rsidR="009A4CBF" w:rsidRPr="009A4CBF">
        <w:t>flow</w:t>
      </w:r>
      <w:r w:rsidR="006E0734">
        <w:t>s</w:t>
      </w:r>
      <w:r w:rsidR="009A4CBF" w:rsidRPr="009A4CBF">
        <w:t xml:space="preserve"> on </w:t>
      </w:r>
      <w:r w:rsidR="00733602">
        <w:t xml:space="preserve">the </w:t>
      </w:r>
      <w:r w:rsidR="00EE7F17">
        <w:t>SEA Gas</w:t>
      </w:r>
      <w:r w:rsidR="00733602">
        <w:t xml:space="preserve"> pipeline</w:t>
      </w:r>
      <w:r w:rsidR="009A4CBF" w:rsidRPr="009A4CBF">
        <w:t xml:space="preserve"> and net flow</w:t>
      </w:r>
      <w:r w:rsidR="006E0734">
        <w:t>s</w:t>
      </w:r>
      <w:r w:rsidR="009A4CBF" w:rsidRPr="009A4CBF">
        <w:t xml:space="preserve"> </w:t>
      </w:r>
      <w:r w:rsidR="006E0734">
        <w:t xml:space="preserve">on </w:t>
      </w:r>
      <w:r w:rsidR="00733602">
        <w:t xml:space="preserve">the </w:t>
      </w:r>
      <w:r w:rsidR="006E0734">
        <w:t>MAP (</w:t>
      </w:r>
      <w:r w:rsidR="00682FC9">
        <w:t>'t</w:t>
      </w:r>
      <w:r w:rsidR="007140C3">
        <w:t>o</w:t>
      </w:r>
      <w:r w:rsidR="00682FC9">
        <w:t>'</w:t>
      </w:r>
      <w:r w:rsidR="007140C3">
        <w:t xml:space="preserve"> minus </w:t>
      </w:r>
      <w:r w:rsidR="00682FC9">
        <w:t>'f</w:t>
      </w:r>
      <w:r w:rsidR="007140C3">
        <w:t>rom</w:t>
      </w:r>
      <w:r w:rsidR="00682FC9">
        <w:t>'</w:t>
      </w:r>
      <w:r w:rsidR="006E0734">
        <w:t>) were at a record</w:t>
      </w:r>
      <w:r w:rsidR="009A4CBF">
        <w:t xml:space="preserve"> </w:t>
      </w:r>
      <w:r w:rsidR="006E0734">
        <w:t xml:space="preserve">high in the case of </w:t>
      </w:r>
      <w:r w:rsidR="00733602">
        <w:t xml:space="preserve">the </w:t>
      </w:r>
      <w:r w:rsidR="00EE7F17">
        <w:t>SEA Gas</w:t>
      </w:r>
      <w:r w:rsidR="00733602">
        <w:t xml:space="preserve"> pipeline</w:t>
      </w:r>
      <w:r w:rsidR="006E0734">
        <w:t xml:space="preserve"> and a record low in the case of </w:t>
      </w:r>
      <w:r w:rsidR="00733602">
        <w:t xml:space="preserve">the </w:t>
      </w:r>
      <w:r w:rsidR="006E0734">
        <w:t xml:space="preserve">MAP. This reflected in part that </w:t>
      </w:r>
      <w:r w:rsidR="009A4CBF">
        <w:t xml:space="preserve">a number of participants </w:t>
      </w:r>
      <w:r w:rsidR="00733602">
        <w:t>increased backhaul</w:t>
      </w:r>
      <w:r w:rsidR="006E0734">
        <w:t xml:space="preserve"> on </w:t>
      </w:r>
      <w:r w:rsidR="00733602">
        <w:t xml:space="preserve">the </w:t>
      </w:r>
      <w:r w:rsidR="006E0734">
        <w:t>MAP</w:t>
      </w:r>
      <w:r w:rsidR="007140C3">
        <w:t xml:space="preserve"> (see Attachment</w:t>
      </w:r>
      <w:r w:rsidR="00FE4C08">
        <w:t> B</w:t>
      </w:r>
      <w:r w:rsidR="007140C3">
        <w:t xml:space="preserve"> also)</w:t>
      </w:r>
      <w:r w:rsidR="006E0734">
        <w:t xml:space="preserve">. </w:t>
      </w:r>
      <w:r w:rsidR="000C2F88">
        <w:t>Trading</w:t>
      </w:r>
      <w:r w:rsidR="006E0734">
        <w:t xml:space="preserve"> p</w:t>
      </w:r>
      <w:r w:rsidR="009A4CBF">
        <w:t xml:space="preserve">articipants reported </w:t>
      </w:r>
      <w:r w:rsidR="006E0734">
        <w:t xml:space="preserve">in general </w:t>
      </w:r>
      <w:r w:rsidR="009A4CBF">
        <w:t xml:space="preserve">that </w:t>
      </w:r>
      <w:r w:rsidR="000C2F88">
        <w:t xml:space="preserve">higher </w:t>
      </w:r>
      <w:r w:rsidR="009A4CBF">
        <w:t>costs of gas at Moomba were one factor influencing less flows on MAP and more flows</w:t>
      </w:r>
      <w:r w:rsidR="00682FC9">
        <w:t xml:space="preserve"> </w:t>
      </w:r>
      <w:r w:rsidR="009A4CBF">
        <w:t xml:space="preserve">on </w:t>
      </w:r>
      <w:r w:rsidR="00682FC9">
        <w:t xml:space="preserve">the </w:t>
      </w:r>
      <w:r w:rsidR="00EE7F17">
        <w:t>SEA Gas</w:t>
      </w:r>
      <w:r w:rsidR="00682FC9">
        <w:t xml:space="preserve"> pipeline</w:t>
      </w:r>
      <w:r w:rsidR="009A4CBF">
        <w:t>.</w:t>
      </w:r>
      <w:r w:rsidR="00165ADF">
        <w:t xml:space="preserve"> </w:t>
      </w:r>
    </w:p>
    <w:p w:rsidR="00495E53" w:rsidRDefault="00495E53" w:rsidP="00495E53">
      <w:pPr>
        <w:pStyle w:val="Caption"/>
      </w:pPr>
      <w:bookmarkStart w:id="35" w:name="_Ref367272219"/>
      <w:r>
        <w:t xml:space="preserve">Figure </w:t>
      </w:r>
      <w:r w:rsidR="00EF6D74">
        <w:fldChar w:fldCharType="begin"/>
      </w:r>
      <w:r w:rsidR="00EF6D74">
        <w:instrText xml:space="preserve"> SEQ Figure \* ARABIC </w:instrText>
      </w:r>
      <w:r w:rsidR="00EF6D74">
        <w:fldChar w:fldCharType="separate"/>
      </w:r>
      <w:r w:rsidR="00EF6D74">
        <w:rPr>
          <w:noProof/>
        </w:rPr>
        <w:t>5</w:t>
      </w:r>
      <w:r w:rsidR="00EF6D74">
        <w:rPr>
          <w:noProof/>
        </w:rPr>
        <w:fldChar w:fldCharType="end"/>
      </w:r>
      <w:bookmarkEnd w:id="35"/>
      <w:r>
        <w:t xml:space="preserve"> –</w:t>
      </w:r>
      <w:r w:rsidR="007140C3">
        <w:t>S</w:t>
      </w:r>
      <w:r w:rsidRPr="009A4CBF">
        <w:t xml:space="preserve">cheduled gas on </w:t>
      </w:r>
      <w:r>
        <w:t xml:space="preserve">the </w:t>
      </w:r>
      <w:r w:rsidR="00EE7F17">
        <w:t>SEA Gas</w:t>
      </w:r>
      <w:r>
        <w:t xml:space="preserve"> pipeline</w:t>
      </w:r>
      <w:r w:rsidRPr="009A4CBF">
        <w:t xml:space="preserve"> and </w:t>
      </w:r>
      <w:r>
        <w:t>the MAP (w</w:t>
      </w:r>
      <w:r w:rsidRPr="009A4CBF">
        <w:t>inter 2011/12/13)</w:t>
      </w:r>
      <w:r w:rsidR="00E62CA9">
        <w:t>*</w:t>
      </w:r>
    </w:p>
    <w:p w:rsidR="009A4CBF" w:rsidRDefault="00771497" w:rsidP="00771497">
      <w:pPr>
        <w:pStyle w:val="AERbodytext"/>
        <w:rPr>
          <w:rStyle w:val="AERbody"/>
        </w:rPr>
      </w:pPr>
      <w:r w:rsidRPr="00771497">
        <w:rPr>
          <w:noProof/>
          <w:lang w:eastAsia="en-AU"/>
        </w:rPr>
        <w:drawing>
          <wp:inline distT="0" distB="0" distL="0" distR="0" wp14:anchorId="3A164D80" wp14:editId="04A801A5">
            <wp:extent cx="5734050" cy="2238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237383"/>
                    </a:xfrm>
                    <a:prstGeom prst="rect">
                      <a:avLst/>
                    </a:prstGeom>
                    <a:noFill/>
                    <a:ln>
                      <a:noFill/>
                    </a:ln>
                  </pic:spPr>
                </pic:pic>
              </a:graphicData>
            </a:graphic>
          </wp:inline>
        </w:drawing>
      </w:r>
    </w:p>
    <w:p w:rsidR="00957E14" w:rsidRPr="00837604" w:rsidRDefault="00CD0CA8" w:rsidP="00642B58">
      <w:pPr>
        <w:pStyle w:val="FootnoteText"/>
        <w:tabs>
          <w:tab w:val="clear" w:pos="426"/>
          <w:tab w:val="left" w:pos="0"/>
        </w:tabs>
        <w:ind w:left="0" w:firstLine="0"/>
      </w:pPr>
      <w:r w:rsidRPr="00837604">
        <w:t>*</w:t>
      </w:r>
      <w:r w:rsidRPr="00837604">
        <w:rPr>
          <w:rFonts w:hint="eastAsia"/>
        </w:rPr>
        <w:t>‘</w:t>
      </w:r>
      <w:r w:rsidRPr="00837604">
        <w:t>T</w:t>
      </w:r>
      <w:r w:rsidRPr="00837604">
        <w:rPr>
          <w:rFonts w:hint="eastAsia"/>
        </w:rPr>
        <w:t>’</w:t>
      </w:r>
      <w:r w:rsidRPr="00837604">
        <w:t xml:space="preserve"> represents flows to the hub on a </w:t>
      </w:r>
      <w:proofErr w:type="gramStart"/>
      <w:r w:rsidRPr="00837604">
        <w:t>pipeline</w:t>
      </w:r>
      <w:r w:rsidR="00FB7E51">
        <w:t>,</w:t>
      </w:r>
      <w:proofErr w:type="gramEnd"/>
      <w:r w:rsidR="00FB7E51">
        <w:t xml:space="preserve"> </w:t>
      </w:r>
      <w:r w:rsidRPr="00837604">
        <w:rPr>
          <w:rFonts w:hint="eastAsia"/>
        </w:rPr>
        <w:t>‘</w:t>
      </w:r>
      <w:r w:rsidRPr="00837604">
        <w:t>F</w:t>
      </w:r>
      <w:r w:rsidRPr="00837604">
        <w:rPr>
          <w:rFonts w:hint="eastAsia"/>
        </w:rPr>
        <w:t>’</w:t>
      </w:r>
      <w:r w:rsidRPr="00837604">
        <w:t xml:space="preserve"> represents flows from the pipeline (notional backhaul)</w:t>
      </w:r>
      <w:r w:rsidR="00E62CA9" w:rsidRPr="00837604">
        <w:t xml:space="preserve">. </w:t>
      </w:r>
    </w:p>
    <w:p w:rsidR="0047307B" w:rsidRDefault="0047307B" w:rsidP="00957E14">
      <w:pPr>
        <w:pStyle w:val="FootnoteText"/>
        <w:tabs>
          <w:tab w:val="clear" w:pos="426"/>
          <w:tab w:val="left" w:pos="0"/>
        </w:tabs>
      </w:pPr>
    </w:p>
    <w:p w:rsidR="00CD0CA8" w:rsidRDefault="00957E14" w:rsidP="00957E14">
      <w:pPr>
        <w:pStyle w:val="FootnoteText"/>
        <w:tabs>
          <w:tab w:val="clear" w:pos="426"/>
          <w:tab w:val="left" w:pos="0"/>
        </w:tabs>
      </w:pPr>
      <w:r w:rsidRPr="00957E14">
        <w:t xml:space="preserve">Data: </w:t>
      </w:r>
      <w:r w:rsidR="00E62CA9" w:rsidRPr="00957E14">
        <w:t>AEMO</w:t>
      </w:r>
      <w:r>
        <w:t xml:space="preserve"> market data (www.aemo.com.au): </w:t>
      </w:r>
      <w:r w:rsidR="00E62CA9" w:rsidRPr="00957E14">
        <w:t xml:space="preserve"> INT </w:t>
      </w:r>
      <w:r w:rsidR="0088415D" w:rsidRPr="00957E14">
        <w:t xml:space="preserve">651 and 659 </w:t>
      </w:r>
      <w:r w:rsidR="00E62CA9" w:rsidRPr="00957E14">
        <w:t>report</w:t>
      </w:r>
      <w:r w:rsidR="0088415D" w:rsidRPr="00957E14">
        <w:t>s</w:t>
      </w:r>
    </w:p>
    <w:p w:rsidR="00957E14" w:rsidRPr="00837604" w:rsidRDefault="00957E14" w:rsidP="00837604">
      <w:pPr>
        <w:pStyle w:val="FootnoteText"/>
        <w:tabs>
          <w:tab w:val="clear" w:pos="426"/>
          <w:tab w:val="left" w:pos="0"/>
        </w:tabs>
      </w:pPr>
    </w:p>
    <w:p w:rsidR="009A4CBF" w:rsidRPr="009A4CBF" w:rsidRDefault="009A4CBF" w:rsidP="00101272">
      <w:pPr>
        <w:pStyle w:val="AERbodytext"/>
        <w:numPr>
          <w:ilvl w:val="0"/>
          <w:numId w:val="13"/>
        </w:numPr>
        <w:rPr>
          <w:rStyle w:val="AERbody"/>
        </w:rPr>
      </w:pPr>
      <w:r>
        <w:rPr>
          <w:rStyle w:val="AERbody"/>
        </w:rPr>
        <w:t xml:space="preserve">The AER </w:t>
      </w:r>
      <w:r w:rsidR="006E0734">
        <w:rPr>
          <w:rStyle w:val="AERbody"/>
        </w:rPr>
        <w:t xml:space="preserve">also </w:t>
      </w:r>
      <w:r w:rsidRPr="009A4CBF">
        <w:rPr>
          <w:rStyle w:val="AERbody"/>
        </w:rPr>
        <w:t xml:space="preserve">consulted with AEMO, Envestra, </w:t>
      </w:r>
      <w:r w:rsidR="00EE7F17">
        <w:rPr>
          <w:rStyle w:val="AERbody"/>
        </w:rPr>
        <w:t>SEA Gas</w:t>
      </w:r>
      <w:r w:rsidRPr="009A4CBF">
        <w:rPr>
          <w:rStyle w:val="AERbody"/>
        </w:rPr>
        <w:t xml:space="preserve"> and Epic</w:t>
      </w:r>
      <w:r w:rsidR="000C2F88">
        <w:rPr>
          <w:rStyle w:val="AERbody"/>
        </w:rPr>
        <w:t xml:space="preserve"> (the owner of the MAP)</w:t>
      </w:r>
      <w:r w:rsidRPr="009A4CBF">
        <w:rPr>
          <w:rStyle w:val="AERbody"/>
        </w:rPr>
        <w:t xml:space="preserve">, </w:t>
      </w:r>
      <w:r w:rsidR="00DC7ED4">
        <w:rPr>
          <w:rStyle w:val="AERbody"/>
        </w:rPr>
        <w:t xml:space="preserve">on MOS outcomes this winter. </w:t>
      </w:r>
      <w:r w:rsidR="00077265">
        <w:rPr>
          <w:rStyle w:val="AERbody"/>
        </w:rPr>
        <w:t>In particular, t</w:t>
      </w:r>
      <w:r w:rsidR="00077265" w:rsidRPr="009A4CBF">
        <w:rPr>
          <w:rStyle w:val="AERbody"/>
        </w:rPr>
        <w:t xml:space="preserve">he AER considered 30 days of </w:t>
      </w:r>
      <w:r w:rsidR="00077265">
        <w:rPr>
          <w:rStyle w:val="AERbody"/>
        </w:rPr>
        <w:t>SEA Gas pipeline</w:t>
      </w:r>
      <w:r w:rsidR="00077265" w:rsidRPr="009A4CBF">
        <w:rPr>
          <w:rStyle w:val="AERbody"/>
        </w:rPr>
        <w:t xml:space="preserve"> and MAP flow and pressure data from 15 June to 15 July 2013</w:t>
      </w:r>
      <w:r w:rsidR="00077265">
        <w:rPr>
          <w:rStyle w:val="AERbody"/>
        </w:rPr>
        <w:t xml:space="preserve"> to determine if</w:t>
      </w:r>
      <w:r w:rsidR="00FB7E51">
        <w:rPr>
          <w:rStyle w:val="AERbody"/>
        </w:rPr>
        <w:t>,</w:t>
      </w:r>
      <w:r w:rsidR="00077265">
        <w:rPr>
          <w:rStyle w:val="AERbody"/>
        </w:rPr>
        <w:t xml:space="preserve"> and to what extent, demand at the Elizabeth zone was contributing to counteracting MOS. </w:t>
      </w:r>
    </w:p>
    <w:p w:rsidR="00D62583" w:rsidRDefault="00E05DE3" w:rsidP="00101272">
      <w:pPr>
        <w:pStyle w:val="AERbodytext"/>
        <w:rPr>
          <w:rStyle w:val="AERbody"/>
        </w:rPr>
      </w:pPr>
      <w:r>
        <w:rPr>
          <w:rStyle w:val="AERbody"/>
        </w:rPr>
        <w:t>We understand</w:t>
      </w:r>
      <w:r w:rsidR="00814033" w:rsidRPr="00814033">
        <w:rPr>
          <w:rStyle w:val="AERbody"/>
        </w:rPr>
        <w:t xml:space="preserve"> </w:t>
      </w:r>
      <w:r w:rsidR="006E0734">
        <w:rPr>
          <w:rStyle w:val="AERbody"/>
        </w:rPr>
        <w:t xml:space="preserve">from </w:t>
      </w:r>
      <w:proofErr w:type="spellStart"/>
      <w:r w:rsidR="006E0734">
        <w:rPr>
          <w:rStyle w:val="AERbody"/>
        </w:rPr>
        <w:t>Envestra</w:t>
      </w:r>
      <w:proofErr w:type="spellEnd"/>
      <w:r w:rsidR="006E0734">
        <w:rPr>
          <w:rStyle w:val="AERbody"/>
        </w:rPr>
        <w:t xml:space="preserve"> </w:t>
      </w:r>
      <w:r w:rsidR="00814033" w:rsidRPr="00814033">
        <w:rPr>
          <w:rStyle w:val="AERbody"/>
        </w:rPr>
        <w:t>that for several years</w:t>
      </w:r>
      <w:r w:rsidR="002042B9">
        <w:rPr>
          <w:rStyle w:val="AERbody"/>
        </w:rPr>
        <w:t xml:space="preserve">, </w:t>
      </w:r>
      <w:r w:rsidR="00814033" w:rsidRPr="00814033">
        <w:rPr>
          <w:rStyle w:val="AERbody"/>
        </w:rPr>
        <w:t>including the 2013 winter period</w:t>
      </w:r>
      <w:r w:rsidR="002042B9">
        <w:rPr>
          <w:rStyle w:val="AERbody"/>
        </w:rPr>
        <w:t>,</w:t>
      </w:r>
      <w:r w:rsidR="00814033" w:rsidRPr="00814033">
        <w:rPr>
          <w:rStyle w:val="AERbody"/>
        </w:rPr>
        <w:t xml:space="preserve"> the</w:t>
      </w:r>
      <w:r w:rsidR="00814033">
        <w:rPr>
          <w:rStyle w:val="AERbody"/>
        </w:rPr>
        <w:t xml:space="preserve"> Adelaide network </w:t>
      </w:r>
      <w:r w:rsidR="00814033" w:rsidRPr="00814033">
        <w:rPr>
          <w:rStyle w:val="AERbody"/>
        </w:rPr>
        <w:t>has been oper</w:t>
      </w:r>
      <w:r w:rsidR="00257CD0">
        <w:rPr>
          <w:rStyle w:val="AERbody"/>
        </w:rPr>
        <w:t xml:space="preserve">ated such that </w:t>
      </w:r>
      <w:r w:rsidR="000A6022">
        <w:rPr>
          <w:rStyle w:val="AERbody"/>
        </w:rPr>
        <w:t xml:space="preserve">a </w:t>
      </w:r>
      <w:r w:rsidR="00257CD0">
        <w:rPr>
          <w:rStyle w:val="AERbody"/>
        </w:rPr>
        <w:t>valve which c</w:t>
      </w:r>
      <w:r w:rsidR="00814033" w:rsidRPr="00814033">
        <w:rPr>
          <w:rStyle w:val="AERbody"/>
        </w:rPr>
        <w:t xml:space="preserve">ould enable gas to be delivered from </w:t>
      </w:r>
      <w:r w:rsidR="000A6022">
        <w:rPr>
          <w:rStyle w:val="AERbody"/>
        </w:rPr>
        <w:t xml:space="preserve">the </w:t>
      </w:r>
      <w:r w:rsidR="00EE7F17">
        <w:rPr>
          <w:rStyle w:val="AERbody"/>
        </w:rPr>
        <w:t>SEA Gas</w:t>
      </w:r>
      <w:r w:rsidR="000A6022">
        <w:rPr>
          <w:rStyle w:val="AERbody"/>
        </w:rPr>
        <w:t xml:space="preserve"> pipeline</w:t>
      </w:r>
      <w:r w:rsidR="00814033" w:rsidRPr="00814033">
        <w:rPr>
          <w:rStyle w:val="AERbody"/>
        </w:rPr>
        <w:t xml:space="preserve"> into the Elizabeth part of the network has been closed.</w:t>
      </w:r>
      <w:r w:rsidR="00257CD0">
        <w:rPr>
          <w:rStyle w:val="AERbody"/>
        </w:rPr>
        <w:t xml:space="preserve"> The valve has been shut for operational requirements.</w:t>
      </w:r>
      <w:r w:rsidR="00814033">
        <w:rPr>
          <w:rStyle w:val="AERbody"/>
        </w:rPr>
        <w:t xml:space="preserve"> </w:t>
      </w:r>
      <w:r w:rsidR="00077265">
        <w:t>This review has found that the isolation of the Elizabeth zone, at least for the 25 June</w:t>
      </w:r>
      <w:r w:rsidR="00FB7E51">
        <w:t xml:space="preserve"> gas day</w:t>
      </w:r>
      <w:r w:rsidR="00077265">
        <w:t>, may have been the single biggest contributor to counteracting MOS. It follows that on any high demand day at Elizabeth of around 15 TJ, that if nominations on MAP are near zero, Elizabeth zone isolation must be a big contributor to counteracting MOS.</w:t>
      </w:r>
      <w:r w:rsidR="00077265">
        <w:rPr>
          <w:rStyle w:val="FootnoteReference"/>
        </w:rPr>
        <w:footnoteReference w:id="8"/>
      </w:r>
      <w:r w:rsidR="00077265">
        <w:t xml:space="preserve"> </w:t>
      </w:r>
      <w:r w:rsidR="00077265">
        <w:rPr>
          <w:rStyle w:val="AERbody"/>
        </w:rPr>
        <w:t>Based on th</w:t>
      </w:r>
      <w:r w:rsidR="00101272">
        <w:rPr>
          <w:rStyle w:val="AERbody"/>
        </w:rPr>
        <w:t>e</w:t>
      </w:r>
      <w:r w:rsidR="00077265">
        <w:rPr>
          <w:rStyle w:val="AERbody"/>
        </w:rPr>
        <w:t xml:space="preserve"> 30 days of data, </w:t>
      </w:r>
      <w:r w:rsidR="00077265" w:rsidRPr="008D1A22">
        <w:rPr>
          <w:rStyle w:val="AERbody"/>
        </w:rPr>
        <w:t xml:space="preserve">the isolation of the Elizabeth </w:t>
      </w:r>
      <w:r w:rsidR="00077265">
        <w:rPr>
          <w:rStyle w:val="AERbody"/>
        </w:rPr>
        <w:t>zone from the SEA Gas pipeline appears to be a key contributor to counteracting MOS this winter.</w:t>
      </w:r>
    </w:p>
    <w:p w:rsidR="00F5746D" w:rsidRDefault="00B97E98" w:rsidP="00F5746D">
      <w:pPr>
        <w:pStyle w:val="AERbodytext"/>
      </w:pPr>
      <w:r>
        <w:rPr>
          <w:rStyle w:val="AERbody"/>
        </w:rPr>
        <w:t xml:space="preserve">Secondly, </w:t>
      </w:r>
      <w:r w:rsidR="00FA7F23">
        <w:rPr>
          <w:rStyle w:val="AERbody"/>
        </w:rPr>
        <w:t xml:space="preserve">based on this data, </w:t>
      </w:r>
      <w:r w:rsidR="00F5746D">
        <w:rPr>
          <w:rStyle w:val="AERbody"/>
        </w:rPr>
        <w:t>p</w:t>
      </w:r>
      <w:r w:rsidR="00F5746D" w:rsidRPr="00F5746D">
        <w:t xml:space="preserve">ressure differences between the delivery points, and within the distribution network, may be limiting the ability of the SEA Gas pipeline to supply parts of the distribution network (particularly towards the Taperoo part of the network). </w:t>
      </w:r>
      <w:r w:rsidR="00101272">
        <w:t>Previously this had not been identified</w:t>
      </w:r>
      <w:r w:rsidR="00077265">
        <w:t xml:space="preserve">. </w:t>
      </w:r>
      <w:r w:rsidR="00F5746D" w:rsidRPr="00F5746D">
        <w:t xml:space="preserve">It was described to the AER that gas provided by the SEA Gas pipeline (through its Cavan delivery point) will gradually lose pressure as it moves through the distribution network towards the geographically distant Taperoo part of the network. Before the gas reaches Taperoo, the pressure of this gas will fall to a level that meets the pressure of gas provided by the MAP’s Taperoo delivery point. This prevents the SEA Gas sourced gas, from moving any further beyond this balancing point. </w:t>
      </w:r>
      <w:r w:rsidR="00F5746D">
        <w:t xml:space="preserve">This </w:t>
      </w:r>
      <w:r w:rsidR="00E05DE3">
        <w:t>results in</w:t>
      </w:r>
      <w:r w:rsidR="00F5746D">
        <w:t xml:space="preserve"> the demand from the Taperoo part of the network being serviced by the MAP rather than gas from Cavan. On days of high scheduled flows on SEA Gas, and low scheduled flows on the MAP, t</w:t>
      </w:r>
      <w:r w:rsidR="00F5746D" w:rsidRPr="00F5746D">
        <w:t>his may result in</w:t>
      </w:r>
      <w:r w:rsidR="00F5746D">
        <w:t xml:space="preserve"> increase MOS on the MAP, and decrease MOS on the SEA Gas pipeline.</w:t>
      </w:r>
    </w:p>
    <w:p w:rsidR="00755896" w:rsidRDefault="00077265" w:rsidP="00755896">
      <w:pPr>
        <w:pStyle w:val="AERbodytext"/>
        <w:numPr>
          <w:ilvl w:val="0"/>
          <w:numId w:val="13"/>
        </w:numPr>
      </w:pPr>
      <w:r>
        <w:rPr>
          <w:rStyle w:val="AERbody"/>
        </w:rPr>
        <w:t>B</w:t>
      </w:r>
      <w:r w:rsidR="00FB7E51">
        <w:rPr>
          <w:rStyle w:val="AERbody"/>
        </w:rPr>
        <w:t>e</w:t>
      </w:r>
      <w:r>
        <w:rPr>
          <w:rStyle w:val="AERbody"/>
        </w:rPr>
        <w:t>aring in mind the Elizabeth issue and Taperoo issues above, the</w:t>
      </w:r>
      <w:r w:rsidR="006E0734" w:rsidRPr="00814033">
        <w:rPr>
          <w:rStyle w:val="AERbody"/>
        </w:rPr>
        <w:t xml:space="preserve"> relationship </w:t>
      </w:r>
      <w:r w:rsidR="006E0734">
        <w:rPr>
          <w:rStyle w:val="AERbody"/>
        </w:rPr>
        <w:t>between</w:t>
      </w:r>
      <w:r w:rsidR="00F308E8">
        <w:rPr>
          <w:rStyle w:val="AERbody"/>
        </w:rPr>
        <w:t xml:space="preserve"> </w:t>
      </w:r>
      <w:r w:rsidR="00642B58">
        <w:rPr>
          <w:rStyle w:val="AERbody"/>
        </w:rPr>
        <w:t xml:space="preserve">the </w:t>
      </w:r>
      <w:r w:rsidR="00F308E8">
        <w:rPr>
          <w:rStyle w:val="AERbody"/>
        </w:rPr>
        <w:t xml:space="preserve">high ratio </w:t>
      </w:r>
      <w:r w:rsidR="00642B58">
        <w:rPr>
          <w:rStyle w:val="AERbody"/>
        </w:rPr>
        <w:t xml:space="preserve">of </w:t>
      </w:r>
      <w:r w:rsidR="00EE7F17">
        <w:rPr>
          <w:rStyle w:val="AERbody"/>
        </w:rPr>
        <w:t>SEA Gas</w:t>
      </w:r>
      <w:r w:rsidR="00F308E8">
        <w:rPr>
          <w:rStyle w:val="AERbody"/>
        </w:rPr>
        <w:t xml:space="preserve"> flows to MAP flows and counteracting MOS is shown through </w:t>
      </w:r>
      <w:r w:rsidR="00CD0CA8">
        <w:rPr>
          <w:rStyle w:val="AERbody"/>
        </w:rPr>
        <w:fldChar w:fldCharType="begin"/>
      </w:r>
      <w:r w:rsidR="00CD0CA8">
        <w:rPr>
          <w:rStyle w:val="AERbody"/>
        </w:rPr>
        <w:instrText xml:space="preserve"> REF _Ref367190217 \h </w:instrText>
      </w:r>
      <w:r w:rsidR="00CD0CA8">
        <w:rPr>
          <w:rStyle w:val="AERbody"/>
        </w:rPr>
      </w:r>
      <w:r w:rsidR="00CD0CA8">
        <w:rPr>
          <w:rStyle w:val="AERbody"/>
        </w:rPr>
        <w:fldChar w:fldCharType="separate"/>
      </w:r>
      <w:r w:rsidR="00EF6D74">
        <w:t xml:space="preserve">Figure </w:t>
      </w:r>
      <w:r w:rsidR="00EF6D74">
        <w:rPr>
          <w:noProof/>
        </w:rPr>
        <w:t>6</w:t>
      </w:r>
      <w:r w:rsidR="00CD0CA8">
        <w:rPr>
          <w:rStyle w:val="AERbody"/>
        </w:rPr>
        <w:fldChar w:fldCharType="end"/>
      </w:r>
      <w:r w:rsidR="00CD0CA8">
        <w:rPr>
          <w:rStyle w:val="AERbody"/>
        </w:rPr>
        <w:t xml:space="preserve"> </w:t>
      </w:r>
      <w:r w:rsidR="006E0734" w:rsidRPr="00814033">
        <w:rPr>
          <w:rStyle w:val="AERbody"/>
        </w:rPr>
        <w:t>below</w:t>
      </w:r>
      <w:r w:rsidR="00F308E8">
        <w:rPr>
          <w:rStyle w:val="AERbody"/>
        </w:rPr>
        <w:t xml:space="preserve"> which plots</w:t>
      </w:r>
      <w:r w:rsidR="00E62CA9">
        <w:rPr>
          <w:rStyle w:val="AERbody"/>
        </w:rPr>
        <w:t xml:space="preserve"> </w:t>
      </w:r>
      <w:r w:rsidR="00CD0CA8" w:rsidRPr="00CD0CA8">
        <w:t>the ratio of the MAP net flow</w:t>
      </w:r>
      <w:r w:rsidR="00F308E8">
        <w:rPr>
          <w:rStyle w:val="FootnoteReference"/>
        </w:rPr>
        <w:footnoteReference w:id="9"/>
      </w:r>
      <w:r w:rsidR="00E62CA9">
        <w:t xml:space="preserve"> </w:t>
      </w:r>
      <w:r w:rsidR="00CD0CA8" w:rsidRPr="00CD0CA8">
        <w:t>on the x</w:t>
      </w:r>
      <w:r w:rsidR="00CD0CA8" w:rsidRPr="00CD0CA8">
        <w:noBreakHyphen/>
        <w:t xml:space="preserve">axis for the 2013 winter period. This ratio is plotted against the total volume of MOS requirement </w:t>
      </w:r>
      <w:r w:rsidR="00E62CA9">
        <w:t>from</w:t>
      </w:r>
      <w:r w:rsidR="00875F02">
        <w:t xml:space="preserve"> </w:t>
      </w:r>
      <w:r w:rsidR="00CD0CA8" w:rsidRPr="00CD0CA8">
        <w:t xml:space="preserve">each pipeline providing balancing gas to the hub. The scatterplot shows that as the ratio gets smaller, due to a combination of higher hub demand and low net supply from MAP, the higher the level of MOS required on a given gas day. The highlighted data points represent the gas days with a high cost for MOS shown in </w:t>
      </w:r>
      <w:r w:rsidR="00E841C2">
        <w:fldChar w:fldCharType="begin"/>
      </w:r>
      <w:r w:rsidR="00E841C2">
        <w:instrText xml:space="preserve"> REF _Ref367187506 \h </w:instrText>
      </w:r>
      <w:r w:rsidR="00E841C2">
        <w:fldChar w:fldCharType="separate"/>
      </w:r>
      <w:r w:rsidR="00EF6D74">
        <w:t xml:space="preserve">Figure </w:t>
      </w:r>
      <w:r w:rsidR="00EF6D74">
        <w:rPr>
          <w:noProof/>
        </w:rPr>
        <w:t>4</w:t>
      </w:r>
      <w:r w:rsidR="00E841C2">
        <w:fldChar w:fldCharType="end"/>
      </w:r>
      <w:r w:rsidR="00E841C2">
        <w:t xml:space="preserve"> </w:t>
      </w:r>
      <w:r w:rsidR="00CD0CA8" w:rsidRPr="00CD0CA8">
        <w:t>above.</w:t>
      </w:r>
    </w:p>
    <w:p w:rsidR="00755896" w:rsidRPr="00755896" w:rsidRDefault="00755896" w:rsidP="00755896">
      <w:pPr>
        <w:pStyle w:val="Caption"/>
      </w:pPr>
      <w:bookmarkStart w:id="36" w:name="_Ref367190217"/>
      <w:r>
        <w:t xml:space="preserve">Figure </w:t>
      </w:r>
      <w:r w:rsidR="00EF6D74">
        <w:fldChar w:fldCharType="begin"/>
      </w:r>
      <w:r w:rsidR="00EF6D74">
        <w:instrText xml:space="preserve"> SEQ Figure \* ARABIC </w:instrText>
      </w:r>
      <w:r w:rsidR="00EF6D74">
        <w:fldChar w:fldCharType="separate"/>
      </w:r>
      <w:r w:rsidR="00EF6D74">
        <w:rPr>
          <w:noProof/>
        </w:rPr>
        <w:t>6</w:t>
      </w:r>
      <w:r w:rsidR="00EF6D74">
        <w:rPr>
          <w:noProof/>
        </w:rPr>
        <w:fldChar w:fldCharType="end"/>
      </w:r>
      <w:bookmarkEnd w:id="36"/>
      <w:r>
        <w:t xml:space="preserve"> – MOS quantities relative to MAP </w:t>
      </w:r>
      <w:r w:rsidR="007140C3">
        <w:t xml:space="preserve">nominated </w:t>
      </w:r>
      <w:r>
        <w:t>net flow</w:t>
      </w:r>
      <w:r w:rsidR="007140C3">
        <w:t>s</w:t>
      </w:r>
      <w:r>
        <w:t>/demand (Adelaide winter 2013)</w:t>
      </w:r>
      <w:r w:rsidR="00825661">
        <w:t>*</w:t>
      </w:r>
    </w:p>
    <w:p w:rsidR="006E0734" w:rsidRDefault="00902592" w:rsidP="00902592">
      <w:pPr>
        <w:pStyle w:val="AERbodytext"/>
        <w:rPr>
          <w:rStyle w:val="AERbody"/>
        </w:rPr>
      </w:pPr>
      <w:r w:rsidRPr="00902592">
        <w:rPr>
          <w:noProof/>
          <w:lang w:eastAsia="en-AU"/>
        </w:rPr>
        <w:drawing>
          <wp:inline distT="0" distB="0" distL="0" distR="0" wp14:anchorId="46D35A5B" wp14:editId="353E3BF0">
            <wp:extent cx="5731510" cy="19581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958147"/>
                    </a:xfrm>
                    <a:prstGeom prst="rect">
                      <a:avLst/>
                    </a:prstGeom>
                    <a:noFill/>
                    <a:ln>
                      <a:noFill/>
                    </a:ln>
                  </pic:spPr>
                </pic:pic>
              </a:graphicData>
            </a:graphic>
          </wp:inline>
        </w:drawing>
      </w:r>
      <w:r w:rsidR="006E0734" w:rsidRPr="00813CB3" w:rsidDel="00813CB3">
        <w:rPr>
          <w:rStyle w:val="AERbody"/>
          <w:highlight w:val="yellow"/>
        </w:rPr>
        <w:t xml:space="preserve"> </w:t>
      </w:r>
    </w:p>
    <w:p w:rsidR="00825661" w:rsidRPr="00837604" w:rsidRDefault="001F2B35" w:rsidP="00957E14">
      <w:pPr>
        <w:pStyle w:val="FootnoteText"/>
        <w:tabs>
          <w:tab w:val="clear" w:pos="426"/>
          <w:tab w:val="left" w:pos="0"/>
        </w:tabs>
      </w:pPr>
      <w:r w:rsidRPr="00957E14">
        <w:t xml:space="preserve">Data: </w:t>
      </w:r>
      <w:r w:rsidR="00825661" w:rsidRPr="00957E14">
        <w:t>AEMO</w:t>
      </w:r>
      <w:r w:rsidR="00957E14">
        <w:t xml:space="preserve"> market data (www.aemo.com.au)</w:t>
      </w:r>
      <w:r w:rsidR="00642B58">
        <w:t>,</w:t>
      </w:r>
      <w:r w:rsidR="00825661" w:rsidRPr="00957E14">
        <w:t xml:space="preserve"> INT reports </w:t>
      </w:r>
      <w:r w:rsidR="00E57343" w:rsidRPr="00957E14">
        <w:t>658</w:t>
      </w:r>
      <w:r w:rsidR="00825661" w:rsidRPr="00957E14">
        <w:t xml:space="preserve">, </w:t>
      </w:r>
      <w:r w:rsidR="0088415D" w:rsidRPr="00957E14">
        <w:t>664</w:t>
      </w:r>
    </w:p>
    <w:p w:rsidR="006E0734" w:rsidRDefault="006E0734">
      <w:pPr>
        <w:spacing w:after="0" w:line="240" w:lineRule="auto"/>
        <w:jc w:val="left"/>
        <w:rPr>
          <w:rFonts w:eastAsia="Times New Roman"/>
          <w:szCs w:val="24"/>
        </w:rPr>
      </w:pPr>
      <w:r>
        <w:br w:type="page"/>
      </w:r>
    </w:p>
    <w:p w:rsidR="00624E40" w:rsidRDefault="009E5905" w:rsidP="009E5905">
      <w:pPr>
        <w:pStyle w:val="Heading1"/>
      </w:pPr>
      <w:bookmarkStart w:id="37" w:name="_Toc365903609"/>
      <w:bookmarkStart w:id="38" w:name="_Toc365903676"/>
      <w:bookmarkStart w:id="39" w:name="_Ref364859130"/>
      <w:bookmarkStart w:id="40" w:name="_Toc368048801"/>
      <w:bookmarkEnd w:id="37"/>
      <w:bookmarkEnd w:id="38"/>
      <w:r>
        <w:t>The 25 June 2013 gas day</w:t>
      </w:r>
      <w:bookmarkEnd w:id="39"/>
      <w:bookmarkEnd w:id="40"/>
    </w:p>
    <w:p w:rsidR="00072DAA" w:rsidRDefault="00072DAA" w:rsidP="00072DAA">
      <w:pPr>
        <w:pStyle w:val="AERbodytext"/>
        <w:numPr>
          <w:ilvl w:val="0"/>
          <w:numId w:val="0"/>
        </w:numPr>
        <w:rPr>
          <w:rStyle w:val="AERbody"/>
        </w:rPr>
      </w:pPr>
      <w:r>
        <w:rPr>
          <w:rStyle w:val="AERbody"/>
        </w:rPr>
        <w:t xml:space="preserve">As noted in section </w:t>
      </w:r>
      <w:r>
        <w:rPr>
          <w:rStyle w:val="AERbody"/>
        </w:rPr>
        <w:fldChar w:fldCharType="begin"/>
      </w:r>
      <w:r>
        <w:rPr>
          <w:rStyle w:val="AERbody"/>
        </w:rPr>
        <w:instrText xml:space="preserve"> REF _Ref364760490 \r \h </w:instrText>
      </w:r>
      <w:r>
        <w:rPr>
          <w:rStyle w:val="AERbody"/>
        </w:rPr>
      </w:r>
      <w:r>
        <w:rPr>
          <w:rStyle w:val="AERbody"/>
        </w:rPr>
        <w:fldChar w:fldCharType="separate"/>
      </w:r>
      <w:r w:rsidR="00EF6D74">
        <w:rPr>
          <w:rStyle w:val="AERbody"/>
        </w:rPr>
        <w:t>2</w:t>
      </w:r>
      <w:r>
        <w:rPr>
          <w:rStyle w:val="AERbody"/>
        </w:rPr>
        <w:fldChar w:fldCharType="end"/>
      </w:r>
      <w:r>
        <w:rPr>
          <w:rStyle w:val="AERbody"/>
        </w:rPr>
        <w:t xml:space="preserve"> above, low</w:t>
      </w:r>
      <w:r w:rsidR="00165ADF">
        <w:rPr>
          <w:rStyle w:val="AERbody"/>
        </w:rPr>
        <w:t>/high</w:t>
      </w:r>
      <w:r>
        <w:rPr>
          <w:rStyle w:val="AERbody"/>
        </w:rPr>
        <w:t xml:space="preserve"> net </w:t>
      </w:r>
      <w:r w:rsidR="00846916">
        <w:rPr>
          <w:rStyle w:val="AERbody"/>
        </w:rPr>
        <w:t xml:space="preserve">physical </w:t>
      </w:r>
      <w:r>
        <w:rPr>
          <w:rStyle w:val="AERbody"/>
        </w:rPr>
        <w:t>flows</w:t>
      </w:r>
      <w:r w:rsidR="00177157">
        <w:rPr>
          <w:rStyle w:val="AERbody"/>
        </w:rPr>
        <w:t xml:space="preserve"> </w:t>
      </w:r>
      <w:r w:rsidR="00642B58">
        <w:rPr>
          <w:rStyle w:val="AERbody"/>
        </w:rPr>
        <w:t xml:space="preserve">nominated on the MAP/SEA Gas </w:t>
      </w:r>
      <w:r w:rsidR="00177157">
        <w:rPr>
          <w:rStyle w:val="AERbody"/>
        </w:rPr>
        <w:t>into the</w:t>
      </w:r>
      <w:r w:rsidR="00614B7F">
        <w:rPr>
          <w:rStyle w:val="AERbody"/>
        </w:rPr>
        <w:t xml:space="preserve"> distribution network</w:t>
      </w:r>
      <w:r w:rsidR="00642B58">
        <w:rPr>
          <w:rStyle w:val="AERbody"/>
        </w:rPr>
        <w:t>,</w:t>
      </w:r>
      <w:r w:rsidR="00165ADF">
        <w:rPr>
          <w:rStyle w:val="AERbody"/>
        </w:rPr>
        <w:t xml:space="preserve"> </w:t>
      </w:r>
      <w:r>
        <w:rPr>
          <w:rStyle w:val="AERbody"/>
        </w:rPr>
        <w:t>coupled with high demand</w:t>
      </w:r>
      <w:r w:rsidR="00614B7F">
        <w:rPr>
          <w:rStyle w:val="AERbody"/>
        </w:rPr>
        <w:t xml:space="preserve"> within the distribution network</w:t>
      </w:r>
      <w:r w:rsidR="00642B58">
        <w:rPr>
          <w:rStyle w:val="AERbody"/>
        </w:rPr>
        <w:t>,</w:t>
      </w:r>
      <w:r>
        <w:rPr>
          <w:rStyle w:val="AERbody"/>
        </w:rPr>
        <w:t xml:space="preserve"> resulted in a significantly large amount of counteracting MOS on the gas day. These factors are detailed further below.</w:t>
      </w:r>
    </w:p>
    <w:p w:rsidR="0008178B" w:rsidRDefault="00DD163A" w:rsidP="0008178B">
      <w:pPr>
        <w:pStyle w:val="HeadingBoldBlue"/>
      </w:pPr>
      <w:r>
        <w:t xml:space="preserve">The ex </w:t>
      </w:r>
      <w:r w:rsidR="0008178B">
        <w:t>ante</w:t>
      </w:r>
      <w:r w:rsidR="00846916">
        <w:t xml:space="preserve"> schedule and ex post imbalance</w:t>
      </w:r>
      <w:r w:rsidR="001B2045">
        <w:t xml:space="preserve"> price</w:t>
      </w:r>
    </w:p>
    <w:p w:rsidR="001B2045" w:rsidRDefault="00A95107" w:rsidP="006E33E7">
      <w:pPr>
        <w:pStyle w:val="AERbodytext"/>
        <w:numPr>
          <w:ilvl w:val="0"/>
          <w:numId w:val="13"/>
        </w:numPr>
      </w:pPr>
      <w:r>
        <w:t>The</w:t>
      </w:r>
      <w:r w:rsidR="001B2045">
        <w:t xml:space="preserve">re was nothing particularly remarkable about the ex ante </w:t>
      </w:r>
      <w:r w:rsidR="00801566">
        <w:t xml:space="preserve">schedule </w:t>
      </w:r>
      <w:r w:rsidR="001B2045">
        <w:t xml:space="preserve">and ex post schedule for the 25 June day in terms of prices or demand forecasting accuracy. </w:t>
      </w:r>
      <w:r w:rsidR="006E33E7">
        <w:t xml:space="preserve">Both the </w:t>
      </w:r>
      <w:proofErr w:type="gramStart"/>
      <w:r w:rsidR="006E33E7">
        <w:t>ex ante</w:t>
      </w:r>
      <w:proofErr w:type="gramEnd"/>
      <w:r w:rsidR="006E33E7">
        <w:t xml:space="preserve"> and ex post price were consistent with longer term price trends at $4.93/GJ. The prices were the same, indicative that d</w:t>
      </w:r>
      <w:r w:rsidR="001B2045">
        <w:t>emand was very accurately forecast</w:t>
      </w:r>
      <w:r w:rsidR="00E00029">
        <w:t>,</w:t>
      </w:r>
      <w:r w:rsidR="001B2045">
        <w:t xml:space="preserve"> </w:t>
      </w:r>
      <w:r w:rsidR="006E33E7">
        <w:t xml:space="preserve">with </w:t>
      </w:r>
      <w:r w:rsidR="001B2045">
        <w:t xml:space="preserve">actual demand </w:t>
      </w:r>
      <w:r w:rsidR="00806509">
        <w:t xml:space="preserve">imbalance </w:t>
      </w:r>
      <w:r w:rsidR="001B2045">
        <w:t xml:space="preserve">in the hub only being </w:t>
      </w:r>
      <w:r w:rsidR="00FE4C08">
        <w:t>1.3 </w:t>
      </w:r>
      <w:r w:rsidR="001B2045">
        <w:t xml:space="preserve"> TJ</w:t>
      </w:r>
      <w:r w:rsidR="00A23C18">
        <w:t xml:space="preserve"> (around </w:t>
      </w:r>
      <w:r w:rsidR="00FE4C08">
        <w:t>1.4 </w:t>
      </w:r>
      <w:r w:rsidR="00A23C18">
        <w:t xml:space="preserve"> per cent)</w:t>
      </w:r>
      <w:r w:rsidR="001B2045">
        <w:t xml:space="preserve"> more </w:t>
      </w:r>
      <w:r w:rsidR="001B2045" w:rsidRPr="001B2045">
        <w:t xml:space="preserve">than </w:t>
      </w:r>
      <w:r w:rsidR="006E33E7">
        <w:t>scheduled demand.</w:t>
      </w:r>
      <w:r w:rsidR="00E00029">
        <w:t xml:space="preserve"> </w:t>
      </w:r>
    </w:p>
    <w:p w:rsidR="001B2045" w:rsidRPr="001B2045" w:rsidRDefault="001B2045" w:rsidP="00340127">
      <w:pPr>
        <w:pStyle w:val="AERbodytext"/>
      </w:pPr>
      <w:r>
        <w:t>What was re</w:t>
      </w:r>
      <w:r w:rsidR="006E33E7">
        <w:t xml:space="preserve">markable about this day was the split of scheduled gas for delivery to the Adelaide hub between the MAP and </w:t>
      </w:r>
      <w:r w:rsidR="00EE7F17">
        <w:t>SEA Gas</w:t>
      </w:r>
      <w:r w:rsidR="006E33E7">
        <w:t xml:space="preserve"> </w:t>
      </w:r>
      <w:r w:rsidR="00A23C18">
        <w:t>pipeline</w:t>
      </w:r>
      <w:r w:rsidR="006E33E7">
        <w:t>. T</w:t>
      </w:r>
      <w:r>
        <w:t xml:space="preserve">he </w:t>
      </w:r>
      <w:r w:rsidR="00EE7F17">
        <w:t>SEA Gas</w:t>
      </w:r>
      <w:r w:rsidRPr="00DD43AF">
        <w:t xml:space="preserve"> pipelin</w:t>
      </w:r>
      <w:r w:rsidRPr="001B2045">
        <w:t xml:space="preserve">e was scheduled </w:t>
      </w:r>
      <w:r w:rsidR="00340127">
        <w:t xml:space="preserve">ex ante </w:t>
      </w:r>
      <w:r w:rsidRPr="001B2045">
        <w:t xml:space="preserve">to supply </w:t>
      </w:r>
      <w:r w:rsidR="00143A51">
        <w:t>86.5 TJ</w:t>
      </w:r>
      <w:r w:rsidRPr="001B2045">
        <w:t xml:space="preserve"> </w:t>
      </w:r>
      <w:r w:rsidR="006E33E7">
        <w:t>to the Adelaide hub</w:t>
      </w:r>
      <w:r w:rsidRPr="001B2045">
        <w:t>. Th</w:t>
      </w:r>
      <w:r w:rsidR="006E33E7">
        <w:t>is wa</w:t>
      </w:r>
      <w:r w:rsidRPr="001B2045">
        <w:t xml:space="preserve">s the highest ever </w:t>
      </w:r>
      <w:r w:rsidR="006E33E7">
        <w:t xml:space="preserve">ex ante </w:t>
      </w:r>
      <w:r w:rsidRPr="001B2045">
        <w:t xml:space="preserve">scheduled </w:t>
      </w:r>
      <w:r w:rsidR="006E33E7">
        <w:t xml:space="preserve">amount of gas </w:t>
      </w:r>
      <w:r w:rsidRPr="001B2045">
        <w:t xml:space="preserve">on the </w:t>
      </w:r>
      <w:r w:rsidR="00EE7F17">
        <w:t>SEA Gas</w:t>
      </w:r>
      <w:r w:rsidRPr="001B2045">
        <w:t xml:space="preserve"> pipeline since market start. </w:t>
      </w:r>
      <w:r>
        <w:t xml:space="preserve">It was necessary because </w:t>
      </w:r>
      <w:r w:rsidR="00340127">
        <w:t>net scheduled d</w:t>
      </w:r>
      <w:r w:rsidR="00165ADF">
        <w:t xml:space="preserve">eliveries on the MAP were only </w:t>
      </w:r>
      <w:r w:rsidR="00143A51">
        <w:t>6.56 TJ</w:t>
      </w:r>
      <w:r w:rsidR="00340127">
        <w:t xml:space="preserve"> to meet </w:t>
      </w:r>
      <w:r w:rsidR="00143A51">
        <w:t>93.06 TJ</w:t>
      </w:r>
      <w:r w:rsidR="00340127">
        <w:t xml:space="preserve"> of network demand.</w:t>
      </w:r>
      <w:r w:rsidR="006E33E7">
        <w:rPr>
          <w:rStyle w:val="FootnoteReference"/>
        </w:rPr>
        <w:footnoteReference w:id="10"/>
      </w:r>
      <w:r w:rsidR="00165ADF">
        <w:t xml:space="preserve"> </w:t>
      </w:r>
      <w:r w:rsidR="00C7272F">
        <w:t>Despite the low MAP flow scheduled by AEMO, participants n</w:t>
      </w:r>
      <w:r w:rsidR="00165ADF">
        <w:t>ominated</w:t>
      </w:r>
      <w:r w:rsidR="00C7272F">
        <w:t xml:space="preserve"> 6</w:t>
      </w:r>
      <w:r w:rsidR="00143A51">
        <w:t>.07</w:t>
      </w:r>
      <w:r w:rsidR="00E13CF0">
        <w:t> </w:t>
      </w:r>
      <w:r w:rsidR="00C7272F">
        <w:t>TJ (0.5 TJ less)</w:t>
      </w:r>
      <w:r w:rsidR="00165ADF">
        <w:t>.</w:t>
      </w:r>
    </w:p>
    <w:p w:rsidR="001B2045" w:rsidRDefault="00E14CE8" w:rsidP="00E14CE8">
      <w:pPr>
        <w:pStyle w:val="HeadingBoldBlue"/>
      </w:pPr>
      <w:r>
        <w:t>MOS outcomes</w:t>
      </w:r>
      <w:r w:rsidR="00100243">
        <w:t xml:space="preserve"> </w:t>
      </w:r>
    </w:p>
    <w:p w:rsidR="006E33E7" w:rsidRPr="00100243" w:rsidRDefault="00B5102F" w:rsidP="006E33E7">
      <w:pPr>
        <w:pStyle w:val="AERbodytext"/>
        <w:numPr>
          <w:ilvl w:val="0"/>
          <w:numId w:val="13"/>
        </w:numPr>
      </w:pPr>
      <w:r>
        <w:t xml:space="preserve">The combination of </w:t>
      </w:r>
      <w:r w:rsidR="006E33E7">
        <w:t xml:space="preserve">high </w:t>
      </w:r>
      <w:r w:rsidR="00165ADF">
        <w:t xml:space="preserve">nominations </w:t>
      </w:r>
      <w:r w:rsidR="006E33E7">
        <w:t xml:space="preserve">on </w:t>
      </w:r>
      <w:r w:rsidR="00EE7F17">
        <w:t>SEA Gas</w:t>
      </w:r>
      <w:r w:rsidR="006E33E7">
        <w:t xml:space="preserve">, </w:t>
      </w:r>
      <w:r>
        <w:t xml:space="preserve">low </w:t>
      </w:r>
      <w:r w:rsidR="00165ADF">
        <w:t xml:space="preserve">nominations </w:t>
      </w:r>
      <w:r>
        <w:t>on MAP into the</w:t>
      </w:r>
      <w:r w:rsidR="006E33E7">
        <w:t xml:space="preserve"> Adelaide hub</w:t>
      </w:r>
      <w:r>
        <w:t>, and the high demand within the distribution network was the key contributor to the large amount of counteracting MOS required on the day.</w:t>
      </w:r>
      <w:r w:rsidR="006E33E7">
        <w:t xml:space="preserve"> </w:t>
      </w:r>
      <w:r w:rsidR="006E33E7" w:rsidRPr="00100243">
        <w:t xml:space="preserve">On the gas day, </w:t>
      </w:r>
      <w:r w:rsidR="00BD4FB0">
        <w:t xml:space="preserve">almost </w:t>
      </w:r>
      <w:r w:rsidR="006E33E7" w:rsidRPr="00100243">
        <w:t xml:space="preserve">41 TJ of MOS was required. The MAP provided 19.73 TJ of increase MOS, and the </w:t>
      </w:r>
      <w:r w:rsidR="00EE7F17">
        <w:t>SEA Gas</w:t>
      </w:r>
      <w:r w:rsidR="006E33E7" w:rsidRPr="00100243">
        <w:t xml:space="preserve"> pipeline provided 21 TJ of decrease MOS. The MOS quantities on the day for the MAP and the </w:t>
      </w:r>
      <w:r w:rsidR="00EE7F17">
        <w:t>SEA Gas</w:t>
      </w:r>
      <w:r w:rsidR="006E33E7" w:rsidRPr="00100243">
        <w:t xml:space="preserve"> pipeline are the highest quantities ever required by either pipeline in the Adelaide STTM. </w:t>
      </w:r>
    </w:p>
    <w:p w:rsidR="00DC7ED4" w:rsidRDefault="00A23C18" w:rsidP="00DC7ED4">
      <w:pPr>
        <w:pStyle w:val="AERbodytext"/>
        <w:numPr>
          <w:ilvl w:val="0"/>
          <w:numId w:val="0"/>
        </w:numPr>
      </w:pPr>
      <w:r>
        <w:fldChar w:fldCharType="begin"/>
      </w:r>
      <w:r>
        <w:instrText xml:space="preserve"> REF _Ref367190161 \h </w:instrText>
      </w:r>
      <w:r>
        <w:fldChar w:fldCharType="separate"/>
      </w:r>
      <w:r w:rsidR="00EF6D74">
        <w:t xml:space="preserve">Figure </w:t>
      </w:r>
      <w:r w:rsidR="00EF6D74">
        <w:rPr>
          <w:noProof/>
        </w:rPr>
        <w:t>7</w:t>
      </w:r>
      <w:r>
        <w:fldChar w:fldCharType="end"/>
      </w:r>
      <w:r>
        <w:t xml:space="preserve"> </w:t>
      </w:r>
      <w:r w:rsidR="006E33E7">
        <w:t xml:space="preserve">below shows flows and pressures at the </w:t>
      </w:r>
      <w:r w:rsidR="00EE7F17">
        <w:t>SEA Gas</w:t>
      </w:r>
      <w:r w:rsidR="006E33E7">
        <w:t xml:space="preserve"> Cavan delivery point and the MAP Gepps Cross, Taperoo and Elizabeth delivery points. Also included is a demand proxy which shows total demand (excluding Elizabeth) which is the effective demand profile for </w:t>
      </w:r>
      <w:r w:rsidR="00EE7F17">
        <w:t>SEA Gas</w:t>
      </w:r>
      <w:r w:rsidR="006E33E7">
        <w:t xml:space="preserve"> </w:t>
      </w:r>
      <w:proofErr w:type="spellStart"/>
      <w:r w:rsidR="006E33E7">
        <w:t>gas</w:t>
      </w:r>
      <w:proofErr w:type="spellEnd"/>
      <w:r w:rsidR="006E33E7">
        <w:t xml:space="preserve"> because of </w:t>
      </w:r>
      <w:r w:rsidR="00DB4010">
        <w:t xml:space="preserve">its </w:t>
      </w:r>
      <w:r w:rsidR="006E33E7">
        <w:t>isolation from Elizabeth</w:t>
      </w:r>
      <w:r w:rsidR="00965041">
        <w:t>.</w:t>
      </w:r>
      <w:r w:rsidR="004136AD">
        <w:rPr>
          <w:rStyle w:val="FootnoteReference"/>
        </w:rPr>
        <w:footnoteReference w:id="11"/>
      </w:r>
      <w:r w:rsidR="006E33E7">
        <w:t xml:space="preserve"> </w:t>
      </w:r>
    </w:p>
    <w:p w:rsidR="00A23C18" w:rsidRPr="00A23C18" w:rsidRDefault="00A23C18" w:rsidP="00A23C18">
      <w:pPr>
        <w:pStyle w:val="Caption"/>
      </w:pPr>
      <w:bookmarkStart w:id="41" w:name="_Ref367190161"/>
      <w:r>
        <w:t xml:space="preserve">Figure </w:t>
      </w:r>
      <w:r w:rsidR="00EF6D74">
        <w:fldChar w:fldCharType="begin"/>
      </w:r>
      <w:r w:rsidR="00EF6D74">
        <w:instrText xml:space="preserve"> SEQ Figure \* ARABIC </w:instrText>
      </w:r>
      <w:r w:rsidR="00EF6D74">
        <w:fldChar w:fldCharType="separate"/>
      </w:r>
      <w:r w:rsidR="00EF6D74">
        <w:rPr>
          <w:noProof/>
        </w:rPr>
        <w:t>7</w:t>
      </w:r>
      <w:r w:rsidR="00EF6D74">
        <w:rPr>
          <w:noProof/>
        </w:rPr>
        <w:fldChar w:fldCharType="end"/>
      </w:r>
      <w:bookmarkEnd w:id="41"/>
      <w:r>
        <w:t xml:space="preserve"> – 25 June 2013 – flows and pressures at </w:t>
      </w:r>
      <w:r w:rsidR="00EE7F17">
        <w:t>SEA Gas</w:t>
      </w:r>
      <w:r>
        <w:t xml:space="preserve"> / MAP delivery points</w:t>
      </w:r>
      <w:r w:rsidR="001823C4">
        <w:rPr>
          <w:rStyle w:val="FootnoteReference"/>
        </w:rPr>
        <w:footnoteReference w:id="12"/>
      </w:r>
    </w:p>
    <w:p w:rsidR="00846916" w:rsidRDefault="00771497" w:rsidP="001B2045">
      <w:pPr>
        <w:pStyle w:val="AERbodytext"/>
        <w:numPr>
          <w:ilvl w:val="0"/>
          <w:numId w:val="0"/>
        </w:numPr>
      </w:pPr>
      <w:r w:rsidRPr="00771497">
        <w:rPr>
          <w:noProof/>
          <w:lang w:eastAsia="en-AU"/>
        </w:rPr>
        <w:drawing>
          <wp:inline distT="0" distB="0" distL="0" distR="0" wp14:anchorId="2F8E28BA" wp14:editId="7BBD266F">
            <wp:extent cx="5731510" cy="317859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178598"/>
                    </a:xfrm>
                    <a:prstGeom prst="rect">
                      <a:avLst/>
                    </a:prstGeom>
                    <a:noFill/>
                    <a:ln>
                      <a:noFill/>
                    </a:ln>
                  </pic:spPr>
                </pic:pic>
              </a:graphicData>
            </a:graphic>
          </wp:inline>
        </w:drawing>
      </w:r>
    </w:p>
    <w:p w:rsidR="00957E14" w:rsidRDefault="00957E14" w:rsidP="00837604">
      <w:pPr>
        <w:pStyle w:val="FootnoteText"/>
        <w:tabs>
          <w:tab w:val="clear" w:pos="426"/>
          <w:tab w:val="left" w:pos="0"/>
        </w:tabs>
      </w:pPr>
      <w:r>
        <w:t>Data provided by SEA Gas and Epic</w:t>
      </w:r>
      <w:r w:rsidRPr="00957E14">
        <w:t xml:space="preserve"> </w:t>
      </w:r>
    </w:p>
    <w:p w:rsidR="00957E14" w:rsidRDefault="00957E14" w:rsidP="00837604">
      <w:pPr>
        <w:pStyle w:val="FootnoteText"/>
        <w:tabs>
          <w:tab w:val="clear" w:pos="426"/>
          <w:tab w:val="left" w:pos="0"/>
        </w:tabs>
      </w:pPr>
    </w:p>
    <w:p w:rsidR="00DC7ED4" w:rsidRPr="00755896" w:rsidRDefault="00DC7ED4" w:rsidP="00C659EC">
      <w:pPr>
        <w:pStyle w:val="AERbodytext"/>
        <w:numPr>
          <w:ilvl w:val="0"/>
          <w:numId w:val="13"/>
        </w:numPr>
      </w:pPr>
      <w:r w:rsidRPr="00755896">
        <w:t>On 25 June, nominated flows</w:t>
      </w:r>
      <w:r w:rsidR="00DB4010" w:rsidRPr="00755896">
        <w:t xml:space="preserve"> </w:t>
      </w:r>
      <w:r w:rsidRPr="00755896">
        <w:t xml:space="preserve">on </w:t>
      </w:r>
      <w:r w:rsidR="00755896" w:rsidRPr="00755896">
        <w:t xml:space="preserve">the </w:t>
      </w:r>
      <w:r w:rsidRPr="00755896">
        <w:t>MAP t</w:t>
      </w:r>
      <w:r w:rsidR="00DB4010" w:rsidRPr="00755896">
        <w:t xml:space="preserve">o the Adelaide hub were only </w:t>
      </w:r>
      <w:r w:rsidR="00E13CF0">
        <w:t>6.07 TJ</w:t>
      </w:r>
      <w:r w:rsidRPr="00755896">
        <w:t xml:space="preserve">, yet MAP deliveries through the </w:t>
      </w:r>
      <w:r w:rsidR="00216353">
        <w:t>Elizabeth</w:t>
      </w:r>
      <w:r w:rsidR="00216353" w:rsidRPr="00755896">
        <w:t xml:space="preserve"> </w:t>
      </w:r>
      <w:r w:rsidRPr="00755896">
        <w:t xml:space="preserve">and </w:t>
      </w:r>
      <w:r w:rsidR="00216353">
        <w:t>Taperoo</w:t>
      </w:r>
      <w:r w:rsidRPr="00755896">
        <w:t xml:space="preserve"> delivery points </w:t>
      </w:r>
      <w:r w:rsidR="007D4FF5">
        <w:t xml:space="preserve">shown above were 16.4 TJ and </w:t>
      </w:r>
      <w:r w:rsidRPr="00755896">
        <w:t>7</w:t>
      </w:r>
      <w:r w:rsidR="007D4FF5">
        <w:t xml:space="preserve">.9 </w:t>
      </w:r>
      <w:r w:rsidRPr="00755896">
        <w:t>TJ</w:t>
      </w:r>
      <w:r w:rsidR="007D4FF5">
        <w:t xml:space="preserve"> respectively, </w:t>
      </w:r>
      <w:r w:rsidR="00755896">
        <w:t>exceed</w:t>
      </w:r>
      <w:r w:rsidR="007D4FF5">
        <w:t xml:space="preserve">ing </w:t>
      </w:r>
      <w:r w:rsidR="00755896">
        <w:t xml:space="preserve"> 24 TJ</w:t>
      </w:r>
      <w:r w:rsidR="007D4FF5">
        <w:t xml:space="preserve"> in total</w:t>
      </w:r>
      <w:r w:rsidR="00755896">
        <w:t>.</w:t>
      </w:r>
    </w:p>
    <w:p w:rsidR="00602A0B" w:rsidRDefault="00E05DE3" w:rsidP="00AD0A5C">
      <w:pPr>
        <w:pStyle w:val="AERbodytext"/>
        <w:numPr>
          <w:ilvl w:val="0"/>
          <w:numId w:val="13"/>
        </w:numPr>
      </w:pPr>
      <w:r>
        <w:t>We consider</w:t>
      </w:r>
      <w:r w:rsidR="00D62583">
        <w:t xml:space="preserve"> that </w:t>
      </w:r>
      <w:r w:rsidR="00602A0B">
        <w:t xml:space="preserve">at least </w:t>
      </w:r>
      <w:r w:rsidR="00D62583">
        <w:t xml:space="preserve">10 TJ of increase MOS on </w:t>
      </w:r>
      <w:r>
        <w:t xml:space="preserve">the </w:t>
      </w:r>
      <w:r w:rsidR="00D62583">
        <w:t>MAP</w:t>
      </w:r>
      <w:r>
        <w:t xml:space="preserve"> </w:t>
      </w:r>
      <w:r w:rsidR="00D62583">
        <w:t xml:space="preserve">was a consequence of demand in the Elizabeth </w:t>
      </w:r>
      <w:r w:rsidR="00755896">
        <w:t>zone</w:t>
      </w:r>
      <w:r w:rsidR="007D4FF5">
        <w:t xml:space="preserve"> (16.4 TJ)</w:t>
      </w:r>
      <w:r w:rsidR="00D62583">
        <w:t xml:space="preserve"> of the network being much higher than total nominated amounts of gas on</w:t>
      </w:r>
      <w:r w:rsidR="00755896">
        <w:t xml:space="preserve"> the </w:t>
      </w:r>
      <w:r w:rsidR="00D62583">
        <w:t>MAP to Adelaide</w:t>
      </w:r>
      <w:r w:rsidR="007D4FF5">
        <w:t xml:space="preserve"> (6.2 TJ)</w:t>
      </w:r>
      <w:r w:rsidR="00D62583">
        <w:t xml:space="preserve">. </w:t>
      </w:r>
      <w:r w:rsidR="00755896">
        <w:t xml:space="preserve">The </w:t>
      </w:r>
      <w:r w:rsidR="00EE7F17">
        <w:t>SEA Gas</w:t>
      </w:r>
      <w:r w:rsidR="00755896">
        <w:t xml:space="preserve"> pipeline</w:t>
      </w:r>
      <w:r w:rsidR="00D62583">
        <w:t xml:space="preserve"> could not supply this demand </w:t>
      </w:r>
      <w:r w:rsidR="009223EE">
        <w:t>due to</w:t>
      </w:r>
      <w:r w:rsidR="00755896">
        <w:t xml:space="preserve"> the</w:t>
      </w:r>
      <w:r w:rsidR="00D62583">
        <w:t xml:space="preserve"> </w:t>
      </w:r>
      <w:r w:rsidR="00755896">
        <w:t xml:space="preserve">isolation of the Elizabeth zone, </w:t>
      </w:r>
      <w:r w:rsidR="00D62583">
        <w:t>so</w:t>
      </w:r>
      <w:r w:rsidR="00755896">
        <w:t xml:space="preserve"> the</w:t>
      </w:r>
      <w:r w:rsidR="00D62583">
        <w:t xml:space="preserve"> MAP injected </w:t>
      </w:r>
      <w:r w:rsidR="00755896">
        <w:t xml:space="preserve">gas through </w:t>
      </w:r>
      <w:r w:rsidR="009223EE">
        <w:t>its</w:t>
      </w:r>
      <w:r w:rsidR="00755896">
        <w:t xml:space="preserve"> Elizabeth delivery point</w:t>
      </w:r>
      <w:r w:rsidR="00D62583">
        <w:t xml:space="preserve">. </w:t>
      </w:r>
    </w:p>
    <w:p w:rsidR="007D4FF5" w:rsidRDefault="00AD0A5C" w:rsidP="00E05DE3">
      <w:pPr>
        <w:pStyle w:val="AERbodytext"/>
        <w:numPr>
          <w:ilvl w:val="0"/>
          <w:numId w:val="13"/>
        </w:numPr>
      </w:pPr>
      <w:r w:rsidRPr="00AD0A5C">
        <w:t>Following discussions at the July AEMO STTM consultative forum, and subsequent discussions with AEMO</w:t>
      </w:r>
      <w:r>
        <w:t xml:space="preserve">, </w:t>
      </w:r>
      <w:r w:rsidR="00D50C51">
        <w:t>we consider</w:t>
      </w:r>
      <w:r>
        <w:t xml:space="preserve"> that a</w:t>
      </w:r>
      <w:r w:rsidR="00602A0B">
        <w:t>n</w:t>
      </w:r>
      <w:r w:rsidR="00D62583">
        <w:t xml:space="preserve"> amount of increase MOS </w:t>
      </w:r>
      <w:r>
        <w:t xml:space="preserve">provided by the MAP </w:t>
      </w:r>
      <w:r w:rsidR="00D62583">
        <w:t xml:space="preserve">on this day </w:t>
      </w:r>
      <w:r w:rsidR="00D50C51">
        <w:t xml:space="preserve">may have been </w:t>
      </w:r>
      <w:r w:rsidR="00D62583">
        <w:t>attributable</w:t>
      </w:r>
      <w:r w:rsidR="00D50C51">
        <w:t xml:space="preserve"> to</w:t>
      </w:r>
      <w:r w:rsidR="00D62583">
        <w:t xml:space="preserve"> </w:t>
      </w:r>
      <w:r w:rsidR="00E05DE3">
        <w:t>the</w:t>
      </w:r>
      <w:r w:rsidR="00E05DE3" w:rsidRPr="00E05DE3">
        <w:rPr>
          <w:rStyle w:val="AERbody"/>
        </w:rPr>
        <w:t xml:space="preserve"> </w:t>
      </w:r>
      <w:r w:rsidR="00E05DE3">
        <w:rPr>
          <w:rStyle w:val="AERbody"/>
        </w:rPr>
        <w:t>p</w:t>
      </w:r>
      <w:r w:rsidR="00E05DE3" w:rsidRPr="00F5746D">
        <w:t>ressure differences between the delivery points, and within the distribution network</w:t>
      </w:r>
      <w:r w:rsidR="00E05DE3">
        <w:t xml:space="preserve">, </w:t>
      </w:r>
      <w:r w:rsidR="00E05DE3" w:rsidRPr="00F5746D">
        <w:t>limiting the ability of the SEA Gas pipeline to supply parts of the distribution network (particularly towards the Taperoo part of the network).</w:t>
      </w:r>
      <w:r w:rsidR="00E05DE3">
        <w:t xml:space="preserve"> </w:t>
      </w:r>
      <w:r w:rsidR="007D4FF5">
        <w:rPr>
          <w:rStyle w:val="AERbody"/>
        </w:rPr>
        <w:t>At least 1.7 TJ (the amount Taperoo deliveries exceeded MAP nominations) but as much as 7.9 TJ of increase MOS</w:t>
      </w:r>
      <w:r w:rsidR="00430388">
        <w:rPr>
          <w:rStyle w:val="AERbody"/>
        </w:rPr>
        <w:t xml:space="preserve"> from the MAP</w:t>
      </w:r>
      <w:r w:rsidR="007D4FF5">
        <w:rPr>
          <w:rStyle w:val="AERbody"/>
        </w:rPr>
        <w:t xml:space="preserve"> on 25 June was associated with pressure differentials </w:t>
      </w:r>
      <w:r w:rsidR="00D50C51">
        <w:rPr>
          <w:rStyle w:val="AERbody"/>
        </w:rPr>
        <w:t>within the distribution</w:t>
      </w:r>
      <w:r w:rsidR="007D4FF5">
        <w:rPr>
          <w:rStyle w:val="AERbody"/>
        </w:rPr>
        <w:t xml:space="preserve"> network.</w:t>
      </w:r>
    </w:p>
    <w:p w:rsidR="007D4FF5" w:rsidRPr="007D4FF5" w:rsidRDefault="007D4FF5" w:rsidP="007D4FF5">
      <w:pPr>
        <w:pStyle w:val="AERbodytext"/>
        <w:numPr>
          <w:ilvl w:val="0"/>
          <w:numId w:val="13"/>
        </w:numPr>
      </w:pPr>
      <w:r w:rsidRPr="007D4FF5">
        <w:t xml:space="preserve">Envestra (the owner of the Adelaide distribution network) has indicated to the AER that it plans to finalise a review of its network by December 2013. This review will assist in understanding the physical design issues affecting the Adelaide hub. Envestra noted it will be modelling the consequences of opening the valve which currently prevents gas from the </w:t>
      </w:r>
      <w:r w:rsidR="00EE7F17">
        <w:t>SEA Gas</w:t>
      </w:r>
      <w:r w:rsidRPr="007D4FF5">
        <w:t xml:space="preserve"> pipeline going into the Elizabeth zone. </w:t>
      </w:r>
      <w:r>
        <w:t xml:space="preserve">We understand this valve has been closed for some years for operational reasons. </w:t>
      </w:r>
      <w:r w:rsidRPr="007D4FF5">
        <w:t>Engineering staff will</w:t>
      </w:r>
      <w:r w:rsidR="00642B58">
        <w:t xml:space="preserve"> also </w:t>
      </w:r>
      <w:r w:rsidRPr="007D4FF5">
        <w:t xml:space="preserve">be evaluating whether the </w:t>
      </w:r>
      <w:r w:rsidR="00EE7F17">
        <w:t>SEA Gas</w:t>
      </w:r>
      <w:r w:rsidRPr="007D4FF5">
        <w:t xml:space="preserve"> pipeline could provide the entire gas supply to the Adelaide hub if necessary. We consider </w:t>
      </w:r>
      <w:r w:rsidR="00430388">
        <w:t>it may be beneficial for Envestra</w:t>
      </w:r>
      <w:r w:rsidR="001E591F">
        <w:t xml:space="preserve"> as part of its review</w:t>
      </w:r>
      <w:r w:rsidR="00430388">
        <w:t xml:space="preserve"> to </w:t>
      </w:r>
      <w:r w:rsidR="00EF5BB7">
        <w:t xml:space="preserve">consider </w:t>
      </w:r>
      <w:r w:rsidR="002606F8">
        <w:t xml:space="preserve">what </w:t>
      </w:r>
      <w:r w:rsidR="00430388">
        <w:t xml:space="preserve">the </w:t>
      </w:r>
      <w:r w:rsidR="002606F8">
        <w:t xml:space="preserve">ideal </w:t>
      </w:r>
      <w:r w:rsidR="00430388">
        <w:t xml:space="preserve">delivery point </w:t>
      </w:r>
      <w:r w:rsidR="00E841C2">
        <w:t xml:space="preserve">pressures </w:t>
      </w:r>
      <w:r w:rsidR="002606F8">
        <w:t>are for allowing either pipeline to make full delivery to the network</w:t>
      </w:r>
      <w:r w:rsidR="00E841C2">
        <w:t>.</w:t>
      </w:r>
      <w:r w:rsidR="00430388">
        <w:t xml:space="preserve">  </w:t>
      </w:r>
    </w:p>
    <w:p w:rsidR="007A5812" w:rsidRPr="00100243" w:rsidRDefault="00C659EC" w:rsidP="007A5812">
      <w:pPr>
        <w:pStyle w:val="AERbodytext"/>
        <w:numPr>
          <w:ilvl w:val="0"/>
          <w:numId w:val="0"/>
        </w:numPr>
      </w:pPr>
      <w:r w:rsidRPr="00100243">
        <w:t>The total amount of MOS service payments generated for the gas day was $252</w:t>
      </w:r>
      <w:r w:rsidR="008E3B37">
        <w:t> </w:t>
      </w:r>
      <w:r w:rsidRPr="00100243">
        <w:t xml:space="preserve">727. </w:t>
      </w:r>
      <w:r w:rsidR="002E620D">
        <w:fldChar w:fldCharType="begin"/>
      </w:r>
      <w:r w:rsidR="002E620D">
        <w:instrText xml:space="preserve"> REF _Ref367191373 \h </w:instrText>
      </w:r>
      <w:r w:rsidR="002E620D">
        <w:fldChar w:fldCharType="separate"/>
      </w:r>
      <w:r w:rsidR="00EF6D74">
        <w:t xml:space="preserve">Figure </w:t>
      </w:r>
      <w:r w:rsidR="00EF6D74">
        <w:rPr>
          <w:noProof/>
        </w:rPr>
        <w:t>8</w:t>
      </w:r>
      <w:r w:rsidR="002E620D">
        <w:fldChar w:fldCharType="end"/>
      </w:r>
      <w:r w:rsidR="00A2518F">
        <w:t xml:space="preserve"> </w:t>
      </w:r>
      <w:r w:rsidRPr="00100243">
        <w:t>below sets out the quantities of MOS provided b</w:t>
      </w:r>
      <w:r>
        <w:t xml:space="preserve">y participants for both </w:t>
      </w:r>
      <w:r w:rsidR="00EE7F17">
        <w:t>SEA Gas</w:t>
      </w:r>
      <w:r w:rsidRPr="00100243">
        <w:t xml:space="preserve"> pipeline and </w:t>
      </w:r>
      <w:r>
        <w:t>MAP and the</w:t>
      </w:r>
      <w:r w:rsidRPr="00100243">
        <w:t xml:space="preserve"> respective MOS service payments received.</w:t>
      </w:r>
    </w:p>
    <w:p w:rsidR="00A2518F" w:rsidRPr="00A2518F" w:rsidRDefault="00A2518F" w:rsidP="00A2518F">
      <w:pPr>
        <w:pStyle w:val="Caption"/>
      </w:pPr>
      <w:bookmarkStart w:id="42" w:name="_Ref367191373"/>
      <w:r>
        <w:t xml:space="preserve">Figure </w:t>
      </w:r>
      <w:r w:rsidR="00EF6D74">
        <w:fldChar w:fldCharType="begin"/>
      </w:r>
      <w:r w:rsidR="00EF6D74">
        <w:instrText xml:space="preserve"> SEQ Figure \* ARABIC </w:instrText>
      </w:r>
      <w:r w:rsidR="00EF6D74">
        <w:fldChar w:fldCharType="separate"/>
      </w:r>
      <w:r w:rsidR="00EF6D74">
        <w:rPr>
          <w:noProof/>
        </w:rPr>
        <w:t>8</w:t>
      </w:r>
      <w:r w:rsidR="00EF6D74">
        <w:rPr>
          <w:noProof/>
        </w:rPr>
        <w:fldChar w:fldCharType="end"/>
      </w:r>
      <w:bookmarkEnd w:id="42"/>
      <w:r>
        <w:t xml:space="preserve"> – MOS providers and share of MOS service payments – 25 June 2013</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C659EC" w:rsidTr="004B51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vAlign w:val="top"/>
          </w:tcPr>
          <w:p w:rsidR="00C659EC" w:rsidRPr="00A2518F" w:rsidRDefault="00C659EC" w:rsidP="004B5111">
            <w:pPr>
              <w:pStyle w:val="AERbodytext"/>
              <w:jc w:val="left"/>
            </w:pPr>
            <w:r w:rsidRPr="00A2518F">
              <w:t>Provider</w:t>
            </w:r>
          </w:p>
        </w:tc>
        <w:tc>
          <w:tcPr>
            <w:tcW w:w="1540" w:type="dxa"/>
            <w:vAlign w:val="top"/>
          </w:tcPr>
          <w:p w:rsidR="00C659EC" w:rsidRPr="00A2518F" w:rsidRDefault="00C659EC" w:rsidP="004B5111">
            <w:pPr>
              <w:pStyle w:val="AERbodytext"/>
              <w:jc w:val="left"/>
              <w:cnfStyle w:val="100000000000" w:firstRow="1" w:lastRow="0" w:firstColumn="0" w:lastColumn="0" w:oddVBand="0" w:evenVBand="0" w:oddHBand="0" w:evenHBand="0" w:firstRowFirstColumn="0" w:firstRowLastColumn="0" w:lastRowFirstColumn="0" w:lastRowLastColumn="0"/>
            </w:pPr>
            <w:r w:rsidRPr="00A2518F">
              <w:t>MAP</w:t>
            </w:r>
            <w:r w:rsidR="004B5111">
              <w:br/>
              <w:t>q</w:t>
            </w:r>
            <w:r w:rsidRPr="00A2518F">
              <w:t>uantity</w:t>
            </w:r>
          </w:p>
        </w:tc>
        <w:tc>
          <w:tcPr>
            <w:tcW w:w="1540" w:type="dxa"/>
            <w:vAlign w:val="top"/>
          </w:tcPr>
          <w:p w:rsidR="00C659EC" w:rsidRPr="00A2518F" w:rsidRDefault="00C659EC" w:rsidP="004B5111">
            <w:pPr>
              <w:pStyle w:val="AERbodytext"/>
              <w:jc w:val="left"/>
              <w:cnfStyle w:val="100000000000" w:firstRow="1" w:lastRow="0" w:firstColumn="0" w:lastColumn="0" w:oddVBand="0" w:evenVBand="0" w:oddHBand="0" w:evenHBand="0" w:firstRowFirstColumn="0" w:firstRowLastColumn="0" w:lastRowFirstColumn="0" w:lastRowLastColumn="0"/>
            </w:pPr>
            <w:r w:rsidRPr="00A2518F">
              <w:t>Service payment</w:t>
            </w:r>
          </w:p>
        </w:tc>
        <w:tc>
          <w:tcPr>
            <w:tcW w:w="1540" w:type="dxa"/>
            <w:vAlign w:val="top"/>
          </w:tcPr>
          <w:p w:rsidR="00C659EC" w:rsidRPr="00A2518F" w:rsidRDefault="00EE7F17" w:rsidP="004B5111">
            <w:pPr>
              <w:pStyle w:val="AERbodytext"/>
              <w:jc w:val="left"/>
              <w:cnfStyle w:val="100000000000" w:firstRow="1" w:lastRow="0" w:firstColumn="0" w:lastColumn="0" w:oddVBand="0" w:evenVBand="0" w:oddHBand="0" w:evenHBand="0" w:firstRowFirstColumn="0" w:firstRowLastColumn="0" w:lastRowFirstColumn="0" w:lastRowLastColumn="0"/>
            </w:pPr>
            <w:r>
              <w:t>SEA Gas</w:t>
            </w:r>
            <w:r w:rsidR="004B5111">
              <w:br/>
              <w:t>q</w:t>
            </w:r>
            <w:r w:rsidR="00C659EC" w:rsidRPr="00A2518F">
              <w:t>uantity</w:t>
            </w:r>
          </w:p>
        </w:tc>
        <w:tc>
          <w:tcPr>
            <w:tcW w:w="1541" w:type="dxa"/>
            <w:vAlign w:val="top"/>
          </w:tcPr>
          <w:p w:rsidR="00C659EC" w:rsidRPr="00A2518F" w:rsidRDefault="00C659EC" w:rsidP="004B5111">
            <w:pPr>
              <w:pStyle w:val="AERbodytext"/>
              <w:jc w:val="left"/>
              <w:cnfStyle w:val="100000000000" w:firstRow="1" w:lastRow="0" w:firstColumn="0" w:lastColumn="0" w:oddVBand="0" w:evenVBand="0" w:oddHBand="0" w:evenHBand="0" w:firstRowFirstColumn="0" w:firstRowLastColumn="0" w:lastRowFirstColumn="0" w:lastRowLastColumn="0"/>
            </w:pPr>
            <w:r w:rsidRPr="00A2518F">
              <w:t>Service payment</w:t>
            </w:r>
          </w:p>
        </w:tc>
        <w:tc>
          <w:tcPr>
            <w:tcW w:w="1541" w:type="dxa"/>
            <w:vAlign w:val="top"/>
          </w:tcPr>
          <w:p w:rsidR="00C659EC" w:rsidRPr="00A2518F" w:rsidRDefault="00C659EC" w:rsidP="004B5111">
            <w:pPr>
              <w:pStyle w:val="AERbodytext"/>
              <w:jc w:val="left"/>
              <w:cnfStyle w:val="100000000000" w:firstRow="1" w:lastRow="0" w:firstColumn="0" w:lastColumn="0" w:oddVBand="0" w:evenVBand="0" w:oddHBand="0" w:evenHBand="0" w:firstRowFirstColumn="0" w:firstRowLastColumn="0" w:lastRowFirstColumn="0" w:lastRowLastColumn="0"/>
            </w:pPr>
            <w:r w:rsidRPr="00A2518F">
              <w:t>Service payment total</w:t>
            </w:r>
          </w:p>
        </w:tc>
      </w:tr>
      <w:tr w:rsidR="00C659EC" w:rsidTr="00C659EC">
        <w:tc>
          <w:tcPr>
            <w:cnfStyle w:val="001000000000" w:firstRow="0" w:lastRow="0" w:firstColumn="1" w:lastColumn="0" w:oddVBand="0" w:evenVBand="0" w:oddHBand="0" w:evenHBand="0" w:firstRowFirstColumn="0" w:firstRowLastColumn="0" w:lastRowFirstColumn="0" w:lastRowLastColumn="0"/>
            <w:tcW w:w="1540" w:type="dxa"/>
          </w:tcPr>
          <w:p w:rsidR="00C659EC" w:rsidRDefault="00C659EC" w:rsidP="00C659EC">
            <w:pPr>
              <w:pStyle w:val="AERbodytext"/>
            </w:pPr>
            <w:r>
              <w:t>Energy Australia</w:t>
            </w:r>
          </w:p>
        </w:tc>
        <w:tc>
          <w:tcPr>
            <w:tcW w:w="1540" w:type="dxa"/>
          </w:tcPr>
          <w:p w:rsidR="00C659EC" w:rsidRP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pPr>
            <w:r>
              <w:t>+2</w:t>
            </w:r>
            <w:r w:rsidR="00205A83">
              <w:t> </w:t>
            </w:r>
            <w:r w:rsidRPr="00C659EC">
              <w:t>400 GJ</w:t>
            </w:r>
          </w:p>
        </w:tc>
        <w:tc>
          <w:tcPr>
            <w:tcW w:w="1540" w:type="dxa"/>
          </w:tcPr>
          <w:p w:rsid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pPr>
            <w:r>
              <w:t>$16</w:t>
            </w:r>
            <w:r w:rsidR="00205A83">
              <w:t> </w:t>
            </w:r>
            <w:r>
              <w:t>640</w:t>
            </w:r>
          </w:p>
        </w:tc>
        <w:tc>
          <w:tcPr>
            <w:tcW w:w="1540" w:type="dxa"/>
          </w:tcPr>
          <w:p w:rsidR="00C659EC" w:rsidRP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pPr>
            <w:r>
              <w:t>-2</w:t>
            </w:r>
            <w:r w:rsidR="00205A83">
              <w:t> </w:t>
            </w:r>
            <w:r w:rsidRPr="00C659EC">
              <w:t>500 GJ</w:t>
            </w:r>
          </w:p>
        </w:tc>
        <w:tc>
          <w:tcPr>
            <w:tcW w:w="1541" w:type="dxa"/>
          </w:tcPr>
          <w:p w:rsidR="00C659EC" w:rsidRP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pPr>
            <w:r>
              <w:t>$13</w:t>
            </w:r>
            <w:r w:rsidR="00205A83">
              <w:t> </w:t>
            </w:r>
            <w:r>
              <w:t>000</w:t>
            </w:r>
          </w:p>
        </w:tc>
        <w:tc>
          <w:tcPr>
            <w:tcW w:w="1541" w:type="dxa"/>
          </w:tcPr>
          <w:p w:rsidR="00C659EC" w:rsidRP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rPr>
                <w:rStyle w:val="AERtextbold"/>
              </w:rPr>
            </w:pPr>
            <w:r w:rsidRPr="00B51776">
              <w:rPr>
                <w:rStyle w:val="AERtextbold"/>
              </w:rPr>
              <w:t>$29</w:t>
            </w:r>
            <w:r w:rsidR="00205A83">
              <w:rPr>
                <w:rStyle w:val="AERtextbold"/>
              </w:rPr>
              <w:t> </w:t>
            </w:r>
            <w:r w:rsidRPr="00B51776">
              <w:rPr>
                <w:rStyle w:val="AERtextbold"/>
              </w:rPr>
              <w:t>640</w:t>
            </w:r>
          </w:p>
        </w:tc>
      </w:tr>
      <w:tr w:rsidR="00C659EC" w:rsidTr="00C659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659EC" w:rsidRDefault="00C659EC" w:rsidP="00C659EC">
            <w:pPr>
              <w:pStyle w:val="AERbodytext"/>
            </w:pPr>
            <w:r>
              <w:t>Origin</w:t>
            </w:r>
          </w:p>
        </w:tc>
        <w:tc>
          <w:tcPr>
            <w:tcW w:w="1540" w:type="dxa"/>
          </w:tcPr>
          <w:p w:rsidR="00C659EC" w:rsidRPr="00C659EC" w:rsidRDefault="00C659EC" w:rsidP="00205A83">
            <w:pPr>
              <w:pStyle w:val="AERbodytext"/>
              <w:cnfStyle w:val="000000010000" w:firstRow="0" w:lastRow="0" w:firstColumn="0" w:lastColumn="0" w:oddVBand="0" w:evenVBand="0" w:oddHBand="0" w:evenHBand="1" w:firstRowFirstColumn="0" w:firstRowLastColumn="0" w:lastRowFirstColumn="0" w:lastRowLastColumn="0"/>
            </w:pPr>
            <w:r>
              <w:t>+9</w:t>
            </w:r>
            <w:r w:rsidR="00205A83">
              <w:t> </w:t>
            </w:r>
            <w:r w:rsidRPr="00C659EC">
              <w:t>534 GJ</w:t>
            </w:r>
          </w:p>
        </w:tc>
        <w:tc>
          <w:tcPr>
            <w:tcW w:w="1540" w:type="dxa"/>
          </w:tcPr>
          <w:p w:rsidR="00C659EC" w:rsidRDefault="00C659EC" w:rsidP="008A6B41">
            <w:pPr>
              <w:pStyle w:val="AERbodytext"/>
              <w:cnfStyle w:val="000000010000" w:firstRow="0" w:lastRow="0" w:firstColumn="0" w:lastColumn="0" w:oddVBand="0" w:evenVBand="0" w:oddHBand="0" w:evenHBand="1" w:firstRowFirstColumn="0" w:firstRowLastColumn="0" w:lastRowFirstColumn="0" w:lastRowLastColumn="0"/>
            </w:pPr>
            <w:r>
              <w:t>$61</w:t>
            </w:r>
            <w:r w:rsidR="00205A83">
              <w:t> </w:t>
            </w:r>
            <w:r w:rsidR="008A6B41">
              <w:t>309</w:t>
            </w:r>
          </w:p>
        </w:tc>
        <w:tc>
          <w:tcPr>
            <w:tcW w:w="1540" w:type="dxa"/>
          </w:tcPr>
          <w:p w:rsidR="00C659EC" w:rsidRPr="00C659EC" w:rsidRDefault="00C659EC" w:rsidP="00205A83">
            <w:pPr>
              <w:pStyle w:val="AERbodytext"/>
              <w:cnfStyle w:val="000000010000" w:firstRow="0" w:lastRow="0" w:firstColumn="0" w:lastColumn="0" w:oddVBand="0" w:evenVBand="0" w:oddHBand="0" w:evenHBand="1" w:firstRowFirstColumn="0" w:firstRowLastColumn="0" w:lastRowFirstColumn="0" w:lastRowLastColumn="0"/>
            </w:pPr>
            <w:r>
              <w:t>-5</w:t>
            </w:r>
            <w:r w:rsidR="00205A83">
              <w:t> </w:t>
            </w:r>
            <w:r w:rsidRPr="00C659EC">
              <w:t>000 GJ</w:t>
            </w:r>
          </w:p>
        </w:tc>
        <w:tc>
          <w:tcPr>
            <w:tcW w:w="1541" w:type="dxa"/>
          </w:tcPr>
          <w:p w:rsidR="00C659EC" w:rsidRPr="00C659EC" w:rsidRDefault="00C659EC" w:rsidP="00205A83">
            <w:pPr>
              <w:pStyle w:val="AERbodytext"/>
              <w:cnfStyle w:val="000000010000" w:firstRow="0" w:lastRow="0" w:firstColumn="0" w:lastColumn="0" w:oddVBand="0" w:evenVBand="0" w:oddHBand="0" w:evenHBand="1" w:firstRowFirstColumn="0" w:firstRowLastColumn="0" w:lastRowFirstColumn="0" w:lastRowLastColumn="0"/>
            </w:pPr>
            <w:r>
              <w:t>$51</w:t>
            </w:r>
            <w:r w:rsidR="00205A83">
              <w:t> </w:t>
            </w:r>
            <w:r>
              <w:t>339</w:t>
            </w:r>
          </w:p>
        </w:tc>
        <w:tc>
          <w:tcPr>
            <w:tcW w:w="1541" w:type="dxa"/>
          </w:tcPr>
          <w:p w:rsidR="00C659EC" w:rsidRPr="00C659EC" w:rsidRDefault="00C659EC" w:rsidP="00205A83">
            <w:pPr>
              <w:pStyle w:val="AERbodytext"/>
              <w:cnfStyle w:val="000000010000" w:firstRow="0" w:lastRow="0" w:firstColumn="0" w:lastColumn="0" w:oddVBand="0" w:evenVBand="0" w:oddHBand="0" w:evenHBand="1" w:firstRowFirstColumn="0" w:firstRowLastColumn="0" w:lastRowFirstColumn="0" w:lastRowLastColumn="0"/>
              <w:rPr>
                <w:rStyle w:val="AERtextbold"/>
              </w:rPr>
            </w:pPr>
            <w:r w:rsidRPr="00B51776">
              <w:rPr>
                <w:rStyle w:val="AERtextbold"/>
              </w:rPr>
              <w:t>$112</w:t>
            </w:r>
            <w:r w:rsidR="00205A83">
              <w:rPr>
                <w:rStyle w:val="AERtextbold"/>
              </w:rPr>
              <w:t> </w:t>
            </w:r>
            <w:r w:rsidRPr="00B51776">
              <w:rPr>
                <w:rStyle w:val="AERtextbold"/>
              </w:rPr>
              <w:t>647</w:t>
            </w:r>
          </w:p>
        </w:tc>
      </w:tr>
      <w:tr w:rsidR="00C659EC" w:rsidTr="00C659EC">
        <w:tc>
          <w:tcPr>
            <w:cnfStyle w:val="001000000000" w:firstRow="0" w:lastRow="0" w:firstColumn="1" w:lastColumn="0" w:oddVBand="0" w:evenVBand="0" w:oddHBand="0" w:evenHBand="0" w:firstRowFirstColumn="0" w:firstRowLastColumn="0" w:lastRowFirstColumn="0" w:lastRowLastColumn="0"/>
            <w:tcW w:w="1540" w:type="dxa"/>
          </w:tcPr>
          <w:p w:rsidR="00C659EC" w:rsidRDefault="00C659EC" w:rsidP="00C659EC">
            <w:pPr>
              <w:pStyle w:val="AERbodytext"/>
            </w:pPr>
            <w:r>
              <w:t>Adelaide Brighton Cement</w:t>
            </w:r>
          </w:p>
        </w:tc>
        <w:tc>
          <w:tcPr>
            <w:tcW w:w="1540" w:type="dxa"/>
          </w:tcPr>
          <w:p w:rsidR="00C659EC" w:rsidRP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pPr>
            <w:r>
              <w:t>+1</w:t>
            </w:r>
            <w:r w:rsidR="00205A83">
              <w:t> </w:t>
            </w:r>
            <w:r w:rsidRPr="00C659EC">
              <w:t>800 GJ</w:t>
            </w:r>
          </w:p>
        </w:tc>
        <w:tc>
          <w:tcPr>
            <w:tcW w:w="1540" w:type="dxa"/>
          </w:tcPr>
          <w:p w:rsid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pPr>
            <w:r>
              <w:t>$6</w:t>
            </w:r>
            <w:r w:rsidR="00205A83">
              <w:t> </w:t>
            </w:r>
            <w:r>
              <w:t>377</w:t>
            </w:r>
          </w:p>
        </w:tc>
        <w:tc>
          <w:tcPr>
            <w:tcW w:w="1540" w:type="dxa"/>
          </w:tcPr>
          <w:p w:rsidR="00C659EC" w:rsidRP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pPr>
            <w:r>
              <w:t>-1</w:t>
            </w:r>
            <w:r w:rsidR="00205A83">
              <w:t> </w:t>
            </w:r>
            <w:r w:rsidRPr="00C659EC">
              <w:t>000 GJ</w:t>
            </w:r>
          </w:p>
        </w:tc>
        <w:tc>
          <w:tcPr>
            <w:tcW w:w="1541" w:type="dxa"/>
          </w:tcPr>
          <w:p w:rsidR="00C659EC" w:rsidRP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pPr>
            <w:r>
              <w:t>$7</w:t>
            </w:r>
            <w:r w:rsidR="00205A83">
              <w:t> </w:t>
            </w:r>
            <w:r>
              <w:t>690</w:t>
            </w:r>
          </w:p>
        </w:tc>
        <w:tc>
          <w:tcPr>
            <w:tcW w:w="1541" w:type="dxa"/>
          </w:tcPr>
          <w:p w:rsidR="00C659EC" w:rsidRPr="00C659EC" w:rsidRDefault="00C659EC" w:rsidP="00205A83">
            <w:pPr>
              <w:pStyle w:val="AERbodytext"/>
              <w:cnfStyle w:val="000000000000" w:firstRow="0" w:lastRow="0" w:firstColumn="0" w:lastColumn="0" w:oddVBand="0" w:evenVBand="0" w:oddHBand="0" w:evenHBand="0" w:firstRowFirstColumn="0" w:firstRowLastColumn="0" w:lastRowFirstColumn="0" w:lastRowLastColumn="0"/>
              <w:rPr>
                <w:rStyle w:val="AERtextbold"/>
              </w:rPr>
            </w:pPr>
            <w:r w:rsidRPr="00B51776">
              <w:rPr>
                <w:rStyle w:val="AERtextbold"/>
              </w:rPr>
              <w:t>$14</w:t>
            </w:r>
            <w:r w:rsidR="00205A83">
              <w:rPr>
                <w:rStyle w:val="AERtextbold"/>
              </w:rPr>
              <w:t> </w:t>
            </w:r>
            <w:r w:rsidRPr="00B51776">
              <w:rPr>
                <w:rStyle w:val="AERtextbold"/>
              </w:rPr>
              <w:t>067</w:t>
            </w:r>
          </w:p>
        </w:tc>
      </w:tr>
      <w:tr w:rsidR="00C659EC" w:rsidTr="00C659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659EC" w:rsidRDefault="00C659EC" w:rsidP="00C659EC">
            <w:pPr>
              <w:pStyle w:val="AERbodytext"/>
            </w:pPr>
            <w:r>
              <w:t>AGL</w:t>
            </w:r>
          </w:p>
        </w:tc>
        <w:tc>
          <w:tcPr>
            <w:tcW w:w="1540" w:type="dxa"/>
          </w:tcPr>
          <w:p w:rsidR="00C659EC" w:rsidRPr="00C659EC" w:rsidRDefault="00C659EC" w:rsidP="00205A83">
            <w:pPr>
              <w:pStyle w:val="AERbodytext"/>
              <w:cnfStyle w:val="000000010000" w:firstRow="0" w:lastRow="0" w:firstColumn="0" w:lastColumn="0" w:oddVBand="0" w:evenVBand="0" w:oddHBand="0" w:evenHBand="1" w:firstRowFirstColumn="0" w:firstRowLastColumn="0" w:lastRowFirstColumn="0" w:lastRowLastColumn="0"/>
            </w:pPr>
            <w:r>
              <w:t>+6</w:t>
            </w:r>
            <w:r w:rsidR="00205A83">
              <w:t> </w:t>
            </w:r>
            <w:r w:rsidRPr="00C659EC">
              <w:t>000 GJ</w:t>
            </w:r>
          </w:p>
        </w:tc>
        <w:tc>
          <w:tcPr>
            <w:tcW w:w="1540" w:type="dxa"/>
          </w:tcPr>
          <w:p w:rsidR="00C659EC" w:rsidRPr="00C659EC" w:rsidRDefault="00C659EC" w:rsidP="00205A83">
            <w:pPr>
              <w:pStyle w:val="AERbodytext"/>
              <w:cnfStyle w:val="000000010000" w:firstRow="0" w:lastRow="0" w:firstColumn="0" w:lastColumn="0" w:oddVBand="0" w:evenVBand="0" w:oddHBand="0" w:evenHBand="1" w:firstRowFirstColumn="0" w:firstRowLastColumn="0" w:lastRowFirstColumn="0" w:lastRowLastColumn="0"/>
            </w:pPr>
            <w:r>
              <w:t>$</w:t>
            </w:r>
            <w:r w:rsidRPr="00C659EC">
              <w:t>32</w:t>
            </w:r>
            <w:r w:rsidR="00205A83">
              <w:t> </w:t>
            </w:r>
            <w:r w:rsidRPr="00C659EC">
              <w:t>188</w:t>
            </w:r>
          </w:p>
        </w:tc>
        <w:tc>
          <w:tcPr>
            <w:tcW w:w="1540" w:type="dxa"/>
          </w:tcPr>
          <w:p w:rsidR="00C659EC" w:rsidRPr="00C659EC" w:rsidRDefault="00C659EC" w:rsidP="00205A83">
            <w:pPr>
              <w:pStyle w:val="AERbodytext"/>
              <w:cnfStyle w:val="000000010000" w:firstRow="0" w:lastRow="0" w:firstColumn="0" w:lastColumn="0" w:oddVBand="0" w:evenVBand="0" w:oddHBand="0" w:evenHBand="1" w:firstRowFirstColumn="0" w:firstRowLastColumn="0" w:lastRowFirstColumn="0" w:lastRowLastColumn="0"/>
            </w:pPr>
            <w:r>
              <w:t>-12</w:t>
            </w:r>
            <w:r w:rsidR="00205A83">
              <w:t> </w:t>
            </w:r>
            <w:r w:rsidRPr="00C659EC">
              <w:t>549 GJ</w:t>
            </w:r>
          </w:p>
        </w:tc>
        <w:tc>
          <w:tcPr>
            <w:tcW w:w="1541" w:type="dxa"/>
          </w:tcPr>
          <w:p w:rsidR="00C659EC" w:rsidRPr="00C659EC" w:rsidRDefault="00C659EC" w:rsidP="00205A83">
            <w:pPr>
              <w:pStyle w:val="AERbodytext"/>
              <w:cnfStyle w:val="000000010000" w:firstRow="0" w:lastRow="0" w:firstColumn="0" w:lastColumn="0" w:oddVBand="0" w:evenVBand="0" w:oddHBand="0" w:evenHBand="1" w:firstRowFirstColumn="0" w:firstRowLastColumn="0" w:lastRowFirstColumn="0" w:lastRowLastColumn="0"/>
            </w:pPr>
            <w:r>
              <w:t>$64</w:t>
            </w:r>
            <w:r w:rsidR="00205A83">
              <w:t> </w:t>
            </w:r>
            <w:r>
              <w:t>185</w:t>
            </w:r>
          </w:p>
        </w:tc>
        <w:tc>
          <w:tcPr>
            <w:tcW w:w="1541" w:type="dxa"/>
          </w:tcPr>
          <w:p w:rsidR="00C659EC" w:rsidRPr="00C659EC" w:rsidRDefault="00C659EC" w:rsidP="00205A83">
            <w:pPr>
              <w:pStyle w:val="AERbodytext"/>
              <w:cnfStyle w:val="000000010000" w:firstRow="0" w:lastRow="0" w:firstColumn="0" w:lastColumn="0" w:oddVBand="0" w:evenVBand="0" w:oddHBand="0" w:evenHBand="1" w:firstRowFirstColumn="0" w:firstRowLastColumn="0" w:lastRowFirstColumn="0" w:lastRowLastColumn="0"/>
              <w:rPr>
                <w:rStyle w:val="AERtextbold"/>
              </w:rPr>
            </w:pPr>
            <w:r w:rsidRPr="00B51776">
              <w:rPr>
                <w:rStyle w:val="AERtextbold"/>
              </w:rPr>
              <w:t>$96</w:t>
            </w:r>
            <w:r w:rsidR="00205A83">
              <w:rPr>
                <w:rStyle w:val="AERtextbold"/>
              </w:rPr>
              <w:t> </w:t>
            </w:r>
            <w:r w:rsidRPr="00B51776">
              <w:rPr>
                <w:rStyle w:val="AERtextbold"/>
              </w:rPr>
              <w:t>373</w:t>
            </w:r>
          </w:p>
        </w:tc>
      </w:tr>
    </w:tbl>
    <w:p w:rsidR="00E57343" w:rsidRPr="00837604" w:rsidRDefault="00AD68E9" w:rsidP="00837604">
      <w:pPr>
        <w:pStyle w:val="FootnoteText"/>
        <w:tabs>
          <w:tab w:val="clear" w:pos="426"/>
          <w:tab w:val="left" w:pos="0"/>
        </w:tabs>
        <w:ind w:left="0" w:firstLine="0"/>
      </w:pPr>
      <w:r>
        <w:br/>
      </w:r>
      <w:r w:rsidR="00E57343" w:rsidRPr="00957E14">
        <w:t>Data: AEMO</w:t>
      </w:r>
      <w:r w:rsidR="00957E14">
        <w:t xml:space="preserve"> Market data (</w:t>
      </w:r>
      <w:hyperlink r:id="rId18" w:history="1">
        <w:r w:rsidR="00957E14" w:rsidRPr="00FD5FA7">
          <w:rPr>
            <w:rStyle w:val="Hyperlink"/>
          </w:rPr>
          <w:t>www.aemo.com.au</w:t>
        </w:r>
      </w:hyperlink>
      <w:r w:rsidR="00957E14">
        <w:t xml:space="preserve">), </w:t>
      </w:r>
      <w:r w:rsidR="00E57343" w:rsidRPr="00957E14">
        <w:t>INT reports 664, 665</w:t>
      </w:r>
    </w:p>
    <w:p w:rsidR="00E57343" w:rsidRDefault="00E57343" w:rsidP="00AD68E9">
      <w:pPr>
        <w:pStyle w:val="AERbodytext"/>
      </w:pPr>
    </w:p>
    <w:p w:rsidR="00AD0A5C" w:rsidRDefault="00072DAA" w:rsidP="00AD68E9">
      <w:pPr>
        <w:pStyle w:val="AERbodytext"/>
        <w:rPr>
          <w:rStyle w:val="AERbody"/>
        </w:rPr>
      </w:pPr>
      <w:r w:rsidRPr="00072DAA">
        <w:t xml:space="preserve">The magnitude of a MOS service payment </w:t>
      </w:r>
      <w:r w:rsidR="004D17A3">
        <w:t>is</w:t>
      </w:r>
      <w:r w:rsidRPr="00072DAA">
        <w:t xml:space="preserve"> determined by the MOS quantity required and the price of MOS offers.</w:t>
      </w:r>
      <w:r>
        <w:t xml:space="preserve"> </w:t>
      </w:r>
      <w:r w:rsidR="00DB1F71">
        <w:rPr>
          <w:rStyle w:val="AERbody"/>
        </w:rPr>
        <w:t>I</w:t>
      </w:r>
      <w:r w:rsidR="00851335">
        <w:rPr>
          <w:rStyle w:val="AERbody"/>
        </w:rPr>
        <w:t xml:space="preserve">f the same quantity of MOS </w:t>
      </w:r>
      <w:r w:rsidR="005D0DF3">
        <w:rPr>
          <w:rStyle w:val="AERbody"/>
        </w:rPr>
        <w:t xml:space="preserve">on 25 June 2013 </w:t>
      </w:r>
      <w:r w:rsidR="00851335">
        <w:rPr>
          <w:rStyle w:val="AERbody"/>
        </w:rPr>
        <w:t xml:space="preserve">was required using the prices of </w:t>
      </w:r>
      <w:r w:rsidR="00FC0331">
        <w:rPr>
          <w:rStyle w:val="AERbody"/>
        </w:rPr>
        <w:t xml:space="preserve">the </w:t>
      </w:r>
      <w:r w:rsidR="00851335">
        <w:rPr>
          <w:rStyle w:val="AERbody"/>
        </w:rPr>
        <w:t xml:space="preserve">MOS offers </w:t>
      </w:r>
      <w:r w:rsidR="00FC0331">
        <w:rPr>
          <w:rStyle w:val="AERbody"/>
        </w:rPr>
        <w:t xml:space="preserve">available </w:t>
      </w:r>
      <w:r w:rsidR="00851335">
        <w:rPr>
          <w:rStyle w:val="AERbody"/>
        </w:rPr>
        <w:t xml:space="preserve">for the same day in 2011, the total MOS service payment would have </w:t>
      </w:r>
      <w:r w:rsidR="005D0DF3">
        <w:rPr>
          <w:rStyle w:val="AERbody"/>
        </w:rPr>
        <w:t>been</w:t>
      </w:r>
      <w:r w:rsidR="00DB1F71">
        <w:rPr>
          <w:rStyle w:val="AERbody"/>
        </w:rPr>
        <w:t xml:space="preserve"> more than $675</w:t>
      </w:r>
      <w:r w:rsidR="0025211D">
        <w:rPr>
          <w:rStyle w:val="AERbody"/>
        </w:rPr>
        <w:t> </w:t>
      </w:r>
      <w:r w:rsidR="00DB1F71">
        <w:rPr>
          <w:rStyle w:val="AERbody"/>
        </w:rPr>
        <w:t xml:space="preserve">000. </w:t>
      </w:r>
      <w:r w:rsidR="00AD0A5C">
        <w:rPr>
          <w:rStyle w:val="AERbody"/>
        </w:rPr>
        <w:t>Th</w:t>
      </w:r>
      <w:r w:rsidR="006F2EA1">
        <w:rPr>
          <w:rStyle w:val="AERbody"/>
        </w:rPr>
        <w:t xml:space="preserve">is reflects that </w:t>
      </w:r>
      <w:r w:rsidR="00682FC9">
        <w:rPr>
          <w:rStyle w:val="AERbody"/>
        </w:rPr>
        <w:t>winter</w:t>
      </w:r>
      <w:r w:rsidR="006F2EA1">
        <w:rPr>
          <w:rStyle w:val="AERbody"/>
        </w:rPr>
        <w:t xml:space="preserve"> 2013 </w:t>
      </w:r>
      <w:r w:rsidR="004136AD">
        <w:rPr>
          <w:rStyle w:val="AERbody"/>
        </w:rPr>
        <w:t xml:space="preserve">average </w:t>
      </w:r>
      <w:r w:rsidR="00AD0A5C">
        <w:rPr>
          <w:rStyle w:val="AERbody"/>
        </w:rPr>
        <w:t>MOS offer</w:t>
      </w:r>
      <w:r w:rsidR="006F2EA1">
        <w:rPr>
          <w:rStyle w:val="AERbody"/>
        </w:rPr>
        <w:t xml:space="preserve"> prices (</w:t>
      </w:r>
      <w:r w:rsidR="004136AD">
        <w:rPr>
          <w:rStyle w:val="AERbody"/>
        </w:rPr>
        <w:t xml:space="preserve">from </w:t>
      </w:r>
      <w:r w:rsidR="006F2EA1">
        <w:rPr>
          <w:rStyle w:val="AERbody"/>
        </w:rPr>
        <w:t>4 MOS providers</w:t>
      </w:r>
      <w:r w:rsidR="004136AD">
        <w:rPr>
          <w:rStyle w:val="AERbody"/>
        </w:rPr>
        <w:t xml:space="preserve"> for each </w:t>
      </w:r>
      <w:r w:rsidR="00682FC9">
        <w:rPr>
          <w:rStyle w:val="AERbody"/>
        </w:rPr>
        <w:t>pipeline)</w:t>
      </w:r>
      <w:r w:rsidR="006F2EA1">
        <w:rPr>
          <w:rStyle w:val="AERbody"/>
        </w:rPr>
        <w:t xml:space="preserve"> were </w:t>
      </w:r>
      <w:r w:rsidR="00AD0A5C">
        <w:rPr>
          <w:rStyle w:val="AERbody"/>
        </w:rPr>
        <w:t>lower than the MOS offer</w:t>
      </w:r>
      <w:r w:rsidR="006F2EA1">
        <w:rPr>
          <w:rStyle w:val="AERbody"/>
        </w:rPr>
        <w:t xml:space="preserve"> prices made </w:t>
      </w:r>
      <w:r w:rsidR="00AD0A5C">
        <w:rPr>
          <w:rStyle w:val="AERbody"/>
        </w:rPr>
        <w:t>at market start</w:t>
      </w:r>
      <w:r w:rsidR="006F2EA1">
        <w:rPr>
          <w:rStyle w:val="AERbody"/>
        </w:rPr>
        <w:t xml:space="preserve"> (</w:t>
      </w:r>
      <w:r w:rsidR="004136AD">
        <w:rPr>
          <w:rStyle w:val="AERbody"/>
        </w:rPr>
        <w:t xml:space="preserve">when there were </w:t>
      </w:r>
      <w:r w:rsidR="006F2EA1">
        <w:rPr>
          <w:rStyle w:val="AERbody"/>
        </w:rPr>
        <w:t>2 MOS providers</w:t>
      </w:r>
      <w:r w:rsidR="004136AD">
        <w:rPr>
          <w:rStyle w:val="AERbody"/>
        </w:rPr>
        <w:t xml:space="preserve"> on each pipeline</w:t>
      </w:r>
      <w:r w:rsidR="006F2EA1">
        <w:rPr>
          <w:rStyle w:val="AERbody"/>
        </w:rPr>
        <w:t>)</w:t>
      </w:r>
      <w:r w:rsidR="00AD0A5C">
        <w:rPr>
          <w:rStyle w:val="AERbody"/>
        </w:rPr>
        <w:t>.</w:t>
      </w:r>
      <w:r w:rsidR="004136AD">
        <w:rPr>
          <w:rStyle w:val="AERbody"/>
        </w:rPr>
        <w:t xml:space="preserve"> The market appears to have reacted to higher levels of MOS, including some counteracting MOS in 2011/12 by purchasing more MOS contracts.</w:t>
      </w:r>
    </w:p>
    <w:p w:rsidR="00AF1143" w:rsidRPr="00AF1143" w:rsidRDefault="00AF1143" w:rsidP="001E4D56">
      <w:pPr>
        <w:pStyle w:val="AERbodytext"/>
        <w:numPr>
          <w:ilvl w:val="0"/>
          <w:numId w:val="0"/>
        </w:numPr>
      </w:pPr>
    </w:p>
    <w:p w:rsidR="00AF1143" w:rsidRDefault="0003711C" w:rsidP="0003711C">
      <w:pPr>
        <w:pStyle w:val="Heading7"/>
        <w:numPr>
          <w:ilvl w:val="0"/>
          <w:numId w:val="0"/>
        </w:numPr>
      </w:pPr>
      <w:r>
        <w:t>Attachment A</w:t>
      </w:r>
      <w:r w:rsidR="00324B28">
        <w:t xml:space="preserve"> - Commodity gas</w:t>
      </w:r>
      <w:r w:rsidR="00100243">
        <w:t xml:space="preserve"> and </w:t>
      </w:r>
      <w:r w:rsidR="00ED17CE">
        <w:t xml:space="preserve">MOS </w:t>
      </w:r>
      <w:r w:rsidR="00100243">
        <w:t>market</w:t>
      </w:r>
      <w:r w:rsidR="00324B28">
        <w:t>s</w:t>
      </w:r>
      <w:r w:rsidR="00100243">
        <w:t xml:space="preserve"> </w:t>
      </w:r>
    </w:p>
    <w:p w:rsidR="00771A37" w:rsidRDefault="00771A37" w:rsidP="00771A37">
      <w:pPr>
        <w:pStyle w:val="AERbodytext"/>
      </w:pPr>
      <w:r>
        <w:t xml:space="preserve">For the purposes of the report, this attachment provides a simple explanation of the interaction of the primary commodity gas market and the ancillary MOS market </w:t>
      </w:r>
      <w:r w:rsidR="00A3143E">
        <w:t>for balancing gas amounts.</w:t>
      </w:r>
      <w:r w:rsidR="005668A0">
        <w:t xml:space="preserve"> The example below does not include backhaul for simplicity purposes.</w:t>
      </w:r>
    </w:p>
    <w:p w:rsidR="00771A37" w:rsidRDefault="00965041" w:rsidP="00771A37">
      <w:pPr>
        <w:pStyle w:val="AERbodytext"/>
      </w:pPr>
      <w:r>
        <w:t>F</w:t>
      </w:r>
      <w:r w:rsidR="007B3F74">
        <w:t xml:space="preserve">or every gas day, AEMO schedules gas to be delivered to the network </w:t>
      </w:r>
      <w:r w:rsidR="00771A37">
        <w:t xml:space="preserve">to meet network forecast demand </w:t>
      </w:r>
      <w:r w:rsidR="007B3F74">
        <w:t>(</w:t>
      </w:r>
      <w:r w:rsidR="00771A37">
        <w:t xml:space="preserve">the network is </w:t>
      </w:r>
      <w:r w:rsidR="007B3F74">
        <w:t>shown as a circle in</w:t>
      </w:r>
      <w:r w:rsidR="008F1CBF">
        <w:t xml:space="preserve"> </w:t>
      </w:r>
      <w:r w:rsidR="005668A0">
        <w:t>the</w:t>
      </w:r>
      <w:r>
        <w:t xml:space="preserve"> </w:t>
      </w:r>
      <w:r w:rsidR="00771A37">
        <w:t>diagram below)</w:t>
      </w:r>
      <w:r w:rsidR="007B3F74">
        <w:t xml:space="preserve">. </w:t>
      </w:r>
      <w:r w:rsidR="005668A0">
        <w:t>T</w:t>
      </w:r>
      <w:r w:rsidR="007B3F74">
        <w:t xml:space="preserve">his means that if the forecast demand of STTM Users </w:t>
      </w:r>
      <w:r w:rsidR="00771A37">
        <w:t xml:space="preserve">was </w:t>
      </w:r>
      <w:r w:rsidR="00205A83">
        <w:t>90 </w:t>
      </w:r>
      <w:r w:rsidR="00771A37">
        <w:t xml:space="preserve">TJ, </w:t>
      </w:r>
      <w:r w:rsidR="007B3F74">
        <w:t xml:space="preserve">AEMO </w:t>
      </w:r>
      <w:r w:rsidR="00771A37">
        <w:t>would schedule</w:t>
      </w:r>
      <w:r w:rsidR="007B3F74">
        <w:t xml:space="preserve"> </w:t>
      </w:r>
      <w:r w:rsidR="00205A83">
        <w:t>90 </w:t>
      </w:r>
      <w:r w:rsidR="007B3F74">
        <w:t xml:space="preserve">TJ </w:t>
      </w:r>
      <w:r w:rsidR="00771A37">
        <w:t xml:space="preserve">of ex ante pipeline offers of </w:t>
      </w:r>
      <w:r w:rsidR="007B3F74">
        <w:t>STTM Shippers</w:t>
      </w:r>
      <w:r w:rsidR="00771A37">
        <w:t xml:space="preserve"> to deliver gas</w:t>
      </w:r>
      <w:r w:rsidR="007B3F74">
        <w:t xml:space="preserve">. </w:t>
      </w:r>
      <w:r w:rsidR="00771A37">
        <w:t xml:space="preserve">The market determines an ex ante price, for example $3/GJ, based </w:t>
      </w:r>
      <w:r w:rsidR="005668A0">
        <w:t xml:space="preserve">on </w:t>
      </w:r>
      <w:r w:rsidR="00B33688">
        <w:t>scheduling gas offers from lowest price to highest price until</w:t>
      </w:r>
      <w:r w:rsidR="008F1CBF">
        <w:t xml:space="preserve"> </w:t>
      </w:r>
      <w:r w:rsidR="00771A37">
        <w:t>demand</w:t>
      </w:r>
      <w:r w:rsidR="00B33688">
        <w:t xml:space="preserve"> is met</w:t>
      </w:r>
      <w:r w:rsidR="00771A37">
        <w:t>. Net seller</w:t>
      </w:r>
      <w:r w:rsidR="008F1CBF">
        <w:t>s</w:t>
      </w:r>
      <w:r w:rsidR="00B33688">
        <w:t xml:space="preserve"> receive</w:t>
      </w:r>
      <w:r w:rsidR="00771A37">
        <w:t xml:space="preserve"> this </w:t>
      </w:r>
      <w:r w:rsidR="008F1CBF">
        <w:t xml:space="preserve">ex ante </w:t>
      </w:r>
      <w:r w:rsidR="00B33688">
        <w:t>price;</w:t>
      </w:r>
      <w:r w:rsidR="008F1CBF">
        <w:t xml:space="preserve"> net buyers </w:t>
      </w:r>
      <w:r w:rsidR="00771A37">
        <w:t xml:space="preserve">pay this </w:t>
      </w:r>
      <w:r w:rsidR="008F1CBF">
        <w:t>ex ante price</w:t>
      </w:r>
      <w:r w:rsidR="00771A37">
        <w:t>.</w:t>
      </w:r>
    </w:p>
    <w:p w:rsidR="007B3F74" w:rsidRPr="00771A37" w:rsidRDefault="007B3F74" w:rsidP="00771A37">
      <w:pPr>
        <w:pStyle w:val="AERbodytext"/>
        <w:rPr>
          <w:rStyle w:val="AERtextbold"/>
          <w:b w:val="0"/>
        </w:rPr>
      </w:pPr>
      <w:r>
        <w:t xml:space="preserve">However, what </w:t>
      </w:r>
      <w:r w:rsidR="00771A37">
        <w:t xml:space="preserve">may </w:t>
      </w:r>
      <w:r>
        <w:t xml:space="preserve">happen is that actual demand in the hub is 95 TJ. This new </w:t>
      </w:r>
      <w:r w:rsidR="008F1CBF">
        <w:t xml:space="preserve">higher </w:t>
      </w:r>
      <w:r>
        <w:t xml:space="preserve">demand is used </w:t>
      </w:r>
      <w:r w:rsidR="00771A37">
        <w:t xml:space="preserve">in the setting of an </w:t>
      </w:r>
      <w:r>
        <w:t>ex post price</w:t>
      </w:r>
      <w:r w:rsidR="008F1CBF">
        <w:t xml:space="preserve"> which may be higher, for example</w:t>
      </w:r>
      <w:r w:rsidR="00771A37">
        <w:t xml:space="preserve"> $3.50/GJ. This price is relevant to </w:t>
      </w:r>
      <w:r w:rsidR="008F1CBF">
        <w:t xml:space="preserve">a </w:t>
      </w:r>
      <w:r w:rsidR="00771A37">
        <w:t xml:space="preserve">deviation </w:t>
      </w:r>
      <w:r w:rsidR="008F1CBF">
        <w:t>charge or payment</w:t>
      </w:r>
      <w:r w:rsidR="00771A37">
        <w:t xml:space="preserve">. </w:t>
      </w:r>
      <w:r w:rsidR="008F1CBF">
        <w:t>For example, a</w:t>
      </w:r>
      <w:r w:rsidR="00771A37">
        <w:t xml:space="preserve">ny participant which under-forecast its demand in the hub (its customers used more gas than forecast) pays this higher </w:t>
      </w:r>
      <w:r w:rsidR="008F1CBF">
        <w:t xml:space="preserve">ex post price as part of a deviation charge. These charges go </w:t>
      </w:r>
      <w:r w:rsidR="00771A37">
        <w:t xml:space="preserve">towards funding Market Operator Services </w:t>
      </w:r>
      <w:r w:rsidR="00771A37" w:rsidRPr="00771A37">
        <w:rPr>
          <w:rStyle w:val="AERtextbold"/>
        </w:rPr>
        <w:t>(MOS)</w:t>
      </w:r>
      <w:r w:rsidR="00771A37">
        <w:rPr>
          <w:rStyle w:val="AERtextbold"/>
        </w:rPr>
        <w:t>.</w:t>
      </w:r>
    </w:p>
    <w:p w:rsidR="00642B58" w:rsidRDefault="008F1CBF" w:rsidP="00642B58">
      <w:pPr>
        <w:pStyle w:val="AERbodytext"/>
        <w:numPr>
          <w:ilvl w:val="0"/>
          <w:numId w:val="13"/>
        </w:numPr>
      </w:pPr>
      <w:r w:rsidRPr="0036775C">
        <w:t xml:space="preserve">MOS, also known as ‘balancing gas’, is the difference between </w:t>
      </w:r>
      <w:r w:rsidR="005668A0">
        <w:t xml:space="preserve">final </w:t>
      </w:r>
      <w:r w:rsidRPr="0036775C">
        <w:t>nominations by participants</w:t>
      </w:r>
      <w:r w:rsidR="005668A0">
        <w:t xml:space="preserve"> on the pipeline (based on forecast demand</w:t>
      </w:r>
      <w:r w:rsidR="00642B58">
        <w:t>)</w:t>
      </w:r>
      <w:r w:rsidRPr="0036775C">
        <w:t xml:space="preserve"> and the actual quantities of gas flowed on a pipeline on the gas day.</w:t>
      </w:r>
      <w:r>
        <w:t xml:space="preserve"> </w:t>
      </w:r>
      <w:r w:rsidR="00771A37">
        <w:t xml:space="preserve">Increase MOS </w:t>
      </w:r>
      <w:r>
        <w:t xml:space="preserve">and decrease MOS are </w:t>
      </w:r>
      <w:r w:rsidR="00771A37">
        <w:t xml:space="preserve">supplied </w:t>
      </w:r>
      <w:r>
        <w:t xml:space="preserve">based on </w:t>
      </w:r>
      <w:r w:rsidR="00771A37">
        <w:t>a MOS offer stack which is entirely separate to the primary market</w:t>
      </w:r>
      <w:r w:rsidR="002042B9">
        <w:t xml:space="preserve"> </w:t>
      </w:r>
      <w:r w:rsidR="00771A37">
        <w:t>ex ante offer stack</w:t>
      </w:r>
      <w:r w:rsidR="002042B9">
        <w:t>.</w:t>
      </w:r>
      <w:r w:rsidR="00771A37">
        <w:t xml:space="preserve"> </w:t>
      </w:r>
      <w:r>
        <w:t xml:space="preserve">MOS </w:t>
      </w:r>
      <w:r w:rsidR="001C1510">
        <w:t>o</w:t>
      </w:r>
      <w:r w:rsidR="00771A37">
        <w:t>ffers must be based on contracts on pipelines</w:t>
      </w:r>
      <w:r>
        <w:t xml:space="preserve"> to supply increase MOS (loan</w:t>
      </w:r>
      <w:r w:rsidR="00771A37">
        <w:t xml:space="preserve"> gas from the pi</w:t>
      </w:r>
      <w:r>
        <w:t>peline) or decrease MOS (park</w:t>
      </w:r>
      <w:r w:rsidR="00771A37">
        <w:t xml:space="preserve"> gas on the pipeline).</w:t>
      </w:r>
      <w:r>
        <w:t xml:space="preserve"> In the example above, there will be 5 TJ of increase MOS. This increase MOS is the extra flow of gas which entered the hub to ensure the network received </w:t>
      </w:r>
      <w:r w:rsidR="001069D9">
        <w:t xml:space="preserve">a quantity of gas that meets </w:t>
      </w:r>
      <w:r>
        <w:t xml:space="preserve">actual demand (95 TJ) rather than forecast demand (90 TJ). </w:t>
      </w:r>
    </w:p>
    <w:p w:rsidR="008F1CBF" w:rsidRDefault="008F1CBF" w:rsidP="00642B58">
      <w:pPr>
        <w:pStyle w:val="AERbodytext"/>
        <w:numPr>
          <w:ilvl w:val="0"/>
          <w:numId w:val="13"/>
        </w:numPr>
      </w:pPr>
      <w:r>
        <w:t xml:space="preserve">In the Adelaide hub, sometimes increase MOS is provided by the Moomba to Adelaide pipeline at the same time as similar quantities of decrease MOS is provided by the </w:t>
      </w:r>
      <w:r w:rsidR="00EE7F17">
        <w:t>SEA Gas</w:t>
      </w:r>
      <w:r>
        <w:t xml:space="preserve"> pipeline. This is commonly referred to as 'counteracting MOS'. Counteracting MOS has happened regularly in the Adelaide hub in </w:t>
      </w:r>
      <w:r w:rsidR="001C1510">
        <w:t>w</w:t>
      </w:r>
      <w:r>
        <w:t>inter 2013,</w:t>
      </w:r>
      <w:r w:rsidR="00340127">
        <w:t xml:space="preserve"> and also occurred on 25 June. </w:t>
      </w:r>
      <w:r>
        <w:t xml:space="preserve">On most days of counteracting MOS there are little differences between forecasts demand in the network and actual demand. Yet, as shown in the diagram below, </w:t>
      </w:r>
      <w:r w:rsidR="001C1510">
        <w:t xml:space="preserve">there is an </w:t>
      </w:r>
      <w:r>
        <w:t xml:space="preserve">increase MOS flow on one pipeline at the same time as decrease MOS </w:t>
      </w:r>
      <w:r w:rsidR="00547F06">
        <w:t xml:space="preserve">flows </w:t>
      </w:r>
      <w:r>
        <w:t>on the other pipeline.</w:t>
      </w:r>
      <w:r w:rsidR="005668A0">
        <w:t xml:space="preserve"> Large MOS in the absence of a demand forecast error is a</w:t>
      </w:r>
      <w:r w:rsidR="006F2EA1">
        <w:t>n Adelaide outcome which adds to the level of MOS and which wasn't contemplated in the market design (at least in terms of allocating costs to cause).</w:t>
      </w:r>
    </w:p>
    <w:p w:rsidR="003E5430" w:rsidRDefault="003E5430" w:rsidP="003E5430">
      <w:pPr>
        <w:pStyle w:val="Caption"/>
      </w:pPr>
      <w:r>
        <w:t xml:space="preserve">Figure </w:t>
      </w:r>
      <w:r w:rsidR="00EF6D74">
        <w:fldChar w:fldCharType="begin"/>
      </w:r>
      <w:r w:rsidR="00EF6D74">
        <w:instrText xml:space="preserve"> SEQ Figure \* ARABIC </w:instrText>
      </w:r>
      <w:r w:rsidR="00EF6D74">
        <w:fldChar w:fldCharType="separate"/>
      </w:r>
      <w:r w:rsidR="00EF6D74">
        <w:rPr>
          <w:noProof/>
        </w:rPr>
        <w:t>9</w:t>
      </w:r>
      <w:r w:rsidR="00EF6D74">
        <w:rPr>
          <w:noProof/>
        </w:rPr>
        <w:fldChar w:fldCharType="end"/>
      </w:r>
      <w:r>
        <w:t xml:space="preserve"> – Counteracting MOS in the Adelaide hub</w:t>
      </w:r>
    </w:p>
    <w:p w:rsidR="000B5976" w:rsidRDefault="00205A83" w:rsidP="0003711C">
      <w:pPr>
        <w:pStyle w:val="AERbodytext"/>
        <w:numPr>
          <w:ilvl w:val="0"/>
          <w:numId w:val="13"/>
        </w:numPr>
      </w:pPr>
      <w:r>
        <w:rPr>
          <w:noProof/>
          <w:lang w:eastAsia="en-AU"/>
        </w:rPr>
        <w:drawing>
          <wp:inline distT="0" distB="0" distL="0" distR="0" wp14:anchorId="54A244D3" wp14:editId="70374298">
            <wp:extent cx="5724606" cy="20673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2070750"/>
                    </a:xfrm>
                    <a:prstGeom prst="rect">
                      <a:avLst/>
                    </a:prstGeom>
                    <a:noFill/>
                    <a:ln>
                      <a:noFill/>
                    </a:ln>
                  </pic:spPr>
                </pic:pic>
              </a:graphicData>
            </a:graphic>
          </wp:inline>
        </w:drawing>
      </w:r>
    </w:p>
    <w:p w:rsidR="00ED17CE" w:rsidRDefault="00340127" w:rsidP="0003711C">
      <w:pPr>
        <w:pStyle w:val="Heading7"/>
        <w:numPr>
          <w:ilvl w:val="0"/>
          <w:numId w:val="0"/>
        </w:numPr>
      </w:pPr>
      <w:r>
        <w:t>A</w:t>
      </w:r>
      <w:r w:rsidR="0003711C">
        <w:t>ttachment B</w:t>
      </w:r>
      <w:r>
        <w:t xml:space="preserve"> -</w:t>
      </w:r>
      <w:r w:rsidR="008B04B9">
        <w:t xml:space="preserve"> </w:t>
      </w:r>
      <w:r w:rsidR="0003711C">
        <w:t xml:space="preserve">Participation on MAP and </w:t>
      </w:r>
      <w:r w:rsidR="00EE7F17">
        <w:t>SEA Gas</w:t>
      </w:r>
    </w:p>
    <w:p w:rsidR="008B04B9" w:rsidRDefault="008B04B9">
      <w:pPr>
        <w:pStyle w:val="AERbodytext"/>
      </w:pPr>
      <w:r>
        <w:t>This report has noted low net flows from the MAP into the Adelaide distribution network contributes to counteracting MOS. We have observed that participants nominat</w:t>
      </w:r>
      <w:r w:rsidR="00642B58">
        <w:t xml:space="preserve">ed </w:t>
      </w:r>
      <w:r>
        <w:t>less gas into the Adelaide distribution network from the MAP relative to previous years</w:t>
      </w:r>
      <w:r w:rsidR="00642B58">
        <w:t xml:space="preserve"> (particularly from late June to early August)</w:t>
      </w:r>
      <w:r>
        <w:t xml:space="preserve">. This section </w:t>
      </w:r>
      <w:r w:rsidR="002042B9">
        <w:t>sets</w:t>
      </w:r>
      <w:r>
        <w:t xml:space="preserve"> out the scheduled flows for each participant over the winter periods of 2011, 2012, and 2013.</w:t>
      </w:r>
    </w:p>
    <w:p w:rsidR="001823C4" w:rsidRDefault="001823C4" w:rsidP="001823C4">
      <w:pPr>
        <w:pStyle w:val="AERbodytext"/>
        <w:numPr>
          <w:ilvl w:val="0"/>
          <w:numId w:val="13"/>
        </w:numPr>
      </w:pPr>
      <w:r>
        <w:t xml:space="preserve">The below figures illustrate the gas flows in the Adelaide STTM from June 2011–August 2013 on an individual participant basis. Flows marked "T" (meaning 'to the hub') reflect gas flows from the respective pipeline </w:t>
      </w:r>
      <w:r w:rsidRPr="0076277E">
        <w:rPr>
          <w:rStyle w:val="AERbody"/>
        </w:rPr>
        <w:t>to</w:t>
      </w:r>
      <w:r>
        <w:t xml:space="preserve"> the Adelaide distribution network. These quantities include forward haul (physical deliveries from the pipeline into the distribution network) and backhaul (notional gas flows away from the distribution network). Flows marked "F" (meaning 'from the hub') reflect backhaul only. </w:t>
      </w:r>
    </w:p>
    <w:p w:rsidR="008B04B9" w:rsidRDefault="008B04B9" w:rsidP="003F5741">
      <w:pPr>
        <w:pStyle w:val="HeadingBoldBlue"/>
      </w:pPr>
      <w:r>
        <w:t>Origin Energy</w:t>
      </w:r>
    </w:p>
    <w:p w:rsidR="008B04B9" w:rsidRDefault="0011673A" w:rsidP="003F5741">
      <w:pPr>
        <w:pStyle w:val="AERbodytext"/>
        <w:numPr>
          <w:ilvl w:val="0"/>
          <w:numId w:val="0"/>
        </w:numPr>
      </w:pPr>
      <w:r w:rsidRPr="0011673A">
        <w:rPr>
          <w:noProof/>
          <w:lang w:eastAsia="en-AU"/>
        </w:rPr>
        <w:drawing>
          <wp:inline distT="0" distB="0" distL="0" distR="0" wp14:anchorId="253C91C9" wp14:editId="1FB19F1E">
            <wp:extent cx="5731510" cy="19509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950928"/>
                    </a:xfrm>
                    <a:prstGeom prst="rect">
                      <a:avLst/>
                    </a:prstGeom>
                    <a:noFill/>
                    <a:ln>
                      <a:noFill/>
                    </a:ln>
                  </pic:spPr>
                </pic:pic>
              </a:graphicData>
            </a:graphic>
          </wp:inline>
        </w:drawing>
      </w:r>
    </w:p>
    <w:p w:rsidR="008B04B9" w:rsidRDefault="008B04B9" w:rsidP="003F5741">
      <w:pPr>
        <w:pStyle w:val="HeadingBoldBlue"/>
      </w:pPr>
      <w:r>
        <w:t>AGL</w:t>
      </w:r>
    </w:p>
    <w:p w:rsidR="00957E14" w:rsidRDefault="0011673A" w:rsidP="00957E14">
      <w:pPr>
        <w:pStyle w:val="FootnoteText"/>
      </w:pPr>
      <w:r w:rsidRPr="0011673A">
        <w:rPr>
          <w:noProof/>
          <w:lang w:eastAsia="en-AU"/>
        </w:rPr>
        <w:drawing>
          <wp:inline distT="0" distB="0" distL="0" distR="0" wp14:anchorId="7C32063B" wp14:editId="2625F873">
            <wp:extent cx="5731510" cy="19509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950928"/>
                    </a:xfrm>
                    <a:prstGeom prst="rect">
                      <a:avLst/>
                    </a:prstGeom>
                    <a:noFill/>
                    <a:ln>
                      <a:noFill/>
                    </a:ln>
                  </pic:spPr>
                </pic:pic>
              </a:graphicData>
            </a:graphic>
          </wp:inline>
        </w:drawing>
      </w:r>
      <w:r w:rsidR="00957E14" w:rsidRPr="00957E14">
        <w:t xml:space="preserve"> </w:t>
      </w:r>
    </w:p>
    <w:p w:rsidR="008B04B9" w:rsidRDefault="008B04B9" w:rsidP="003F5741">
      <w:pPr>
        <w:pStyle w:val="AERbodytext"/>
        <w:numPr>
          <w:ilvl w:val="0"/>
          <w:numId w:val="0"/>
        </w:numPr>
      </w:pPr>
    </w:p>
    <w:p w:rsidR="008B04B9" w:rsidRDefault="008B04B9" w:rsidP="003F5741">
      <w:pPr>
        <w:pStyle w:val="HeadingBoldBlue"/>
      </w:pPr>
      <w:r>
        <w:t>Simply Energy</w:t>
      </w:r>
    </w:p>
    <w:p w:rsidR="008B04B9" w:rsidRDefault="0011673A" w:rsidP="003F5741">
      <w:pPr>
        <w:pStyle w:val="AERbodytext"/>
        <w:numPr>
          <w:ilvl w:val="0"/>
          <w:numId w:val="0"/>
        </w:numPr>
      </w:pPr>
      <w:r w:rsidRPr="0011673A">
        <w:rPr>
          <w:noProof/>
          <w:lang w:eastAsia="en-AU"/>
        </w:rPr>
        <w:drawing>
          <wp:inline distT="0" distB="0" distL="0" distR="0" wp14:anchorId="2300AF3E" wp14:editId="6C4FAAFF">
            <wp:extent cx="5731510" cy="19509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950928"/>
                    </a:xfrm>
                    <a:prstGeom prst="rect">
                      <a:avLst/>
                    </a:prstGeom>
                    <a:noFill/>
                    <a:ln>
                      <a:noFill/>
                    </a:ln>
                  </pic:spPr>
                </pic:pic>
              </a:graphicData>
            </a:graphic>
          </wp:inline>
        </w:drawing>
      </w:r>
    </w:p>
    <w:p w:rsidR="008B04B9" w:rsidRDefault="008B04B9" w:rsidP="003F5741">
      <w:pPr>
        <w:pStyle w:val="HeadingBoldBlue"/>
      </w:pPr>
      <w:r>
        <w:t>Energy Australia</w:t>
      </w:r>
    </w:p>
    <w:p w:rsidR="008B04B9" w:rsidRDefault="0011673A" w:rsidP="003F5741">
      <w:pPr>
        <w:pStyle w:val="AERbodytext"/>
        <w:numPr>
          <w:ilvl w:val="0"/>
          <w:numId w:val="0"/>
        </w:numPr>
      </w:pPr>
      <w:r w:rsidRPr="0011673A">
        <w:rPr>
          <w:noProof/>
          <w:lang w:eastAsia="en-AU"/>
        </w:rPr>
        <w:drawing>
          <wp:inline distT="0" distB="0" distL="0" distR="0" wp14:anchorId="475FF1CC" wp14:editId="46CBEE02">
            <wp:extent cx="5731510" cy="19545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954518"/>
                    </a:xfrm>
                    <a:prstGeom prst="rect">
                      <a:avLst/>
                    </a:prstGeom>
                    <a:noFill/>
                    <a:ln>
                      <a:noFill/>
                    </a:ln>
                  </pic:spPr>
                </pic:pic>
              </a:graphicData>
            </a:graphic>
          </wp:inline>
        </w:drawing>
      </w:r>
    </w:p>
    <w:p w:rsidR="008B04B9" w:rsidRDefault="008B04B9" w:rsidP="003F5741">
      <w:pPr>
        <w:pStyle w:val="HeadingBoldBlue"/>
      </w:pPr>
      <w:r>
        <w:t>Adelaide Brighton Cement</w:t>
      </w:r>
    </w:p>
    <w:p w:rsidR="008B04B9" w:rsidRDefault="0011673A" w:rsidP="003F5741">
      <w:pPr>
        <w:pStyle w:val="AERbodytext"/>
        <w:numPr>
          <w:ilvl w:val="0"/>
          <w:numId w:val="0"/>
        </w:numPr>
      </w:pPr>
      <w:r w:rsidRPr="0011673A">
        <w:rPr>
          <w:noProof/>
          <w:lang w:eastAsia="en-AU"/>
        </w:rPr>
        <w:drawing>
          <wp:inline distT="0" distB="0" distL="0" distR="0" wp14:anchorId="1876A6D5" wp14:editId="1AEB06A2">
            <wp:extent cx="5731510" cy="195451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954518"/>
                    </a:xfrm>
                    <a:prstGeom prst="rect">
                      <a:avLst/>
                    </a:prstGeom>
                    <a:noFill/>
                    <a:ln>
                      <a:noFill/>
                    </a:ln>
                  </pic:spPr>
                </pic:pic>
              </a:graphicData>
            </a:graphic>
          </wp:inline>
        </w:drawing>
      </w:r>
    </w:p>
    <w:p w:rsidR="00957E14" w:rsidRDefault="00957E14" w:rsidP="00957E14">
      <w:pPr>
        <w:pStyle w:val="FootnoteText"/>
      </w:pPr>
      <w:r>
        <w:t xml:space="preserve">Data: AEMO Market data (www.aemo.com.au): INT 651, 659 </w:t>
      </w:r>
    </w:p>
    <w:p w:rsidR="00E00029" w:rsidRDefault="00E00029">
      <w:pPr>
        <w:spacing w:after="0" w:line="240" w:lineRule="auto"/>
        <w:jc w:val="left"/>
        <w:rPr>
          <w:rFonts w:eastAsia="Times New Roman"/>
          <w:b/>
          <w:color w:val="21798E" w:themeColor="accent1" w:themeShade="BF"/>
          <w:sz w:val="22"/>
          <w:szCs w:val="24"/>
        </w:rPr>
      </w:pPr>
    </w:p>
    <w:sectPr w:rsidR="00E00029" w:rsidSect="00C010AF">
      <w:footerReference w:type="even" r:id="rId25"/>
      <w:footerReference w:type="default" r:id="rId26"/>
      <w:pgSz w:w="11906" w:h="16838"/>
      <w:pgMar w:top="1418"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51" w:rsidRPr="00AB4345" w:rsidRDefault="00FB7E51" w:rsidP="00AB4345">
      <w:r>
        <w:separator/>
      </w:r>
    </w:p>
  </w:endnote>
  <w:endnote w:type="continuationSeparator" w:id="0">
    <w:p w:rsidR="00FB7E51" w:rsidRPr="00AB4345" w:rsidRDefault="00FB7E5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541541"/>
      <w:docPartObj>
        <w:docPartGallery w:val="Page Numbers (Bottom of Page)"/>
        <w:docPartUnique/>
      </w:docPartObj>
    </w:sdtPr>
    <w:sdtEndPr/>
    <w:sdtContent>
      <w:p w:rsidR="00FB7E51" w:rsidRPr="00824CC8" w:rsidRDefault="00FB7E51" w:rsidP="00824CC8">
        <w:pPr>
          <w:pStyle w:val="Footer"/>
        </w:pPr>
        <w:r w:rsidRPr="00824CC8">
          <w:fldChar w:fldCharType="begin"/>
        </w:r>
        <w:r w:rsidRPr="00824CC8">
          <w:instrText xml:space="preserve"> PAGE   \* MERGEFORMAT </w:instrText>
        </w:r>
        <w:r w:rsidRPr="00824CC8">
          <w:fldChar w:fldCharType="separate"/>
        </w:r>
        <w:r w:rsidR="00EF6D74">
          <w:rPr>
            <w:noProof/>
          </w:rPr>
          <w:t>4</w:t>
        </w:r>
        <w:r w:rsidRPr="00824CC8">
          <w:fldChar w:fldCharType="end"/>
        </w:r>
        <w:r w:rsidRPr="00824CC8">
          <w:tab/>
        </w:r>
        <w:r>
          <w:rPr>
            <w:rStyle w:val="AERbody"/>
          </w:rPr>
          <w:t>SPV report - MOS service payments - 25 June 2013, Adelaide STTM</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51" w:rsidRPr="00824CC8" w:rsidRDefault="00FB7E51" w:rsidP="00824CC8">
    <w:pPr>
      <w:pStyle w:val="Footer"/>
      <w:rPr>
        <w:rStyle w:val="AERbody"/>
      </w:rPr>
    </w:pPr>
    <w:r>
      <w:rPr>
        <w:rStyle w:val="AERbody"/>
      </w:rPr>
      <w:t>SPV report - MOS service payments - 25 June 2013, Adelaide STTM</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EF6D74">
      <w:rPr>
        <w:rStyle w:val="AERbody"/>
        <w:noProof/>
      </w:rPr>
      <w:t>13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51" w:rsidRPr="00AB4345" w:rsidRDefault="00FB7E51" w:rsidP="00AB4345">
      <w:r>
        <w:separator/>
      </w:r>
    </w:p>
  </w:footnote>
  <w:footnote w:type="continuationSeparator" w:id="0">
    <w:p w:rsidR="00FB7E51" w:rsidRPr="00AB4345" w:rsidRDefault="00FB7E51" w:rsidP="00AB4345">
      <w:r>
        <w:continuationSeparator/>
      </w:r>
    </w:p>
  </w:footnote>
  <w:footnote w:id="1">
    <w:p w:rsidR="00FB7E51" w:rsidRDefault="00FB7E51">
      <w:pPr>
        <w:pStyle w:val="FootnoteText"/>
      </w:pPr>
      <w:r>
        <w:rPr>
          <w:rStyle w:val="FootnoteReference"/>
        </w:rPr>
        <w:footnoteRef/>
      </w:r>
      <w:r>
        <w:t xml:space="preserve"> </w:t>
      </w:r>
      <w:r>
        <w:tab/>
      </w:r>
      <w:r w:rsidRPr="00056574">
        <w:t xml:space="preserve">Under </w:t>
      </w:r>
      <w:r>
        <w:t>Rule 490(1</w:t>
      </w:r>
      <w:proofErr w:type="gramStart"/>
      <w:r>
        <w:t>)(</w:t>
      </w:r>
      <w:proofErr w:type="gramEnd"/>
      <w:r>
        <w:t>a)</w:t>
      </w:r>
      <w:r w:rsidRPr="00056574">
        <w:t xml:space="preserve">, the AER is to monitor that trading participants </w:t>
      </w:r>
      <w:r>
        <w:t xml:space="preserve">activity </w:t>
      </w:r>
      <w:r w:rsidRPr="00056574">
        <w:t>meet ob</w:t>
      </w:r>
      <w:r>
        <w:t>ligations under Part 20 of the Gas Rules.</w:t>
      </w:r>
    </w:p>
  </w:footnote>
  <w:footnote w:id="2">
    <w:p w:rsidR="00FB7E51" w:rsidRDefault="00FB7E51" w:rsidP="00B0066B">
      <w:pPr>
        <w:pStyle w:val="FootnoteText"/>
      </w:pPr>
      <w:r>
        <w:rPr>
          <w:rStyle w:val="FootnoteReference"/>
        </w:rPr>
        <w:footnoteRef/>
      </w:r>
      <w:r>
        <w:t xml:space="preserve"> </w:t>
      </w:r>
      <w:r>
        <w:tab/>
        <w:t>At the same time, a hub in Sydney also commenced. A hub in Brisbane joined the STTM on 1 December 2011.</w:t>
      </w:r>
    </w:p>
  </w:footnote>
  <w:footnote w:id="3">
    <w:p w:rsidR="00FB7E51" w:rsidRDefault="00FB7E51" w:rsidP="005814F0">
      <w:pPr>
        <w:pStyle w:val="FootnoteText"/>
      </w:pPr>
      <w:r>
        <w:rPr>
          <w:rStyle w:val="FootnoteReference"/>
        </w:rPr>
        <w:footnoteRef/>
      </w:r>
      <w:r>
        <w:t xml:space="preserve"> </w:t>
      </w:r>
      <w:r>
        <w:tab/>
        <w:t>Offers scheduled for each Shipper generally represent for each STTM Shipper/User around 90 per cent to 110 per cent of demand. That is, participants endeavour to take limited net positions as net sellers or net buyers through their demand forecast as STTM Users and gas offers as STTM Shippers. For example STTM Shipper A might submit a demand forecast of 20 TJ but also submit offers scheduled of 18 TJ in which case it will be a net buyer for 2 TJ. Alternatively it may have 22 TJ of offers scheduled, in which case it will be a net seller 2TJ of gas.</w:t>
      </w:r>
    </w:p>
  </w:footnote>
  <w:footnote w:id="4">
    <w:p w:rsidR="00FB7E51" w:rsidRDefault="00FB7E51" w:rsidP="00D249DF">
      <w:pPr>
        <w:pStyle w:val="FootnoteText"/>
      </w:pPr>
      <w:r>
        <w:rPr>
          <w:rStyle w:val="FootnoteReference"/>
        </w:rPr>
        <w:footnoteRef/>
      </w:r>
      <w:r>
        <w:t xml:space="preserve">  </w:t>
      </w:r>
      <w:r>
        <w:tab/>
        <w:t>This is publicly available information whereas demand forecasts are confidential. Another participant, Alinta Energy, also participates in the STTM but does not offer gas into the market. On occasion it buys small amounts of gas (typically less than one or two TJ from the market) as a pure net buyer.</w:t>
      </w:r>
    </w:p>
    <w:p w:rsidR="00FB7E51" w:rsidRDefault="00FB7E51">
      <w:pPr>
        <w:pStyle w:val="FootnoteText"/>
      </w:pPr>
    </w:p>
  </w:footnote>
  <w:footnote w:id="5">
    <w:p w:rsidR="00FB7E51" w:rsidRDefault="00FB7E51" w:rsidP="00BF1A73">
      <w:pPr>
        <w:pStyle w:val="FootnoteText"/>
      </w:pPr>
      <w:r>
        <w:rPr>
          <w:rStyle w:val="FootnoteReference"/>
        </w:rPr>
        <w:footnoteRef/>
      </w:r>
      <w:r>
        <w:t xml:space="preserve">     </w:t>
      </w:r>
      <w:r>
        <w:tab/>
        <w:t>The market design, including the allocations of the cause of MOS to costs, did not consider that MOS might be required because one pipeline may not be able to deliver all gas nominated to meet hub demand unless another pipeline delivered a certain amount of gas. In other words, the market assumes that all gas could be supplied from SEA Gas or all gas from MAP to the Adelaide hub.</w:t>
      </w:r>
    </w:p>
  </w:footnote>
  <w:footnote w:id="6">
    <w:p w:rsidR="00FB7E51" w:rsidRDefault="00FB7E51" w:rsidP="00DE5C9D">
      <w:pPr>
        <w:pStyle w:val="FootnoteText"/>
      </w:pPr>
      <w:r>
        <w:rPr>
          <w:rStyle w:val="FootnoteReference"/>
        </w:rPr>
        <w:footnoteRef/>
      </w:r>
      <w:r>
        <w:t xml:space="preserve"> </w:t>
      </w:r>
      <w:r>
        <w:tab/>
      </w:r>
      <w:r w:rsidRPr="00655B34">
        <w:t xml:space="preserve">The 4th highest MOS quantity since the commencement of the Adelaide STTM occurred on 28 November 2011 and saw 29 TJ of MOS required (MAP +15 TJ, </w:t>
      </w:r>
      <w:r>
        <w:t>SEA Gas</w:t>
      </w:r>
      <w:r w:rsidRPr="00655B34">
        <w:t xml:space="preserve"> -14 TJ) when scheduled flows to the hub were 5 TJ on MAP and 45 TJ on </w:t>
      </w:r>
      <w:r>
        <w:t>SEA Gas</w:t>
      </w:r>
      <w:r w:rsidRPr="00655B34">
        <w:t>.</w:t>
      </w:r>
    </w:p>
  </w:footnote>
  <w:footnote w:id="7">
    <w:p w:rsidR="00FB7E51" w:rsidRDefault="00FB7E51">
      <w:pPr>
        <w:pStyle w:val="FootnoteText"/>
      </w:pPr>
      <w:r>
        <w:rPr>
          <w:rStyle w:val="FootnoteReference"/>
        </w:rPr>
        <w:footnoteRef/>
      </w:r>
      <w:r>
        <w:t xml:space="preserve"> </w:t>
      </w:r>
      <w:r>
        <w:tab/>
      </w:r>
      <w:r w:rsidRPr="00A0563B">
        <w:t>http://www.aemo.com.au/Gas/Market-Operations/Short-Term-Trading-Market/Review-of-Short-Term-Trading-Market</w:t>
      </w:r>
    </w:p>
  </w:footnote>
  <w:footnote w:id="8">
    <w:p w:rsidR="00FB7E51" w:rsidRDefault="00FB7E51" w:rsidP="00077265">
      <w:pPr>
        <w:pStyle w:val="FootnoteText"/>
      </w:pPr>
      <w:r>
        <w:rPr>
          <w:rStyle w:val="FootnoteReference"/>
        </w:rPr>
        <w:footnoteRef/>
      </w:r>
      <w:r>
        <w:t xml:space="preserve"> </w:t>
      </w:r>
      <w:r>
        <w:tab/>
        <w:t>On 8 of the 10 high demand days in figure 4 above, MAP nominations were less than 10 TJ.</w:t>
      </w:r>
    </w:p>
  </w:footnote>
  <w:footnote w:id="9">
    <w:p w:rsidR="00FB7E51" w:rsidRDefault="00FB7E51">
      <w:pPr>
        <w:pStyle w:val="FootnoteText"/>
      </w:pPr>
      <w:r>
        <w:rPr>
          <w:rStyle w:val="FootnoteReference"/>
        </w:rPr>
        <w:footnoteRef/>
      </w:r>
      <w:r>
        <w:t xml:space="preserve"> </w:t>
      </w:r>
      <w:r>
        <w:tab/>
        <w:t xml:space="preserve">The MAP net flow divided by the actual demand </w:t>
      </w:r>
    </w:p>
  </w:footnote>
  <w:footnote w:id="10">
    <w:p w:rsidR="00FB7E51" w:rsidRPr="001B2045" w:rsidRDefault="00FB7E51" w:rsidP="006E33E7">
      <w:pPr>
        <w:pStyle w:val="FootnoteText"/>
      </w:pPr>
      <w:r>
        <w:rPr>
          <w:rStyle w:val="FootnoteReference"/>
        </w:rPr>
        <w:footnoteRef/>
      </w:r>
      <w:r>
        <w:t xml:space="preserve"> On MAP, 16.5 TJ of backhaul was scheduled against forward haul offers of 23 TJ. </w:t>
      </w:r>
    </w:p>
    <w:p w:rsidR="00FB7E51" w:rsidRDefault="00FB7E51">
      <w:pPr>
        <w:pStyle w:val="FootnoteText"/>
      </w:pPr>
    </w:p>
  </w:footnote>
  <w:footnote w:id="11">
    <w:p w:rsidR="00FB7E51" w:rsidRDefault="00FB7E51">
      <w:pPr>
        <w:pStyle w:val="FootnoteText"/>
      </w:pPr>
      <w:r>
        <w:rPr>
          <w:rStyle w:val="FootnoteReference"/>
        </w:rPr>
        <w:footnoteRef/>
      </w:r>
      <w:r>
        <w:t xml:space="preserve"> Calculated by summing deliveries at Cavan, Gepps Cross and Taperoo</w:t>
      </w:r>
    </w:p>
  </w:footnote>
  <w:footnote w:id="12">
    <w:p w:rsidR="00FB7E51" w:rsidRDefault="00FB7E51">
      <w:pPr>
        <w:pStyle w:val="FootnoteText"/>
      </w:pPr>
      <w:r>
        <w:rPr>
          <w:rStyle w:val="FootnoteReference"/>
        </w:rPr>
        <w:footnoteRef/>
      </w:r>
      <w:r>
        <w:t xml:space="preserve"> </w:t>
      </w:r>
      <w:r>
        <w:tab/>
        <w:t>The following two gas days (26 and 27 June) had large levels of counteracting MOS. These days requ</w:t>
      </w:r>
      <w:r w:rsidR="00840E4B">
        <w:t xml:space="preserve">ired </w:t>
      </w:r>
      <w:r>
        <w:t>the second and f</w:t>
      </w:r>
      <w:r w:rsidR="00840E4B">
        <w:t>if</w:t>
      </w:r>
      <w:r>
        <w:t>th largest MOS amounts since market start, respectively. These days followed similar profiles to 25 June</w:t>
      </w:r>
      <w:r w:rsidR="00840E4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6145" style="mso-width-relative:margin;mso-height-relative:margin">
      <v:stroke dashstyle="1 1" weight="2.25pt" endcap="round"/>
      <v:textbox style="mso-fit-shape-to-text:t"/>
      <o:colormru v:ext="edit" colors="white,#39f,#0c0,red,#06f,#f2f2f2,#38ce4a,#b2ecb9"/>
      <o:colormenu v:ext="edit" fillcolor="white" strokecolor="#b2ecb9"/>
    </o:shapedefaults>
  </w:hdrShapeDefaults>
  <w:footnotePr>
    <w:footnote w:id="-1"/>
    <w:footnote w:id="0"/>
  </w:footnotePr>
  <w:endnotePr>
    <w:endnote w:id="-1"/>
    <w:endnote w:id="0"/>
  </w:endnotePr>
  <w:compat>
    <w:compatSetting w:name="compatibilityMode" w:uri="http://schemas.microsoft.com/office/word" w:val="12"/>
  </w:compat>
  <w:docVars>
    <w:docVar w:name="currentname" w:val="\\cbrvpwxfs01\home$\adrae\AER SPV report ADL hub June 25 final.DOCX"/>
  </w:docVars>
  <w:rsids>
    <w:rsidRoot w:val="000C052F"/>
    <w:rsid w:val="00002ACE"/>
    <w:rsid w:val="00002BFE"/>
    <w:rsid w:val="00006032"/>
    <w:rsid w:val="00011129"/>
    <w:rsid w:val="0001461C"/>
    <w:rsid w:val="00022606"/>
    <w:rsid w:val="0003711C"/>
    <w:rsid w:val="00040599"/>
    <w:rsid w:val="00040749"/>
    <w:rsid w:val="00055123"/>
    <w:rsid w:val="00056574"/>
    <w:rsid w:val="00072DAA"/>
    <w:rsid w:val="00077265"/>
    <w:rsid w:val="00080D0C"/>
    <w:rsid w:val="0008178B"/>
    <w:rsid w:val="000867BC"/>
    <w:rsid w:val="00087DC1"/>
    <w:rsid w:val="000916A4"/>
    <w:rsid w:val="000A06F7"/>
    <w:rsid w:val="000A0E97"/>
    <w:rsid w:val="000A1CC2"/>
    <w:rsid w:val="000A5342"/>
    <w:rsid w:val="000A6022"/>
    <w:rsid w:val="000B15CA"/>
    <w:rsid w:val="000B5976"/>
    <w:rsid w:val="000B5CD6"/>
    <w:rsid w:val="000C052F"/>
    <w:rsid w:val="000C2F88"/>
    <w:rsid w:val="000C3430"/>
    <w:rsid w:val="000C5BD9"/>
    <w:rsid w:val="000D03C2"/>
    <w:rsid w:val="000D04B1"/>
    <w:rsid w:val="000D401F"/>
    <w:rsid w:val="000D6926"/>
    <w:rsid w:val="000E1A25"/>
    <w:rsid w:val="000E7C0F"/>
    <w:rsid w:val="000F3A6A"/>
    <w:rsid w:val="00100243"/>
    <w:rsid w:val="00101272"/>
    <w:rsid w:val="001033B3"/>
    <w:rsid w:val="00105636"/>
    <w:rsid w:val="001069D9"/>
    <w:rsid w:val="0011090F"/>
    <w:rsid w:val="0011673A"/>
    <w:rsid w:val="00120874"/>
    <w:rsid w:val="00121636"/>
    <w:rsid w:val="0012471E"/>
    <w:rsid w:val="00124E45"/>
    <w:rsid w:val="001269DD"/>
    <w:rsid w:val="0013058F"/>
    <w:rsid w:val="00132FF9"/>
    <w:rsid w:val="00136427"/>
    <w:rsid w:val="00143A51"/>
    <w:rsid w:val="001500DA"/>
    <w:rsid w:val="001528F1"/>
    <w:rsid w:val="001543D2"/>
    <w:rsid w:val="00163CDD"/>
    <w:rsid w:val="00165ADF"/>
    <w:rsid w:val="00173125"/>
    <w:rsid w:val="00174026"/>
    <w:rsid w:val="00175B58"/>
    <w:rsid w:val="00176E86"/>
    <w:rsid w:val="00177157"/>
    <w:rsid w:val="001823C4"/>
    <w:rsid w:val="001856EE"/>
    <w:rsid w:val="00194C3C"/>
    <w:rsid w:val="001B2045"/>
    <w:rsid w:val="001C12E5"/>
    <w:rsid w:val="001C1510"/>
    <w:rsid w:val="001C2F68"/>
    <w:rsid w:val="001C601D"/>
    <w:rsid w:val="001C68F0"/>
    <w:rsid w:val="001C76D1"/>
    <w:rsid w:val="001D04AC"/>
    <w:rsid w:val="001E4D56"/>
    <w:rsid w:val="001E591F"/>
    <w:rsid w:val="001F2B35"/>
    <w:rsid w:val="001F3973"/>
    <w:rsid w:val="002042B9"/>
    <w:rsid w:val="00205474"/>
    <w:rsid w:val="00205A83"/>
    <w:rsid w:val="0020711E"/>
    <w:rsid w:val="00210880"/>
    <w:rsid w:val="00216353"/>
    <w:rsid w:val="00217086"/>
    <w:rsid w:val="002225C9"/>
    <w:rsid w:val="002257B9"/>
    <w:rsid w:val="00227519"/>
    <w:rsid w:val="00230B94"/>
    <w:rsid w:val="0023137D"/>
    <w:rsid w:val="002363B8"/>
    <w:rsid w:val="00244E46"/>
    <w:rsid w:val="00246177"/>
    <w:rsid w:val="0025211D"/>
    <w:rsid w:val="002551B9"/>
    <w:rsid w:val="00257CD0"/>
    <w:rsid w:val="002606F8"/>
    <w:rsid w:val="00265A4B"/>
    <w:rsid w:val="00266710"/>
    <w:rsid w:val="00271648"/>
    <w:rsid w:val="00274DAF"/>
    <w:rsid w:val="002805B8"/>
    <w:rsid w:val="00292F56"/>
    <w:rsid w:val="0029318B"/>
    <w:rsid w:val="002938CE"/>
    <w:rsid w:val="002A6D9A"/>
    <w:rsid w:val="002B6640"/>
    <w:rsid w:val="002C4408"/>
    <w:rsid w:val="002C731C"/>
    <w:rsid w:val="002D1D83"/>
    <w:rsid w:val="002D61AC"/>
    <w:rsid w:val="002E4720"/>
    <w:rsid w:val="002E49C5"/>
    <w:rsid w:val="002E620D"/>
    <w:rsid w:val="002E6998"/>
    <w:rsid w:val="00301368"/>
    <w:rsid w:val="00303452"/>
    <w:rsid w:val="00310C10"/>
    <w:rsid w:val="00320C51"/>
    <w:rsid w:val="00321639"/>
    <w:rsid w:val="00324B28"/>
    <w:rsid w:val="0032559F"/>
    <w:rsid w:val="00325AC6"/>
    <w:rsid w:val="003324F7"/>
    <w:rsid w:val="00334F88"/>
    <w:rsid w:val="00335425"/>
    <w:rsid w:val="00340127"/>
    <w:rsid w:val="00346246"/>
    <w:rsid w:val="00364A7F"/>
    <w:rsid w:val="00365EDD"/>
    <w:rsid w:val="0036775C"/>
    <w:rsid w:val="003707DB"/>
    <w:rsid w:val="00371C43"/>
    <w:rsid w:val="00375AEC"/>
    <w:rsid w:val="00376236"/>
    <w:rsid w:val="0037652C"/>
    <w:rsid w:val="003800E4"/>
    <w:rsid w:val="00380FF5"/>
    <w:rsid w:val="00385135"/>
    <w:rsid w:val="00395A13"/>
    <w:rsid w:val="003A2BC0"/>
    <w:rsid w:val="003A4CD1"/>
    <w:rsid w:val="003A4F7F"/>
    <w:rsid w:val="003A6174"/>
    <w:rsid w:val="003B196B"/>
    <w:rsid w:val="003E5430"/>
    <w:rsid w:val="003E7367"/>
    <w:rsid w:val="003F5741"/>
    <w:rsid w:val="004030AB"/>
    <w:rsid w:val="00410853"/>
    <w:rsid w:val="00412282"/>
    <w:rsid w:val="004136AD"/>
    <w:rsid w:val="00416764"/>
    <w:rsid w:val="00421517"/>
    <w:rsid w:val="004256BA"/>
    <w:rsid w:val="00430388"/>
    <w:rsid w:val="00431999"/>
    <w:rsid w:val="00435682"/>
    <w:rsid w:val="00441796"/>
    <w:rsid w:val="00442844"/>
    <w:rsid w:val="004442B1"/>
    <w:rsid w:val="00451343"/>
    <w:rsid w:val="00456081"/>
    <w:rsid w:val="00456D9E"/>
    <w:rsid w:val="00464F5D"/>
    <w:rsid w:val="00472197"/>
    <w:rsid w:val="0047307B"/>
    <w:rsid w:val="00474FBD"/>
    <w:rsid w:val="004760FE"/>
    <w:rsid w:val="0048266C"/>
    <w:rsid w:val="00491D7D"/>
    <w:rsid w:val="00493362"/>
    <w:rsid w:val="00495E53"/>
    <w:rsid w:val="004974B4"/>
    <w:rsid w:val="004A6FD9"/>
    <w:rsid w:val="004B0B73"/>
    <w:rsid w:val="004B3549"/>
    <w:rsid w:val="004B5111"/>
    <w:rsid w:val="004C3F45"/>
    <w:rsid w:val="004C535D"/>
    <w:rsid w:val="004D0C4E"/>
    <w:rsid w:val="004D17A3"/>
    <w:rsid w:val="004E40EF"/>
    <w:rsid w:val="004E7117"/>
    <w:rsid w:val="004E73F7"/>
    <w:rsid w:val="004F76A0"/>
    <w:rsid w:val="005005C0"/>
    <w:rsid w:val="00500E7F"/>
    <w:rsid w:val="00502780"/>
    <w:rsid w:val="00503B13"/>
    <w:rsid w:val="00510C44"/>
    <w:rsid w:val="0052179D"/>
    <w:rsid w:val="005340F2"/>
    <w:rsid w:val="00534E74"/>
    <w:rsid w:val="00537105"/>
    <w:rsid w:val="005456A9"/>
    <w:rsid w:val="00547F06"/>
    <w:rsid w:val="0055077F"/>
    <w:rsid w:val="00550B7A"/>
    <w:rsid w:val="00554BE4"/>
    <w:rsid w:val="00555D52"/>
    <w:rsid w:val="005566D7"/>
    <w:rsid w:val="00561F7F"/>
    <w:rsid w:val="005639E8"/>
    <w:rsid w:val="005668A0"/>
    <w:rsid w:val="00566B35"/>
    <w:rsid w:val="00567724"/>
    <w:rsid w:val="005732CC"/>
    <w:rsid w:val="00575422"/>
    <w:rsid w:val="00576DC7"/>
    <w:rsid w:val="005814F0"/>
    <w:rsid w:val="005938C6"/>
    <w:rsid w:val="005A0431"/>
    <w:rsid w:val="005A420E"/>
    <w:rsid w:val="005B3752"/>
    <w:rsid w:val="005B5CDF"/>
    <w:rsid w:val="005B61C2"/>
    <w:rsid w:val="005B7309"/>
    <w:rsid w:val="005C1F22"/>
    <w:rsid w:val="005C6DAB"/>
    <w:rsid w:val="005D0DF3"/>
    <w:rsid w:val="005D2574"/>
    <w:rsid w:val="005D26B7"/>
    <w:rsid w:val="005D3B18"/>
    <w:rsid w:val="005D4AA1"/>
    <w:rsid w:val="005D55A9"/>
    <w:rsid w:val="005F5268"/>
    <w:rsid w:val="0060146C"/>
    <w:rsid w:val="0060207D"/>
    <w:rsid w:val="00602A0B"/>
    <w:rsid w:val="006039F2"/>
    <w:rsid w:val="00605A71"/>
    <w:rsid w:val="006061B0"/>
    <w:rsid w:val="0060732E"/>
    <w:rsid w:val="006076A9"/>
    <w:rsid w:val="00611457"/>
    <w:rsid w:val="00614B7F"/>
    <w:rsid w:val="00624E40"/>
    <w:rsid w:val="00624F72"/>
    <w:rsid w:val="00635A76"/>
    <w:rsid w:val="00637AD2"/>
    <w:rsid w:val="00642B58"/>
    <w:rsid w:val="00642D2E"/>
    <w:rsid w:val="006544EA"/>
    <w:rsid w:val="00654C07"/>
    <w:rsid w:val="00655B34"/>
    <w:rsid w:val="0066176E"/>
    <w:rsid w:val="0066569F"/>
    <w:rsid w:val="00667C18"/>
    <w:rsid w:val="006827E4"/>
    <w:rsid w:val="0068291B"/>
    <w:rsid w:val="00682FC9"/>
    <w:rsid w:val="00684B6D"/>
    <w:rsid w:val="0069004B"/>
    <w:rsid w:val="00691F5C"/>
    <w:rsid w:val="00691FE5"/>
    <w:rsid w:val="006A06EA"/>
    <w:rsid w:val="006B08EB"/>
    <w:rsid w:val="006B481F"/>
    <w:rsid w:val="006C0ECE"/>
    <w:rsid w:val="006C7AEE"/>
    <w:rsid w:val="006D1C58"/>
    <w:rsid w:val="006E0734"/>
    <w:rsid w:val="006E33E7"/>
    <w:rsid w:val="006F24EE"/>
    <w:rsid w:val="006F2EA1"/>
    <w:rsid w:val="006F638E"/>
    <w:rsid w:val="007022A6"/>
    <w:rsid w:val="00703E42"/>
    <w:rsid w:val="007061F5"/>
    <w:rsid w:val="007100B4"/>
    <w:rsid w:val="007140C3"/>
    <w:rsid w:val="00714471"/>
    <w:rsid w:val="007219EE"/>
    <w:rsid w:val="0072289F"/>
    <w:rsid w:val="00730559"/>
    <w:rsid w:val="00733602"/>
    <w:rsid w:val="0073614B"/>
    <w:rsid w:val="007368AD"/>
    <w:rsid w:val="00747AE4"/>
    <w:rsid w:val="00751D2A"/>
    <w:rsid w:val="00753BCE"/>
    <w:rsid w:val="00755095"/>
    <w:rsid w:val="00755896"/>
    <w:rsid w:val="00763C27"/>
    <w:rsid w:val="0076587E"/>
    <w:rsid w:val="00771497"/>
    <w:rsid w:val="00771A37"/>
    <w:rsid w:val="007765A0"/>
    <w:rsid w:val="00782D2E"/>
    <w:rsid w:val="00786EFB"/>
    <w:rsid w:val="007908DC"/>
    <w:rsid w:val="007945C4"/>
    <w:rsid w:val="00796A07"/>
    <w:rsid w:val="007A5812"/>
    <w:rsid w:val="007B0480"/>
    <w:rsid w:val="007B1189"/>
    <w:rsid w:val="007B3F74"/>
    <w:rsid w:val="007B619D"/>
    <w:rsid w:val="007D4FF5"/>
    <w:rsid w:val="007D5C52"/>
    <w:rsid w:val="007E0071"/>
    <w:rsid w:val="007E075A"/>
    <w:rsid w:val="007F10E3"/>
    <w:rsid w:val="007F2C0E"/>
    <w:rsid w:val="007F57DA"/>
    <w:rsid w:val="007F5A18"/>
    <w:rsid w:val="00801566"/>
    <w:rsid w:val="00801931"/>
    <w:rsid w:val="008019AA"/>
    <w:rsid w:val="00804AEB"/>
    <w:rsid w:val="00806509"/>
    <w:rsid w:val="00812E1D"/>
    <w:rsid w:val="00813CB3"/>
    <w:rsid w:val="00814033"/>
    <w:rsid w:val="008217C9"/>
    <w:rsid w:val="00824CC8"/>
    <w:rsid w:val="008251C7"/>
    <w:rsid w:val="00825661"/>
    <w:rsid w:val="00826120"/>
    <w:rsid w:val="0083610B"/>
    <w:rsid w:val="00836A23"/>
    <w:rsid w:val="00836D17"/>
    <w:rsid w:val="00837604"/>
    <w:rsid w:val="00840A55"/>
    <w:rsid w:val="00840E4B"/>
    <w:rsid w:val="00841E25"/>
    <w:rsid w:val="00842513"/>
    <w:rsid w:val="008464CD"/>
    <w:rsid w:val="00846916"/>
    <w:rsid w:val="00847181"/>
    <w:rsid w:val="00851335"/>
    <w:rsid w:val="008515EE"/>
    <w:rsid w:val="008570F5"/>
    <w:rsid w:val="00861C4E"/>
    <w:rsid w:val="00864AAF"/>
    <w:rsid w:val="00866D21"/>
    <w:rsid w:val="00872D85"/>
    <w:rsid w:val="008743E9"/>
    <w:rsid w:val="00875F02"/>
    <w:rsid w:val="00883DDA"/>
    <w:rsid w:val="0088415D"/>
    <w:rsid w:val="00884F03"/>
    <w:rsid w:val="00887D61"/>
    <w:rsid w:val="008916DE"/>
    <w:rsid w:val="00891FF9"/>
    <w:rsid w:val="00893186"/>
    <w:rsid w:val="00893367"/>
    <w:rsid w:val="008A51F6"/>
    <w:rsid w:val="008A6B41"/>
    <w:rsid w:val="008B04B9"/>
    <w:rsid w:val="008B7956"/>
    <w:rsid w:val="008C2D62"/>
    <w:rsid w:val="008C31E6"/>
    <w:rsid w:val="008C3B67"/>
    <w:rsid w:val="008C3F48"/>
    <w:rsid w:val="008D1A22"/>
    <w:rsid w:val="008D49B4"/>
    <w:rsid w:val="008D7498"/>
    <w:rsid w:val="008E3B37"/>
    <w:rsid w:val="008F1CBF"/>
    <w:rsid w:val="00902592"/>
    <w:rsid w:val="00910101"/>
    <w:rsid w:val="00913BB4"/>
    <w:rsid w:val="009223EE"/>
    <w:rsid w:val="009247D2"/>
    <w:rsid w:val="009254E7"/>
    <w:rsid w:val="0092618F"/>
    <w:rsid w:val="00932E96"/>
    <w:rsid w:val="009418E6"/>
    <w:rsid w:val="00941D2D"/>
    <w:rsid w:val="0094235F"/>
    <w:rsid w:val="0094279F"/>
    <w:rsid w:val="009441F7"/>
    <w:rsid w:val="00946B98"/>
    <w:rsid w:val="00947050"/>
    <w:rsid w:val="0095052A"/>
    <w:rsid w:val="00950EE5"/>
    <w:rsid w:val="00952874"/>
    <w:rsid w:val="00957E14"/>
    <w:rsid w:val="00962D90"/>
    <w:rsid w:val="00965041"/>
    <w:rsid w:val="009658F0"/>
    <w:rsid w:val="00971655"/>
    <w:rsid w:val="00971C63"/>
    <w:rsid w:val="0097394A"/>
    <w:rsid w:val="0098503B"/>
    <w:rsid w:val="0099079E"/>
    <w:rsid w:val="009909A2"/>
    <w:rsid w:val="009917C7"/>
    <w:rsid w:val="009A29B5"/>
    <w:rsid w:val="009A2BB8"/>
    <w:rsid w:val="009A4AE9"/>
    <w:rsid w:val="009A4CBF"/>
    <w:rsid w:val="009B04E9"/>
    <w:rsid w:val="009B4FE9"/>
    <w:rsid w:val="009B637A"/>
    <w:rsid w:val="009B784F"/>
    <w:rsid w:val="009B7ED9"/>
    <w:rsid w:val="009C71D5"/>
    <w:rsid w:val="009D00C4"/>
    <w:rsid w:val="009D4938"/>
    <w:rsid w:val="009E4047"/>
    <w:rsid w:val="009E5905"/>
    <w:rsid w:val="009E5CF9"/>
    <w:rsid w:val="009F6AC3"/>
    <w:rsid w:val="009F7CE4"/>
    <w:rsid w:val="00A00197"/>
    <w:rsid w:val="00A0233C"/>
    <w:rsid w:val="00A040C9"/>
    <w:rsid w:val="00A0563B"/>
    <w:rsid w:val="00A11162"/>
    <w:rsid w:val="00A131FB"/>
    <w:rsid w:val="00A20CCD"/>
    <w:rsid w:val="00A22573"/>
    <w:rsid w:val="00A227F7"/>
    <w:rsid w:val="00A23C18"/>
    <w:rsid w:val="00A2518F"/>
    <w:rsid w:val="00A2532A"/>
    <w:rsid w:val="00A3143E"/>
    <w:rsid w:val="00A337A1"/>
    <w:rsid w:val="00A33A19"/>
    <w:rsid w:val="00A40E2A"/>
    <w:rsid w:val="00A40E6C"/>
    <w:rsid w:val="00A43227"/>
    <w:rsid w:val="00A464B3"/>
    <w:rsid w:val="00A46CCD"/>
    <w:rsid w:val="00A5068A"/>
    <w:rsid w:val="00A60D13"/>
    <w:rsid w:val="00A65133"/>
    <w:rsid w:val="00A652C5"/>
    <w:rsid w:val="00A654BA"/>
    <w:rsid w:val="00A855F4"/>
    <w:rsid w:val="00A85C5A"/>
    <w:rsid w:val="00A95107"/>
    <w:rsid w:val="00A96A08"/>
    <w:rsid w:val="00AA0161"/>
    <w:rsid w:val="00AA576B"/>
    <w:rsid w:val="00AA7236"/>
    <w:rsid w:val="00AB1D08"/>
    <w:rsid w:val="00AB4345"/>
    <w:rsid w:val="00AB43D5"/>
    <w:rsid w:val="00AB5BD7"/>
    <w:rsid w:val="00AC0135"/>
    <w:rsid w:val="00AC070D"/>
    <w:rsid w:val="00AC1B94"/>
    <w:rsid w:val="00AC1D36"/>
    <w:rsid w:val="00AD0616"/>
    <w:rsid w:val="00AD0A5C"/>
    <w:rsid w:val="00AD34FF"/>
    <w:rsid w:val="00AD38B9"/>
    <w:rsid w:val="00AD4DE6"/>
    <w:rsid w:val="00AD54E9"/>
    <w:rsid w:val="00AD68E9"/>
    <w:rsid w:val="00AE2159"/>
    <w:rsid w:val="00AE5913"/>
    <w:rsid w:val="00AE6DBC"/>
    <w:rsid w:val="00AE6FB3"/>
    <w:rsid w:val="00AF1143"/>
    <w:rsid w:val="00AF264A"/>
    <w:rsid w:val="00AF3E95"/>
    <w:rsid w:val="00AF5F7A"/>
    <w:rsid w:val="00AF7C67"/>
    <w:rsid w:val="00B0066B"/>
    <w:rsid w:val="00B02460"/>
    <w:rsid w:val="00B131D7"/>
    <w:rsid w:val="00B15FE9"/>
    <w:rsid w:val="00B16C03"/>
    <w:rsid w:val="00B26AD4"/>
    <w:rsid w:val="00B31CE6"/>
    <w:rsid w:val="00B33688"/>
    <w:rsid w:val="00B33B4A"/>
    <w:rsid w:val="00B50C46"/>
    <w:rsid w:val="00B5102F"/>
    <w:rsid w:val="00B51776"/>
    <w:rsid w:val="00B51883"/>
    <w:rsid w:val="00B540F1"/>
    <w:rsid w:val="00B61FD4"/>
    <w:rsid w:val="00B62EC6"/>
    <w:rsid w:val="00B674DB"/>
    <w:rsid w:val="00B75096"/>
    <w:rsid w:val="00B80FE1"/>
    <w:rsid w:val="00B82E8D"/>
    <w:rsid w:val="00B878DD"/>
    <w:rsid w:val="00B9264D"/>
    <w:rsid w:val="00B935E4"/>
    <w:rsid w:val="00B93CD7"/>
    <w:rsid w:val="00B94D99"/>
    <w:rsid w:val="00B97E98"/>
    <w:rsid w:val="00BA1CE5"/>
    <w:rsid w:val="00BB3FA1"/>
    <w:rsid w:val="00BB4795"/>
    <w:rsid w:val="00BB526A"/>
    <w:rsid w:val="00BB5CF6"/>
    <w:rsid w:val="00BB62BB"/>
    <w:rsid w:val="00BC05C5"/>
    <w:rsid w:val="00BC195E"/>
    <w:rsid w:val="00BD04BE"/>
    <w:rsid w:val="00BD439A"/>
    <w:rsid w:val="00BD4FB0"/>
    <w:rsid w:val="00BE0A09"/>
    <w:rsid w:val="00BE4F86"/>
    <w:rsid w:val="00BE5B6C"/>
    <w:rsid w:val="00BE6ADF"/>
    <w:rsid w:val="00BE6F28"/>
    <w:rsid w:val="00BF1A73"/>
    <w:rsid w:val="00BF29FA"/>
    <w:rsid w:val="00BF503D"/>
    <w:rsid w:val="00BF6919"/>
    <w:rsid w:val="00C010AF"/>
    <w:rsid w:val="00C04D2B"/>
    <w:rsid w:val="00C06F8B"/>
    <w:rsid w:val="00C16F84"/>
    <w:rsid w:val="00C260DD"/>
    <w:rsid w:val="00C276B6"/>
    <w:rsid w:val="00C278CE"/>
    <w:rsid w:val="00C35C97"/>
    <w:rsid w:val="00C37289"/>
    <w:rsid w:val="00C37E32"/>
    <w:rsid w:val="00C42C1C"/>
    <w:rsid w:val="00C659EC"/>
    <w:rsid w:val="00C721DE"/>
    <w:rsid w:val="00C7272F"/>
    <w:rsid w:val="00C737C5"/>
    <w:rsid w:val="00CA3540"/>
    <w:rsid w:val="00CA6DED"/>
    <w:rsid w:val="00CB05ED"/>
    <w:rsid w:val="00CC1C94"/>
    <w:rsid w:val="00CC36A9"/>
    <w:rsid w:val="00CC4157"/>
    <w:rsid w:val="00CC49D4"/>
    <w:rsid w:val="00CC663E"/>
    <w:rsid w:val="00CD0CA8"/>
    <w:rsid w:val="00CE5D01"/>
    <w:rsid w:val="00CE6F5A"/>
    <w:rsid w:val="00CE7E10"/>
    <w:rsid w:val="00CF28DF"/>
    <w:rsid w:val="00CF42CF"/>
    <w:rsid w:val="00CF730C"/>
    <w:rsid w:val="00D06830"/>
    <w:rsid w:val="00D102E9"/>
    <w:rsid w:val="00D1688F"/>
    <w:rsid w:val="00D2117F"/>
    <w:rsid w:val="00D21362"/>
    <w:rsid w:val="00D249DF"/>
    <w:rsid w:val="00D25317"/>
    <w:rsid w:val="00D25C7F"/>
    <w:rsid w:val="00D30C24"/>
    <w:rsid w:val="00D36144"/>
    <w:rsid w:val="00D3716F"/>
    <w:rsid w:val="00D41924"/>
    <w:rsid w:val="00D4255A"/>
    <w:rsid w:val="00D4780E"/>
    <w:rsid w:val="00D50C51"/>
    <w:rsid w:val="00D62583"/>
    <w:rsid w:val="00D63B7E"/>
    <w:rsid w:val="00D66E8B"/>
    <w:rsid w:val="00D703A7"/>
    <w:rsid w:val="00D71756"/>
    <w:rsid w:val="00D805DB"/>
    <w:rsid w:val="00D818B1"/>
    <w:rsid w:val="00D85715"/>
    <w:rsid w:val="00D8706C"/>
    <w:rsid w:val="00D90972"/>
    <w:rsid w:val="00D934DF"/>
    <w:rsid w:val="00D97586"/>
    <w:rsid w:val="00DA22C0"/>
    <w:rsid w:val="00DA4AD2"/>
    <w:rsid w:val="00DA4C62"/>
    <w:rsid w:val="00DB18D1"/>
    <w:rsid w:val="00DB1F71"/>
    <w:rsid w:val="00DB4010"/>
    <w:rsid w:val="00DB6A17"/>
    <w:rsid w:val="00DB70BE"/>
    <w:rsid w:val="00DC2C51"/>
    <w:rsid w:val="00DC3155"/>
    <w:rsid w:val="00DC47AB"/>
    <w:rsid w:val="00DC7ED4"/>
    <w:rsid w:val="00DD163A"/>
    <w:rsid w:val="00DD43AF"/>
    <w:rsid w:val="00DD5520"/>
    <w:rsid w:val="00DD6019"/>
    <w:rsid w:val="00DE3394"/>
    <w:rsid w:val="00DE3D3C"/>
    <w:rsid w:val="00DE5C9D"/>
    <w:rsid w:val="00DE716B"/>
    <w:rsid w:val="00DF16C2"/>
    <w:rsid w:val="00DF20E8"/>
    <w:rsid w:val="00DF26E5"/>
    <w:rsid w:val="00DF5231"/>
    <w:rsid w:val="00E00029"/>
    <w:rsid w:val="00E0016E"/>
    <w:rsid w:val="00E00F76"/>
    <w:rsid w:val="00E01197"/>
    <w:rsid w:val="00E05DE3"/>
    <w:rsid w:val="00E13CF0"/>
    <w:rsid w:val="00E14CE8"/>
    <w:rsid w:val="00E16658"/>
    <w:rsid w:val="00E20C02"/>
    <w:rsid w:val="00E21E75"/>
    <w:rsid w:val="00E45711"/>
    <w:rsid w:val="00E519DC"/>
    <w:rsid w:val="00E56C5B"/>
    <w:rsid w:val="00E56D67"/>
    <w:rsid w:val="00E57343"/>
    <w:rsid w:val="00E62CA9"/>
    <w:rsid w:val="00E807DA"/>
    <w:rsid w:val="00E841C2"/>
    <w:rsid w:val="00E84E3A"/>
    <w:rsid w:val="00E9715A"/>
    <w:rsid w:val="00EA05AF"/>
    <w:rsid w:val="00EB67CD"/>
    <w:rsid w:val="00EB78AE"/>
    <w:rsid w:val="00EC43B9"/>
    <w:rsid w:val="00ED17CE"/>
    <w:rsid w:val="00ED2768"/>
    <w:rsid w:val="00ED4D69"/>
    <w:rsid w:val="00ED613A"/>
    <w:rsid w:val="00EE1C64"/>
    <w:rsid w:val="00EE362F"/>
    <w:rsid w:val="00EE5773"/>
    <w:rsid w:val="00EE7F17"/>
    <w:rsid w:val="00EF0E19"/>
    <w:rsid w:val="00EF5BB7"/>
    <w:rsid w:val="00EF5C27"/>
    <w:rsid w:val="00EF6D74"/>
    <w:rsid w:val="00F07190"/>
    <w:rsid w:val="00F1144B"/>
    <w:rsid w:val="00F114AE"/>
    <w:rsid w:val="00F117AD"/>
    <w:rsid w:val="00F308E8"/>
    <w:rsid w:val="00F33212"/>
    <w:rsid w:val="00F34588"/>
    <w:rsid w:val="00F34B9C"/>
    <w:rsid w:val="00F36989"/>
    <w:rsid w:val="00F4216D"/>
    <w:rsid w:val="00F43CA0"/>
    <w:rsid w:val="00F55030"/>
    <w:rsid w:val="00F5746D"/>
    <w:rsid w:val="00F613C3"/>
    <w:rsid w:val="00F65AA9"/>
    <w:rsid w:val="00F7696F"/>
    <w:rsid w:val="00F8209B"/>
    <w:rsid w:val="00F97CD9"/>
    <w:rsid w:val="00FA0576"/>
    <w:rsid w:val="00FA5FE6"/>
    <w:rsid w:val="00FA6FE3"/>
    <w:rsid w:val="00FA7F23"/>
    <w:rsid w:val="00FB50B4"/>
    <w:rsid w:val="00FB5FBD"/>
    <w:rsid w:val="00FB7E51"/>
    <w:rsid w:val="00FC0331"/>
    <w:rsid w:val="00FC045A"/>
    <w:rsid w:val="00FC40B7"/>
    <w:rsid w:val="00FC5DC4"/>
    <w:rsid w:val="00FD4B97"/>
    <w:rsid w:val="00FD5CBE"/>
    <w:rsid w:val="00FE4C08"/>
    <w:rsid w:val="00FE5511"/>
    <w:rsid w:val="00FE55EB"/>
    <w:rsid w:val="00FF0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
      <v:stroke dashstyle="1 1" weight="2.25pt" endcap="round"/>
      <v:textbox style="mso-fit-shape-to-text:t"/>
      <o:colormru v:ext="edit" colors="white,#39f,#0c0,red,#06f,#f2f2f2,#38ce4a,#b2ecb9"/>
      <o:colormenu v:ext="edit" fillcolor="white" strokecolor="#b2ecb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21798E"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21798E"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21798E" w:themeColor="accent1" w:themeShade="BF"/>
    </w:rPr>
  </w:style>
  <w:style w:type="character" w:styleId="PageNumber">
    <w:name w:val="page number"/>
    <w:basedOn w:val="DefaultParagraphFont"/>
    <w:rsid w:val="00CC49D4"/>
    <w:rPr>
      <w:rFonts w:ascii="Gautami" w:hAnsi="Gautami"/>
      <w:sz w:val="18"/>
    </w:rPr>
  </w:style>
  <w:style w:type="character" w:styleId="FollowedHyperlink">
    <w:name w:val="FollowedHyperlink"/>
    <w:basedOn w:val="DefaultParagraphFont"/>
    <w:uiPriority w:val="99"/>
    <w:semiHidden/>
    <w:unhideWhenUsed/>
    <w:rsid w:val="009A29B5"/>
    <w:rPr>
      <w:color w:val="44B9E8" w:themeColor="followedHyperlink"/>
      <w:u w:val="single"/>
    </w:rPr>
  </w:style>
  <w:style w:type="paragraph" w:styleId="Revision">
    <w:name w:val="Revision"/>
    <w:hidden/>
    <w:uiPriority w:val="99"/>
    <w:semiHidden/>
    <w:rsid w:val="00BB5CF6"/>
    <w:rPr>
      <w:lang w:eastAsia="en-US"/>
    </w:rPr>
  </w:style>
  <w:style w:type="paragraph" w:styleId="NormalWeb">
    <w:name w:val="Normal (Web)"/>
    <w:basedOn w:val="Normal"/>
    <w:uiPriority w:val="99"/>
    <w:semiHidden/>
    <w:unhideWhenUsed/>
    <w:locked/>
    <w:rsid w:val="009B04E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6631">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aemo.com.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node/18400" TargetMode="External"/><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mo.com.au/Gas/Market-Operations/Short-Term-Trading-Market/~/media/Files/Other/STTM/11300710pdf" TargetMode="External"/><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5E85-0BDA-48F9-8ABC-72F96514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4060</Words>
  <Characters>23147</Characters>
  <Application>Microsoft Office Word</Application>
  <DocSecurity>0</DocSecurity>
  <Lines>192</Lines>
  <Paragraphs>54</Paragraphs>
  <ScaleCrop>false</ScaleCrop>
  <Company/>
  <LinksUpToDate>false</LinksUpToDate>
  <CharactersWithSpaces>27153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2013-09-27T03:21:00Z</dcterms:created>
  <dcterms:modified xsi:type="dcterms:W3CDTF">2013-09-27T03:21:00Z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8063836</vt:lpwstr>
  </property>
</Properties>
</file>