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69D" w:rsidRDefault="00B5269D" w:rsidP="00B5269D">
      <w:pPr>
        <w:spacing w:line="240" w:lineRule="auto"/>
      </w:pPr>
      <w:bookmarkStart w:id="0" w:name="_Toc422749905"/>
      <w:bookmarkStart w:id="1" w:name="_GoBack"/>
      <w:bookmarkEnd w:id="1"/>
    </w:p>
    <w:p w:rsidR="00B5269D" w:rsidRDefault="00B5269D" w:rsidP="00B5269D">
      <w:pPr>
        <w:spacing w:line="240" w:lineRule="auto"/>
      </w:pPr>
    </w:p>
    <w:p w:rsidR="00B5269D" w:rsidRDefault="00B5269D" w:rsidP="00B5269D">
      <w:pPr>
        <w:spacing w:line="240" w:lineRule="auto"/>
      </w:pPr>
    </w:p>
    <w:p w:rsidR="00B5269D" w:rsidRDefault="00B5269D" w:rsidP="00B5269D">
      <w:pPr>
        <w:spacing w:line="240" w:lineRule="auto"/>
      </w:pPr>
    </w:p>
    <w:p w:rsidR="00B5269D" w:rsidRDefault="00B5269D" w:rsidP="00B5269D">
      <w:pPr>
        <w:spacing w:line="240" w:lineRule="auto"/>
      </w:pPr>
    </w:p>
    <w:p w:rsidR="00B5269D" w:rsidRDefault="00B5269D" w:rsidP="00B5269D">
      <w:pPr>
        <w:spacing w:line="240" w:lineRule="auto"/>
      </w:pPr>
    </w:p>
    <w:p w:rsidR="00B5269D" w:rsidRDefault="00B5269D" w:rsidP="00B5269D">
      <w:pPr>
        <w:spacing w:line="240" w:lineRule="auto"/>
      </w:pPr>
    </w:p>
    <w:p w:rsidR="00B5269D" w:rsidRDefault="00B5269D" w:rsidP="00B5269D">
      <w:pPr>
        <w:spacing w:line="240" w:lineRule="auto"/>
      </w:pPr>
    </w:p>
    <w:p w:rsidR="00B5269D" w:rsidRDefault="00B5269D" w:rsidP="00B5269D">
      <w:pPr>
        <w:spacing w:line="240" w:lineRule="auto"/>
      </w:pPr>
    </w:p>
    <w:p w:rsidR="00B5269D" w:rsidRDefault="00B5269D" w:rsidP="00B5269D">
      <w:pPr>
        <w:spacing w:line="240" w:lineRule="auto"/>
      </w:pPr>
    </w:p>
    <w:p w:rsidR="00B5269D" w:rsidRDefault="00B5269D" w:rsidP="00B5269D">
      <w:pPr>
        <w:spacing w:line="240" w:lineRule="auto"/>
      </w:pPr>
    </w:p>
    <w:p w:rsidR="00B5269D" w:rsidRDefault="00180AFB" w:rsidP="00B5269D">
      <w:pPr>
        <w:pStyle w:val="ReportTitle"/>
      </w:pPr>
      <w:r>
        <w:t>Amendments to</w:t>
      </w:r>
      <w:r w:rsidR="00B5269D">
        <w:t xml:space="preserve"> </w:t>
      </w:r>
      <w:r w:rsidR="00077E97">
        <w:t xml:space="preserve">the </w:t>
      </w:r>
      <w:r w:rsidR="00B5269D">
        <w:t xml:space="preserve">AER Retail </w:t>
      </w:r>
      <w:r w:rsidR="00E271F2">
        <w:t>Exempt Selling Guideline</w:t>
      </w:r>
      <w:r w:rsidR="006D1735">
        <w:t xml:space="preserve"> </w:t>
      </w:r>
      <w:r w:rsidR="00E271F2">
        <w:t>v</w:t>
      </w:r>
      <w:r w:rsidR="006D1735">
        <w:t xml:space="preserve"> 4.0</w:t>
      </w:r>
    </w:p>
    <w:p w:rsidR="00B5269D" w:rsidRDefault="00B5269D" w:rsidP="00B5269D">
      <w:pPr>
        <w:pStyle w:val="ReportTitle"/>
      </w:pPr>
    </w:p>
    <w:p w:rsidR="00B5269D" w:rsidRDefault="008A3778" w:rsidP="00B5269D">
      <w:pPr>
        <w:pStyle w:val="ReportTitle"/>
      </w:pPr>
      <w:r>
        <w:rPr>
          <w:sz w:val="52"/>
        </w:rPr>
        <w:t xml:space="preserve">Specific sections for </w:t>
      </w:r>
      <w:r w:rsidR="00B5269D">
        <w:rPr>
          <w:sz w:val="52"/>
        </w:rPr>
        <w:t>additional consultation</w:t>
      </w:r>
      <w:r w:rsidR="00CF71A5">
        <w:rPr>
          <w:sz w:val="52"/>
        </w:rPr>
        <w:t xml:space="preserve"> only</w:t>
      </w:r>
      <w:r w:rsidR="00B5269D">
        <w:rPr>
          <w:sz w:val="52"/>
        </w:rPr>
        <w:t xml:space="preserve">  </w:t>
      </w:r>
      <w:r w:rsidR="00B5269D">
        <w:t xml:space="preserve"> </w:t>
      </w:r>
    </w:p>
    <w:p w:rsidR="00B5269D" w:rsidRPr="0059458D" w:rsidRDefault="00B5269D" w:rsidP="00B5269D"/>
    <w:p w:rsidR="00B5269D" w:rsidRPr="0059458D" w:rsidRDefault="00E271F2" w:rsidP="00B5269D">
      <w:pPr>
        <w:pStyle w:val="ReportDate"/>
      </w:pPr>
      <w:r>
        <w:t>December</w:t>
      </w:r>
      <w:r w:rsidR="00B5269D">
        <w:t xml:space="preserve"> 2015</w:t>
      </w:r>
    </w:p>
    <w:p w:rsidR="00B5269D" w:rsidRDefault="00B5269D" w:rsidP="00B5269D">
      <w:pPr>
        <w:spacing w:line="240" w:lineRule="auto"/>
        <w:sectPr w:rsidR="00B5269D" w:rsidSect="00691616">
          <w:headerReference w:type="default" r:id="rId9"/>
          <w:footerReference w:type="default" r:id="rId10"/>
          <w:footerReference w:type="first" r:id="rId11"/>
          <w:pgSz w:w="11906" w:h="16838"/>
          <w:pgMar w:top="1276" w:right="1440" w:bottom="1440" w:left="1440" w:header="708" w:footer="708" w:gutter="0"/>
          <w:cols w:space="708"/>
          <w:docGrid w:linePitch="360"/>
        </w:sectPr>
      </w:pPr>
    </w:p>
    <w:p w:rsidR="00DC5772" w:rsidRPr="00B5269D" w:rsidRDefault="00180AFB" w:rsidP="00180AFB">
      <w:pPr>
        <w:pStyle w:val="Heading2"/>
      </w:pPr>
      <w:r>
        <w:lastRenderedPageBreak/>
        <w:t>About this consultation</w:t>
      </w:r>
    </w:p>
    <w:p w:rsidR="00DC5772" w:rsidRPr="005D538E" w:rsidRDefault="00DC5772" w:rsidP="00DC5772">
      <w:pPr>
        <w:rPr>
          <w:b/>
        </w:rPr>
      </w:pPr>
      <w:r>
        <w:rPr>
          <w:b/>
        </w:rPr>
        <w:t>Background</w:t>
      </w:r>
    </w:p>
    <w:p w:rsidR="00F80A30" w:rsidRPr="002F3B97" w:rsidRDefault="00DC5772" w:rsidP="00F34F02">
      <w:r w:rsidRPr="002F3B97">
        <w:t xml:space="preserve">On </w:t>
      </w:r>
      <w:r w:rsidR="002F3B97" w:rsidRPr="002F3B97">
        <w:t>25</w:t>
      </w:r>
      <w:r w:rsidRPr="002F3B97">
        <w:t xml:space="preserve"> </w:t>
      </w:r>
      <w:r w:rsidR="002F3B97" w:rsidRPr="002F3B97">
        <w:t xml:space="preserve">September </w:t>
      </w:r>
      <w:r w:rsidRPr="002F3B97">
        <w:t xml:space="preserve">2015, the AER released </w:t>
      </w:r>
      <w:r w:rsidR="00986A15">
        <w:t xml:space="preserve">the </w:t>
      </w:r>
      <w:r w:rsidRPr="002F3B97">
        <w:t>revised</w:t>
      </w:r>
      <w:r w:rsidR="008F7B36" w:rsidRPr="002F3B97">
        <w:t xml:space="preserve"> draft</w:t>
      </w:r>
      <w:r w:rsidRPr="002F3B97">
        <w:t xml:space="preserve"> Retail</w:t>
      </w:r>
      <w:r w:rsidR="002F3B97" w:rsidRPr="002F3B97">
        <w:t xml:space="preserve"> Exempt Selling guideline</w:t>
      </w:r>
      <w:r w:rsidRPr="002F3B97">
        <w:t xml:space="preserve"> </w:t>
      </w:r>
      <w:r w:rsidR="002F3B97" w:rsidRPr="002F3B97">
        <w:t>(Guideline</w:t>
      </w:r>
      <w:r w:rsidRPr="002F3B97">
        <w:t>)</w:t>
      </w:r>
      <w:r w:rsidR="0036584D" w:rsidRPr="002F3B97">
        <w:t xml:space="preserve"> and </w:t>
      </w:r>
      <w:r w:rsidR="008F7B36" w:rsidRPr="002F3B97">
        <w:t xml:space="preserve">an </w:t>
      </w:r>
      <w:r w:rsidR="0036584D" w:rsidRPr="002F3B97">
        <w:t>accompanying Notice of Draft Instrument (Notice) for public consultation</w:t>
      </w:r>
      <w:r w:rsidRPr="002F3B97">
        <w:t xml:space="preserve">. </w:t>
      </w:r>
    </w:p>
    <w:p w:rsidR="00F34F02" w:rsidRPr="002F3B97" w:rsidRDefault="002F3B97" w:rsidP="00F34F02">
      <w:r w:rsidRPr="002F3B97">
        <w:t>We received 22</w:t>
      </w:r>
      <w:r w:rsidR="0036584D" w:rsidRPr="002F3B97">
        <w:t xml:space="preserve"> submissions</w:t>
      </w:r>
      <w:r w:rsidR="008A378C" w:rsidRPr="002F3B97">
        <w:t xml:space="preserve"> and these were</w:t>
      </w:r>
      <w:r w:rsidR="0036584D" w:rsidRPr="002F3B97">
        <w:t xml:space="preserve"> generally </w:t>
      </w:r>
      <w:r w:rsidR="008644C7" w:rsidRPr="002F3B97">
        <w:t xml:space="preserve">supportive of </w:t>
      </w:r>
      <w:r w:rsidR="0036584D" w:rsidRPr="002F3B97">
        <w:t xml:space="preserve">the </w:t>
      </w:r>
      <w:r>
        <w:t xml:space="preserve">proposed amendments including in relation </w:t>
      </w:r>
      <w:r w:rsidR="00986A15">
        <w:t>to applications for retrofitted</w:t>
      </w:r>
      <w:r>
        <w:t xml:space="preserve"> embedded networks</w:t>
      </w:r>
      <w:r w:rsidR="0036584D" w:rsidRPr="002F3B97">
        <w:t xml:space="preserve">. </w:t>
      </w:r>
      <w:r w:rsidR="00F34F02" w:rsidRPr="002F3B97">
        <w:t>The consultation documents</w:t>
      </w:r>
      <w:r w:rsidR="00986A15">
        <w:t xml:space="preserve">, </w:t>
      </w:r>
      <w:r w:rsidR="00F34F02" w:rsidRPr="002F3B97">
        <w:t xml:space="preserve">submissions </w:t>
      </w:r>
      <w:r w:rsidR="00986A15">
        <w:t xml:space="preserve">and a summary of the public forum </w:t>
      </w:r>
      <w:r w:rsidR="00F34F02" w:rsidRPr="002F3B97">
        <w:t>are published on our website</w:t>
      </w:r>
      <w:r w:rsidR="00F80A30" w:rsidRPr="002F3B97">
        <w:t>.</w:t>
      </w:r>
      <w:r w:rsidR="00F34F02" w:rsidRPr="002F3B97">
        <w:rPr>
          <w:rStyle w:val="FootnoteReference"/>
        </w:rPr>
        <w:footnoteReference w:id="1"/>
      </w:r>
      <w:r w:rsidR="00F34F02" w:rsidRPr="002F3B97">
        <w:t xml:space="preserve"> </w:t>
      </w:r>
    </w:p>
    <w:p w:rsidR="0036584D" w:rsidRPr="002F3B97" w:rsidRDefault="00986A15" w:rsidP="0036584D">
      <w:r>
        <w:t xml:space="preserve">One of the </w:t>
      </w:r>
      <w:r w:rsidR="0036584D" w:rsidRPr="002F3B97">
        <w:t xml:space="preserve">concerns </w:t>
      </w:r>
      <w:r>
        <w:t>raised during the consultation was that</w:t>
      </w:r>
      <w:r w:rsidR="0036584D" w:rsidRPr="002F3B97">
        <w:t>, even with the pr</w:t>
      </w:r>
      <w:r w:rsidR="002F3B97">
        <w:t>oposed changes to the Guideline</w:t>
      </w:r>
      <w:r w:rsidR="0036584D" w:rsidRPr="002F3B97">
        <w:t>,</w:t>
      </w:r>
      <w:r w:rsidR="002F3B97">
        <w:t xml:space="preserve"> the consultation p</w:t>
      </w:r>
      <w:r>
        <w:t>rocess for individual exemption applications is not well understood or used by stakeholders.</w:t>
      </w:r>
      <w:r w:rsidR="0036584D" w:rsidRPr="002F3B97">
        <w:t xml:space="preserve"> </w:t>
      </w:r>
      <w:r>
        <w:t>Stakeholders raised a related concern</w:t>
      </w:r>
      <w:r w:rsidR="002F3B97">
        <w:t xml:space="preserve"> </w:t>
      </w:r>
      <w:r>
        <w:t xml:space="preserve">about </w:t>
      </w:r>
      <w:r w:rsidR="002F3B97">
        <w:t xml:space="preserve">how exempt sellers consult with affected customers when retrofitting an embedded network. </w:t>
      </w:r>
    </w:p>
    <w:p w:rsidR="00F80A30" w:rsidRPr="002F3B97" w:rsidRDefault="00F34F02" w:rsidP="00F34F02">
      <w:r w:rsidRPr="002F3B97">
        <w:t xml:space="preserve">We </w:t>
      </w:r>
      <w:r w:rsidR="00C301C7">
        <w:t>have considered</w:t>
      </w:r>
      <w:r w:rsidRPr="002F3B97">
        <w:t xml:space="preserve"> </w:t>
      </w:r>
      <w:r w:rsidR="00986A15">
        <w:t xml:space="preserve">the </w:t>
      </w:r>
      <w:r w:rsidRPr="002F3B97">
        <w:t xml:space="preserve">issues raised throughout the consultation process. To inform our finalisation of the Guidelines, we are inviting feedback from stakeholders </w:t>
      </w:r>
      <w:r w:rsidR="00C301C7">
        <w:t>on a further amendment</w:t>
      </w:r>
      <w:r w:rsidRPr="002F3B97">
        <w:t xml:space="preserve"> that we are proposing</w:t>
      </w:r>
      <w:r w:rsidR="00C301C7">
        <w:t xml:space="preserve"> relating to </w:t>
      </w:r>
      <w:r w:rsidR="009709F9">
        <w:t xml:space="preserve">the manner in which businesses </w:t>
      </w:r>
      <w:r w:rsidR="00C301C7">
        <w:t>consult</w:t>
      </w:r>
      <w:r w:rsidR="009709F9">
        <w:t xml:space="preserve"> with tenants / customers over proposed network conversions. </w:t>
      </w:r>
      <w:r w:rsidRPr="002F3B97">
        <w:t xml:space="preserve"> This document discusses th</w:t>
      </w:r>
      <w:r w:rsidR="00C301C7">
        <w:t>e proposed amendment</w:t>
      </w:r>
      <w:r w:rsidR="00DB7D6A" w:rsidRPr="002F3B97">
        <w:t>.</w:t>
      </w:r>
    </w:p>
    <w:p w:rsidR="00F80A30" w:rsidRPr="002F3B97" w:rsidRDefault="00F80A30" w:rsidP="00C15597">
      <w:pPr>
        <w:pStyle w:val="ListParagraph"/>
        <w:numPr>
          <w:ilvl w:val="0"/>
          <w:numId w:val="31"/>
        </w:numPr>
      </w:pPr>
      <w:r w:rsidRPr="002F3B97">
        <w:t xml:space="preserve">Feedback should be submitted to </w:t>
      </w:r>
      <w:hyperlink r:id="rId12" w:history="1">
        <w:r w:rsidR="00142F77" w:rsidRPr="002F3B97">
          <w:rPr>
            <w:rStyle w:val="Hyperlink"/>
          </w:rPr>
          <w:t>AERInquiry@aer.gov.au</w:t>
        </w:r>
      </w:hyperlink>
      <w:r w:rsidR="00142F77" w:rsidRPr="002F3B97">
        <w:t xml:space="preserve"> </w:t>
      </w:r>
      <w:r w:rsidRPr="002F3B97">
        <w:t xml:space="preserve">by </w:t>
      </w:r>
      <w:r w:rsidR="00C301C7">
        <w:rPr>
          <w:rStyle w:val="Strong"/>
        </w:rPr>
        <w:t xml:space="preserve">Monday 18 January </w:t>
      </w:r>
      <w:r w:rsidR="00C301C7" w:rsidRPr="00B92A18">
        <w:rPr>
          <w:rStyle w:val="Strong"/>
        </w:rPr>
        <w:t>201</w:t>
      </w:r>
      <w:r w:rsidR="00C301C7">
        <w:rPr>
          <w:rStyle w:val="Strong"/>
        </w:rPr>
        <w:t>6</w:t>
      </w:r>
      <w:r w:rsidR="00C301C7" w:rsidRPr="002F3B97">
        <w:t xml:space="preserve"> </w:t>
      </w:r>
      <w:r w:rsidRPr="002F3B97">
        <w:t>(see page</w:t>
      </w:r>
      <w:r w:rsidR="002776EE" w:rsidRPr="002F3B97">
        <w:t> </w:t>
      </w:r>
      <w:r w:rsidR="00986A15">
        <w:t>3</w:t>
      </w:r>
      <w:r w:rsidRPr="002F3B97">
        <w:t xml:space="preserve">). </w:t>
      </w:r>
    </w:p>
    <w:p w:rsidR="008D1071" w:rsidRPr="002F3B97" w:rsidRDefault="00F80A30" w:rsidP="008D1071">
      <w:pPr>
        <w:pStyle w:val="ListParagraph"/>
        <w:numPr>
          <w:ilvl w:val="0"/>
          <w:numId w:val="31"/>
        </w:numPr>
      </w:pPr>
      <w:r w:rsidRPr="002F3B97">
        <w:t xml:space="preserve">The implementation timeline has been updated to accommodate this extension to the consultation period (see page 3).  </w:t>
      </w:r>
    </w:p>
    <w:p w:rsidR="008D1071" w:rsidRPr="002F3B97" w:rsidRDefault="008D1071" w:rsidP="00F80A30">
      <w:r w:rsidRPr="002F3B97">
        <w:t>The proposed amendments should be read in conjunction with</w:t>
      </w:r>
      <w:r w:rsidR="002F3B97" w:rsidRPr="002F3B97">
        <w:t xml:space="preserve"> the Guideline released on 2</w:t>
      </w:r>
      <w:r w:rsidRPr="002F3B97">
        <w:t>5</w:t>
      </w:r>
      <w:r w:rsidR="002F3B97" w:rsidRPr="002F3B97">
        <w:t> </w:t>
      </w:r>
      <w:r w:rsidR="002F3B97">
        <w:t>September</w:t>
      </w:r>
      <w:r w:rsidRPr="002F3B97">
        <w:t xml:space="preserve"> 2015.</w:t>
      </w:r>
    </w:p>
    <w:p w:rsidR="00F80A30" w:rsidRPr="002F3B97" w:rsidRDefault="00F80A30" w:rsidP="00F80A30">
      <w:pPr>
        <w:rPr>
          <w:b/>
        </w:rPr>
      </w:pPr>
      <w:r w:rsidRPr="002F3B97">
        <w:rPr>
          <w:b/>
        </w:rPr>
        <w:t xml:space="preserve">Approach to consultation </w:t>
      </w:r>
    </w:p>
    <w:p w:rsidR="00F80A30" w:rsidRPr="002F3B97" w:rsidRDefault="00F80A30" w:rsidP="00F80A30">
      <w:r w:rsidRPr="002F3B97">
        <w:t xml:space="preserve">Under the retail consultation procedure, the AER must prepare </w:t>
      </w:r>
      <w:r w:rsidR="002F3B97" w:rsidRPr="002F3B97">
        <w:t xml:space="preserve">a </w:t>
      </w:r>
      <w:r w:rsidRPr="002F3B97">
        <w:t>draft Guideline for consultation, together with a Notice providing details of the</w:t>
      </w:r>
      <w:r w:rsidR="002F3B97" w:rsidRPr="002F3B97">
        <w:t xml:space="preserve"> context in which the Guideline</w:t>
      </w:r>
      <w:r w:rsidRPr="002F3B97">
        <w:t xml:space="preserve"> </w:t>
      </w:r>
      <w:r w:rsidR="002F3B97" w:rsidRPr="002F3B97">
        <w:t xml:space="preserve">has </w:t>
      </w:r>
      <w:r w:rsidRPr="002F3B97">
        <w:t>been prepared, the issues involved and the po</w:t>
      </w:r>
      <w:r w:rsidR="002F3B97" w:rsidRPr="002F3B97">
        <w:t>ssible effects of the Guideline</w:t>
      </w:r>
      <w:r w:rsidRPr="002F3B97">
        <w:t>.</w:t>
      </w:r>
      <w:r w:rsidRPr="002F3B97">
        <w:rPr>
          <w:vertAlign w:val="superscript"/>
        </w:rPr>
        <w:footnoteReference w:id="2"/>
      </w:r>
      <w:r w:rsidRPr="002F3B97">
        <w:t xml:space="preserve"> </w:t>
      </w:r>
    </w:p>
    <w:p w:rsidR="00F80A30" w:rsidRPr="002F3B97" w:rsidRDefault="00F80A30" w:rsidP="00F80A30">
      <w:r w:rsidRPr="002F3B97">
        <w:t>The AER must invite submissions and comments on the draft Guideline, and consider all submissions made within a specified time period of at least 20 business days. The AER must th</w:t>
      </w:r>
      <w:r w:rsidR="002F3B97" w:rsidRPr="002F3B97">
        <w:t>en publish a final Guideline</w:t>
      </w:r>
      <w:r w:rsidRPr="002F3B97">
        <w:t xml:space="preserve"> on its website, together with a written Notice stating the reasons for making the final Guideline.</w:t>
      </w:r>
    </w:p>
    <w:p w:rsidR="00F80A30" w:rsidRDefault="00D55932" w:rsidP="00F80A30">
      <w:r w:rsidRPr="002F3B97">
        <w:t>This consultation has met these requirements</w:t>
      </w:r>
      <w:r w:rsidR="00F80A30" w:rsidRPr="002F3B97">
        <w:t xml:space="preserve">. In addition to meeting these formal consultation requirements, we have conducted </w:t>
      </w:r>
      <w:r w:rsidR="00986A15">
        <w:t>a stakeholder forum</w:t>
      </w:r>
      <w:r w:rsidR="00F80A30" w:rsidRPr="002F3B97">
        <w:t xml:space="preserve"> </w:t>
      </w:r>
      <w:r w:rsidR="00986A15">
        <w:t xml:space="preserve">following the </w:t>
      </w:r>
      <w:r w:rsidR="002F3B97" w:rsidRPr="002F3B97">
        <w:t>release of the draft Guideline</w:t>
      </w:r>
      <w:r w:rsidR="00F80A30" w:rsidRPr="002F3B97">
        <w:t xml:space="preserve"> and continue to meet with stakeholders on request.</w:t>
      </w:r>
      <w:r w:rsidR="00F80A30" w:rsidRPr="008A1720">
        <w:t xml:space="preserve"> </w:t>
      </w:r>
    </w:p>
    <w:p w:rsidR="00F80A30" w:rsidRDefault="00F80A30" w:rsidP="00F80A30">
      <w:r>
        <w:lastRenderedPageBreak/>
        <w:t>We regard this consultation as an opportunity for interested stakeholders to consider and provide feedback on amendments that we are proposing to</w:t>
      </w:r>
      <w:r w:rsidR="00E271F2">
        <w:t xml:space="preserve"> include in the final Guideline</w:t>
      </w:r>
      <w:r>
        <w:t>. It</w:t>
      </w:r>
      <w:r w:rsidR="002776EE">
        <w:t> </w:t>
      </w:r>
      <w:r>
        <w:t xml:space="preserve">is not a new consultation, rather an extension of the ongoing consultation process. </w:t>
      </w:r>
    </w:p>
    <w:p w:rsidR="00F80A30" w:rsidRPr="005D538E" w:rsidRDefault="00F80A30" w:rsidP="00F80A30">
      <w:pPr>
        <w:keepNext/>
        <w:rPr>
          <w:b/>
        </w:rPr>
      </w:pPr>
      <w:r>
        <w:rPr>
          <w:b/>
        </w:rPr>
        <w:t>Amended timeline</w:t>
      </w:r>
    </w:p>
    <w:p w:rsidR="00F80A30" w:rsidRDefault="00F80A30" w:rsidP="00F80A30">
      <w:pPr>
        <w:keepNext/>
      </w:pPr>
      <w:r>
        <w:t>Due to the extension of the consultation phase, we anticipate the</w:t>
      </w:r>
      <w:r w:rsidR="00E271F2">
        <w:t xml:space="preserve"> final version of the Guideline</w:t>
      </w:r>
      <w:r>
        <w:t xml:space="preserve"> to be published</w:t>
      </w:r>
      <w:r w:rsidR="00E271F2">
        <w:t xml:space="preserve"> in the </w:t>
      </w:r>
      <w:r w:rsidR="00E271F2" w:rsidRPr="00306386">
        <w:t>first quarter of 2016</w:t>
      </w:r>
      <w:r w:rsidRPr="00306386">
        <w:t>.</w:t>
      </w:r>
      <w:r>
        <w:t xml:space="preserve"> </w:t>
      </w:r>
    </w:p>
    <w:p w:rsidR="00F80A30" w:rsidRDefault="00F80A30" w:rsidP="00F80A30">
      <w:r>
        <w:t xml:space="preserve">Please refer to the Retail </w:t>
      </w:r>
      <w:r w:rsidR="00E271F2">
        <w:t xml:space="preserve">Exempt Selling </w:t>
      </w:r>
      <w:r w:rsidR="00306386">
        <w:t>G</w:t>
      </w:r>
      <w:r w:rsidR="00E271F2">
        <w:t>uideline</w:t>
      </w:r>
      <w:r>
        <w:t xml:space="preserve"> consultation page of the AER website for an updated timeline</w:t>
      </w:r>
      <w:r>
        <w:rPr>
          <w:rStyle w:val="FootnoteReference"/>
        </w:rPr>
        <w:footnoteReference w:id="3"/>
      </w:r>
      <w:r>
        <w:t>.</w:t>
      </w:r>
    </w:p>
    <w:p w:rsidR="00DC5772" w:rsidRPr="005D538E" w:rsidRDefault="00DC5772" w:rsidP="00DC5772">
      <w:pPr>
        <w:rPr>
          <w:b/>
        </w:rPr>
      </w:pPr>
      <w:r>
        <w:rPr>
          <w:b/>
        </w:rPr>
        <w:t>Submissions</w:t>
      </w:r>
    </w:p>
    <w:p w:rsidR="00DC5772" w:rsidRPr="00A64E67" w:rsidRDefault="00DC5772" w:rsidP="00DC5772">
      <w:r w:rsidRPr="007647FA">
        <w:t xml:space="preserve">Interested parties are invited to </w:t>
      </w:r>
      <w:r w:rsidR="007B66AF">
        <w:t xml:space="preserve">provide </w:t>
      </w:r>
      <w:r w:rsidRPr="007647FA">
        <w:t xml:space="preserve">written </w:t>
      </w:r>
      <w:r w:rsidR="007B66AF">
        <w:t>feedback</w:t>
      </w:r>
      <w:r w:rsidR="007B66AF" w:rsidRPr="007647FA">
        <w:t xml:space="preserve"> </w:t>
      </w:r>
      <w:r w:rsidRPr="007647FA">
        <w:t>regarding the</w:t>
      </w:r>
      <w:r w:rsidR="001A69B5">
        <w:t xml:space="preserve">se amendments </w:t>
      </w:r>
      <w:r w:rsidRPr="007647FA">
        <w:t xml:space="preserve">by close of business, </w:t>
      </w:r>
      <w:r w:rsidR="00C301C7">
        <w:rPr>
          <w:rStyle w:val="Strong"/>
        </w:rPr>
        <w:t>Monday 18 January</w:t>
      </w:r>
      <w:r w:rsidR="00E271F2">
        <w:rPr>
          <w:rStyle w:val="Strong"/>
        </w:rPr>
        <w:t xml:space="preserve"> </w:t>
      </w:r>
      <w:r w:rsidRPr="00B92A18">
        <w:rPr>
          <w:rStyle w:val="Strong"/>
        </w:rPr>
        <w:t>201</w:t>
      </w:r>
      <w:r w:rsidR="00C301C7">
        <w:rPr>
          <w:rStyle w:val="Strong"/>
        </w:rPr>
        <w:t>6</w:t>
      </w:r>
      <w:r w:rsidRPr="00B92A18">
        <w:t>.</w:t>
      </w:r>
    </w:p>
    <w:p w:rsidR="00DC5772" w:rsidRPr="00A64E67" w:rsidRDefault="007B66AF" w:rsidP="00DC5772">
      <w:r>
        <w:t>Feedback</w:t>
      </w:r>
      <w:r w:rsidRPr="007647FA">
        <w:t xml:space="preserve"> </w:t>
      </w:r>
      <w:r w:rsidR="00DC5772" w:rsidRPr="007647FA">
        <w:t xml:space="preserve">should be sent electronically to: </w:t>
      </w:r>
      <w:hyperlink r:id="rId13" w:history="1">
        <w:r w:rsidRPr="007B66AF">
          <w:rPr>
            <w:rStyle w:val="Hyperlink"/>
          </w:rPr>
          <w:t>AERinquiry@aer.gov.au</w:t>
        </w:r>
      </w:hyperlink>
      <w:r w:rsidR="00DC5772">
        <w:t xml:space="preserve"> with the subject line 'AER Retail </w:t>
      </w:r>
      <w:r w:rsidR="00E271F2">
        <w:t>Exempt Selling Guideline</w:t>
      </w:r>
      <w:r w:rsidR="00DC5772">
        <w:t>'.</w:t>
      </w:r>
      <w:r w:rsidR="00DC5772" w:rsidRPr="00A64E67">
        <w:t xml:space="preserve"> </w:t>
      </w:r>
    </w:p>
    <w:p w:rsidR="00DC5772" w:rsidRPr="00A64E67" w:rsidRDefault="00DC5772" w:rsidP="00DC5772">
      <w:r w:rsidRPr="007647FA">
        <w:t xml:space="preserve">Alternatively, </w:t>
      </w:r>
      <w:r w:rsidR="007B66AF">
        <w:t xml:space="preserve">written feedback </w:t>
      </w:r>
      <w:r w:rsidRPr="00A64E67">
        <w:t>can be sent to:</w:t>
      </w:r>
    </w:p>
    <w:p w:rsidR="00DC5772" w:rsidRPr="00A64E67" w:rsidRDefault="00DC5772" w:rsidP="00DC5772">
      <w:r w:rsidRPr="007647FA">
        <w:tab/>
      </w:r>
      <w:r>
        <w:t>Ms Sarah Proudfoot</w:t>
      </w:r>
      <w:r>
        <w:br/>
      </w:r>
      <w:r w:rsidRPr="007647FA">
        <w:tab/>
      </w:r>
      <w:r>
        <w:t>General Manager</w:t>
      </w:r>
      <w:r w:rsidRPr="007647FA">
        <w:t>—</w:t>
      </w:r>
      <w:r w:rsidRPr="00A64E67">
        <w:t>Retail Markets Branch</w:t>
      </w:r>
      <w:r>
        <w:br/>
      </w:r>
      <w:r w:rsidRPr="007647FA">
        <w:tab/>
        <w:t>Australian Energy Regulator</w:t>
      </w:r>
      <w:r>
        <w:br/>
      </w:r>
      <w:r w:rsidRPr="007647FA">
        <w:tab/>
        <w:t xml:space="preserve">GPO Box </w:t>
      </w:r>
      <w:r w:rsidRPr="00A64E67">
        <w:t>520</w:t>
      </w:r>
      <w:r>
        <w:br/>
      </w:r>
      <w:r w:rsidRPr="007647FA">
        <w:tab/>
      </w:r>
      <w:r w:rsidRPr="00A64E67">
        <w:t>Melbourne VIC 3001</w:t>
      </w:r>
    </w:p>
    <w:p w:rsidR="00DC5772" w:rsidRPr="00A64E67" w:rsidRDefault="00DC5772" w:rsidP="00DC5772">
      <w:r>
        <w:t>We</w:t>
      </w:r>
      <w:r w:rsidRPr="00A64E67">
        <w:t xml:space="preserve"> prefer that all </w:t>
      </w:r>
      <w:r w:rsidR="007B66AF">
        <w:t xml:space="preserve">feedback </w:t>
      </w:r>
      <w:r w:rsidRPr="00A64E67">
        <w:t xml:space="preserve">be publicly available to facilitate an informed and transparent consultative process. </w:t>
      </w:r>
      <w:r w:rsidR="007B66AF">
        <w:t xml:space="preserve">Feedback </w:t>
      </w:r>
      <w:r w:rsidRPr="00A64E67">
        <w:t>will be treated as public documents unless otherwise requested. Parties wishing to submit confidential information are requested to:</w:t>
      </w:r>
    </w:p>
    <w:p w:rsidR="00DC5772" w:rsidRPr="00A64E67" w:rsidRDefault="00DC5772" w:rsidP="00DC5772">
      <w:pPr>
        <w:pStyle w:val="Bulletpoint"/>
        <w:ind w:left="357" w:hanging="357"/>
      </w:pPr>
      <w:r w:rsidRPr="007647FA">
        <w:t>clearly identify the information that is the subject of the confidentiality claim</w:t>
      </w:r>
    </w:p>
    <w:p w:rsidR="00DC5772" w:rsidRPr="00A64E67" w:rsidRDefault="00DC5772" w:rsidP="00DC5772">
      <w:pPr>
        <w:pStyle w:val="Bulletpoint"/>
        <w:ind w:left="357" w:hanging="357"/>
      </w:pPr>
      <w:r w:rsidRPr="007647FA">
        <w:t>provide a non-confidential version of the submission in a form suitable for publication.</w:t>
      </w:r>
    </w:p>
    <w:p w:rsidR="00DC5772" w:rsidRPr="00A64E67" w:rsidRDefault="00DC5772" w:rsidP="00DC5772">
      <w:r w:rsidRPr="007647FA">
        <w:t xml:space="preserve">We will place all non-confidential </w:t>
      </w:r>
      <w:r w:rsidR="007B66AF">
        <w:t xml:space="preserve">feedback </w:t>
      </w:r>
      <w:r w:rsidRPr="007647FA">
        <w:t xml:space="preserve">on our website at </w:t>
      </w:r>
      <w:hyperlink r:id="rId14" w:history="1">
        <w:r w:rsidRPr="00A64E67">
          <w:rPr>
            <w:rStyle w:val="Hyperlink"/>
          </w:rPr>
          <w:t>www.aer.gov.au</w:t>
        </w:r>
      </w:hyperlink>
      <w:r w:rsidRPr="00A64E67">
        <w:t xml:space="preserve">. For further information regarding the AER's use and disclosure of information provided to it, see the ACCC/AER Information Policy, </w:t>
      </w:r>
      <w:r>
        <w:t>June 2014,</w:t>
      </w:r>
      <w:r w:rsidRPr="00A64E67">
        <w:t xml:space="preserve"> available on the AER website.</w:t>
      </w:r>
    </w:p>
    <w:p w:rsidR="00DD7AD2" w:rsidRDefault="00DD7AD2">
      <w:pPr>
        <w:spacing w:line="240" w:lineRule="auto"/>
        <w:sectPr w:rsidR="00DD7AD2" w:rsidSect="00691616">
          <w:headerReference w:type="default" r:id="rId15"/>
          <w:pgSz w:w="11906" w:h="16838"/>
          <w:pgMar w:top="1276" w:right="1440" w:bottom="1440" w:left="1440" w:header="708" w:footer="708" w:gutter="0"/>
          <w:cols w:space="708"/>
          <w:docGrid w:linePitch="360"/>
        </w:sectPr>
      </w:pPr>
    </w:p>
    <w:p w:rsidR="00DD7AD2" w:rsidRPr="00DD7AD2" w:rsidRDefault="005635A8" w:rsidP="00DD7AD2">
      <w:pPr>
        <w:pStyle w:val="Heading2"/>
      </w:pPr>
      <w:r>
        <w:lastRenderedPageBreak/>
        <w:t>A</w:t>
      </w:r>
      <w:r w:rsidR="00DD7AD2">
        <w:t>mend</w:t>
      </w:r>
      <w:r>
        <w:t>ed sections of the Guideline</w:t>
      </w:r>
    </w:p>
    <w:p w:rsidR="003D71A9" w:rsidRDefault="005635A8" w:rsidP="00DD7AD2">
      <w:r>
        <w:t xml:space="preserve">Set out below are the </w:t>
      </w:r>
      <w:r w:rsidR="00DD7AD2">
        <w:t xml:space="preserve">amended sections that we are inviting further stakeholder feedback on. </w:t>
      </w:r>
      <w:r>
        <w:t xml:space="preserve"> R</w:t>
      </w:r>
      <w:r w:rsidR="00DD7AD2">
        <w:t xml:space="preserve">eferences provided are to the initial consultation draft.  </w:t>
      </w:r>
    </w:p>
    <w:p w:rsidR="003D71A9" w:rsidRDefault="005635A8" w:rsidP="005635A8">
      <w:pPr>
        <w:pStyle w:val="Tabletitle"/>
      </w:pPr>
      <w:r>
        <w:t>Table: amended sections of the Guideline</w:t>
      </w:r>
    </w:p>
    <w:tbl>
      <w:tblPr>
        <w:tblStyle w:val="TableGrid"/>
        <w:tblW w:w="0" w:type="auto"/>
        <w:tblInd w:w="-34" w:type="dxa"/>
        <w:tblLook w:val="04A0" w:firstRow="1" w:lastRow="0" w:firstColumn="1" w:lastColumn="0" w:noHBand="0" w:noVBand="1"/>
      </w:tblPr>
      <w:tblGrid>
        <w:gridCol w:w="1484"/>
        <w:gridCol w:w="1352"/>
        <w:gridCol w:w="6378"/>
      </w:tblGrid>
      <w:tr w:rsidR="003D71A9" w:rsidTr="00095D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tcPr>
          <w:p w:rsidR="00DD7AD2" w:rsidRDefault="00DD7AD2" w:rsidP="00410F15">
            <w:r>
              <w:t>Section</w:t>
            </w:r>
          </w:p>
        </w:tc>
        <w:tc>
          <w:tcPr>
            <w:tcW w:w="1352" w:type="dxa"/>
          </w:tcPr>
          <w:p w:rsidR="00DD7AD2" w:rsidRDefault="00DD7AD2" w:rsidP="00410F15">
            <w:pPr>
              <w:cnfStyle w:val="100000000000" w:firstRow="1" w:lastRow="0" w:firstColumn="0" w:lastColumn="0" w:oddVBand="0" w:evenVBand="0" w:oddHBand="0" w:evenHBand="0" w:firstRowFirstColumn="0" w:firstRowLastColumn="0" w:lastRowFirstColumn="0" w:lastRowLastColumn="0"/>
            </w:pPr>
            <w:r>
              <w:t xml:space="preserve">Reference </w:t>
            </w:r>
          </w:p>
        </w:tc>
        <w:tc>
          <w:tcPr>
            <w:tcW w:w="6378" w:type="dxa"/>
          </w:tcPr>
          <w:p w:rsidR="00DD7AD2" w:rsidRDefault="00B92A18" w:rsidP="00B92A18">
            <w:pPr>
              <w:cnfStyle w:val="100000000000" w:firstRow="1" w:lastRow="0" w:firstColumn="0" w:lastColumn="0" w:oddVBand="0" w:evenVBand="0" w:oddHBand="0" w:evenHBand="0" w:firstRowFirstColumn="0" w:firstRowLastColumn="0" w:lastRowFirstColumn="0" w:lastRowLastColumn="0"/>
            </w:pPr>
            <w:r>
              <w:t>A</w:t>
            </w:r>
            <w:r w:rsidR="00DD7AD2">
              <w:t xml:space="preserve">mendment </w:t>
            </w:r>
          </w:p>
        </w:tc>
      </w:tr>
      <w:tr w:rsidR="003D71A9" w:rsidTr="00095DA1">
        <w:tc>
          <w:tcPr>
            <w:cnfStyle w:val="001000000000" w:firstRow="0" w:lastRow="0" w:firstColumn="1" w:lastColumn="0" w:oddVBand="0" w:evenVBand="0" w:oddHBand="0" w:evenHBand="0" w:firstRowFirstColumn="0" w:firstRowLastColumn="0" w:lastRowFirstColumn="0" w:lastRowLastColumn="0"/>
            <w:tcW w:w="1484" w:type="dxa"/>
          </w:tcPr>
          <w:p w:rsidR="008A3778" w:rsidRDefault="00E271F2" w:rsidP="00410F15">
            <w:r>
              <w:t>Consultation requirements for retrofitted embedded network applications</w:t>
            </w:r>
          </w:p>
        </w:tc>
        <w:tc>
          <w:tcPr>
            <w:tcW w:w="1352" w:type="dxa"/>
          </w:tcPr>
          <w:p w:rsidR="00DD7AD2" w:rsidRPr="00095DA1" w:rsidRDefault="00E91050" w:rsidP="00E91050">
            <w:pPr>
              <w:cnfStyle w:val="000000000000" w:firstRow="0" w:lastRow="0" w:firstColumn="0" w:lastColumn="0" w:oddVBand="0" w:evenVBand="0" w:oddHBand="0" w:evenHBand="0" w:firstRowFirstColumn="0" w:firstRowLastColumn="0" w:lastRowFirstColumn="0" w:lastRowLastColumn="0"/>
            </w:pPr>
            <w:r>
              <w:t xml:space="preserve">Section </w:t>
            </w:r>
            <w:r w:rsidR="00095DA1" w:rsidRPr="00095DA1">
              <w:t xml:space="preserve">4.4 </w:t>
            </w:r>
          </w:p>
        </w:tc>
        <w:tc>
          <w:tcPr>
            <w:tcW w:w="6378" w:type="dxa"/>
          </w:tcPr>
          <w:p w:rsidR="003D71A9" w:rsidRPr="00E91050" w:rsidRDefault="00E91050" w:rsidP="00410F15">
            <w:pPr>
              <w:cnfStyle w:val="000000000000" w:firstRow="0" w:lastRow="0" w:firstColumn="0" w:lastColumn="0" w:oddVBand="0" w:evenVBand="0" w:oddHBand="0" w:evenHBand="0" w:firstRowFirstColumn="0" w:firstRowLastColumn="0" w:lastRowFirstColumn="0" w:lastRowLastColumn="0"/>
              <w:rPr>
                <w:i/>
              </w:rPr>
            </w:pPr>
            <w:r w:rsidRPr="00E91050">
              <w:rPr>
                <w:i/>
              </w:rPr>
              <w:t xml:space="preserve">As part of your application you will need to advise affected tenants or customers about your proposal to retrofit, in particular, what this will mean in terms of accessing a retailer of choice, and to provide us with evidence that you have consulted tenants or customers.  </w:t>
            </w:r>
          </w:p>
        </w:tc>
      </w:tr>
      <w:tr w:rsidR="00E91050" w:rsidTr="00095DA1">
        <w:tc>
          <w:tcPr>
            <w:cnfStyle w:val="001000000000" w:firstRow="0" w:lastRow="0" w:firstColumn="1" w:lastColumn="0" w:oddVBand="0" w:evenVBand="0" w:oddHBand="0" w:evenHBand="0" w:firstRowFirstColumn="0" w:firstRowLastColumn="0" w:lastRowFirstColumn="0" w:lastRowLastColumn="0"/>
            <w:tcW w:w="1484" w:type="dxa"/>
          </w:tcPr>
          <w:p w:rsidR="00E91050" w:rsidRDefault="00E91050" w:rsidP="00410F15"/>
        </w:tc>
        <w:tc>
          <w:tcPr>
            <w:tcW w:w="1352" w:type="dxa"/>
          </w:tcPr>
          <w:p w:rsidR="00E91050" w:rsidRDefault="00E91050" w:rsidP="00410F15">
            <w:pPr>
              <w:cnfStyle w:val="000000000000" w:firstRow="0" w:lastRow="0" w:firstColumn="0" w:lastColumn="0" w:oddVBand="0" w:evenVBand="0" w:oddHBand="0" w:evenHBand="0" w:firstRowFirstColumn="0" w:firstRowLastColumn="0" w:lastRowFirstColumn="0" w:lastRowLastColumn="0"/>
            </w:pPr>
            <w:r w:rsidRPr="00095DA1">
              <w:t>Appendix B</w:t>
            </w:r>
          </w:p>
        </w:tc>
        <w:tc>
          <w:tcPr>
            <w:tcW w:w="6378" w:type="dxa"/>
          </w:tcPr>
          <w:p w:rsidR="00E91050" w:rsidRPr="00E91050" w:rsidRDefault="00E91050" w:rsidP="00E91050">
            <w:pPr>
              <w:pStyle w:val="Heading4"/>
              <w:spacing w:before="0"/>
              <w:outlineLvl w:val="3"/>
              <w:cnfStyle w:val="000000000000" w:firstRow="0" w:lastRow="0" w:firstColumn="0" w:lastColumn="0" w:oddVBand="0" w:evenVBand="0" w:oddHBand="0" w:evenHBand="0" w:firstRowFirstColumn="0" w:firstRowLastColumn="0" w:lastRowFirstColumn="0" w:lastRowLastColumn="0"/>
              <w:rPr>
                <w:sz w:val="22"/>
              </w:rPr>
            </w:pPr>
            <w:r w:rsidRPr="00E91050">
              <w:rPr>
                <w:sz w:val="22"/>
              </w:rPr>
              <w:t>If you are planning to convert a site to an embedded network</w:t>
            </w:r>
          </w:p>
          <w:p w:rsidR="00E91050" w:rsidRPr="00E91050" w:rsidRDefault="00E91050" w:rsidP="00E91050">
            <w:pPr>
              <w:pStyle w:val="ListParagraph"/>
              <w:numPr>
                <w:ilvl w:val="0"/>
                <w:numId w:val="35"/>
              </w:numPr>
              <w:tabs>
                <w:tab w:val="clear" w:pos="340"/>
              </w:tabs>
              <w:spacing w:after="120"/>
              <w:contextualSpacing/>
              <w:cnfStyle w:val="000000000000" w:firstRow="0" w:lastRow="0" w:firstColumn="0" w:lastColumn="0" w:oddVBand="0" w:evenVBand="0" w:oddHBand="0" w:evenHBand="0" w:firstRowFirstColumn="0" w:firstRowLastColumn="0" w:lastRowFirstColumn="0" w:lastRowLastColumn="0"/>
              <w:rPr>
                <w:rFonts w:eastAsiaTheme="majorEastAsia" w:cs="Arial"/>
                <w:i/>
                <w:szCs w:val="24"/>
              </w:rPr>
            </w:pPr>
            <w:r w:rsidRPr="00E91050">
              <w:rPr>
                <w:i/>
              </w:rPr>
              <w:t xml:space="preserve">As part of your application to sell energy through a planned brownfield embedded network please confirm the following: </w:t>
            </w:r>
          </w:p>
          <w:p w:rsidR="00E91050" w:rsidRPr="00E91050" w:rsidRDefault="00E91050" w:rsidP="00E91050">
            <w:pPr>
              <w:pStyle w:val="ListParagraph"/>
              <w:numPr>
                <w:ilvl w:val="1"/>
                <w:numId w:val="36"/>
              </w:numPr>
              <w:tabs>
                <w:tab w:val="clear" w:pos="340"/>
              </w:tabs>
              <w:spacing w:after="120"/>
              <w:contextualSpacing/>
              <w:cnfStyle w:val="000000000000" w:firstRow="0" w:lastRow="0" w:firstColumn="0" w:lastColumn="0" w:oddVBand="0" w:evenVBand="0" w:oddHBand="0" w:evenHBand="0" w:firstRowFirstColumn="0" w:firstRowLastColumn="0" w:lastRowFirstColumn="0" w:lastRowLastColumn="0"/>
              <w:rPr>
                <w:rFonts w:eastAsiaTheme="majorEastAsia" w:cs="Arial"/>
                <w:i/>
                <w:szCs w:val="24"/>
              </w:rPr>
            </w:pPr>
            <w:r w:rsidRPr="00E91050">
              <w:rPr>
                <w:i/>
              </w:rPr>
              <w:t>you have advised tenants /</w:t>
            </w:r>
            <w:r w:rsidR="00306386">
              <w:rPr>
                <w:i/>
              </w:rPr>
              <w:t xml:space="preserve"> </w:t>
            </w:r>
            <w:r w:rsidRPr="00E91050">
              <w:rPr>
                <w:i/>
              </w:rPr>
              <w:t>customers that you are planning to retrofit the site as an embedded network. You must include a copy of the advice to tenants</w:t>
            </w:r>
            <w:r w:rsidR="00306386">
              <w:rPr>
                <w:i/>
              </w:rPr>
              <w:t xml:space="preserve"> </w:t>
            </w:r>
            <w:r w:rsidRPr="00E91050">
              <w:rPr>
                <w:i/>
              </w:rPr>
              <w:t>/</w:t>
            </w:r>
            <w:r w:rsidR="00306386">
              <w:rPr>
                <w:i/>
              </w:rPr>
              <w:t xml:space="preserve"> </w:t>
            </w:r>
            <w:r w:rsidRPr="00E91050">
              <w:rPr>
                <w:i/>
              </w:rPr>
              <w:t xml:space="preserve">customers including details about how this will affect the tenants’ / customers’ ability to access a retailer of choice. </w:t>
            </w:r>
          </w:p>
          <w:p w:rsidR="00E91050" w:rsidRPr="00E91050" w:rsidRDefault="00E91050" w:rsidP="00E91050">
            <w:pPr>
              <w:pStyle w:val="ListParagraph"/>
              <w:numPr>
                <w:ilvl w:val="1"/>
                <w:numId w:val="36"/>
              </w:numPr>
              <w:tabs>
                <w:tab w:val="clear" w:pos="340"/>
              </w:tabs>
              <w:spacing w:after="120"/>
              <w:contextualSpacing/>
              <w:cnfStyle w:val="000000000000" w:firstRow="0" w:lastRow="0" w:firstColumn="0" w:lastColumn="0" w:oddVBand="0" w:evenVBand="0" w:oddHBand="0" w:evenHBand="0" w:firstRowFirstColumn="0" w:firstRowLastColumn="0" w:lastRowFirstColumn="0" w:lastRowLastColumn="0"/>
              <w:rPr>
                <w:rFonts w:eastAsiaTheme="majorEastAsia" w:cs="Arial"/>
                <w:i/>
                <w:szCs w:val="24"/>
              </w:rPr>
            </w:pPr>
            <w:r w:rsidRPr="00E91050">
              <w:rPr>
                <w:i/>
              </w:rPr>
              <w:t>you have informed tenants</w:t>
            </w:r>
            <w:r w:rsidR="00306386">
              <w:rPr>
                <w:i/>
              </w:rPr>
              <w:t xml:space="preserve"> </w:t>
            </w:r>
            <w:r w:rsidRPr="00E91050">
              <w:rPr>
                <w:i/>
              </w:rPr>
              <w:t>/</w:t>
            </w:r>
            <w:r w:rsidR="00306386">
              <w:rPr>
                <w:i/>
              </w:rPr>
              <w:t xml:space="preserve"> </w:t>
            </w:r>
            <w:r w:rsidRPr="00E91050">
              <w:rPr>
                <w:i/>
              </w:rPr>
              <w:t xml:space="preserve">customers that the AER consults on individual exemption applications and provide them with information about how to make a submission to the AER’s consultation process. </w:t>
            </w:r>
          </w:p>
          <w:p w:rsidR="00E91050" w:rsidRPr="00E91050" w:rsidRDefault="00E91050" w:rsidP="00E91050">
            <w:pPr>
              <w:pStyle w:val="ListParagraph"/>
              <w:numPr>
                <w:ilvl w:val="1"/>
                <w:numId w:val="36"/>
              </w:numPr>
              <w:tabs>
                <w:tab w:val="clear" w:pos="340"/>
              </w:tabs>
              <w:spacing w:after="120"/>
              <w:contextualSpacing/>
              <w:cnfStyle w:val="000000000000" w:firstRow="0" w:lastRow="0" w:firstColumn="0" w:lastColumn="0" w:oddVBand="0" w:evenVBand="0" w:oddHBand="0" w:evenHBand="0" w:firstRowFirstColumn="0" w:firstRowLastColumn="0" w:lastRowFirstColumn="0" w:lastRowLastColumn="0"/>
              <w:rPr>
                <w:rFonts w:eastAsiaTheme="majorEastAsia" w:cs="Arial"/>
                <w:i/>
                <w:szCs w:val="24"/>
              </w:rPr>
            </w:pPr>
            <w:r w:rsidRPr="00E91050">
              <w:rPr>
                <w:rFonts w:eastAsiaTheme="majorEastAsia" w:cs="Arial"/>
                <w:i/>
                <w:szCs w:val="24"/>
              </w:rPr>
              <w:t>you will advise tenants</w:t>
            </w:r>
            <w:r w:rsidR="00306386">
              <w:rPr>
                <w:rFonts w:eastAsiaTheme="majorEastAsia" w:cs="Arial"/>
                <w:i/>
                <w:szCs w:val="24"/>
              </w:rPr>
              <w:t xml:space="preserve"> </w:t>
            </w:r>
            <w:r w:rsidRPr="00E91050">
              <w:rPr>
                <w:rFonts w:eastAsiaTheme="majorEastAsia" w:cs="Arial"/>
                <w:i/>
                <w:szCs w:val="24"/>
              </w:rPr>
              <w:t>/</w:t>
            </w:r>
            <w:r w:rsidR="00306386">
              <w:rPr>
                <w:rFonts w:eastAsiaTheme="majorEastAsia" w:cs="Arial"/>
                <w:i/>
                <w:szCs w:val="24"/>
              </w:rPr>
              <w:t xml:space="preserve"> </w:t>
            </w:r>
            <w:r w:rsidRPr="00E91050">
              <w:rPr>
                <w:rFonts w:eastAsiaTheme="majorEastAsia" w:cs="Arial"/>
                <w:i/>
                <w:szCs w:val="24"/>
              </w:rPr>
              <w:t xml:space="preserve">customers when the application is published for consultation and when the consultation period ends. </w:t>
            </w:r>
          </w:p>
          <w:p w:rsidR="00E91050" w:rsidRPr="00E91050" w:rsidRDefault="00E91050" w:rsidP="00E91050">
            <w:pPr>
              <w:pStyle w:val="ListParagraph"/>
              <w:numPr>
                <w:ilvl w:val="0"/>
                <w:numId w:val="35"/>
              </w:numPr>
              <w:tabs>
                <w:tab w:val="clear" w:pos="340"/>
              </w:tabs>
              <w:spacing w:after="120"/>
              <w:contextualSpacing/>
              <w:cnfStyle w:val="000000000000" w:firstRow="0" w:lastRow="0" w:firstColumn="0" w:lastColumn="0" w:oddVBand="0" w:evenVBand="0" w:oddHBand="0" w:evenHBand="0" w:firstRowFirstColumn="0" w:firstRowLastColumn="0" w:lastRowFirstColumn="0" w:lastRowLastColumn="0"/>
              <w:rPr>
                <w:i/>
              </w:rPr>
            </w:pPr>
            <w:r w:rsidRPr="00E91050">
              <w:rPr>
                <w:i/>
              </w:rPr>
              <w:t xml:space="preserve">We may require you to provide evidence of tenants’ / customers’ explicit informed consent for applications involving retrofitted embedded networks. </w:t>
            </w:r>
          </w:p>
        </w:tc>
      </w:tr>
    </w:tbl>
    <w:bookmarkEnd w:id="0"/>
    <w:p w:rsidR="005D538E" w:rsidRPr="0001492E" w:rsidRDefault="00E91050" w:rsidP="005D538E">
      <w:pPr>
        <w:rPr>
          <w:b/>
        </w:rPr>
      </w:pPr>
      <w:r>
        <w:rPr>
          <w:b/>
        </w:rPr>
        <w:t xml:space="preserve">Additional information to be provided </w:t>
      </w:r>
      <w:r w:rsidR="008A3778" w:rsidRPr="0001492E">
        <w:rPr>
          <w:b/>
        </w:rPr>
        <w:t>as part of individual exemption application</w:t>
      </w:r>
    </w:p>
    <w:p w:rsidR="00095DA1" w:rsidRDefault="00095DA1" w:rsidP="007A7ED7">
      <w:r>
        <w:t>We are proposing to amend Appendix B (</w:t>
      </w:r>
      <w:r w:rsidRPr="00E91050">
        <w:rPr>
          <w:i/>
        </w:rPr>
        <w:t>Information required for individual exemption applications (other than PPA providers)</w:t>
      </w:r>
      <w:r>
        <w:t>) to include a number of additional information requirements for applicants proposing to retrofit a site. This proposed amendment arises out of the AER’s recent consideration of</w:t>
      </w:r>
      <w:r w:rsidR="0001492E">
        <w:t xml:space="preserve"> a number of individual exemption applications </w:t>
      </w:r>
      <w:r>
        <w:t xml:space="preserve">for retrofitted embedded networks and the consultation process following the release of the Guideline and Notice. </w:t>
      </w:r>
    </w:p>
    <w:p w:rsidR="007A7ED7" w:rsidRDefault="00095DA1" w:rsidP="007A7ED7">
      <w:r>
        <w:t xml:space="preserve">In the course of considering individual exemption applications for shopping centre sites to be retrofitted as embedded networks, it has become clear to the AER that stakeholders immediately affected by the conversion do not </w:t>
      </w:r>
      <w:r w:rsidR="009709F9">
        <w:t xml:space="preserve">always </w:t>
      </w:r>
      <w:r>
        <w:t>know about</w:t>
      </w:r>
      <w:r w:rsidR="009709F9">
        <w:t>,</w:t>
      </w:r>
      <w:r>
        <w:t xml:space="preserve"> or understand</w:t>
      </w:r>
      <w:r w:rsidR="009709F9">
        <w:t>,</w:t>
      </w:r>
      <w:r>
        <w:t xml:space="preserve"> the AER’s consultation process or the exemption application more broadly. </w:t>
      </w:r>
    </w:p>
    <w:p w:rsidR="00C301C7" w:rsidRPr="00C301C7" w:rsidRDefault="005635A8" w:rsidP="002366CF">
      <w:pPr>
        <w:keepNext/>
      </w:pPr>
      <w:r>
        <w:lastRenderedPageBreak/>
        <w:t>As set out in the Table above, w</w:t>
      </w:r>
      <w:r w:rsidR="00095DA1">
        <w:t xml:space="preserve">e are proposing to </w:t>
      </w:r>
      <w:r w:rsidR="00FF790F">
        <w:t xml:space="preserve">require an applicant to </w:t>
      </w:r>
      <w:r w:rsidR="00C301C7">
        <w:t xml:space="preserve">confirm </w:t>
      </w:r>
      <w:r w:rsidR="00FF790F">
        <w:t xml:space="preserve">the </w:t>
      </w:r>
      <w:r>
        <w:t>embedded network operator</w:t>
      </w:r>
      <w:r w:rsidR="00306386">
        <w:t xml:space="preserve"> </w:t>
      </w:r>
      <w:r>
        <w:t>/</w:t>
      </w:r>
      <w:r w:rsidR="00306386">
        <w:t xml:space="preserve"> </w:t>
      </w:r>
      <w:r>
        <w:t>exempt seller</w:t>
      </w:r>
      <w:r w:rsidR="00306386">
        <w:t>:</w:t>
      </w:r>
      <w:r w:rsidR="00FF790F">
        <w:t xml:space="preserve"> </w:t>
      </w:r>
    </w:p>
    <w:p w:rsidR="00C301C7" w:rsidRDefault="00C301C7" w:rsidP="00077E97">
      <w:pPr>
        <w:pStyle w:val="ListParagraph"/>
        <w:keepNext/>
        <w:numPr>
          <w:ilvl w:val="1"/>
          <w:numId w:val="33"/>
        </w:numPr>
        <w:tabs>
          <w:tab w:val="clear" w:pos="340"/>
        </w:tabs>
        <w:spacing w:after="120"/>
        <w:ind w:left="714" w:hanging="357"/>
        <w:rPr>
          <w:rFonts w:eastAsiaTheme="majorEastAsia" w:cs="Arial"/>
          <w:szCs w:val="24"/>
        </w:rPr>
      </w:pPr>
      <w:r>
        <w:t xml:space="preserve">has advised tenants /customers that </w:t>
      </w:r>
      <w:r w:rsidR="009709F9">
        <w:t xml:space="preserve">they </w:t>
      </w:r>
      <w:r>
        <w:t>are planning to retrofit the site as an embedded network. They must include a copy of the advice to tenants</w:t>
      </w:r>
      <w:r w:rsidR="00306386">
        <w:t xml:space="preserve"> </w:t>
      </w:r>
      <w:r>
        <w:t>/</w:t>
      </w:r>
      <w:r w:rsidR="00306386">
        <w:t xml:space="preserve"> </w:t>
      </w:r>
      <w:r>
        <w:t xml:space="preserve">customers including </w:t>
      </w:r>
      <w:r w:rsidR="009709F9">
        <w:t xml:space="preserve">details </w:t>
      </w:r>
      <w:r>
        <w:t>about how this will affect the tenant’s</w:t>
      </w:r>
      <w:r w:rsidR="00306386">
        <w:t xml:space="preserve"> </w:t>
      </w:r>
      <w:r>
        <w:t>/</w:t>
      </w:r>
      <w:r w:rsidR="00306386">
        <w:t xml:space="preserve"> </w:t>
      </w:r>
      <w:r>
        <w:t xml:space="preserve">customer’s ability to access a retailer of choice. </w:t>
      </w:r>
    </w:p>
    <w:p w:rsidR="00C301C7" w:rsidRDefault="00C301C7" w:rsidP="00077E97">
      <w:pPr>
        <w:pStyle w:val="ListParagraph"/>
        <w:numPr>
          <w:ilvl w:val="1"/>
          <w:numId w:val="33"/>
        </w:numPr>
        <w:tabs>
          <w:tab w:val="clear" w:pos="340"/>
        </w:tabs>
        <w:spacing w:after="120"/>
        <w:ind w:left="714" w:hanging="357"/>
        <w:rPr>
          <w:rFonts w:eastAsiaTheme="majorEastAsia" w:cs="Arial"/>
          <w:szCs w:val="24"/>
        </w:rPr>
      </w:pPr>
      <w:r>
        <w:t>has informed tenants</w:t>
      </w:r>
      <w:r w:rsidR="00306386">
        <w:t xml:space="preserve"> / </w:t>
      </w:r>
      <w:r>
        <w:t xml:space="preserve">customers that the AER consults on individual exemption applications and </w:t>
      </w:r>
      <w:r w:rsidR="00CE6B4D">
        <w:t xml:space="preserve">has </w:t>
      </w:r>
      <w:r>
        <w:t>provide</w:t>
      </w:r>
      <w:r w:rsidR="00CE6B4D">
        <w:t>d</w:t>
      </w:r>
      <w:r>
        <w:t xml:space="preserve"> them with information about how to make a submission to the AER’s consultation process. </w:t>
      </w:r>
    </w:p>
    <w:p w:rsidR="00C301C7" w:rsidRDefault="00C301C7" w:rsidP="00077E97">
      <w:pPr>
        <w:pStyle w:val="ListParagraph"/>
        <w:numPr>
          <w:ilvl w:val="1"/>
          <w:numId w:val="33"/>
        </w:numPr>
        <w:tabs>
          <w:tab w:val="clear" w:pos="340"/>
        </w:tabs>
        <w:spacing w:after="120"/>
        <w:ind w:left="714" w:hanging="357"/>
        <w:rPr>
          <w:rFonts w:eastAsiaTheme="majorEastAsia" w:cs="Arial"/>
          <w:szCs w:val="24"/>
        </w:rPr>
      </w:pPr>
      <w:r>
        <w:rPr>
          <w:rFonts w:eastAsiaTheme="majorEastAsia" w:cs="Arial"/>
          <w:szCs w:val="24"/>
        </w:rPr>
        <w:t>will advise tenants</w:t>
      </w:r>
      <w:r w:rsidR="00306386">
        <w:rPr>
          <w:rFonts w:eastAsiaTheme="majorEastAsia" w:cs="Arial"/>
          <w:szCs w:val="24"/>
        </w:rPr>
        <w:t xml:space="preserve"> </w:t>
      </w:r>
      <w:r>
        <w:rPr>
          <w:rFonts w:eastAsiaTheme="majorEastAsia" w:cs="Arial"/>
          <w:szCs w:val="24"/>
        </w:rPr>
        <w:t>/</w:t>
      </w:r>
      <w:r w:rsidR="00306386">
        <w:rPr>
          <w:rFonts w:eastAsiaTheme="majorEastAsia" w:cs="Arial"/>
          <w:szCs w:val="24"/>
        </w:rPr>
        <w:t xml:space="preserve"> </w:t>
      </w:r>
      <w:r>
        <w:rPr>
          <w:rFonts w:eastAsiaTheme="majorEastAsia" w:cs="Arial"/>
          <w:szCs w:val="24"/>
        </w:rPr>
        <w:t xml:space="preserve">customers when the application is published for consultation and when the consultation period ends. </w:t>
      </w:r>
    </w:p>
    <w:p w:rsidR="008A3778" w:rsidRPr="00C301C7" w:rsidRDefault="00FF790F" w:rsidP="00C301C7">
      <w:r>
        <w:t xml:space="preserve">Section 4.4 of the Guideline is also amended to include a </w:t>
      </w:r>
      <w:r w:rsidR="00C301C7">
        <w:t xml:space="preserve">summary </w:t>
      </w:r>
      <w:r>
        <w:t xml:space="preserve">of these requirements. </w:t>
      </w:r>
    </w:p>
    <w:sectPr w:rsidR="008A3778" w:rsidRPr="00C301C7" w:rsidSect="00691616">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38E" w:rsidRDefault="005D538E" w:rsidP="004B4412">
      <w:pPr>
        <w:spacing w:before="0"/>
      </w:pPr>
      <w:r>
        <w:separator/>
      </w:r>
    </w:p>
  </w:endnote>
  <w:endnote w:type="continuationSeparator" w:id="0">
    <w:p w:rsidR="005D538E" w:rsidRDefault="005D538E"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665452"/>
      <w:docPartObj>
        <w:docPartGallery w:val="Page Numbers (Bottom of Page)"/>
        <w:docPartUnique/>
      </w:docPartObj>
    </w:sdtPr>
    <w:sdtEndPr>
      <w:rPr>
        <w:noProof/>
      </w:rPr>
    </w:sdtEndPr>
    <w:sdtContent>
      <w:p w:rsidR="00A048AB" w:rsidRDefault="00A048AB" w:rsidP="00986A15">
        <w:pPr>
          <w:pStyle w:val="Footer"/>
          <w:jc w:val="right"/>
        </w:pPr>
        <w:r>
          <w:fldChar w:fldCharType="begin"/>
        </w:r>
        <w:r>
          <w:instrText xml:space="preserve"> PAGE   \* MERGEFORMAT </w:instrText>
        </w:r>
        <w:r>
          <w:fldChar w:fldCharType="separate"/>
        </w:r>
        <w:r w:rsidR="00E86E25">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38E" w:rsidRDefault="005D538E" w:rsidP="004B4412">
      <w:pPr>
        <w:spacing w:before="0"/>
      </w:pPr>
      <w:r>
        <w:separator/>
      </w:r>
    </w:p>
  </w:footnote>
  <w:footnote w:type="continuationSeparator" w:id="0">
    <w:p w:rsidR="005D538E" w:rsidRDefault="005D538E" w:rsidP="004B4412">
      <w:pPr>
        <w:spacing w:before="0"/>
      </w:pPr>
      <w:r>
        <w:continuationSeparator/>
      </w:r>
    </w:p>
  </w:footnote>
  <w:footnote w:id="1">
    <w:p w:rsidR="00F34F02" w:rsidRDefault="00F34F02">
      <w:pPr>
        <w:pStyle w:val="FootnoteText"/>
      </w:pPr>
      <w:r w:rsidRPr="00F80A30">
        <w:rPr>
          <w:rStyle w:val="FootnoteReference"/>
          <w:sz w:val="12"/>
        </w:rPr>
        <w:footnoteRef/>
      </w:r>
      <w:r w:rsidRPr="00F80A30">
        <w:rPr>
          <w:sz w:val="12"/>
        </w:rPr>
        <w:t xml:space="preserve"> </w:t>
      </w:r>
      <w:r w:rsidR="00E271F2">
        <w:rPr>
          <w:sz w:val="12"/>
        </w:rPr>
        <w:tab/>
      </w:r>
      <w:hyperlink r:id="rId1" w:history="1">
        <w:r w:rsidR="002F3B97" w:rsidRPr="00DC2FD0">
          <w:rPr>
            <w:rStyle w:val="Hyperlink"/>
            <w:sz w:val="16"/>
          </w:rPr>
          <w:t>http://www.aer.gov.au/retail-markets/retail-guidelines/review-of-retail-exempt-selling-guideline-2015/initiation</w:t>
        </w:r>
      </w:hyperlink>
      <w:r w:rsidR="002F3B97">
        <w:t xml:space="preserve"> </w:t>
      </w:r>
    </w:p>
  </w:footnote>
  <w:footnote w:id="2">
    <w:p w:rsidR="00F80A30" w:rsidRDefault="00F80A30" w:rsidP="00F80A30">
      <w:pPr>
        <w:pStyle w:val="FootnoteText"/>
      </w:pPr>
      <w:r>
        <w:rPr>
          <w:rStyle w:val="FootnoteReference"/>
        </w:rPr>
        <w:footnoteRef/>
      </w:r>
      <w:r w:rsidRPr="00440417">
        <w:rPr>
          <w:sz w:val="18"/>
          <w:szCs w:val="18"/>
        </w:rPr>
        <w:t xml:space="preserve"> </w:t>
      </w:r>
      <w:r w:rsidR="00E271F2">
        <w:rPr>
          <w:sz w:val="18"/>
          <w:szCs w:val="18"/>
        </w:rPr>
        <w:tab/>
      </w:r>
      <w:r w:rsidRPr="00440417">
        <w:rPr>
          <w:sz w:val="18"/>
          <w:szCs w:val="18"/>
        </w:rPr>
        <w:t xml:space="preserve">Rule </w:t>
      </w:r>
      <w:r>
        <w:rPr>
          <w:sz w:val="18"/>
          <w:szCs w:val="18"/>
        </w:rPr>
        <w:t xml:space="preserve">173 of the National Energy Retail Rules sets out a consultation procedure that the AER must follow when it is required by the Retail Law or Retail Rules to publish an instrument (such as the Retail Information Pricing Guidelines) and a Notice that sets out reasons </w:t>
      </w:r>
    </w:p>
  </w:footnote>
  <w:footnote w:id="3">
    <w:p w:rsidR="00F80A30" w:rsidRDefault="00F80A30" w:rsidP="00F80A30">
      <w:pPr>
        <w:pStyle w:val="FootnoteText"/>
      </w:pPr>
      <w:r>
        <w:rPr>
          <w:rStyle w:val="FootnoteReference"/>
        </w:rPr>
        <w:footnoteRef/>
      </w:r>
      <w:r>
        <w:t xml:space="preserve"> </w:t>
      </w:r>
      <w:hyperlink r:id="rId2" w:history="1">
        <w:r w:rsidR="00E271F2" w:rsidRPr="00DC2FD0">
          <w:rPr>
            <w:rStyle w:val="Hyperlink"/>
            <w:sz w:val="16"/>
          </w:rPr>
          <w:t>http://www.aer.gov.au/retail-markets/retail-guidelines/review-of-retail-exempt-selling-guideline-2015</w:t>
        </w:r>
      </w:hyperlink>
      <w:r w:rsidR="00E271F2">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69D" w:rsidRDefault="00B5269D">
    <w:pPr>
      <w:pStyle w:val="Header"/>
    </w:pPr>
    <w:r w:rsidRPr="009E527D">
      <w:rPr>
        <w:noProof/>
        <w:lang w:eastAsia="en-AU"/>
      </w:rPr>
      <w:drawing>
        <wp:anchor distT="0" distB="0" distL="114300" distR="114300" simplePos="0" relativeHeight="251659264" behindDoc="1" locked="0" layoutInCell="1" allowOverlap="1" wp14:anchorId="05244D07" wp14:editId="5CABBC17">
          <wp:simplePos x="0" y="0"/>
          <wp:positionH relativeFrom="column">
            <wp:posOffset>-910590</wp:posOffset>
          </wp:positionH>
          <wp:positionV relativeFrom="paragraph">
            <wp:posOffset>-407670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69D" w:rsidRDefault="00B526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41F530A"/>
    <w:multiLevelType w:val="multilevel"/>
    <w:tmpl w:val="908A94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DFB4C0C"/>
    <w:multiLevelType w:val="multilevel"/>
    <w:tmpl w:val="4BE033BA"/>
    <w:styleLink w:val="NumberedList"/>
    <w:lvl w:ilvl="0">
      <w:start w:val="1"/>
      <w:numFmt w:val="decimal"/>
      <w:lvlText w:val="%1"/>
      <w:lvlJc w:val="left"/>
      <w:pPr>
        <w:ind w:left="340" w:hanging="340"/>
      </w:pPr>
      <w:rPr>
        <w:rFonts w:ascii="Arial" w:hAnsi="Arial" w:cs="Times New Roman" w:hint="default"/>
        <w:sz w:val="22"/>
      </w:rPr>
    </w:lvl>
    <w:lvl w:ilvl="1">
      <w:start w:val="1"/>
      <w:numFmt w:val="decimal"/>
      <w:lvlRestart w:val="0"/>
      <w:lvlText w:val="%1.%2"/>
      <w:lvlJc w:val="left"/>
      <w:pPr>
        <w:ind w:left="720" w:hanging="380"/>
      </w:pPr>
      <w:rPr>
        <w:rFonts w:ascii="Arial" w:hAnsi="Arial" w:cs="Times New Roman" w:hint="default"/>
        <w:sz w:val="22"/>
      </w:rPr>
    </w:lvl>
    <w:lvl w:ilvl="2">
      <w:start w:val="1"/>
      <w:numFmt w:val="decimal"/>
      <w:lvlRestart w:val="0"/>
      <w:lvlText w:val="%1.%2.%3"/>
      <w:lvlJc w:val="left"/>
      <w:pPr>
        <w:ind w:left="1077" w:hanging="357"/>
      </w:pPr>
      <w:rPr>
        <w:rFonts w:ascii="Arial" w:hAnsi="Arial" w:cs="Times New Roman" w:hint="default"/>
        <w:sz w:val="22"/>
      </w:rPr>
    </w:lvl>
    <w:lvl w:ilvl="3">
      <w:start w:val="1"/>
      <w:numFmt w:val="decimal"/>
      <w:lvlRestart w:val="0"/>
      <w:lvlText w:val="%1.%2.%3.%4"/>
      <w:lvlJc w:val="left"/>
      <w:pPr>
        <w:ind w:left="1440" w:hanging="363"/>
      </w:pPr>
      <w:rPr>
        <w:rFonts w:ascii="Arial" w:hAnsi="Arial" w:cs="Times New Roman" w:hint="default"/>
        <w:sz w:val="22"/>
      </w:rPr>
    </w:lvl>
    <w:lvl w:ilvl="4">
      <w:start w:val="1"/>
      <w:numFmt w:val="decimal"/>
      <w:lvlRestart w:val="0"/>
      <w:lvlText w:val="%1.%2.%3.%4.%5"/>
      <w:lvlJc w:val="left"/>
      <w:pPr>
        <w:ind w:left="1797" w:hanging="357"/>
      </w:pPr>
      <w:rPr>
        <w:rFonts w:ascii="Arial" w:hAnsi="Arial" w:cs="Times New Roman" w:hint="default"/>
        <w:sz w:val="22"/>
      </w:rPr>
    </w:lvl>
    <w:lvl w:ilvl="5">
      <w:start w:val="1"/>
      <w:numFmt w:val="decimal"/>
      <w:lvlRestart w:val="0"/>
      <w:lvlText w:val="%1.%2.%3.%4.%5.%6"/>
      <w:lvlJc w:val="left"/>
      <w:pPr>
        <w:ind w:left="2155" w:hanging="358"/>
      </w:pPr>
      <w:rPr>
        <w:rFonts w:ascii="Arial" w:hAnsi="Arial" w:cs="Times New Roman" w:hint="default"/>
        <w:sz w:val="22"/>
      </w:rPr>
    </w:lvl>
    <w:lvl w:ilvl="6">
      <w:start w:val="1"/>
      <w:numFmt w:val="decimal"/>
      <w:lvlText w:val="%1.%2.%3.%4.%5.%6.%7."/>
      <w:lvlJc w:val="left"/>
      <w:pPr>
        <w:ind w:left="720" w:firstLine="0"/>
      </w:pPr>
    </w:lvl>
    <w:lvl w:ilvl="7">
      <w:start w:val="1"/>
      <w:numFmt w:val="decimal"/>
      <w:lvlText w:val="%1.%2.%3.%4.%5.%6.%7.%8."/>
      <w:lvlJc w:val="left"/>
      <w:pPr>
        <w:ind w:left="720" w:firstLine="0"/>
      </w:pPr>
    </w:lvl>
    <w:lvl w:ilvl="8">
      <w:start w:val="1"/>
      <w:numFmt w:val="decimal"/>
      <w:lvlText w:val="%1.%2.%3.%4.%5.%6.%7.%8.%9."/>
      <w:lvlJc w:val="left"/>
      <w:pPr>
        <w:ind w:left="720" w:firstLine="0"/>
      </w:pPr>
    </w:lvl>
  </w:abstractNum>
  <w:abstractNum w:abstractNumId="15">
    <w:nsid w:val="2459252B"/>
    <w:multiLevelType w:val="multilevel"/>
    <w:tmpl w:val="B37E5974"/>
    <w:lvl w:ilvl="0">
      <w:start w:val="16"/>
      <w:numFmt w:val="decimal"/>
      <w:lvlText w:val="%1"/>
      <w:lvlJc w:val="left"/>
      <w:pPr>
        <w:ind w:left="340" w:hanging="340"/>
      </w:pPr>
      <w:rPr>
        <w:rFonts w:ascii="Arial" w:hAnsi="Arial" w:cs="Times New Roman" w:hint="default"/>
        <w:sz w:val="22"/>
      </w:rPr>
    </w:lvl>
    <w:lvl w:ilvl="1">
      <w:start w:val="1"/>
      <w:numFmt w:val="decimal"/>
      <w:lvlRestart w:val="0"/>
      <w:lvlText w:val="%1.%2"/>
      <w:lvlJc w:val="left"/>
      <w:pPr>
        <w:ind w:left="720" w:hanging="380"/>
      </w:pPr>
      <w:rPr>
        <w:rFonts w:ascii="Arial" w:hAnsi="Arial" w:cs="Times New Roman" w:hint="default"/>
        <w:sz w:val="22"/>
      </w:rPr>
    </w:lvl>
    <w:lvl w:ilvl="2">
      <w:start w:val="1"/>
      <w:numFmt w:val="decimal"/>
      <w:lvlRestart w:val="0"/>
      <w:lvlText w:val="%1.%2.%3"/>
      <w:lvlJc w:val="left"/>
      <w:pPr>
        <w:ind w:left="1077" w:hanging="357"/>
      </w:pPr>
      <w:rPr>
        <w:rFonts w:ascii="Arial" w:hAnsi="Arial" w:cs="Times New Roman" w:hint="default"/>
        <w:sz w:val="22"/>
      </w:rPr>
    </w:lvl>
    <w:lvl w:ilvl="3">
      <w:start w:val="1"/>
      <w:numFmt w:val="decimal"/>
      <w:lvlRestart w:val="0"/>
      <w:lvlText w:val="%1.%2.%3.%4"/>
      <w:lvlJc w:val="left"/>
      <w:pPr>
        <w:ind w:left="1440" w:hanging="363"/>
      </w:pPr>
      <w:rPr>
        <w:rFonts w:ascii="Arial" w:hAnsi="Arial" w:cs="Times New Roman" w:hint="default"/>
        <w:sz w:val="22"/>
      </w:rPr>
    </w:lvl>
    <w:lvl w:ilvl="4">
      <w:start w:val="1"/>
      <w:numFmt w:val="decimal"/>
      <w:lvlRestart w:val="0"/>
      <w:lvlText w:val="%1.%2.%3.%4.%5"/>
      <w:lvlJc w:val="left"/>
      <w:pPr>
        <w:ind w:left="1797" w:hanging="357"/>
      </w:pPr>
      <w:rPr>
        <w:rFonts w:ascii="Arial" w:hAnsi="Arial" w:cs="Times New Roman" w:hint="default"/>
        <w:sz w:val="22"/>
      </w:rPr>
    </w:lvl>
    <w:lvl w:ilvl="5">
      <w:start w:val="1"/>
      <w:numFmt w:val="decimal"/>
      <w:lvlRestart w:val="0"/>
      <w:lvlText w:val="%1.%2.%3.%4.%5.%6"/>
      <w:lvlJc w:val="left"/>
      <w:pPr>
        <w:ind w:left="2155" w:hanging="358"/>
      </w:pPr>
      <w:rPr>
        <w:rFonts w:ascii="Arial" w:hAnsi="Arial" w:cs="Times New Roman"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6">
    <w:nsid w:val="339647BF"/>
    <w:multiLevelType w:val="hybridMultilevel"/>
    <w:tmpl w:val="3F868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1">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635E561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5036133"/>
    <w:multiLevelType w:val="hybridMultilevel"/>
    <w:tmpl w:val="759C6C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8">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9">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1">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2">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3"/>
  </w:num>
  <w:num w:numId="3">
    <w:abstractNumId w:val="7"/>
  </w:num>
  <w:num w:numId="4">
    <w:abstractNumId w:val="6"/>
  </w:num>
  <w:num w:numId="5">
    <w:abstractNumId w:val="5"/>
  </w:num>
  <w:num w:numId="6">
    <w:abstractNumId w:val="4"/>
  </w:num>
  <w:num w:numId="7">
    <w:abstractNumId w:val="1"/>
  </w:num>
  <w:num w:numId="8">
    <w:abstractNumId w:val="0"/>
  </w:num>
  <w:num w:numId="9">
    <w:abstractNumId w:val="27"/>
  </w:num>
  <w:num w:numId="10">
    <w:abstractNumId w:val="19"/>
  </w:num>
  <w:num w:numId="11">
    <w:abstractNumId w:val="10"/>
  </w:num>
  <w:num w:numId="12">
    <w:abstractNumId w:val="13"/>
  </w:num>
  <w:num w:numId="13">
    <w:abstractNumId w:val="18"/>
  </w:num>
  <w:num w:numId="14">
    <w:abstractNumId w:val="2"/>
  </w:num>
  <w:num w:numId="15">
    <w:abstractNumId w:val="28"/>
  </w:num>
  <w:num w:numId="16">
    <w:abstractNumId w:val="31"/>
  </w:num>
  <w:num w:numId="17">
    <w:abstractNumId w:val="30"/>
  </w:num>
  <w:num w:numId="18">
    <w:abstractNumId w:val="22"/>
  </w:num>
  <w:num w:numId="19">
    <w:abstractNumId w:val="17"/>
  </w:num>
  <w:num w:numId="20">
    <w:abstractNumId w:val="20"/>
  </w:num>
  <w:num w:numId="21">
    <w:abstractNumId w:val="29"/>
  </w:num>
  <w:num w:numId="22">
    <w:abstractNumId w:val="23"/>
  </w:num>
  <w:num w:numId="23">
    <w:abstractNumId w:val="8"/>
  </w:num>
  <w:num w:numId="24">
    <w:abstractNumId w:val="3"/>
  </w:num>
  <w:num w:numId="25">
    <w:abstractNumId w:val="21"/>
  </w:num>
  <w:num w:numId="26">
    <w:abstractNumId w:val="12"/>
  </w:num>
  <w:num w:numId="27">
    <w:abstractNumId w:val="26"/>
  </w:num>
  <w:num w:numId="28">
    <w:abstractNumId w:val="9"/>
  </w:num>
  <w:num w:numId="29">
    <w:abstractNumId w:val="16"/>
  </w:num>
  <w:num w:numId="30">
    <w:abstractNumId w:val="32"/>
  </w:num>
  <w:num w:numId="31">
    <w:abstractNumId w:val="2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5"/>
  </w:num>
  <w:num w:numId="3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ihart\Desktop\AER Retail Exempt Selling guideline – sections for additional consultation only – December 2015.docx"/>
  </w:docVars>
  <w:rsids>
    <w:rsidRoot w:val="005D538E"/>
    <w:rsid w:val="0001492E"/>
    <w:rsid w:val="0002115F"/>
    <w:rsid w:val="00021202"/>
    <w:rsid w:val="000225C4"/>
    <w:rsid w:val="0003182E"/>
    <w:rsid w:val="0003578C"/>
    <w:rsid w:val="00063247"/>
    <w:rsid w:val="00070F9F"/>
    <w:rsid w:val="0007137B"/>
    <w:rsid w:val="00077E97"/>
    <w:rsid w:val="00085663"/>
    <w:rsid w:val="00085EBF"/>
    <w:rsid w:val="00095DA1"/>
    <w:rsid w:val="000D122C"/>
    <w:rsid w:val="000E1819"/>
    <w:rsid w:val="000E6C72"/>
    <w:rsid w:val="000F2368"/>
    <w:rsid w:val="00116EB2"/>
    <w:rsid w:val="001170F4"/>
    <w:rsid w:val="00124609"/>
    <w:rsid w:val="00142F77"/>
    <w:rsid w:val="00146FA6"/>
    <w:rsid w:val="00151DF5"/>
    <w:rsid w:val="001573E4"/>
    <w:rsid w:val="00160756"/>
    <w:rsid w:val="0017232E"/>
    <w:rsid w:val="00174102"/>
    <w:rsid w:val="00180157"/>
    <w:rsid w:val="00180AFB"/>
    <w:rsid w:val="00181223"/>
    <w:rsid w:val="00186F77"/>
    <w:rsid w:val="001926A4"/>
    <w:rsid w:val="001A3A19"/>
    <w:rsid w:val="001A69B5"/>
    <w:rsid w:val="001B246B"/>
    <w:rsid w:val="001B45A0"/>
    <w:rsid w:val="001C18EE"/>
    <w:rsid w:val="001C296C"/>
    <w:rsid w:val="001D055E"/>
    <w:rsid w:val="001D1D57"/>
    <w:rsid w:val="001F492E"/>
    <w:rsid w:val="001F6DA3"/>
    <w:rsid w:val="00212737"/>
    <w:rsid w:val="00224DB9"/>
    <w:rsid w:val="002366CF"/>
    <w:rsid w:val="00251745"/>
    <w:rsid w:val="00263AC0"/>
    <w:rsid w:val="0026772D"/>
    <w:rsid w:val="00270E06"/>
    <w:rsid w:val="0027578B"/>
    <w:rsid w:val="002776EE"/>
    <w:rsid w:val="00283E12"/>
    <w:rsid w:val="00286874"/>
    <w:rsid w:val="00291DDD"/>
    <w:rsid w:val="00296B65"/>
    <w:rsid w:val="002A0C58"/>
    <w:rsid w:val="002A0F89"/>
    <w:rsid w:val="002A7DEF"/>
    <w:rsid w:val="002E5512"/>
    <w:rsid w:val="002F3B97"/>
    <w:rsid w:val="002F7986"/>
    <w:rsid w:val="00301B51"/>
    <w:rsid w:val="00303C4A"/>
    <w:rsid w:val="00306386"/>
    <w:rsid w:val="00307F6D"/>
    <w:rsid w:val="003177A2"/>
    <w:rsid w:val="003271B5"/>
    <w:rsid w:val="003301BA"/>
    <w:rsid w:val="00330CA0"/>
    <w:rsid w:val="00331264"/>
    <w:rsid w:val="00332333"/>
    <w:rsid w:val="00334C8D"/>
    <w:rsid w:val="003358E4"/>
    <w:rsid w:val="00340655"/>
    <w:rsid w:val="003413CE"/>
    <w:rsid w:val="003459E6"/>
    <w:rsid w:val="003518B3"/>
    <w:rsid w:val="00352228"/>
    <w:rsid w:val="0036584D"/>
    <w:rsid w:val="00371641"/>
    <w:rsid w:val="003846F1"/>
    <w:rsid w:val="003A673F"/>
    <w:rsid w:val="003B5A70"/>
    <w:rsid w:val="003D71A9"/>
    <w:rsid w:val="003F5512"/>
    <w:rsid w:val="0040358D"/>
    <w:rsid w:val="0044635E"/>
    <w:rsid w:val="00463ABF"/>
    <w:rsid w:val="00463B50"/>
    <w:rsid w:val="004715E6"/>
    <w:rsid w:val="00475DDE"/>
    <w:rsid w:val="00480B4B"/>
    <w:rsid w:val="00485DC4"/>
    <w:rsid w:val="004B4412"/>
    <w:rsid w:val="004C348C"/>
    <w:rsid w:val="004D55BA"/>
    <w:rsid w:val="005038DB"/>
    <w:rsid w:val="0052379B"/>
    <w:rsid w:val="00530128"/>
    <w:rsid w:val="00532467"/>
    <w:rsid w:val="00547BA2"/>
    <w:rsid w:val="00547CCF"/>
    <w:rsid w:val="0055693F"/>
    <w:rsid w:val="005635A8"/>
    <w:rsid w:val="00564A4D"/>
    <w:rsid w:val="00571B35"/>
    <w:rsid w:val="00571C9F"/>
    <w:rsid w:val="00577A09"/>
    <w:rsid w:val="00580B78"/>
    <w:rsid w:val="00584D8F"/>
    <w:rsid w:val="00596D42"/>
    <w:rsid w:val="005A404D"/>
    <w:rsid w:val="005B1E3C"/>
    <w:rsid w:val="005C0927"/>
    <w:rsid w:val="005C24AC"/>
    <w:rsid w:val="005C26CC"/>
    <w:rsid w:val="005D538E"/>
    <w:rsid w:val="005E6C0E"/>
    <w:rsid w:val="005F01F0"/>
    <w:rsid w:val="00615C6B"/>
    <w:rsid w:val="00632D6D"/>
    <w:rsid w:val="00642C3E"/>
    <w:rsid w:val="00646025"/>
    <w:rsid w:val="00663DAD"/>
    <w:rsid w:val="00676679"/>
    <w:rsid w:val="00691616"/>
    <w:rsid w:val="006A7A75"/>
    <w:rsid w:val="006B4CF9"/>
    <w:rsid w:val="006B7AC8"/>
    <w:rsid w:val="006B7F8A"/>
    <w:rsid w:val="006D1735"/>
    <w:rsid w:val="006D4F15"/>
    <w:rsid w:val="006D550F"/>
    <w:rsid w:val="006D77F3"/>
    <w:rsid w:val="006F5D8B"/>
    <w:rsid w:val="00701CAB"/>
    <w:rsid w:val="00707563"/>
    <w:rsid w:val="00722337"/>
    <w:rsid w:val="0072348C"/>
    <w:rsid w:val="00724A37"/>
    <w:rsid w:val="007303C3"/>
    <w:rsid w:val="00743223"/>
    <w:rsid w:val="00746E01"/>
    <w:rsid w:val="00763E5D"/>
    <w:rsid w:val="00767740"/>
    <w:rsid w:val="00776159"/>
    <w:rsid w:val="00777EE6"/>
    <w:rsid w:val="00782EEA"/>
    <w:rsid w:val="007A7ED7"/>
    <w:rsid w:val="007B2C72"/>
    <w:rsid w:val="007B66AF"/>
    <w:rsid w:val="007C1C53"/>
    <w:rsid w:val="007E26A9"/>
    <w:rsid w:val="007E4904"/>
    <w:rsid w:val="007E4CB5"/>
    <w:rsid w:val="007F066B"/>
    <w:rsid w:val="008033C4"/>
    <w:rsid w:val="00806C88"/>
    <w:rsid w:val="0081034E"/>
    <w:rsid w:val="00821888"/>
    <w:rsid w:val="00833BA4"/>
    <w:rsid w:val="008344F6"/>
    <w:rsid w:val="0083510F"/>
    <w:rsid w:val="00851209"/>
    <w:rsid w:val="008558E7"/>
    <w:rsid w:val="008644C7"/>
    <w:rsid w:val="0088007E"/>
    <w:rsid w:val="008837AC"/>
    <w:rsid w:val="008945B4"/>
    <w:rsid w:val="008A3778"/>
    <w:rsid w:val="008A378C"/>
    <w:rsid w:val="008A587D"/>
    <w:rsid w:val="008B6643"/>
    <w:rsid w:val="008C5486"/>
    <w:rsid w:val="008D1071"/>
    <w:rsid w:val="008E7031"/>
    <w:rsid w:val="008F7B36"/>
    <w:rsid w:val="00922C95"/>
    <w:rsid w:val="009233EE"/>
    <w:rsid w:val="00947BEE"/>
    <w:rsid w:val="00951AF4"/>
    <w:rsid w:val="009661DE"/>
    <w:rsid w:val="009709F9"/>
    <w:rsid w:val="00981D78"/>
    <w:rsid w:val="009847E1"/>
    <w:rsid w:val="009856B7"/>
    <w:rsid w:val="0098602B"/>
    <w:rsid w:val="00986A15"/>
    <w:rsid w:val="00991B3B"/>
    <w:rsid w:val="009962BA"/>
    <w:rsid w:val="009B74B0"/>
    <w:rsid w:val="009D4414"/>
    <w:rsid w:val="009D6B46"/>
    <w:rsid w:val="009F4940"/>
    <w:rsid w:val="00A048AB"/>
    <w:rsid w:val="00A15C75"/>
    <w:rsid w:val="00A1665B"/>
    <w:rsid w:val="00A17B84"/>
    <w:rsid w:val="00A4478A"/>
    <w:rsid w:val="00A44852"/>
    <w:rsid w:val="00A57D04"/>
    <w:rsid w:val="00A60A26"/>
    <w:rsid w:val="00A61598"/>
    <w:rsid w:val="00A642F5"/>
    <w:rsid w:val="00A77B5A"/>
    <w:rsid w:val="00A84F46"/>
    <w:rsid w:val="00A871F4"/>
    <w:rsid w:val="00AC1B2C"/>
    <w:rsid w:val="00AC3264"/>
    <w:rsid w:val="00AC39F4"/>
    <w:rsid w:val="00AC6F01"/>
    <w:rsid w:val="00AE0FE2"/>
    <w:rsid w:val="00AE1BF1"/>
    <w:rsid w:val="00AE73EE"/>
    <w:rsid w:val="00AF0DD2"/>
    <w:rsid w:val="00B10314"/>
    <w:rsid w:val="00B13048"/>
    <w:rsid w:val="00B14A99"/>
    <w:rsid w:val="00B15998"/>
    <w:rsid w:val="00B1716D"/>
    <w:rsid w:val="00B17A1D"/>
    <w:rsid w:val="00B207A0"/>
    <w:rsid w:val="00B26D36"/>
    <w:rsid w:val="00B5269D"/>
    <w:rsid w:val="00B5604C"/>
    <w:rsid w:val="00B56E03"/>
    <w:rsid w:val="00B60F5D"/>
    <w:rsid w:val="00B67E91"/>
    <w:rsid w:val="00B8080B"/>
    <w:rsid w:val="00B87C39"/>
    <w:rsid w:val="00B92A18"/>
    <w:rsid w:val="00BA4665"/>
    <w:rsid w:val="00BB2FB2"/>
    <w:rsid w:val="00BB3304"/>
    <w:rsid w:val="00BD1F91"/>
    <w:rsid w:val="00BD3446"/>
    <w:rsid w:val="00BE1F1B"/>
    <w:rsid w:val="00BE47B5"/>
    <w:rsid w:val="00BE4C99"/>
    <w:rsid w:val="00C058AB"/>
    <w:rsid w:val="00C06739"/>
    <w:rsid w:val="00C15597"/>
    <w:rsid w:val="00C301C7"/>
    <w:rsid w:val="00C538A9"/>
    <w:rsid w:val="00C53B5A"/>
    <w:rsid w:val="00C54F5A"/>
    <w:rsid w:val="00C6285F"/>
    <w:rsid w:val="00C755AD"/>
    <w:rsid w:val="00C86679"/>
    <w:rsid w:val="00CB1460"/>
    <w:rsid w:val="00CB5E66"/>
    <w:rsid w:val="00CB666B"/>
    <w:rsid w:val="00CE6B4D"/>
    <w:rsid w:val="00CF71A5"/>
    <w:rsid w:val="00CF799E"/>
    <w:rsid w:val="00D01CF0"/>
    <w:rsid w:val="00D0442A"/>
    <w:rsid w:val="00D14D71"/>
    <w:rsid w:val="00D203E1"/>
    <w:rsid w:val="00D544B8"/>
    <w:rsid w:val="00D55932"/>
    <w:rsid w:val="00D61388"/>
    <w:rsid w:val="00D61A54"/>
    <w:rsid w:val="00D64DEA"/>
    <w:rsid w:val="00D80893"/>
    <w:rsid w:val="00D92CF1"/>
    <w:rsid w:val="00D92D38"/>
    <w:rsid w:val="00D950F5"/>
    <w:rsid w:val="00DA42C6"/>
    <w:rsid w:val="00DB0F93"/>
    <w:rsid w:val="00DB7D6A"/>
    <w:rsid w:val="00DC2533"/>
    <w:rsid w:val="00DC542F"/>
    <w:rsid w:val="00DC5772"/>
    <w:rsid w:val="00DC7981"/>
    <w:rsid w:val="00DD7AD2"/>
    <w:rsid w:val="00DE4EFA"/>
    <w:rsid w:val="00DE5520"/>
    <w:rsid w:val="00E04818"/>
    <w:rsid w:val="00E06442"/>
    <w:rsid w:val="00E23993"/>
    <w:rsid w:val="00E25B8C"/>
    <w:rsid w:val="00E271F2"/>
    <w:rsid w:val="00E4674F"/>
    <w:rsid w:val="00E65C85"/>
    <w:rsid w:val="00E66199"/>
    <w:rsid w:val="00E70816"/>
    <w:rsid w:val="00E73069"/>
    <w:rsid w:val="00E755EC"/>
    <w:rsid w:val="00E7624D"/>
    <w:rsid w:val="00E86E25"/>
    <w:rsid w:val="00E90AEF"/>
    <w:rsid w:val="00E91050"/>
    <w:rsid w:val="00EA3D42"/>
    <w:rsid w:val="00EA6B1B"/>
    <w:rsid w:val="00EB74D3"/>
    <w:rsid w:val="00EE28F3"/>
    <w:rsid w:val="00EE38AD"/>
    <w:rsid w:val="00EF4644"/>
    <w:rsid w:val="00EF5110"/>
    <w:rsid w:val="00F15882"/>
    <w:rsid w:val="00F20BD3"/>
    <w:rsid w:val="00F34F02"/>
    <w:rsid w:val="00F373A5"/>
    <w:rsid w:val="00F47559"/>
    <w:rsid w:val="00F60BE4"/>
    <w:rsid w:val="00F61B84"/>
    <w:rsid w:val="00F64C7B"/>
    <w:rsid w:val="00F676DD"/>
    <w:rsid w:val="00F701A5"/>
    <w:rsid w:val="00F74F3B"/>
    <w:rsid w:val="00F75A26"/>
    <w:rsid w:val="00F80A30"/>
    <w:rsid w:val="00F83FAD"/>
    <w:rsid w:val="00F91DC6"/>
    <w:rsid w:val="00F952A0"/>
    <w:rsid w:val="00FA3C7F"/>
    <w:rsid w:val="00FB52D7"/>
    <w:rsid w:val="00FB74E2"/>
    <w:rsid w:val="00FD457A"/>
    <w:rsid w:val="00FD5614"/>
    <w:rsid w:val="00FE0BE1"/>
    <w:rsid w:val="00FE1DE9"/>
    <w:rsid w:val="00FE39C2"/>
    <w:rsid w:val="00FE64AE"/>
    <w:rsid w:val="00FF79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5D538E"/>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link w:val="ListParagraphChar"/>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rsid w:val="003A673F"/>
    <w:rPr>
      <w:rFonts w:ascii="Arial" w:hAnsi="Arial"/>
      <w:sz w:val="16"/>
      <w:szCs w:val="20"/>
    </w:rPr>
  </w:style>
  <w:style w:type="character" w:styleId="FootnoteReference">
    <w:name w:val="footnote reference"/>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AERTable-Text">
    <w:name w:val="AER Table - Text"/>
    <w:basedOn w:val="TableNormal"/>
    <w:uiPriority w:val="99"/>
    <w:rsid w:val="005D538E"/>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character" w:styleId="CommentReference">
    <w:name w:val="annotation reference"/>
    <w:basedOn w:val="DefaultParagraphFont"/>
    <w:unhideWhenUsed/>
    <w:rsid w:val="005D538E"/>
    <w:rPr>
      <w:sz w:val="16"/>
      <w:szCs w:val="16"/>
    </w:rPr>
  </w:style>
  <w:style w:type="paragraph" w:styleId="CommentText">
    <w:name w:val="annotation text"/>
    <w:basedOn w:val="Normal"/>
    <w:link w:val="CommentTextChar"/>
    <w:uiPriority w:val="99"/>
    <w:unhideWhenUsed/>
    <w:rsid w:val="005D538E"/>
    <w:pPr>
      <w:spacing w:line="240" w:lineRule="auto"/>
    </w:pPr>
    <w:rPr>
      <w:sz w:val="20"/>
      <w:szCs w:val="20"/>
    </w:rPr>
  </w:style>
  <w:style w:type="character" w:customStyle="1" w:styleId="CommentTextChar">
    <w:name w:val="Comment Text Char"/>
    <w:basedOn w:val="DefaultParagraphFont"/>
    <w:link w:val="CommentText"/>
    <w:uiPriority w:val="99"/>
    <w:rsid w:val="005D538E"/>
    <w:rPr>
      <w:rFonts w:ascii="Arial" w:hAnsi="Arial"/>
      <w:sz w:val="20"/>
      <w:szCs w:val="20"/>
    </w:rPr>
  </w:style>
  <w:style w:type="paragraph" w:customStyle="1" w:styleId="ReportTitle">
    <w:name w:val="Report Title"/>
    <w:basedOn w:val="Normal"/>
    <w:next w:val="Normal"/>
    <w:link w:val="ReportTitleChar"/>
    <w:qFormat/>
    <w:rsid w:val="00B5269D"/>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paragraph" w:customStyle="1" w:styleId="ReportDate">
    <w:name w:val="Report Date"/>
    <w:basedOn w:val="ReportTitle"/>
    <w:link w:val="ReportDateChar"/>
    <w:qFormat/>
    <w:rsid w:val="00B5269D"/>
    <w:rPr>
      <w:b w:val="0"/>
      <w:sz w:val="36"/>
      <w:szCs w:val="36"/>
    </w:rPr>
  </w:style>
  <w:style w:type="character" w:customStyle="1" w:styleId="ReportTitleChar">
    <w:name w:val="Report Title Char"/>
    <w:basedOn w:val="Heading1Char"/>
    <w:link w:val="ReportTitle"/>
    <w:rsid w:val="00B5269D"/>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
    <w:link w:val="ReportDate"/>
    <w:rsid w:val="00B5269D"/>
    <w:rPr>
      <w:rFonts w:ascii="Arial" w:eastAsiaTheme="majorEastAsia" w:hAnsi="Arial" w:cstheme="majorBidi"/>
      <w:b w:val="0"/>
      <w:bCs w:val="0"/>
      <w:noProof/>
      <w:color w:val="51626F"/>
      <w:sz w:val="36"/>
      <w:szCs w:val="36"/>
      <w:lang w:eastAsia="en-AU"/>
    </w:rPr>
  </w:style>
  <w:style w:type="paragraph" w:styleId="CommentSubject">
    <w:name w:val="annotation subject"/>
    <w:basedOn w:val="CommentText"/>
    <w:next w:val="CommentText"/>
    <w:link w:val="CommentSubjectChar"/>
    <w:uiPriority w:val="99"/>
    <w:semiHidden/>
    <w:unhideWhenUsed/>
    <w:rsid w:val="0036584D"/>
    <w:rPr>
      <w:b/>
      <w:bCs/>
    </w:rPr>
  </w:style>
  <w:style w:type="character" w:customStyle="1" w:styleId="CommentSubjectChar">
    <w:name w:val="Comment Subject Char"/>
    <w:basedOn w:val="CommentTextChar"/>
    <w:link w:val="CommentSubject"/>
    <w:uiPriority w:val="99"/>
    <w:semiHidden/>
    <w:rsid w:val="0036584D"/>
    <w:rPr>
      <w:rFonts w:ascii="Arial" w:hAnsi="Arial"/>
      <w:b/>
      <w:bCs/>
      <w:sz w:val="20"/>
      <w:szCs w:val="20"/>
    </w:rPr>
  </w:style>
  <w:style w:type="paragraph" w:customStyle="1" w:styleId="AERbulletlistfirststyle">
    <w:name w:val="AER bullet list (first style)"/>
    <w:basedOn w:val="Normal"/>
    <w:rsid w:val="0036584D"/>
    <w:pPr>
      <w:numPr>
        <w:numId w:val="30"/>
      </w:numPr>
      <w:tabs>
        <w:tab w:val="left" w:pos="567"/>
      </w:tabs>
      <w:spacing w:before="0" w:after="240" w:line="240" w:lineRule="atLeast"/>
    </w:pPr>
    <w:rPr>
      <w:rFonts w:ascii="Times New Roman" w:eastAsia="Times New Roman" w:hAnsi="Times New Roman" w:cs="Times New Roman"/>
      <w:sz w:val="24"/>
      <w:szCs w:val="24"/>
    </w:rPr>
  </w:style>
  <w:style w:type="paragraph" w:customStyle="1" w:styleId="AERbodytext">
    <w:name w:val="AER body text"/>
    <w:link w:val="AERbodytextChar"/>
    <w:qFormat/>
    <w:rsid w:val="00DB7D6A"/>
    <w:pPr>
      <w:spacing w:before="0" w:after="240"/>
    </w:pPr>
    <w:rPr>
      <w:rFonts w:ascii="Times New Roman" w:eastAsia="Times New Roman" w:hAnsi="Times New Roman" w:cs="Times New Roman"/>
      <w:sz w:val="24"/>
      <w:szCs w:val="24"/>
    </w:rPr>
  </w:style>
  <w:style w:type="character" w:customStyle="1" w:styleId="AERbodytextChar">
    <w:name w:val="AER body text Char"/>
    <w:link w:val="AERbodytext"/>
    <w:rsid w:val="00DB7D6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42F77"/>
    <w:rPr>
      <w:color w:val="800080" w:themeColor="followedHyperlink"/>
      <w:u w:val="single"/>
    </w:rPr>
  </w:style>
  <w:style w:type="character" w:customStyle="1" w:styleId="ListParagraphChar">
    <w:name w:val="List Paragraph Char"/>
    <w:basedOn w:val="DefaultParagraphFont"/>
    <w:link w:val="ListParagraph"/>
    <w:uiPriority w:val="34"/>
    <w:locked/>
    <w:rsid w:val="00C301C7"/>
    <w:rPr>
      <w:rFonts w:ascii="Arial" w:hAnsi="Arial"/>
    </w:rPr>
  </w:style>
  <w:style w:type="numbering" w:customStyle="1" w:styleId="NumberedList">
    <w:name w:val="Numbered List"/>
    <w:uiPriority w:val="99"/>
    <w:rsid w:val="00C301C7"/>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5D538E"/>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link w:val="ListParagraphChar"/>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rsid w:val="003A673F"/>
    <w:rPr>
      <w:rFonts w:ascii="Arial" w:hAnsi="Arial"/>
      <w:sz w:val="16"/>
      <w:szCs w:val="20"/>
    </w:rPr>
  </w:style>
  <w:style w:type="character" w:styleId="FootnoteReference">
    <w:name w:val="footnote reference"/>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AERTable-Text">
    <w:name w:val="AER Table - Text"/>
    <w:basedOn w:val="TableNormal"/>
    <w:uiPriority w:val="99"/>
    <w:rsid w:val="005D538E"/>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character" w:styleId="CommentReference">
    <w:name w:val="annotation reference"/>
    <w:basedOn w:val="DefaultParagraphFont"/>
    <w:unhideWhenUsed/>
    <w:rsid w:val="005D538E"/>
    <w:rPr>
      <w:sz w:val="16"/>
      <w:szCs w:val="16"/>
    </w:rPr>
  </w:style>
  <w:style w:type="paragraph" w:styleId="CommentText">
    <w:name w:val="annotation text"/>
    <w:basedOn w:val="Normal"/>
    <w:link w:val="CommentTextChar"/>
    <w:uiPriority w:val="99"/>
    <w:unhideWhenUsed/>
    <w:rsid w:val="005D538E"/>
    <w:pPr>
      <w:spacing w:line="240" w:lineRule="auto"/>
    </w:pPr>
    <w:rPr>
      <w:sz w:val="20"/>
      <w:szCs w:val="20"/>
    </w:rPr>
  </w:style>
  <w:style w:type="character" w:customStyle="1" w:styleId="CommentTextChar">
    <w:name w:val="Comment Text Char"/>
    <w:basedOn w:val="DefaultParagraphFont"/>
    <w:link w:val="CommentText"/>
    <w:uiPriority w:val="99"/>
    <w:rsid w:val="005D538E"/>
    <w:rPr>
      <w:rFonts w:ascii="Arial" w:hAnsi="Arial"/>
      <w:sz w:val="20"/>
      <w:szCs w:val="20"/>
    </w:rPr>
  </w:style>
  <w:style w:type="paragraph" w:customStyle="1" w:styleId="ReportTitle">
    <w:name w:val="Report Title"/>
    <w:basedOn w:val="Normal"/>
    <w:next w:val="Normal"/>
    <w:link w:val="ReportTitleChar"/>
    <w:qFormat/>
    <w:rsid w:val="00B5269D"/>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paragraph" w:customStyle="1" w:styleId="ReportDate">
    <w:name w:val="Report Date"/>
    <w:basedOn w:val="ReportTitle"/>
    <w:link w:val="ReportDateChar"/>
    <w:qFormat/>
    <w:rsid w:val="00B5269D"/>
    <w:rPr>
      <w:b w:val="0"/>
      <w:sz w:val="36"/>
      <w:szCs w:val="36"/>
    </w:rPr>
  </w:style>
  <w:style w:type="character" w:customStyle="1" w:styleId="ReportTitleChar">
    <w:name w:val="Report Title Char"/>
    <w:basedOn w:val="Heading1Char"/>
    <w:link w:val="ReportTitle"/>
    <w:rsid w:val="00B5269D"/>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
    <w:link w:val="ReportDate"/>
    <w:rsid w:val="00B5269D"/>
    <w:rPr>
      <w:rFonts w:ascii="Arial" w:eastAsiaTheme="majorEastAsia" w:hAnsi="Arial" w:cstheme="majorBidi"/>
      <w:b w:val="0"/>
      <w:bCs w:val="0"/>
      <w:noProof/>
      <w:color w:val="51626F"/>
      <w:sz w:val="36"/>
      <w:szCs w:val="36"/>
      <w:lang w:eastAsia="en-AU"/>
    </w:rPr>
  </w:style>
  <w:style w:type="paragraph" w:styleId="CommentSubject">
    <w:name w:val="annotation subject"/>
    <w:basedOn w:val="CommentText"/>
    <w:next w:val="CommentText"/>
    <w:link w:val="CommentSubjectChar"/>
    <w:uiPriority w:val="99"/>
    <w:semiHidden/>
    <w:unhideWhenUsed/>
    <w:rsid w:val="0036584D"/>
    <w:rPr>
      <w:b/>
      <w:bCs/>
    </w:rPr>
  </w:style>
  <w:style w:type="character" w:customStyle="1" w:styleId="CommentSubjectChar">
    <w:name w:val="Comment Subject Char"/>
    <w:basedOn w:val="CommentTextChar"/>
    <w:link w:val="CommentSubject"/>
    <w:uiPriority w:val="99"/>
    <w:semiHidden/>
    <w:rsid w:val="0036584D"/>
    <w:rPr>
      <w:rFonts w:ascii="Arial" w:hAnsi="Arial"/>
      <w:b/>
      <w:bCs/>
      <w:sz w:val="20"/>
      <w:szCs w:val="20"/>
    </w:rPr>
  </w:style>
  <w:style w:type="paragraph" w:customStyle="1" w:styleId="AERbulletlistfirststyle">
    <w:name w:val="AER bullet list (first style)"/>
    <w:basedOn w:val="Normal"/>
    <w:rsid w:val="0036584D"/>
    <w:pPr>
      <w:numPr>
        <w:numId w:val="30"/>
      </w:numPr>
      <w:tabs>
        <w:tab w:val="left" w:pos="567"/>
      </w:tabs>
      <w:spacing w:before="0" w:after="240" w:line="240" w:lineRule="atLeast"/>
    </w:pPr>
    <w:rPr>
      <w:rFonts w:ascii="Times New Roman" w:eastAsia="Times New Roman" w:hAnsi="Times New Roman" w:cs="Times New Roman"/>
      <w:sz w:val="24"/>
      <w:szCs w:val="24"/>
    </w:rPr>
  </w:style>
  <w:style w:type="paragraph" w:customStyle="1" w:styleId="AERbodytext">
    <w:name w:val="AER body text"/>
    <w:link w:val="AERbodytextChar"/>
    <w:qFormat/>
    <w:rsid w:val="00DB7D6A"/>
    <w:pPr>
      <w:spacing w:before="0" w:after="240"/>
    </w:pPr>
    <w:rPr>
      <w:rFonts w:ascii="Times New Roman" w:eastAsia="Times New Roman" w:hAnsi="Times New Roman" w:cs="Times New Roman"/>
      <w:sz w:val="24"/>
      <w:szCs w:val="24"/>
    </w:rPr>
  </w:style>
  <w:style w:type="character" w:customStyle="1" w:styleId="AERbodytextChar">
    <w:name w:val="AER body text Char"/>
    <w:link w:val="AERbodytext"/>
    <w:rsid w:val="00DB7D6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42F77"/>
    <w:rPr>
      <w:color w:val="800080" w:themeColor="followedHyperlink"/>
      <w:u w:val="single"/>
    </w:rPr>
  </w:style>
  <w:style w:type="character" w:customStyle="1" w:styleId="ListParagraphChar">
    <w:name w:val="List Paragraph Char"/>
    <w:basedOn w:val="DefaultParagraphFont"/>
    <w:link w:val="ListParagraph"/>
    <w:uiPriority w:val="34"/>
    <w:locked/>
    <w:rsid w:val="00C301C7"/>
    <w:rPr>
      <w:rFonts w:ascii="Arial" w:hAnsi="Arial"/>
    </w:rPr>
  </w:style>
  <w:style w:type="numbering" w:customStyle="1" w:styleId="NumberedList">
    <w:name w:val="Numbered List"/>
    <w:uiPriority w:val="99"/>
    <w:rsid w:val="00C301C7"/>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7795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80595210">
      <w:bodyDiv w:val="1"/>
      <w:marLeft w:val="0"/>
      <w:marRight w:val="0"/>
      <w:marTop w:val="0"/>
      <w:marBottom w:val="0"/>
      <w:divBdr>
        <w:top w:val="none" w:sz="0" w:space="0" w:color="auto"/>
        <w:left w:val="none" w:sz="0" w:space="0" w:color="auto"/>
        <w:bottom w:val="none" w:sz="0" w:space="0" w:color="auto"/>
        <w:right w:val="none" w:sz="0" w:space="0" w:color="auto"/>
      </w:divBdr>
    </w:div>
    <w:div w:id="1408577277">
      <w:bodyDiv w:val="1"/>
      <w:marLeft w:val="0"/>
      <w:marRight w:val="0"/>
      <w:marTop w:val="0"/>
      <w:marBottom w:val="0"/>
      <w:divBdr>
        <w:top w:val="none" w:sz="0" w:space="0" w:color="auto"/>
        <w:left w:val="none" w:sz="0" w:space="0" w:color="auto"/>
        <w:bottom w:val="none" w:sz="0" w:space="0" w:color="auto"/>
        <w:right w:val="none" w:sz="0" w:space="0" w:color="auto"/>
      </w:divBdr>
    </w:div>
    <w:div w:id="171222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ERinquiry@aer.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ERInquiry@aer.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er.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er.gov.au/retail-markets/retail-guidelines/review-of-retail-exempt-selling-guideline-2015" TargetMode="External"/><Relationship Id="rId1" Type="http://schemas.openxmlformats.org/officeDocument/2006/relationships/hyperlink" Target="http://www.aer.gov.au/retail-markets/retail-guidelines/review-of-retail-exempt-selling-guideline-2015/initi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2761AFEB</Template>
  <TotalTime>0</TotalTime>
  <Pages>5</Pages>
  <Words>1127</Words>
  <Characters>6427</Characters>
  <Application>Microsoft Office Word</Application>
  <DocSecurity>0</DocSecurity>
  <Lines>53</Lines>
  <Paragraphs>15</Paragraphs>
  <ScaleCrop>false</ScaleCrop>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Retail Exempt Selling guideline - sections for additional consultation only - December 2015</dc:title>
  <dc:creator/>
  <cp:lastModifiedBy/>
  <cp:revision>1</cp:revision>
  <dcterms:created xsi:type="dcterms:W3CDTF">2015-12-15T06:07:00Z</dcterms:created>
  <dcterms:modified xsi:type="dcterms:W3CDTF">2015-12-15T06:07:00Z</dcterms:modified>
</cp:coreProperties>
</file>