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651" w:rsidRDefault="00791651">
      <w:r w:rsidRPr="00791651">
        <w:rPr>
          <w:noProof/>
          <w:lang w:eastAsia="en-AU"/>
        </w:rPr>
        <w:drawing>
          <wp:inline distT="0" distB="0" distL="0" distR="0" wp14:anchorId="4E6272C7" wp14:editId="31DA2C3D">
            <wp:extent cx="2743200" cy="683281"/>
            <wp:effectExtent l="0" t="0" r="0" b="2540"/>
            <wp:docPr id="7172" name="Picture 3" descr="D10 1334418  AER logo_landscape_RGB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3" descr="D10 1334418  AER logo_landscape_RGB 300dpi.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9135" cy="689741"/>
                    </a:xfrm>
                    <a:prstGeom prst="rect">
                      <a:avLst/>
                    </a:prstGeom>
                    <a:noFill/>
                    <a:ln>
                      <a:noFill/>
                    </a:ln>
                    <a:extLst/>
                  </pic:spPr>
                </pic:pic>
              </a:graphicData>
            </a:graphic>
          </wp:inline>
        </w:drawing>
      </w:r>
    </w:p>
    <w:p w:rsidR="009E4D6C" w:rsidRPr="007A16B1" w:rsidRDefault="007A16B1" w:rsidP="009E4D6C">
      <w:pPr>
        <w:pStyle w:val="Chaptertitle"/>
        <w:rPr>
          <w:rFonts w:asciiTheme="minorHAnsi" w:hAnsiTheme="minorHAnsi" w:cstheme="minorHAnsi"/>
          <w:b/>
          <w:color w:val="000000" w:themeColor="text1"/>
          <w:sz w:val="36"/>
          <w:szCs w:val="36"/>
        </w:rPr>
      </w:pPr>
      <w:r w:rsidRPr="007A16B1">
        <w:rPr>
          <w:rFonts w:asciiTheme="minorHAnsi" w:hAnsiTheme="minorHAnsi" w:cstheme="minorHAnsi"/>
          <w:b/>
          <w:color w:val="000000" w:themeColor="text1"/>
          <w:sz w:val="36"/>
          <w:szCs w:val="36"/>
        </w:rPr>
        <w:t xml:space="preserve">AER Public Inflation Forum: </w:t>
      </w:r>
      <w:r w:rsidR="000F1A87">
        <w:rPr>
          <w:rFonts w:asciiTheme="minorHAnsi" w:hAnsiTheme="minorHAnsi" w:cstheme="minorHAnsi"/>
          <w:b/>
          <w:color w:val="000000" w:themeColor="text1"/>
          <w:sz w:val="36"/>
          <w:szCs w:val="36"/>
        </w:rPr>
        <w:t>Discussion summary</w:t>
      </w:r>
      <w:r w:rsidRPr="007A16B1">
        <w:rPr>
          <w:rFonts w:asciiTheme="minorHAnsi" w:hAnsiTheme="minorHAnsi" w:cstheme="minorHAnsi"/>
          <w:b/>
          <w:color w:val="000000" w:themeColor="text1"/>
          <w:sz w:val="36"/>
          <w:szCs w:val="36"/>
        </w:rPr>
        <w:t xml:space="preserve"> </w:t>
      </w:r>
    </w:p>
    <w:tbl>
      <w:tblPr>
        <w:tblStyle w:val="LightShading"/>
        <w:tblW w:w="10314" w:type="dxa"/>
        <w:tblLayout w:type="fixed"/>
        <w:tblLook w:val="0000" w:firstRow="0" w:lastRow="0" w:firstColumn="0" w:lastColumn="0" w:noHBand="0" w:noVBand="0"/>
      </w:tblPr>
      <w:tblGrid>
        <w:gridCol w:w="2340"/>
        <w:gridCol w:w="2340"/>
        <w:gridCol w:w="2700"/>
        <w:gridCol w:w="2934"/>
      </w:tblGrid>
      <w:tr w:rsidR="009E4D6C" w:rsidRPr="00450870" w:rsidTr="00A81040">
        <w:trPr>
          <w:trHeight w:val="340"/>
        </w:trPr>
        <w:tc>
          <w:tcPr>
            <w:tcW w:w="2340" w:type="dxa"/>
          </w:tcPr>
          <w:p w:rsidR="009E4D6C" w:rsidRPr="007E37E7" w:rsidRDefault="009E4D6C" w:rsidP="00A81040">
            <w:pPr>
              <w:pStyle w:val="TableHeading"/>
              <w:rPr>
                <w:rFonts w:asciiTheme="minorHAnsi" w:hAnsiTheme="minorHAnsi" w:cstheme="minorHAnsi"/>
                <w:lang w:val="en-US"/>
              </w:rPr>
            </w:pPr>
            <w:r w:rsidRPr="007E37E7">
              <w:rPr>
                <w:rFonts w:asciiTheme="minorHAnsi" w:hAnsiTheme="minorHAnsi" w:cstheme="minorHAnsi"/>
                <w:lang w:val="en-US"/>
              </w:rPr>
              <w:t>Matter name:</w:t>
            </w:r>
          </w:p>
        </w:tc>
        <w:tc>
          <w:tcPr>
            <w:tcW w:w="7974" w:type="dxa"/>
            <w:gridSpan w:val="3"/>
          </w:tcPr>
          <w:p w:rsidR="009E4D6C" w:rsidRPr="007E37E7" w:rsidRDefault="005D3546" w:rsidP="00A81040">
            <w:pPr>
              <w:pStyle w:val="Tabletext"/>
              <w:rPr>
                <w:rFonts w:asciiTheme="minorHAnsi" w:hAnsiTheme="minorHAnsi" w:cstheme="minorHAnsi"/>
                <w:lang w:val="en-US"/>
              </w:rPr>
            </w:pPr>
            <w:r w:rsidRPr="007E37E7">
              <w:rPr>
                <w:rFonts w:asciiTheme="minorHAnsi" w:hAnsiTheme="minorHAnsi" w:cstheme="minorHAnsi"/>
                <w:lang w:val="en-US"/>
              </w:rPr>
              <w:t>Australian Energy Regulator (AER)</w:t>
            </w:r>
            <w:r w:rsidR="009E4D6C" w:rsidRPr="007E37E7">
              <w:rPr>
                <w:rFonts w:asciiTheme="minorHAnsi" w:hAnsiTheme="minorHAnsi" w:cstheme="minorHAnsi"/>
                <w:lang w:val="en-US"/>
              </w:rPr>
              <w:t xml:space="preserve"> Public Inflation Forum</w:t>
            </w:r>
          </w:p>
        </w:tc>
      </w:tr>
      <w:tr w:rsidR="009E4D6C" w:rsidRPr="00450870" w:rsidTr="00246802">
        <w:trPr>
          <w:trHeight w:val="340"/>
        </w:trPr>
        <w:tc>
          <w:tcPr>
            <w:tcW w:w="2340" w:type="dxa"/>
          </w:tcPr>
          <w:p w:rsidR="009E4D6C" w:rsidRPr="007E37E7" w:rsidRDefault="009E4D6C" w:rsidP="00A81040">
            <w:pPr>
              <w:pStyle w:val="TableHeading"/>
              <w:rPr>
                <w:rFonts w:asciiTheme="minorHAnsi" w:hAnsiTheme="minorHAnsi" w:cstheme="minorHAnsi"/>
                <w:lang w:val="en-US"/>
              </w:rPr>
            </w:pPr>
            <w:r w:rsidRPr="007E37E7">
              <w:rPr>
                <w:rFonts w:asciiTheme="minorHAnsi" w:hAnsiTheme="minorHAnsi" w:cstheme="minorHAnsi"/>
                <w:lang w:val="en-US"/>
              </w:rPr>
              <w:t>Date:</w:t>
            </w:r>
          </w:p>
        </w:tc>
        <w:tc>
          <w:tcPr>
            <w:tcW w:w="7974" w:type="dxa"/>
            <w:gridSpan w:val="3"/>
          </w:tcPr>
          <w:p w:rsidR="009E4D6C" w:rsidRPr="007E37E7" w:rsidRDefault="009E4D6C" w:rsidP="00A81040">
            <w:pPr>
              <w:pStyle w:val="Tabletext"/>
              <w:rPr>
                <w:rFonts w:asciiTheme="minorHAnsi" w:hAnsiTheme="minorHAnsi" w:cstheme="minorHAnsi"/>
                <w:lang w:val="en-US"/>
              </w:rPr>
            </w:pPr>
            <w:r w:rsidRPr="007E37E7">
              <w:rPr>
                <w:rFonts w:asciiTheme="minorHAnsi" w:hAnsiTheme="minorHAnsi" w:cstheme="minorHAnsi"/>
                <w:lang w:val="en-US"/>
              </w:rPr>
              <w:t>Wednesday 14 June 2017</w:t>
            </w:r>
          </w:p>
        </w:tc>
      </w:tr>
      <w:tr w:rsidR="009E4D6C" w:rsidRPr="00450870" w:rsidTr="00246802">
        <w:trPr>
          <w:trHeight w:val="340"/>
        </w:trPr>
        <w:tc>
          <w:tcPr>
            <w:tcW w:w="2340" w:type="dxa"/>
          </w:tcPr>
          <w:p w:rsidR="009E4D6C" w:rsidRPr="007E37E7" w:rsidRDefault="009E4D6C" w:rsidP="00A81040">
            <w:pPr>
              <w:pStyle w:val="TableHeading"/>
              <w:rPr>
                <w:rFonts w:asciiTheme="minorHAnsi" w:hAnsiTheme="minorHAnsi" w:cstheme="minorHAnsi"/>
                <w:lang w:val="en-US"/>
              </w:rPr>
            </w:pPr>
            <w:r w:rsidRPr="007E37E7">
              <w:rPr>
                <w:rFonts w:asciiTheme="minorHAnsi" w:hAnsiTheme="minorHAnsi" w:cstheme="minorHAnsi"/>
                <w:lang w:val="en-US"/>
              </w:rPr>
              <w:t>Time:</w:t>
            </w:r>
          </w:p>
        </w:tc>
        <w:tc>
          <w:tcPr>
            <w:tcW w:w="7974" w:type="dxa"/>
            <w:gridSpan w:val="3"/>
          </w:tcPr>
          <w:p w:rsidR="009E4D6C" w:rsidRPr="007E37E7" w:rsidRDefault="009E4D6C" w:rsidP="00A81040">
            <w:pPr>
              <w:pStyle w:val="Tabletext"/>
              <w:rPr>
                <w:rFonts w:asciiTheme="minorHAnsi" w:hAnsiTheme="minorHAnsi" w:cstheme="minorHAnsi"/>
                <w:lang w:val="en-US"/>
              </w:rPr>
            </w:pPr>
            <w:r w:rsidRPr="007E37E7">
              <w:rPr>
                <w:rFonts w:asciiTheme="minorHAnsi" w:hAnsiTheme="minorHAnsi" w:cstheme="minorHAnsi"/>
                <w:lang w:val="en-US"/>
              </w:rPr>
              <w:t xml:space="preserve">9:00am to 1:00pm </w:t>
            </w:r>
          </w:p>
        </w:tc>
      </w:tr>
      <w:tr w:rsidR="009E4D6C" w:rsidRPr="00450870" w:rsidTr="00246802">
        <w:trPr>
          <w:trHeight w:val="340"/>
        </w:trPr>
        <w:tc>
          <w:tcPr>
            <w:tcW w:w="2340" w:type="dxa"/>
          </w:tcPr>
          <w:p w:rsidR="009E4D6C" w:rsidRPr="007E37E7" w:rsidRDefault="009E4D6C" w:rsidP="00A81040">
            <w:pPr>
              <w:pStyle w:val="TableHeading"/>
              <w:rPr>
                <w:rFonts w:asciiTheme="minorHAnsi" w:hAnsiTheme="minorHAnsi" w:cstheme="minorHAnsi"/>
                <w:lang w:val="en-US"/>
              </w:rPr>
            </w:pPr>
            <w:r w:rsidRPr="007E37E7">
              <w:rPr>
                <w:rFonts w:asciiTheme="minorHAnsi" w:hAnsiTheme="minorHAnsi" w:cstheme="minorHAnsi"/>
                <w:lang w:val="en-US"/>
              </w:rPr>
              <w:t xml:space="preserve">Location: </w:t>
            </w:r>
          </w:p>
        </w:tc>
        <w:tc>
          <w:tcPr>
            <w:tcW w:w="7974" w:type="dxa"/>
            <w:gridSpan w:val="3"/>
          </w:tcPr>
          <w:p w:rsidR="009E4D6C" w:rsidRPr="007E37E7" w:rsidRDefault="009E4D6C" w:rsidP="00A81040">
            <w:pPr>
              <w:pStyle w:val="Tabletext"/>
              <w:rPr>
                <w:rFonts w:asciiTheme="minorHAnsi" w:hAnsiTheme="minorHAnsi" w:cstheme="minorHAnsi"/>
                <w:lang w:val="en-US"/>
              </w:rPr>
            </w:pPr>
            <w:r w:rsidRPr="007E37E7">
              <w:rPr>
                <w:rFonts w:asciiTheme="minorHAnsi" w:hAnsiTheme="minorHAnsi" w:cstheme="minorHAnsi"/>
                <w:lang w:val="en-US"/>
              </w:rPr>
              <w:t xml:space="preserve">Stamford Plaza Sydney Airport </w:t>
            </w:r>
          </w:p>
          <w:p w:rsidR="009E4D6C" w:rsidRPr="007E37E7" w:rsidRDefault="009E4D6C" w:rsidP="00A81040">
            <w:pPr>
              <w:pStyle w:val="Tabletext"/>
              <w:rPr>
                <w:rFonts w:asciiTheme="minorHAnsi" w:hAnsiTheme="minorHAnsi" w:cstheme="minorHAnsi"/>
                <w:lang w:val="en-US"/>
              </w:rPr>
            </w:pPr>
            <w:r w:rsidRPr="007E37E7">
              <w:rPr>
                <w:rFonts w:asciiTheme="minorHAnsi" w:hAnsiTheme="minorHAnsi" w:cstheme="minorHAnsi"/>
                <w:lang w:val="en-US"/>
              </w:rPr>
              <w:t xml:space="preserve">24 1 O’Riordan St, </w:t>
            </w:r>
          </w:p>
          <w:p w:rsidR="009E4D6C" w:rsidRPr="007E37E7" w:rsidRDefault="009E4D6C" w:rsidP="00A81040">
            <w:pPr>
              <w:pStyle w:val="Tabletext"/>
              <w:rPr>
                <w:rFonts w:asciiTheme="minorHAnsi" w:hAnsiTheme="minorHAnsi" w:cstheme="minorHAnsi"/>
                <w:lang w:val="en-US"/>
              </w:rPr>
            </w:pPr>
            <w:r w:rsidRPr="007E37E7">
              <w:rPr>
                <w:rFonts w:asciiTheme="minorHAnsi" w:hAnsiTheme="minorHAnsi" w:cstheme="minorHAnsi"/>
                <w:lang w:val="en-US"/>
              </w:rPr>
              <w:t>Mascot NSW 2020</w:t>
            </w:r>
          </w:p>
        </w:tc>
      </w:tr>
      <w:tr w:rsidR="009E4D6C" w:rsidRPr="00450870" w:rsidTr="00A81040">
        <w:trPr>
          <w:trHeight w:val="113"/>
        </w:trPr>
        <w:tc>
          <w:tcPr>
            <w:tcW w:w="10314" w:type="dxa"/>
            <w:gridSpan w:val="4"/>
          </w:tcPr>
          <w:p w:rsidR="009E4D6C" w:rsidRPr="007E37E7" w:rsidRDefault="009E4D6C" w:rsidP="00A81040">
            <w:pPr>
              <w:pStyle w:val="TableHeading"/>
              <w:rPr>
                <w:rFonts w:asciiTheme="minorHAnsi" w:hAnsiTheme="minorHAnsi" w:cstheme="minorHAnsi"/>
                <w:lang w:val="en-US"/>
              </w:rPr>
            </w:pPr>
          </w:p>
        </w:tc>
      </w:tr>
      <w:tr w:rsidR="009E4D6C" w:rsidRPr="00450870" w:rsidTr="00A81040">
        <w:trPr>
          <w:trHeight w:val="340"/>
        </w:trPr>
        <w:tc>
          <w:tcPr>
            <w:tcW w:w="2340" w:type="dxa"/>
          </w:tcPr>
          <w:p w:rsidR="009E4D6C" w:rsidRPr="007E37E7" w:rsidRDefault="009E4D6C" w:rsidP="00A81040">
            <w:pPr>
              <w:pStyle w:val="TableHeading"/>
              <w:rPr>
                <w:rFonts w:asciiTheme="minorHAnsi" w:hAnsiTheme="minorHAnsi" w:cstheme="minorHAnsi"/>
                <w:lang w:val="en-US"/>
              </w:rPr>
            </w:pPr>
            <w:r w:rsidRPr="007E37E7">
              <w:rPr>
                <w:rFonts w:asciiTheme="minorHAnsi" w:hAnsiTheme="minorHAnsi" w:cstheme="minorHAnsi"/>
                <w:lang w:val="en-US"/>
              </w:rPr>
              <w:t xml:space="preserve">Phone to       </w:t>
            </w:r>
            <w:sdt>
              <w:sdtPr>
                <w:rPr>
                  <w:rFonts w:asciiTheme="minorHAnsi" w:hAnsiTheme="minorHAnsi" w:cstheme="minorHAnsi"/>
                  <w:lang w:val="en-US"/>
                </w:rPr>
                <w:id w:val="-1220045539"/>
                <w14:checkbox>
                  <w14:checked w14:val="0"/>
                  <w14:checkedState w14:val="2612" w14:font="MS Gothic"/>
                  <w14:uncheckedState w14:val="2610" w14:font="MS Gothic"/>
                </w14:checkbox>
              </w:sdtPr>
              <w:sdtEndPr/>
              <w:sdtContent>
                <w:r w:rsidRPr="007E37E7">
                  <w:rPr>
                    <w:rFonts w:ascii="MS Gothic" w:eastAsia="MS Gothic" w:hAnsi="MS Gothic" w:cs="MS Gothic" w:hint="eastAsia"/>
                    <w:lang w:val="en-US"/>
                  </w:rPr>
                  <w:t>☐</w:t>
                </w:r>
              </w:sdtContent>
            </w:sdt>
            <w:r w:rsidRPr="007E37E7">
              <w:rPr>
                <w:rFonts w:asciiTheme="minorHAnsi" w:hAnsiTheme="minorHAnsi" w:cstheme="minorHAnsi"/>
                <w:lang w:val="en-US"/>
              </w:rPr>
              <w:t xml:space="preserve">     </w:t>
            </w:r>
          </w:p>
        </w:tc>
        <w:tc>
          <w:tcPr>
            <w:tcW w:w="2340" w:type="dxa"/>
          </w:tcPr>
          <w:p w:rsidR="009E4D6C" w:rsidRPr="007E37E7" w:rsidRDefault="009E4D6C" w:rsidP="00A81040">
            <w:pPr>
              <w:pStyle w:val="TableHeading"/>
              <w:rPr>
                <w:rFonts w:asciiTheme="minorHAnsi" w:hAnsiTheme="minorHAnsi" w:cstheme="minorHAnsi"/>
                <w:lang w:val="en-US"/>
              </w:rPr>
            </w:pPr>
            <w:r w:rsidRPr="007E37E7">
              <w:rPr>
                <w:rFonts w:asciiTheme="minorHAnsi" w:hAnsiTheme="minorHAnsi" w:cstheme="minorHAnsi"/>
                <w:lang w:val="en-US"/>
              </w:rPr>
              <w:t xml:space="preserve">Phone from  </w:t>
            </w:r>
            <w:sdt>
              <w:sdtPr>
                <w:rPr>
                  <w:rFonts w:asciiTheme="minorHAnsi" w:hAnsiTheme="minorHAnsi" w:cstheme="minorHAnsi"/>
                  <w:lang w:val="en-US"/>
                </w:rPr>
                <w:id w:val="109556023"/>
                <w14:checkbox>
                  <w14:checked w14:val="0"/>
                  <w14:checkedState w14:val="2612" w14:font="MS Gothic"/>
                  <w14:uncheckedState w14:val="2610" w14:font="MS Gothic"/>
                </w14:checkbox>
              </w:sdtPr>
              <w:sdtEndPr/>
              <w:sdtContent>
                <w:r w:rsidRPr="007E37E7">
                  <w:rPr>
                    <w:rFonts w:ascii="MS Gothic" w:eastAsia="MS Gothic" w:hAnsi="MS Gothic" w:cs="MS Gothic" w:hint="eastAsia"/>
                    <w:lang w:val="en-US"/>
                  </w:rPr>
                  <w:t>☐</w:t>
                </w:r>
              </w:sdtContent>
            </w:sdt>
            <w:r w:rsidRPr="007E37E7">
              <w:rPr>
                <w:rFonts w:asciiTheme="minorHAnsi" w:hAnsiTheme="minorHAnsi" w:cstheme="minorHAnsi"/>
                <w:lang w:val="en-US"/>
              </w:rPr>
              <w:t xml:space="preserve">     </w:t>
            </w:r>
          </w:p>
        </w:tc>
        <w:tc>
          <w:tcPr>
            <w:tcW w:w="2700" w:type="dxa"/>
          </w:tcPr>
          <w:p w:rsidR="009E4D6C" w:rsidRPr="007E37E7" w:rsidRDefault="009E4D6C" w:rsidP="00A81040">
            <w:pPr>
              <w:pStyle w:val="TableHeading"/>
              <w:rPr>
                <w:rFonts w:asciiTheme="minorHAnsi" w:hAnsiTheme="minorHAnsi" w:cstheme="minorHAnsi"/>
                <w:lang w:val="en-US"/>
              </w:rPr>
            </w:pPr>
            <w:r w:rsidRPr="007E37E7">
              <w:rPr>
                <w:rFonts w:asciiTheme="minorHAnsi" w:hAnsiTheme="minorHAnsi" w:cstheme="minorHAnsi"/>
                <w:lang w:val="en-US"/>
              </w:rPr>
              <w:t xml:space="preserve">Meeting               </w:t>
            </w:r>
            <w:sdt>
              <w:sdtPr>
                <w:rPr>
                  <w:rFonts w:asciiTheme="minorHAnsi" w:hAnsiTheme="minorHAnsi" w:cstheme="minorHAnsi"/>
                  <w:lang w:val="en-US"/>
                </w:rPr>
                <w:id w:val="1509253846"/>
                <w14:checkbox>
                  <w14:checked w14:val="1"/>
                  <w14:checkedState w14:val="2612" w14:font="MS Gothic"/>
                  <w14:uncheckedState w14:val="2610" w14:font="MS Gothic"/>
                </w14:checkbox>
              </w:sdtPr>
              <w:sdtEndPr/>
              <w:sdtContent>
                <w:r w:rsidRPr="007E37E7">
                  <w:rPr>
                    <w:rFonts w:ascii="MS Gothic" w:eastAsia="MS Gothic" w:hAnsi="MS Gothic" w:cs="MS Gothic" w:hint="eastAsia"/>
                    <w:lang w:val="en-US"/>
                  </w:rPr>
                  <w:t>☒</w:t>
                </w:r>
              </w:sdtContent>
            </w:sdt>
          </w:p>
        </w:tc>
        <w:tc>
          <w:tcPr>
            <w:tcW w:w="2934" w:type="dxa"/>
          </w:tcPr>
          <w:p w:rsidR="009E4D6C" w:rsidRPr="007E37E7" w:rsidRDefault="009E4D6C" w:rsidP="00A81040">
            <w:pPr>
              <w:pStyle w:val="TableHeading"/>
              <w:rPr>
                <w:rFonts w:asciiTheme="minorHAnsi" w:hAnsiTheme="minorHAnsi" w:cstheme="minorHAnsi"/>
                <w:lang w:val="en-US"/>
              </w:rPr>
            </w:pPr>
            <w:r w:rsidRPr="007E37E7">
              <w:rPr>
                <w:rFonts w:asciiTheme="minorHAnsi" w:hAnsiTheme="minorHAnsi" w:cstheme="minorHAnsi"/>
                <w:lang w:val="en-US"/>
              </w:rPr>
              <w:t xml:space="preserve">Other                  </w:t>
            </w:r>
            <w:sdt>
              <w:sdtPr>
                <w:rPr>
                  <w:rFonts w:asciiTheme="minorHAnsi" w:hAnsiTheme="minorHAnsi" w:cstheme="minorHAnsi"/>
                  <w:lang w:val="en-US"/>
                </w:rPr>
                <w:id w:val="-1385018601"/>
                <w14:checkbox>
                  <w14:checked w14:val="0"/>
                  <w14:checkedState w14:val="2612" w14:font="MS Gothic"/>
                  <w14:uncheckedState w14:val="2610" w14:font="MS Gothic"/>
                </w14:checkbox>
              </w:sdtPr>
              <w:sdtEndPr/>
              <w:sdtContent>
                <w:r w:rsidRPr="007E37E7">
                  <w:rPr>
                    <w:rFonts w:ascii="MS Gothic" w:eastAsia="MS Gothic" w:hAnsi="MS Gothic" w:cs="MS Gothic" w:hint="eastAsia"/>
                    <w:lang w:val="en-US"/>
                  </w:rPr>
                  <w:t>☐</w:t>
                </w:r>
              </w:sdtContent>
            </w:sdt>
            <w:r w:rsidRPr="007E37E7">
              <w:rPr>
                <w:rFonts w:asciiTheme="minorHAnsi" w:hAnsiTheme="minorHAnsi" w:cstheme="minorHAnsi"/>
                <w:lang w:val="en-US"/>
              </w:rPr>
              <w:t xml:space="preserve">     </w:t>
            </w:r>
          </w:p>
        </w:tc>
      </w:tr>
    </w:tbl>
    <w:p w:rsidR="009E4D6C" w:rsidRDefault="009E4D6C" w:rsidP="002F6717">
      <w:pPr>
        <w:pStyle w:val="NoSpacing"/>
        <w:rPr>
          <w:b/>
        </w:rPr>
      </w:pPr>
    </w:p>
    <w:p w:rsidR="00791651" w:rsidRPr="00791651" w:rsidRDefault="00791651" w:rsidP="00791651">
      <w:pPr>
        <w:pStyle w:val="NoSpacing"/>
        <w:rPr>
          <w:i/>
        </w:rPr>
      </w:pPr>
      <w:r w:rsidRPr="00791651">
        <w:rPr>
          <w:i/>
        </w:rPr>
        <w:t xml:space="preserve">Note: </w:t>
      </w:r>
      <w:r w:rsidR="005D3546">
        <w:rPr>
          <w:i/>
        </w:rPr>
        <w:t>This</w:t>
      </w:r>
      <w:r w:rsidRPr="00791651">
        <w:rPr>
          <w:i/>
        </w:rPr>
        <w:t xml:space="preserve"> document provides an overview of the main points discussed during the </w:t>
      </w:r>
      <w:r w:rsidR="005D3546">
        <w:rPr>
          <w:i/>
        </w:rPr>
        <w:t xml:space="preserve">AER </w:t>
      </w:r>
      <w:r w:rsidRPr="00791651">
        <w:rPr>
          <w:i/>
        </w:rPr>
        <w:t>Public Inflation Forum. Its use is purely informative.</w:t>
      </w:r>
      <w:r w:rsidR="00A34C39">
        <w:rPr>
          <w:i/>
        </w:rPr>
        <w:t xml:space="preserve"> Stakeholders may use the information in this document to assist them in their submissions to the AER, due 29 June 2017. </w:t>
      </w:r>
      <w:r w:rsidRPr="00791651">
        <w:rPr>
          <w:i/>
        </w:rPr>
        <w:t xml:space="preserve"> </w:t>
      </w:r>
    </w:p>
    <w:p w:rsidR="00791651" w:rsidRDefault="00791651" w:rsidP="00791651">
      <w:pPr>
        <w:pStyle w:val="NoSpacing"/>
      </w:pPr>
    </w:p>
    <w:p w:rsidR="00A34C39" w:rsidRDefault="00791651" w:rsidP="002F6717">
      <w:pPr>
        <w:pStyle w:val="NoSpacing"/>
        <w:rPr>
          <w:rFonts w:cs="Arial"/>
          <w:sz w:val="21"/>
          <w:szCs w:val="21"/>
          <w:lang w:val="en-US"/>
        </w:rPr>
      </w:pPr>
      <w:r>
        <w:t xml:space="preserve">The Australian Energy Regulator (AER) </w:t>
      </w:r>
      <w:r w:rsidR="00E51395">
        <w:t xml:space="preserve">held a </w:t>
      </w:r>
      <w:r>
        <w:t>public</w:t>
      </w:r>
      <w:r w:rsidR="00E51395">
        <w:t xml:space="preserve"> forum </w:t>
      </w:r>
      <w:r>
        <w:rPr>
          <w:rFonts w:cs="Arial"/>
          <w:sz w:val="21"/>
          <w:szCs w:val="21"/>
          <w:lang w:val="en-US"/>
        </w:rPr>
        <w:t xml:space="preserve">as part of </w:t>
      </w:r>
      <w:r w:rsidR="00E51395">
        <w:rPr>
          <w:rFonts w:cs="Arial"/>
          <w:sz w:val="21"/>
          <w:szCs w:val="21"/>
          <w:lang w:val="en-US"/>
        </w:rPr>
        <w:t xml:space="preserve">its </w:t>
      </w:r>
      <w:r>
        <w:rPr>
          <w:rFonts w:cs="Arial"/>
          <w:sz w:val="21"/>
          <w:szCs w:val="21"/>
          <w:lang w:val="en-US"/>
        </w:rPr>
        <w:t>industry-wide consultation and review</w:t>
      </w:r>
      <w:r w:rsidR="00E51395">
        <w:rPr>
          <w:rFonts w:cs="Arial"/>
          <w:sz w:val="21"/>
          <w:szCs w:val="21"/>
          <w:lang w:val="en-US"/>
        </w:rPr>
        <w:t xml:space="preserve"> of</w:t>
      </w:r>
      <w:r w:rsidR="00632030">
        <w:rPr>
          <w:rFonts w:cs="Arial"/>
          <w:sz w:val="21"/>
          <w:szCs w:val="21"/>
          <w:lang w:val="en-US"/>
        </w:rPr>
        <w:t xml:space="preserve"> the</w:t>
      </w:r>
      <w:r w:rsidR="00E51395">
        <w:rPr>
          <w:rFonts w:cs="Arial"/>
          <w:sz w:val="21"/>
          <w:szCs w:val="21"/>
          <w:lang w:val="en-US"/>
        </w:rPr>
        <w:t xml:space="preserve"> regulatory treatment of inflation</w:t>
      </w:r>
      <w:r w:rsidR="002F6717">
        <w:rPr>
          <w:rFonts w:cs="Arial"/>
          <w:sz w:val="21"/>
          <w:szCs w:val="21"/>
          <w:lang w:val="en-US"/>
        </w:rPr>
        <w:t xml:space="preserve">. </w:t>
      </w:r>
      <w:r w:rsidR="009E045B">
        <w:rPr>
          <w:rFonts w:cs="Arial"/>
          <w:sz w:val="21"/>
          <w:szCs w:val="21"/>
          <w:lang w:val="en-US"/>
        </w:rPr>
        <w:t>The forum</w:t>
      </w:r>
      <w:r w:rsidR="002F6717">
        <w:rPr>
          <w:rFonts w:cs="Arial"/>
          <w:sz w:val="21"/>
          <w:szCs w:val="21"/>
          <w:lang w:val="en-US"/>
        </w:rPr>
        <w:t xml:space="preserve"> gave </w:t>
      </w:r>
      <w:r w:rsidR="0096391E">
        <w:rPr>
          <w:rFonts w:cs="Arial"/>
          <w:sz w:val="21"/>
          <w:szCs w:val="21"/>
          <w:lang w:val="en-US"/>
        </w:rPr>
        <w:t>stakeholders</w:t>
      </w:r>
      <w:r w:rsidR="002F6717">
        <w:rPr>
          <w:rFonts w:cs="Arial"/>
          <w:sz w:val="21"/>
          <w:szCs w:val="21"/>
          <w:lang w:val="en-US"/>
        </w:rPr>
        <w:t xml:space="preserve"> the opportunity to </w:t>
      </w:r>
      <w:r w:rsidR="00A34C39">
        <w:rPr>
          <w:rFonts w:ascii="Helvetica" w:hAnsi="Helvetica" w:cs="Helvetica"/>
          <w:sz w:val="21"/>
          <w:szCs w:val="21"/>
          <w:lang w:val="en"/>
        </w:rPr>
        <w:t xml:space="preserve">seek clarification of inflation-related issues in our </w:t>
      </w:r>
      <w:r w:rsidR="00E51395">
        <w:rPr>
          <w:rFonts w:ascii="Helvetica" w:hAnsi="Helvetica" w:cs="Helvetica"/>
          <w:sz w:val="21"/>
          <w:szCs w:val="21"/>
          <w:lang w:val="en"/>
        </w:rPr>
        <w:t xml:space="preserve">previously published </w:t>
      </w:r>
      <w:r w:rsidR="00A34C39">
        <w:rPr>
          <w:rFonts w:ascii="Helvetica" w:hAnsi="Helvetica" w:cs="Helvetica"/>
          <w:sz w:val="21"/>
          <w:szCs w:val="21"/>
          <w:lang w:val="en"/>
        </w:rPr>
        <w:t xml:space="preserve">Discussion paper and allowed </w:t>
      </w:r>
      <w:r w:rsidR="00E51395">
        <w:rPr>
          <w:rFonts w:ascii="Helvetica" w:hAnsi="Helvetica" w:cs="Helvetica"/>
          <w:sz w:val="21"/>
          <w:szCs w:val="21"/>
          <w:lang w:val="en"/>
        </w:rPr>
        <w:t>the AER’s project team t</w:t>
      </w:r>
      <w:r w:rsidR="00A34C39">
        <w:rPr>
          <w:rFonts w:ascii="Helvetica" w:hAnsi="Helvetica" w:cs="Helvetica"/>
          <w:sz w:val="21"/>
          <w:szCs w:val="21"/>
          <w:lang w:val="en"/>
        </w:rPr>
        <w:t xml:space="preserve">o engage with stakeholders to </w:t>
      </w:r>
      <w:r w:rsidR="00E51395">
        <w:rPr>
          <w:rFonts w:ascii="Helvetica" w:hAnsi="Helvetica" w:cs="Helvetica"/>
          <w:sz w:val="21"/>
          <w:szCs w:val="21"/>
          <w:lang w:val="en"/>
        </w:rPr>
        <w:t>understand</w:t>
      </w:r>
      <w:r w:rsidR="00A34C39">
        <w:rPr>
          <w:rFonts w:ascii="Helvetica" w:hAnsi="Helvetica" w:cs="Helvetica"/>
          <w:sz w:val="21"/>
          <w:szCs w:val="21"/>
          <w:lang w:val="en"/>
        </w:rPr>
        <w:t xml:space="preserve"> their main concerns. The forum also provided the opportunity for all stakeholders to understand each other’s issues, concerns and potential consequences</w:t>
      </w:r>
      <w:r w:rsidR="00E51395">
        <w:rPr>
          <w:rFonts w:ascii="Helvetica" w:hAnsi="Helvetica" w:cs="Helvetica"/>
          <w:sz w:val="21"/>
          <w:szCs w:val="21"/>
          <w:lang w:val="en"/>
        </w:rPr>
        <w:t xml:space="preserve"> of changing the AER’s current approaches to treating inflation.</w:t>
      </w:r>
    </w:p>
    <w:p w:rsidR="00A34C39" w:rsidRDefault="00A34C39" w:rsidP="001057AC">
      <w:pPr>
        <w:pStyle w:val="NoSpacing"/>
        <w:rPr>
          <w:rFonts w:ascii="Helvetica" w:hAnsi="Helvetica" w:cs="Helvetica"/>
          <w:b/>
          <w:sz w:val="21"/>
          <w:szCs w:val="21"/>
          <w:lang w:val="en"/>
        </w:rPr>
      </w:pPr>
    </w:p>
    <w:p w:rsidR="001057AC" w:rsidRPr="009E4D6C" w:rsidRDefault="006A3232" w:rsidP="001057AC">
      <w:pPr>
        <w:pStyle w:val="NoSpacing"/>
        <w:rPr>
          <w:rFonts w:ascii="Helvetica" w:hAnsi="Helvetica" w:cs="Helvetica"/>
          <w:b/>
          <w:sz w:val="21"/>
          <w:szCs w:val="21"/>
          <w:lang w:val="en"/>
        </w:rPr>
      </w:pPr>
      <w:r>
        <w:rPr>
          <w:rFonts w:ascii="Helvetica" w:hAnsi="Helvetica" w:cs="Helvetica"/>
          <w:b/>
          <w:sz w:val="21"/>
          <w:szCs w:val="21"/>
          <w:lang w:val="en"/>
        </w:rPr>
        <w:t>Discussion P</w:t>
      </w:r>
      <w:r w:rsidR="009E045B">
        <w:rPr>
          <w:rFonts w:ascii="Helvetica" w:hAnsi="Helvetica" w:cs="Helvetica"/>
          <w:b/>
          <w:sz w:val="21"/>
          <w:szCs w:val="21"/>
          <w:lang w:val="en"/>
        </w:rPr>
        <w:t>aper – key inflation related issues</w:t>
      </w:r>
    </w:p>
    <w:p w:rsidR="00E002C0" w:rsidRPr="008E7A59" w:rsidRDefault="009E045B" w:rsidP="001057AC">
      <w:pPr>
        <w:pStyle w:val="NoSpacing"/>
        <w:rPr>
          <w:rFonts w:ascii="Helvetica" w:hAnsi="Helvetica" w:cs="Helvetica"/>
          <w:sz w:val="21"/>
          <w:szCs w:val="21"/>
          <w:lang w:val="en"/>
        </w:rPr>
      </w:pPr>
      <w:r>
        <w:rPr>
          <w:rFonts w:ascii="Helvetica" w:hAnsi="Helvetica" w:cs="Helvetica"/>
          <w:sz w:val="21"/>
          <w:szCs w:val="21"/>
          <w:lang w:val="en"/>
        </w:rPr>
        <w:t xml:space="preserve">There was </w:t>
      </w:r>
      <w:r w:rsidR="009B76EB">
        <w:rPr>
          <w:rFonts w:ascii="Helvetica" w:hAnsi="Helvetica" w:cs="Helvetica"/>
          <w:sz w:val="21"/>
          <w:szCs w:val="21"/>
          <w:lang w:val="en"/>
        </w:rPr>
        <w:t>consensus</w:t>
      </w:r>
      <w:r>
        <w:rPr>
          <w:rFonts w:ascii="Helvetica" w:hAnsi="Helvetica" w:cs="Helvetica"/>
          <w:sz w:val="21"/>
          <w:szCs w:val="21"/>
          <w:lang w:val="en"/>
        </w:rPr>
        <w:t xml:space="preserve"> that there are two broad inflation-related issues, both of which were raised in the AER’s </w:t>
      </w:r>
      <w:r w:rsidR="006A3232">
        <w:rPr>
          <w:rFonts w:ascii="Helvetica" w:hAnsi="Helvetica" w:cs="Helvetica"/>
          <w:sz w:val="21"/>
          <w:szCs w:val="21"/>
          <w:lang w:val="en"/>
        </w:rPr>
        <w:t>Discussion P</w:t>
      </w:r>
      <w:r w:rsidR="00E002C0">
        <w:rPr>
          <w:rFonts w:ascii="Helvetica" w:hAnsi="Helvetica" w:cs="Helvetica"/>
          <w:sz w:val="21"/>
          <w:szCs w:val="21"/>
          <w:lang w:val="en"/>
        </w:rPr>
        <w:t>aper</w:t>
      </w:r>
      <w:r>
        <w:rPr>
          <w:rFonts w:ascii="Helvetica" w:hAnsi="Helvetica" w:cs="Helvetica"/>
          <w:sz w:val="21"/>
          <w:szCs w:val="21"/>
          <w:lang w:val="en"/>
        </w:rPr>
        <w:t xml:space="preserve">. These were </w:t>
      </w:r>
      <w:r w:rsidR="00E002C0">
        <w:rPr>
          <w:rFonts w:ascii="Helvetica" w:hAnsi="Helvetica" w:cs="Helvetica"/>
          <w:sz w:val="21"/>
          <w:szCs w:val="21"/>
          <w:lang w:val="en"/>
        </w:rPr>
        <w:t>categorized into:</w:t>
      </w:r>
      <w:r w:rsidR="00E002C0" w:rsidRPr="008E7A59">
        <w:rPr>
          <w:rFonts w:ascii="Helvetica" w:hAnsi="Helvetica" w:cs="Helvetica"/>
          <w:sz w:val="21"/>
          <w:szCs w:val="21"/>
          <w:lang w:val="en"/>
        </w:rPr>
        <w:t xml:space="preserve"> </w:t>
      </w:r>
    </w:p>
    <w:p w:rsidR="00E002C0" w:rsidRDefault="00E002C0" w:rsidP="00E002C0">
      <w:pPr>
        <w:pStyle w:val="ListParagraph"/>
        <w:numPr>
          <w:ilvl w:val="0"/>
          <w:numId w:val="32"/>
        </w:numPr>
        <w:spacing w:after="60"/>
        <w:rPr>
          <w:rFonts w:ascii="Helvetica" w:hAnsi="Helvetica" w:cs="Helvetica"/>
          <w:sz w:val="21"/>
          <w:szCs w:val="21"/>
          <w:lang w:val="en"/>
        </w:rPr>
      </w:pPr>
      <w:r w:rsidRPr="008E7A59">
        <w:rPr>
          <w:rFonts w:ascii="Helvetica" w:hAnsi="Helvetica" w:cs="Helvetica"/>
          <w:sz w:val="21"/>
          <w:szCs w:val="21"/>
          <w:lang w:val="en"/>
        </w:rPr>
        <w:t xml:space="preserve">whether our </w:t>
      </w:r>
      <w:r>
        <w:rPr>
          <w:rFonts w:ascii="Helvetica" w:hAnsi="Helvetica" w:cs="Helvetica"/>
          <w:sz w:val="21"/>
          <w:szCs w:val="21"/>
          <w:lang w:val="en"/>
        </w:rPr>
        <w:t>method</w:t>
      </w:r>
      <w:r w:rsidRPr="008E7A59">
        <w:rPr>
          <w:rFonts w:ascii="Helvetica" w:hAnsi="Helvetica" w:cs="Helvetica"/>
          <w:sz w:val="21"/>
          <w:szCs w:val="21"/>
          <w:lang w:val="en"/>
        </w:rPr>
        <w:t xml:space="preserve"> results in the best estimate of expected inflation</w:t>
      </w:r>
    </w:p>
    <w:p w:rsidR="00E002C0" w:rsidRPr="008E7A59" w:rsidRDefault="00E002C0" w:rsidP="00E002C0">
      <w:pPr>
        <w:pStyle w:val="ListParagraph"/>
        <w:numPr>
          <w:ilvl w:val="0"/>
          <w:numId w:val="32"/>
        </w:numPr>
        <w:spacing w:after="60"/>
        <w:rPr>
          <w:rFonts w:ascii="Helvetica" w:hAnsi="Helvetica" w:cs="Helvetica"/>
          <w:sz w:val="21"/>
          <w:szCs w:val="21"/>
          <w:lang w:val="en"/>
        </w:rPr>
      </w:pPr>
      <w:r w:rsidRPr="008E7A59">
        <w:rPr>
          <w:rFonts w:ascii="Helvetica" w:hAnsi="Helvetica" w:cs="Helvetica"/>
          <w:sz w:val="21"/>
          <w:szCs w:val="21"/>
          <w:lang w:val="en"/>
        </w:rPr>
        <w:t>potential mismatch between the best estimate of expected inflation and actual inflation outcomes</w:t>
      </w:r>
      <w:r>
        <w:rPr>
          <w:rFonts w:ascii="Helvetica" w:hAnsi="Helvetica" w:cs="Helvetica"/>
          <w:sz w:val="21"/>
          <w:szCs w:val="21"/>
          <w:lang w:val="en"/>
        </w:rPr>
        <w:t>.</w:t>
      </w:r>
    </w:p>
    <w:p w:rsidR="00E002C0" w:rsidRDefault="009E045B" w:rsidP="00E002C0">
      <w:pPr>
        <w:spacing w:after="60"/>
        <w:rPr>
          <w:rFonts w:ascii="Helvetica" w:hAnsi="Helvetica" w:cs="Helvetica"/>
          <w:sz w:val="21"/>
          <w:szCs w:val="21"/>
          <w:lang w:val="en"/>
        </w:rPr>
      </w:pPr>
      <w:r>
        <w:t>The</w:t>
      </w:r>
      <w:r w:rsidR="00B51B6C">
        <w:t>re was agreement that the</w:t>
      </w:r>
      <w:r>
        <w:rPr>
          <w:rFonts w:ascii="Helvetica" w:hAnsi="Helvetica" w:cs="Helvetica"/>
          <w:sz w:val="21"/>
          <w:szCs w:val="21"/>
          <w:lang w:val="en"/>
        </w:rPr>
        <w:t xml:space="preserve"> AER’s</w:t>
      </w:r>
      <w:r w:rsidR="00E002C0" w:rsidRPr="008E7A59">
        <w:rPr>
          <w:rFonts w:ascii="Helvetica" w:hAnsi="Helvetica" w:cs="Helvetica"/>
          <w:sz w:val="21"/>
          <w:szCs w:val="21"/>
          <w:lang w:val="en"/>
        </w:rPr>
        <w:t xml:space="preserve"> current </w:t>
      </w:r>
      <w:r w:rsidR="00E002C0">
        <w:rPr>
          <w:rFonts w:ascii="Helvetica" w:hAnsi="Helvetica" w:cs="Helvetica"/>
          <w:sz w:val="21"/>
          <w:szCs w:val="21"/>
          <w:lang w:val="en"/>
        </w:rPr>
        <w:t>method</w:t>
      </w:r>
      <w:r w:rsidR="00E002C0" w:rsidRPr="008E7A59">
        <w:rPr>
          <w:rFonts w:ascii="Helvetica" w:hAnsi="Helvetica" w:cs="Helvetica"/>
          <w:sz w:val="21"/>
          <w:szCs w:val="21"/>
          <w:lang w:val="en"/>
        </w:rPr>
        <w:t xml:space="preserve"> to estimating </w:t>
      </w:r>
      <w:r w:rsidR="00E002C0">
        <w:rPr>
          <w:rFonts w:ascii="Helvetica" w:hAnsi="Helvetica" w:cs="Helvetica"/>
          <w:sz w:val="21"/>
          <w:szCs w:val="21"/>
          <w:lang w:val="en"/>
        </w:rPr>
        <w:t xml:space="preserve">expected </w:t>
      </w:r>
      <w:r w:rsidR="00E002C0" w:rsidRPr="008E7A59">
        <w:rPr>
          <w:rFonts w:ascii="Helvetica" w:hAnsi="Helvetica" w:cs="Helvetica"/>
          <w:sz w:val="21"/>
          <w:szCs w:val="21"/>
          <w:lang w:val="en"/>
        </w:rPr>
        <w:t xml:space="preserve">inflation </w:t>
      </w:r>
      <w:r w:rsidR="00E002C0" w:rsidRPr="00BB39D2">
        <w:rPr>
          <w:rFonts w:ascii="Helvetica" w:hAnsi="Helvetica" w:cs="Helvetica"/>
          <w:sz w:val="21"/>
          <w:szCs w:val="21"/>
          <w:lang w:val="en"/>
        </w:rPr>
        <w:t xml:space="preserve">has been used for some time. </w:t>
      </w:r>
      <w:r w:rsidR="00E002C0">
        <w:rPr>
          <w:rFonts w:ascii="Helvetica" w:hAnsi="Helvetica" w:cs="Helvetica"/>
          <w:sz w:val="21"/>
          <w:szCs w:val="21"/>
          <w:lang w:val="en"/>
        </w:rPr>
        <w:t>It</w:t>
      </w:r>
      <w:r w:rsidR="00E002C0" w:rsidRPr="008E7A59">
        <w:rPr>
          <w:rFonts w:ascii="Helvetica" w:hAnsi="Helvetica" w:cs="Helvetica"/>
          <w:sz w:val="21"/>
          <w:szCs w:val="21"/>
          <w:lang w:val="en"/>
        </w:rPr>
        <w:t xml:space="preserve"> is largely based on the midpoint of the Reserve Bank of Australia’s inflation target band,</w:t>
      </w:r>
      <w:r w:rsidR="00E002C0">
        <w:rPr>
          <w:rFonts w:ascii="Helvetica" w:hAnsi="Helvetica" w:cs="Helvetica"/>
          <w:sz w:val="21"/>
          <w:szCs w:val="21"/>
          <w:lang w:val="en"/>
        </w:rPr>
        <w:t xml:space="preserve"> with weight given to the RBA’s available forecast over the short term, generally a two year period. </w:t>
      </w:r>
    </w:p>
    <w:p w:rsidR="00E002C0" w:rsidRPr="008E7A59" w:rsidRDefault="009E045B" w:rsidP="00E002C0">
      <w:pPr>
        <w:spacing w:after="60"/>
        <w:rPr>
          <w:rFonts w:ascii="Helvetica" w:hAnsi="Helvetica" w:cs="Helvetica"/>
          <w:sz w:val="21"/>
          <w:szCs w:val="21"/>
          <w:lang w:val="en"/>
        </w:rPr>
      </w:pPr>
      <w:r>
        <w:t xml:space="preserve">The </w:t>
      </w:r>
      <w:r w:rsidR="00E002C0" w:rsidRPr="008E7A59">
        <w:rPr>
          <w:rFonts w:ascii="Helvetica" w:hAnsi="Helvetica" w:cs="Helvetica"/>
          <w:sz w:val="21"/>
          <w:szCs w:val="21"/>
          <w:lang w:val="en"/>
        </w:rPr>
        <w:t>second issue relates to potential mismatch between the best estimate of expected inflation and actua</w:t>
      </w:r>
      <w:r w:rsidR="00E002C0">
        <w:rPr>
          <w:rFonts w:ascii="Helvetica" w:hAnsi="Helvetica" w:cs="Helvetica"/>
          <w:sz w:val="21"/>
          <w:szCs w:val="21"/>
          <w:lang w:val="en"/>
        </w:rPr>
        <w:t>l inflation outcomes. The underlying question is</w:t>
      </w:r>
      <w:r w:rsidR="00E002C0" w:rsidRPr="008E7A59">
        <w:rPr>
          <w:rFonts w:ascii="Helvetica" w:hAnsi="Helvetica" w:cs="Helvetica"/>
          <w:sz w:val="21"/>
          <w:szCs w:val="21"/>
          <w:lang w:val="en"/>
        </w:rPr>
        <w:t xml:space="preserve"> whether</w:t>
      </w:r>
      <w:r w:rsidR="00CC790E">
        <w:rPr>
          <w:rFonts w:ascii="Helvetica" w:hAnsi="Helvetica" w:cs="Helvetica"/>
          <w:sz w:val="21"/>
          <w:szCs w:val="21"/>
          <w:lang w:val="en"/>
        </w:rPr>
        <w:t xml:space="preserve"> the regulatory framework provides regulated businesses</w:t>
      </w:r>
      <w:r w:rsidR="00B21E35">
        <w:rPr>
          <w:rFonts w:ascii="Helvetica" w:hAnsi="Helvetica" w:cs="Helvetica"/>
          <w:sz w:val="21"/>
          <w:szCs w:val="21"/>
          <w:lang w:val="en"/>
        </w:rPr>
        <w:t xml:space="preserve"> with</w:t>
      </w:r>
      <w:r w:rsidR="00CC790E">
        <w:rPr>
          <w:rFonts w:ascii="Helvetica" w:hAnsi="Helvetica" w:cs="Helvetica"/>
          <w:sz w:val="21"/>
          <w:szCs w:val="21"/>
          <w:lang w:val="en"/>
        </w:rPr>
        <w:t xml:space="preserve"> appropriate compensation for</w:t>
      </w:r>
      <w:r w:rsidR="00E002C0" w:rsidRPr="008E7A59">
        <w:rPr>
          <w:rFonts w:ascii="Helvetica" w:hAnsi="Helvetica" w:cs="Helvetica"/>
          <w:sz w:val="21"/>
          <w:szCs w:val="21"/>
          <w:lang w:val="en"/>
        </w:rPr>
        <w:t xml:space="preserve"> inflation, with particular reference to </w:t>
      </w:r>
      <w:r w:rsidR="00CC790E">
        <w:rPr>
          <w:rFonts w:ascii="Helvetica" w:hAnsi="Helvetica" w:cs="Helvetica"/>
          <w:sz w:val="21"/>
          <w:szCs w:val="21"/>
          <w:lang w:val="en"/>
        </w:rPr>
        <w:t>the</w:t>
      </w:r>
      <w:r w:rsidR="00CC790E" w:rsidRPr="008E7A59">
        <w:rPr>
          <w:rFonts w:ascii="Helvetica" w:hAnsi="Helvetica" w:cs="Helvetica"/>
          <w:sz w:val="21"/>
          <w:szCs w:val="21"/>
          <w:lang w:val="en"/>
        </w:rPr>
        <w:t xml:space="preserve"> </w:t>
      </w:r>
      <w:r w:rsidR="00E002C0" w:rsidRPr="008E7A59">
        <w:rPr>
          <w:rFonts w:ascii="Helvetica" w:hAnsi="Helvetica" w:cs="Helvetica"/>
          <w:sz w:val="21"/>
          <w:szCs w:val="21"/>
          <w:lang w:val="en"/>
        </w:rPr>
        <w:t xml:space="preserve">treatment </w:t>
      </w:r>
      <w:r w:rsidR="00CC790E">
        <w:rPr>
          <w:rFonts w:ascii="Helvetica" w:hAnsi="Helvetica" w:cs="Helvetica"/>
          <w:sz w:val="21"/>
          <w:szCs w:val="21"/>
          <w:lang w:val="en"/>
        </w:rPr>
        <w:t xml:space="preserve">of inflation </w:t>
      </w:r>
      <w:r w:rsidR="00E002C0" w:rsidRPr="008E7A59">
        <w:rPr>
          <w:rFonts w:ascii="Helvetica" w:hAnsi="Helvetica" w:cs="Helvetica"/>
          <w:sz w:val="21"/>
          <w:szCs w:val="21"/>
          <w:lang w:val="en"/>
        </w:rPr>
        <w:t xml:space="preserve">in the post-tax revenue model and the asset base roll forward model. </w:t>
      </w:r>
    </w:p>
    <w:p w:rsidR="00E002C0" w:rsidRDefault="00632030" w:rsidP="00E002C0">
      <w:pPr>
        <w:spacing w:after="60"/>
        <w:rPr>
          <w:rFonts w:ascii="Helvetica" w:hAnsi="Helvetica" w:cs="Helvetica"/>
          <w:sz w:val="21"/>
          <w:szCs w:val="21"/>
          <w:lang w:val="en"/>
        </w:rPr>
      </w:pPr>
      <w:r>
        <w:rPr>
          <w:rFonts w:ascii="Helvetica" w:hAnsi="Helvetica" w:cs="Helvetica"/>
          <w:sz w:val="21"/>
          <w:szCs w:val="21"/>
          <w:lang w:val="en"/>
        </w:rPr>
        <w:t xml:space="preserve">It was suggested </w:t>
      </w:r>
      <w:r w:rsidR="009E045B">
        <w:rPr>
          <w:rFonts w:ascii="Helvetica" w:hAnsi="Helvetica" w:cs="Helvetica"/>
          <w:sz w:val="21"/>
          <w:szCs w:val="21"/>
          <w:lang w:val="en"/>
        </w:rPr>
        <w:t>that m</w:t>
      </w:r>
      <w:r w:rsidR="00C67769">
        <w:rPr>
          <w:rFonts w:ascii="Helvetica" w:hAnsi="Helvetica" w:cs="Helvetica"/>
          <w:sz w:val="21"/>
          <w:szCs w:val="21"/>
          <w:lang w:val="en"/>
        </w:rPr>
        <w:t xml:space="preserve">aking </w:t>
      </w:r>
      <w:bookmarkStart w:id="0" w:name="_GoBack"/>
      <w:bookmarkEnd w:id="0"/>
      <w:r w:rsidR="00E002C0">
        <w:rPr>
          <w:rFonts w:ascii="Helvetica" w:hAnsi="Helvetica" w:cs="Helvetica"/>
          <w:sz w:val="21"/>
          <w:szCs w:val="21"/>
          <w:lang w:val="en"/>
        </w:rPr>
        <w:t>a change</w:t>
      </w:r>
      <w:r w:rsidR="00B21E35">
        <w:rPr>
          <w:rFonts w:ascii="Helvetica" w:hAnsi="Helvetica" w:cs="Helvetica"/>
          <w:sz w:val="21"/>
          <w:szCs w:val="21"/>
          <w:lang w:val="en"/>
        </w:rPr>
        <w:t xml:space="preserve"> to the treatment of inflation</w:t>
      </w:r>
      <w:r w:rsidR="00E002C0">
        <w:rPr>
          <w:rFonts w:ascii="Helvetica" w:hAnsi="Helvetica" w:cs="Helvetica"/>
          <w:sz w:val="21"/>
          <w:szCs w:val="21"/>
          <w:lang w:val="en"/>
        </w:rPr>
        <w:t xml:space="preserve"> </w:t>
      </w:r>
      <w:r w:rsidR="00E002C0" w:rsidRPr="008E7A59">
        <w:rPr>
          <w:rFonts w:ascii="Helvetica" w:hAnsi="Helvetica" w:cs="Helvetica"/>
          <w:sz w:val="21"/>
          <w:szCs w:val="21"/>
          <w:lang w:val="en"/>
        </w:rPr>
        <w:t xml:space="preserve">may have implications for the risks faced by consumers and regulated businesses, the level of returns commensurate with those risks, and whether network costs are recovered from consumers more towards the </w:t>
      </w:r>
      <w:r w:rsidR="00E002C0" w:rsidRPr="008E7A59">
        <w:rPr>
          <w:rFonts w:ascii="Helvetica" w:hAnsi="Helvetica" w:cs="Helvetica"/>
          <w:sz w:val="21"/>
          <w:szCs w:val="21"/>
          <w:lang w:val="en"/>
        </w:rPr>
        <w:lastRenderedPageBreak/>
        <w:t xml:space="preserve">beginning or the end of the </w:t>
      </w:r>
      <w:r w:rsidR="00E002C0">
        <w:rPr>
          <w:rFonts w:ascii="Helvetica" w:hAnsi="Helvetica" w:cs="Helvetica"/>
          <w:sz w:val="21"/>
          <w:szCs w:val="21"/>
          <w:lang w:val="en"/>
        </w:rPr>
        <w:t>asset</w:t>
      </w:r>
      <w:r w:rsidR="00E002C0" w:rsidRPr="008E7A59">
        <w:rPr>
          <w:rFonts w:ascii="Helvetica" w:hAnsi="Helvetica" w:cs="Helvetica"/>
          <w:sz w:val="21"/>
          <w:szCs w:val="21"/>
          <w:lang w:val="en"/>
        </w:rPr>
        <w:t xml:space="preserve">’s economic life. </w:t>
      </w:r>
      <w:r w:rsidR="00E002C0">
        <w:rPr>
          <w:rFonts w:ascii="Helvetica" w:hAnsi="Helvetica" w:cs="Helvetica"/>
          <w:sz w:val="21"/>
          <w:szCs w:val="21"/>
          <w:lang w:val="en"/>
        </w:rPr>
        <w:t xml:space="preserve">Changing risk profiles will necessarily impact on the efficient allowed rate of return and </w:t>
      </w:r>
      <w:r w:rsidR="009E045B">
        <w:rPr>
          <w:rFonts w:ascii="Helvetica" w:hAnsi="Helvetica" w:cs="Helvetica"/>
          <w:sz w:val="21"/>
          <w:szCs w:val="21"/>
          <w:lang w:val="en"/>
        </w:rPr>
        <w:t>consideration must be given to consumers</w:t>
      </w:r>
      <w:r w:rsidR="00E002C0">
        <w:rPr>
          <w:rFonts w:ascii="Helvetica" w:hAnsi="Helvetica" w:cs="Helvetica"/>
          <w:sz w:val="21"/>
          <w:szCs w:val="21"/>
          <w:lang w:val="en"/>
        </w:rPr>
        <w:t xml:space="preserve">. </w:t>
      </w:r>
    </w:p>
    <w:p w:rsidR="009E045B" w:rsidRDefault="009E045B" w:rsidP="00E002C0">
      <w:pPr>
        <w:spacing w:after="60"/>
        <w:rPr>
          <w:rFonts w:ascii="Helvetica" w:hAnsi="Helvetica" w:cs="Helvetica"/>
          <w:sz w:val="21"/>
          <w:szCs w:val="21"/>
          <w:lang w:val="en"/>
        </w:rPr>
      </w:pPr>
      <w:r>
        <w:rPr>
          <w:rFonts w:ascii="Helvetica" w:hAnsi="Helvetica" w:cs="Helvetica"/>
          <w:sz w:val="21"/>
          <w:szCs w:val="21"/>
          <w:lang w:val="en"/>
        </w:rPr>
        <w:t>There were differen</w:t>
      </w:r>
      <w:r w:rsidR="00CC790E">
        <w:rPr>
          <w:rFonts w:ascii="Helvetica" w:hAnsi="Helvetica" w:cs="Helvetica"/>
          <w:sz w:val="21"/>
          <w:szCs w:val="21"/>
          <w:lang w:val="en"/>
        </w:rPr>
        <w:t>t views on</w:t>
      </w:r>
      <w:r>
        <w:rPr>
          <w:rFonts w:ascii="Helvetica" w:hAnsi="Helvetica" w:cs="Helvetica"/>
          <w:sz w:val="21"/>
          <w:szCs w:val="21"/>
          <w:lang w:val="en"/>
        </w:rPr>
        <w:t xml:space="preserve"> which issue</w:t>
      </w:r>
      <w:r w:rsidR="00CC790E">
        <w:rPr>
          <w:rFonts w:ascii="Helvetica" w:hAnsi="Helvetica" w:cs="Helvetica"/>
          <w:sz w:val="21"/>
          <w:szCs w:val="21"/>
          <w:lang w:val="en"/>
        </w:rPr>
        <w:t>s</w:t>
      </w:r>
      <w:r>
        <w:rPr>
          <w:rFonts w:ascii="Helvetica" w:hAnsi="Helvetica" w:cs="Helvetica"/>
          <w:sz w:val="21"/>
          <w:szCs w:val="21"/>
          <w:lang w:val="en"/>
        </w:rPr>
        <w:t xml:space="preserve"> could be resolved more efficiently than other</w:t>
      </w:r>
      <w:r w:rsidR="00CC790E">
        <w:rPr>
          <w:rFonts w:ascii="Helvetica" w:hAnsi="Helvetica" w:cs="Helvetica"/>
          <w:sz w:val="21"/>
          <w:szCs w:val="21"/>
          <w:lang w:val="en"/>
        </w:rPr>
        <w:t>s</w:t>
      </w:r>
      <w:r>
        <w:rPr>
          <w:rFonts w:ascii="Helvetica" w:hAnsi="Helvetica" w:cs="Helvetica"/>
          <w:sz w:val="21"/>
          <w:szCs w:val="21"/>
          <w:lang w:val="en"/>
        </w:rPr>
        <w:t>. There was strong consensus that both</w:t>
      </w:r>
      <w:r w:rsidR="00B21E35">
        <w:rPr>
          <w:rFonts w:ascii="Helvetica" w:hAnsi="Helvetica" w:cs="Helvetica"/>
          <w:sz w:val="21"/>
          <w:szCs w:val="21"/>
          <w:lang w:val="en"/>
        </w:rPr>
        <w:t xml:space="preserve"> issues</w:t>
      </w:r>
      <w:r>
        <w:rPr>
          <w:rFonts w:ascii="Helvetica" w:hAnsi="Helvetica" w:cs="Helvetica"/>
          <w:sz w:val="21"/>
          <w:szCs w:val="21"/>
          <w:lang w:val="en"/>
        </w:rPr>
        <w:t xml:space="preserve"> need to be </w:t>
      </w:r>
      <w:r w:rsidR="008202B5">
        <w:rPr>
          <w:rFonts w:ascii="Helvetica" w:hAnsi="Helvetica" w:cs="Helvetica"/>
          <w:sz w:val="21"/>
          <w:szCs w:val="21"/>
          <w:lang w:val="en"/>
        </w:rPr>
        <w:t>addressed and analyzed</w:t>
      </w:r>
      <w:r w:rsidR="00302E5C">
        <w:rPr>
          <w:rFonts w:ascii="Helvetica" w:hAnsi="Helvetica" w:cs="Helvetica"/>
          <w:sz w:val="21"/>
          <w:szCs w:val="21"/>
          <w:lang w:val="en"/>
        </w:rPr>
        <w:t>.</w:t>
      </w:r>
      <w:r w:rsidR="008202B5">
        <w:rPr>
          <w:rFonts w:ascii="Helvetica" w:hAnsi="Helvetica" w:cs="Helvetica"/>
          <w:sz w:val="21"/>
          <w:szCs w:val="21"/>
          <w:lang w:val="en"/>
        </w:rPr>
        <w:t xml:space="preserve"> </w:t>
      </w:r>
    </w:p>
    <w:p w:rsidR="00E002C0" w:rsidRDefault="00E002C0" w:rsidP="00791651">
      <w:pPr>
        <w:pStyle w:val="NoSpacing"/>
      </w:pPr>
    </w:p>
    <w:p w:rsidR="009E045B" w:rsidRPr="009E045B" w:rsidRDefault="009E045B" w:rsidP="00791651">
      <w:pPr>
        <w:pStyle w:val="NoSpacing"/>
        <w:rPr>
          <w:b/>
        </w:rPr>
      </w:pPr>
      <w:r w:rsidRPr="009E045B">
        <w:rPr>
          <w:b/>
        </w:rPr>
        <w:t>Best estimate of expected inflation</w:t>
      </w:r>
    </w:p>
    <w:p w:rsidR="008202B5" w:rsidRDefault="0086483D" w:rsidP="00791651">
      <w:pPr>
        <w:pStyle w:val="NoSpacing"/>
      </w:pPr>
      <w:r>
        <w:t xml:space="preserve">Some stakeholders expressed a </w:t>
      </w:r>
      <w:r w:rsidR="008202B5">
        <w:t xml:space="preserve">lack of confidence in the current </w:t>
      </w:r>
      <w:r w:rsidR="000F1A87">
        <w:t xml:space="preserve">method </w:t>
      </w:r>
      <w:r w:rsidR="008202B5">
        <w:t xml:space="preserve">used to </w:t>
      </w:r>
      <w:r w:rsidR="000F1A87">
        <w:t xml:space="preserve">derive the </w:t>
      </w:r>
      <w:r w:rsidR="008202B5">
        <w:t>best estimate expected inflation</w:t>
      </w:r>
      <w:r w:rsidR="006413BF">
        <w:t>, and suggested that the current method</w:t>
      </w:r>
      <w:r w:rsidR="009B76EB">
        <w:t xml:space="preserve"> does not</w:t>
      </w:r>
      <w:r w:rsidR="00A161A2">
        <w:t xml:space="preserve"> </w:t>
      </w:r>
      <w:r w:rsidR="006413BF">
        <w:t xml:space="preserve">adequately </w:t>
      </w:r>
      <w:r w:rsidR="00A161A2">
        <w:t xml:space="preserve">take into account </w:t>
      </w:r>
      <w:r w:rsidR="009B76EB">
        <w:t xml:space="preserve">the </w:t>
      </w:r>
      <w:r w:rsidR="00A161A2">
        <w:t>current low inflation environment</w:t>
      </w:r>
      <w:r w:rsidR="006413BF">
        <w:t>.</w:t>
      </w:r>
      <w:r w:rsidR="000F1A87">
        <w:t xml:space="preserve"> </w:t>
      </w:r>
      <w:r w:rsidR="006413BF">
        <w:t>T</w:t>
      </w:r>
      <w:r w:rsidR="000F1A87">
        <w:t xml:space="preserve">herefore, some stakeholders </w:t>
      </w:r>
      <w:r w:rsidR="00A161A2">
        <w:t xml:space="preserve">were keen to have a </w:t>
      </w:r>
      <w:r w:rsidR="000F1A87">
        <w:t xml:space="preserve">method </w:t>
      </w:r>
      <w:r w:rsidR="00A161A2">
        <w:t>that incorporated current market conditions</w:t>
      </w:r>
      <w:r w:rsidR="000F1A87">
        <w:t>. They questioned whether the current method is</w:t>
      </w:r>
      <w:r w:rsidR="00A161A2">
        <w:t xml:space="preserve"> </w:t>
      </w:r>
      <w:r w:rsidR="008202B5">
        <w:t>‘fit for purpose</w:t>
      </w:r>
      <w:r w:rsidR="00A161A2">
        <w:t xml:space="preserve">’. </w:t>
      </w:r>
      <w:r w:rsidR="008202B5">
        <w:t xml:space="preserve"> </w:t>
      </w:r>
    </w:p>
    <w:p w:rsidR="00606697" w:rsidRDefault="00606697" w:rsidP="00791651">
      <w:pPr>
        <w:pStyle w:val="NoSpacing"/>
      </w:pPr>
    </w:p>
    <w:p w:rsidR="00302A8A" w:rsidRPr="003739B4" w:rsidRDefault="00302A8A" w:rsidP="003739B4">
      <w:pPr>
        <w:pStyle w:val="NoSpacing"/>
        <w:rPr>
          <w:i/>
        </w:rPr>
      </w:pPr>
      <w:r w:rsidRPr="003739B4">
        <w:rPr>
          <w:i/>
        </w:rPr>
        <w:t xml:space="preserve">Criteria to assess approaches </w:t>
      </w:r>
    </w:p>
    <w:p w:rsidR="006A3232" w:rsidRDefault="00B0733E" w:rsidP="006A3232">
      <w:pPr>
        <w:pStyle w:val="NoSpacing"/>
      </w:pPr>
      <w:r>
        <w:t xml:space="preserve">There was discussion </w:t>
      </w:r>
      <w:r w:rsidR="006A3232">
        <w:t>regarding</w:t>
      </w:r>
      <w:r>
        <w:t xml:space="preserve"> </w:t>
      </w:r>
      <w:r w:rsidR="00920385">
        <w:t xml:space="preserve">the </w:t>
      </w:r>
      <w:r>
        <w:t xml:space="preserve">criteria </w:t>
      </w:r>
      <w:r w:rsidR="00920385">
        <w:t>used</w:t>
      </w:r>
      <w:r w:rsidR="006A3232">
        <w:t xml:space="preserve"> </w:t>
      </w:r>
      <w:r>
        <w:t xml:space="preserve">to assess </w:t>
      </w:r>
      <w:r w:rsidR="006A3232">
        <w:t xml:space="preserve">different </w:t>
      </w:r>
      <w:r>
        <w:t>approaches to estimat</w:t>
      </w:r>
      <w:r w:rsidR="00920385">
        <w:t>ing</w:t>
      </w:r>
      <w:r>
        <w:t xml:space="preserve"> expected inflation. There was agreement that </w:t>
      </w:r>
      <w:r w:rsidR="006A3232">
        <w:t xml:space="preserve">the relevant criteria </w:t>
      </w:r>
      <w:r w:rsidR="00A810AD">
        <w:t>are:</w:t>
      </w:r>
      <w:r w:rsidR="006A3232">
        <w:t xml:space="preserve"> (1) </w:t>
      </w:r>
      <w:r w:rsidR="00302A8A">
        <w:t xml:space="preserve">congruence with the regulatory framework, </w:t>
      </w:r>
      <w:r w:rsidR="006A3232">
        <w:t xml:space="preserve">(2) </w:t>
      </w:r>
      <w:r w:rsidR="00302A8A">
        <w:t xml:space="preserve">congruence with the market expected inflation, </w:t>
      </w:r>
      <w:r w:rsidR="006A3232">
        <w:t xml:space="preserve">(3) </w:t>
      </w:r>
      <w:r w:rsidR="00302A8A">
        <w:t xml:space="preserve">robustness and </w:t>
      </w:r>
      <w:r w:rsidR="006A3232">
        <w:t xml:space="preserve">(4) </w:t>
      </w:r>
      <w:r w:rsidR="00302A8A">
        <w:t xml:space="preserve">transparency and </w:t>
      </w:r>
      <w:r w:rsidR="00F971D2">
        <w:t>replicability</w:t>
      </w:r>
      <w:r w:rsidR="00302A8A">
        <w:t xml:space="preserve">. </w:t>
      </w:r>
    </w:p>
    <w:p w:rsidR="006A3232" w:rsidRDefault="006A3232" w:rsidP="006A3232">
      <w:pPr>
        <w:pStyle w:val="NoSpacing"/>
      </w:pPr>
    </w:p>
    <w:p w:rsidR="00302A8A" w:rsidRDefault="00302A8A" w:rsidP="006A3232">
      <w:pPr>
        <w:pStyle w:val="NoSpacing"/>
      </w:pPr>
      <w:r>
        <w:t xml:space="preserve">There was discussion </w:t>
      </w:r>
      <w:r w:rsidR="00B0733E">
        <w:t>about whether or not to take into account ‘simplicity’</w:t>
      </w:r>
      <w:r w:rsidR="006A3232">
        <w:t xml:space="preserve"> as a criterion</w:t>
      </w:r>
      <w:r w:rsidR="0065030B">
        <w:t xml:space="preserve">. There were differing views.  However, most </w:t>
      </w:r>
      <w:r w:rsidR="00703C70">
        <w:t>stakeholders</w:t>
      </w:r>
      <w:r w:rsidR="0065030B">
        <w:t xml:space="preserve"> were of the opinion that </w:t>
      </w:r>
      <w:r w:rsidR="006A3232">
        <w:t>the criterion of</w:t>
      </w:r>
      <w:r w:rsidR="0065030B">
        <w:t xml:space="preserve"> ‘</w:t>
      </w:r>
      <w:r w:rsidR="00920385">
        <w:t>replicability</w:t>
      </w:r>
      <w:r w:rsidR="0065030B">
        <w:t>’</w:t>
      </w:r>
      <w:r w:rsidR="00F971D2">
        <w:t xml:space="preserve"> incorporate</w:t>
      </w:r>
      <w:r w:rsidR="00632030">
        <w:t>s</w:t>
      </w:r>
      <w:r w:rsidR="00F971D2">
        <w:t xml:space="preserve"> the concept of simp</w:t>
      </w:r>
      <w:r w:rsidR="006A3232">
        <w:t xml:space="preserve">licity </w:t>
      </w:r>
      <w:r w:rsidR="00F971D2">
        <w:t>a</w:t>
      </w:r>
      <w:r w:rsidR="00920385">
        <w:t>nd that</w:t>
      </w:r>
      <w:r w:rsidR="00F971D2">
        <w:t xml:space="preserve"> complex measures</w:t>
      </w:r>
      <w:r w:rsidR="006A3232">
        <w:t xml:space="preserve"> should be considered</w:t>
      </w:r>
      <w:r w:rsidR="00F971D2">
        <w:t xml:space="preserve"> if </w:t>
      </w:r>
      <w:r w:rsidR="00920385">
        <w:t>appropriate</w:t>
      </w:r>
      <w:r w:rsidR="0065030B">
        <w:t xml:space="preserve">. </w:t>
      </w:r>
    </w:p>
    <w:p w:rsidR="00302A8A" w:rsidRPr="00302A8A" w:rsidRDefault="00302A8A" w:rsidP="00791651">
      <w:pPr>
        <w:pStyle w:val="NoSpacing"/>
      </w:pPr>
    </w:p>
    <w:p w:rsidR="00606697" w:rsidRPr="00606697" w:rsidRDefault="00606697" w:rsidP="00791651">
      <w:pPr>
        <w:pStyle w:val="NoSpacing"/>
        <w:rPr>
          <w:i/>
        </w:rPr>
      </w:pPr>
      <w:r>
        <w:rPr>
          <w:i/>
        </w:rPr>
        <w:t>Approaches</w:t>
      </w:r>
    </w:p>
    <w:p w:rsidR="00606697" w:rsidRDefault="00606697" w:rsidP="00606697">
      <w:pPr>
        <w:pStyle w:val="NoSpacing"/>
        <w:rPr>
          <w:rFonts w:cs="Arial"/>
          <w:sz w:val="21"/>
          <w:szCs w:val="21"/>
        </w:rPr>
      </w:pPr>
      <w:r>
        <w:t xml:space="preserve">There was discussion about </w:t>
      </w:r>
      <w:r w:rsidR="00E16293">
        <w:t xml:space="preserve">academic evidence </w:t>
      </w:r>
      <w:r w:rsidR="00632030">
        <w:t xml:space="preserve">that </w:t>
      </w:r>
      <w:r w:rsidR="00E16293">
        <w:t xml:space="preserve">inflation expectations </w:t>
      </w:r>
      <w:r w:rsidR="009754EC">
        <w:t>may be</w:t>
      </w:r>
      <w:r w:rsidR="00E16293">
        <w:t xml:space="preserve"> anchored to the RBA’s inflation target, and </w:t>
      </w:r>
      <w:r>
        <w:t xml:space="preserve">the </w:t>
      </w:r>
      <w:r w:rsidR="00E16293">
        <w:t xml:space="preserve">contrasting </w:t>
      </w:r>
      <w:r>
        <w:t xml:space="preserve">volatility of the </w:t>
      </w:r>
      <w:r w:rsidR="005C55ED">
        <w:t xml:space="preserve">bond </w:t>
      </w:r>
      <w:r>
        <w:t>break-even approach</w:t>
      </w:r>
      <w:r w:rsidR="00C01BF0">
        <w:t xml:space="preserve"> and inflation swaps approach</w:t>
      </w:r>
      <w:r>
        <w:t>. Using daily data</w:t>
      </w:r>
      <w:r w:rsidR="006A3232">
        <w:t>,</w:t>
      </w:r>
      <w:r>
        <w:t xml:space="preserve"> t</w:t>
      </w:r>
      <w:r>
        <w:rPr>
          <w:rFonts w:cs="Arial"/>
          <w:sz w:val="21"/>
          <w:szCs w:val="21"/>
        </w:rPr>
        <w:t xml:space="preserve">he </w:t>
      </w:r>
      <w:r w:rsidR="005C55ED">
        <w:rPr>
          <w:rFonts w:cs="Arial"/>
          <w:sz w:val="21"/>
          <w:szCs w:val="21"/>
        </w:rPr>
        <w:t xml:space="preserve">bond break-even approach </w:t>
      </w:r>
      <w:r w:rsidR="00C01BF0">
        <w:rPr>
          <w:rFonts w:cs="Arial"/>
          <w:sz w:val="21"/>
          <w:szCs w:val="21"/>
        </w:rPr>
        <w:t xml:space="preserve">and inflation swaps approach both </w:t>
      </w:r>
      <w:r>
        <w:rPr>
          <w:rFonts w:cs="Arial"/>
          <w:sz w:val="21"/>
          <w:szCs w:val="21"/>
        </w:rPr>
        <w:t>appear considerably</w:t>
      </w:r>
      <w:r w:rsidR="009754EC">
        <w:rPr>
          <w:rFonts w:cs="Arial"/>
          <w:sz w:val="21"/>
          <w:szCs w:val="21"/>
        </w:rPr>
        <w:t xml:space="preserve"> more</w:t>
      </w:r>
      <w:r>
        <w:rPr>
          <w:rFonts w:cs="Arial"/>
          <w:sz w:val="21"/>
          <w:szCs w:val="21"/>
        </w:rPr>
        <w:t xml:space="preserve"> volatile </w:t>
      </w:r>
      <w:r w:rsidR="00A810AD">
        <w:rPr>
          <w:rFonts w:cs="Arial"/>
          <w:sz w:val="21"/>
          <w:szCs w:val="21"/>
        </w:rPr>
        <w:t>than</w:t>
      </w:r>
      <w:r>
        <w:rPr>
          <w:rFonts w:cs="Arial"/>
          <w:sz w:val="21"/>
          <w:szCs w:val="21"/>
        </w:rPr>
        <w:t xml:space="preserve"> the AER’s current method. </w:t>
      </w:r>
      <w:r w:rsidR="005160C5">
        <w:rPr>
          <w:rFonts w:cs="Arial"/>
          <w:sz w:val="21"/>
          <w:szCs w:val="21"/>
        </w:rPr>
        <w:t xml:space="preserve">As a result, there was some discussion about the </w:t>
      </w:r>
      <w:r w:rsidR="009754EC">
        <w:rPr>
          <w:rFonts w:cs="Arial"/>
          <w:sz w:val="21"/>
          <w:szCs w:val="21"/>
        </w:rPr>
        <w:t xml:space="preserve">extent to which volatility </w:t>
      </w:r>
      <w:r w:rsidR="00A810AD">
        <w:rPr>
          <w:rFonts w:cs="Arial"/>
          <w:sz w:val="21"/>
          <w:szCs w:val="21"/>
        </w:rPr>
        <w:t xml:space="preserve">differs between the methods </w:t>
      </w:r>
      <w:r w:rsidR="005160C5">
        <w:rPr>
          <w:rFonts w:cs="Arial"/>
          <w:sz w:val="21"/>
          <w:szCs w:val="21"/>
        </w:rPr>
        <w:t xml:space="preserve">and </w:t>
      </w:r>
      <w:r>
        <w:rPr>
          <w:rFonts w:cs="Arial"/>
          <w:sz w:val="21"/>
          <w:szCs w:val="21"/>
        </w:rPr>
        <w:t xml:space="preserve">questions </w:t>
      </w:r>
      <w:r w:rsidR="006A3232">
        <w:rPr>
          <w:rFonts w:cs="Arial"/>
          <w:sz w:val="21"/>
          <w:szCs w:val="21"/>
        </w:rPr>
        <w:t xml:space="preserve">were </w:t>
      </w:r>
      <w:r>
        <w:rPr>
          <w:rFonts w:cs="Arial"/>
          <w:sz w:val="21"/>
          <w:szCs w:val="21"/>
        </w:rPr>
        <w:t>raised about</w:t>
      </w:r>
      <w:r w:rsidR="005160C5">
        <w:rPr>
          <w:rFonts w:cs="Arial"/>
          <w:sz w:val="21"/>
          <w:szCs w:val="21"/>
        </w:rPr>
        <w:t xml:space="preserve"> </w:t>
      </w:r>
      <w:r w:rsidR="006A3232">
        <w:rPr>
          <w:rFonts w:cs="Arial"/>
          <w:sz w:val="21"/>
          <w:szCs w:val="21"/>
        </w:rPr>
        <w:t xml:space="preserve">volatility </w:t>
      </w:r>
      <w:r w:rsidR="005160C5">
        <w:rPr>
          <w:rFonts w:cs="Arial"/>
          <w:sz w:val="21"/>
          <w:szCs w:val="21"/>
        </w:rPr>
        <w:t xml:space="preserve">differences </w:t>
      </w:r>
      <w:r w:rsidR="006A3232">
        <w:rPr>
          <w:rFonts w:cs="Arial"/>
          <w:sz w:val="21"/>
          <w:szCs w:val="21"/>
        </w:rPr>
        <w:t>when using</w:t>
      </w:r>
      <w:r>
        <w:rPr>
          <w:rFonts w:cs="Arial"/>
          <w:sz w:val="21"/>
          <w:szCs w:val="21"/>
        </w:rPr>
        <w:t xml:space="preserve"> quarterly </w:t>
      </w:r>
      <w:r w:rsidR="006A3232">
        <w:rPr>
          <w:rFonts w:cs="Arial"/>
          <w:sz w:val="21"/>
          <w:szCs w:val="21"/>
        </w:rPr>
        <w:t>or</w:t>
      </w:r>
      <w:r w:rsidR="005160C5">
        <w:rPr>
          <w:rFonts w:cs="Arial"/>
          <w:sz w:val="21"/>
          <w:szCs w:val="21"/>
        </w:rPr>
        <w:t xml:space="preserve"> daily </w:t>
      </w:r>
      <w:r>
        <w:rPr>
          <w:rFonts w:cs="Arial"/>
          <w:sz w:val="21"/>
          <w:szCs w:val="21"/>
        </w:rPr>
        <w:t>data</w:t>
      </w:r>
      <w:r w:rsidR="005160C5">
        <w:rPr>
          <w:rFonts w:cs="Arial"/>
          <w:sz w:val="21"/>
          <w:szCs w:val="21"/>
        </w:rPr>
        <w:t xml:space="preserve">. </w:t>
      </w:r>
    </w:p>
    <w:p w:rsidR="005160C5" w:rsidRDefault="005160C5" w:rsidP="00606697">
      <w:pPr>
        <w:pStyle w:val="NoSpacing"/>
        <w:rPr>
          <w:rFonts w:cs="Arial"/>
          <w:sz w:val="21"/>
          <w:szCs w:val="21"/>
        </w:rPr>
      </w:pPr>
    </w:p>
    <w:p w:rsidR="005160C5" w:rsidRDefault="005160C5" w:rsidP="00606697">
      <w:pPr>
        <w:pStyle w:val="NoSpacing"/>
        <w:rPr>
          <w:rFonts w:cs="Arial"/>
          <w:sz w:val="21"/>
          <w:szCs w:val="21"/>
        </w:rPr>
      </w:pPr>
      <w:r>
        <w:t xml:space="preserve">There </w:t>
      </w:r>
      <w:r w:rsidR="0096391E">
        <w:t>was some discussion on the use of</w:t>
      </w:r>
      <w:r>
        <w:t xml:space="preserve"> inflation swaps</w:t>
      </w:r>
      <w:r w:rsidR="0096391E">
        <w:t xml:space="preserve"> as an approach to estimating expected inflation</w:t>
      </w:r>
      <w:r>
        <w:t xml:space="preserve">. </w:t>
      </w:r>
      <w:r w:rsidR="0096391E">
        <w:t xml:space="preserve">Some stakeholders noted that there may be some disadvantages with the use of inflation swaps. </w:t>
      </w:r>
      <w:r>
        <w:t>These</w:t>
      </w:r>
      <w:r w:rsidR="00C536FD">
        <w:t xml:space="preserve"> </w:t>
      </w:r>
      <w:r w:rsidR="00C01BF0">
        <w:t xml:space="preserve">potential </w:t>
      </w:r>
      <w:r w:rsidR="00C536FD">
        <w:t>disadvantages</w:t>
      </w:r>
      <w:r>
        <w:t xml:space="preserve"> include the costs involved for network service </w:t>
      </w:r>
      <w:r w:rsidR="00C536FD">
        <w:t>providers</w:t>
      </w:r>
      <w:r>
        <w:t xml:space="preserve">, the thin market in which they </w:t>
      </w:r>
      <w:r w:rsidR="00DF5A26">
        <w:t>operate</w:t>
      </w:r>
      <w:r w:rsidR="006A3232">
        <w:t xml:space="preserve"> </w:t>
      </w:r>
      <w:r>
        <w:t>inflation risk premia</w:t>
      </w:r>
      <w:r w:rsidR="0096391E">
        <w:t xml:space="preserve"> and</w:t>
      </w:r>
      <w:r>
        <w:t xml:space="preserve"> inflation indexation lag.</w:t>
      </w:r>
      <w:r w:rsidR="0096391E">
        <w:t xml:space="preserve"> The</w:t>
      </w:r>
      <w:r>
        <w:t xml:space="preserve"> </w:t>
      </w:r>
      <w:r w:rsidR="0096391E" w:rsidRPr="0096391E">
        <w:t xml:space="preserve">CCP </w:t>
      </w:r>
      <w:r w:rsidR="006A3232">
        <w:t>S</w:t>
      </w:r>
      <w:r w:rsidR="0096391E" w:rsidRPr="0096391E">
        <w:t>ub-panel advocated further investigation into swaps and suggested that the potential issues may not be material.</w:t>
      </w:r>
      <w:r w:rsidR="0096391E">
        <w:rPr>
          <w:color w:val="1B2F6F"/>
        </w:rPr>
        <w:t xml:space="preserve"> </w:t>
      </w:r>
    </w:p>
    <w:p w:rsidR="00606697" w:rsidRDefault="00606697" w:rsidP="00606697">
      <w:pPr>
        <w:pStyle w:val="NoSpacing"/>
      </w:pPr>
    </w:p>
    <w:p w:rsidR="005160C5" w:rsidRDefault="00AA55D7" w:rsidP="00606697">
      <w:pPr>
        <w:pStyle w:val="NoSpacing"/>
      </w:pPr>
      <w:r>
        <w:t xml:space="preserve">There was discussion </w:t>
      </w:r>
      <w:r w:rsidR="00BD73F7">
        <w:t>about</w:t>
      </w:r>
      <w:r w:rsidR="005160C5">
        <w:t xml:space="preserve"> other </w:t>
      </w:r>
      <w:r w:rsidR="005E4019">
        <w:t>approaches to estimating</w:t>
      </w:r>
      <w:r w:rsidR="00BD73F7">
        <w:t xml:space="preserve"> expected inflation </w:t>
      </w:r>
      <w:r w:rsidR="005160C5">
        <w:t>such as the glide path a</w:t>
      </w:r>
      <w:r w:rsidR="00BD73F7">
        <w:t>pproach</w:t>
      </w:r>
      <w:r w:rsidR="000A644F">
        <w:t xml:space="preserve">. Additionally, there was discussion on </w:t>
      </w:r>
      <w:r w:rsidR="00BD73F7">
        <w:t>d</w:t>
      </w:r>
      <w:r w:rsidR="005160C5">
        <w:t>ifferent case studies</w:t>
      </w:r>
      <w:r w:rsidR="000A644F">
        <w:t xml:space="preserve">. These included consideration of the approaches used by </w:t>
      </w:r>
      <w:r w:rsidR="005160C5">
        <w:t xml:space="preserve">Ofgem, Ofwat, New Zealand Commerce Commission, IPART and ERA. </w:t>
      </w:r>
      <w:r>
        <w:t xml:space="preserve">There was agreement that </w:t>
      </w:r>
      <w:r w:rsidR="00A161A2">
        <w:t xml:space="preserve">agencies use different approaches and </w:t>
      </w:r>
      <w:r>
        <w:t xml:space="preserve">there is </w:t>
      </w:r>
      <w:r w:rsidR="00A161A2">
        <w:t xml:space="preserve">no clear consensus. </w:t>
      </w:r>
    </w:p>
    <w:p w:rsidR="005E4019" w:rsidRDefault="005E4019" w:rsidP="00606697">
      <w:pPr>
        <w:pStyle w:val="NoSpacing"/>
      </w:pPr>
    </w:p>
    <w:p w:rsidR="00302A8A" w:rsidRPr="001924CD" w:rsidRDefault="00606697" w:rsidP="001924CD">
      <w:pPr>
        <w:pStyle w:val="NoSpacing"/>
        <w:rPr>
          <w:i/>
        </w:rPr>
      </w:pPr>
      <w:r w:rsidRPr="001924CD">
        <w:rPr>
          <w:i/>
        </w:rPr>
        <w:t>Investors</w:t>
      </w:r>
    </w:p>
    <w:p w:rsidR="004F5BAC" w:rsidRDefault="00302A8A" w:rsidP="001924CD">
      <w:pPr>
        <w:pStyle w:val="NoSpacing"/>
      </w:pPr>
      <w:r w:rsidRPr="00302A8A">
        <w:t>There was some discussion</w:t>
      </w:r>
      <w:r>
        <w:t xml:space="preserve"> </w:t>
      </w:r>
      <w:r w:rsidR="009754EC">
        <w:t xml:space="preserve">about </w:t>
      </w:r>
      <w:r>
        <w:t>the need to focus on the returns to investors</w:t>
      </w:r>
      <w:r w:rsidR="005C55ED">
        <w:t>,</w:t>
      </w:r>
      <w:r>
        <w:t xml:space="preserve"> what investors do to manage risk</w:t>
      </w:r>
      <w:r w:rsidR="005C55ED">
        <w:t>,</w:t>
      </w:r>
      <w:r>
        <w:t xml:space="preserve"> and how they invest</w:t>
      </w:r>
      <w:r w:rsidR="000C2BBA">
        <w:t xml:space="preserve">. Some stakeholders noted that rational investors would likely invest </w:t>
      </w:r>
      <w:r w:rsidR="005C55ED">
        <w:t xml:space="preserve">based on </w:t>
      </w:r>
      <w:r>
        <w:t xml:space="preserve">real </w:t>
      </w:r>
      <w:r w:rsidR="005C55ED">
        <w:t>return benchmarks given the relatively</w:t>
      </w:r>
      <w:r>
        <w:t xml:space="preserve"> long </w:t>
      </w:r>
      <w:r w:rsidR="005C55ED">
        <w:t>lives of regulated assets</w:t>
      </w:r>
      <w:r>
        <w:t xml:space="preserve">. </w:t>
      </w:r>
    </w:p>
    <w:p w:rsidR="004F5BAC" w:rsidRDefault="004F5BAC" w:rsidP="001924CD">
      <w:pPr>
        <w:pStyle w:val="NoSpacing"/>
      </w:pPr>
    </w:p>
    <w:p w:rsidR="00A70C80" w:rsidRDefault="00302A8A" w:rsidP="001924CD">
      <w:pPr>
        <w:pStyle w:val="NoSpacing"/>
      </w:pPr>
      <w:r>
        <w:t xml:space="preserve">There was some agreement that the AER should be asking investors about how they make decisions and which best estimate of expected inflation they most likely use.  </w:t>
      </w:r>
    </w:p>
    <w:p w:rsidR="00A70C80" w:rsidRDefault="00A70C80" w:rsidP="001924CD">
      <w:pPr>
        <w:pStyle w:val="NoSpacing"/>
      </w:pPr>
    </w:p>
    <w:p w:rsidR="00900B2A" w:rsidRDefault="00900B2A" w:rsidP="001924CD">
      <w:pPr>
        <w:pStyle w:val="NoSpacing"/>
        <w:rPr>
          <w:i/>
        </w:rPr>
      </w:pPr>
    </w:p>
    <w:p w:rsidR="00900B2A" w:rsidRDefault="00900B2A" w:rsidP="001924CD">
      <w:pPr>
        <w:pStyle w:val="NoSpacing"/>
        <w:rPr>
          <w:i/>
        </w:rPr>
      </w:pPr>
    </w:p>
    <w:p w:rsidR="00A70C80" w:rsidRPr="001924CD" w:rsidRDefault="00A70C80" w:rsidP="001924CD">
      <w:pPr>
        <w:pStyle w:val="NoSpacing"/>
        <w:rPr>
          <w:i/>
        </w:rPr>
      </w:pPr>
      <w:r w:rsidRPr="001924CD">
        <w:rPr>
          <w:i/>
        </w:rPr>
        <w:t xml:space="preserve">Value of stability </w:t>
      </w:r>
    </w:p>
    <w:p w:rsidR="00A70C80" w:rsidRDefault="00A70C80" w:rsidP="001924CD">
      <w:pPr>
        <w:pStyle w:val="NoSpacing"/>
      </w:pPr>
      <w:r>
        <w:t xml:space="preserve">There was consensus that having a </w:t>
      </w:r>
      <w:r w:rsidR="00236DA0">
        <w:t xml:space="preserve">settled </w:t>
      </w:r>
      <w:r>
        <w:t xml:space="preserve">approach to estimating expected inflation is important.  There was </w:t>
      </w:r>
      <w:r w:rsidR="00DF4668">
        <w:t>discussion</w:t>
      </w:r>
      <w:r w:rsidR="009754EC">
        <w:t xml:space="preserve"> about </w:t>
      </w:r>
      <w:r>
        <w:t>what stability is and whether or not the criteri</w:t>
      </w:r>
      <w:r w:rsidR="00C01BF0">
        <w:t>on</w:t>
      </w:r>
      <w:r>
        <w:t xml:space="preserve"> of robustness incorporate</w:t>
      </w:r>
      <w:r w:rsidR="00C01BF0">
        <w:t>s</w:t>
      </w:r>
      <w:r>
        <w:t xml:space="preserve"> stability. There was also discussion about whether stability </w:t>
      </w:r>
      <w:r w:rsidR="00C01BF0">
        <w:t xml:space="preserve">reflected </w:t>
      </w:r>
      <w:r>
        <w:t xml:space="preserve">the anchoring </w:t>
      </w:r>
      <w:r w:rsidR="00C01BF0">
        <w:t xml:space="preserve">of inflation expectations </w:t>
      </w:r>
      <w:r>
        <w:t xml:space="preserve">to </w:t>
      </w:r>
      <w:r w:rsidR="00C01BF0">
        <w:t xml:space="preserve">the </w:t>
      </w:r>
      <w:r>
        <w:t>RBA</w:t>
      </w:r>
      <w:r w:rsidR="00C01BF0">
        <w:t>’s inflation target</w:t>
      </w:r>
      <w:r>
        <w:t xml:space="preserve">. </w:t>
      </w:r>
    </w:p>
    <w:p w:rsidR="001924CD" w:rsidRDefault="001924CD" w:rsidP="001924CD">
      <w:pPr>
        <w:pStyle w:val="NoSpacing"/>
      </w:pPr>
    </w:p>
    <w:p w:rsidR="00A70C80" w:rsidRDefault="000760CE" w:rsidP="001924CD">
      <w:pPr>
        <w:pStyle w:val="NoSpacing"/>
      </w:pPr>
      <w:r>
        <w:t xml:space="preserve">Some stakeholders questioned whether </w:t>
      </w:r>
      <w:r w:rsidR="00061D25">
        <w:t xml:space="preserve">some </w:t>
      </w:r>
      <w:r>
        <w:t xml:space="preserve">volatility in inflation estimates is </w:t>
      </w:r>
      <w:r w:rsidR="00061D25">
        <w:t>desirable as a</w:t>
      </w:r>
      <w:r w:rsidR="00D678FE">
        <w:t>n</w:t>
      </w:r>
      <w:r w:rsidR="00061D25">
        <w:t xml:space="preserve"> </w:t>
      </w:r>
      <w:r w:rsidR="00D678FE">
        <w:t>offset</w:t>
      </w:r>
      <w:r w:rsidR="00061D25">
        <w:t xml:space="preserve"> to volatility in the nominal rate of return.</w:t>
      </w:r>
      <w:r w:rsidR="00061D25" w:rsidDel="00061D25">
        <w:t xml:space="preserve"> </w:t>
      </w:r>
      <w:r w:rsidR="00236DA0">
        <w:t>Some</w:t>
      </w:r>
      <w:r w:rsidR="001924CD">
        <w:t xml:space="preserve"> raised the idea of weighin</w:t>
      </w:r>
      <w:r w:rsidR="004B2B47">
        <w:t xml:space="preserve">g different approaches. That is, weighing each approach to estimate the expected inflation and placing them in the most appropriate </w:t>
      </w:r>
      <w:r w:rsidR="00CD2207">
        <w:t>order.</w:t>
      </w:r>
    </w:p>
    <w:p w:rsidR="001924CD" w:rsidRPr="0086454D" w:rsidRDefault="001924CD" w:rsidP="0086454D">
      <w:pPr>
        <w:pStyle w:val="NoSpacing"/>
      </w:pPr>
    </w:p>
    <w:p w:rsidR="00A67789" w:rsidRPr="00900B2A" w:rsidRDefault="00462114" w:rsidP="00900B2A">
      <w:pPr>
        <w:pStyle w:val="NoSpacing"/>
        <w:rPr>
          <w:b/>
        </w:rPr>
      </w:pPr>
      <w:r w:rsidRPr="00900B2A">
        <w:rPr>
          <w:b/>
        </w:rPr>
        <w:t>Mismatch between expected inflation and inflation outcomes</w:t>
      </w:r>
    </w:p>
    <w:p w:rsidR="0005594E" w:rsidRDefault="0005594E" w:rsidP="00863435">
      <w:pPr>
        <w:pStyle w:val="NoSpacing"/>
      </w:pPr>
      <w:r>
        <w:t>Overall, t</w:t>
      </w:r>
      <w:r w:rsidR="001924CD">
        <w:t xml:space="preserve">he main discussion centred </w:t>
      </w:r>
      <w:r>
        <w:t>on</w:t>
      </w:r>
      <w:r w:rsidR="00236DA0">
        <w:t xml:space="preserve"> whether </w:t>
      </w:r>
      <w:r w:rsidR="001924CD">
        <w:t>the regulatory allowance, set up front</w:t>
      </w:r>
      <w:r>
        <w:t>,</w:t>
      </w:r>
      <w:r w:rsidR="001924CD">
        <w:t xml:space="preserve"> </w:t>
      </w:r>
      <w:r w:rsidR="00236DA0">
        <w:t xml:space="preserve">should </w:t>
      </w:r>
      <w:r w:rsidR="001924CD">
        <w:t>be denominated as</w:t>
      </w:r>
      <w:r>
        <w:t>:</w:t>
      </w:r>
    </w:p>
    <w:p w:rsidR="0005594E" w:rsidRDefault="001924CD" w:rsidP="0005594E">
      <w:pPr>
        <w:pStyle w:val="NoSpacing"/>
        <w:numPr>
          <w:ilvl w:val="1"/>
          <w:numId w:val="42"/>
        </w:numPr>
      </w:pPr>
      <w:r>
        <w:t>final nominal value of revenue / price</w:t>
      </w:r>
      <w:r w:rsidR="0005594E">
        <w:t>?;</w:t>
      </w:r>
    </w:p>
    <w:p w:rsidR="0005594E" w:rsidRDefault="001924CD" w:rsidP="0005594E">
      <w:pPr>
        <w:pStyle w:val="NoSpacing"/>
        <w:numPr>
          <w:ilvl w:val="1"/>
          <w:numId w:val="42"/>
        </w:numPr>
      </w:pPr>
      <w:r>
        <w:t>real value of revenue / price with an inflation pass-through</w:t>
      </w:r>
      <w:r w:rsidR="0005594E">
        <w:t>?;</w:t>
      </w:r>
    </w:p>
    <w:p w:rsidR="0005594E" w:rsidRDefault="001924CD" w:rsidP="0005594E">
      <w:pPr>
        <w:pStyle w:val="NoSpacing"/>
        <w:numPr>
          <w:ilvl w:val="1"/>
          <w:numId w:val="42"/>
        </w:numPr>
      </w:pPr>
      <w:r>
        <w:t>some hybri</w:t>
      </w:r>
      <w:r w:rsidR="003B155A">
        <w:t>d of real and nominal</w:t>
      </w:r>
      <w:r w:rsidR="0005594E">
        <w:t>?</w:t>
      </w:r>
    </w:p>
    <w:p w:rsidR="00236DA0" w:rsidRDefault="00236DA0" w:rsidP="0005594E">
      <w:pPr>
        <w:pStyle w:val="NoSpacing"/>
      </w:pPr>
    </w:p>
    <w:p w:rsidR="003B155A" w:rsidRDefault="00863435" w:rsidP="0005594E">
      <w:pPr>
        <w:pStyle w:val="NoSpacing"/>
      </w:pPr>
      <w:r>
        <w:t xml:space="preserve">Some stakeholders raised the idea of a </w:t>
      </w:r>
      <w:r w:rsidR="003B155A">
        <w:t xml:space="preserve">hybrid </w:t>
      </w:r>
      <w:r w:rsidR="006413BF">
        <w:t xml:space="preserve">allowance being a combination </w:t>
      </w:r>
      <w:r w:rsidR="003B155A">
        <w:t xml:space="preserve">of real and nominal. That is, cost of debt being in nominal terms and cost of equity being in real terms. </w:t>
      </w:r>
    </w:p>
    <w:p w:rsidR="003B155A" w:rsidRDefault="003B155A" w:rsidP="003B155A">
      <w:pPr>
        <w:pStyle w:val="NoSpacing"/>
      </w:pPr>
    </w:p>
    <w:p w:rsidR="000F6BB8" w:rsidRPr="000F6BB8" w:rsidRDefault="000F6BB8" w:rsidP="003B155A">
      <w:pPr>
        <w:pStyle w:val="NoSpacing"/>
        <w:rPr>
          <w:i/>
        </w:rPr>
      </w:pPr>
      <w:r w:rsidRPr="000F6BB8">
        <w:rPr>
          <w:i/>
        </w:rPr>
        <w:t xml:space="preserve">Modelling interactions </w:t>
      </w:r>
      <w:r w:rsidR="00B84739">
        <w:rPr>
          <w:i/>
        </w:rPr>
        <w:t>and</w:t>
      </w:r>
      <w:r>
        <w:rPr>
          <w:i/>
        </w:rPr>
        <w:t xml:space="preserve"> real versus nominal</w:t>
      </w:r>
    </w:p>
    <w:p w:rsidR="00703C70" w:rsidRDefault="00E200A8" w:rsidP="00367C76">
      <w:pPr>
        <w:pStyle w:val="NoSpacing"/>
      </w:pPr>
      <w:r>
        <w:t xml:space="preserve">It </w:t>
      </w:r>
      <w:r w:rsidR="00367C76">
        <w:t>was discuss</w:t>
      </w:r>
      <w:r>
        <w:t>ed</w:t>
      </w:r>
      <w:r w:rsidR="00367C76">
        <w:t xml:space="preserve"> that </w:t>
      </w:r>
      <w:r w:rsidR="00703C70">
        <w:t>a</w:t>
      </w:r>
      <w:r w:rsidR="00367C76">
        <w:t xml:space="preserve"> move away from an overall real return may increase inflation risks and change investors’ required returns. This could end up causing higher </w:t>
      </w:r>
      <w:r w:rsidR="006413BF">
        <w:t xml:space="preserve">or lower </w:t>
      </w:r>
      <w:r w:rsidR="00367C76">
        <w:t xml:space="preserve">prices for consumers. </w:t>
      </w:r>
    </w:p>
    <w:p w:rsidR="00703C70" w:rsidRDefault="00703C70" w:rsidP="00367C76">
      <w:pPr>
        <w:pStyle w:val="NoSpacing"/>
      </w:pPr>
    </w:p>
    <w:p w:rsidR="00367C76" w:rsidRDefault="00703C70" w:rsidP="00367C76">
      <w:pPr>
        <w:pStyle w:val="NoSpacing"/>
      </w:pPr>
      <w:r>
        <w:t xml:space="preserve">There was also some discussion that </w:t>
      </w:r>
      <w:r w:rsidR="00367C76">
        <w:t xml:space="preserve">there may be a preference to receive set dollar (nominal) value returns, as </w:t>
      </w:r>
      <w:r w:rsidR="00E200A8">
        <w:t xml:space="preserve">perhaps </w:t>
      </w:r>
      <w:r w:rsidR="00367C76">
        <w:t xml:space="preserve">investors and analysts set their targets in nominal terms. </w:t>
      </w:r>
      <w:r w:rsidR="00B84739">
        <w:t xml:space="preserve">As a result, some stakeholders </w:t>
      </w:r>
      <w:r>
        <w:t>thought</w:t>
      </w:r>
      <w:r w:rsidR="009754EC">
        <w:t xml:space="preserve"> that</w:t>
      </w:r>
      <w:r>
        <w:t xml:space="preserve"> i</w:t>
      </w:r>
      <w:r w:rsidR="00367C76">
        <w:t xml:space="preserve">f this </w:t>
      </w:r>
      <w:r w:rsidR="00B84739">
        <w:t>were</w:t>
      </w:r>
      <w:r w:rsidR="00367C76">
        <w:t xml:space="preserve"> the case then investors may </w:t>
      </w:r>
      <w:r>
        <w:t>want</w:t>
      </w:r>
      <w:r w:rsidR="00367C76">
        <w:t xml:space="preserve"> to receive set nominal returns. </w:t>
      </w:r>
    </w:p>
    <w:p w:rsidR="00B84739" w:rsidRDefault="00B84739" w:rsidP="00B84739">
      <w:pPr>
        <w:pStyle w:val="NoSpacing"/>
        <w:rPr>
          <w:i/>
        </w:rPr>
      </w:pPr>
    </w:p>
    <w:p w:rsidR="00E200A8" w:rsidRDefault="00E200A8" w:rsidP="00E200A8">
      <w:pPr>
        <w:pStyle w:val="NoSpacing"/>
      </w:pPr>
      <w:r>
        <w:t xml:space="preserve">Most stakeholders </w:t>
      </w:r>
      <w:r w:rsidR="006A3F7D">
        <w:t>agreed</w:t>
      </w:r>
      <w:r>
        <w:t xml:space="preserve"> that if the best estimate of expected inflation did not change</w:t>
      </w:r>
      <w:r w:rsidR="0016287A">
        <w:t xml:space="preserve"> </w:t>
      </w:r>
      <w:r>
        <w:t xml:space="preserve">network service providers would have more buy-in </w:t>
      </w:r>
      <w:r w:rsidR="009754EC">
        <w:t>regarding</w:t>
      </w:r>
      <w:r>
        <w:t xml:space="preserve"> how to approach the mismatch between expected inflation and inflation outcomes.  </w:t>
      </w:r>
    </w:p>
    <w:p w:rsidR="004F5BAC" w:rsidRDefault="004F5BAC" w:rsidP="00B84739">
      <w:pPr>
        <w:pStyle w:val="NoSpacing"/>
        <w:rPr>
          <w:i/>
        </w:rPr>
      </w:pPr>
    </w:p>
    <w:p w:rsidR="00E200A8" w:rsidRDefault="00E200A8" w:rsidP="00E200A8">
      <w:pPr>
        <w:pStyle w:val="NoSpacing"/>
      </w:pPr>
      <w:r>
        <w:t>There was discussion about the inflation measures used in the Post-Tax Revenue Model (PTRM) and those used in the Roll Forward Model (RFM). The RFM deals with actual inflation and the PTRM deals with expected inflation. Some stakeholders noted that they did not fully understand the interactions between the PTRM and RFM. There was consensus that there needs to be more demonstrations given by the AER about how these models interact and how the CPI – X methodology operates.</w:t>
      </w:r>
      <w:r w:rsidR="00EF2F9F">
        <w:t xml:space="preserve"> </w:t>
      </w:r>
    </w:p>
    <w:p w:rsidR="00EF2F9F" w:rsidRDefault="00EF2F9F" w:rsidP="00E200A8">
      <w:pPr>
        <w:pStyle w:val="NoSpacing"/>
      </w:pPr>
    </w:p>
    <w:p w:rsidR="00381076" w:rsidRPr="00900B2A" w:rsidRDefault="00381076" w:rsidP="00E200A8">
      <w:pPr>
        <w:pStyle w:val="NoSpacing"/>
        <w:rPr>
          <w:i/>
        </w:rPr>
      </w:pPr>
      <w:r w:rsidRPr="00900B2A">
        <w:rPr>
          <w:i/>
        </w:rPr>
        <w:t xml:space="preserve">Finding a key understanding of change </w:t>
      </w:r>
    </w:p>
    <w:p w:rsidR="00EF2F9F" w:rsidRDefault="00381076" w:rsidP="00E200A8">
      <w:pPr>
        <w:pStyle w:val="NoSpacing"/>
      </w:pPr>
      <w:r>
        <w:t xml:space="preserve">Most stakeholders agreed that there needs to be a key understanding of what needs to be changed. There was </w:t>
      </w:r>
      <w:r w:rsidR="007E1C69">
        <w:t>a view</w:t>
      </w:r>
      <w:r w:rsidR="00EF2F9F">
        <w:t xml:space="preserve"> that the AER should</w:t>
      </w:r>
      <w:r w:rsidR="007E1C69">
        <w:t xml:space="preserve"> only implement a</w:t>
      </w:r>
      <w:r w:rsidR="00EF2F9F">
        <w:t xml:space="preserve"> change</w:t>
      </w:r>
      <w:r w:rsidR="000D530A">
        <w:t xml:space="preserve"> to</w:t>
      </w:r>
      <w:r w:rsidR="00EF2F9F">
        <w:t xml:space="preserve"> its regulatory tre</w:t>
      </w:r>
      <w:r>
        <w:t xml:space="preserve">atment of inflation after </w:t>
      </w:r>
      <w:r w:rsidR="00EF2F9F">
        <w:t xml:space="preserve">identifying </w:t>
      </w:r>
      <w:r w:rsidR="001A2E26">
        <w:t xml:space="preserve">what outcomes are sought from this treatment, </w:t>
      </w:r>
      <w:r w:rsidR="00EF2F9F">
        <w:t xml:space="preserve">whether what is </w:t>
      </w:r>
      <w:r w:rsidR="001A2E26">
        <w:t xml:space="preserve">currently </w:t>
      </w:r>
      <w:r w:rsidR="00EF2F9F">
        <w:t xml:space="preserve">in place </w:t>
      </w:r>
      <w:r w:rsidR="007E1C69">
        <w:t>actually</w:t>
      </w:r>
      <w:r w:rsidR="00EF2F9F">
        <w:t xml:space="preserve"> </w:t>
      </w:r>
      <w:r w:rsidR="001A2E26">
        <w:t>achieves those outcomes</w:t>
      </w:r>
      <w:r w:rsidR="00EF2F9F">
        <w:t xml:space="preserve">, </w:t>
      </w:r>
      <w:r w:rsidR="007E1C69">
        <w:t xml:space="preserve">the significance of </w:t>
      </w:r>
      <w:r w:rsidR="001A2E26">
        <w:t>areas where desired outcomes are not achieved</w:t>
      </w:r>
      <w:r w:rsidR="00EF2F9F">
        <w:t xml:space="preserve"> and </w:t>
      </w:r>
      <w:r w:rsidR="007E1C69">
        <w:t>the</w:t>
      </w:r>
      <w:r w:rsidR="00EF2F9F">
        <w:t xml:space="preserve"> level of change required</w:t>
      </w:r>
      <w:r w:rsidR="007E1C69">
        <w:t>.</w:t>
      </w:r>
      <w:r w:rsidR="00EF2F9F">
        <w:t xml:space="preserve"> </w:t>
      </w:r>
    </w:p>
    <w:p w:rsidR="00E200A8" w:rsidRDefault="00E200A8" w:rsidP="00E200A8">
      <w:pPr>
        <w:pStyle w:val="NoSpacing"/>
      </w:pPr>
    </w:p>
    <w:p w:rsidR="000F6BB8" w:rsidRPr="000F6BB8" w:rsidRDefault="000F6BB8" w:rsidP="000F6BB8">
      <w:pPr>
        <w:pStyle w:val="NoSpacing"/>
        <w:rPr>
          <w:i/>
        </w:rPr>
      </w:pPr>
      <w:r w:rsidRPr="000F6BB8">
        <w:rPr>
          <w:i/>
        </w:rPr>
        <w:t>Management of inflation risk</w:t>
      </w:r>
    </w:p>
    <w:p w:rsidR="000F6BB8" w:rsidRDefault="000F6BB8" w:rsidP="00900B2A">
      <w:pPr>
        <w:pStyle w:val="NoSpacing"/>
        <w:rPr>
          <w:b/>
        </w:rPr>
      </w:pPr>
      <w:r>
        <w:t xml:space="preserve">There was discussion about how network service providers manage inflation risks and whether consumers pay the networks to bear inflation risk (and whether consumers still bear the risk). There was agreement that there needs to be quantitative demonstrations that revenue and price modelling provides the appropriate compensation for inflation. Also </w:t>
      </w:r>
      <w:r w:rsidR="00703C70">
        <w:lastRenderedPageBreak/>
        <w:t>stakeholders</w:t>
      </w:r>
      <w:r>
        <w:t xml:space="preserve"> were of the view that the AER needs to </w:t>
      </w:r>
      <w:r w:rsidR="00D129FD">
        <w:t>demonstrate</w:t>
      </w:r>
      <w:r>
        <w:t xml:space="preserve"> that there is an efficient allocation of inflation risk between networks and end users. </w:t>
      </w:r>
    </w:p>
    <w:sectPr w:rsidR="000F6BB8" w:rsidSect="00691616">
      <w:footerReference w:type="first" r:id="rId11"/>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B7D" w:rsidRDefault="00443B7D" w:rsidP="004B4412">
      <w:pPr>
        <w:spacing w:before="0"/>
      </w:pPr>
      <w:r>
        <w:separator/>
      </w:r>
    </w:p>
  </w:endnote>
  <w:endnote w:type="continuationSeparator" w:id="0">
    <w:p w:rsidR="00443B7D" w:rsidRDefault="00443B7D"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B7D" w:rsidRDefault="00443B7D" w:rsidP="004B4412">
      <w:pPr>
        <w:spacing w:before="0"/>
      </w:pPr>
      <w:r>
        <w:separator/>
      </w:r>
    </w:p>
  </w:footnote>
  <w:footnote w:type="continuationSeparator" w:id="0">
    <w:p w:rsidR="00443B7D" w:rsidRDefault="00443B7D" w:rsidP="004B4412">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56B11A2"/>
    <w:multiLevelType w:val="hybridMultilevel"/>
    <w:tmpl w:val="470876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05E727F6"/>
    <w:multiLevelType w:val="hybridMultilevel"/>
    <w:tmpl w:val="7B40AB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4">
    <w:nsid w:val="184C53C3"/>
    <w:multiLevelType w:val="hybridMultilevel"/>
    <w:tmpl w:val="71C894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21A01F8B"/>
    <w:multiLevelType w:val="hybridMultilevel"/>
    <w:tmpl w:val="84B6C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9973583"/>
    <w:multiLevelType w:val="hybridMultilevel"/>
    <w:tmpl w:val="30F8EF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640366"/>
    <w:multiLevelType w:val="hybridMultilevel"/>
    <w:tmpl w:val="20EED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3">
    <w:nsid w:val="43DF06AD"/>
    <w:multiLevelType w:val="hybridMultilevel"/>
    <w:tmpl w:val="90661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B9012A0"/>
    <w:multiLevelType w:val="hybridMultilevel"/>
    <w:tmpl w:val="94EEF152"/>
    <w:lvl w:ilvl="0" w:tplc="95847628">
      <w:start w:val="1"/>
      <w:numFmt w:val="bullet"/>
      <w:lvlText w:val="•"/>
      <w:lvlJc w:val="left"/>
      <w:pPr>
        <w:tabs>
          <w:tab w:val="num" w:pos="720"/>
        </w:tabs>
        <w:ind w:left="720" w:hanging="360"/>
      </w:pPr>
      <w:rPr>
        <w:rFonts w:ascii="Arial" w:hAnsi="Arial" w:hint="default"/>
      </w:rPr>
    </w:lvl>
    <w:lvl w:ilvl="1" w:tplc="3E8AA406" w:tentative="1">
      <w:start w:val="1"/>
      <w:numFmt w:val="bullet"/>
      <w:lvlText w:val="•"/>
      <w:lvlJc w:val="left"/>
      <w:pPr>
        <w:tabs>
          <w:tab w:val="num" w:pos="1440"/>
        </w:tabs>
        <w:ind w:left="1440" w:hanging="360"/>
      </w:pPr>
      <w:rPr>
        <w:rFonts w:ascii="Arial" w:hAnsi="Arial" w:hint="default"/>
      </w:rPr>
    </w:lvl>
    <w:lvl w:ilvl="2" w:tplc="043837A8" w:tentative="1">
      <w:start w:val="1"/>
      <w:numFmt w:val="bullet"/>
      <w:lvlText w:val="•"/>
      <w:lvlJc w:val="left"/>
      <w:pPr>
        <w:tabs>
          <w:tab w:val="num" w:pos="2160"/>
        </w:tabs>
        <w:ind w:left="2160" w:hanging="360"/>
      </w:pPr>
      <w:rPr>
        <w:rFonts w:ascii="Arial" w:hAnsi="Arial" w:hint="default"/>
      </w:rPr>
    </w:lvl>
    <w:lvl w:ilvl="3" w:tplc="BB7E847C" w:tentative="1">
      <w:start w:val="1"/>
      <w:numFmt w:val="bullet"/>
      <w:lvlText w:val="•"/>
      <w:lvlJc w:val="left"/>
      <w:pPr>
        <w:tabs>
          <w:tab w:val="num" w:pos="2880"/>
        </w:tabs>
        <w:ind w:left="2880" w:hanging="360"/>
      </w:pPr>
      <w:rPr>
        <w:rFonts w:ascii="Arial" w:hAnsi="Arial" w:hint="default"/>
      </w:rPr>
    </w:lvl>
    <w:lvl w:ilvl="4" w:tplc="EDCAEB9E" w:tentative="1">
      <w:start w:val="1"/>
      <w:numFmt w:val="bullet"/>
      <w:lvlText w:val="•"/>
      <w:lvlJc w:val="left"/>
      <w:pPr>
        <w:tabs>
          <w:tab w:val="num" w:pos="3600"/>
        </w:tabs>
        <w:ind w:left="3600" w:hanging="360"/>
      </w:pPr>
      <w:rPr>
        <w:rFonts w:ascii="Arial" w:hAnsi="Arial" w:hint="default"/>
      </w:rPr>
    </w:lvl>
    <w:lvl w:ilvl="5" w:tplc="C5BA1A84" w:tentative="1">
      <w:start w:val="1"/>
      <w:numFmt w:val="bullet"/>
      <w:lvlText w:val="•"/>
      <w:lvlJc w:val="left"/>
      <w:pPr>
        <w:tabs>
          <w:tab w:val="num" w:pos="4320"/>
        </w:tabs>
        <w:ind w:left="4320" w:hanging="360"/>
      </w:pPr>
      <w:rPr>
        <w:rFonts w:ascii="Arial" w:hAnsi="Arial" w:hint="default"/>
      </w:rPr>
    </w:lvl>
    <w:lvl w:ilvl="6" w:tplc="93A24426" w:tentative="1">
      <w:start w:val="1"/>
      <w:numFmt w:val="bullet"/>
      <w:lvlText w:val="•"/>
      <w:lvlJc w:val="left"/>
      <w:pPr>
        <w:tabs>
          <w:tab w:val="num" w:pos="5040"/>
        </w:tabs>
        <w:ind w:left="5040" w:hanging="360"/>
      </w:pPr>
      <w:rPr>
        <w:rFonts w:ascii="Arial" w:hAnsi="Arial" w:hint="default"/>
      </w:rPr>
    </w:lvl>
    <w:lvl w:ilvl="7" w:tplc="B9EAC964" w:tentative="1">
      <w:start w:val="1"/>
      <w:numFmt w:val="bullet"/>
      <w:lvlText w:val="•"/>
      <w:lvlJc w:val="left"/>
      <w:pPr>
        <w:tabs>
          <w:tab w:val="num" w:pos="5760"/>
        </w:tabs>
        <w:ind w:left="5760" w:hanging="360"/>
      </w:pPr>
      <w:rPr>
        <w:rFonts w:ascii="Arial" w:hAnsi="Arial" w:hint="default"/>
      </w:rPr>
    </w:lvl>
    <w:lvl w:ilvl="8" w:tplc="939663DA" w:tentative="1">
      <w:start w:val="1"/>
      <w:numFmt w:val="bullet"/>
      <w:lvlText w:val="•"/>
      <w:lvlJc w:val="left"/>
      <w:pPr>
        <w:tabs>
          <w:tab w:val="num" w:pos="6480"/>
        </w:tabs>
        <w:ind w:left="6480" w:hanging="360"/>
      </w:pPr>
      <w:rPr>
        <w:rFonts w:ascii="Arial" w:hAnsi="Arial" w:hint="default"/>
      </w:rPr>
    </w:lvl>
  </w:abstractNum>
  <w:abstractNum w:abstractNumId="26">
    <w:nsid w:val="52CE60EB"/>
    <w:multiLevelType w:val="hybridMultilevel"/>
    <w:tmpl w:val="A99EA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nsid w:val="66244249"/>
    <w:multiLevelType w:val="hybridMultilevel"/>
    <w:tmpl w:val="79984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3">
    <w:nsid w:val="69954A4B"/>
    <w:multiLevelType w:val="hybridMultilevel"/>
    <w:tmpl w:val="D9A4084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nsid w:val="6F820CC5"/>
    <w:multiLevelType w:val="hybridMultilevel"/>
    <w:tmpl w:val="17AEC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6">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7">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8">
    <w:nsid w:val="78C43B3B"/>
    <w:multiLevelType w:val="hybridMultilevel"/>
    <w:tmpl w:val="F30A8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F6464F4"/>
    <w:multiLevelType w:val="hybridMultilevel"/>
    <w:tmpl w:val="ACA492C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40"/>
  </w:num>
  <w:num w:numId="3">
    <w:abstractNumId w:val="7"/>
  </w:num>
  <w:num w:numId="4">
    <w:abstractNumId w:val="6"/>
  </w:num>
  <w:num w:numId="5">
    <w:abstractNumId w:val="5"/>
  </w:num>
  <w:num w:numId="6">
    <w:abstractNumId w:val="4"/>
  </w:num>
  <w:num w:numId="7">
    <w:abstractNumId w:val="1"/>
  </w:num>
  <w:num w:numId="8">
    <w:abstractNumId w:val="0"/>
  </w:num>
  <w:num w:numId="9">
    <w:abstractNumId w:val="32"/>
  </w:num>
  <w:num w:numId="10">
    <w:abstractNumId w:val="20"/>
  </w:num>
  <w:num w:numId="11">
    <w:abstractNumId w:val="11"/>
  </w:num>
  <w:num w:numId="12">
    <w:abstractNumId w:val="15"/>
  </w:num>
  <w:num w:numId="13">
    <w:abstractNumId w:val="19"/>
  </w:num>
  <w:num w:numId="14">
    <w:abstractNumId w:val="2"/>
  </w:num>
  <w:num w:numId="15">
    <w:abstractNumId w:val="35"/>
  </w:num>
  <w:num w:numId="16">
    <w:abstractNumId w:val="39"/>
  </w:num>
  <w:num w:numId="17">
    <w:abstractNumId w:val="37"/>
  </w:num>
  <w:num w:numId="18">
    <w:abstractNumId w:val="28"/>
  </w:num>
  <w:num w:numId="19">
    <w:abstractNumId w:val="18"/>
  </w:num>
  <w:num w:numId="20">
    <w:abstractNumId w:val="22"/>
  </w:num>
  <w:num w:numId="21">
    <w:abstractNumId w:val="36"/>
  </w:num>
  <w:num w:numId="22">
    <w:abstractNumId w:val="29"/>
  </w:num>
  <w:num w:numId="23">
    <w:abstractNumId w:val="8"/>
  </w:num>
  <w:num w:numId="24">
    <w:abstractNumId w:val="3"/>
  </w:num>
  <w:num w:numId="25">
    <w:abstractNumId w:val="24"/>
  </w:num>
  <w:num w:numId="26">
    <w:abstractNumId w:val="13"/>
  </w:num>
  <w:num w:numId="27">
    <w:abstractNumId w:val="31"/>
  </w:num>
  <w:num w:numId="28">
    <w:abstractNumId w:val="41"/>
  </w:num>
  <w:num w:numId="29">
    <w:abstractNumId w:val="23"/>
  </w:num>
  <w:num w:numId="30">
    <w:abstractNumId w:val="33"/>
  </w:num>
  <w:num w:numId="31">
    <w:abstractNumId w:val="34"/>
  </w:num>
  <w:num w:numId="32">
    <w:abstractNumId w:val="30"/>
  </w:num>
  <w:num w:numId="33">
    <w:abstractNumId w:val="27"/>
  </w:num>
  <w:num w:numId="34">
    <w:abstractNumId w:val="16"/>
  </w:num>
  <w:num w:numId="35">
    <w:abstractNumId w:val="26"/>
  </w:num>
  <w:num w:numId="36">
    <w:abstractNumId w:val="10"/>
  </w:num>
  <w:num w:numId="37">
    <w:abstractNumId w:val="14"/>
  </w:num>
  <w:num w:numId="38">
    <w:abstractNumId w:val="25"/>
  </w:num>
  <w:num w:numId="39">
    <w:abstractNumId w:val="38"/>
  </w:num>
  <w:num w:numId="40">
    <w:abstractNumId w:val="9"/>
  </w:num>
  <w:num w:numId="41">
    <w:abstractNumId w:val="21"/>
  </w:num>
  <w:num w:numId="42">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spalo\Desktop\Web page - inflation files\AER Public Inflation Forum - Summary Report - 14 June 2017.docx"/>
  </w:docVars>
  <w:rsids>
    <w:rsidRoot w:val="00443B7D"/>
    <w:rsid w:val="0002115F"/>
    <w:rsid w:val="00021202"/>
    <w:rsid w:val="000225C4"/>
    <w:rsid w:val="0003041B"/>
    <w:rsid w:val="0003578C"/>
    <w:rsid w:val="0005594E"/>
    <w:rsid w:val="00061D25"/>
    <w:rsid w:val="00063247"/>
    <w:rsid w:val="00070F9F"/>
    <w:rsid w:val="0007137B"/>
    <w:rsid w:val="000760CE"/>
    <w:rsid w:val="00085663"/>
    <w:rsid w:val="00085EBF"/>
    <w:rsid w:val="00095678"/>
    <w:rsid w:val="000A644F"/>
    <w:rsid w:val="000C2BBA"/>
    <w:rsid w:val="000D122C"/>
    <w:rsid w:val="000D530A"/>
    <w:rsid w:val="000E1819"/>
    <w:rsid w:val="000E5652"/>
    <w:rsid w:val="000E6C72"/>
    <w:rsid w:val="000F1A87"/>
    <w:rsid w:val="000F2368"/>
    <w:rsid w:val="000F6BB8"/>
    <w:rsid w:val="001057AC"/>
    <w:rsid w:val="00116EB2"/>
    <w:rsid w:val="00124609"/>
    <w:rsid w:val="001573E4"/>
    <w:rsid w:val="00160756"/>
    <w:rsid w:val="0016287A"/>
    <w:rsid w:val="0017232E"/>
    <w:rsid w:val="00174102"/>
    <w:rsid w:val="00180157"/>
    <w:rsid w:val="00181223"/>
    <w:rsid w:val="00186F77"/>
    <w:rsid w:val="001924CD"/>
    <w:rsid w:val="001926A4"/>
    <w:rsid w:val="001A2E26"/>
    <w:rsid w:val="001A3A19"/>
    <w:rsid w:val="001A407F"/>
    <w:rsid w:val="001B246B"/>
    <w:rsid w:val="001B45A0"/>
    <w:rsid w:val="001C18EE"/>
    <w:rsid w:val="001D055E"/>
    <w:rsid w:val="001F492E"/>
    <w:rsid w:val="001F6DA3"/>
    <w:rsid w:val="00212737"/>
    <w:rsid w:val="00224DB9"/>
    <w:rsid w:val="00236DA0"/>
    <w:rsid w:val="00251745"/>
    <w:rsid w:val="00263AC0"/>
    <w:rsid w:val="0026772D"/>
    <w:rsid w:val="00286874"/>
    <w:rsid w:val="00296B65"/>
    <w:rsid w:val="002A7DEF"/>
    <w:rsid w:val="002F6717"/>
    <w:rsid w:val="002F7986"/>
    <w:rsid w:val="00302A8A"/>
    <w:rsid w:val="00302E5C"/>
    <w:rsid w:val="00303C4A"/>
    <w:rsid w:val="00307F6D"/>
    <w:rsid w:val="003177A2"/>
    <w:rsid w:val="00323471"/>
    <w:rsid w:val="003271B5"/>
    <w:rsid w:val="003301BA"/>
    <w:rsid w:val="00330CA0"/>
    <w:rsid w:val="00331264"/>
    <w:rsid w:val="00334C8D"/>
    <w:rsid w:val="00340655"/>
    <w:rsid w:val="003459E6"/>
    <w:rsid w:val="003518B3"/>
    <w:rsid w:val="00367C76"/>
    <w:rsid w:val="00371641"/>
    <w:rsid w:val="003739B4"/>
    <w:rsid w:val="00381076"/>
    <w:rsid w:val="003846F1"/>
    <w:rsid w:val="003870EC"/>
    <w:rsid w:val="003A673F"/>
    <w:rsid w:val="003B155A"/>
    <w:rsid w:val="003B5A70"/>
    <w:rsid w:val="003C3A7D"/>
    <w:rsid w:val="003E4A94"/>
    <w:rsid w:val="00443B7D"/>
    <w:rsid w:val="00462114"/>
    <w:rsid w:val="00475DDE"/>
    <w:rsid w:val="00480B4B"/>
    <w:rsid w:val="00480F6D"/>
    <w:rsid w:val="00485DC4"/>
    <w:rsid w:val="004B2B47"/>
    <w:rsid w:val="004B435F"/>
    <w:rsid w:val="004B4412"/>
    <w:rsid w:val="004B5CE3"/>
    <w:rsid w:val="004C348C"/>
    <w:rsid w:val="004D55BA"/>
    <w:rsid w:val="004F5BAC"/>
    <w:rsid w:val="005038DB"/>
    <w:rsid w:val="005160C5"/>
    <w:rsid w:val="0052379B"/>
    <w:rsid w:val="00530128"/>
    <w:rsid w:val="00532467"/>
    <w:rsid w:val="00535981"/>
    <w:rsid w:val="00537032"/>
    <w:rsid w:val="00547BA2"/>
    <w:rsid w:val="00547CCF"/>
    <w:rsid w:val="00564A4D"/>
    <w:rsid w:val="00571B35"/>
    <w:rsid w:val="00571C9F"/>
    <w:rsid w:val="00577A09"/>
    <w:rsid w:val="00580B78"/>
    <w:rsid w:val="00584D8F"/>
    <w:rsid w:val="00596D42"/>
    <w:rsid w:val="005A404D"/>
    <w:rsid w:val="005B1E3C"/>
    <w:rsid w:val="005C24AC"/>
    <w:rsid w:val="005C26CC"/>
    <w:rsid w:val="005C55ED"/>
    <w:rsid w:val="005D3546"/>
    <w:rsid w:val="005E4019"/>
    <w:rsid w:val="005E6C0E"/>
    <w:rsid w:val="005F25A8"/>
    <w:rsid w:val="005F6F4F"/>
    <w:rsid w:val="00606697"/>
    <w:rsid w:val="00615BAB"/>
    <w:rsid w:val="00615C6B"/>
    <w:rsid w:val="00632030"/>
    <w:rsid w:val="00632D6D"/>
    <w:rsid w:val="006413BF"/>
    <w:rsid w:val="00642C3E"/>
    <w:rsid w:val="00646025"/>
    <w:rsid w:val="0065030B"/>
    <w:rsid w:val="00663DAD"/>
    <w:rsid w:val="00676679"/>
    <w:rsid w:val="00691616"/>
    <w:rsid w:val="006976C6"/>
    <w:rsid w:val="006A3232"/>
    <w:rsid w:val="006A3F7D"/>
    <w:rsid w:val="006B4CF9"/>
    <w:rsid w:val="006B7AC8"/>
    <w:rsid w:val="006D550F"/>
    <w:rsid w:val="006D77F3"/>
    <w:rsid w:val="00701CAB"/>
    <w:rsid w:val="00703C70"/>
    <w:rsid w:val="00707563"/>
    <w:rsid w:val="0072348C"/>
    <w:rsid w:val="00724A37"/>
    <w:rsid w:val="007303C3"/>
    <w:rsid w:val="00743223"/>
    <w:rsid w:val="00746E01"/>
    <w:rsid w:val="007547F4"/>
    <w:rsid w:val="00763E5D"/>
    <w:rsid w:val="00767740"/>
    <w:rsid w:val="00777EE6"/>
    <w:rsid w:val="00782EEA"/>
    <w:rsid w:val="00791651"/>
    <w:rsid w:val="007A16B1"/>
    <w:rsid w:val="007B2C72"/>
    <w:rsid w:val="007C1C53"/>
    <w:rsid w:val="007E1C69"/>
    <w:rsid w:val="007E26A9"/>
    <w:rsid w:val="007E37E7"/>
    <w:rsid w:val="007E4904"/>
    <w:rsid w:val="007E4CB5"/>
    <w:rsid w:val="007F066B"/>
    <w:rsid w:val="008033C4"/>
    <w:rsid w:val="00806C88"/>
    <w:rsid w:val="0081034E"/>
    <w:rsid w:val="008202B5"/>
    <w:rsid w:val="008344F6"/>
    <w:rsid w:val="0083510F"/>
    <w:rsid w:val="00851209"/>
    <w:rsid w:val="00863435"/>
    <w:rsid w:val="0086454D"/>
    <w:rsid w:val="0086483D"/>
    <w:rsid w:val="0088007E"/>
    <w:rsid w:val="00881E7F"/>
    <w:rsid w:val="008837AC"/>
    <w:rsid w:val="008945B4"/>
    <w:rsid w:val="008A587D"/>
    <w:rsid w:val="008C5486"/>
    <w:rsid w:val="008E7031"/>
    <w:rsid w:val="00900B2A"/>
    <w:rsid w:val="00920385"/>
    <w:rsid w:val="00922C95"/>
    <w:rsid w:val="009233EE"/>
    <w:rsid w:val="0096391E"/>
    <w:rsid w:val="009661DE"/>
    <w:rsid w:val="009754EC"/>
    <w:rsid w:val="009856B7"/>
    <w:rsid w:val="0098602B"/>
    <w:rsid w:val="00991B3B"/>
    <w:rsid w:val="009962BA"/>
    <w:rsid w:val="009B74B0"/>
    <w:rsid w:val="009B76EB"/>
    <w:rsid w:val="009D4414"/>
    <w:rsid w:val="009D6B46"/>
    <w:rsid w:val="009E045B"/>
    <w:rsid w:val="009E4D6C"/>
    <w:rsid w:val="009F4940"/>
    <w:rsid w:val="00A161A2"/>
    <w:rsid w:val="00A1665B"/>
    <w:rsid w:val="00A34C39"/>
    <w:rsid w:val="00A4478A"/>
    <w:rsid w:val="00A44852"/>
    <w:rsid w:val="00A57D04"/>
    <w:rsid w:val="00A60A26"/>
    <w:rsid w:val="00A61598"/>
    <w:rsid w:val="00A67789"/>
    <w:rsid w:val="00A70C80"/>
    <w:rsid w:val="00A810AD"/>
    <w:rsid w:val="00A84F46"/>
    <w:rsid w:val="00A871F4"/>
    <w:rsid w:val="00AA55D7"/>
    <w:rsid w:val="00AC1ADE"/>
    <w:rsid w:val="00AC1B2C"/>
    <w:rsid w:val="00AC3264"/>
    <w:rsid w:val="00AC6F01"/>
    <w:rsid w:val="00AE0FE2"/>
    <w:rsid w:val="00AE1BF1"/>
    <w:rsid w:val="00AF0DD2"/>
    <w:rsid w:val="00B02D44"/>
    <w:rsid w:val="00B02EB4"/>
    <w:rsid w:val="00B0733E"/>
    <w:rsid w:val="00B10314"/>
    <w:rsid w:val="00B13048"/>
    <w:rsid w:val="00B15998"/>
    <w:rsid w:val="00B1716D"/>
    <w:rsid w:val="00B17A1D"/>
    <w:rsid w:val="00B207A0"/>
    <w:rsid w:val="00B21E35"/>
    <w:rsid w:val="00B51B6C"/>
    <w:rsid w:val="00B52437"/>
    <w:rsid w:val="00B56E03"/>
    <w:rsid w:val="00B60F5D"/>
    <w:rsid w:val="00B67E91"/>
    <w:rsid w:val="00B770C8"/>
    <w:rsid w:val="00B8080B"/>
    <w:rsid w:val="00B84739"/>
    <w:rsid w:val="00B87C39"/>
    <w:rsid w:val="00BA4665"/>
    <w:rsid w:val="00BB2FB2"/>
    <w:rsid w:val="00BB3304"/>
    <w:rsid w:val="00BD3446"/>
    <w:rsid w:val="00BD73F7"/>
    <w:rsid w:val="00BE031C"/>
    <w:rsid w:val="00BE1F1B"/>
    <w:rsid w:val="00BE47B5"/>
    <w:rsid w:val="00BE4C99"/>
    <w:rsid w:val="00C01BF0"/>
    <w:rsid w:val="00C058AB"/>
    <w:rsid w:val="00C06739"/>
    <w:rsid w:val="00C426AB"/>
    <w:rsid w:val="00C536FD"/>
    <w:rsid w:val="00C538A9"/>
    <w:rsid w:val="00C53B5A"/>
    <w:rsid w:val="00C54F5A"/>
    <w:rsid w:val="00C67769"/>
    <w:rsid w:val="00C755AD"/>
    <w:rsid w:val="00C86679"/>
    <w:rsid w:val="00CA1832"/>
    <w:rsid w:val="00CA6A0C"/>
    <w:rsid w:val="00CB666B"/>
    <w:rsid w:val="00CC790E"/>
    <w:rsid w:val="00CD2207"/>
    <w:rsid w:val="00CF799E"/>
    <w:rsid w:val="00D01CF0"/>
    <w:rsid w:val="00D0442A"/>
    <w:rsid w:val="00D129FD"/>
    <w:rsid w:val="00D151E1"/>
    <w:rsid w:val="00D173D8"/>
    <w:rsid w:val="00D203E1"/>
    <w:rsid w:val="00D37C9D"/>
    <w:rsid w:val="00D47DA6"/>
    <w:rsid w:val="00D544B8"/>
    <w:rsid w:val="00D61388"/>
    <w:rsid w:val="00D61A54"/>
    <w:rsid w:val="00D64DEA"/>
    <w:rsid w:val="00D678FE"/>
    <w:rsid w:val="00D80893"/>
    <w:rsid w:val="00D92CF1"/>
    <w:rsid w:val="00D92D38"/>
    <w:rsid w:val="00D950F5"/>
    <w:rsid w:val="00DA5FD9"/>
    <w:rsid w:val="00DB0F93"/>
    <w:rsid w:val="00DB3B53"/>
    <w:rsid w:val="00DC542F"/>
    <w:rsid w:val="00DC7981"/>
    <w:rsid w:val="00DE4EFA"/>
    <w:rsid w:val="00DE5520"/>
    <w:rsid w:val="00DF4668"/>
    <w:rsid w:val="00DF5A26"/>
    <w:rsid w:val="00E002C0"/>
    <w:rsid w:val="00E04818"/>
    <w:rsid w:val="00E06442"/>
    <w:rsid w:val="00E16293"/>
    <w:rsid w:val="00E200A8"/>
    <w:rsid w:val="00E23993"/>
    <w:rsid w:val="00E25B8C"/>
    <w:rsid w:val="00E4674F"/>
    <w:rsid w:val="00E51395"/>
    <w:rsid w:val="00E65C85"/>
    <w:rsid w:val="00E66199"/>
    <w:rsid w:val="00E755EC"/>
    <w:rsid w:val="00E7624D"/>
    <w:rsid w:val="00EA3D42"/>
    <w:rsid w:val="00EA6B1B"/>
    <w:rsid w:val="00ED4C33"/>
    <w:rsid w:val="00EE28F3"/>
    <w:rsid w:val="00EF0033"/>
    <w:rsid w:val="00EF2F9F"/>
    <w:rsid w:val="00EF5110"/>
    <w:rsid w:val="00EF6E54"/>
    <w:rsid w:val="00F01F5E"/>
    <w:rsid w:val="00F05898"/>
    <w:rsid w:val="00F15882"/>
    <w:rsid w:val="00F20BD3"/>
    <w:rsid w:val="00F3127E"/>
    <w:rsid w:val="00F373A5"/>
    <w:rsid w:val="00F47559"/>
    <w:rsid w:val="00F60BE4"/>
    <w:rsid w:val="00F61B84"/>
    <w:rsid w:val="00F64C7B"/>
    <w:rsid w:val="00F676DD"/>
    <w:rsid w:val="00F75A26"/>
    <w:rsid w:val="00F83FAD"/>
    <w:rsid w:val="00F91DC6"/>
    <w:rsid w:val="00F952A0"/>
    <w:rsid w:val="00F971D2"/>
    <w:rsid w:val="00FA3C7F"/>
    <w:rsid w:val="00FB52D7"/>
    <w:rsid w:val="00FB74E2"/>
    <w:rsid w:val="00FD5614"/>
    <w:rsid w:val="00FE0BE1"/>
    <w:rsid w:val="00FE1DE9"/>
    <w:rsid w:val="00FE39C2"/>
    <w:rsid w:val="00FE64AE"/>
    <w:rsid w:val="00FF2D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qFormat/>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TableGrid1">
    <w:name w:val="Table Grid1"/>
    <w:basedOn w:val="TableNormal"/>
    <w:next w:val="TableGrid"/>
    <w:uiPriority w:val="59"/>
    <w:rsid w:val="005D3546"/>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67C76"/>
    <w:pPr>
      <w:autoSpaceDE w:val="0"/>
      <w:autoSpaceDN w:val="0"/>
      <w:adjustRightInd w:val="0"/>
      <w:spacing w:before="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790E"/>
    <w:rPr>
      <w:sz w:val="16"/>
      <w:szCs w:val="16"/>
    </w:rPr>
  </w:style>
  <w:style w:type="paragraph" w:styleId="CommentText">
    <w:name w:val="annotation text"/>
    <w:basedOn w:val="Normal"/>
    <w:link w:val="CommentTextChar"/>
    <w:uiPriority w:val="99"/>
    <w:semiHidden/>
    <w:unhideWhenUsed/>
    <w:rsid w:val="00CC790E"/>
    <w:rPr>
      <w:sz w:val="20"/>
      <w:szCs w:val="20"/>
    </w:rPr>
  </w:style>
  <w:style w:type="character" w:customStyle="1" w:styleId="CommentTextChar">
    <w:name w:val="Comment Text Char"/>
    <w:basedOn w:val="DefaultParagraphFont"/>
    <w:link w:val="CommentText"/>
    <w:uiPriority w:val="99"/>
    <w:semiHidden/>
    <w:rsid w:val="00CC790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C790E"/>
    <w:rPr>
      <w:b/>
      <w:bCs/>
    </w:rPr>
  </w:style>
  <w:style w:type="character" w:customStyle="1" w:styleId="CommentSubjectChar">
    <w:name w:val="Comment Subject Char"/>
    <w:basedOn w:val="CommentTextChar"/>
    <w:link w:val="CommentSubject"/>
    <w:uiPriority w:val="99"/>
    <w:semiHidden/>
    <w:rsid w:val="00CC790E"/>
    <w:rPr>
      <w:rFonts w:ascii="Arial" w:hAnsi="Arial"/>
      <w:b/>
      <w:bCs/>
      <w:sz w:val="20"/>
      <w:szCs w:val="20"/>
    </w:rPr>
  </w:style>
  <w:style w:type="paragraph" w:styleId="Revision">
    <w:name w:val="Revision"/>
    <w:hidden/>
    <w:uiPriority w:val="99"/>
    <w:semiHidden/>
    <w:rsid w:val="000F1A87"/>
    <w:pPr>
      <w:spacing w:before="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qFormat/>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TableGrid1">
    <w:name w:val="Table Grid1"/>
    <w:basedOn w:val="TableNormal"/>
    <w:next w:val="TableGrid"/>
    <w:uiPriority w:val="59"/>
    <w:rsid w:val="005D3546"/>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67C76"/>
    <w:pPr>
      <w:autoSpaceDE w:val="0"/>
      <w:autoSpaceDN w:val="0"/>
      <w:adjustRightInd w:val="0"/>
      <w:spacing w:before="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790E"/>
    <w:rPr>
      <w:sz w:val="16"/>
      <w:szCs w:val="16"/>
    </w:rPr>
  </w:style>
  <w:style w:type="paragraph" w:styleId="CommentText">
    <w:name w:val="annotation text"/>
    <w:basedOn w:val="Normal"/>
    <w:link w:val="CommentTextChar"/>
    <w:uiPriority w:val="99"/>
    <w:semiHidden/>
    <w:unhideWhenUsed/>
    <w:rsid w:val="00CC790E"/>
    <w:rPr>
      <w:sz w:val="20"/>
      <w:szCs w:val="20"/>
    </w:rPr>
  </w:style>
  <w:style w:type="character" w:customStyle="1" w:styleId="CommentTextChar">
    <w:name w:val="Comment Text Char"/>
    <w:basedOn w:val="DefaultParagraphFont"/>
    <w:link w:val="CommentText"/>
    <w:uiPriority w:val="99"/>
    <w:semiHidden/>
    <w:rsid w:val="00CC790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C790E"/>
    <w:rPr>
      <w:b/>
      <w:bCs/>
    </w:rPr>
  </w:style>
  <w:style w:type="character" w:customStyle="1" w:styleId="CommentSubjectChar">
    <w:name w:val="Comment Subject Char"/>
    <w:basedOn w:val="CommentTextChar"/>
    <w:link w:val="CommentSubject"/>
    <w:uiPriority w:val="99"/>
    <w:semiHidden/>
    <w:rsid w:val="00CC790E"/>
    <w:rPr>
      <w:rFonts w:ascii="Arial" w:hAnsi="Arial"/>
      <w:b/>
      <w:bCs/>
      <w:sz w:val="20"/>
      <w:szCs w:val="20"/>
    </w:rPr>
  </w:style>
  <w:style w:type="paragraph" w:styleId="Revision">
    <w:name w:val="Revision"/>
    <w:hidden/>
    <w:uiPriority w:val="99"/>
    <w:semiHidden/>
    <w:rsid w:val="000F1A87"/>
    <w:pPr>
      <w:spacing w:before="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891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289166287">
      <w:bodyDiv w:val="1"/>
      <w:marLeft w:val="0"/>
      <w:marRight w:val="0"/>
      <w:marTop w:val="0"/>
      <w:marBottom w:val="0"/>
      <w:divBdr>
        <w:top w:val="none" w:sz="0" w:space="0" w:color="auto"/>
        <w:left w:val="none" w:sz="0" w:space="0" w:color="auto"/>
        <w:bottom w:val="none" w:sz="0" w:space="0" w:color="auto"/>
        <w:right w:val="none" w:sz="0" w:space="0" w:color="auto"/>
      </w:divBdr>
    </w:div>
    <w:div w:id="657266792">
      <w:bodyDiv w:val="1"/>
      <w:marLeft w:val="0"/>
      <w:marRight w:val="0"/>
      <w:marTop w:val="0"/>
      <w:marBottom w:val="0"/>
      <w:divBdr>
        <w:top w:val="none" w:sz="0" w:space="0" w:color="auto"/>
        <w:left w:val="none" w:sz="0" w:space="0" w:color="auto"/>
        <w:bottom w:val="none" w:sz="0" w:space="0" w:color="auto"/>
        <w:right w:val="none" w:sz="0" w:space="0" w:color="auto"/>
      </w:divBdr>
      <w:divsChild>
        <w:div w:id="412750483">
          <w:marLeft w:val="547"/>
          <w:marRight w:val="0"/>
          <w:marTop w:val="0"/>
          <w:marBottom w:val="0"/>
          <w:divBdr>
            <w:top w:val="none" w:sz="0" w:space="0" w:color="auto"/>
            <w:left w:val="none" w:sz="0" w:space="0" w:color="auto"/>
            <w:bottom w:val="none" w:sz="0" w:space="0" w:color="auto"/>
            <w:right w:val="none" w:sz="0" w:space="0" w:color="auto"/>
          </w:divBdr>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9832265">
      <w:bodyDiv w:val="1"/>
      <w:marLeft w:val="0"/>
      <w:marRight w:val="0"/>
      <w:marTop w:val="0"/>
      <w:marBottom w:val="0"/>
      <w:divBdr>
        <w:top w:val="none" w:sz="0" w:space="0" w:color="auto"/>
        <w:left w:val="none" w:sz="0" w:space="0" w:color="auto"/>
        <w:bottom w:val="none" w:sz="0" w:space="0" w:color="auto"/>
        <w:right w:val="none" w:sz="0" w:space="0" w:color="auto"/>
      </w:divBdr>
    </w:div>
    <w:div w:id="1328481034">
      <w:bodyDiv w:val="1"/>
      <w:marLeft w:val="0"/>
      <w:marRight w:val="0"/>
      <w:marTop w:val="0"/>
      <w:marBottom w:val="0"/>
      <w:divBdr>
        <w:top w:val="none" w:sz="0" w:space="0" w:color="auto"/>
        <w:left w:val="none" w:sz="0" w:space="0" w:color="auto"/>
        <w:bottom w:val="none" w:sz="0" w:space="0" w:color="auto"/>
        <w:right w:val="none" w:sz="0" w:space="0" w:color="auto"/>
      </w:divBdr>
    </w:div>
    <w:div w:id="1377702272">
      <w:bodyDiv w:val="1"/>
      <w:marLeft w:val="0"/>
      <w:marRight w:val="0"/>
      <w:marTop w:val="0"/>
      <w:marBottom w:val="0"/>
      <w:divBdr>
        <w:top w:val="none" w:sz="0" w:space="0" w:color="auto"/>
        <w:left w:val="none" w:sz="0" w:space="0" w:color="auto"/>
        <w:bottom w:val="none" w:sz="0" w:space="0" w:color="auto"/>
        <w:right w:val="none" w:sz="0" w:space="0" w:color="auto"/>
      </w:divBdr>
    </w:div>
    <w:div w:id="1510952009">
      <w:bodyDiv w:val="1"/>
      <w:marLeft w:val="0"/>
      <w:marRight w:val="0"/>
      <w:marTop w:val="0"/>
      <w:marBottom w:val="0"/>
      <w:divBdr>
        <w:top w:val="none" w:sz="0" w:space="0" w:color="auto"/>
        <w:left w:val="none" w:sz="0" w:space="0" w:color="auto"/>
        <w:bottom w:val="none" w:sz="0" w:space="0" w:color="auto"/>
        <w:right w:val="none" w:sz="0" w:space="0" w:color="auto"/>
      </w:divBdr>
    </w:div>
    <w:div w:id="1666930834">
      <w:bodyDiv w:val="1"/>
      <w:marLeft w:val="0"/>
      <w:marRight w:val="0"/>
      <w:marTop w:val="0"/>
      <w:marBottom w:val="0"/>
      <w:divBdr>
        <w:top w:val="none" w:sz="0" w:space="0" w:color="auto"/>
        <w:left w:val="none" w:sz="0" w:space="0" w:color="auto"/>
        <w:bottom w:val="none" w:sz="0" w:space="0" w:color="auto"/>
        <w:right w:val="none" w:sz="0" w:space="0" w:color="auto"/>
      </w:divBdr>
    </w:div>
    <w:div w:id="1899785238">
      <w:bodyDiv w:val="1"/>
      <w:marLeft w:val="0"/>
      <w:marRight w:val="0"/>
      <w:marTop w:val="0"/>
      <w:marBottom w:val="0"/>
      <w:divBdr>
        <w:top w:val="none" w:sz="0" w:space="0" w:color="auto"/>
        <w:left w:val="none" w:sz="0" w:space="0" w:color="auto"/>
        <w:bottom w:val="none" w:sz="0" w:space="0" w:color="auto"/>
        <w:right w:val="none" w:sz="0" w:space="0" w:color="auto"/>
      </w:divBdr>
    </w:div>
    <w:div w:id="21429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2CA2BD-9488-4385-8550-000041A8D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AB60AC94</Template>
  <TotalTime>13</TotalTime>
  <Pages>4</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Paloni, Sarah</dc:creator>
  <cp:lastModifiedBy>Paloni, Sarah</cp:lastModifiedBy>
  <cp:revision>9</cp:revision>
  <dcterms:created xsi:type="dcterms:W3CDTF">2017-06-26T00:55:00Z</dcterms:created>
  <dcterms:modified xsi:type="dcterms:W3CDTF">2017-06-26T01:00:00Z</dcterms:modified>
</cp:coreProperties>
</file>