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F0" w:rsidRDefault="003B7FE3" w:rsidP="000A1CC2">
      <w:pPr>
        <w:pStyle w:val="HeadingOrange"/>
      </w:pPr>
      <w:r w:rsidRPr="00824CC8">
        <w:rPr>
          <w:noProof/>
          <w:lang w:eastAsia="en-AU"/>
        </w:rPr>
        <w:drawing>
          <wp:anchor distT="0" distB="0" distL="114300" distR="114300" simplePos="0" relativeHeight="251664384" behindDoc="1" locked="0" layoutInCell="1" allowOverlap="1" wp14:anchorId="095879A5" wp14:editId="223F7048">
            <wp:simplePos x="0" y="0"/>
            <wp:positionH relativeFrom="column">
              <wp:posOffset>-1014730</wp:posOffset>
            </wp:positionH>
            <wp:positionV relativeFrom="paragraph">
              <wp:posOffset>-920305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9"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00CC49D4" w:rsidRPr="00824CC8">
        <w:rPr>
          <w:noProof/>
          <w:lang w:eastAsia="en-AU"/>
        </w:rPr>
        <w:drawing>
          <wp:anchor distT="0" distB="0" distL="114300" distR="114300" simplePos="0" relativeHeight="251661312" behindDoc="1" locked="0" layoutInCell="1" allowOverlap="1" wp14:anchorId="43BF79AC" wp14:editId="23AB9AA5">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10"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DC4736" w:rsidRPr="00DC4736" w:rsidRDefault="00DC4736" w:rsidP="00717317">
      <w:pPr>
        <w:pStyle w:val="AERtitle2"/>
      </w:pPr>
      <w:r w:rsidRPr="00DC4736">
        <w:t>Proposed amendment</w:t>
      </w:r>
    </w:p>
    <w:p w:rsidR="00EF0E19" w:rsidRDefault="00EF0E19" w:rsidP="00EF0E19">
      <w:pPr>
        <w:pStyle w:val="AERtitle1"/>
      </w:pPr>
    </w:p>
    <w:p w:rsidR="00EF0E19" w:rsidRDefault="00EF0E19" w:rsidP="00EF0E19">
      <w:pPr>
        <w:pStyle w:val="AERtitle1"/>
      </w:pPr>
    </w:p>
    <w:p w:rsidR="001B1FB1" w:rsidRDefault="001B1FB1" w:rsidP="00EF0E19">
      <w:pPr>
        <w:pStyle w:val="AERtitle1"/>
      </w:pPr>
      <w:r w:rsidRPr="001B1FB1">
        <w:t xml:space="preserve">Electricity </w:t>
      </w:r>
      <w:r w:rsidR="00E32721">
        <w:t>transmission</w:t>
      </w:r>
      <w:r w:rsidRPr="001B1FB1">
        <w:t xml:space="preserve"> network service providers </w:t>
      </w:r>
    </w:p>
    <w:p w:rsidR="00EF0E19" w:rsidRDefault="001B1FB1" w:rsidP="00EF0E19">
      <w:pPr>
        <w:pStyle w:val="AERtitle1"/>
      </w:pPr>
      <w:r>
        <w:t>Post-tax revenue model handbook</w:t>
      </w:r>
    </w:p>
    <w:p w:rsidR="00EF0E19" w:rsidRDefault="00EF0E19" w:rsidP="00EF0E19"/>
    <w:p w:rsidR="00EF0E19" w:rsidRDefault="00EF0E19" w:rsidP="00EF0E19"/>
    <w:p w:rsidR="00EF0E19" w:rsidRPr="00F6235D" w:rsidRDefault="00EF0E19" w:rsidP="00EF0E19"/>
    <w:p w:rsidR="00EF0E19" w:rsidRPr="00451FE5" w:rsidRDefault="00E32721" w:rsidP="00451FE5">
      <w:pPr>
        <w:pStyle w:val="AERtitle2"/>
      </w:pPr>
      <w:r w:rsidRPr="00451FE5">
        <w:rPr>
          <w:rStyle w:val="AERtexthighlight"/>
          <w:shd w:val="clear" w:color="auto" w:fill="auto"/>
        </w:rPr>
        <w:t>October</w:t>
      </w:r>
      <w:r w:rsidR="00C4694E" w:rsidRPr="00451FE5">
        <w:t xml:space="preserve"> 2014</w:t>
      </w:r>
    </w:p>
    <w:p w:rsidR="00EF0E19" w:rsidRPr="00F6235D" w:rsidRDefault="00EF0E19" w:rsidP="00EF0E19">
      <w:r w:rsidRPr="00F6235D">
        <w:t xml:space="preserve"> </w:t>
      </w:r>
    </w:p>
    <w:p w:rsidR="00EF0E19" w:rsidRPr="00EF0E19" w:rsidRDefault="00EF0E19" w:rsidP="00EF0E19">
      <w:pPr>
        <w:rPr>
          <w:rStyle w:val="AERtextbold"/>
        </w:rPr>
      </w:pPr>
      <w:r>
        <w:rPr>
          <w:rStyle w:val="AERtextbold"/>
        </w:rPr>
        <w:br w:type="page"/>
      </w:r>
    </w:p>
    <w:p w:rsidR="00451FE5" w:rsidRPr="00937161" w:rsidRDefault="00451FE5" w:rsidP="00451FE5">
      <w:r w:rsidRPr="00937161">
        <w:lastRenderedPageBreak/>
        <w:t>© Commonwealth of Australia 2014</w:t>
      </w:r>
    </w:p>
    <w:p w:rsidR="00451FE5" w:rsidRPr="00937161" w:rsidRDefault="00451FE5" w:rsidP="00451FE5">
      <w:r w:rsidRPr="00937161">
        <w:t>This work is copyright. In addition to any use permitted under the Copyright Act 1968, all material contained within this work is provided under a Creative Commons Attribution 3.0 Australia licence, with the exception of:</w:t>
      </w:r>
    </w:p>
    <w:p w:rsidR="00451FE5" w:rsidRPr="00937161" w:rsidRDefault="00451FE5" w:rsidP="00451FE5">
      <w:pPr>
        <w:pStyle w:val="AERbulletlistfirststyle"/>
        <w:rPr>
          <w:rStyle w:val="AERbody"/>
        </w:rPr>
      </w:pPr>
      <w:r w:rsidRPr="00937161">
        <w:rPr>
          <w:rStyle w:val="AERbody"/>
        </w:rPr>
        <w:t>the Commonwealth Coat of Arms</w:t>
      </w:r>
    </w:p>
    <w:p w:rsidR="00451FE5" w:rsidRPr="00937161" w:rsidRDefault="00451FE5" w:rsidP="00451FE5">
      <w:pPr>
        <w:pStyle w:val="AERbulletlistfirststyle"/>
        <w:rPr>
          <w:rStyle w:val="AERbody"/>
        </w:rPr>
      </w:pPr>
      <w:r w:rsidRPr="00937161">
        <w:rPr>
          <w:rStyle w:val="AERbody"/>
        </w:rPr>
        <w:t>the ACCC and AER logos</w:t>
      </w:r>
    </w:p>
    <w:p w:rsidR="00451FE5" w:rsidRPr="00937161" w:rsidRDefault="00451FE5" w:rsidP="00451FE5">
      <w:pPr>
        <w:pStyle w:val="AERbulletlistfirststyle"/>
        <w:rPr>
          <w:rStyle w:val="AERbody"/>
        </w:rPr>
      </w:pPr>
      <w:r w:rsidRPr="00937161">
        <w:rPr>
          <w:rStyle w:val="AERbody"/>
        </w:rPr>
        <w:t>any illustration, diagram, photograph or graphic over which the Australian Competition and Consumer Commission does not hold copyright, but which may be part of or contained within this publication.</w:t>
      </w:r>
    </w:p>
    <w:p w:rsidR="00451FE5" w:rsidRPr="00937161" w:rsidRDefault="00451FE5" w:rsidP="00451FE5">
      <w:r w:rsidRPr="00937161">
        <w:t>The details of the relevant licence conditions are available on the Creative Commons website, as is the full legal code for the CC BY 3.0 AU licence.</w:t>
      </w:r>
    </w:p>
    <w:p w:rsidR="00451FE5" w:rsidRPr="00937161" w:rsidRDefault="00451FE5" w:rsidP="00451FE5">
      <w:r w:rsidRPr="00937161">
        <w:t xml:space="preserve">Requests and inquiries concerning reproduction and rights should be addressed to the Director, Corporate Communications, ACCC, GPO Box 3131, Canberra ACT 2601, or </w:t>
      </w:r>
      <w:hyperlink r:id="rId11" w:history="1">
        <w:r w:rsidRPr="00937161">
          <w:rPr>
            <w:rStyle w:val="Hyperlink"/>
          </w:rPr>
          <w:t>publishing.unit@accc.gov.au</w:t>
        </w:r>
      </w:hyperlink>
      <w:r w:rsidRPr="00937161">
        <w:t>.</w:t>
      </w:r>
    </w:p>
    <w:p w:rsidR="00451FE5" w:rsidRPr="00937161" w:rsidRDefault="00451FE5" w:rsidP="00451FE5">
      <w:pPr>
        <w:pStyle w:val="AERbodytext"/>
      </w:pPr>
      <w:r w:rsidRPr="00937161">
        <w:t>Inquiries about this decision should be addressed to:</w:t>
      </w:r>
    </w:p>
    <w:p w:rsidR="00451FE5" w:rsidRPr="00937161" w:rsidRDefault="00451FE5" w:rsidP="00451FE5">
      <w:pPr>
        <w:pStyle w:val="AERbodytextnospaceleftalign"/>
        <w:rPr>
          <w:rStyle w:val="AERbody"/>
        </w:rPr>
      </w:pPr>
      <w:r w:rsidRPr="00937161">
        <w:rPr>
          <w:rStyle w:val="AERbody"/>
        </w:rPr>
        <w:t>Australian Energy Regulator</w:t>
      </w:r>
    </w:p>
    <w:p w:rsidR="00451FE5" w:rsidRPr="00937161" w:rsidRDefault="00451FE5" w:rsidP="00451FE5">
      <w:pPr>
        <w:pStyle w:val="AERbodytextnospaceleftalign"/>
        <w:rPr>
          <w:rStyle w:val="AERbody"/>
        </w:rPr>
      </w:pPr>
      <w:r w:rsidRPr="00937161">
        <w:rPr>
          <w:rStyle w:val="AERbody"/>
        </w:rPr>
        <w:t>GPO Box 520</w:t>
      </w:r>
    </w:p>
    <w:p w:rsidR="00451FE5" w:rsidRPr="00937161" w:rsidRDefault="00451FE5" w:rsidP="00451FE5">
      <w:pPr>
        <w:pStyle w:val="AERbodytextnospaceleftalign"/>
        <w:rPr>
          <w:rStyle w:val="AERbody"/>
        </w:rPr>
      </w:pPr>
      <w:r w:rsidRPr="00937161">
        <w:rPr>
          <w:rStyle w:val="AERbody"/>
        </w:rPr>
        <w:t>Melbourne Vic 3001</w:t>
      </w:r>
    </w:p>
    <w:p w:rsidR="00451FE5" w:rsidRPr="00937161" w:rsidRDefault="00451FE5" w:rsidP="00451FE5">
      <w:pPr>
        <w:pStyle w:val="AERbodytextnospaceleftalign"/>
        <w:rPr>
          <w:rStyle w:val="AERbody"/>
        </w:rPr>
      </w:pPr>
      <w:r w:rsidRPr="00937161">
        <w:rPr>
          <w:rStyle w:val="AERbody"/>
        </w:rPr>
        <w:t>Tel: (03) 9290 1444</w:t>
      </w:r>
    </w:p>
    <w:p w:rsidR="00451FE5" w:rsidRPr="00937161" w:rsidRDefault="00451FE5" w:rsidP="00451FE5">
      <w:pPr>
        <w:pStyle w:val="AERbodytextnospaceleftalign"/>
        <w:rPr>
          <w:rStyle w:val="AERbody"/>
        </w:rPr>
      </w:pPr>
      <w:r w:rsidRPr="00937161">
        <w:rPr>
          <w:rStyle w:val="AERbody"/>
        </w:rPr>
        <w:t>Fax: (03) 9290 1457</w:t>
      </w:r>
    </w:p>
    <w:p w:rsidR="00451FE5" w:rsidRPr="00937161" w:rsidRDefault="00451FE5" w:rsidP="00451FE5">
      <w:pPr>
        <w:pStyle w:val="AERbodytextnospaceleftalign"/>
        <w:rPr>
          <w:rStyle w:val="AERbody"/>
        </w:rPr>
      </w:pPr>
      <w:r w:rsidRPr="00937161">
        <w:rPr>
          <w:rStyle w:val="AERbody"/>
        </w:rPr>
        <w:t xml:space="preserve">Email: </w:t>
      </w:r>
      <w:hyperlink r:id="rId12" w:history="1">
        <w:r w:rsidRPr="00BF1A48">
          <w:rPr>
            <w:rStyle w:val="Hyperlink"/>
          </w:rPr>
          <w:t>AERInquiry@aer.gov.au</w:t>
        </w:r>
      </w:hyperlink>
    </w:p>
    <w:p w:rsidR="00EF0E19" w:rsidRPr="008F1A4A" w:rsidRDefault="00EF0E19" w:rsidP="00EF0E19"/>
    <w:p w:rsidR="00EF0E19" w:rsidRPr="00451FE5" w:rsidRDefault="00EF0E19" w:rsidP="00451FE5">
      <w:pPr>
        <w:pStyle w:val="AERbodytext"/>
      </w:pPr>
      <w:r w:rsidRPr="00451FE5">
        <w:t>AER reference</w:t>
      </w:r>
      <w:r w:rsidR="00451FE5" w:rsidRPr="00451FE5">
        <w:rPr>
          <w:rStyle w:val="AERtexthighlight"/>
          <w:shd w:val="clear" w:color="auto" w:fill="auto"/>
        </w:rPr>
        <w:t>:</w:t>
      </w:r>
      <w:r w:rsidR="00451FE5" w:rsidRPr="00451FE5">
        <w:rPr>
          <w:rStyle w:val="AERtexthighlight"/>
          <w:shd w:val="clear" w:color="auto" w:fill="auto"/>
        </w:rPr>
        <w:tab/>
      </w:r>
      <w:r w:rsidR="00117F90" w:rsidRPr="00451FE5">
        <w:rPr>
          <w:rStyle w:val="AERtexthighlight"/>
          <w:shd w:val="clear" w:color="auto" w:fill="auto"/>
        </w:rPr>
        <w:t>55444</w:t>
      </w:r>
    </w:p>
    <w:p w:rsidR="00EF0E19" w:rsidRPr="008F1A4A" w:rsidRDefault="00EF0E19" w:rsidP="00F97CD9">
      <w:pPr>
        <w:pStyle w:val="AERbodytextnospace"/>
        <w:rPr>
          <w:rStyle w:val="AERtextbold"/>
        </w:rPr>
      </w:pPr>
      <w:r w:rsidRPr="008F1A4A">
        <w:rPr>
          <w:rStyle w:val="AERtextbold"/>
        </w:rPr>
        <w:t xml:space="preserve">Amendment record </w:t>
      </w:r>
    </w:p>
    <w:tbl>
      <w:tblPr>
        <w:tblStyle w:val="AERtable-text"/>
        <w:tblW w:w="5000" w:type="pct"/>
        <w:tblLook w:val="01E0" w:firstRow="1" w:lastRow="1" w:firstColumn="1" w:lastColumn="1" w:noHBand="0" w:noVBand="0"/>
      </w:tblPr>
      <w:tblGrid>
        <w:gridCol w:w="2310"/>
        <w:gridCol w:w="2310"/>
        <w:gridCol w:w="2311"/>
        <w:gridCol w:w="2311"/>
      </w:tblGrid>
      <w:tr w:rsidR="000763A0" w:rsidTr="00717317">
        <w:trPr>
          <w:cnfStyle w:val="100000000000" w:firstRow="1" w:lastRow="0" w:firstColumn="0" w:lastColumn="0" w:oddVBand="0" w:evenVBand="0" w:oddHBand="0" w:evenHBand="0" w:firstRowFirstColumn="0" w:firstRowLastColumn="0" w:lastRowFirstColumn="0" w:lastRowLastColumn="0"/>
        </w:trPr>
        <w:tc>
          <w:tcPr>
            <w:tcW w:w="1250" w:type="pct"/>
          </w:tcPr>
          <w:p w:rsidR="000763A0" w:rsidRPr="00F97CD9" w:rsidRDefault="000763A0" w:rsidP="00415CEF">
            <w:pPr>
              <w:pStyle w:val="AERtabletextleft"/>
            </w:pPr>
            <w:r>
              <w:t>Handbook v</w:t>
            </w:r>
            <w:r w:rsidRPr="008F1A4A">
              <w:t>ersion</w:t>
            </w:r>
          </w:p>
        </w:tc>
        <w:tc>
          <w:tcPr>
            <w:tcW w:w="1250" w:type="pct"/>
          </w:tcPr>
          <w:p w:rsidR="000763A0" w:rsidRPr="008F1A4A" w:rsidRDefault="000763A0" w:rsidP="00F97CD9">
            <w:pPr>
              <w:pStyle w:val="AERtabletextleft"/>
            </w:pPr>
            <w:r>
              <w:t>Model version</w:t>
            </w:r>
          </w:p>
        </w:tc>
        <w:tc>
          <w:tcPr>
            <w:tcW w:w="1250" w:type="pct"/>
          </w:tcPr>
          <w:p w:rsidR="000763A0" w:rsidRPr="00F97CD9" w:rsidRDefault="000763A0" w:rsidP="00F97CD9">
            <w:pPr>
              <w:pStyle w:val="AERtabletextleft"/>
            </w:pPr>
            <w:r w:rsidRPr="008F1A4A">
              <w:t>Date</w:t>
            </w:r>
          </w:p>
        </w:tc>
        <w:tc>
          <w:tcPr>
            <w:tcW w:w="1250" w:type="pct"/>
          </w:tcPr>
          <w:p w:rsidR="000763A0" w:rsidRPr="00F97CD9" w:rsidRDefault="000763A0" w:rsidP="00F97CD9">
            <w:pPr>
              <w:pStyle w:val="AERtabletextleft"/>
            </w:pPr>
            <w:r w:rsidRPr="008F1A4A">
              <w:t>Pages</w:t>
            </w:r>
          </w:p>
        </w:tc>
      </w:tr>
      <w:tr w:rsidR="000763A0" w:rsidTr="00717317">
        <w:tc>
          <w:tcPr>
            <w:tcW w:w="1250" w:type="pct"/>
          </w:tcPr>
          <w:p w:rsidR="000763A0" w:rsidRDefault="000763A0" w:rsidP="00117F90">
            <w:pPr>
              <w:pStyle w:val="AERtabletextleft"/>
            </w:pPr>
            <w:r>
              <w:t>1</w:t>
            </w:r>
          </w:p>
        </w:tc>
        <w:tc>
          <w:tcPr>
            <w:tcW w:w="1250" w:type="pct"/>
          </w:tcPr>
          <w:p w:rsidR="000763A0" w:rsidRDefault="000763A0" w:rsidP="00117F90">
            <w:pPr>
              <w:pStyle w:val="AERtabletextleft"/>
            </w:pPr>
            <w:r>
              <w:t>1</w:t>
            </w:r>
          </w:p>
        </w:tc>
        <w:tc>
          <w:tcPr>
            <w:tcW w:w="1250" w:type="pct"/>
          </w:tcPr>
          <w:p w:rsidR="000763A0" w:rsidRDefault="000763A0" w:rsidP="00117F90">
            <w:pPr>
              <w:pStyle w:val="AERtabletextleft"/>
            </w:pPr>
            <w:r>
              <w:t>September 2007</w:t>
            </w:r>
          </w:p>
        </w:tc>
        <w:tc>
          <w:tcPr>
            <w:tcW w:w="1250" w:type="pct"/>
          </w:tcPr>
          <w:p w:rsidR="000763A0" w:rsidRDefault="000763A0" w:rsidP="00117F90">
            <w:pPr>
              <w:pStyle w:val="AERtabletextleft"/>
            </w:pPr>
            <w:r>
              <w:t>24</w:t>
            </w:r>
          </w:p>
        </w:tc>
      </w:tr>
      <w:tr w:rsidR="000763A0" w:rsidTr="00717317">
        <w:trPr>
          <w:cnfStyle w:val="000000010000" w:firstRow="0" w:lastRow="0" w:firstColumn="0" w:lastColumn="0" w:oddVBand="0" w:evenVBand="0" w:oddHBand="0" w:evenHBand="1" w:firstRowFirstColumn="0" w:firstRowLastColumn="0" w:lastRowFirstColumn="0" w:lastRowLastColumn="0"/>
        </w:trPr>
        <w:tc>
          <w:tcPr>
            <w:tcW w:w="1250" w:type="pct"/>
          </w:tcPr>
          <w:p w:rsidR="000763A0" w:rsidRDefault="000763A0" w:rsidP="00117F90">
            <w:pPr>
              <w:pStyle w:val="AERtabletextleft"/>
            </w:pPr>
            <w:r>
              <w:t>2</w:t>
            </w:r>
          </w:p>
        </w:tc>
        <w:tc>
          <w:tcPr>
            <w:tcW w:w="1250" w:type="pct"/>
          </w:tcPr>
          <w:p w:rsidR="000763A0" w:rsidRDefault="000763A0" w:rsidP="00117F90">
            <w:pPr>
              <w:pStyle w:val="AERtabletextleft"/>
            </w:pPr>
            <w:r>
              <w:t>2</w:t>
            </w:r>
          </w:p>
        </w:tc>
        <w:tc>
          <w:tcPr>
            <w:tcW w:w="1250" w:type="pct"/>
          </w:tcPr>
          <w:p w:rsidR="000763A0" w:rsidRDefault="000763A0" w:rsidP="00117F90">
            <w:pPr>
              <w:pStyle w:val="AERtabletextleft"/>
            </w:pPr>
            <w:r>
              <w:t>December 2010</w:t>
            </w:r>
          </w:p>
        </w:tc>
        <w:tc>
          <w:tcPr>
            <w:tcW w:w="1250" w:type="pct"/>
          </w:tcPr>
          <w:p w:rsidR="000763A0" w:rsidRDefault="000763A0" w:rsidP="00117F90">
            <w:pPr>
              <w:pStyle w:val="AERtabletextleft"/>
            </w:pPr>
            <w:r>
              <w:t>29</w:t>
            </w:r>
          </w:p>
        </w:tc>
      </w:tr>
      <w:tr w:rsidR="000763A0" w:rsidTr="00717317">
        <w:tc>
          <w:tcPr>
            <w:tcW w:w="1250" w:type="pct"/>
          </w:tcPr>
          <w:p w:rsidR="000763A0" w:rsidRDefault="000763A0" w:rsidP="00117F90">
            <w:pPr>
              <w:pStyle w:val="AERtabletextleft"/>
            </w:pPr>
            <w:r>
              <w:t>3</w:t>
            </w:r>
          </w:p>
        </w:tc>
        <w:tc>
          <w:tcPr>
            <w:tcW w:w="1250" w:type="pct"/>
          </w:tcPr>
          <w:p w:rsidR="000763A0" w:rsidRDefault="000763A0" w:rsidP="00117F90">
            <w:pPr>
              <w:pStyle w:val="AERtabletextleft"/>
            </w:pPr>
            <w:r>
              <w:t>3</w:t>
            </w:r>
          </w:p>
        </w:tc>
        <w:tc>
          <w:tcPr>
            <w:tcW w:w="1250" w:type="pct"/>
          </w:tcPr>
          <w:p w:rsidR="000763A0" w:rsidRDefault="000763A0" w:rsidP="00117F90">
            <w:pPr>
              <w:pStyle w:val="AERtabletextleft"/>
            </w:pPr>
            <w:r>
              <w:t>October 2014</w:t>
            </w:r>
            <w:r w:rsidR="00451FE5">
              <w:t xml:space="preserve"> (draft)</w:t>
            </w:r>
          </w:p>
        </w:tc>
        <w:tc>
          <w:tcPr>
            <w:tcW w:w="1250" w:type="pct"/>
          </w:tcPr>
          <w:p w:rsidR="000763A0" w:rsidRPr="00451FE5" w:rsidRDefault="00451FE5" w:rsidP="00451FE5">
            <w:pPr>
              <w:pStyle w:val="AERtabletextleft"/>
              <w:rPr>
                <w:rStyle w:val="AERtexthighlight"/>
                <w:shd w:val="clear" w:color="auto" w:fill="auto"/>
              </w:rPr>
            </w:pPr>
            <w:r w:rsidRPr="00451FE5">
              <w:rPr>
                <w:rStyle w:val="AERtexthighlight"/>
                <w:shd w:val="clear" w:color="auto" w:fill="auto"/>
              </w:rPr>
              <w:t>30</w:t>
            </w:r>
          </w:p>
        </w:tc>
      </w:tr>
    </w:tbl>
    <w:p w:rsidR="003324F7" w:rsidRDefault="003324F7"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UnnumberedHeading"/>
      </w:pPr>
      <w:bookmarkStart w:id="0" w:name="_Toc400092679"/>
      <w:r>
        <w:lastRenderedPageBreak/>
        <w:t>Contents</w:t>
      </w:r>
      <w:bookmarkEnd w:id="0"/>
    </w:p>
    <w:sdt>
      <w:sdtPr>
        <w:rPr>
          <w:rFonts w:ascii="Gautami" w:eastAsia="Calibri" w:hAnsi="Gautami"/>
          <w:b w:val="0"/>
          <w:bCs w:val="0"/>
          <w:color w:val="auto"/>
          <w:sz w:val="20"/>
          <w:szCs w:val="20"/>
          <w:lang w:val="en-AU"/>
        </w:rPr>
        <w:id w:val="1247461416"/>
        <w:docPartObj>
          <w:docPartGallery w:val="Table of Contents"/>
          <w:docPartUnique/>
        </w:docPartObj>
      </w:sdtPr>
      <w:sdtEndPr/>
      <w:sdtContent>
        <w:p w:rsidR="00F0258A" w:rsidRPr="00F0258A" w:rsidRDefault="00F0258A">
          <w:pPr>
            <w:pStyle w:val="TOCHeading"/>
          </w:pPr>
        </w:p>
        <w:p w:rsidR="00D968BF" w:rsidRDefault="00F0258A">
          <w:pPr>
            <w:pStyle w:val="TOC1"/>
            <w:tabs>
              <w:tab w:val="right" w:leader="dot" w:pos="9016"/>
            </w:tabs>
            <w:rPr>
              <w:rFonts w:asciiTheme="minorHAnsi" w:eastAsiaTheme="minorEastAsia" w:hAnsiTheme="minorHAnsi" w:cstheme="minorBidi"/>
              <w:b w:val="0"/>
              <w:bCs w:val="0"/>
              <w:noProof/>
              <w:sz w:val="22"/>
              <w:szCs w:val="22"/>
              <w:lang w:eastAsia="en-AU"/>
            </w:rPr>
          </w:pPr>
          <w:r w:rsidRPr="00F0258A">
            <w:fldChar w:fldCharType="begin"/>
          </w:r>
          <w:r w:rsidRPr="00F0258A">
            <w:instrText xml:space="preserve"> TOC \o "1-3" \h \z \u </w:instrText>
          </w:r>
          <w:r w:rsidRPr="00F0258A">
            <w:fldChar w:fldCharType="separate"/>
          </w:r>
          <w:hyperlink w:anchor="_Toc400092679" w:history="1">
            <w:r w:rsidR="00D968BF" w:rsidRPr="005128E6">
              <w:rPr>
                <w:rStyle w:val="Hyperlink"/>
                <w:noProof/>
              </w:rPr>
              <w:t>Contents</w:t>
            </w:r>
            <w:r w:rsidR="00D968BF">
              <w:rPr>
                <w:noProof/>
                <w:webHidden/>
              </w:rPr>
              <w:tab/>
            </w:r>
            <w:r w:rsidR="00D968BF">
              <w:rPr>
                <w:noProof/>
                <w:webHidden/>
              </w:rPr>
              <w:fldChar w:fldCharType="begin"/>
            </w:r>
            <w:r w:rsidR="00D968BF">
              <w:rPr>
                <w:noProof/>
                <w:webHidden/>
              </w:rPr>
              <w:instrText xml:space="preserve"> PAGEREF _Toc400092679 \h </w:instrText>
            </w:r>
            <w:r w:rsidR="00D968BF">
              <w:rPr>
                <w:noProof/>
                <w:webHidden/>
              </w:rPr>
            </w:r>
            <w:r w:rsidR="00D968BF">
              <w:rPr>
                <w:noProof/>
                <w:webHidden/>
              </w:rPr>
              <w:fldChar w:fldCharType="separate"/>
            </w:r>
            <w:r w:rsidR="00D968BF">
              <w:rPr>
                <w:noProof/>
                <w:webHidden/>
              </w:rPr>
              <w:t>3</w:t>
            </w:r>
            <w:r w:rsidR="00D968BF">
              <w:rPr>
                <w:noProof/>
                <w:webHidden/>
              </w:rPr>
              <w:fldChar w:fldCharType="end"/>
            </w:r>
          </w:hyperlink>
        </w:p>
        <w:p w:rsidR="00D968BF" w:rsidRDefault="00CC1ED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0092680" w:history="1">
            <w:r w:rsidR="00D968BF" w:rsidRPr="005128E6">
              <w:rPr>
                <w:rStyle w:val="Hyperlink"/>
                <w:noProof/>
              </w:rPr>
              <w:t>Shortened forms</w:t>
            </w:r>
            <w:r w:rsidR="00D968BF">
              <w:rPr>
                <w:noProof/>
                <w:webHidden/>
              </w:rPr>
              <w:tab/>
            </w:r>
            <w:r w:rsidR="00D968BF">
              <w:rPr>
                <w:noProof/>
                <w:webHidden/>
              </w:rPr>
              <w:fldChar w:fldCharType="begin"/>
            </w:r>
            <w:r w:rsidR="00D968BF">
              <w:rPr>
                <w:noProof/>
                <w:webHidden/>
              </w:rPr>
              <w:instrText xml:space="preserve"> PAGEREF _Toc400092680 \h </w:instrText>
            </w:r>
            <w:r w:rsidR="00D968BF">
              <w:rPr>
                <w:noProof/>
                <w:webHidden/>
              </w:rPr>
            </w:r>
            <w:r w:rsidR="00D968BF">
              <w:rPr>
                <w:noProof/>
                <w:webHidden/>
              </w:rPr>
              <w:fldChar w:fldCharType="separate"/>
            </w:r>
            <w:r w:rsidR="00D968BF">
              <w:rPr>
                <w:noProof/>
                <w:webHidden/>
              </w:rPr>
              <w:t>5</w:t>
            </w:r>
            <w:r w:rsidR="00D968BF">
              <w:rPr>
                <w:noProof/>
                <w:webHidden/>
              </w:rPr>
              <w:fldChar w:fldCharType="end"/>
            </w:r>
          </w:hyperlink>
        </w:p>
        <w:p w:rsidR="00D968BF" w:rsidRDefault="00CC1ED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0092681" w:history="1">
            <w:r w:rsidR="00D968BF" w:rsidRPr="005128E6">
              <w:rPr>
                <w:rStyle w:val="Hyperlink"/>
                <w:noProof/>
              </w:rPr>
              <w:t>1</w:t>
            </w:r>
            <w:r w:rsidR="00D968BF">
              <w:rPr>
                <w:rFonts w:asciiTheme="minorHAnsi" w:eastAsiaTheme="minorEastAsia" w:hAnsiTheme="minorHAnsi" w:cstheme="minorBidi"/>
                <w:b w:val="0"/>
                <w:bCs w:val="0"/>
                <w:noProof/>
                <w:sz w:val="22"/>
                <w:szCs w:val="22"/>
                <w:lang w:eastAsia="en-AU"/>
              </w:rPr>
              <w:tab/>
            </w:r>
            <w:r w:rsidR="00D968BF" w:rsidRPr="005128E6">
              <w:rPr>
                <w:rStyle w:val="Hyperlink"/>
                <w:noProof/>
              </w:rPr>
              <w:t>Nature and Authority</w:t>
            </w:r>
            <w:r w:rsidR="00D968BF">
              <w:rPr>
                <w:noProof/>
                <w:webHidden/>
              </w:rPr>
              <w:tab/>
            </w:r>
            <w:r w:rsidR="00D968BF">
              <w:rPr>
                <w:noProof/>
                <w:webHidden/>
              </w:rPr>
              <w:fldChar w:fldCharType="begin"/>
            </w:r>
            <w:r w:rsidR="00D968BF">
              <w:rPr>
                <w:noProof/>
                <w:webHidden/>
              </w:rPr>
              <w:instrText xml:space="preserve"> PAGEREF _Toc400092681 \h </w:instrText>
            </w:r>
            <w:r w:rsidR="00D968BF">
              <w:rPr>
                <w:noProof/>
                <w:webHidden/>
              </w:rPr>
            </w:r>
            <w:r w:rsidR="00D968BF">
              <w:rPr>
                <w:noProof/>
                <w:webHidden/>
              </w:rPr>
              <w:fldChar w:fldCharType="separate"/>
            </w:r>
            <w:r w:rsidR="00D968BF">
              <w:rPr>
                <w:noProof/>
                <w:webHidden/>
              </w:rPr>
              <w:t>6</w:t>
            </w:r>
            <w:r w:rsidR="00D968BF">
              <w:rPr>
                <w:noProof/>
                <w:webHidden/>
              </w:rPr>
              <w:fldChar w:fldCharType="end"/>
            </w:r>
          </w:hyperlink>
        </w:p>
        <w:p w:rsidR="00D968BF" w:rsidRDefault="00CC1ED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2682" w:history="1">
            <w:r w:rsidR="00D968BF" w:rsidRPr="005128E6">
              <w:rPr>
                <w:rStyle w:val="Hyperlink"/>
                <w:noProof/>
              </w:rPr>
              <w:t>1.1</w:t>
            </w:r>
            <w:r w:rsidR="00D968BF">
              <w:rPr>
                <w:rFonts w:asciiTheme="minorHAnsi" w:eastAsiaTheme="minorEastAsia" w:hAnsiTheme="minorHAnsi" w:cstheme="minorBidi"/>
                <w:iCs w:val="0"/>
                <w:noProof/>
                <w:sz w:val="22"/>
                <w:szCs w:val="22"/>
                <w:lang w:eastAsia="en-AU"/>
              </w:rPr>
              <w:tab/>
            </w:r>
            <w:r w:rsidR="00D968BF" w:rsidRPr="005128E6">
              <w:rPr>
                <w:rStyle w:val="Hyperlink"/>
                <w:noProof/>
              </w:rPr>
              <w:t>Introduction</w:t>
            </w:r>
            <w:r w:rsidR="00D968BF">
              <w:rPr>
                <w:noProof/>
                <w:webHidden/>
              </w:rPr>
              <w:tab/>
            </w:r>
            <w:r w:rsidR="00D968BF">
              <w:rPr>
                <w:noProof/>
                <w:webHidden/>
              </w:rPr>
              <w:fldChar w:fldCharType="begin"/>
            </w:r>
            <w:r w:rsidR="00D968BF">
              <w:rPr>
                <w:noProof/>
                <w:webHidden/>
              </w:rPr>
              <w:instrText xml:space="preserve"> PAGEREF _Toc400092682 \h </w:instrText>
            </w:r>
            <w:r w:rsidR="00D968BF">
              <w:rPr>
                <w:noProof/>
                <w:webHidden/>
              </w:rPr>
            </w:r>
            <w:r w:rsidR="00D968BF">
              <w:rPr>
                <w:noProof/>
                <w:webHidden/>
              </w:rPr>
              <w:fldChar w:fldCharType="separate"/>
            </w:r>
            <w:r w:rsidR="00D968BF">
              <w:rPr>
                <w:noProof/>
                <w:webHidden/>
              </w:rPr>
              <w:t>6</w:t>
            </w:r>
            <w:r w:rsidR="00D968BF">
              <w:rPr>
                <w:noProof/>
                <w:webHidden/>
              </w:rPr>
              <w:fldChar w:fldCharType="end"/>
            </w:r>
          </w:hyperlink>
        </w:p>
        <w:p w:rsidR="00D968BF" w:rsidRDefault="00CC1ED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2683" w:history="1">
            <w:r w:rsidR="00D968BF" w:rsidRPr="005128E6">
              <w:rPr>
                <w:rStyle w:val="Hyperlink"/>
                <w:noProof/>
              </w:rPr>
              <w:t>1.2</w:t>
            </w:r>
            <w:r w:rsidR="00D968BF">
              <w:rPr>
                <w:rFonts w:asciiTheme="minorHAnsi" w:eastAsiaTheme="minorEastAsia" w:hAnsiTheme="minorHAnsi" w:cstheme="minorBidi"/>
                <w:iCs w:val="0"/>
                <w:noProof/>
                <w:sz w:val="22"/>
                <w:szCs w:val="22"/>
                <w:lang w:eastAsia="en-AU"/>
              </w:rPr>
              <w:tab/>
            </w:r>
            <w:r w:rsidR="00D968BF" w:rsidRPr="005128E6">
              <w:rPr>
                <w:rStyle w:val="Hyperlink"/>
                <w:noProof/>
              </w:rPr>
              <w:t>Authority</w:t>
            </w:r>
            <w:r w:rsidR="00D968BF">
              <w:rPr>
                <w:noProof/>
                <w:webHidden/>
              </w:rPr>
              <w:tab/>
            </w:r>
            <w:r w:rsidR="00D968BF">
              <w:rPr>
                <w:noProof/>
                <w:webHidden/>
              </w:rPr>
              <w:fldChar w:fldCharType="begin"/>
            </w:r>
            <w:r w:rsidR="00D968BF">
              <w:rPr>
                <w:noProof/>
                <w:webHidden/>
              </w:rPr>
              <w:instrText xml:space="preserve"> PAGEREF _Toc400092683 \h </w:instrText>
            </w:r>
            <w:r w:rsidR="00D968BF">
              <w:rPr>
                <w:noProof/>
                <w:webHidden/>
              </w:rPr>
            </w:r>
            <w:r w:rsidR="00D968BF">
              <w:rPr>
                <w:noProof/>
                <w:webHidden/>
              </w:rPr>
              <w:fldChar w:fldCharType="separate"/>
            </w:r>
            <w:r w:rsidR="00D968BF">
              <w:rPr>
                <w:noProof/>
                <w:webHidden/>
              </w:rPr>
              <w:t>6</w:t>
            </w:r>
            <w:r w:rsidR="00D968BF">
              <w:rPr>
                <w:noProof/>
                <w:webHidden/>
              </w:rPr>
              <w:fldChar w:fldCharType="end"/>
            </w:r>
          </w:hyperlink>
        </w:p>
        <w:p w:rsidR="00D968BF" w:rsidRDefault="00CC1ED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2684" w:history="1">
            <w:r w:rsidR="00D968BF" w:rsidRPr="005128E6">
              <w:rPr>
                <w:rStyle w:val="Hyperlink"/>
                <w:noProof/>
              </w:rPr>
              <w:t>1.3</w:t>
            </w:r>
            <w:r w:rsidR="00D968BF">
              <w:rPr>
                <w:rFonts w:asciiTheme="minorHAnsi" w:eastAsiaTheme="minorEastAsia" w:hAnsiTheme="minorHAnsi" w:cstheme="minorBidi"/>
                <w:iCs w:val="0"/>
                <w:noProof/>
                <w:sz w:val="22"/>
                <w:szCs w:val="22"/>
                <w:lang w:eastAsia="en-AU"/>
              </w:rPr>
              <w:tab/>
            </w:r>
            <w:r w:rsidR="00D968BF" w:rsidRPr="005128E6">
              <w:rPr>
                <w:rStyle w:val="Hyperlink"/>
                <w:noProof/>
              </w:rPr>
              <w:t>Role of the Model</w:t>
            </w:r>
            <w:r w:rsidR="00D968BF">
              <w:rPr>
                <w:noProof/>
                <w:webHidden/>
              </w:rPr>
              <w:tab/>
            </w:r>
            <w:r w:rsidR="00D968BF">
              <w:rPr>
                <w:noProof/>
                <w:webHidden/>
              </w:rPr>
              <w:fldChar w:fldCharType="begin"/>
            </w:r>
            <w:r w:rsidR="00D968BF">
              <w:rPr>
                <w:noProof/>
                <w:webHidden/>
              </w:rPr>
              <w:instrText xml:space="preserve"> PAGEREF _Toc400092684 \h </w:instrText>
            </w:r>
            <w:r w:rsidR="00D968BF">
              <w:rPr>
                <w:noProof/>
                <w:webHidden/>
              </w:rPr>
            </w:r>
            <w:r w:rsidR="00D968BF">
              <w:rPr>
                <w:noProof/>
                <w:webHidden/>
              </w:rPr>
              <w:fldChar w:fldCharType="separate"/>
            </w:r>
            <w:r w:rsidR="00D968BF">
              <w:rPr>
                <w:noProof/>
                <w:webHidden/>
              </w:rPr>
              <w:t>6</w:t>
            </w:r>
            <w:r w:rsidR="00D968BF">
              <w:rPr>
                <w:noProof/>
                <w:webHidden/>
              </w:rPr>
              <w:fldChar w:fldCharType="end"/>
            </w:r>
          </w:hyperlink>
        </w:p>
        <w:p w:rsidR="00D968BF" w:rsidRDefault="00CC1ED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2685" w:history="1">
            <w:r w:rsidR="00D968BF" w:rsidRPr="005128E6">
              <w:rPr>
                <w:rStyle w:val="Hyperlink"/>
                <w:noProof/>
              </w:rPr>
              <w:t>1.4</w:t>
            </w:r>
            <w:r w:rsidR="00D968BF">
              <w:rPr>
                <w:rFonts w:asciiTheme="minorHAnsi" w:eastAsiaTheme="minorEastAsia" w:hAnsiTheme="minorHAnsi" w:cstheme="minorBidi"/>
                <w:iCs w:val="0"/>
                <w:noProof/>
                <w:sz w:val="22"/>
                <w:szCs w:val="22"/>
                <w:lang w:eastAsia="en-AU"/>
              </w:rPr>
              <w:tab/>
            </w:r>
            <w:r w:rsidR="00D968BF" w:rsidRPr="005128E6">
              <w:rPr>
                <w:rStyle w:val="Hyperlink"/>
                <w:noProof/>
              </w:rPr>
              <w:t>Confidentiality</w:t>
            </w:r>
            <w:r w:rsidR="00D968BF">
              <w:rPr>
                <w:noProof/>
                <w:webHidden/>
              </w:rPr>
              <w:tab/>
            </w:r>
            <w:r w:rsidR="00D968BF">
              <w:rPr>
                <w:noProof/>
                <w:webHidden/>
              </w:rPr>
              <w:fldChar w:fldCharType="begin"/>
            </w:r>
            <w:r w:rsidR="00D968BF">
              <w:rPr>
                <w:noProof/>
                <w:webHidden/>
              </w:rPr>
              <w:instrText xml:space="preserve"> PAGEREF _Toc400092685 \h </w:instrText>
            </w:r>
            <w:r w:rsidR="00D968BF">
              <w:rPr>
                <w:noProof/>
                <w:webHidden/>
              </w:rPr>
            </w:r>
            <w:r w:rsidR="00D968BF">
              <w:rPr>
                <w:noProof/>
                <w:webHidden/>
              </w:rPr>
              <w:fldChar w:fldCharType="separate"/>
            </w:r>
            <w:r w:rsidR="00D968BF">
              <w:rPr>
                <w:noProof/>
                <w:webHidden/>
              </w:rPr>
              <w:t>6</w:t>
            </w:r>
            <w:r w:rsidR="00D968BF">
              <w:rPr>
                <w:noProof/>
                <w:webHidden/>
              </w:rPr>
              <w:fldChar w:fldCharType="end"/>
            </w:r>
          </w:hyperlink>
        </w:p>
        <w:p w:rsidR="00D968BF" w:rsidRDefault="00CC1ED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2686" w:history="1">
            <w:r w:rsidR="00D968BF" w:rsidRPr="005128E6">
              <w:rPr>
                <w:rStyle w:val="Hyperlink"/>
                <w:noProof/>
              </w:rPr>
              <w:t>1.5</w:t>
            </w:r>
            <w:r w:rsidR="00D968BF">
              <w:rPr>
                <w:rFonts w:asciiTheme="minorHAnsi" w:eastAsiaTheme="minorEastAsia" w:hAnsiTheme="minorHAnsi" w:cstheme="minorBidi"/>
                <w:iCs w:val="0"/>
                <w:noProof/>
                <w:sz w:val="22"/>
                <w:szCs w:val="22"/>
                <w:lang w:eastAsia="en-AU"/>
              </w:rPr>
              <w:tab/>
            </w:r>
            <w:r w:rsidR="00D968BF" w:rsidRPr="005128E6">
              <w:rPr>
                <w:rStyle w:val="Hyperlink"/>
                <w:noProof/>
              </w:rPr>
              <w:t>Process for revision</w:t>
            </w:r>
            <w:r w:rsidR="00D968BF">
              <w:rPr>
                <w:noProof/>
                <w:webHidden/>
              </w:rPr>
              <w:tab/>
            </w:r>
            <w:r w:rsidR="00D968BF">
              <w:rPr>
                <w:noProof/>
                <w:webHidden/>
              </w:rPr>
              <w:fldChar w:fldCharType="begin"/>
            </w:r>
            <w:r w:rsidR="00D968BF">
              <w:rPr>
                <w:noProof/>
                <w:webHidden/>
              </w:rPr>
              <w:instrText xml:space="preserve"> PAGEREF _Toc400092686 \h </w:instrText>
            </w:r>
            <w:r w:rsidR="00D968BF">
              <w:rPr>
                <w:noProof/>
                <w:webHidden/>
              </w:rPr>
            </w:r>
            <w:r w:rsidR="00D968BF">
              <w:rPr>
                <w:noProof/>
                <w:webHidden/>
              </w:rPr>
              <w:fldChar w:fldCharType="separate"/>
            </w:r>
            <w:r w:rsidR="00D968BF">
              <w:rPr>
                <w:noProof/>
                <w:webHidden/>
              </w:rPr>
              <w:t>6</w:t>
            </w:r>
            <w:r w:rsidR="00D968BF">
              <w:rPr>
                <w:noProof/>
                <w:webHidden/>
              </w:rPr>
              <w:fldChar w:fldCharType="end"/>
            </w:r>
          </w:hyperlink>
        </w:p>
        <w:p w:rsidR="00D968BF" w:rsidRDefault="00CC1ED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2687" w:history="1">
            <w:r w:rsidR="00D968BF" w:rsidRPr="005128E6">
              <w:rPr>
                <w:rStyle w:val="Hyperlink"/>
                <w:noProof/>
              </w:rPr>
              <w:t>1.6</w:t>
            </w:r>
            <w:r w:rsidR="00D968BF">
              <w:rPr>
                <w:rFonts w:asciiTheme="minorHAnsi" w:eastAsiaTheme="minorEastAsia" w:hAnsiTheme="minorHAnsi" w:cstheme="minorBidi"/>
                <w:iCs w:val="0"/>
                <w:noProof/>
                <w:sz w:val="22"/>
                <w:szCs w:val="22"/>
                <w:lang w:eastAsia="en-AU"/>
              </w:rPr>
              <w:tab/>
            </w:r>
            <w:r w:rsidR="00D968BF" w:rsidRPr="005128E6">
              <w:rPr>
                <w:rStyle w:val="Hyperlink"/>
                <w:noProof/>
              </w:rPr>
              <w:t>Version history and effective date</w:t>
            </w:r>
            <w:r w:rsidR="00D968BF">
              <w:rPr>
                <w:noProof/>
                <w:webHidden/>
              </w:rPr>
              <w:tab/>
            </w:r>
            <w:r w:rsidR="00D968BF">
              <w:rPr>
                <w:noProof/>
                <w:webHidden/>
              </w:rPr>
              <w:fldChar w:fldCharType="begin"/>
            </w:r>
            <w:r w:rsidR="00D968BF">
              <w:rPr>
                <w:noProof/>
                <w:webHidden/>
              </w:rPr>
              <w:instrText xml:space="preserve"> PAGEREF _Toc400092687 \h </w:instrText>
            </w:r>
            <w:r w:rsidR="00D968BF">
              <w:rPr>
                <w:noProof/>
                <w:webHidden/>
              </w:rPr>
            </w:r>
            <w:r w:rsidR="00D968BF">
              <w:rPr>
                <w:noProof/>
                <w:webHidden/>
              </w:rPr>
              <w:fldChar w:fldCharType="separate"/>
            </w:r>
            <w:r w:rsidR="00D968BF">
              <w:rPr>
                <w:noProof/>
                <w:webHidden/>
              </w:rPr>
              <w:t>6</w:t>
            </w:r>
            <w:r w:rsidR="00D968BF">
              <w:rPr>
                <w:noProof/>
                <w:webHidden/>
              </w:rPr>
              <w:fldChar w:fldCharType="end"/>
            </w:r>
          </w:hyperlink>
        </w:p>
        <w:p w:rsidR="00D968BF" w:rsidRDefault="00CC1ED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0092688" w:history="1">
            <w:r w:rsidR="00D968BF" w:rsidRPr="005128E6">
              <w:rPr>
                <w:rStyle w:val="Hyperlink"/>
                <w:noProof/>
              </w:rPr>
              <w:t>2</w:t>
            </w:r>
            <w:r w:rsidR="00D968BF">
              <w:rPr>
                <w:rFonts w:asciiTheme="minorHAnsi" w:eastAsiaTheme="minorEastAsia" w:hAnsiTheme="minorHAnsi" w:cstheme="minorBidi"/>
                <w:b w:val="0"/>
                <w:bCs w:val="0"/>
                <w:noProof/>
                <w:sz w:val="22"/>
                <w:szCs w:val="22"/>
                <w:lang w:eastAsia="en-AU"/>
              </w:rPr>
              <w:tab/>
            </w:r>
            <w:r w:rsidR="00D968BF" w:rsidRPr="005128E6">
              <w:rPr>
                <w:rStyle w:val="Hyperlink"/>
                <w:noProof/>
              </w:rPr>
              <w:t>The model</w:t>
            </w:r>
            <w:r w:rsidR="00D968BF">
              <w:rPr>
                <w:noProof/>
                <w:webHidden/>
              </w:rPr>
              <w:tab/>
            </w:r>
            <w:r w:rsidR="00D968BF">
              <w:rPr>
                <w:noProof/>
                <w:webHidden/>
              </w:rPr>
              <w:fldChar w:fldCharType="begin"/>
            </w:r>
            <w:r w:rsidR="00D968BF">
              <w:rPr>
                <w:noProof/>
                <w:webHidden/>
              </w:rPr>
              <w:instrText xml:space="preserve"> PAGEREF _Toc400092688 \h </w:instrText>
            </w:r>
            <w:r w:rsidR="00D968BF">
              <w:rPr>
                <w:noProof/>
                <w:webHidden/>
              </w:rPr>
            </w:r>
            <w:r w:rsidR="00D968BF">
              <w:rPr>
                <w:noProof/>
                <w:webHidden/>
              </w:rPr>
              <w:fldChar w:fldCharType="separate"/>
            </w:r>
            <w:r w:rsidR="00D968BF">
              <w:rPr>
                <w:noProof/>
                <w:webHidden/>
              </w:rPr>
              <w:t>7</w:t>
            </w:r>
            <w:r w:rsidR="00D968BF">
              <w:rPr>
                <w:noProof/>
                <w:webHidden/>
              </w:rPr>
              <w:fldChar w:fldCharType="end"/>
            </w:r>
          </w:hyperlink>
        </w:p>
        <w:p w:rsidR="00D968BF" w:rsidRDefault="00CC1ED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2689" w:history="1">
            <w:r w:rsidR="00D968BF" w:rsidRPr="005128E6">
              <w:rPr>
                <w:rStyle w:val="Hyperlink"/>
                <w:noProof/>
              </w:rPr>
              <w:t>2.1</w:t>
            </w:r>
            <w:r w:rsidR="00D968BF">
              <w:rPr>
                <w:rFonts w:asciiTheme="minorHAnsi" w:eastAsiaTheme="minorEastAsia" w:hAnsiTheme="minorHAnsi" w:cstheme="minorBidi"/>
                <w:iCs w:val="0"/>
                <w:noProof/>
                <w:sz w:val="22"/>
                <w:szCs w:val="22"/>
                <w:lang w:eastAsia="en-AU"/>
              </w:rPr>
              <w:tab/>
            </w:r>
            <w:r w:rsidR="00D968BF" w:rsidRPr="005128E6">
              <w:rPr>
                <w:rStyle w:val="Hyperlink"/>
                <w:noProof/>
              </w:rPr>
              <w:t>Input sheet</w:t>
            </w:r>
            <w:r w:rsidR="00D968BF">
              <w:rPr>
                <w:noProof/>
                <w:webHidden/>
              </w:rPr>
              <w:tab/>
            </w:r>
            <w:r w:rsidR="00D968BF">
              <w:rPr>
                <w:noProof/>
                <w:webHidden/>
              </w:rPr>
              <w:fldChar w:fldCharType="begin"/>
            </w:r>
            <w:r w:rsidR="00D968BF">
              <w:rPr>
                <w:noProof/>
                <w:webHidden/>
              </w:rPr>
              <w:instrText xml:space="preserve"> PAGEREF _Toc400092689 \h </w:instrText>
            </w:r>
            <w:r w:rsidR="00D968BF">
              <w:rPr>
                <w:noProof/>
                <w:webHidden/>
              </w:rPr>
            </w:r>
            <w:r w:rsidR="00D968BF">
              <w:rPr>
                <w:noProof/>
                <w:webHidden/>
              </w:rPr>
              <w:fldChar w:fldCharType="separate"/>
            </w:r>
            <w:r w:rsidR="00D968BF">
              <w:rPr>
                <w:noProof/>
                <w:webHidden/>
              </w:rPr>
              <w:t>7</w:t>
            </w:r>
            <w:r w:rsidR="00D968BF">
              <w:rPr>
                <w:noProof/>
                <w:webHidden/>
              </w:rPr>
              <w:fldChar w:fldCharType="end"/>
            </w:r>
          </w:hyperlink>
        </w:p>
        <w:p w:rsidR="00D968BF" w:rsidRDefault="00CC1ED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2690" w:history="1">
            <w:r w:rsidR="00D968BF" w:rsidRPr="005128E6">
              <w:rPr>
                <w:rStyle w:val="Hyperlink"/>
                <w:noProof/>
              </w:rPr>
              <w:t>2.1.1</w:t>
            </w:r>
            <w:r w:rsidR="00D968BF">
              <w:rPr>
                <w:rFonts w:asciiTheme="minorHAnsi" w:eastAsiaTheme="minorEastAsia" w:hAnsiTheme="minorHAnsi" w:cstheme="minorBidi"/>
                <w:noProof/>
                <w:sz w:val="22"/>
                <w:szCs w:val="22"/>
                <w:lang w:eastAsia="en-AU"/>
              </w:rPr>
              <w:tab/>
            </w:r>
            <w:r w:rsidR="00D968BF" w:rsidRPr="005128E6">
              <w:rPr>
                <w:rStyle w:val="Hyperlink"/>
                <w:noProof/>
              </w:rPr>
              <w:t>Opening regulatory asset base and opening tax base</w:t>
            </w:r>
            <w:r w:rsidR="00D968BF">
              <w:rPr>
                <w:noProof/>
                <w:webHidden/>
              </w:rPr>
              <w:tab/>
            </w:r>
            <w:r w:rsidR="00D968BF">
              <w:rPr>
                <w:noProof/>
                <w:webHidden/>
              </w:rPr>
              <w:fldChar w:fldCharType="begin"/>
            </w:r>
            <w:r w:rsidR="00D968BF">
              <w:rPr>
                <w:noProof/>
                <w:webHidden/>
              </w:rPr>
              <w:instrText xml:space="preserve"> PAGEREF _Toc400092690 \h </w:instrText>
            </w:r>
            <w:r w:rsidR="00D968BF">
              <w:rPr>
                <w:noProof/>
                <w:webHidden/>
              </w:rPr>
            </w:r>
            <w:r w:rsidR="00D968BF">
              <w:rPr>
                <w:noProof/>
                <w:webHidden/>
              </w:rPr>
              <w:fldChar w:fldCharType="separate"/>
            </w:r>
            <w:r w:rsidR="00D968BF">
              <w:rPr>
                <w:noProof/>
                <w:webHidden/>
              </w:rPr>
              <w:t>9</w:t>
            </w:r>
            <w:r w:rsidR="00D968BF">
              <w:rPr>
                <w:noProof/>
                <w:webHidden/>
              </w:rPr>
              <w:fldChar w:fldCharType="end"/>
            </w:r>
          </w:hyperlink>
        </w:p>
        <w:p w:rsidR="00D968BF" w:rsidRDefault="00CC1ED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2691" w:history="1">
            <w:r w:rsidR="00D968BF" w:rsidRPr="005128E6">
              <w:rPr>
                <w:rStyle w:val="Hyperlink"/>
                <w:noProof/>
              </w:rPr>
              <w:t>2.1.2</w:t>
            </w:r>
            <w:r w:rsidR="00D968BF">
              <w:rPr>
                <w:rFonts w:asciiTheme="minorHAnsi" w:eastAsiaTheme="minorEastAsia" w:hAnsiTheme="minorHAnsi" w:cstheme="minorBidi"/>
                <w:noProof/>
                <w:sz w:val="22"/>
                <w:szCs w:val="22"/>
                <w:lang w:eastAsia="en-AU"/>
              </w:rPr>
              <w:tab/>
            </w:r>
            <w:r w:rsidR="00D968BF" w:rsidRPr="005128E6">
              <w:rPr>
                <w:rStyle w:val="Hyperlink"/>
                <w:noProof/>
              </w:rPr>
              <w:t>Forecast real capital expenditure—as-incurred</w:t>
            </w:r>
            <w:r w:rsidR="00D968BF">
              <w:rPr>
                <w:noProof/>
                <w:webHidden/>
              </w:rPr>
              <w:tab/>
            </w:r>
            <w:r w:rsidR="00D968BF">
              <w:rPr>
                <w:noProof/>
                <w:webHidden/>
              </w:rPr>
              <w:fldChar w:fldCharType="begin"/>
            </w:r>
            <w:r w:rsidR="00D968BF">
              <w:rPr>
                <w:noProof/>
                <w:webHidden/>
              </w:rPr>
              <w:instrText xml:space="preserve"> PAGEREF _Toc400092691 \h </w:instrText>
            </w:r>
            <w:r w:rsidR="00D968BF">
              <w:rPr>
                <w:noProof/>
                <w:webHidden/>
              </w:rPr>
            </w:r>
            <w:r w:rsidR="00D968BF">
              <w:rPr>
                <w:noProof/>
                <w:webHidden/>
              </w:rPr>
              <w:fldChar w:fldCharType="separate"/>
            </w:r>
            <w:r w:rsidR="00D968BF">
              <w:rPr>
                <w:noProof/>
                <w:webHidden/>
              </w:rPr>
              <w:t>10</w:t>
            </w:r>
            <w:r w:rsidR="00D968BF">
              <w:rPr>
                <w:noProof/>
                <w:webHidden/>
              </w:rPr>
              <w:fldChar w:fldCharType="end"/>
            </w:r>
          </w:hyperlink>
        </w:p>
        <w:p w:rsidR="00D968BF" w:rsidRDefault="00CC1ED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2692" w:history="1">
            <w:r w:rsidR="00D968BF" w:rsidRPr="005128E6">
              <w:rPr>
                <w:rStyle w:val="Hyperlink"/>
                <w:noProof/>
              </w:rPr>
              <w:t>2.1.3</w:t>
            </w:r>
            <w:r w:rsidR="00D968BF">
              <w:rPr>
                <w:rFonts w:asciiTheme="minorHAnsi" w:eastAsiaTheme="minorEastAsia" w:hAnsiTheme="minorHAnsi" w:cstheme="minorBidi"/>
                <w:noProof/>
                <w:sz w:val="22"/>
                <w:szCs w:val="22"/>
                <w:lang w:eastAsia="en-AU"/>
              </w:rPr>
              <w:tab/>
            </w:r>
            <w:r w:rsidR="00D968BF" w:rsidRPr="005128E6">
              <w:rPr>
                <w:rStyle w:val="Hyperlink"/>
                <w:noProof/>
              </w:rPr>
              <w:t>Forecast real asset disposals—as-incurred</w:t>
            </w:r>
            <w:r w:rsidR="00D968BF">
              <w:rPr>
                <w:noProof/>
                <w:webHidden/>
              </w:rPr>
              <w:tab/>
            </w:r>
            <w:r w:rsidR="00D968BF">
              <w:rPr>
                <w:noProof/>
                <w:webHidden/>
              </w:rPr>
              <w:fldChar w:fldCharType="begin"/>
            </w:r>
            <w:r w:rsidR="00D968BF">
              <w:rPr>
                <w:noProof/>
                <w:webHidden/>
              </w:rPr>
              <w:instrText xml:space="preserve"> PAGEREF _Toc400092692 \h </w:instrText>
            </w:r>
            <w:r w:rsidR="00D968BF">
              <w:rPr>
                <w:noProof/>
                <w:webHidden/>
              </w:rPr>
            </w:r>
            <w:r w:rsidR="00D968BF">
              <w:rPr>
                <w:noProof/>
                <w:webHidden/>
              </w:rPr>
              <w:fldChar w:fldCharType="separate"/>
            </w:r>
            <w:r w:rsidR="00D968BF">
              <w:rPr>
                <w:noProof/>
                <w:webHidden/>
              </w:rPr>
              <w:t>10</w:t>
            </w:r>
            <w:r w:rsidR="00D968BF">
              <w:rPr>
                <w:noProof/>
                <w:webHidden/>
              </w:rPr>
              <w:fldChar w:fldCharType="end"/>
            </w:r>
          </w:hyperlink>
        </w:p>
        <w:p w:rsidR="00D968BF" w:rsidRDefault="00CC1ED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2693" w:history="1">
            <w:r w:rsidR="00D968BF" w:rsidRPr="005128E6">
              <w:rPr>
                <w:rStyle w:val="Hyperlink"/>
                <w:noProof/>
              </w:rPr>
              <w:t>2.1.4</w:t>
            </w:r>
            <w:r w:rsidR="00D968BF">
              <w:rPr>
                <w:rFonts w:asciiTheme="minorHAnsi" w:eastAsiaTheme="minorEastAsia" w:hAnsiTheme="minorHAnsi" w:cstheme="minorBidi"/>
                <w:noProof/>
                <w:sz w:val="22"/>
                <w:szCs w:val="22"/>
                <w:lang w:eastAsia="en-AU"/>
              </w:rPr>
              <w:tab/>
            </w:r>
            <w:r w:rsidR="00D968BF" w:rsidRPr="005128E6">
              <w:rPr>
                <w:rStyle w:val="Hyperlink"/>
                <w:noProof/>
              </w:rPr>
              <w:t>Forecast real net capital expenditure—as-incurred</w:t>
            </w:r>
            <w:r w:rsidR="00D968BF">
              <w:rPr>
                <w:noProof/>
                <w:webHidden/>
              </w:rPr>
              <w:tab/>
            </w:r>
            <w:r w:rsidR="00D968BF">
              <w:rPr>
                <w:noProof/>
                <w:webHidden/>
              </w:rPr>
              <w:fldChar w:fldCharType="begin"/>
            </w:r>
            <w:r w:rsidR="00D968BF">
              <w:rPr>
                <w:noProof/>
                <w:webHidden/>
              </w:rPr>
              <w:instrText xml:space="preserve"> PAGEREF _Toc400092693 \h </w:instrText>
            </w:r>
            <w:r w:rsidR="00D968BF">
              <w:rPr>
                <w:noProof/>
                <w:webHidden/>
              </w:rPr>
            </w:r>
            <w:r w:rsidR="00D968BF">
              <w:rPr>
                <w:noProof/>
                <w:webHidden/>
              </w:rPr>
              <w:fldChar w:fldCharType="separate"/>
            </w:r>
            <w:r w:rsidR="00D968BF">
              <w:rPr>
                <w:noProof/>
                <w:webHidden/>
              </w:rPr>
              <w:t>10</w:t>
            </w:r>
            <w:r w:rsidR="00D968BF">
              <w:rPr>
                <w:noProof/>
                <w:webHidden/>
              </w:rPr>
              <w:fldChar w:fldCharType="end"/>
            </w:r>
          </w:hyperlink>
        </w:p>
        <w:p w:rsidR="00D968BF" w:rsidRDefault="00CC1ED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2694" w:history="1">
            <w:r w:rsidR="00D968BF" w:rsidRPr="005128E6">
              <w:rPr>
                <w:rStyle w:val="Hyperlink"/>
                <w:noProof/>
              </w:rPr>
              <w:t>2.1.5</w:t>
            </w:r>
            <w:r w:rsidR="00D968BF">
              <w:rPr>
                <w:rFonts w:asciiTheme="minorHAnsi" w:eastAsiaTheme="minorEastAsia" w:hAnsiTheme="minorHAnsi" w:cstheme="minorBidi"/>
                <w:noProof/>
                <w:sz w:val="22"/>
                <w:szCs w:val="22"/>
                <w:lang w:eastAsia="en-AU"/>
              </w:rPr>
              <w:tab/>
            </w:r>
            <w:r w:rsidR="00D968BF" w:rsidRPr="005128E6">
              <w:rPr>
                <w:rStyle w:val="Hyperlink"/>
                <w:noProof/>
              </w:rPr>
              <w:t>Forecast real capital expenditure—as-commissioned</w:t>
            </w:r>
            <w:r w:rsidR="00D968BF">
              <w:rPr>
                <w:noProof/>
                <w:webHidden/>
              </w:rPr>
              <w:tab/>
            </w:r>
            <w:r w:rsidR="00D968BF">
              <w:rPr>
                <w:noProof/>
                <w:webHidden/>
              </w:rPr>
              <w:fldChar w:fldCharType="begin"/>
            </w:r>
            <w:r w:rsidR="00D968BF">
              <w:rPr>
                <w:noProof/>
                <w:webHidden/>
              </w:rPr>
              <w:instrText xml:space="preserve"> PAGEREF _Toc400092694 \h </w:instrText>
            </w:r>
            <w:r w:rsidR="00D968BF">
              <w:rPr>
                <w:noProof/>
                <w:webHidden/>
              </w:rPr>
            </w:r>
            <w:r w:rsidR="00D968BF">
              <w:rPr>
                <w:noProof/>
                <w:webHidden/>
              </w:rPr>
              <w:fldChar w:fldCharType="separate"/>
            </w:r>
            <w:r w:rsidR="00D968BF">
              <w:rPr>
                <w:noProof/>
                <w:webHidden/>
              </w:rPr>
              <w:t>11</w:t>
            </w:r>
            <w:r w:rsidR="00D968BF">
              <w:rPr>
                <w:noProof/>
                <w:webHidden/>
              </w:rPr>
              <w:fldChar w:fldCharType="end"/>
            </w:r>
          </w:hyperlink>
        </w:p>
        <w:p w:rsidR="00D968BF" w:rsidRDefault="00CC1ED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2695" w:history="1">
            <w:r w:rsidR="00D968BF" w:rsidRPr="005128E6">
              <w:rPr>
                <w:rStyle w:val="Hyperlink"/>
                <w:noProof/>
              </w:rPr>
              <w:t>2.1.6</w:t>
            </w:r>
            <w:r w:rsidR="00D968BF">
              <w:rPr>
                <w:rFonts w:asciiTheme="minorHAnsi" w:eastAsiaTheme="minorEastAsia" w:hAnsiTheme="minorHAnsi" w:cstheme="minorBidi"/>
                <w:noProof/>
                <w:sz w:val="22"/>
                <w:szCs w:val="22"/>
                <w:lang w:eastAsia="en-AU"/>
              </w:rPr>
              <w:tab/>
            </w:r>
            <w:r w:rsidR="00D968BF" w:rsidRPr="005128E6">
              <w:rPr>
                <w:rStyle w:val="Hyperlink"/>
                <w:noProof/>
              </w:rPr>
              <w:t>Forecast real asset disposals—as de-commissioned</w:t>
            </w:r>
            <w:r w:rsidR="00D968BF">
              <w:rPr>
                <w:noProof/>
                <w:webHidden/>
              </w:rPr>
              <w:tab/>
            </w:r>
            <w:r w:rsidR="00D968BF">
              <w:rPr>
                <w:noProof/>
                <w:webHidden/>
              </w:rPr>
              <w:fldChar w:fldCharType="begin"/>
            </w:r>
            <w:r w:rsidR="00D968BF">
              <w:rPr>
                <w:noProof/>
                <w:webHidden/>
              </w:rPr>
              <w:instrText xml:space="preserve"> PAGEREF _Toc400092695 \h </w:instrText>
            </w:r>
            <w:r w:rsidR="00D968BF">
              <w:rPr>
                <w:noProof/>
                <w:webHidden/>
              </w:rPr>
            </w:r>
            <w:r w:rsidR="00D968BF">
              <w:rPr>
                <w:noProof/>
                <w:webHidden/>
              </w:rPr>
              <w:fldChar w:fldCharType="separate"/>
            </w:r>
            <w:r w:rsidR="00D968BF">
              <w:rPr>
                <w:noProof/>
                <w:webHidden/>
              </w:rPr>
              <w:t>11</w:t>
            </w:r>
            <w:r w:rsidR="00D968BF">
              <w:rPr>
                <w:noProof/>
                <w:webHidden/>
              </w:rPr>
              <w:fldChar w:fldCharType="end"/>
            </w:r>
          </w:hyperlink>
        </w:p>
        <w:p w:rsidR="00D968BF" w:rsidRDefault="00CC1ED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2696" w:history="1">
            <w:r w:rsidR="00D968BF" w:rsidRPr="005128E6">
              <w:rPr>
                <w:rStyle w:val="Hyperlink"/>
                <w:noProof/>
              </w:rPr>
              <w:t>2.1.7</w:t>
            </w:r>
            <w:r w:rsidR="00D968BF">
              <w:rPr>
                <w:rFonts w:asciiTheme="minorHAnsi" w:eastAsiaTheme="minorEastAsia" w:hAnsiTheme="minorHAnsi" w:cstheme="minorBidi"/>
                <w:noProof/>
                <w:sz w:val="22"/>
                <w:szCs w:val="22"/>
                <w:lang w:eastAsia="en-AU"/>
              </w:rPr>
              <w:tab/>
            </w:r>
            <w:r w:rsidR="00D968BF" w:rsidRPr="005128E6">
              <w:rPr>
                <w:rStyle w:val="Hyperlink"/>
                <w:noProof/>
              </w:rPr>
              <w:t>Forecast real net capital expenditure—as-commissioned</w:t>
            </w:r>
            <w:r w:rsidR="00D968BF">
              <w:rPr>
                <w:noProof/>
                <w:webHidden/>
              </w:rPr>
              <w:tab/>
            </w:r>
            <w:r w:rsidR="00D968BF">
              <w:rPr>
                <w:noProof/>
                <w:webHidden/>
              </w:rPr>
              <w:fldChar w:fldCharType="begin"/>
            </w:r>
            <w:r w:rsidR="00D968BF">
              <w:rPr>
                <w:noProof/>
                <w:webHidden/>
              </w:rPr>
              <w:instrText xml:space="preserve"> PAGEREF _Toc400092696 \h </w:instrText>
            </w:r>
            <w:r w:rsidR="00D968BF">
              <w:rPr>
                <w:noProof/>
                <w:webHidden/>
              </w:rPr>
            </w:r>
            <w:r w:rsidR="00D968BF">
              <w:rPr>
                <w:noProof/>
                <w:webHidden/>
              </w:rPr>
              <w:fldChar w:fldCharType="separate"/>
            </w:r>
            <w:r w:rsidR="00D968BF">
              <w:rPr>
                <w:noProof/>
                <w:webHidden/>
              </w:rPr>
              <w:t>11</w:t>
            </w:r>
            <w:r w:rsidR="00D968BF">
              <w:rPr>
                <w:noProof/>
                <w:webHidden/>
              </w:rPr>
              <w:fldChar w:fldCharType="end"/>
            </w:r>
          </w:hyperlink>
        </w:p>
        <w:p w:rsidR="00D968BF" w:rsidRDefault="00CC1ED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2697" w:history="1">
            <w:r w:rsidR="00D968BF" w:rsidRPr="005128E6">
              <w:rPr>
                <w:rStyle w:val="Hyperlink"/>
                <w:noProof/>
              </w:rPr>
              <w:t>2.1.8</w:t>
            </w:r>
            <w:r w:rsidR="00D968BF">
              <w:rPr>
                <w:rFonts w:asciiTheme="minorHAnsi" w:eastAsiaTheme="minorEastAsia" w:hAnsiTheme="minorHAnsi" w:cstheme="minorBidi"/>
                <w:noProof/>
                <w:sz w:val="22"/>
                <w:szCs w:val="22"/>
                <w:lang w:eastAsia="en-AU"/>
              </w:rPr>
              <w:tab/>
            </w:r>
            <w:r w:rsidR="00D968BF" w:rsidRPr="005128E6">
              <w:rPr>
                <w:rStyle w:val="Hyperlink"/>
                <w:noProof/>
              </w:rPr>
              <w:t>Forecast real operating expenditure</w:t>
            </w:r>
            <w:r w:rsidR="00D968BF">
              <w:rPr>
                <w:noProof/>
                <w:webHidden/>
              </w:rPr>
              <w:tab/>
            </w:r>
            <w:r w:rsidR="00D968BF">
              <w:rPr>
                <w:noProof/>
                <w:webHidden/>
              </w:rPr>
              <w:fldChar w:fldCharType="begin"/>
            </w:r>
            <w:r w:rsidR="00D968BF">
              <w:rPr>
                <w:noProof/>
                <w:webHidden/>
              </w:rPr>
              <w:instrText xml:space="preserve"> PAGEREF _Toc400092697 \h </w:instrText>
            </w:r>
            <w:r w:rsidR="00D968BF">
              <w:rPr>
                <w:noProof/>
                <w:webHidden/>
              </w:rPr>
            </w:r>
            <w:r w:rsidR="00D968BF">
              <w:rPr>
                <w:noProof/>
                <w:webHidden/>
              </w:rPr>
              <w:fldChar w:fldCharType="separate"/>
            </w:r>
            <w:r w:rsidR="00D968BF">
              <w:rPr>
                <w:noProof/>
                <w:webHidden/>
              </w:rPr>
              <w:t>11</w:t>
            </w:r>
            <w:r w:rsidR="00D968BF">
              <w:rPr>
                <w:noProof/>
                <w:webHidden/>
              </w:rPr>
              <w:fldChar w:fldCharType="end"/>
            </w:r>
          </w:hyperlink>
        </w:p>
        <w:p w:rsidR="00D968BF" w:rsidRDefault="00CC1ED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2698" w:history="1">
            <w:r w:rsidR="00D968BF" w:rsidRPr="005128E6">
              <w:rPr>
                <w:rStyle w:val="Hyperlink"/>
                <w:noProof/>
              </w:rPr>
              <w:t>2.1.9</w:t>
            </w:r>
            <w:r w:rsidR="00D968BF">
              <w:rPr>
                <w:rFonts w:asciiTheme="minorHAnsi" w:eastAsiaTheme="minorEastAsia" w:hAnsiTheme="minorHAnsi" w:cstheme="minorBidi"/>
                <w:noProof/>
                <w:sz w:val="22"/>
                <w:szCs w:val="22"/>
                <w:lang w:eastAsia="en-AU"/>
              </w:rPr>
              <w:tab/>
            </w:r>
            <w:r w:rsidR="00D968BF" w:rsidRPr="005128E6">
              <w:rPr>
                <w:rStyle w:val="Hyperlink"/>
                <w:noProof/>
                <w:shd w:val="clear" w:color="auto" w:fill="FFFF00"/>
              </w:rPr>
              <w:t>Revenue adjustments from other use of prescribed transmission assets</w:t>
            </w:r>
            <w:r w:rsidR="00D968BF">
              <w:rPr>
                <w:noProof/>
                <w:webHidden/>
              </w:rPr>
              <w:tab/>
            </w:r>
            <w:r w:rsidR="00D968BF">
              <w:rPr>
                <w:noProof/>
                <w:webHidden/>
              </w:rPr>
              <w:fldChar w:fldCharType="begin"/>
            </w:r>
            <w:r w:rsidR="00D968BF">
              <w:rPr>
                <w:noProof/>
                <w:webHidden/>
              </w:rPr>
              <w:instrText xml:space="preserve"> PAGEREF _Toc400092698 \h </w:instrText>
            </w:r>
            <w:r w:rsidR="00D968BF">
              <w:rPr>
                <w:noProof/>
                <w:webHidden/>
              </w:rPr>
            </w:r>
            <w:r w:rsidR="00D968BF">
              <w:rPr>
                <w:noProof/>
                <w:webHidden/>
              </w:rPr>
              <w:fldChar w:fldCharType="separate"/>
            </w:r>
            <w:r w:rsidR="00D968BF">
              <w:rPr>
                <w:noProof/>
                <w:webHidden/>
              </w:rPr>
              <w:t>11</w:t>
            </w:r>
            <w:r w:rsidR="00D968BF">
              <w:rPr>
                <w:noProof/>
                <w:webHidden/>
              </w:rPr>
              <w:fldChar w:fldCharType="end"/>
            </w:r>
          </w:hyperlink>
        </w:p>
        <w:p w:rsidR="00D968BF" w:rsidRDefault="00CC1ED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2699" w:history="1">
            <w:r w:rsidR="00D968BF" w:rsidRPr="005128E6">
              <w:rPr>
                <w:rStyle w:val="Hyperlink"/>
                <w:noProof/>
              </w:rPr>
              <w:t>2.1.10</w:t>
            </w:r>
            <w:r w:rsidR="00D968BF">
              <w:rPr>
                <w:rFonts w:asciiTheme="minorHAnsi" w:eastAsiaTheme="minorEastAsia" w:hAnsiTheme="minorHAnsi" w:cstheme="minorBidi"/>
                <w:noProof/>
                <w:sz w:val="22"/>
                <w:szCs w:val="22"/>
                <w:lang w:eastAsia="en-AU"/>
              </w:rPr>
              <w:tab/>
            </w:r>
            <w:r w:rsidR="00D968BF" w:rsidRPr="005128E6">
              <w:rPr>
                <w:rStyle w:val="Hyperlink"/>
                <w:noProof/>
              </w:rPr>
              <w:t>Expected taxation rate</w:t>
            </w:r>
            <w:r w:rsidR="00D968BF">
              <w:rPr>
                <w:noProof/>
                <w:webHidden/>
              </w:rPr>
              <w:tab/>
            </w:r>
            <w:r w:rsidR="00D968BF">
              <w:rPr>
                <w:noProof/>
                <w:webHidden/>
              </w:rPr>
              <w:fldChar w:fldCharType="begin"/>
            </w:r>
            <w:r w:rsidR="00D968BF">
              <w:rPr>
                <w:noProof/>
                <w:webHidden/>
              </w:rPr>
              <w:instrText xml:space="preserve"> PAGEREF _Toc400092699 \h </w:instrText>
            </w:r>
            <w:r w:rsidR="00D968BF">
              <w:rPr>
                <w:noProof/>
                <w:webHidden/>
              </w:rPr>
            </w:r>
            <w:r w:rsidR="00D968BF">
              <w:rPr>
                <w:noProof/>
                <w:webHidden/>
              </w:rPr>
              <w:fldChar w:fldCharType="separate"/>
            </w:r>
            <w:r w:rsidR="00D968BF">
              <w:rPr>
                <w:noProof/>
                <w:webHidden/>
              </w:rPr>
              <w:t>11</w:t>
            </w:r>
            <w:r w:rsidR="00D968BF">
              <w:rPr>
                <w:noProof/>
                <w:webHidden/>
              </w:rPr>
              <w:fldChar w:fldCharType="end"/>
            </w:r>
          </w:hyperlink>
        </w:p>
        <w:p w:rsidR="00D968BF" w:rsidRDefault="00CC1ED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2700" w:history="1">
            <w:r w:rsidR="00D968BF" w:rsidRPr="005128E6">
              <w:rPr>
                <w:rStyle w:val="Hyperlink"/>
                <w:noProof/>
              </w:rPr>
              <w:t>2.1.11</w:t>
            </w:r>
            <w:r w:rsidR="00D968BF">
              <w:rPr>
                <w:rFonts w:asciiTheme="minorHAnsi" w:eastAsiaTheme="minorEastAsia" w:hAnsiTheme="minorHAnsi" w:cstheme="minorBidi"/>
                <w:noProof/>
                <w:sz w:val="22"/>
                <w:szCs w:val="22"/>
                <w:lang w:eastAsia="en-AU"/>
              </w:rPr>
              <w:tab/>
            </w:r>
            <w:r w:rsidR="00D968BF" w:rsidRPr="005128E6">
              <w:rPr>
                <w:rStyle w:val="Hyperlink"/>
                <w:noProof/>
              </w:rPr>
              <w:t>Cost of capital</w:t>
            </w:r>
            <w:r w:rsidR="00D968BF">
              <w:rPr>
                <w:noProof/>
                <w:webHidden/>
              </w:rPr>
              <w:tab/>
            </w:r>
            <w:r w:rsidR="00D968BF">
              <w:rPr>
                <w:noProof/>
                <w:webHidden/>
              </w:rPr>
              <w:fldChar w:fldCharType="begin"/>
            </w:r>
            <w:r w:rsidR="00D968BF">
              <w:rPr>
                <w:noProof/>
                <w:webHidden/>
              </w:rPr>
              <w:instrText xml:space="preserve"> PAGEREF _Toc400092700 \h </w:instrText>
            </w:r>
            <w:r w:rsidR="00D968BF">
              <w:rPr>
                <w:noProof/>
                <w:webHidden/>
              </w:rPr>
            </w:r>
            <w:r w:rsidR="00D968BF">
              <w:rPr>
                <w:noProof/>
                <w:webHidden/>
              </w:rPr>
              <w:fldChar w:fldCharType="separate"/>
            </w:r>
            <w:r w:rsidR="00D968BF">
              <w:rPr>
                <w:noProof/>
                <w:webHidden/>
              </w:rPr>
              <w:t>11</w:t>
            </w:r>
            <w:r w:rsidR="00D968BF">
              <w:rPr>
                <w:noProof/>
                <w:webHidden/>
              </w:rPr>
              <w:fldChar w:fldCharType="end"/>
            </w:r>
          </w:hyperlink>
        </w:p>
        <w:p w:rsidR="00D968BF" w:rsidRDefault="00CC1ED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2701" w:history="1">
            <w:r w:rsidR="00D968BF" w:rsidRPr="005128E6">
              <w:rPr>
                <w:rStyle w:val="Hyperlink"/>
                <w:noProof/>
              </w:rPr>
              <w:t>2.1.12</w:t>
            </w:r>
            <w:r w:rsidR="00D968BF">
              <w:rPr>
                <w:rFonts w:asciiTheme="minorHAnsi" w:eastAsiaTheme="minorEastAsia" w:hAnsiTheme="minorHAnsi" w:cstheme="minorBidi"/>
                <w:noProof/>
                <w:sz w:val="22"/>
                <w:szCs w:val="22"/>
                <w:lang w:eastAsia="en-AU"/>
              </w:rPr>
              <w:tab/>
            </w:r>
            <w:r w:rsidR="00D968BF" w:rsidRPr="005128E6">
              <w:rPr>
                <w:rStyle w:val="Hyperlink"/>
                <w:noProof/>
              </w:rPr>
              <w:t>Debt and equity raising costs—transaction costs</w:t>
            </w:r>
            <w:r w:rsidR="00D968BF">
              <w:rPr>
                <w:noProof/>
                <w:webHidden/>
              </w:rPr>
              <w:tab/>
            </w:r>
            <w:r w:rsidR="00D968BF">
              <w:rPr>
                <w:noProof/>
                <w:webHidden/>
              </w:rPr>
              <w:fldChar w:fldCharType="begin"/>
            </w:r>
            <w:r w:rsidR="00D968BF">
              <w:rPr>
                <w:noProof/>
                <w:webHidden/>
              </w:rPr>
              <w:instrText xml:space="preserve"> PAGEREF _Toc400092701 \h </w:instrText>
            </w:r>
            <w:r w:rsidR="00D968BF">
              <w:rPr>
                <w:noProof/>
                <w:webHidden/>
              </w:rPr>
            </w:r>
            <w:r w:rsidR="00D968BF">
              <w:rPr>
                <w:noProof/>
                <w:webHidden/>
              </w:rPr>
              <w:fldChar w:fldCharType="separate"/>
            </w:r>
            <w:r w:rsidR="00D968BF">
              <w:rPr>
                <w:noProof/>
                <w:webHidden/>
              </w:rPr>
              <w:t>12</w:t>
            </w:r>
            <w:r w:rsidR="00D968BF">
              <w:rPr>
                <w:noProof/>
                <w:webHidden/>
              </w:rPr>
              <w:fldChar w:fldCharType="end"/>
            </w:r>
          </w:hyperlink>
        </w:p>
        <w:p w:rsidR="00D968BF" w:rsidRDefault="00CC1ED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2702" w:history="1">
            <w:r w:rsidR="00D968BF" w:rsidRPr="005128E6">
              <w:rPr>
                <w:rStyle w:val="Hyperlink"/>
                <w:noProof/>
              </w:rPr>
              <w:t>2.1.13</w:t>
            </w:r>
            <w:r w:rsidR="00D968BF">
              <w:rPr>
                <w:rFonts w:asciiTheme="minorHAnsi" w:eastAsiaTheme="minorEastAsia" w:hAnsiTheme="minorHAnsi" w:cstheme="minorBidi"/>
                <w:noProof/>
                <w:sz w:val="22"/>
                <w:szCs w:val="22"/>
                <w:lang w:eastAsia="en-AU"/>
              </w:rPr>
              <w:tab/>
            </w:r>
            <w:r w:rsidR="00D968BF" w:rsidRPr="005128E6">
              <w:rPr>
                <w:rStyle w:val="Hyperlink"/>
                <w:noProof/>
              </w:rPr>
              <w:t>Maximum allowed revenue for the current year</w:t>
            </w:r>
            <w:r w:rsidR="00D968BF">
              <w:rPr>
                <w:noProof/>
                <w:webHidden/>
              </w:rPr>
              <w:tab/>
            </w:r>
            <w:r w:rsidR="00D968BF">
              <w:rPr>
                <w:noProof/>
                <w:webHidden/>
              </w:rPr>
              <w:fldChar w:fldCharType="begin"/>
            </w:r>
            <w:r w:rsidR="00D968BF">
              <w:rPr>
                <w:noProof/>
                <w:webHidden/>
              </w:rPr>
              <w:instrText xml:space="preserve"> PAGEREF _Toc400092702 \h </w:instrText>
            </w:r>
            <w:r w:rsidR="00D968BF">
              <w:rPr>
                <w:noProof/>
                <w:webHidden/>
              </w:rPr>
            </w:r>
            <w:r w:rsidR="00D968BF">
              <w:rPr>
                <w:noProof/>
                <w:webHidden/>
              </w:rPr>
              <w:fldChar w:fldCharType="separate"/>
            </w:r>
            <w:r w:rsidR="00D968BF">
              <w:rPr>
                <w:noProof/>
                <w:webHidden/>
              </w:rPr>
              <w:t>12</w:t>
            </w:r>
            <w:r w:rsidR="00D968BF">
              <w:rPr>
                <w:noProof/>
                <w:webHidden/>
              </w:rPr>
              <w:fldChar w:fldCharType="end"/>
            </w:r>
          </w:hyperlink>
        </w:p>
        <w:p w:rsidR="00D968BF" w:rsidRDefault="00CC1ED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2703" w:history="1">
            <w:r w:rsidR="00D968BF" w:rsidRPr="005128E6">
              <w:rPr>
                <w:rStyle w:val="Hyperlink"/>
                <w:noProof/>
              </w:rPr>
              <w:t>2.1.14</w:t>
            </w:r>
            <w:r w:rsidR="00D968BF">
              <w:rPr>
                <w:rFonts w:asciiTheme="minorHAnsi" w:eastAsiaTheme="minorEastAsia" w:hAnsiTheme="minorHAnsi" w:cstheme="minorBidi"/>
                <w:noProof/>
                <w:sz w:val="22"/>
                <w:szCs w:val="22"/>
                <w:lang w:eastAsia="en-AU"/>
              </w:rPr>
              <w:tab/>
            </w:r>
            <w:r w:rsidR="00D968BF" w:rsidRPr="005128E6">
              <w:rPr>
                <w:rStyle w:val="Hyperlink"/>
                <w:noProof/>
              </w:rPr>
              <w:t>Energy delivered forecast</w:t>
            </w:r>
            <w:r w:rsidR="00D968BF">
              <w:rPr>
                <w:noProof/>
                <w:webHidden/>
              </w:rPr>
              <w:tab/>
            </w:r>
            <w:r w:rsidR="00D968BF">
              <w:rPr>
                <w:noProof/>
                <w:webHidden/>
              </w:rPr>
              <w:fldChar w:fldCharType="begin"/>
            </w:r>
            <w:r w:rsidR="00D968BF">
              <w:rPr>
                <w:noProof/>
                <w:webHidden/>
              </w:rPr>
              <w:instrText xml:space="preserve"> PAGEREF _Toc400092703 \h </w:instrText>
            </w:r>
            <w:r w:rsidR="00D968BF">
              <w:rPr>
                <w:noProof/>
                <w:webHidden/>
              </w:rPr>
            </w:r>
            <w:r w:rsidR="00D968BF">
              <w:rPr>
                <w:noProof/>
                <w:webHidden/>
              </w:rPr>
              <w:fldChar w:fldCharType="separate"/>
            </w:r>
            <w:r w:rsidR="00D968BF">
              <w:rPr>
                <w:noProof/>
                <w:webHidden/>
              </w:rPr>
              <w:t>12</w:t>
            </w:r>
            <w:r w:rsidR="00D968BF">
              <w:rPr>
                <w:noProof/>
                <w:webHidden/>
              </w:rPr>
              <w:fldChar w:fldCharType="end"/>
            </w:r>
          </w:hyperlink>
        </w:p>
        <w:p w:rsidR="00D968BF" w:rsidRDefault="00CC1ED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2704" w:history="1">
            <w:r w:rsidR="00D968BF" w:rsidRPr="005128E6">
              <w:rPr>
                <w:rStyle w:val="Hyperlink"/>
                <w:noProof/>
              </w:rPr>
              <w:t>2.2</w:t>
            </w:r>
            <w:r w:rsidR="00D968BF">
              <w:rPr>
                <w:rFonts w:asciiTheme="minorHAnsi" w:eastAsiaTheme="minorEastAsia" w:hAnsiTheme="minorHAnsi" w:cstheme="minorBidi"/>
                <w:iCs w:val="0"/>
                <w:noProof/>
                <w:sz w:val="22"/>
                <w:szCs w:val="22"/>
                <w:lang w:eastAsia="en-AU"/>
              </w:rPr>
              <w:tab/>
            </w:r>
            <w:r w:rsidR="00D968BF" w:rsidRPr="005128E6">
              <w:rPr>
                <w:rStyle w:val="Hyperlink"/>
                <w:noProof/>
              </w:rPr>
              <w:t>WACC sheet</w:t>
            </w:r>
            <w:r w:rsidR="00D968BF">
              <w:rPr>
                <w:noProof/>
                <w:webHidden/>
              </w:rPr>
              <w:tab/>
            </w:r>
            <w:r w:rsidR="00D968BF">
              <w:rPr>
                <w:noProof/>
                <w:webHidden/>
              </w:rPr>
              <w:fldChar w:fldCharType="begin"/>
            </w:r>
            <w:r w:rsidR="00D968BF">
              <w:rPr>
                <w:noProof/>
                <w:webHidden/>
              </w:rPr>
              <w:instrText xml:space="preserve"> PAGEREF _Toc400092704 \h </w:instrText>
            </w:r>
            <w:r w:rsidR="00D968BF">
              <w:rPr>
                <w:noProof/>
                <w:webHidden/>
              </w:rPr>
            </w:r>
            <w:r w:rsidR="00D968BF">
              <w:rPr>
                <w:noProof/>
                <w:webHidden/>
              </w:rPr>
              <w:fldChar w:fldCharType="separate"/>
            </w:r>
            <w:r w:rsidR="00D968BF">
              <w:rPr>
                <w:noProof/>
                <w:webHidden/>
              </w:rPr>
              <w:t>13</w:t>
            </w:r>
            <w:r w:rsidR="00D968BF">
              <w:rPr>
                <w:noProof/>
                <w:webHidden/>
              </w:rPr>
              <w:fldChar w:fldCharType="end"/>
            </w:r>
          </w:hyperlink>
        </w:p>
        <w:p w:rsidR="00D968BF" w:rsidRDefault="00CC1ED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2705" w:history="1">
            <w:r w:rsidR="00D968BF" w:rsidRPr="005128E6">
              <w:rPr>
                <w:rStyle w:val="Hyperlink"/>
                <w:noProof/>
              </w:rPr>
              <w:t>2.3</w:t>
            </w:r>
            <w:r w:rsidR="00D968BF">
              <w:rPr>
                <w:rFonts w:asciiTheme="minorHAnsi" w:eastAsiaTheme="minorEastAsia" w:hAnsiTheme="minorHAnsi" w:cstheme="minorBidi"/>
                <w:iCs w:val="0"/>
                <w:noProof/>
                <w:sz w:val="22"/>
                <w:szCs w:val="22"/>
                <w:lang w:eastAsia="en-AU"/>
              </w:rPr>
              <w:tab/>
            </w:r>
            <w:r w:rsidR="00D968BF" w:rsidRPr="005128E6">
              <w:rPr>
                <w:rStyle w:val="Hyperlink"/>
                <w:noProof/>
              </w:rPr>
              <w:t>Assets sheet</w:t>
            </w:r>
            <w:r w:rsidR="00D968BF">
              <w:rPr>
                <w:noProof/>
                <w:webHidden/>
              </w:rPr>
              <w:tab/>
            </w:r>
            <w:r w:rsidR="00D968BF">
              <w:rPr>
                <w:noProof/>
                <w:webHidden/>
              </w:rPr>
              <w:fldChar w:fldCharType="begin"/>
            </w:r>
            <w:r w:rsidR="00D968BF">
              <w:rPr>
                <w:noProof/>
                <w:webHidden/>
              </w:rPr>
              <w:instrText xml:space="preserve"> PAGEREF _Toc400092705 \h </w:instrText>
            </w:r>
            <w:r w:rsidR="00D968BF">
              <w:rPr>
                <w:noProof/>
                <w:webHidden/>
              </w:rPr>
            </w:r>
            <w:r w:rsidR="00D968BF">
              <w:rPr>
                <w:noProof/>
                <w:webHidden/>
              </w:rPr>
              <w:fldChar w:fldCharType="separate"/>
            </w:r>
            <w:r w:rsidR="00D968BF">
              <w:rPr>
                <w:noProof/>
                <w:webHidden/>
              </w:rPr>
              <w:t>13</w:t>
            </w:r>
            <w:r w:rsidR="00D968BF">
              <w:rPr>
                <w:noProof/>
                <w:webHidden/>
              </w:rPr>
              <w:fldChar w:fldCharType="end"/>
            </w:r>
          </w:hyperlink>
        </w:p>
        <w:p w:rsidR="00D968BF" w:rsidRDefault="00CC1ED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2706" w:history="1">
            <w:r w:rsidR="00D968BF" w:rsidRPr="005128E6">
              <w:rPr>
                <w:rStyle w:val="Hyperlink"/>
                <w:noProof/>
              </w:rPr>
              <w:t>2.3.1</w:t>
            </w:r>
            <w:r w:rsidR="00D968BF">
              <w:rPr>
                <w:rFonts w:asciiTheme="minorHAnsi" w:eastAsiaTheme="minorEastAsia" w:hAnsiTheme="minorHAnsi" w:cstheme="minorBidi"/>
                <w:noProof/>
                <w:sz w:val="22"/>
                <w:szCs w:val="22"/>
                <w:lang w:eastAsia="en-AU"/>
              </w:rPr>
              <w:tab/>
            </w:r>
            <w:r w:rsidR="00D968BF" w:rsidRPr="005128E6">
              <w:rPr>
                <w:rStyle w:val="Hyperlink"/>
                <w:noProof/>
              </w:rPr>
              <w:t>Rolling forward the RAB and depreciation</w:t>
            </w:r>
            <w:r w:rsidR="00D968BF">
              <w:rPr>
                <w:noProof/>
                <w:webHidden/>
              </w:rPr>
              <w:tab/>
            </w:r>
            <w:r w:rsidR="00D968BF">
              <w:rPr>
                <w:noProof/>
                <w:webHidden/>
              </w:rPr>
              <w:fldChar w:fldCharType="begin"/>
            </w:r>
            <w:r w:rsidR="00D968BF">
              <w:rPr>
                <w:noProof/>
                <w:webHidden/>
              </w:rPr>
              <w:instrText xml:space="preserve"> PAGEREF _Toc400092706 \h </w:instrText>
            </w:r>
            <w:r w:rsidR="00D968BF">
              <w:rPr>
                <w:noProof/>
                <w:webHidden/>
              </w:rPr>
            </w:r>
            <w:r w:rsidR="00D968BF">
              <w:rPr>
                <w:noProof/>
                <w:webHidden/>
              </w:rPr>
              <w:fldChar w:fldCharType="separate"/>
            </w:r>
            <w:r w:rsidR="00D968BF">
              <w:rPr>
                <w:noProof/>
                <w:webHidden/>
              </w:rPr>
              <w:t>14</w:t>
            </w:r>
            <w:r w:rsidR="00D968BF">
              <w:rPr>
                <w:noProof/>
                <w:webHidden/>
              </w:rPr>
              <w:fldChar w:fldCharType="end"/>
            </w:r>
          </w:hyperlink>
        </w:p>
        <w:p w:rsidR="00D968BF" w:rsidRDefault="00CC1ED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2707" w:history="1">
            <w:r w:rsidR="00D968BF" w:rsidRPr="005128E6">
              <w:rPr>
                <w:rStyle w:val="Hyperlink"/>
                <w:noProof/>
              </w:rPr>
              <w:t>2.4</w:t>
            </w:r>
            <w:r w:rsidR="00D968BF">
              <w:rPr>
                <w:rFonts w:asciiTheme="minorHAnsi" w:eastAsiaTheme="minorEastAsia" w:hAnsiTheme="minorHAnsi" w:cstheme="minorBidi"/>
                <w:iCs w:val="0"/>
                <w:noProof/>
                <w:sz w:val="22"/>
                <w:szCs w:val="22"/>
                <w:lang w:eastAsia="en-AU"/>
              </w:rPr>
              <w:tab/>
            </w:r>
            <w:r w:rsidR="00D968BF" w:rsidRPr="005128E6">
              <w:rPr>
                <w:rStyle w:val="Hyperlink"/>
                <w:noProof/>
              </w:rPr>
              <w:t>Analysis sheet</w:t>
            </w:r>
            <w:r w:rsidR="00D968BF">
              <w:rPr>
                <w:noProof/>
                <w:webHidden/>
              </w:rPr>
              <w:tab/>
            </w:r>
            <w:r w:rsidR="00D968BF">
              <w:rPr>
                <w:noProof/>
                <w:webHidden/>
              </w:rPr>
              <w:fldChar w:fldCharType="begin"/>
            </w:r>
            <w:r w:rsidR="00D968BF">
              <w:rPr>
                <w:noProof/>
                <w:webHidden/>
              </w:rPr>
              <w:instrText xml:space="preserve"> PAGEREF _Toc400092707 \h </w:instrText>
            </w:r>
            <w:r w:rsidR="00D968BF">
              <w:rPr>
                <w:noProof/>
                <w:webHidden/>
              </w:rPr>
            </w:r>
            <w:r w:rsidR="00D968BF">
              <w:rPr>
                <w:noProof/>
                <w:webHidden/>
              </w:rPr>
              <w:fldChar w:fldCharType="separate"/>
            </w:r>
            <w:r w:rsidR="00D968BF">
              <w:rPr>
                <w:noProof/>
                <w:webHidden/>
              </w:rPr>
              <w:t>15</w:t>
            </w:r>
            <w:r w:rsidR="00D968BF">
              <w:rPr>
                <w:noProof/>
                <w:webHidden/>
              </w:rPr>
              <w:fldChar w:fldCharType="end"/>
            </w:r>
          </w:hyperlink>
        </w:p>
        <w:p w:rsidR="00D968BF" w:rsidRDefault="00CC1ED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2708" w:history="1">
            <w:r w:rsidR="00D968BF" w:rsidRPr="005128E6">
              <w:rPr>
                <w:rStyle w:val="Hyperlink"/>
                <w:noProof/>
              </w:rPr>
              <w:t>2.4.1</w:t>
            </w:r>
            <w:r w:rsidR="00D968BF">
              <w:rPr>
                <w:rFonts w:asciiTheme="minorHAnsi" w:eastAsiaTheme="minorEastAsia" w:hAnsiTheme="minorHAnsi" w:cstheme="minorBidi"/>
                <w:noProof/>
                <w:sz w:val="22"/>
                <w:szCs w:val="22"/>
                <w:lang w:eastAsia="en-AU"/>
              </w:rPr>
              <w:tab/>
            </w:r>
            <w:r w:rsidR="00D968BF" w:rsidRPr="005128E6">
              <w:rPr>
                <w:rStyle w:val="Hyperlink"/>
                <w:noProof/>
              </w:rPr>
              <w:t>Building block approach to deriving cash flows</w:t>
            </w:r>
            <w:r w:rsidR="00D968BF">
              <w:rPr>
                <w:noProof/>
                <w:webHidden/>
              </w:rPr>
              <w:tab/>
            </w:r>
            <w:r w:rsidR="00D968BF">
              <w:rPr>
                <w:noProof/>
                <w:webHidden/>
              </w:rPr>
              <w:fldChar w:fldCharType="begin"/>
            </w:r>
            <w:r w:rsidR="00D968BF">
              <w:rPr>
                <w:noProof/>
                <w:webHidden/>
              </w:rPr>
              <w:instrText xml:space="preserve"> PAGEREF _Toc400092708 \h </w:instrText>
            </w:r>
            <w:r w:rsidR="00D968BF">
              <w:rPr>
                <w:noProof/>
                <w:webHidden/>
              </w:rPr>
            </w:r>
            <w:r w:rsidR="00D968BF">
              <w:rPr>
                <w:noProof/>
                <w:webHidden/>
              </w:rPr>
              <w:fldChar w:fldCharType="separate"/>
            </w:r>
            <w:r w:rsidR="00D968BF">
              <w:rPr>
                <w:noProof/>
                <w:webHidden/>
              </w:rPr>
              <w:t>17</w:t>
            </w:r>
            <w:r w:rsidR="00D968BF">
              <w:rPr>
                <w:noProof/>
                <w:webHidden/>
              </w:rPr>
              <w:fldChar w:fldCharType="end"/>
            </w:r>
          </w:hyperlink>
        </w:p>
        <w:p w:rsidR="00D968BF" w:rsidRDefault="00CC1ED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2709" w:history="1">
            <w:r w:rsidR="00D968BF" w:rsidRPr="005128E6">
              <w:rPr>
                <w:rStyle w:val="Hyperlink"/>
                <w:noProof/>
              </w:rPr>
              <w:t>2.4.2</w:t>
            </w:r>
            <w:r w:rsidR="00D968BF">
              <w:rPr>
                <w:rFonts w:asciiTheme="minorHAnsi" w:eastAsiaTheme="minorEastAsia" w:hAnsiTheme="minorHAnsi" w:cstheme="minorBidi"/>
                <w:noProof/>
                <w:sz w:val="22"/>
                <w:szCs w:val="22"/>
                <w:lang w:eastAsia="en-AU"/>
              </w:rPr>
              <w:tab/>
            </w:r>
            <w:r w:rsidR="00D968BF" w:rsidRPr="005128E6">
              <w:rPr>
                <w:rStyle w:val="Hyperlink"/>
                <w:noProof/>
              </w:rPr>
              <w:t>Taxation and related costs and benefits</w:t>
            </w:r>
            <w:r w:rsidR="00D968BF">
              <w:rPr>
                <w:noProof/>
                <w:webHidden/>
              </w:rPr>
              <w:tab/>
            </w:r>
            <w:r w:rsidR="00D968BF">
              <w:rPr>
                <w:noProof/>
                <w:webHidden/>
              </w:rPr>
              <w:fldChar w:fldCharType="begin"/>
            </w:r>
            <w:r w:rsidR="00D968BF">
              <w:rPr>
                <w:noProof/>
                <w:webHidden/>
              </w:rPr>
              <w:instrText xml:space="preserve"> PAGEREF _Toc400092709 \h </w:instrText>
            </w:r>
            <w:r w:rsidR="00D968BF">
              <w:rPr>
                <w:noProof/>
                <w:webHidden/>
              </w:rPr>
            </w:r>
            <w:r w:rsidR="00D968BF">
              <w:rPr>
                <w:noProof/>
                <w:webHidden/>
              </w:rPr>
              <w:fldChar w:fldCharType="separate"/>
            </w:r>
            <w:r w:rsidR="00D968BF">
              <w:rPr>
                <w:noProof/>
                <w:webHidden/>
              </w:rPr>
              <w:t>18</w:t>
            </w:r>
            <w:r w:rsidR="00D968BF">
              <w:rPr>
                <w:noProof/>
                <w:webHidden/>
              </w:rPr>
              <w:fldChar w:fldCharType="end"/>
            </w:r>
          </w:hyperlink>
        </w:p>
        <w:p w:rsidR="00D968BF" w:rsidRDefault="00CC1ED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0092710" w:history="1">
            <w:r w:rsidR="00D968BF" w:rsidRPr="005128E6">
              <w:rPr>
                <w:rStyle w:val="Hyperlink"/>
                <w:noProof/>
              </w:rPr>
              <w:t>2.4.3</w:t>
            </w:r>
            <w:r w:rsidR="00D968BF">
              <w:rPr>
                <w:rFonts w:asciiTheme="minorHAnsi" w:eastAsiaTheme="minorEastAsia" w:hAnsiTheme="minorHAnsi" w:cstheme="minorBidi"/>
                <w:noProof/>
                <w:sz w:val="22"/>
                <w:szCs w:val="22"/>
                <w:lang w:eastAsia="en-AU"/>
              </w:rPr>
              <w:tab/>
            </w:r>
            <w:r w:rsidR="00D968BF" w:rsidRPr="005128E6">
              <w:rPr>
                <w:rStyle w:val="Hyperlink"/>
                <w:noProof/>
              </w:rPr>
              <w:t>Cash flow analysis</w:t>
            </w:r>
            <w:r w:rsidR="00D968BF">
              <w:rPr>
                <w:noProof/>
                <w:webHidden/>
              </w:rPr>
              <w:tab/>
            </w:r>
            <w:r w:rsidR="00D968BF">
              <w:rPr>
                <w:noProof/>
                <w:webHidden/>
              </w:rPr>
              <w:fldChar w:fldCharType="begin"/>
            </w:r>
            <w:r w:rsidR="00D968BF">
              <w:rPr>
                <w:noProof/>
                <w:webHidden/>
              </w:rPr>
              <w:instrText xml:space="preserve"> PAGEREF _Toc400092710 \h </w:instrText>
            </w:r>
            <w:r w:rsidR="00D968BF">
              <w:rPr>
                <w:noProof/>
                <w:webHidden/>
              </w:rPr>
            </w:r>
            <w:r w:rsidR="00D968BF">
              <w:rPr>
                <w:noProof/>
                <w:webHidden/>
              </w:rPr>
              <w:fldChar w:fldCharType="separate"/>
            </w:r>
            <w:r w:rsidR="00D968BF">
              <w:rPr>
                <w:noProof/>
                <w:webHidden/>
              </w:rPr>
              <w:t>18</w:t>
            </w:r>
            <w:r w:rsidR="00D968BF">
              <w:rPr>
                <w:noProof/>
                <w:webHidden/>
              </w:rPr>
              <w:fldChar w:fldCharType="end"/>
            </w:r>
          </w:hyperlink>
        </w:p>
        <w:p w:rsidR="00D968BF" w:rsidRDefault="00CC1ED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2711" w:history="1">
            <w:r w:rsidR="00D968BF" w:rsidRPr="005128E6">
              <w:rPr>
                <w:rStyle w:val="Hyperlink"/>
                <w:noProof/>
              </w:rPr>
              <w:t>2.5</w:t>
            </w:r>
            <w:r w:rsidR="00D968BF">
              <w:rPr>
                <w:rFonts w:asciiTheme="minorHAnsi" w:eastAsiaTheme="minorEastAsia" w:hAnsiTheme="minorHAnsi" w:cstheme="minorBidi"/>
                <w:iCs w:val="0"/>
                <w:noProof/>
                <w:sz w:val="22"/>
                <w:szCs w:val="22"/>
                <w:lang w:eastAsia="en-AU"/>
              </w:rPr>
              <w:tab/>
            </w:r>
            <w:r w:rsidR="00D968BF" w:rsidRPr="005128E6">
              <w:rPr>
                <w:rStyle w:val="Hyperlink"/>
                <w:noProof/>
              </w:rPr>
              <w:t>X factors sheet</w:t>
            </w:r>
            <w:r w:rsidR="00D968BF">
              <w:rPr>
                <w:noProof/>
                <w:webHidden/>
              </w:rPr>
              <w:tab/>
            </w:r>
            <w:r w:rsidR="00D968BF">
              <w:rPr>
                <w:noProof/>
                <w:webHidden/>
              </w:rPr>
              <w:fldChar w:fldCharType="begin"/>
            </w:r>
            <w:r w:rsidR="00D968BF">
              <w:rPr>
                <w:noProof/>
                <w:webHidden/>
              </w:rPr>
              <w:instrText xml:space="preserve"> PAGEREF _Toc400092711 \h </w:instrText>
            </w:r>
            <w:r w:rsidR="00D968BF">
              <w:rPr>
                <w:noProof/>
                <w:webHidden/>
              </w:rPr>
            </w:r>
            <w:r w:rsidR="00D968BF">
              <w:rPr>
                <w:noProof/>
                <w:webHidden/>
              </w:rPr>
              <w:fldChar w:fldCharType="separate"/>
            </w:r>
            <w:r w:rsidR="00D968BF">
              <w:rPr>
                <w:noProof/>
                <w:webHidden/>
              </w:rPr>
              <w:t>20</w:t>
            </w:r>
            <w:r w:rsidR="00D968BF">
              <w:rPr>
                <w:noProof/>
                <w:webHidden/>
              </w:rPr>
              <w:fldChar w:fldCharType="end"/>
            </w:r>
          </w:hyperlink>
        </w:p>
        <w:p w:rsidR="00D968BF" w:rsidRDefault="00CC1ED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2712" w:history="1">
            <w:r w:rsidR="00D968BF" w:rsidRPr="005128E6">
              <w:rPr>
                <w:rStyle w:val="Hyperlink"/>
                <w:noProof/>
              </w:rPr>
              <w:t>2.6</w:t>
            </w:r>
            <w:r w:rsidR="00D968BF">
              <w:rPr>
                <w:rFonts w:asciiTheme="minorHAnsi" w:eastAsiaTheme="minorEastAsia" w:hAnsiTheme="minorHAnsi" w:cstheme="minorBidi"/>
                <w:iCs w:val="0"/>
                <w:noProof/>
                <w:sz w:val="22"/>
                <w:szCs w:val="22"/>
                <w:lang w:eastAsia="en-AU"/>
              </w:rPr>
              <w:tab/>
            </w:r>
            <w:r w:rsidR="00D968BF" w:rsidRPr="005128E6">
              <w:rPr>
                <w:rStyle w:val="Hyperlink"/>
                <w:noProof/>
              </w:rPr>
              <w:t>Revenue summary sheet</w:t>
            </w:r>
            <w:r w:rsidR="00D968BF">
              <w:rPr>
                <w:noProof/>
                <w:webHidden/>
              </w:rPr>
              <w:tab/>
            </w:r>
            <w:r w:rsidR="00D968BF">
              <w:rPr>
                <w:noProof/>
                <w:webHidden/>
              </w:rPr>
              <w:fldChar w:fldCharType="begin"/>
            </w:r>
            <w:r w:rsidR="00D968BF">
              <w:rPr>
                <w:noProof/>
                <w:webHidden/>
              </w:rPr>
              <w:instrText xml:space="preserve"> PAGEREF _Toc400092712 \h </w:instrText>
            </w:r>
            <w:r w:rsidR="00D968BF">
              <w:rPr>
                <w:noProof/>
                <w:webHidden/>
              </w:rPr>
            </w:r>
            <w:r w:rsidR="00D968BF">
              <w:rPr>
                <w:noProof/>
                <w:webHidden/>
              </w:rPr>
              <w:fldChar w:fldCharType="separate"/>
            </w:r>
            <w:r w:rsidR="00D968BF">
              <w:rPr>
                <w:noProof/>
                <w:webHidden/>
              </w:rPr>
              <w:t>22</w:t>
            </w:r>
            <w:r w:rsidR="00D968BF">
              <w:rPr>
                <w:noProof/>
                <w:webHidden/>
              </w:rPr>
              <w:fldChar w:fldCharType="end"/>
            </w:r>
          </w:hyperlink>
        </w:p>
        <w:p w:rsidR="00D968BF" w:rsidRDefault="00CC1ED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2713" w:history="1">
            <w:r w:rsidR="00D968BF" w:rsidRPr="005128E6">
              <w:rPr>
                <w:rStyle w:val="Hyperlink"/>
                <w:noProof/>
              </w:rPr>
              <w:t>2.7</w:t>
            </w:r>
            <w:r w:rsidR="00D968BF">
              <w:rPr>
                <w:rFonts w:asciiTheme="minorHAnsi" w:eastAsiaTheme="minorEastAsia" w:hAnsiTheme="minorHAnsi" w:cstheme="minorBidi"/>
                <w:iCs w:val="0"/>
                <w:noProof/>
                <w:sz w:val="22"/>
                <w:szCs w:val="22"/>
                <w:lang w:eastAsia="en-AU"/>
              </w:rPr>
              <w:tab/>
            </w:r>
            <w:r w:rsidR="00D968BF" w:rsidRPr="005128E6">
              <w:rPr>
                <w:rStyle w:val="Hyperlink"/>
                <w:noProof/>
              </w:rPr>
              <w:t>Equity raising cost sheet</w:t>
            </w:r>
            <w:r w:rsidR="00D968BF">
              <w:rPr>
                <w:noProof/>
                <w:webHidden/>
              </w:rPr>
              <w:tab/>
            </w:r>
            <w:r w:rsidR="00D968BF">
              <w:rPr>
                <w:noProof/>
                <w:webHidden/>
              </w:rPr>
              <w:fldChar w:fldCharType="begin"/>
            </w:r>
            <w:r w:rsidR="00D968BF">
              <w:rPr>
                <w:noProof/>
                <w:webHidden/>
              </w:rPr>
              <w:instrText xml:space="preserve"> PAGEREF _Toc400092713 \h </w:instrText>
            </w:r>
            <w:r w:rsidR="00D968BF">
              <w:rPr>
                <w:noProof/>
                <w:webHidden/>
              </w:rPr>
            </w:r>
            <w:r w:rsidR="00D968BF">
              <w:rPr>
                <w:noProof/>
                <w:webHidden/>
              </w:rPr>
              <w:fldChar w:fldCharType="separate"/>
            </w:r>
            <w:r w:rsidR="00D968BF">
              <w:rPr>
                <w:noProof/>
                <w:webHidden/>
              </w:rPr>
              <w:t>23</w:t>
            </w:r>
            <w:r w:rsidR="00D968BF">
              <w:rPr>
                <w:noProof/>
                <w:webHidden/>
              </w:rPr>
              <w:fldChar w:fldCharType="end"/>
            </w:r>
          </w:hyperlink>
        </w:p>
        <w:p w:rsidR="00D968BF" w:rsidRDefault="00CC1ED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2714" w:history="1">
            <w:r w:rsidR="00D968BF" w:rsidRPr="005128E6">
              <w:rPr>
                <w:rStyle w:val="Hyperlink"/>
                <w:noProof/>
              </w:rPr>
              <w:t>2.8</w:t>
            </w:r>
            <w:r w:rsidR="00D968BF">
              <w:rPr>
                <w:rFonts w:asciiTheme="minorHAnsi" w:eastAsiaTheme="minorEastAsia" w:hAnsiTheme="minorHAnsi" w:cstheme="minorBidi"/>
                <w:iCs w:val="0"/>
                <w:noProof/>
                <w:sz w:val="22"/>
                <w:szCs w:val="22"/>
                <w:lang w:eastAsia="en-AU"/>
              </w:rPr>
              <w:tab/>
            </w:r>
            <w:r w:rsidR="00D968BF" w:rsidRPr="005128E6">
              <w:rPr>
                <w:rStyle w:val="Hyperlink"/>
                <w:noProof/>
              </w:rPr>
              <w:t>Chart 1—Revenue</w:t>
            </w:r>
            <w:r w:rsidR="00D968BF">
              <w:rPr>
                <w:noProof/>
                <w:webHidden/>
              </w:rPr>
              <w:tab/>
            </w:r>
            <w:r w:rsidR="00D968BF">
              <w:rPr>
                <w:noProof/>
                <w:webHidden/>
              </w:rPr>
              <w:fldChar w:fldCharType="begin"/>
            </w:r>
            <w:r w:rsidR="00D968BF">
              <w:rPr>
                <w:noProof/>
                <w:webHidden/>
              </w:rPr>
              <w:instrText xml:space="preserve"> PAGEREF _Toc400092714 \h </w:instrText>
            </w:r>
            <w:r w:rsidR="00D968BF">
              <w:rPr>
                <w:noProof/>
                <w:webHidden/>
              </w:rPr>
            </w:r>
            <w:r w:rsidR="00D968BF">
              <w:rPr>
                <w:noProof/>
                <w:webHidden/>
              </w:rPr>
              <w:fldChar w:fldCharType="separate"/>
            </w:r>
            <w:r w:rsidR="00D968BF">
              <w:rPr>
                <w:noProof/>
                <w:webHidden/>
              </w:rPr>
              <w:t>26</w:t>
            </w:r>
            <w:r w:rsidR="00D968BF">
              <w:rPr>
                <w:noProof/>
                <w:webHidden/>
              </w:rPr>
              <w:fldChar w:fldCharType="end"/>
            </w:r>
          </w:hyperlink>
        </w:p>
        <w:p w:rsidR="00D968BF" w:rsidRDefault="00CC1ED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2715" w:history="1">
            <w:r w:rsidR="00D968BF" w:rsidRPr="005128E6">
              <w:rPr>
                <w:rStyle w:val="Hyperlink"/>
                <w:noProof/>
              </w:rPr>
              <w:t>2.9</w:t>
            </w:r>
            <w:r w:rsidR="00D968BF">
              <w:rPr>
                <w:rFonts w:asciiTheme="minorHAnsi" w:eastAsiaTheme="minorEastAsia" w:hAnsiTheme="minorHAnsi" w:cstheme="minorBidi"/>
                <w:iCs w:val="0"/>
                <w:noProof/>
                <w:sz w:val="22"/>
                <w:szCs w:val="22"/>
                <w:lang w:eastAsia="en-AU"/>
              </w:rPr>
              <w:tab/>
            </w:r>
            <w:r w:rsidR="00D968BF" w:rsidRPr="005128E6">
              <w:rPr>
                <w:rStyle w:val="Hyperlink"/>
                <w:noProof/>
              </w:rPr>
              <w:t>Chart 2—Price path</w:t>
            </w:r>
            <w:r w:rsidR="00D968BF">
              <w:rPr>
                <w:noProof/>
                <w:webHidden/>
              </w:rPr>
              <w:tab/>
            </w:r>
            <w:r w:rsidR="00D968BF">
              <w:rPr>
                <w:noProof/>
                <w:webHidden/>
              </w:rPr>
              <w:fldChar w:fldCharType="begin"/>
            </w:r>
            <w:r w:rsidR="00D968BF">
              <w:rPr>
                <w:noProof/>
                <w:webHidden/>
              </w:rPr>
              <w:instrText xml:space="preserve"> PAGEREF _Toc400092715 \h </w:instrText>
            </w:r>
            <w:r w:rsidR="00D968BF">
              <w:rPr>
                <w:noProof/>
                <w:webHidden/>
              </w:rPr>
            </w:r>
            <w:r w:rsidR="00D968BF">
              <w:rPr>
                <w:noProof/>
                <w:webHidden/>
              </w:rPr>
              <w:fldChar w:fldCharType="separate"/>
            </w:r>
            <w:r w:rsidR="00D968BF">
              <w:rPr>
                <w:noProof/>
                <w:webHidden/>
              </w:rPr>
              <w:t>27</w:t>
            </w:r>
            <w:r w:rsidR="00D968BF">
              <w:rPr>
                <w:noProof/>
                <w:webHidden/>
              </w:rPr>
              <w:fldChar w:fldCharType="end"/>
            </w:r>
          </w:hyperlink>
        </w:p>
        <w:p w:rsidR="00D968BF" w:rsidRDefault="00CC1EDC">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0092716" w:history="1">
            <w:r w:rsidR="00D968BF" w:rsidRPr="005128E6">
              <w:rPr>
                <w:rStyle w:val="Hyperlink"/>
                <w:noProof/>
              </w:rPr>
              <w:t>2.10</w:t>
            </w:r>
            <w:r w:rsidR="00D968BF">
              <w:rPr>
                <w:rFonts w:asciiTheme="minorHAnsi" w:eastAsiaTheme="minorEastAsia" w:hAnsiTheme="minorHAnsi" w:cstheme="minorBidi"/>
                <w:iCs w:val="0"/>
                <w:noProof/>
                <w:sz w:val="22"/>
                <w:szCs w:val="22"/>
                <w:lang w:eastAsia="en-AU"/>
              </w:rPr>
              <w:tab/>
            </w:r>
            <w:r>
              <w:rPr>
                <w:rStyle w:val="Hyperlink"/>
                <w:noProof/>
              </w:rPr>
              <w:t xml:space="preserve">Chart 3—Building </w:t>
            </w:r>
            <w:r>
              <w:rPr>
                <w:rStyle w:val="Hyperlink"/>
              </w:rPr>
              <w:t>b</w:t>
            </w:r>
            <w:r w:rsidR="00D968BF" w:rsidRPr="005128E6">
              <w:rPr>
                <w:rStyle w:val="Hyperlink"/>
                <w:noProof/>
              </w:rPr>
              <w:t>locks</w:t>
            </w:r>
            <w:r w:rsidR="00D968BF">
              <w:rPr>
                <w:noProof/>
                <w:webHidden/>
              </w:rPr>
              <w:tab/>
            </w:r>
            <w:r w:rsidR="00D968BF">
              <w:rPr>
                <w:noProof/>
                <w:webHidden/>
              </w:rPr>
              <w:fldChar w:fldCharType="begin"/>
            </w:r>
            <w:r w:rsidR="00D968BF">
              <w:rPr>
                <w:noProof/>
                <w:webHidden/>
              </w:rPr>
              <w:instrText xml:space="preserve"> PAGEREF _Toc400092716 \h </w:instrText>
            </w:r>
            <w:r w:rsidR="00D968BF">
              <w:rPr>
                <w:noProof/>
                <w:webHidden/>
              </w:rPr>
            </w:r>
            <w:r w:rsidR="00D968BF">
              <w:rPr>
                <w:noProof/>
                <w:webHidden/>
              </w:rPr>
              <w:fldChar w:fldCharType="separate"/>
            </w:r>
            <w:r w:rsidR="00D968BF">
              <w:rPr>
                <w:noProof/>
                <w:webHidden/>
              </w:rPr>
              <w:t>28</w:t>
            </w:r>
            <w:r w:rsidR="00D968BF">
              <w:rPr>
                <w:noProof/>
                <w:webHidden/>
              </w:rPr>
              <w:fldChar w:fldCharType="end"/>
            </w:r>
          </w:hyperlink>
        </w:p>
        <w:p w:rsidR="00D968BF" w:rsidRDefault="00CC1ED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0092717" w:history="1">
            <w:r w:rsidR="00D968BF" w:rsidRPr="005128E6">
              <w:rPr>
                <w:rStyle w:val="Hyperlink"/>
                <w:noProof/>
              </w:rPr>
              <w:t>3</w:t>
            </w:r>
            <w:r w:rsidR="00D968BF">
              <w:rPr>
                <w:rFonts w:asciiTheme="minorHAnsi" w:eastAsiaTheme="minorEastAsia" w:hAnsiTheme="minorHAnsi" w:cstheme="minorBidi"/>
                <w:b w:val="0"/>
                <w:bCs w:val="0"/>
                <w:noProof/>
                <w:sz w:val="22"/>
                <w:szCs w:val="22"/>
                <w:lang w:eastAsia="en-AU"/>
              </w:rPr>
              <w:tab/>
            </w:r>
            <w:r w:rsidR="00D968BF" w:rsidRPr="005128E6">
              <w:rPr>
                <w:rStyle w:val="Hyperlink"/>
                <w:noProof/>
                <w:shd w:val="clear" w:color="auto" w:fill="FFFF00"/>
              </w:rPr>
              <w:t>Process for annual return on debt update</w:t>
            </w:r>
            <w:r w:rsidR="00D968BF">
              <w:rPr>
                <w:noProof/>
                <w:webHidden/>
              </w:rPr>
              <w:tab/>
            </w:r>
            <w:r w:rsidR="00D968BF">
              <w:rPr>
                <w:noProof/>
                <w:webHidden/>
              </w:rPr>
              <w:fldChar w:fldCharType="begin"/>
            </w:r>
            <w:r w:rsidR="00D968BF">
              <w:rPr>
                <w:noProof/>
                <w:webHidden/>
              </w:rPr>
              <w:instrText xml:space="preserve"> PAGEREF _Toc400092717 \h </w:instrText>
            </w:r>
            <w:r w:rsidR="00D968BF">
              <w:rPr>
                <w:noProof/>
                <w:webHidden/>
              </w:rPr>
            </w:r>
            <w:r w:rsidR="00D968BF">
              <w:rPr>
                <w:noProof/>
                <w:webHidden/>
              </w:rPr>
              <w:fldChar w:fldCharType="separate"/>
            </w:r>
            <w:r w:rsidR="00D968BF">
              <w:rPr>
                <w:noProof/>
                <w:webHidden/>
              </w:rPr>
              <w:t>29</w:t>
            </w:r>
            <w:r w:rsidR="00D968BF">
              <w:rPr>
                <w:noProof/>
                <w:webHidden/>
              </w:rPr>
              <w:fldChar w:fldCharType="end"/>
            </w:r>
          </w:hyperlink>
        </w:p>
        <w:p w:rsidR="00D968BF" w:rsidRDefault="00CC1ED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2718" w:history="1">
            <w:r w:rsidR="00D968BF" w:rsidRPr="005128E6">
              <w:rPr>
                <w:rStyle w:val="Hyperlink"/>
                <w:noProof/>
              </w:rPr>
              <w:t>3.1</w:t>
            </w:r>
            <w:r w:rsidR="00D968BF">
              <w:rPr>
                <w:rFonts w:asciiTheme="minorHAnsi" w:eastAsiaTheme="minorEastAsia" w:hAnsiTheme="minorHAnsi" w:cstheme="minorBidi"/>
                <w:iCs w:val="0"/>
                <w:noProof/>
                <w:sz w:val="22"/>
                <w:szCs w:val="22"/>
                <w:lang w:eastAsia="en-AU"/>
              </w:rPr>
              <w:tab/>
            </w:r>
            <w:r w:rsidR="00D968BF" w:rsidRPr="005128E6">
              <w:rPr>
                <w:rStyle w:val="Hyperlink"/>
                <w:noProof/>
                <w:shd w:val="clear" w:color="auto" w:fill="FFFF00"/>
              </w:rPr>
              <w:t>Setting X factors for the final decision before the start of the regulatory control period</w:t>
            </w:r>
            <w:r w:rsidR="00D968BF">
              <w:rPr>
                <w:noProof/>
                <w:webHidden/>
              </w:rPr>
              <w:tab/>
            </w:r>
            <w:r w:rsidR="00D968BF">
              <w:rPr>
                <w:noProof/>
                <w:webHidden/>
              </w:rPr>
              <w:fldChar w:fldCharType="begin"/>
            </w:r>
            <w:r w:rsidR="00D968BF">
              <w:rPr>
                <w:noProof/>
                <w:webHidden/>
              </w:rPr>
              <w:instrText xml:space="preserve"> PAGEREF _Toc400092718 \h </w:instrText>
            </w:r>
            <w:r w:rsidR="00D968BF">
              <w:rPr>
                <w:noProof/>
                <w:webHidden/>
              </w:rPr>
            </w:r>
            <w:r w:rsidR="00D968BF">
              <w:rPr>
                <w:noProof/>
                <w:webHidden/>
              </w:rPr>
              <w:fldChar w:fldCharType="separate"/>
            </w:r>
            <w:r w:rsidR="00D968BF">
              <w:rPr>
                <w:noProof/>
                <w:webHidden/>
              </w:rPr>
              <w:t>29</w:t>
            </w:r>
            <w:r w:rsidR="00D968BF">
              <w:rPr>
                <w:noProof/>
                <w:webHidden/>
              </w:rPr>
              <w:fldChar w:fldCharType="end"/>
            </w:r>
          </w:hyperlink>
        </w:p>
        <w:p w:rsidR="00D968BF" w:rsidRDefault="00CC1ED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0092719" w:history="1">
            <w:r w:rsidR="00D968BF" w:rsidRPr="005128E6">
              <w:rPr>
                <w:rStyle w:val="Hyperlink"/>
                <w:noProof/>
              </w:rPr>
              <w:t>3.2</w:t>
            </w:r>
            <w:r w:rsidR="00D968BF">
              <w:rPr>
                <w:rFonts w:asciiTheme="minorHAnsi" w:eastAsiaTheme="minorEastAsia" w:hAnsiTheme="minorHAnsi" w:cstheme="minorBidi"/>
                <w:iCs w:val="0"/>
                <w:noProof/>
                <w:sz w:val="22"/>
                <w:szCs w:val="22"/>
                <w:lang w:eastAsia="en-AU"/>
              </w:rPr>
              <w:tab/>
            </w:r>
            <w:r w:rsidR="00D968BF" w:rsidRPr="005128E6">
              <w:rPr>
                <w:rStyle w:val="Hyperlink"/>
                <w:noProof/>
                <w:shd w:val="clear" w:color="auto" w:fill="FFFF00"/>
              </w:rPr>
              <w:t xml:space="preserve">Updating X factors to incorporate the annual update to the trailing average portfolio return on </w:t>
            </w:r>
            <w:r w:rsidR="00D968BF">
              <w:rPr>
                <w:rStyle w:val="Hyperlink"/>
              </w:rPr>
              <w:tab/>
            </w:r>
            <w:r w:rsidR="00D968BF" w:rsidRPr="005128E6">
              <w:rPr>
                <w:rStyle w:val="Hyperlink"/>
                <w:noProof/>
                <w:shd w:val="clear" w:color="auto" w:fill="FFFF00"/>
              </w:rPr>
              <w:t>debt</w:t>
            </w:r>
            <w:r w:rsidR="00D968BF">
              <w:rPr>
                <w:noProof/>
                <w:webHidden/>
              </w:rPr>
              <w:tab/>
            </w:r>
            <w:r w:rsidR="00D968BF">
              <w:rPr>
                <w:noProof/>
                <w:webHidden/>
              </w:rPr>
              <w:fldChar w:fldCharType="begin"/>
            </w:r>
            <w:r w:rsidR="00D968BF">
              <w:rPr>
                <w:noProof/>
                <w:webHidden/>
              </w:rPr>
              <w:instrText xml:space="preserve"> PAGEREF _Toc400092719 \h </w:instrText>
            </w:r>
            <w:r w:rsidR="00D968BF">
              <w:rPr>
                <w:noProof/>
                <w:webHidden/>
              </w:rPr>
            </w:r>
            <w:r w:rsidR="00D968BF">
              <w:rPr>
                <w:noProof/>
                <w:webHidden/>
              </w:rPr>
              <w:fldChar w:fldCharType="separate"/>
            </w:r>
            <w:r w:rsidR="00D968BF">
              <w:rPr>
                <w:noProof/>
                <w:webHidden/>
              </w:rPr>
              <w:t>30</w:t>
            </w:r>
            <w:r w:rsidR="00D968BF">
              <w:rPr>
                <w:noProof/>
                <w:webHidden/>
              </w:rPr>
              <w:fldChar w:fldCharType="end"/>
            </w:r>
          </w:hyperlink>
        </w:p>
        <w:p w:rsidR="00F0258A" w:rsidRPr="00F0258A" w:rsidRDefault="00F0258A">
          <w:r w:rsidRPr="00F0258A">
            <w:fldChar w:fldCharType="end"/>
          </w:r>
        </w:p>
      </w:sdtContent>
    </w:sdt>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UnnumberedHeading"/>
      </w:pPr>
      <w:bookmarkStart w:id="1" w:name="_Toc400092680"/>
      <w:r>
        <w:lastRenderedPageBreak/>
        <w:t>Shortened forms</w:t>
      </w:r>
      <w:bookmarkEnd w:id="1"/>
    </w:p>
    <w:tbl>
      <w:tblPr>
        <w:tblStyle w:val="AERtable-numbers"/>
        <w:tblW w:w="0" w:type="auto"/>
        <w:tblLook w:val="04A0" w:firstRow="1" w:lastRow="0" w:firstColumn="1" w:lastColumn="0" w:noHBand="0" w:noVBand="1"/>
      </w:tblPr>
      <w:tblGrid>
        <w:gridCol w:w="4621"/>
        <w:gridCol w:w="4621"/>
      </w:tblGrid>
      <w:tr w:rsidR="003B7FE3" w:rsidTr="003B7F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B7FE3" w:rsidRDefault="003B7FE3" w:rsidP="003B7FE3">
            <w:pPr>
              <w:pStyle w:val="AERbodytext"/>
            </w:pPr>
            <w:r>
              <w:t>Shortened form</w:t>
            </w:r>
          </w:p>
        </w:tc>
        <w:tc>
          <w:tcPr>
            <w:tcW w:w="4621" w:type="dxa"/>
          </w:tcPr>
          <w:p w:rsidR="003B7FE3" w:rsidRDefault="003B7FE3" w:rsidP="003B7FE3">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07690A" w:rsidTr="00A76707">
        <w:tc>
          <w:tcPr>
            <w:cnfStyle w:val="001000000000" w:firstRow="0" w:lastRow="0" w:firstColumn="1" w:lastColumn="0" w:oddVBand="0" w:evenVBand="0" w:oddHBand="0" w:evenHBand="0" w:firstRowFirstColumn="0" w:firstRowLastColumn="0" w:lastRowFirstColumn="0" w:lastRowLastColumn="0"/>
            <w:tcW w:w="4621" w:type="dxa"/>
            <w:vAlign w:val="top"/>
          </w:tcPr>
          <w:p w:rsidR="0007690A" w:rsidRPr="0007690A" w:rsidRDefault="0007690A" w:rsidP="00A76707">
            <w:r w:rsidRPr="0007690A">
              <w:t>ABBRR</w:t>
            </w:r>
          </w:p>
        </w:tc>
        <w:tc>
          <w:tcPr>
            <w:tcW w:w="4621" w:type="dxa"/>
            <w:vAlign w:val="top"/>
          </w:tcPr>
          <w:p w:rsidR="0007690A" w:rsidRPr="0007690A" w:rsidRDefault="0007690A" w:rsidP="00A76707">
            <w:pPr>
              <w:cnfStyle w:val="000000000000" w:firstRow="0" w:lastRow="0" w:firstColumn="0" w:lastColumn="0" w:oddVBand="0" w:evenVBand="0" w:oddHBand="0" w:evenHBand="0" w:firstRowFirstColumn="0" w:firstRowLastColumn="0" w:lastRowFirstColumn="0" w:lastRowLastColumn="0"/>
            </w:pPr>
            <w:r w:rsidRPr="0007690A">
              <w:t xml:space="preserve">annual building block revenue requirement </w:t>
            </w:r>
          </w:p>
        </w:tc>
      </w:tr>
      <w:tr w:rsidR="0007690A" w:rsidTr="00A76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top"/>
          </w:tcPr>
          <w:p w:rsidR="0007690A" w:rsidRPr="0007690A" w:rsidRDefault="0007690A" w:rsidP="00A76707">
            <w:r w:rsidRPr="0007690A">
              <w:t>AER</w:t>
            </w:r>
          </w:p>
        </w:tc>
        <w:tc>
          <w:tcPr>
            <w:tcW w:w="4621" w:type="dxa"/>
            <w:vAlign w:val="top"/>
          </w:tcPr>
          <w:p w:rsidR="0007690A" w:rsidRPr="0007690A" w:rsidRDefault="0007690A" w:rsidP="00A76707">
            <w:pPr>
              <w:cnfStyle w:val="000000010000" w:firstRow="0" w:lastRow="0" w:firstColumn="0" w:lastColumn="0" w:oddVBand="0" w:evenVBand="0" w:oddHBand="0" w:evenHBand="1" w:firstRowFirstColumn="0" w:firstRowLastColumn="0" w:lastRowFirstColumn="0" w:lastRowLastColumn="0"/>
            </w:pPr>
            <w:r w:rsidRPr="0007690A">
              <w:t xml:space="preserve">Australian Energy Regulator </w:t>
            </w:r>
          </w:p>
        </w:tc>
      </w:tr>
      <w:tr w:rsidR="0007690A" w:rsidTr="00A76707">
        <w:tc>
          <w:tcPr>
            <w:cnfStyle w:val="001000000000" w:firstRow="0" w:lastRow="0" w:firstColumn="1" w:lastColumn="0" w:oddVBand="0" w:evenVBand="0" w:oddHBand="0" w:evenHBand="0" w:firstRowFirstColumn="0" w:firstRowLastColumn="0" w:lastRowFirstColumn="0" w:lastRowLastColumn="0"/>
            <w:tcW w:w="4621" w:type="dxa"/>
            <w:vAlign w:val="top"/>
          </w:tcPr>
          <w:p w:rsidR="0007690A" w:rsidRPr="0007690A" w:rsidRDefault="0007690A" w:rsidP="00A76707">
            <w:r w:rsidRPr="0007690A">
              <w:t>ATO</w:t>
            </w:r>
          </w:p>
        </w:tc>
        <w:tc>
          <w:tcPr>
            <w:tcW w:w="4621" w:type="dxa"/>
            <w:vAlign w:val="top"/>
          </w:tcPr>
          <w:p w:rsidR="0007690A" w:rsidRPr="0007690A" w:rsidRDefault="0007690A" w:rsidP="00A76707">
            <w:pPr>
              <w:cnfStyle w:val="000000000000" w:firstRow="0" w:lastRow="0" w:firstColumn="0" w:lastColumn="0" w:oddVBand="0" w:evenVBand="0" w:oddHBand="0" w:evenHBand="0" w:firstRowFirstColumn="0" w:firstRowLastColumn="0" w:lastRowFirstColumn="0" w:lastRowLastColumn="0"/>
            </w:pPr>
            <w:r w:rsidRPr="0007690A">
              <w:t xml:space="preserve">Australian Tax Office </w:t>
            </w:r>
          </w:p>
        </w:tc>
      </w:tr>
      <w:tr w:rsidR="0007690A" w:rsidTr="00A76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top"/>
          </w:tcPr>
          <w:p w:rsidR="0007690A" w:rsidRPr="0007690A" w:rsidRDefault="0007690A" w:rsidP="00A76707">
            <w:proofErr w:type="spellStart"/>
            <w:r w:rsidRPr="0007690A">
              <w:t>capex</w:t>
            </w:r>
            <w:proofErr w:type="spellEnd"/>
          </w:p>
        </w:tc>
        <w:tc>
          <w:tcPr>
            <w:tcW w:w="4621" w:type="dxa"/>
            <w:vAlign w:val="top"/>
          </w:tcPr>
          <w:p w:rsidR="0007690A" w:rsidRPr="0007690A" w:rsidRDefault="0007690A" w:rsidP="00A76707">
            <w:pPr>
              <w:cnfStyle w:val="000000010000" w:firstRow="0" w:lastRow="0" w:firstColumn="0" w:lastColumn="0" w:oddVBand="0" w:evenVBand="0" w:oddHBand="0" w:evenHBand="1" w:firstRowFirstColumn="0" w:firstRowLastColumn="0" w:lastRowFirstColumn="0" w:lastRowLastColumn="0"/>
            </w:pPr>
            <w:r w:rsidRPr="0007690A">
              <w:t>capital expenditure</w:t>
            </w:r>
          </w:p>
        </w:tc>
      </w:tr>
      <w:tr w:rsidR="0007690A" w:rsidTr="00A76707">
        <w:tc>
          <w:tcPr>
            <w:cnfStyle w:val="001000000000" w:firstRow="0" w:lastRow="0" w:firstColumn="1" w:lastColumn="0" w:oddVBand="0" w:evenVBand="0" w:oddHBand="0" w:evenHBand="0" w:firstRowFirstColumn="0" w:firstRowLastColumn="0" w:lastRowFirstColumn="0" w:lastRowLastColumn="0"/>
            <w:tcW w:w="4621" w:type="dxa"/>
            <w:vAlign w:val="top"/>
          </w:tcPr>
          <w:p w:rsidR="0007690A" w:rsidRPr="0007690A" w:rsidRDefault="0007690A" w:rsidP="00A76707">
            <w:r w:rsidRPr="0007690A">
              <w:t>CPI</w:t>
            </w:r>
          </w:p>
        </w:tc>
        <w:tc>
          <w:tcPr>
            <w:tcW w:w="4621" w:type="dxa"/>
            <w:vAlign w:val="top"/>
          </w:tcPr>
          <w:p w:rsidR="0007690A" w:rsidRPr="0007690A" w:rsidRDefault="0007690A" w:rsidP="00A76707">
            <w:pPr>
              <w:cnfStyle w:val="000000000000" w:firstRow="0" w:lastRow="0" w:firstColumn="0" w:lastColumn="0" w:oddVBand="0" w:evenVBand="0" w:oddHBand="0" w:evenHBand="0" w:firstRowFirstColumn="0" w:firstRowLastColumn="0" w:lastRowFirstColumn="0" w:lastRowLastColumn="0"/>
            </w:pPr>
            <w:r w:rsidRPr="0007690A">
              <w:t>consumer price index</w:t>
            </w:r>
          </w:p>
        </w:tc>
      </w:tr>
      <w:tr w:rsidR="0007690A" w:rsidTr="00A76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top"/>
          </w:tcPr>
          <w:p w:rsidR="0007690A" w:rsidRPr="0007690A" w:rsidRDefault="0007690A" w:rsidP="00A76707">
            <w:r w:rsidRPr="0007690A">
              <w:t>IRR</w:t>
            </w:r>
          </w:p>
        </w:tc>
        <w:tc>
          <w:tcPr>
            <w:tcW w:w="4621" w:type="dxa"/>
            <w:vAlign w:val="top"/>
          </w:tcPr>
          <w:p w:rsidR="0007690A" w:rsidRPr="0007690A" w:rsidRDefault="0007690A" w:rsidP="00A76707">
            <w:pPr>
              <w:cnfStyle w:val="000000010000" w:firstRow="0" w:lastRow="0" w:firstColumn="0" w:lastColumn="0" w:oddVBand="0" w:evenVBand="0" w:oddHBand="0" w:evenHBand="1" w:firstRowFirstColumn="0" w:firstRowLastColumn="0" w:lastRowFirstColumn="0" w:lastRowLastColumn="0"/>
            </w:pPr>
            <w:r w:rsidRPr="0007690A">
              <w:t xml:space="preserve">internal rate of return </w:t>
            </w:r>
          </w:p>
        </w:tc>
      </w:tr>
      <w:tr w:rsidR="0007690A" w:rsidTr="00A76707">
        <w:tc>
          <w:tcPr>
            <w:cnfStyle w:val="001000000000" w:firstRow="0" w:lastRow="0" w:firstColumn="1" w:lastColumn="0" w:oddVBand="0" w:evenVBand="0" w:oddHBand="0" w:evenHBand="0" w:firstRowFirstColumn="0" w:firstRowLastColumn="0" w:lastRowFirstColumn="0" w:lastRowLastColumn="0"/>
            <w:tcW w:w="4621" w:type="dxa"/>
            <w:vAlign w:val="top"/>
          </w:tcPr>
          <w:p w:rsidR="0007690A" w:rsidRPr="0007690A" w:rsidRDefault="0007690A" w:rsidP="00A76707">
            <w:r w:rsidRPr="0007690A">
              <w:t>MAR</w:t>
            </w:r>
          </w:p>
        </w:tc>
        <w:tc>
          <w:tcPr>
            <w:tcW w:w="4621" w:type="dxa"/>
            <w:vAlign w:val="top"/>
          </w:tcPr>
          <w:p w:rsidR="0007690A" w:rsidRPr="0007690A" w:rsidRDefault="0007690A" w:rsidP="00A76707">
            <w:pPr>
              <w:cnfStyle w:val="000000000000" w:firstRow="0" w:lastRow="0" w:firstColumn="0" w:lastColumn="0" w:oddVBand="0" w:evenVBand="0" w:oddHBand="0" w:evenHBand="0" w:firstRowFirstColumn="0" w:firstRowLastColumn="0" w:lastRowFirstColumn="0" w:lastRowLastColumn="0"/>
            </w:pPr>
            <w:r w:rsidRPr="0007690A">
              <w:t>maximum allowed revenue</w:t>
            </w:r>
          </w:p>
        </w:tc>
      </w:tr>
      <w:tr w:rsidR="0007690A" w:rsidTr="00A76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top"/>
          </w:tcPr>
          <w:p w:rsidR="0007690A" w:rsidRPr="0007690A" w:rsidRDefault="0007690A" w:rsidP="00A76707">
            <w:r w:rsidRPr="0007690A">
              <w:t>NEL</w:t>
            </w:r>
          </w:p>
        </w:tc>
        <w:tc>
          <w:tcPr>
            <w:tcW w:w="4621" w:type="dxa"/>
            <w:vAlign w:val="top"/>
          </w:tcPr>
          <w:p w:rsidR="0007690A" w:rsidRPr="0007690A" w:rsidRDefault="0007690A" w:rsidP="00A76707">
            <w:pPr>
              <w:cnfStyle w:val="000000010000" w:firstRow="0" w:lastRow="0" w:firstColumn="0" w:lastColumn="0" w:oddVBand="0" w:evenVBand="0" w:oddHBand="0" w:evenHBand="1" w:firstRowFirstColumn="0" w:firstRowLastColumn="0" w:lastRowFirstColumn="0" w:lastRowLastColumn="0"/>
            </w:pPr>
            <w:r w:rsidRPr="0007690A">
              <w:t>National Electricity Law</w:t>
            </w:r>
          </w:p>
        </w:tc>
      </w:tr>
      <w:tr w:rsidR="0007690A" w:rsidTr="00A76707">
        <w:tc>
          <w:tcPr>
            <w:cnfStyle w:val="001000000000" w:firstRow="0" w:lastRow="0" w:firstColumn="1" w:lastColumn="0" w:oddVBand="0" w:evenVBand="0" w:oddHBand="0" w:evenHBand="0" w:firstRowFirstColumn="0" w:firstRowLastColumn="0" w:lastRowFirstColumn="0" w:lastRowLastColumn="0"/>
            <w:tcW w:w="4621" w:type="dxa"/>
            <w:vAlign w:val="top"/>
          </w:tcPr>
          <w:p w:rsidR="0007690A" w:rsidRPr="0007690A" w:rsidRDefault="0007690A" w:rsidP="00A76707">
            <w:r w:rsidRPr="0007690A">
              <w:t>NER</w:t>
            </w:r>
          </w:p>
        </w:tc>
        <w:tc>
          <w:tcPr>
            <w:tcW w:w="4621" w:type="dxa"/>
            <w:vAlign w:val="top"/>
          </w:tcPr>
          <w:p w:rsidR="0007690A" w:rsidRPr="0007690A" w:rsidRDefault="0007690A" w:rsidP="00A76707">
            <w:pPr>
              <w:cnfStyle w:val="000000000000" w:firstRow="0" w:lastRow="0" w:firstColumn="0" w:lastColumn="0" w:oddVBand="0" w:evenVBand="0" w:oddHBand="0" w:evenHBand="0" w:firstRowFirstColumn="0" w:firstRowLastColumn="0" w:lastRowFirstColumn="0" w:lastRowLastColumn="0"/>
            </w:pPr>
            <w:r w:rsidRPr="0007690A">
              <w:t xml:space="preserve">National Electricity Rules </w:t>
            </w:r>
          </w:p>
        </w:tc>
      </w:tr>
      <w:tr w:rsidR="0007690A" w:rsidTr="00A76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top"/>
          </w:tcPr>
          <w:p w:rsidR="0007690A" w:rsidRPr="0007690A" w:rsidRDefault="0007690A" w:rsidP="00A76707">
            <w:r w:rsidRPr="0007690A">
              <w:t>NPV</w:t>
            </w:r>
          </w:p>
        </w:tc>
        <w:tc>
          <w:tcPr>
            <w:tcW w:w="4621" w:type="dxa"/>
            <w:vAlign w:val="top"/>
          </w:tcPr>
          <w:p w:rsidR="0007690A" w:rsidRPr="0007690A" w:rsidRDefault="0007690A" w:rsidP="00A76707">
            <w:pPr>
              <w:cnfStyle w:val="000000010000" w:firstRow="0" w:lastRow="0" w:firstColumn="0" w:lastColumn="0" w:oddVBand="0" w:evenVBand="0" w:oddHBand="0" w:evenHBand="1" w:firstRowFirstColumn="0" w:firstRowLastColumn="0" w:lastRowFirstColumn="0" w:lastRowLastColumn="0"/>
            </w:pPr>
            <w:r w:rsidRPr="0007690A">
              <w:t xml:space="preserve">net present value </w:t>
            </w:r>
          </w:p>
        </w:tc>
      </w:tr>
      <w:tr w:rsidR="0007690A" w:rsidTr="00A76707">
        <w:tc>
          <w:tcPr>
            <w:cnfStyle w:val="001000000000" w:firstRow="0" w:lastRow="0" w:firstColumn="1" w:lastColumn="0" w:oddVBand="0" w:evenVBand="0" w:oddHBand="0" w:evenHBand="0" w:firstRowFirstColumn="0" w:firstRowLastColumn="0" w:lastRowFirstColumn="0" w:lastRowLastColumn="0"/>
            <w:tcW w:w="4621" w:type="dxa"/>
            <w:vAlign w:val="top"/>
          </w:tcPr>
          <w:p w:rsidR="0007690A" w:rsidRPr="0007690A" w:rsidRDefault="0007690A" w:rsidP="00A76707">
            <w:proofErr w:type="spellStart"/>
            <w:r w:rsidRPr="0007690A">
              <w:t>opex</w:t>
            </w:r>
            <w:proofErr w:type="spellEnd"/>
          </w:p>
        </w:tc>
        <w:tc>
          <w:tcPr>
            <w:tcW w:w="4621" w:type="dxa"/>
            <w:vAlign w:val="top"/>
          </w:tcPr>
          <w:p w:rsidR="0007690A" w:rsidRPr="0007690A" w:rsidRDefault="0007690A" w:rsidP="00A76707">
            <w:pPr>
              <w:cnfStyle w:val="000000000000" w:firstRow="0" w:lastRow="0" w:firstColumn="0" w:lastColumn="0" w:oddVBand="0" w:evenVBand="0" w:oddHBand="0" w:evenHBand="0" w:firstRowFirstColumn="0" w:firstRowLastColumn="0" w:lastRowFirstColumn="0" w:lastRowLastColumn="0"/>
            </w:pPr>
            <w:r w:rsidRPr="0007690A">
              <w:t xml:space="preserve">operating expenditure </w:t>
            </w:r>
          </w:p>
        </w:tc>
      </w:tr>
      <w:tr w:rsidR="0007690A" w:rsidTr="00A76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top"/>
          </w:tcPr>
          <w:p w:rsidR="0007690A" w:rsidRPr="0007690A" w:rsidRDefault="0007690A" w:rsidP="00A76707">
            <w:r w:rsidRPr="0007690A">
              <w:t>PTRM</w:t>
            </w:r>
          </w:p>
        </w:tc>
        <w:tc>
          <w:tcPr>
            <w:tcW w:w="4621" w:type="dxa"/>
            <w:vAlign w:val="top"/>
          </w:tcPr>
          <w:p w:rsidR="0007690A" w:rsidRPr="0007690A" w:rsidRDefault="0007690A" w:rsidP="00A76707">
            <w:pPr>
              <w:cnfStyle w:val="000000010000" w:firstRow="0" w:lastRow="0" w:firstColumn="0" w:lastColumn="0" w:oddVBand="0" w:evenVBand="0" w:oddHBand="0" w:evenHBand="1" w:firstRowFirstColumn="0" w:firstRowLastColumn="0" w:lastRowFirstColumn="0" w:lastRowLastColumn="0"/>
            </w:pPr>
            <w:r w:rsidRPr="0007690A">
              <w:t>post-tax revenue model</w:t>
            </w:r>
          </w:p>
        </w:tc>
      </w:tr>
      <w:tr w:rsidR="0007690A" w:rsidTr="00A76707">
        <w:tc>
          <w:tcPr>
            <w:cnfStyle w:val="001000000000" w:firstRow="0" w:lastRow="0" w:firstColumn="1" w:lastColumn="0" w:oddVBand="0" w:evenVBand="0" w:oddHBand="0" w:evenHBand="0" w:firstRowFirstColumn="0" w:firstRowLastColumn="0" w:lastRowFirstColumn="0" w:lastRowLastColumn="0"/>
            <w:tcW w:w="4621" w:type="dxa"/>
            <w:vAlign w:val="top"/>
          </w:tcPr>
          <w:p w:rsidR="0007690A" w:rsidRPr="0007690A" w:rsidRDefault="0007690A" w:rsidP="00A76707">
            <w:r w:rsidRPr="0007690A">
              <w:t>PV</w:t>
            </w:r>
          </w:p>
        </w:tc>
        <w:tc>
          <w:tcPr>
            <w:tcW w:w="4621" w:type="dxa"/>
            <w:vAlign w:val="top"/>
          </w:tcPr>
          <w:p w:rsidR="0007690A" w:rsidRPr="0007690A" w:rsidRDefault="0007690A" w:rsidP="00A76707">
            <w:pPr>
              <w:cnfStyle w:val="000000000000" w:firstRow="0" w:lastRow="0" w:firstColumn="0" w:lastColumn="0" w:oddVBand="0" w:evenVBand="0" w:oddHBand="0" w:evenHBand="0" w:firstRowFirstColumn="0" w:firstRowLastColumn="0" w:lastRowFirstColumn="0" w:lastRowLastColumn="0"/>
            </w:pPr>
            <w:r w:rsidRPr="0007690A">
              <w:t xml:space="preserve">present value </w:t>
            </w:r>
          </w:p>
        </w:tc>
      </w:tr>
      <w:tr w:rsidR="0007690A" w:rsidTr="00A76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top"/>
          </w:tcPr>
          <w:p w:rsidR="0007690A" w:rsidRPr="0007690A" w:rsidRDefault="0007690A" w:rsidP="00A76707">
            <w:r w:rsidRPr="0007690A">
              <w:t>RAB</w:t>
            </w:r>
          </w:p>
        </w:tc>
        <w:tc>
          <w:tcPr>
            <w:tcW w:w="4621" w:type="dxa"/>
            <w:vAlign w:val="top"/>
          </w:tcPr>
          <w:p w:rsidR="0007690A" w:rsidRPr="0007690A" w:rsidRDefault="0007690A" w:rsidP="00A76707">
            <w:pPr>
              <w:cnfStyle w:val="000000010000" w:firstRow="0" w:lastRow="0" w:firstColumn="0" w:lastColumn="0" w:oddVBand="0" w:evenVBand="0" w:oddHBand="0" w:evenHBand="1" w:firstRowFirstColumn="0" w:firstRowLastColumn="0" w:lastRowFirstColumn="0" w:lastRowLastColumn="0"/>
            </w:pPr>
            <w:r w:rsidRPr="0007690A">
              <w:t>regulatory asset base</w:t>
            </w:r>
          </w:p>
        </w:tc>
      </w:tr>
      <w:tr w:rsidR="0007690A" w:rsidTr="00A76707">
        <w:tc>
          <w:tcPr>
            <w:cnfStyle w:val="001000000000" w:firstRow="0" w:lastRow="0" w:firstColumn="1" w:lastColumn="0" w:oddVBand="0" w:evenVBand="0" w:oddHBand="0" w:evenHBand="0" w:firstRowFirstColumn="0" w:firstRowLastColumn="0" w:lastRowFirstColumn="0" w:lastRowLastColumn="0"/>
            <w:tcW w:w="4621" w:type="dxa"/>
            <w:vAlign w:val="top"/>
          </w:tcPr>
          <w:p w:rsidR="0007690A" w:rsidRPr="0007690A" w:rsidRDefault="0007690A" w:rsidP="00A76707">
            <w:r w:rsidRPr="0007690A">
              <w:t>RFM</w:t>
            </w:r>
          </w:p>
        </w:tc>
        <w:tc>
          <w:tcPr>
            <w:tcW w:w="4621" w:type="dxa"/>
            <w:vAlign w:val="top"/>
          </w:tcPr>
          <w:p w:rsidR="0007690A" w:rsidRPr="0007690A" w:rsidRDefault="0007690A" w:rsidP="00A76707">
            <w:pPr>
              <w:cnfStyle w:val="000000000000" w:firstRow="0" w:lastRow="0" w:firstColumn="0" w:lastColumn="0" w:oddVBand="0" w:evenVBand="0" w:oddHBand="0" w:evenHBand="0" w:firstRowFirstColumn="0" w:firstRowLastColumn="0" w:lastRowFirstColumn="0" w:lastRowLastColumn="0"/>
            </w:pPr>
            <w:r w:rsidRPr="0007690A">
              <w:t>roll forward model</w:t>
            </w:r>
          </w:p>
        </w:tc>
      </w:tr>
      <w:tr w:rsidR="0007690A" w:rsidTr="00A76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top"/>
          </w:tcPr>
          <w:p w:rsidR="0007690A" w:rsidRPr="0007690A" w:rsidRDefault="0007690A" w:rsidP="00A76707">
            <w:r w:rsidRPr="0007690A">
              <w:t>TAB</w:t>
            </w:r>
          </w:p>
        </w:tc>
        <w:tc>
          <w:tcPr>
            <w:tcW w:w="4621" w:type="dxa"/>
            <w:vAlign w:val="top"/>
          </w:tcPr>
          <w:p w:rsidR="0007690A" w:rsidRPr="0007690A" w:rsidRDefault="0007690A" w:rsidP="00A76707">
            <w:pPr>
              <w:cnfStyle w:val="000000010000" w:firstRow="0" w:lastRow="0" w:firstColumn="0" w:lastColumn="0" w:oddVBand="0" w:evenVBand="0" w:oddHBand="0" w:evenHBand="1" w:firstRowFirstColumn="0" w:firstRowLastColumn="0" w:lastRowFirstColumn="0" w:lastRowLastColumn="0"/>
            </w:pPr>
            <w:r w:rsidRPr="0007690A">
              <w:t>tax asset base</w:t>
            </w:r>
          </w:p>
        </w:tc>
      </w:tr>
      <w:tr w:rsidR="0007690A" w:rsidTr="00A76707">
        <w:tc>
          <w:tcPr>
            <w:cnfStyle w:val="001000000000" w:firstRow="0" w:lastRow="0" w:firstColumn="1" w:lastColumn="0" w:oddVBand="0" w:evenVBand="0" w:oddHBand="0" w:evenHBand="0" w:firstRowFirstColumn="0" w:firstRowLastColumn="0" w:lastRowFirstColumn="0" w:lastRowLastColumn="0"/>
            <w:tcW w:w="4621" w:type="dxa"/>
            <w:vAlign w:val="top"/>
          </w:tcPr>
          <w:p w:rsidR="0007690A" w:rsidRPr="0007690A" w:rsidRDefault="0007690A" w:rsidP="00A76707">
            <w:r w:rsidRPr="0007690A">
              <w:t>TNSP</w:t>
            </w:r>
          </w:p>
        </w:tc>
        <w:tc>
          <w:tcPr>
            <w:tcW w:w="4621" w:type="dxa"/>
            <w:vAlign w:val="top"/>
          </w:tcPr>
          <w:p w:rsidR="0007690A" w:rsidRPr="0007690A" w:rsidRDefault="0007690A" w:rsidP="00A76707">
            <w:pPr>
              <w:cnfStyle w:val="000000000000" w:firstRow="0" w:lastRow="0" w:firstColumn="0" w:lastColumn="0" w:oddVBand="0" w:evenVBand="0" w:oddHBand="0" w:evenHBand="0" w:firstRowFirstColumn="0" w:firstRowLastColumn="0" w:lastRowFirstColumn="0" w:lastRowLastColumn="0"/>
            </w:pPr>
            <w:r w:rsidRPr="0007690A">
              <w:t xml:space="preserve">transmission network service provider </w:t>
            </w:r>
          </w:p>
        </w:tc>
      </w:tr>
      <w:tr w:rsidR="0007690A" w:rsidTr="00A76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top"/>
          </w:tcPr>
          <w:p w:rsidR="0007690A" w:rsidRPr="0007690A" w:rsidRDefault="0007690A" w:rsidP="00A76707">
            <w:r w:rsidRPr="0007690A">
              <w:t>WACC</w:t>
            </w:r>
          </w:p>
        </w:tc>
        <w:tc>
          <w:tcPr>
            <w:tcW w:w="4621" w:type="dxa"/>
            <w:vAlign w:val="top"/>
          </w:tcPr>
          <w:p w:rsidR="0007690A" w:rsidRPr="0007690A" w:rsidRDefault="0007690A" w:rsidP="00A76707">
            <w:pPr>
              <w:cnfStyle w:val="000000010000" w:firstRow="0" w:lastRow="0" w:firstColumn="0" w:lastColumn="0" w:oddVBand="0" w:evenVBand="0" w:oddHBand="0" w:evenHBand="1" w:firstRowFirstColumn="0" w:firstRowLastColumn="0" w:lastRowFirstColumn="0" w:lastRowLastColumn="0"/>
            </w:pPr>
            <w:r w:rsidRPr="0007690A">
              <w:t>weighted average cost of capital</w:t>
            </w:r>
          </w:p>
        </w:tc>
      </w:tr>
    </w:tbl>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00B44" w:rsidP="00300B44">
      <w:pPr>
        <w:pStyle w:val="Heading1"/>
      </w:pPr>
      <w:bookmarkStart w:id="2" w:name="_Toc400092681"/>
      <w:r>
        <w:lastRenderedPageBreak/>
        <w:t>Nature and Authority</w:t>
      </w:r>
      <w:bookmarkEnd w:id="2"/>
    </w:p>
    <w:p w:rsidR="003B7FE3" w:rsidRDefault="00300B44" w:rsidP="00300B44">
      <w:pPr>
        <w:pStyle w:val="Heading2"/>
      </w:pPr>
      <w:bookmarkStart w:id="3" w:name="_Toc400092682"/>
      <w:r>
        <w:t>Introduction</w:t>
      </w:r>
      <w:bookmarkEnd w:id="3"/>
    </w:p>
    <w:p w:rsidR="00300B44" w:rsidRPr="00300B44" w:rsidRDefault="00300B44" w:rsidP="00300B44">
      <w:pPr>
        <w:pStyle w:val="AERbodytext"/>
      </w:pPr>
      <w:r w:rsidRPr="00300B44">
        <w:t xml:space="preserve">This handbook sets out the Australian Energy Regulator’s (AER) post-tax revenue model (PTRM) for electricity transmission network service providers (TNSPs). The PTRM is a series of Microsoft Excel </w:t>
      </w:r>
      <w:proofErr w:type="spellStart"/>
      <w:r w:rsidRPr="00300B44">
        <w:t>spreadsheets</w:t>
      </w:r>
      <w:proofErr w:type="spellEnd"/>
      <w:r w:rsidRPr="00300B44">
        <w:t xml:space="preserve"> developed in accordance with the requirements of clause 6A.5.1 of the National Electricity Rules (NER).</w:t>
      </w:r>
    </w:p>
    <w:p w:rsidR="00300B44" w:rsidRDefault="00300B44" w:rsidP="00300B44">
      <w:pPr>
        <w:pStyle w:val="Heading2"/>
      </w:pPr>
      <w:bookmarkStart w:id="4" w:name="_Toc400092683"/>
      <w:r>
        <w:t>Authority</w:t>
      </w:r>
      <w:bookmarkEnd w:id="4"/>
    </w:p>
    <w:p w:rsidR="00300B44" w:rsidRPr="00300B44" w:rsidRDefault="00300B44" w:rsidP="00300B44">
      <w:pPr>
        <w:pStyle w:val="AERbodytext"/>
      </w:pPr>
      <w:r w:rsidRPr="00300B44">
        <w:t xml:space="preserve">Clause </w:t>
      </w:r>
      <w:proofErr w:type="gramStart"/>
      <w:r w:rsidRPr="00300B44">
        <w:t>6A.5.2(</w:t>
      </w:r>
      <w:proofErr w:type="gramEnd"/>
      <w:r w:rsidRPr="00300B44">
        <w:t>a) of the NER requires the AER to develop and publish the PTRM, in accordance with the transmission consultation procedures.</w:t>
      </w:r>
    </w:p>
    <w:p w:rsidR="00300B44" w:rsidRDefault="00300B44" w:rsidP="00300B44">
      <w:pPr>
        <w:pStyle w:val="Heading2"/>
      </w:pPr>
      <w:bookmarkStart w:id="5" w:name="_Toc400092684"/>
      <w:r>
        <w:t>Role of the Model</w:t>
      </w:r>
      <w:bookmarkEnd w:id="5"/>
    </w:p>
    <w:p w:rsidR="00300B44" w:rsidRPr="00300B44" w:rsidRDefault="00300B44" w:rsidP="00300B44">
      <w:pPr>
        <w:pStyle w:val="AERbodytext"/>
      </w:pPr>
      <w:r w:rsidRPr="00300B44">
        <w:t xml:space="preserve">The PTRM is used by the AER to determine the </w:t>
      </w:r>
      <w:r w:rsidR="001311B6">
        <w:t xml:space="preserve">TNSP's </w:t>
      </w:r>
      <w:r w:rsidRPr="00300B44">
        <w:t>annual building block revenue requirement (ABBRR) and maximum allowed revenue (MAR) for each regulatory year of a regulatory control period. The TNSP uses the MAR to calculate the transmission prices to be paid by network users at each connection point in its network.</w:t>
      </w:r>
    </w:p>
    <w:p w:rsidR="00300B44" w:rsidRDefault="00300B44" w:rsidP="00300B44">
      <w:pPr>
        <w:pStyle w:val="Heading2"/>
      </w:pPr>
      <w:bookmarkStart w:id="6" w:name="_Toc400092685"/>
      <w:r>
        <w:t>Confidentiality</w:t>
      </w:r>
      <w:bookmarkEnd w:id="6"/>
    </w:p>
    <w:p w:rsidR="00300B44" w:rsidRPr="00300B44" w:rsidRDefault="00300B44" w:rsidP="001311B6">
      <w:pPr>
        <w:pStyle w:val="AERbodytext"/>
      </w:pPr>
      <w:r w:rsidRPr="00300B44">
        <w:t xml:space="preserve">The AER’s obligations regarding confidentiality and the disclosure of information provided to it by a TNSP are governed by the </w:t>
      </w:r>
      <w:r w:rsidRPr="001311B6">
        <w:rPr>
          <w:rStyle w:val="AERtextitalic"/>
        </w:rPr>
        <w:t>Competition and Consumer Act 2010</w:t>
      </w:r>
      <w:r w:rsidR="001311B6">
        <w:rPr>
          <w:rStyle w:val="AERtextitalic"/>
        </w:rPr>
        <w:t xml:space="preserve"> </w:t>
      </w:r>
      <w:r w:rsidR="001311B6" w:rsidRPr="001311B6">
        <w:rPr>
          <w:rStyle w:val="AERtextitalic"/>
          <w:i w:val="0"/>
        </w:rPr>
        <w:t>(</w:t>
      </w:r>
      <w:proofErr w:type="spellStart"/>
      <w:r w:rsidR="001311B6" w:rsidRPr="001311B6">
        <w:rPr>
          <w:rStyle w:val="AERtextitalic"/>
          <w:i w:val="0"/>
        </w:rPr>
        <w:t>Cth</w:t>
      </w:r>
      <w:proofErr w:type="spellEnd"/>
      <w:r w:rsidR="001311B6" w:rsidRPr="001311B6">
        <w:rPr>
          <w:rStyle w:val="AERtextitalic"/>
          <w:i w:val="0"/>
        </w:rPr>
        <w:t>)</w:t>
      </w:r>
      <w:r w:rsidRPr="001311B6">
        <w:t>,</w:t>
      </w:r>
      <w:r w:rsidRPr="00300B44">
        <w:t xml:space="preserve"> the National Electricity Law (NEL) and the NER.</w:t>
      </w:r>
    </w:p>
    <w:p w:rsidR="00300B44" w:rsidRDefault="00300B44" w:rsidP="00300B44">
      <w:pPr>
        <w:pStyle w:val="Heading2"/>
      </w:pPr>
      <w:bookmarkStart w:id="7" w:name="_Toc400092686"/>
      <w:r>
        <w:t>Process for revision</w:t>
      </w:r>
      <w:bookmarkEnd w:id="7"/>
    </w:p>
    <w:p w:rsidR="00300B44" w:rsidRPr="00300B44" w:rsidRDefault="00300B44" w:rsidP="00300B44">
      <w:pPr>
        <w:pStyle w:val="AERbodytext"/>
      </w:pPr>
      <w:r w:rsidRPr="00300B44">
        <w:t xml:space="preserve">The AER may amend or replace the PTRM from time to time in accordance with clause </w:t>
      </w:r>
      <w:proofErr w:type="gramStart"/>
      <w:r w:rsidRPr="00300B44">
        <w:t>6A.5.2(</w:t>
      </w:r>
      <w:proofErr w:type="gramEnd"/>
      <w:r w:rsidRPr="00300B44">
        <w:t xml:space="preserve">b) of the NER and the transmission consultation procedures in clause 6A.20 of the NER. </w:t>
      </w:r>
      <w:r w:rsidRPr="00130566">
        <w:rPr>
          <w:rStyle w:val="AERtexthighlight"/>
        </w:rPr>
        <w:t>The AER will publish a revised version of this handbook to accompany each new version of the PTRM it amends or replaces in the future.</w:t>
      </w:r>
    </w:p>
    <w:p w:rsidR="00300B44" w:rsidRDefault="00300B44" w:rsidP="00300B44">
      <w:pPr>
        <w:pStyle w:val="Heading2"/>
      </w:pPr>
      <w:bookmarkStart w:id="8" w:name="_Toc400092687"/>
      <w:r>
        <w:t>Version history and effective date</w:t>
      </w:r>
      <w:bookmarkEnd w:id="8"/>
    </w:p>
    <w:p w:rsidR="00300B44" w:rsidRPr="00300B44" w:rsidRDefault="00964A1B" w:rsidP="00964A1B">
      <w:pPr>
        <w:pStyle w:val="AERbodytext"/>
      </w:pPr>
      <w:r w:rsidRPr="00964A1B">
        <w:t>A version number and an effective date of issue will identify each version of this handbook.</w:t>
      </w: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C30A9B" w:rsidP="003B7FE3">
      <w:pPr>
        <w:pStyle w:val="Heading1"/>
      </w:pPr>
      <w:bookmarkStart w:id="9" w:name="_Toc400092688"/>
      <w:r>
        <w:lastRenderedPageBreak/>
        <w:t>The model</w:t>
      </w:r>
      <w:bookmarkEnd w:id="9"/>
    </w:p>
    <w:p w:rsidR="005854EF" w:rsidRPr="005854EF" w:rsidRDefault="005854EF" w:rsidP="005854EF">
      <w:pPr>
        <w:pStyle w:val="AERbodytext"/>
      </w:pPr>
      <w:r w:rsidRPr="005854EF">
        <w:t xml:space="preserve">The PTRM is a set of Microsoft Excel </w:t>
      </w:r>
      <w:proofErr w:type="spellStart"/>
      <w:r w:rsidRPr="005854EF">
        <w:t>spreadsheets</w:t>
      </w:r>
      <w:proofErr w:type="spellEnd"/>
      <w:r w:rsidRPr="005854EF">
        <w:t xml:space="preserve"> that perform iterative calculations to derive the </w:t>
      </w:r>
      <w:r w:rsidR="001311B6">
        <w:t xml:space="preserve">ABRR, </w:t>
      </w:r>
      <w:r w:rsidRPr="005854EF">
        <w:t xml:space="preserve">MAR </w:t>
      </w:r>
      <w:r w:rsidR="001311B6">
        <w:t xml:space="preserve">and X factors </w:t>
      </w:r>
      <w:r w:rsidRPr="005854EF">
        <w:t xml:space="preserve">for </w:t>
      </w:r>
      <w:r w:rsidR="001311B6">
        <w:t xml:space="preserve">each regulatory year of </w:t>
      </w:r>
      <w:r w:rsidRPr="005854EF">
        <w:t>the regulatory control perio</w:t>
      </w:r>
      <w:r w:rsidR="001311B6">
        <w:t>d from a given set of inputs.</w:t>
      </w:r>
      <w:r w:rsidR="001311B6">
        <w:rPr>
          <w:rStyle w:val="FootnoteReference"/>
        </w:rPr>
        <w:footnoteReference w:id="1"/>
      </w:r>
      <w:r w:rsidR="001311B6">
        <w:t xml:space="preserve"> </w:t>
      </w:r>
      <w:r w:rsidRPr="005854EF">
        <w:t xml:space="preserve">The PTRM allows the user to vary the inputs to assess their impact on output data such as the MAR, X factors and other derived parameters. </w:t>
      </w:r>
    </w:p>
    <w:p w:rsidR="005854EF" w:rsidRPr="005854EF" w:rsidRDefault="005854EF" w:rsidP="005854EF">
      <w:pPr>
        <w:pStyle w:val="AERbodytext"/>
      </w:pPr>
      <w:r w:rsidRPr="005854EF">
        <w:t>The PTRM is configured to:</w:t>
      </w:r>
    </w:p>
    <w:p w:rsidR="005854EF" w:rsidRPr="000B1108" w:rsidRDefault="005854EF" w:rsidP="005854EF">
      <w:pPr>
        <w:pStyle w:val="AERbulletlistfirststyle"/>
        <w:rPr>
          <w:rStyle w:val="AERtexthighlight"/>
        </w:rPr>
      </w:pPr>
      <w:r w:rsidRPr="000B1108">
        <w:rPr>
          <w:rStyle w:val="AERtexthighlight"/>
        </w:rPr>
        <w:t>perform interim calculations automatically whenever an input is recorded</w:t>
      </w:r>
    </w:p>
    <w:p w:rsidR="005854EF" w:rsidRPr="000B1108" w:rsidRDefault="005854EF" w:rsidP="005854EF">
      <w:pPr>
        <w:pStyle w:val="AERbulletlistfirststyle"/>
        <w:rPr>
          <w:rStyle w:val="AERtexthighlight"/>
        </w:rPr>
      </w:pPr>
      <w:proofErr w:type="gramStart"/>
      <w:r w:rsidRPr="000B1108">
        <w:rPr>
          <w:rStyle w:val="AERtexthighlight"/>
        </w:rPr>
        <w:t>perform</w:t>
      </w:r>
      <w:proofErr w:type="gramEnd"/>
      <w:r w:rsidRPr="000B1108">
        <w:rPr>
          <w:rStyle w:val="AERtexthighlight"/>
        </w:rPr>
        <w:t xml:space="preserve"> revenue smoothing calculations and equity raising cost updates manually via buttons that will trigger built in macros.</w:t>
      </w:r>
    </w:p>
    <w:p w:rsidR="003B7FE3" w:rsidRDefault="00C30A9B" w:rsidP="003B7FE3">
      <w:pPr>
        <w:pStyle w:val="Heading2"/>
      </w:pPr>
      <w:bookmarkStart w:id="10" w:name="_Toc400092689"/>
      <w:r>
        <w:t>Input sheet</w:t>
      </w:r>
      <w:bookmarkEnd w:id="10"/>
    </w:p>
    <w:p w:rsidR="005854EF" w:rsidRPr="005854EF" w:rsidRDefault="005854EF" w:rsidP="005854EF">
      <w:pPr>
        <w:pStyle w:val="AERbodytext"/>
      </w:pPr>
      <w:r w:rsidRPr="005854EF">
        <w:t xml:space="preserve">The </w:t>
      </w:r>
      <w:r w:rsidRPr="005854EF">
        <w:rPr>
          <w:rStyle w:val="AERtextbold"/>
        </w:rPr>
        <w:t>Input</w:t>
      </w:r>
      <w:r w:rsidRPr="005854EF">
        <w:t xml:space="preserve"> sheet provides for key input variables to be entered in the PTRM. They are automatically linked to corresponding cells in the relevant sheets. Values should be entered into each cell that has light blue shading. This sheet comprises of the following sections:</w:t>
      </w:r>
    </w:p>
    <w:p w:rsidR="005854EF" w:rsidRPr="005854EF" w:rsidRDefault="005854EF" w:rsidP="005854EF">
      <w:pPr>
        <w:pStyle w:val="AERbulletlistfirststyle"/>
      </w:pPr>
      <w:r w:rsidRPr="005854EF">
        <w:t>opening regulatory asset base (RAB) and opening tax asset base (TAB)</w:t>
      </w:r>
    </w:p>
    <w:p w:rsidR="005854EF" w:rsidRPr="005854EF" w:rsidRDefault="005854EF" w:rsidP="005854EF">
      <w:pPr>
        <w:pStyle w:val="AERbulletlistfirststyle"/>
      </w:pPr>
      <w:r w:rsidRPr="005854EF">
        <w:t>forecast real capital expenditure (</w:t>
      </w:r>
      <w:proofErr w:type="spellStart"/>
      <w:r w:rsidRPr="005854EF">
        <w:t>capex</w:t>
      </w:r>
      <w:proofErr w:type="spellEnd"/>
      <w:r w:rsidRPr="005854EF">
        <w:t>)—as-incurred</w:t>
      </w:r>
    </w:p>
    <w:p w:rsidR="005854EF" w:rsidRPr="005854EF" w:rsidRDefault="005854EF" w:rsidP="005854EF">
      <w:pPr>
        <w:pStyle w:val="AERbulletlistfirststyle"/>
      </w:pPr>
      <w:r w:rsidRPr="005854EF">
        <w:t>forecast real asset disposals—as-incurred</w:t>
      </w:r>
    </w:p>
    <w:p w:rsidR="005854EF" w:rsidRPr="005854EF" w:rsidRDefault="005854EF" w:rsidP="005854EF">
      <w:pPr>
        <w:pStyle w:val="AERbulletlistfirststyle"/>
      </w:pPr>
      <w:r w:rsidRPr="005854EF">
        <w:t xml:space="preserve">forecast real net </w:t>
      </w:r>
      <w:proofErr w:type="spellStart"/>
      <w:r w:rsidRPr="005854EF">
        <w:t>capex</w:t>
      </w:r>
      <w:proofErr w:type="spellEnd"/>
      <w:r w:rsidRPr="005854EF">
        <w:t>—as-incurred</w:t>
      </w:r>
    </w:p>
    <w:p w:rsidR="005854EF" w:rsidRPr="005854EF" w:rsidRDefault="005854EF" w:rsidP="005854EF">
      <w:pPr>
        <w:pStyle w:val="AERbulletlistfirststyle"/>
      </w:pPr>
      <w:r w:rsidRPr="005854EF">
        <w:t xml:space="preserve">forecast real </w:t>
      </w:r>
      <w:proofErr w:type="spellStart"/>
      <w:r w:rsidRPr="005854EF">
        <w:t>capex</w:t>
      </w:r>
      <w:proofErr w:type="spellEnd"/>
      <w:r w:rsidRPr="005854EF">
        <w:t>—as commissioned</w:t>
      </w:r>
    </w:p>
    <w:p w:rsidR="005854EF" w:rsidRPr="005854EF" w:rsidRDefault="005854EF" w:rsidP="005854EF">
      <w:pPr>
        <w:pStyle w:val="AERbulletlistfirststyle"/>
      </w:pPr>
      <w:r w:rsidRPr="005854EF">
        <w:t>forecast real asset disposals—as-de-commissioned</w:t>
      </w:r>
    </w:p>
    <w:p w:rsidR="005854EF" w:rsidRPr="005854EF" w:rsidRDefault="005854EF" w:rsidP="005854EF">
      <w:pPr>
        <w:pStyle w:val="AERbulletlistfirststyle"/>
      </w:pPr>
      <w:r w:rsidRPr="005854EF">
        <w:t xml:space="preserve">forecast real net </w:t>
      </w:r>
      <w:proofErr w:type="spellStart"/>
      <w:r w:rsidRPr="005854EF">
        <w:t>capex</w:t>
      </w:r>
      <w:proofErr w:type="spellEnd"/>
      <w:r w:rsidRPr="005854EF">
        <w:t>—as-commissioned</w:t>
      </w:r>
    </w:p>
    <w:p w:rsidR="005854EF" w:rsidRPr="005854EF" w:rsidRDefault="005854EF" w:rsidP="005854EF">
      <w:pPr>
        <w:pStyle w:val="AERbulletlistfirststyle"/>
      </w:pPr>
      <w:r w:rsidRPr="005854EF">
        <w:t>forecast real operating expenditure (</w:t>
      </w:r>
      <w:proofErr w:type="spellStart"/>
      <w:r w:rsidRPr="005854EF">
        <w:t>opex</w:t>
      </w:r>
      <w:proofErr w:type="spellEnd"/>
      <w:r w:rsidRPr="005854EF">
        <w:t>)</w:t>
      </w:r>
    </w:p>
    <w:p w:rsidR="00E571E2" w:rsidRDefault="00E571E2" w:rsidP="005854EF">
      <w:pPr>
        <w:pStyle w:val="AERbulletlistfirststyle"/>
      </w:pPr>
      <w:r>
        <w:t>revenue adjustments from other use of prescribed transmission assets</w:t>
      </w:r>
    </w:p>
    <w:p w:rsidR="005854EF" w:rsidRPr="005854EF" w:rsidRDefault="005854EF" w:rsidP="005854EF">
      <w:pPr>
        <w:pStyle w:val="AERbulletlistfirststyle"/>
      </w:pPr>
      <w:r w:rsidRPr="005854EF">
        <w:t>expected taxation rate</w:t>
      </w:r>
    </w:p>
    <w:p w:rsidR="005854EF" w:rsidRPr="005854EF" w:rsidRDefault="005854EF" w:rsidP="005854EF">
      <w:pPr>
        <w:pStyle w:val="AERbulletlistfirststyle"/>
      </w:pPr>
      <w:r w:rsidRPr="005854EF">
        <w:t>cost of capital</w:t>
      </w:r>
    </w:p>
    <w:p w:rsidR="005854EF" w:rsidRPr="005854EF" w:rsidRDefault="005854EF" w:rsidP="005854EF">
      <w:pPr>
        <w:pStyle w:val="AERbulletlistfirststyle"/>
      </w:pPr>
      <w:r w:rsidRPr="005854EF">
        <w:t>debt and equity raising costs—transaction costs</w:t>
      </w:r>
    </w:p>
    <w:p w:rsidR="005854EF" w:rsidRPr="005854EF" w:rsidRDefault="005854EF" w:rsidP="005854EF">
      <w:pPr>
        <w:pStyle w:val="AERbulletlistfirststyle"/>
      </w:pPr>
      <w:r w:rsidRPr="005854EF">
        <w:t>MAR for the current year</w:t>
      </w:r>
    </w:p>
    <w:p w:rsidR="005854EF" w:rsidRPr="005854EF" w:rsidRDefault="005854EF" w:rsidP="005854EF">
      <w:pPr>
        <w:pStyle w:val="AERbulletlistfirststyle"/>
      </w:pPr>
      <w:proofErr w:type="gramStart"/>
      <w:r w:rsidRPr="005854EF">
        <w:t>energy</w:t>
      </w:r>
      <w:proofErr w:type="gramEnd"/>
      <w:r w:rsidRPr="005854EF">
        <w:t xml:space="preserve"> delivered forecast.</w:t>
      </w:r>
    </w:p>
    <w:p w:rsidR="00F070B5" w:rsidRPr="00F070B5" w:rsidRDefault="00F070B5" w:rsidP="00F070B5">
      <w:pPr>
        <w:pStyle w:val="AERbodytext"/>
        <w:rPr>
          <w:rStyle w:val="AERtexthighlight"/>
        </w:rPr>
      </w:pPr>
      <w:r w:rsidRPr="00F070B5">
        <w:rPr>
          <w:rStyle w:val="AERtexthighlight"/>
        </w:rPr>
        <w:t xml:space="preserve">Some inputs may need to be specified outside of </w:t>
      </w:r>
      <w:r w:rsidRPr="00717317">
        <w:rPr>
          <w:rStyle w:val="AERtexthighlight"/>
          <w:highlight w:val="yellow"/>
        </w:rPr>
        <w:t xml:space="preserve">the </w:t>
      </w:r>
      <w:r w:rsidRPr="00717317">
        <w:rPr>
          <w:rStyle w:val="AERtextbold"/>
          <w:highlight w:val="yellow"/>
        </w:rPr>
        <w:t xml:space="preserve">Input </w:t>
      </w:r>
      <w:r w:rsidRPr="00717317">
        <w:rPr>
          <w:rStyle w:val="AERtexthighlight"/>
          <w:highlight w:val="yellow"/>
        </w:rPr>
        <w:t xml:space="preserve">sheet to capture a specific situation (e.g. tax loss carried forward in the </w:t>
      </w:r>
      <w:r w:rsidRPr="00717317">
        <w:rPr>
          <w:rStyle w:val="AERtextbold"/>
          <w:highlight w:val="yellow"/>
        </w:rPr>
        <w:t>Analysis</w:t>
      </w:r>
      <w:r w:rsidRPr="00717317">
        <w:rPr>
          <w:rStyle w:val="AERtexthighlight"/>
          <w:highlight w:val="yellow"/>
        </w:rPr>
        <w:t xml:space="preserve"> sheet or selection of X factors in the </w:t>
      </w:r>
      <w:r w:rsidRPr="00717317">
        <w:rPr>
          <w:rStyle w:val="AERtextbold"/>
          <w:highlight w:val="yellow"/>
        </w:rPr>
        <w:t>X factors</w:t>
      </w:r>
      <w:r w:rsidRPr="00F070B5">
        <w:rPr>
          <w:rStyle w:val="AERtexthighlight"/>
        </w:rPr>
        <w:t xml:space="preserve"> sheet). These cells are also marked with light blue shading and are addressed when they arise.</w:t>
      </w:r>
    </w:p>
    <w:p w:rsidR="005854EF" w:rsidRDefault="00BB1BF2" w:rsidP="005854EF">
      <w:pPr>
        <w:pStyle w:val="AERbodytext"/>
      </w:pPr>
      <w:r>
        <w:lastRenderedPageBreak/>
        <w:fldChar w:fldCharType="begin"/>
      </w:r>
      <w:r>
        <w:instrText xml:space="preserve"> REF _Ref398112069 \h </w:instrText>
      </w:r>
      <w:r>
        <w:fldChar w:fldCharType="separate"/>
      </w:r>
      <w:r>
        <w:t xml:space="preserve">Figure </w:t>
      </w:r>
      <w:r>
        <w:rPr>
          <w:noProof/>
        </w:rPr>
        <w:t>1</w:t>
      </w:r>
      <w:r>
        <w:fldChar w:fldCharType="end"/>
      </w:r>
      <w:r>
        <w:t xml:space="preserve"> </w:t>
      </w:r>
      <w:r w:rsidR="002A0A8D">
        <w:t xml:space="preserve">and </w:t>
      </w:r>
      <w:r w:rsidR="002A0A8D">
        <w:fldChar w:fldCharType="begin"/>
      </w:r>
      <w:r w:rsidR="002A0A8D">
        <w:instrText xml:space="preserve"> REF _Ref398815797 \h </w:instrText>
      </w:r>
      <w:r w:rsidR="002A0A8D">
        <w:fldChar w:fldCharType="separate"/>
      </w:r>
      <w:r w:rsidR="002A0A8D">
        <w:t xml:space="preserve">Figure </w:t>
      </w:r>
      <w:r w:rsidR="002A0A8D">
        <w:rPr>
          <w:noProof/>
        </w:rPr>
        <w:t>2</w:t>
      </w:r>
      <w:r w:rsidR="002A0A8D">
        <w:fldChar w:fldCharType="end"/>
      </w:r>
      <w:r w:rsidR="002A0A8D">
        <w:t xml:space="preserve"> </w:t>
      </w:r>
      <w:r w:rsidR="005854EF" w:rsidRPr="005854EF">
        <w:t>provide</w:t>
      </w:r>
      <w:r w:rsidR="002A0A8D">
        <w:t xml:space="preserve"> </w:t>
      </w:r>
      <w:r w:rsidR="005854EF" w:rsidRPr="005854EF">
        <w:t>example</w:t>
      </w:r>
      <w:r w:rsidR="002A0A8D">
        <w:t>s</w:t>
      </w:r>
      <w:r w:rsidR="005854EF" w:rsidRPr="005854EF">
        <w:t xml:space="preserve"> of the </w:t>
      </w:r>
      <w:r w:rsidR="005854EF" w:rsidRPr="005854EF">
        <w:rPr>
          <w:rStyle w:val="AERtextbold"/>
        </w:rPr>
        <w:t>Input</w:t>
      </w:r>
      <w:r w:rsidR="005854EF" w:rsidRPr="005854EF">
        <w:t xml:space="preserve"> sheet.</w:t>
      </w:r>
    </w:p>
    <w:p w:rsidR="00BB1BF2" w:rsidRDefault="00BB1BF2" w:rsidP="00BB1BF2">
      <w:pPr>
        <w:pStyle w:val="Caption"/>
      </w:pPr>
      <w:bookmarkStart w:id="11" w:name="_Ref398112069"/>
      <w:r>
        <w:t xml:space="preserve">Figure </w:t>
      </w:r>
      <w:r w:rsidR="00CC1EDC">
        <w:fldChar w:fldCharType="begin"/>
      </w:r>
      <w:r w:rsidR="00CC1EDC">
        <w:instrText xml:space="preserve"> SEQ Figure \* ARABIC </w:instrText>
      </w:r>
      <w:r w:rsidR="00CC1EDC">
        <w:fldChar w:fldCharType="separate"/>
      </w:r>
      <w:r w:rsidR="00017432">
        <w:rPr>
          <w:noProof/>
        </w:rPr>
        <w:t>1</w:t>
      </w:r>
      <w:r w:rsidR="00CC1EDC">
        <w:rPr>
          <w:noProof/>
        </w:rPr>
        <w:fldChar w:fldCharType="end"/>
      </w:r>
      <w:bookmarkEnd w:id="11"/>
      <w:r w:rsidR="001311B6">
        <w:tab/>
        <w:t>Input sheet–</w:t>
      </w:r>
      <w:r w:rsidR="002A0A8D">
        <w:t>first screenshot</w:t>
      </w:r>
    </w:p>
    <w:p w:rsidR="0066781E" w:rsidRDefault="003E093F" w:rsidP="00717317">
      <w:pPr>
        <w:pStyle w:val="AERbodytext"/>
      </w:pPr>
      <w:r w:rsidRPr="00E56517">
        <w:rPr>
          <w:noProof/>
          <w:lang w:eastAsia="en-AU"/>
        </w:rPr>
        <w:drawing>
          <wp:inline distT="0" distB="0" distL="0" distR="0" wp14:anchorId="7D21610E" wp14:editId="04953EB1">
            <wp:extent cx="5727700" cy="3614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3614420"/>
                    </a:xfrm>
                    <a:prstGeom prst="rect">
                      <a:avLst/>
                    </a:prstGeom>
                    <a:noFill/>
                    <a:ln>
                      <a:noFill/>
                    </a:ln>
                  </pic:spPr>
                </pic:pic>
              </a:graphicData>
            </a:graphic>
          </wp:inline>
        </w:drawing>
      </w:r>
    </w:p>
    <w:p w:rsidR="003E093F" w:rsidRDefault="003E093F">
      <w:pPr>
        <w:pStyle w:val="Caption"/>
      </w:pPr>
      <w:bookmarkStart w:id="12" w:name="_Ref398815797"/>
      <w:r>
        <w:t xml:space="preserve">Figure </w:t>
      </w:r>
      <w:r w:rsidR="00CC1EDC">
        <w:fldChar w:fldCharType="begin"/>
      </w:r>
      <w:r w:rsidR="00CC1EDC">
        <w:instrText xml:space="preserve"> SEQ Figure \* ARABIC </w:instrText>
      </w:r>
      <w:r w:rsidR="00CC1EDC">
        <w:fldChar w:fldCharType="separate"/>
      </w:r>
      <w:r w:rsidR="00017432">
        <w:rPr>
          <w:noProof/>
        </w:rPr>
        <w:t>2</w:t>
      </w:r>
      <w:r w:rsidR="00CC1EDC">
        <w:rPr>
          <w:noProof/>
        </w:rPr>
        <w:fldChar w:fldCharType="end"/>
      </w:r>
      <w:bookmarkEnd w:id="12"/>
      <w:r w:rsidR="001311B6">
        <w:tab/>
        <w:t>Input sheet–</w:t>
      </w:r>
      <w:r w:rsidR="002A0A8D">
        <w:t>second screenshot</w:t>
      </w:r>
    </w:p>
    <w:p w:rsidR="003E093F" w:rsidRPr="00E56517" w:rsidRDefault="003E093F" w:rsidP="00717317">
      <w:pPr>
        <w:pStyle w:val="AERbodytext"/>
      </w:pPr>
      <w:r w:rsidRPr="00E56517">
        <w:rPr>
          <w:noProof/>
          <w:lang w:eastAsia="en-AU"/>
        </w:rPr>
        <w:drawing>
          <wp:inline distT="0" distB="0" distL="0" distR="0" wp14:anchorId="6C92AF4A" wp14:editId="525BA36A">
            <wp:extent cx="5727700" cy="262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2622550"/>
                    </a:xfrm>
                    <a:prstGeom prst="rect">
                      <a:avLst/>
                    </a:prstGeom>
                    <a:noFill/>
                    <a:ln>
                      <a:noFill/>
                    </a:ln>
                  </pic:spPr>
                </pic:pic>
              </a:graphicData>
            </a:graphic>
          </wp:inline>
        </w:drawing>
      </w:r>
    </w:p>
    <w:p w:rsidR="008C6A82" w:rsidRPr="00A81B8A" w:rsidRDefault="008C6A82" w:rsidP="008C6A82">
      <w:pPr>
        <w:pStyle w:val="AERbodytext"/>
        <w:rPr>
          <w:rStyle w:val="AERtexthighlight"/>
        </w:rPr>
      </w:pPr>
      <w:r w:rsidRPr="00A81B8A">
        <w:rPr>
          <w:rStyle w:val="AERtexthighlight"/>
        </w:rPr>
        <w:t xml:space="preserve">The PTRM can accommodate input data for up to a 10-year regulatory control period. Input cells outside of the relevant regulatory control period should be left blank. </w:t>
      </w:r>
    </w:p>
    <w:p w:rsidR="008C6A82" w:rsidRPr="008C6A82" w:rsidRDefault="008C6A82" w:rsidP="008C6A82">
      <w:pPr>
        <w:pStyle w:val="AERbodytext"/>
      </w:pPr>
      <w:r w:rsidRPr="008C6A82">
        <w:t xml:space="preserve">The PTRM is configured to use the straight-line method as the default position for calculating depreciation for regulatory and tax purposes. After consultation with the AER, TNSPs may propose that depreciation profiles other than the straight-line method be accommodated within the PTRM as part of pre-lodgement discussions and subject to satisfying the requirements at clause </w:t>
      </w:r>
      <w:proofErr w:type="gramStart"/>
      <w:r w:rsidRPr="008C6A82">
        <w:t>6A.6.3(</w:t>
      </w:r>
      <w:proofErr w:type="gramEnd"/>
      <w:r w:rsidRPr="008C6A82">
        <w:t xml:space="preserve">b) and 6A.6.4 of the NER respectively. </w:t>
      </w:r>
    </w:p>
    <w:p w:rsidR="005854EF" w:rsidRPr="005854EF" w:rsidRDefault="008C6A82" w:rsidP="008C6A82">
      <w:pPr>
        <w:pStyle w:val="AERbodytext"/>
      </w:pPr>
      <w:r w:rsidRPr="008C6A82">
        <w:lastRenderedPageBreak/>
        <w:t xml:space="preserve">The PTRM is also configured to recognise </w:t>
      </w:r>
      <w:proofErr w:type="spellStart"/>
      <w:r w:rsidRPr="008C6A82">
        <w:t>capex</w:t>
      </w:r>
      <w:proofErr w:type="spellEnd"/>
      <w:r w:rsidRPr="008C6A82">
        <w:t xml:space="preserve"> on a partially as-incurred (hybrid) approach.</w:t>
      </w:r>
      <w:r w:rsidR="00036E2D">
        <w:rPr>
          <w:rStyle w:val="FootnoteReference"/>
        </w:rPr>
        <w:footnoteReference w:id="2"/>
      </w:r>
      <w:r w:rsidRPr="008C6A82">
        <w:t xml:space="preserve"> As such, two RABs determined on the basis of as-incurred </w:t>
      </w:r>
      <w:proofErr w:type="spellStart"/>
      <w:r w:rsidRPr="008C6A82">
        <w:t>capex</w:t>
      </w:r>
      <w:proofErr w:type="spellEnd"/>
      <w:r w:rsidRPr="008C6A82">
        <w:t xml:space="preserve"> and as-commissioned </w:t>
      </w:r>
      <w:proofErr w:type="spellStart"/>
      <w:r w:rsidRPr="008C6A82">
        <w:t>capex</w:t>
      </w:r>
      <w:proofErr w:type="spellEnd"/>
      <w:r w:rsidRPr="008C6A82">
        <w:t xml:space="preserve"> are required to calculate the return on capital and the return of capital respectively.</w:t>
      </w:r>
    </w:p>
    <w:p w:rsidR="00C30A9B" w:rsidRDefault="00C30A9B" w:rsidP="00C30A9B">
      <w:pPr>
        <w:pStyle w:val="Heading3"/>
      </w:pPr>
      <w:bookmarkStart w:id="13" w:name="_Toc400092690"/>
      <w:r>
        <w:t>Opening regulatory asset base and opening tax base</w:t>
      </w:r>
      <w:bookmarkEnd w:id="13"/>
    </w:p>
    <w:p w:rsidR="00C61E7A" w:rsidRPr="00C61E7A" w:rsidRDefault="00C61E7A" w:rsidP="00C61E7A">
      <w:pPr>
        <w:pStyle w:val="AERbodytext"/>
      </w:pPr>
      <w:r w:rsidRPr="00C61E7A">
        <w:t xml:space="preserve">The opening RAB is the value of assets on which a return will be earned. The opening TAB is used to calculate depreciation for tax purposes. The </w:t>
      </w:r>
      <w:r w:rsidRPr="00C61E7A">
        <w:rPr>
          <w:rStyle w:val="AERtextbold"/>
        </w:rPr>
        <w:t>Input</w:t>
      </w:r>
      <w:r w:rsidRPr="00C61E7A">
        <w:t xml:space="preserve"> sheet requires values for the opening RAB (broken into asset classes in rows 7 to </w:t>
      </w:r>
      <w:r w:rsidR="00E571E2" w:rsidRPr="00C61E7A">
        <w:t>5</w:t>
      </w:r>
      <w:r w:rsidR="00E571E2">
        <w:t>6</w:t>
      </w:r>
      <w:r w:rsidRPr="00C61E7A">
        <w:t>) and opening TAB at the start of the first year of the next regulatory control period.</w:t>
      </w:r>
      <w:r w:rsidR="005A09A2">
        <w:rPr>
          <w:rStyle w:val="FootnoteReference"/>
        </w:rPr>
        <w:footnoteReference w:id="3"/>
      </w:r>
      <w:r w:rsidRPr="00C61E7A">
        <w:t xml:space="preserve"> The RAB and TAB will differ each year to reflect forecast </w:t>
      </w:r>
      <w:proofErr w:type="spellStart"/>
      <w:r w:rsidRPr="00C61E7A">
        <w:t>capex</w:t>
      </w:r>
      <w:proofErr w:type="spellEnd"/>
      <w:r w:rsidRPr="00C61E7A">
        <w:t xml:space="preserve"> (as-incurred for the RAB or as-commissioned for the </w:t>
      </w:r>
      <w:r w:rsidR="00211511">
        <w:t>TAB</w:t>
      </w:r>
      <w:r w:rsidRPr="00C61E7A">
        <w:t xml:space="preserve">), asset disposals and regulatory depreciation (for the RAB) or tax depreciation (for the TAB). </w:t>
      </w:r>
    </w:p>
    <w:p w:rsidR="00C61E7A" w:rsidRDefault="00C61E7A" w:rsidP="00C61E7A">
      <w:pPr>
        <w:pStyle w:val="AERbodytext"/>
      </w:pPr>
      <w:r w:rsidRPr="00C61E7A">
        <w:t xml:space="preserve">The recorded input values are linked to the </w:t>
      </w:r>
      <w:r w:rsidRPr="00C61E7A">
        <w:rPr>
          <w:rStyle w:val="AERtextbold"/>
        </w:rPr>
        <w:t>Assets</w:t>
      </w:r>
      <w:r w:rsidRPr="00C61E7A">
        <w:t xml:space="preserve"> sheet, which also calculates depreciation for the next regulatory control period. Notes have also been included for various cells with specific comments and explanations about the relevance of the inputs.</w:t>
      </w:r>
    </w:p>
    <w:p w:rsidR="00C61E7A" w:rsidRDefault="00C61E7A" w:rsidP="00C61E7A">
      <w:pPr>
        <w:pStyle w:val="HeadingBoldBlue"/>
      </w:pPr>
      <w:r>
        <w:t>Asset class name</w:t>
      </w:r>
    </w:p>
    <w:p w:rsidR="00C61E7A" w:rsidRPr="00C61E7A" w:rsidRDefault="00C61E7A" w:rsidP="00C61E7A">
      <w:pPr>
        <w:pStyle w:val="AERbodytext"/>
      </w:pPr>
      <w:r w:rsidRPr="00C61E7A">
        <w:t xml:space="preserve">The asset classes/names are recorded in column G. It is important that the number of asset classes recorded in the RAB section matches the number of asset classes identified in the </w:t>
      </w:r>
      <w:proofErr w:type="spellStart"/>
      <w:r w:rsidRPr="00C61E7A">
        <w:t>capex</w:t>
      </w:r>
      <w:proofErr w:type="spellEnd"/>
      <w:r w:rsidRPr="00C61E7A">
        <w:t xml:space="preserve"> section. This allows the PTRM to model consistent depreciation across the asset classes. </w:t>
      </w:r>
    </w:p>
    <w:p w:rsidR="00C61E7A" w:rsidRPr="00C61E7A" w:rsidRDefault="00C61E7A" w:rsidP="00C61E7A">
      <w:pPr>
        <w:pStyle w:val="AERbodytext"/>
      </w:pPr>
      <w:r w:rsidRPr="00C61E7A">
        <w:t>The PTRM is configured to accommodate up to 50 asset classes.</w:t>
      </w:r>
      <w:r w:rsidR="00036E2D">
        <w:rPr>
          <w:rStyle w:val="FootnoteReference"/>
        </w:rPr>
        <w:footnoteReference w:id="4"/>
      </w:r>
      <w:r w:rsidRPr="00C61E7A">
        <w:t xml:space="preserve">  The number of asset classes used in the PTRM will vary between businesses.</w:t>
      </w:r>
      <w:r w:rsidR="00E571E2">
        <w:rPr>
          <w:rStyle w:val="FootnoteReference"/>
        </w:rPr>
        <w:footnoteReference w:id="5"/>
      </w:r>
      <w:r w:rsidRPr="00C61E7A">
        <w:t xml:space="preserve"> However, for each business the number of asset classes used in the PTRM must be consistent with that used in the AER’s roll forward model (RFM) to allow the closing RAB values determined in the RFM to be used as inputs to the opening RAB values in the PTRM. </w:t>
      </w:r>
      <w:r w:rsidRPr="00A81B8A">
        <w:rPr>
          <w:rStyle w:val="AERtexthighlight"/>
        </w:rPr>
        <w:t>RAB values by asset class derived from the RFM may be aggregated or disaggregated when forming inputs for the PTRM where this demonstrably improves the accuracy or administrative convenience of asset calculations.</w:t>
      </w:r>
    </w:p>
    <w:p w:rsidR="00C61E7A" w:rsidRPr="00C61E7A" w:rsidRDefault="00C61E7A" w:rsidP="00C61E7A">
      <w:pPr>
        <w:pStyle w:val="HeadingBoldBlue"/>
      </w:pPr>
      <w:r w:rsidRPr="00C61E7A">
        <w:t>Opening asset value (partially as-incurred)</w:t>
      </w:r>
    </w:p>
    <w:p w:rsidR="00C61E7A" w:rsidRPr="00C61E7A" w:rsidRDefault="00C61E7A" w:rsidP="00C61E7A">
      <w:pPr>
        <w:pStyle w:val="AERbodytext"/>
      </w:pPr>
      <w:r w:rsidRPr="00C61E7A">
        <w:t>The opening asset values for each asset class are recorded in column J and are manually sourced from the closing asset values (partially as-incurred) for each asset class determined in the RFM.</w:t>
      </w:r>
    </w:p>
    <w:p w:rsidR="00C61E7A" w:rsidRPr="00C61E7A" w:rsidRDefault="00C61E7A" w:rsidP="00C61E7A">
      <w:pPr>
        <w:pStyle w:val="HeadingBoldBlue"/>
      </w:pPr>
      <w:r w:rsidRPr="00C61E7A">
        <w:t>Opening asset value (as commissioned)</w:t>
      </w:r>
    </w:p>
    <w:p w:rsidR="00C61E7A" w:rsidRPr="00C61E7A" w:rsidRDefault="00C61E7A" w:rsidP="00C61E7A">
      <w:pPr>
        <w:pStyle w:val="AERbodytext"/>
      </w:pPr>
      <w:r w:rsidRPr="00C61E7A">
        <w:t>The opening asset values for each asset class are recorded in column K and are manually sourced from the closing asset values (as-commissioned) for each asset class determined in the RFM.</w:t>
      </w:r>
    </w:p>
    <w:p w:rsidR="00C61E7A" w:rsidRPr="00C61E7A" w:rsidRDefault="00C61E7A" w:rsidP="00C61E7A">
      <w:pPr>
        <w:pStyle w:val="HeadingBoldBlue"/>
      </w:pPr>
      <w:r w:rsidRPr="00C61E7A">
        <w:t>Average remaining life</w:t>
      </w:r>
    </w:p>
    <w:p w:rsidR="00C61E7A" w:rsidRPr="00C61E7A" w:rsidRDefault="00C61E7A" w:rsidP="00C61E7A">
      <w:pPr>
        <w:pStyle w:val="AERbodytext"/>
      </w:pPr>
      <w:r w:rsidRPr="00C61E7A">
        <w:t>The average remaining lives of each asset c</w:t>
      </w:r>
      <w:r>
        <w:t xml:space="preserve">lass are recorded in column L, </w:t>
      </w:r>
      <w:r w:rsidRPr="00C61E7A">
        <w:t xml:space="preserve">based on the economic lives of the assets, and are manually sourced from the closing remaining lives for each asset class determined in the RFM (using a weighted average method). </w:t>
      </w:r>
    </w:p>
    <w:p w:rsidR="00C61E7A" w:rsidRPr="00C61E7A" w:rsidRDefault="00C61E7A" w:rsidP="00C61E7A">
      <w:pPr>
        <w:pStyle w:val="HeadingBoldBlue"/>
      </w:pPr>
      <w:r w:rsidRPr="00C61E7A">
        <w:lastRenderedPageBreak/>
        <w:t>Standard life</w:t>
      </w:r>
    </w:p>
    <w:p w:rsidR="00C61E7A" w:rsidRPr="00C61E7A" w:rsidRDefault="00C61E7A" w:rsidP="00C61E7A">
      <w:pPr>
        <w:pStyle w:val="AERbodytext"/>
      </w:pPr>
      <w:r w:rsidRPr="00C61E7A">
        <w:t xml:space="preserve">The standard lives of each asset </w:t>
      </w:r>
      <w:r>
        <w:t xml:space="preserve">class are recorded in column M </w:t>
      </w:r>
      <w:r w:rsidRPr="00C61E7A">
        <w:t>and measure how long the infrastructure would physically last had it just been built.</w:t>
      </w:r>
    </w:p>
    <w:p w:rsidR="00C61E7A" w:rsidRPr="00C61E7A" w:rsidRDefault="00C61E7A" w:rsidP="00C61E7A">
      <w:pPr>
        <w:pStyle w:val="HeadingBoldBlue"/>
      </w:pPr>
      <w:r w:rsidRPr="00C61E7A">
        <w:t>Opening tax asset value</w:t>
      </w:r>
    </w:p>
    <w:p w:rsidR="00C61E7A" w:rsidRPr="00C61E7A" w:rsidRDefault="00C61E7A" w:rsidP="00C61E7A">
      <w:pPr>
        <w:pStyle w:val="AERbodytext"/>
      </w:pPr>
      <w:r w:rsidRPr="00C61E7A">
        <w:t>The opening tax asset values for each asset class are manually sourced from the closing tax asset values which have been determined in the R</w:t>
      </w:r>
      <w:r>
        <w:t>FM and are recorded in column N</w:t>
      </w:r>
      <w:r w:rsidRPr="00C61E7A">
        <w:t>.</w:t>
      </w:r>
    </w:p>
    <w:p w:rsidR="00C61E7A" w:rsidRPr="00C61E7A" w:rsidRDefault="00C61E7A" w:rsidP="00C61E7A">
      <w:pPr>
        <w:pStyle w:val="HeadingBoldBlue"/>
      </w:pPr>
      <w:r w:rsidRPr="00C61E7A">
        <w:t>Average tax remaining life</w:t>
      </w:r>
    </w:p>
    <w:p w:rsidR="00C61E7A" w:rsidRPr="00C61E7A" w:rsidRDefault="00C61E7A" w:rsidP="00C61E7A">
      <w:pPr>
        <w:pStyle w:val="AERbodytext"/>
      </w:pPr>
      <w:r w:rsidRPr="00C61E7A">
        <w:t>The average tax remaining lives of each asset class for taxation purposes are recorded in column O based on the tax lives specified by the Australian Tax Office (ATO) for the category of assets and commissioning dates.</w:t>
      </w:r>
    </w:p>
    <w:p w:rsidR="00C61E7A" w:rsidRPr="00C61E7A" w:rsidRDefault="00C61E7A" w:rsidP="00C61E7A">
      <w:pPr>
        <w:pStyle w:val="HeadingBoldBlue"/>
      </w:pPr>
      <w:r w:rsidRPr="00C61E7A">
        <w:t>Tax standard life</w:t>
      </w:r>
    </w:p>
    <w:p w:rsidR="00C61E7A" w:rsidRPr="00C61E7A" w:rsidRDefault="00C61E7A" w:rsidP="00C61E7A">
      <w:pPr>
        <w:pStyle w:val="AERbodytext"/>
      </w:pPr>
      <w:r w:rsidRPr="00C61E7A">
        <w:t>The tax standard lives of each asset class are recorded in column P.</w:t>
      </w:r>
    </w:p>
    <w:p w:rsidR="00C61E7A" w:rsidRPr="00C61E7A" w:rsidRDefault="00C61E7A" w:rsidP="00C61E7A">
      <w:pPr>
        <w:pStyle w:val="HeadingBoldBlue"/>
      </w:pPr>
      <w:r w:rsidRPr="00C61E7A">
        <w:t>Base regulatory year</w:t>
      </w:r>
    </w:p>
    <w:p w:rsidR="00C61E7A" w:rsidRPr="00C61E7A" w:rsidRDefault="00C61E7A" w:rsidP="00C61E7A">
      <w:pPr>
        <w:pStyle w:val="AERbodytext"/>
      </w:pPr>
      <w:r w:rsidRPr="00C61E7A">
        <w:t>The regulatory year for the start of the next regulatory contro</w:t>
      </w:r>
      <w:r>
        <w:t>l period is recorded in cell Q7</w:t>
      </w:r>
      <w:r w:rsidRPr="00C61E7A">
        <w:t>.</w:t>
      </w:r>
    </w:p>
    <w:p w:rsidR="00C61E7A" w:rsidRPr="00C61E7A" w:rsidRDefault="00C61E7A" w:rsidP="00C61E7A">
      <w:pPr>
        <w:pStyle w:val="HeadingBoldBlue"/>
      </w:pPr>
      <w:r w:rsidRPr="00C61E7A">
        <w:t>Length of regulatory control period</w:t>
      </w:r>
    </w:p>
    <w:p w:rsidR="00C61E7A" w:rsidRPr="00C61E7A" w:rsidRDefault="00C61E7A" w:rsidP="00C61E7A">
      <w:pPr>
        <w:pStyle w:val="AERbodytext"/>
      </w:pPr>
      <w:r w:rsidRPr="00C61E7A">
        <w:t>The number of years in the next regulatory contro</w:t>
      </w:r>
      <w:r>
        <w:t>l period is recorded in cell R7</w:t>
      </w:r>
      <w:r w:rsidRPr="00C61E7A">
        <w:t>.</w:t>
      </w:r>
    </w:p>
    <w:p w:rsidR="00C30A9B" w:rsidRDefault="00C30A9B" w:rsidP="00C30A9B">
      <w:pPr>
        <w:pStyle w:val="Heading3"/>
      </w:pPr>
      <w:bookmarkStart w:id="14" w:name="_Toc400092691"/>
      <w:r>
        <w:t>Forecast real capital expenditure—as-incurred</w:t>
      </w:r>
      <w:bookmarkEnd w:id="14"/>
    </w:p>
    <w:p w:rsidR="00393588" w:rsidRPr="00393588" w:rsidRDefault="00393588" w:rsidP="00393588">
      <w:pPr>
        <w:pStyle w:val="AERbodytext"/>
      </w:pPr>
      <w:r w:rsidRPr="00393588">
        <w:t xml:space="preserve">The forecast </w:t>
      </w:r>
      <w:proofErr w:type="spellStart"/>
      <w:r w:rsidRPr="00393588">
        <w:t>capex</w:t>
      </w:r>
      <w:proofErr w:type="spellEnd"/>
      <w:r w:rsidRPr="00393588">
        <w:t xml:space="preserve"> (as-incurred) values for the next regulatory control period are recorded for each year in rows 61 to 110 (by asset class).</w:t>
      </w:r>
      <w:r w:rsidR="00E571E2">
        <w:rPr>
          <w:rStyle w:val="FootnoteReference"/>
        </w:rPr>
        <w:footnoteReference w:id="6"/>
      </w:r>
      <w:r w:rsidRPr="00393588">
        <w:t xml:space="preserve"> </w:t>
      </w:r>
      <w:proofErr w:type="spellStart"/>
      <w:r w:rsidRPr="00393588">
        <w:t>Capex</w:t>
      </w:r>
      <w:proofErr w:type="spellEnd"/>
      <w:r w:rsidRPr="00393588">
        <w:t xml:space="preserve"> is rolled into the RAB when spending is incurred. Generally, </w:t>
      </w:r>
      <w:proofErr w:type="spellStart"/>
      <w:r w:rsidRPr="00393588">
        <w:t>capex</w:t>
      </w:r>
      <w:proofErr w:type="spellEnd"/>
      <w:r w:rsidRPr="00393588">
        <w:t xml:space="preserve"> falls into three broad categories:</w:t>
      </w:r>
    </w:p>
    <w:p w:rsidR="00393588" w:rsidRPr="00393588" w:rsidRDefault="00393588" w:rsidP="00393588">
      <w:pPr>
        <w:pStyle w:val="AERbulletlistfirststyle"/>
      </w:pPr>
      <w:r w:rsidRPr="00393588">
        <w:t>asset augmentation (e.g. works to enlarge a network or to increase the capability of a network)</w:t>
      </w:r>
    </w:p>
    <w:p w:rsidR="00393588" w:rsidRPr="00393588" w:rsidRDefault="00393588" w:rsidP="00393588">
      <w:pPr>
        <w:pStyle w:val="AERbulletlistfirststyle"/>
      </w:pPr>
      <w:r w:rsidRPr="00393588">
        <w:t>asset replacement (e.g. replacing assets that have passed their useful lives)</w:t>
      </w:r>
    </w:p>
    <w:p w:rsidR="00393588" w:rsidRPr="00393588" w:rsidRDefault="00393588" w:rsidP="00393588">
      <w:pPr>
        <w:pStyle w:val="AERbulletlistfirststyle"/>
      </w:pPr>
      <w:r w:rsidRPr="00393588">
        <w:t>non-network asset (e.g. support the business expenditure)</w:t>
      </w:r>
    </w:p>
    <w:p w:rsidR="00393588" w:rsidRPr="00393588" w:rsidRDefault="00393588" w:rsidP="00476458">
      <w:pPr>
        <w:pStyle w:val="AERbodytext"/>
      </w:pPr>
      <w:r w:rsidRPr="00393588">
        <w:t>These inputs must be reported in real terms based on start of year one</w:t>
      </w:r>
      <w:r w:rsidR="00476458">
        <w:t xml:space="preserve"> dollar terms. </w:t>
      </w:r>
    </w:p>
    <w:p w:rsidR="00C30A9B" w:rsidRDefault="00C30A9B" w:rsidP="00C30A9B">
      <w:pPr>
        <w:pStyle w:val="Heading3"/>
      </w:pPr>
      <w:bookmarkStart w:id="15" w:name="_Toc400092692"/>
      <w:r>
        <w:t>Forecast real asset disposals—as-incurred</w:t>
      </w:r>
      <w:bookmarkEnd w:id="15"/>
    </w:p>
    <w:p w:rsidR="00393588" w:rsidRPr="00393588" w:rsidRDefault="00393588" w:rsidP="00393588">
      <w:pPr>
        <w:pStyle w:val="AERbodytext"/>
      </w:pPr>
      <w:r w:rsidRPr="00393588">
        <w:t>The forecast asset disposal (as-incurred) values are recorded for the year in which the disposal is expected to</w:t>
      </w:r>
      <w:r>
        <w:t xml:space="preserve"> take place, in rows 115 to 164</w:t>
      </w:r>
      <w:r w:rsidR="005A09A2">
        <w:t xml:space="preserve"> (by asset class)</w:t>
      </w:r>
      <w:r w:rsidRPr="00393588">
        <w:t>. These inputs must be reported in real terms based on start of year one dollar terms.</w:t>
      </w:r>
    </w:p>
    <w:p w:rsidR="00C30A9B" w:rsidRDefault="00C30A9B" w:rsidP="00C30A9B">
      <w:pPr>
        <w:pStyle w:val="Heading3"/>
      </w:pPr>
      <w:bookmarkStart w:id="16" w:name="_Toc400092693"/>
      <w:r>
        <w:t>Forecast real net capital expenditure—as-incurred</w:t>
      </w:r>
      <w:bookmarkEnd w:id="16"/>
    </w:p>
    <w:p w:rsidR="00393588" w:rsidRPr="00393588" w:rsidRDefault="00393588" w:rsidP="00393588">
      <w:pPr>
        <w:pStyle w:val="AERbodytext"/>
      </w:pPr>
      <w:r w:rsidRPr="00393588">
        <w:t xml:space="preserve">This section on forecast net </w:t>
      </w:r>
      <w:proofErr w:type="spellStart"/>
      <w:r w:rsidRPr="00393588">
        <w:t>capex</w:t>
      </w:r>
      <w:proofErr w:type="spellEnd"/>
      <w:r w:rsidRPr="00393588">
        <w:t xml:space="preserve"> does not require inputs to be recorded. For each asset class, forecast net </w:t>
      </w:r>
      <w:proofErr w:type="spellStart"/>
      <w:r w:rsidRPr="00393588">
        <w:t>capex</w:t>
      </w:r>
      <w:proofErr w:type="spellEnd"/>
      <w:r w:rsidRPr="00393588">
        <w:t xml:space="preserve"> is calculated based on the recorded forecast </w:t>
      </w:r>
      <w:proofErr w:type="spellStart"/>
      <w:r w:rsidRPr="00393588">
        <w:t>capex</w:t>
      </w:r>
      <w:proofErr w:type="spellEnd"/>
      <w:r w:rsidRPr="00393588">
        <w:t xml:space="preserve"> less forecast asset disposals. Forecast net </w:t>
      </w:r>
      <w:proofErr w:type="spellStart"/>
      <w:r w:rsidRPr="00393588">
        <w:t>capex</w:t>
      </w:r>
      <w:proofErr w:type="spellEnd"/>
      <w:r w:rsidRPr="00393588">
        <w:t xml:space="preserve"> (as-incurred) values are displayed in rows 169 to 218 and form part of the roll </w:t>
      </w:r>
      <w:r w:rsidRPr="00393588">
        <w:lastRenderedPageBreak/>
        <w:t xml:space="preserve">forward of projecting the RAB in the </w:t>
      </w:r>
      <w:r w:rsidRPr="00E86EE3">
        <w:rPr>
          <w:rStyle w:val="AERtextbold"/>
        </w:rPr>
        <w:t>Assets</w:t>
      </w:r>
      <w:r w:rsidRPr="00393588">
        <w:t xml:space="preserve"> sheet. These inputs are assumed to be in real terms based on start of year one dollar terms.</w:t>
      </w:r>
    </w:p>
    <w:p w:rsidR="00C30A9B" w:rsidRDefault="00C30A9B" w:rsidP="00C30A9B">
      <w:pPr>
        <w:pStyle w:val="Heading3"/>
      </w:pPr>
      <w:bookmarkStart w:id="17" w:name="_Toc400092694"/>
      <w:r>
        <w:t>Forecast real capital expenditure—as-commissioned</w:t>
      </w:r>
      <w:bookmarkEnd w:id="17"/>
    </w:p>
    <w:p w:rsidR="00393588" w:rsidRPr="00393588" w:rsidRDefault="00393588" w:rsidP="00393588">
      <w:pPr>
        <w:pStyle w:val="AERbodytext"/>
      </w:pPr>
      <w:r w:rsidRPr="00393588">
        <w:t xml:space="preserve">The forecast </w:t>
      </w:r>
      <w:proofErr w:type="spellStart"/>
      <w:r w:rsidRPr="00393588">
        <w:t>capex</w:t>
      </w:r>
      <w:proofErr w:type="spellEnd"/>
      <w:r w:rsidRPr="00393588">
        <w:t xml:space="preserve"> (as-commissioned) values are recorded for each year in rows 223 to 272</w:t>
      </w:r>
      <w:r w:rsidR="005A09A2">
        <w:t xml:space="preserve"> (by asset class)</w:t>
      </w:r>
      <w:r w:rsidRPr="00393588">
        <w:t>. These inputs must be reported in real terms based on start of year one dollar terms.</w:t>
      </w:r>
    </w:p>
    <w:p w:rsidR="00C30A9B" w:rsidRDefault="00C30A9B" w:rsidP="00C30A9B">
      <w:pPr>
        <w:pStyle w:val="Heading3"/>
      </w:pPr>
      <w:bookmarkStart w:id="18" w:name="_Toc400092695"/>
      <w:r>
        <w:t>Forecast real asset disposals—as de-commissioned</w:t>
      </w:r>
      <w:bookmarkEnd w:id="18"/>
    </w:p>
    <w:p w:rsidR="00393588" w:rsidRPr="00393588" w:rsidRDefault="00393588" w:rsidP="00393588">
      <w:pPr>
        <w:pStyle w:val="AERbodytext"/>
      </w:pPr>
      <w:r w:rsidRPr="00393588">
        <w:t xml:space="preserve">The forecast de-commissioned asset </w:t>
      </w:r>
      <w:r w:rsidR="005A09A2">
        <w:t xml:space="preserve">disposal </w:t>
      </w:r>
      <w:r w:rsidRPr="00393588">
        <w:t>values are recorded for each year in rows 277 to 326</w:t>
      </w:r>
      <w:r w:rsidR="005A09A2">
        <w:t xml:space="preserve"> (by asset class)</w:t>
      </w:r>
      <w:r w:rsidRPr="00393588">
        <w:t>. These inputs must be reported in real terms based on start of year one dollar terms.</w:t>
      </w:r>
    </w:p>
    <w:p w:rsidR="00C30A9B" w:rsidRDefault="00C30A9B" w:rsidP="00C30A9B">
      <w:pPr>
        <w:pStyle w:val="Heading3"/>
      </w:pPr>
      <w:bookmarkStart w:id="19" w:name="_Toc400092696"/>
      <w:r>
        <w:t>Forecast real net capital expenditure—as-commissioned</w:t>
      </w:r>
      <w:bookmarkEnd w:id="19"/>
    </w:p>
    <w:p w:rsidR="00393588" w:rsidRPr="00393588" w:rsidRDefault="00393588" w:rsidP="00393588">
      <w:pPr>
        <w:pStyle w:val="AERbodytext"/>
      </w:pPr>
      <w:r w:rsidRPr="00393588">
        <w:t xml:space="preserve">This section on forecast net </w:t>
      </w:r>
      <w:proofErr w:type="spellStart"/>
      <w:r w:rsidRPr="00393588">
        <w:t>capex</w:t>
      </w:r>
      <w:proofErr w:type="spellEnd"/>
      <w:r w:rsidRPr="00393588">
        <w:t xml:space="preserve"> does not require inputs to be recorded. For each asset class, forecast net </w:t>
      </w:r>
      <w:proofErr w:type="spellStart"/>
      <w:r w:rsidRPr="00393588">
        <w:t>capex</w:t>
      </w:r>
      <w:proofErr w:type="spellEnd"/>
      <w:r w:rsidRPr="00393588">
        <w:t xml:space="preserve"> is calculated based on the recorded forecast </w:t>
      </w:r>
      <w:proofErr w:type="spellStart"/>
      <w:r w:rsidRPr="00393588">
        <w:t>capex</w:t>
      </w:r>
      <w:proofErr w:type="spellEnd"/>
      <w:r w:rsidRPr="00393588">
        <w:t xml:space="preserve"> less the value of de-commissioned assets. Forecast net </w:t>
      </w:r>
      <w:proofErr w:type="spellStart"/>
      <w:r w:rsidRPr="00393588">
        <w:t>capex</w:t>
      </w:r>
      <w:proofErr w:type="spellEnd"/>
      <w:r w:rsidRPr="00393588">
        <w:t xml:space="preserve"> (as-commissioned) values are displayed in rows 331 to 380 and are used to calculate depreciation in the </w:t>
      </w:r>
      <w:r w:rsidRPr="00E86EE3">
        <w:rPr>
          <w:rStyle w:val="AERtextbold"/>
        </w:rPr>
        <w:t>Assets</w:t>
      </w:r>
      <w:r w:rsidRPr="00393588">
        <w:t xml:space="preserve"> sheet. These inputs are assumed to be in real terms based on start of year one dollar terms.</w:t>
      </w:r>
    </w:p>
    <w:p w:rsidR="00C30A9B" w:rsidRDefault="00C30A9B" w:rsidP="00C30A9B">
      <w:pPr>
        <w:pStyle w:val="Heading3"/>
      </w:pPr>
      <w:bookmarkStart w:id="20" w:name="_Toc400092697"/>
      <w:r>
        <w:t>Forecast real operating expenditure</w:t>
      </w:r>
      <w:bookmarkEnd w:id="20"/>
    </w:p>
    <w:p w:rsidR="00F070B5" w:rsidRDefault="005D3ADA" w:rsidP="00717317">
      <w:pPr>
        <w:pStyle w:val="AERbodytext"/>
      </w:pPr>
      <w:proofErr w:type="spellStart"/>
      <w:r w:rsidRPr="005D3ADA">
        <w:t>Opex</w:t>
      </w:r>
      <w:proofErr w:type="spellEnd"/>
      <w:r w:rsidRPr="005D3ADA">
        <w:t xml:space="preserve"> typically includes items such as wages and salaries, leasing costs, costs associated with maintaining transmission assets, input costs and other service contract expenses paid to third parties. The forecast </w:t>
      </w:r>
      <w:proofErr w:type="spellStart"/>
      <w:r w:rsidRPr="005D3ADA">
        <w:t>opex</w:t>
      </w:r>
      <w:proofErr w:type="spellEnd"/>
      <w:r w:rsidRPr="005D3ADA">
        <w:t xml:space="preserve"> values for each year are recorded in rows 385 to 389, including any carryover amounts determined according to the efficiency benefit sharing s</w:t>
      </w:r>
      <w:r w:rsidR="005A09A2">
        <w:t>cheme developed by the AER. Row </w:t>
      </w:r>
      <w:r w:rsidRPr="005D3ADA">
        <w:t xml:space="preserve">390 </w:t>
      </w:r>
      <w:r w:rsidR="005A09A2">
        <w:t xml:space="preserve">displays </w:t>
      </w:r>
      <w:r w:rsidR="005A09A2" w:rsidRPr="005D3ADA">
        <w:t>benchmark debt raising cost</w:t>
      </w:r>
      <w:r w:rsidR="005A09A2">
        <w:t xml:space="preserve"> and</w:t>
      </w:r>
      <w:r w:rsidR="005A09A2" w:rsidRPr="005D3ADA">
        <w:t xml:space="preserve"> </w:t>
      </w:r>
      <w:r w:rsidRPr="005D3ADA">
        <w:t>does not require inputs to be recorded because the calculation is formula-driven</w:t>
      </w:r>
      <w:r w:rsidR="005A09A2">
        <w:t>,</w:t>
      </w:r>
      <w:r w:rsidRPr="005D3ADA">
        <w:t xml:space="preserve"> and is based on the practice of treating the allowance as an </w:t>
      </w:r>
      <w:proofErr w:type="spellStart"/>
      <w:r w:rsidRPr="005D3ADA">
        <w:t>opex</w:t>
      </w:r>
      <w:proofErr w:type="spellEnd"/>
      <w:r w:rsidRPr="005D3ADA">
        <w:t xml:space="preserve"> line item. Additional </w:t>
      </w:r>
      <w:proofErr w:type="spellStart"/>
      <w:r w:rsidRPr="005D3ADA">
        <w:t>opex</w:t>
      </w:r>
      <w:proofErr w:type="spellEnd"/>
      <w:r w:rsidRPr="005D3ADA">
        <w:t xml:space="preserve"> inputs can be recorded by adding rows to this section—click on the button </w:t>
      </w:r>
      <w:r w:rsidRPr="00717317">
        <w:t xml:space="preserve">labelled </w:t>
      </w:r>
      <w:r w:rsidR="00717317" w:rsidRPr="00717317">
        <w:t>'</w:t>
      </w:r>
      <w:r w:rsidRPr="00717317">
        <w:rPr>
          <w:rStyle w:val="AERtextbold"/>
          <w:b w:val="0"/>
        </w:rPr>
        <w:t xml:space="preserve">Insert new </w:t>
      </w:r>
      <w:proofErr w:type="spellStart"/>
      <w:r w:rsidR="00E571E2" w:rsidRPr="00717317">
        <w:rPr>
          <w:rStyle w:val="AERtextbold"/>
          <w:b w:val="0"/>
        </w:rPr>
        <w:t>opex</w:t>
      </w:r>
      <w:proofErr w:type="spellEnd"/>
      <w:r w:rsidR="00E571E2" w:rsidRPr="00717317">
        <w:rPr>
          <w:rStyle w:val="AERtextbold"/>
          <w:b w:val="0"/>
        </w:rPr>
        <w:t xml:space="preserve"> </w:t>
      </w:r>
      <w:r w:rsidRPr="00717317">
        <w:rPr>
          <w:rStyle w:val="AERtextbold"/>
          <w:b w:val="0"/>
        </w:rPr>
        <w:t>row</w:t>
      </w:r>
      <w:r w:rsidR="00717317" w:rsidRPr="00717317">
        <w:rPr>
          <w:rStyle w:val="AERtextbold"/>
          <w:b w:val="0"/>
        </w:rPr>
        <w:t>'</w:t>
      </w:r>
      <w:r w:rsidRPr="00717317">
        <w:t>.</w:t>
      </w:r>
      <w:r w:rsidRPr="005D3ADA">
        <w:t xml:space="preserve"> </w:t>
      </w:r>
    </w:p>
    <w:p w:rsidR="005D3ADA" w:rsidRPr="005D3ADA" w:rsidRDefault="005D3ADA" w:rsidP="005D3ADA">
      <w:pPr>
        <w:pStyle w:val="AERbodytext"/>
      </w:pPr>
      <w:r w:rsidRPr="005D3ADA">
        <w:t>These inputs must be reported in real terms based on start of year one dollar terms.</w:t>
      </w:r>
    </w:p>
    <w:p w:rsidR="005D3ADA" w:rsidRPr="005D3ADA" w:rsidRDefault="005D3ADA" w:rsidP="005D3ADA">
      <w:pPr>
        <w:pStyle w:val="AERbodytext"/>
      </w:pPr>
      <w:r w:rsidRPr="005D3ADA">
        <w:t xml:space="preserve">The forecast total </w:t>
      </w:r>
      <w:proofErr w:type="spellStart"/>
      <w:r w:rsidRPr="005D3ADA">
        <w:t>opex</w:t>
      </w:r>
      <w:proofErr w:type="spellEnd"/>
      <w:r w:rsidRPr="005D3ADA">
        <w:t xml:space="preserve"> values (row 391) are linked to the </w:t>
      </w:r>
      <w:r w:rsidRPr="00E86EE3">
        <w:rPr>
          <w:rStyle w:val="AERtextbold"/>
        </w:rPr>
        <w:t>Analysis</w:t>
      </w:r>
      <w:r w:rsidRPr="005D3ADA">
        <w:t xml:space="preserve"> sheet to calculate the ABBRR.</w:t>
      </w:r>
    </w:p>
    <w:p w:rsidR="00C30A9B" w:rsidRPr="00451FE5" w:rsidRDefault="00E571E2" w:rsidP="00C30A9B">
      <w:pPr>
        <w:pStyle w:val="Heading3"/>
        <w:rPr>
          <w:rStyle w:val="AERtexthighlight"/>
        </w:rPr>
      </w:pPr>
      <w:bookmarkStart w:id="21" w:name="_Toc400092698"/>
      <w:r w:rsidRPr="00451FE5">
        <w:rPr>
          <w:rStyle w:val="AERtexthighlight"/>
        </w:rPr>
        <w:t>R</w:t>
      </w:r>
      <w:r w:rsidR="00C30A9B" w:rsidRPr="00451FE5">
        <w:rPr>
          <w:rStyle w:val="AERtexthighlight"/>
        </w:rPr>
        <w:t>evenue adjustments</w:t>
      </w:r>
      <w:r w:rsidRPr="00451FE5">
        <w:rPr>
          <w:rStyle w:val="AERtexthighlight"/>
        </w:rPr>
        <w:t xml:space="preserve"> from other use of prescribed transmission assets</w:t>
      </w:r>
      <w:bookmarkEnd w:id="21"/>
    </w:p>
    <w:p w:rsidR="005D3ADA" w:rsidRPr="00A81B8A" w:rsidRDefault="005D3ADA" w:rsidP="005D3ADA">
      <w:pPr>
        <w:pStyle w:val="AERbodytext"/>
        <w:rPr>
          <w:rStyle w:val="AERtexthighlight"/>
        </w:rPr>
      </w:pPr>
      <w:r w:rsidRPr="00A81B8A">
        <w:rPr>
          <w:rStyle w:val="AERtexthighlight"/>
        </w:rPr>
        <w:t xml:space="preserve">Any revenue </w:t>
      </w:r>
      <w:r w:rsidR="008E7817">
        <w:rPr>
          <w:rStyle w:val="AERtexthighlight"/>
        </w:rPr>
        <w:t xml:space="preserve">(decrement) </w:t>
      </w:r>
      <w:r w:rsidRPr="00A81B8A">
        <w:rPr>
          <w:rStyle w:val="AERtexthighlight"/>
        </w:rPr>
        <w:t xml:space="preserve">adjustments </w:t>
      </w:r>
      <w:r w:rsidR="008E7817">
        <w:rPr>
          <w:rStyle w:val="AERtexthighlight"/>
        </w:rPr>
        <w:t xml:space="preserve">from the </w:t>
      </w:r>
      <w:r w:rsidR="008E7817" w:rsidRPr="008E7817">
        <w:rPr>
          <w:rStyle w:val="AERtexthighlight"/>
        </w:rPr>
        <w:t xml:space="preserve">shared use of </w:t>
      </w:r>
      <w:r w:rsidR="008E7817">
        <w:rPr>
          <w:rStyle w:val="AERtexthighlight"/>
        </w:rPr>
        <w:t>prescribed transmission s</w:t>
      </w:r>
      <w:r w:rsidR="008E7817" w:rsidRPr="008E7817">
        <w:rPr>
          <w:rStyle w:val="AERtexthighlight"/>
        </w:rPr>
        <w:t xml:space="preserve">ervices assets </w:t>
      </w:r>
      <w:r w:rsidRPr="00A81B8A">
        <w:rPr>
          <w:rStyle w:val="AERtexthighlight"/>
        </w:rPr>
        <w:t>are recorded in rows 395 to 397</w:t>
      </w:r>
      <w:r w:rsidRPr="00717317">
        <w:rPr>
          <w:rStyle w:val="AERtexthighlight"/>
          <w:highlight w:val="yellow"/>
        </w:rPr>
        <w:t>.</w:t>
      </w:r>
      <w:r w:rsidR="00476458" w:rsidRPr="00717317">
        <w:rPr>
          <w:rStyle w:val="FootnoteReference"/>
          <w:highlight w:val="yellow"/>
        </w:rPr>
        <w:footnoteReference w:id="7"/>
      </w:r>
      <w:r w:rsidRPr="00A81B8A">
        <w:rPr>
          <w:rStyle w:val="AERtexthighlight"/>
        </w:rPr>
        <w:t xml:space="preserve"> These are linked to the intermediate build</w:t>
      </w:r>
      <w:r w:rsidR="00E86EE3" w:rsidRPr="00A81B8A">
        <w:rPr>
          <w:rStyle w:val="AERtexthighlight"/>
        </w:rPr>
        <w:t xml:space="preserve">ing block revenue total in the </w:t>
      </w:r>
      <w:r w:rsidR="00E86EE3" w:rsidRPr="00717317">
        <w:rPr>
          <w:rStyle w:val="AERtextbold"/>
          <w:highlight w:val="yellow"/>
        </w:rPr>
        <w:t>A</w:t>
      </w:r>
      <w:r w:rsidRPr="00717317">
        <w:rPr>
          <w:rStyle w:val="AERtextbold"/>
          <w:highlight w:val="yellow"/>
        </w:rPr>
        <w:t xml:space="preserve">nalysis </w:t>
      </w:r>
      <w:r w:rsidRPr="00717317">
        <w:rPr>
          <w:rStyle w:val="AERtexthighlight"/>
          <w:highlight w:val="yellow"/>
        </w:rPr>
        <w:t>sheet</w:t>
      </w:r>
      <w:r w:rsidR="008E7817">
        <w:rPr>
          <w:rStyle w:val="AERtexthighlight"/>
        </w:rPr>
        <w:t xml:space="preserve"> and</w:t>
      </w:r>
      <w:r w:rsidRPr="00A81B8A">
        <w:rPr>
          <w:rStyle w:val="AERtexthighlight"/>
        </w:rPr>
        <w:t xml:space="preserve"> affect the tax calculations. </w:t>
      </w:r>
    </w:p>
    <w:p w:rsidR="00C30A9B" w:rsidRDefault="00C30A9B" w:rsidP="00C30A9B">
      <w:pPr>
        <w:pStyle w:val="Heading3"/>
      </w:pPr>
      <w:bookmarkStart w:id="22" w:name="_Toc400092699"/>
      <w:r>
        <w:t>Expected taxation rate</w:t>
      </w:r>
      <w:bookmarkEnd w:id="22"/>
    </w:p>
    <w:p w:rsidR="005D3ADA" w:rsidRPr="005D3ADA" w:rsidRDefault="005D3ADA" w:rsidP="005D3ADA">
      <w:pPr>
        <w:pStyle w:val="AERbodytext"/>
      </w:pPr>
      <w:r w:rsidRPr="005D3ADA">
        <w:t xml:space="preserve">The expected corporate tax rates are recorded for each year in row 402. The tax rates are linked to the </w:t>
      </w:r>
      <w:r w:rsidRPr="00717317">
        <w:rPr>
          <w:rStyle w:val="AERtextbold"/>
        </w:rPr>
        <w:t>WACC</w:t>
      </w:r>
      <w:r w:rsidRPr="005D3ADA">
        <w:t xml:space="preserve"> sheet to calculate the average tax rate and to the </w:t>
      </w:r>
      <w:r w:rsidRPr="00E86EE3">
        <w:rPr>
          <w:rStyle w:val="AERtextbold"/>
        </w:rPr>
        <w:t>Analysis</w:t>
      </w:r>
      <w:r w:rsidRPr="005D3ADA">
        <w:t xml:space="preserve"> sheet to estimate the tax payable, as part of calculating the ABBRR.</w:t>
      </w:r>
    </w:p>
    <w:p w:rsidR="00C30A9B" w:rsidRDefault="00C30A9B" w:rsidP="00C30A9B">
      <w:pPr>
        <w:pStyle w:val="Heading3"/>
      </w:pPr>
      <w:bookmarkStart w:id="23" w:name="_Toc400092700"/>
      <w:r>
        <w:t>Cost of capital</w:t>
      </w:r>
      <w:bookmarkEnd w:id="23"/>
    </w:p>
    <w:p w:rsidR="005D3ADA" w:rsidRPr="005D3ADA" w:rsidRDefault="005D3ADA" w:rsidP="005D3ADA">
      <w:pPr>
        <w:pStyle w:val="AERbodytext"/>
      </w:pPr>
      <w:r w:rsidRPr="005D3ADA">
        <w:t xml:space="preserve">The cost of capital section (rows 406 to 409 and row 412) records the following parameters: </w:t>
      </w:r>
    </w:p>
    <w:p w:rsidR="005D3ADA" w:rsidRPr="005D3ADA" w:rsidRDefault="005D3ADA" w:rsidP="005D3ADA">
      <w:pPr>
        <w:pStyle w:val="AERbulletlistfirststyle"/>
      </w:pPr>
      <w:r w:rsidRPr="005D3ADA">
        <w:lastRenderedPageBreak/>
        <w:t>inflation rate</w:t>
      </w:r>
      <w:r w:rsidR="00ED0A88">
        <w:rPr>
          <w:rStyle w:val="FootnoteReference"/>
        </w:rPr>
        <w:footnoteReference w:id="8"/>
      </w:r>
    </w:p>
    <w:p w:rsidR="005D3ADA" w:rsidRPr="00A81B8A" w:rsidRDefault="00A824F2" w:rsidP="005D3ADA">
      <w:pPr>
        <w:pStyle w:val="AERbulletlistfirststyle"/>
        <w:rPr>
          <w:rStyle w:val="AERtexthighlight"/>
        </w:rPr>
      </w:pPr>
      <w:r>
        <w:rPr>
          <w:rStyle w:val="AERtexthighlight"/>
        </w:rPr>
        <w:t>return on</w:t>
      </w:r>
      <w:r w:rsidR="005D3ADA" w:rsidRPr="00A81B8A">
        <w:rPr>
          <w:rStyle w:val="AERtexthighlight"/>
        </w:rPr>
        <w:t xml:space="preserve"> equity</w:t>
      </w:r>
    </w:p>
    <w:p w:rsidR="005D3ADA" w:rsidRPr="005D3ADA" w:rsidRDefault="005D3ADA" w:rsidP="005D3ADA">
      <w:pPr>
        <w:pStyle w:val="AERbulletlistfirststyle"/>
      </w:pPr>
      <w:r w:rsidRPr="005D3ADA">
        <w:t xml:space="preserve">gamma—value of imputation (franking) credits </w:t>
      </w:r>
    </w:p>
    <w:p w:rsidR="005D3ADA" w:rsidRPr="005D3ADA" w:rsidRDefault="005D3ADA" w:rsidP="005D3ADA">
      <w:pPr>
        <w:pStyle w:val="AERbulletlistfirststyle"/>
      </w:pPr>
      <w:r w:rsidRPr="005D3ADA">
        <w:t>proportion of debt funding</w:t>
      </w:r>
    </w:p>
    <w:p w:rsidR="005D3ADA" w:rsidRPr="00A81B8A" w:rsidRDefault="005D3ADA" w:rsidP="005D3ADA">
      <w:pPr>
        <w:pStyle w:val="AERbulletlistfirststyle"/>
        <w:rPr>
          <w:rStyle w:val="AERtexthighlight"/>
        </w:rPr>
      </w:pPr>
      <w:proofErr w:type="gramStart"/>
      <w:r w:rsidRPr="00A81B8A">
        <w:rPr>
          <w:rStyle w:val="AERtexthighlight"/>
        </w:rPr>
        <w:t>trailing</w:t>
      </w:r>
      <w:proofErr w:type="gramEnd"/>
      <w:r w:rsidRPr="00A81B8A">
        <w:rPr>
          <w:rStyle w:val="AERtexthighlight"/>
        </w:rPr>
        <w:t xml:space="preserve"> average portfolio return on debt for each year of the regulatory control period. </w:t>
      </w:r>
    </w:p>
    <w:p w:rsidR="005D3ADA" w:rsidRPr="005D3ADA" w:rsidRDefault="005D3ADA" w:rsidP="009D3DDA">
      <w:pPr>
        <w:pStyle w:val="AERbodytext"/>
      </w:pPr>
      <w:r w:rsidRPr="005D3ADA">
        <w:t xml:space="preserve">Each of these parameters is linked to the </w:t>
      </w:r>
      <w:r w:rsidRPr="00E86EE3">
        <w:rPr>
          <w:rStyle w:val="AERtextbold"/>
        </w:rPr>
        <w:t>WACC</w:t>
      </w:r>
      <w:r w:rsidRPr="005D3ADA">
        <w:t xml:space="preserve"> sheet to calculate the weighted average cost of capital (WACC). The approach or method for determining each parameter is specified in clause 6A.6.2 of the NER or the AER </w:t>
      </w:r>
      <w:r w:rsidRPr="00717317">
        <w:rPr>
          <w:rStyle w:val="AERtextitalic"/>
        </w:rPr>
        <w:t>Rate of</w:t>
      </w:r>
      <w:r w:rsidR="009D3DDA" w:rsidRPr="00717317">
        <w:rPr>
          <w:rStyle w:val="AERtextitalic"/>
        </w:rPr>
        <w:t xml:space="preserve"> return guideline</w:t>
      </w:r>
      <w:r w:rsidR="009D3DDA">
        <w:t>.</w:t>
      </w:r>
      <w:r w:rsidR="00476458">
        <w:rPr>
          <w:rStyle w:val="FootnoteReference"/>
        </w:rPr>
        <w:footnoteReference w:id="9"/>
      </w:r>
      <w:r w:rsidR="009D3DDA">
        <w:t xml:space="preserve"> </w:t>
      </w:r>
      <w:r w:rsidR="004E5CA1" w:rsidRPr="00717317">
        <w:rPr>
          <w:rStyle w:val="AERtexthighlight"/>
        </w:rPr>
        <w:t xml:space="preserve">Rows 413 to 414 contain content driven help which will display cautions or guidance based on input </w:t>
      </w:r>
      <w:r w:rsidR="00A91246" w:rsidRPr="00717317">
        <w:rPr>
          <w:rStyle w:val="AERtexthighlight"/>
        </w:rPr>
        <w:t>t</w:t>
      </w:r>
      <w:r w:rsidR="004E5CA1" w:rsidRPr="00717317">
        <w:rPr>
          <w:rStyle w:val="AERtexthighlight"/>
        </w:rPr>
        <w:t xml:space="preserve">o this </w:t>
      </w:r>
      <w:r w:rsidR="00A91246" w:rsidRPr="00717317">
        <w:rPr>
          <w:rStyle w:val="AERtexthighlight"/>
        </w:rPr>
        <w:t>sheet</w:t>
      </w:r>
      <w:r w:rsidR="004E5CA1" w:rsidRPr="00717317">
        <w:rPr>
          <w:rStyle w:val="AERtexthighlight"/>
        </w:rPr>
        <w:t xml:space="preserve"> and </w:t>
      </w:r>
      <w:r w:rsidR="004E5CA1" w:rsidRPr="00717317">
        <w:rPr>
          <w:rStyle w:val="AERtexthighlight"/>
          <w:highlight w:val="yellow"/>
        </w:rPr>
        <w:t xml:space="preserve">the </w:t>
      </w:r>
      <w:r w:rsidR="004E5CA1" w:rsidRPr="00717317">
        <w:rPr>
          <w:rStyle w:val="AERtextbold"/>
          <w:highlight w:val="yellow"/>
        </w:rPr>
        <w:t>X factors</w:t>
      </w:r>
      <w:r w:rsidR="004E5CA1" w:rsidRPr="00717317">
        <w:rPr>
          <w:rStyle w:val="AERtexthighlight"/>
        </w:rPr>
        <w:t xml:space="preserve"> sheet.</w:t>
      </w:r>
    </w:p>
    <w:p w:rsidR="00C30A9B" w:rsidRDefault="004E5CA1" w:rsidP="00C30A9B">
      <w:pPr>
        <w:pStyle w:val="Heading3"/>
      </w:pPr>
      <w:bookmarkStart w:id="24" w:name="_Toc400092701"/>
      <w:r>
        <w:t>Debt and equity raising costs</w:t>
      </w:r>
      <w:r w:rsidR="00E46AA7">
        <w:t>—</w:t>
      </w:r>
      <w:r w:rsidR="008E7817">
        <w:t>t</w:t>
      </w:r>
      <w:r w:rsidR="00C30A9B">
        <w:t>ransaction cost</w:t>
      </w:r>
      <w:r>
        <w:t>s</w:t>
      </w:r>
      <w:bookmarkEnd w:id="24"/>
      <w:r w:rsidR="00C30A9B">
        <w:t xml:space="preserve"> </w:t>
      </w:r>
    </w:p>
    <w:p w:rsidR="009D3DDA" w:rsidRPr="009D3DDA" w:rsidRDefault="009D3DDA" w:rsidP="009D3DDA">
      <w:pPr>
        <w:pStyle w:val="AERbodytext"/>
      </w:pPr>
      <w:r w:rsidRPr="009D3DDA">
        <w:t xml:space="preserve">The transaction cost of financing section (rows 419 to 423) records the following parameters: </w:t>
      </w:r>
    </w:p>
    <w:p w:rsidR="009D3DDA" w:rsidRPr="009D3DDA" w:rsidRDefault="009D3DDA" w:rsidP="009D3DDA">
      <w:pPr>
        <w:pStyle w:val="AERbulletlistfirststyle"/>
      </w:pPr>
      <w:r w:rsidRPr="009D3DDA">
        <w:t xml:space="preserve">imputation </w:t>
      </w:r>
      <w:r w:rsidR="004E5CA1">
        <w:t xml:space="preserve">credit </w:t>
      </w:r>
      <w:r w:rsidRPr="009D3DDA">
        <w:t>payout ratio</w:t>
      </w:r>
    </w:p>
    <w:p w:rsidR="009D3DDA" w:rsidRPr="009D3DDA" w:rsidRDefault="009D3DDA" w:rsidP="009D3DDA">
      <w:pPr>
        <w:pStyle w:val="AERbulletlistfirststyle"/>
      </w:pPr>
      <w:r w:rsidRPr="009D3DDA">
        <w:t>subsequent equity raising cost</w:t>
      </w:r>
    </w:p>
    <w:p w:rsidR="009D3DDA" w:rsidRPr="009D3DDA" w:rsidRDefault="009D3DDA" w:rsidP="009D3DDA">
      <w:pPr>
        <w:pStyle w:val="AERbulletlistfirststyle"/>
      </w:pPr>
      <w:r w:rsidRPr="009D3DDA">
        <w:t>dividend reinvestment plan cost</w:t>
      </w:r>
    </w:p>
    <w:p w:rsidR="009D3DDA" w:rsidRPr="009D3DDA" w:rsidRDefault="009D3DDA" w:rsidP="009D3DDA">
      <w:pPr>
        <w:pStyle w:val="AERbulletlistfirststyle"/>
      </w:pPr>
      <w:r w:rsidRPr="009D3DDA">
        <w:t>dividend reinvestment plan take up</w:t>
      </w:r>
    </w:p>
    <w:p w:rsidR="009D3DDA" w:rsidRPr="009D3DDA" w:rsidRDefault="009D3DDA" w:rsidP="009D3DDA">
      <w:pPr>
        <w:pStyle w:val="AERbulletlistfirststyle"/>
      </w:pPr>
      <w:proofErr w:type="gramStart"/>
      <w:r w:rsidRPr="009D3DDA">
        <w:t>debt</w:t>
      </w:r>
      <w:proofErr w:type="gramEnd"/>
      <w:r w:rsidRPr="009D3DDA">
        <w:t xml:space="preserve"> raising cost.</w:t>
      </w:r>
    </w:p>
    <w:p w:rsidR="009D3DDA" w:rsidRPr="009D3DDA" w:rsidRDefault="009D3DDA" w:rsidP="009D3DDA">
      <w:pPr>
        <w:pStyle w:val="AERbodytext"/>
      </w:pPr>
      <w:r w:rsidRPr="009D3DDA">
        <w:t xml:space="preserve">The values for the </w:t>
      </w:r>
      <w:r w:rsidR="004E5CA1">
        <w:t xml:space="preserve">imputation credit </w:t>
      </w:r>
      <w:r w:rsidRPr="009D3DDA">
        <w:t xml:space="preserve">payout ratio, equity raising and dividend reinvestment costs, and the dividend reinvestment take up are linked to the </w:t>
      </w:r>
      <w:r w:rsidRPr="00E86EE3">
        <w:rPr>
          <w:rStyle w:val="AERtextbold"/>
        </w:rPr>
        <w:t>Equity raising cost</w:t>
      </w:r>
      <w:r w:rsidRPr="009D3DDA">
        <w:t xml:space="preserve"> sheet to calculate the allowance for benchmark equity raisin</w:t>
      </w:r>
      <w:r>
        <w:t xml:space="preserve">g costs associated with </w:t>
      </w:r>
      <w:proofErr w:type="spellStart"/>
      <w:r>
        <w:t>capex</w:t>
      </w:r>
      <w:proofErr w:type="spellEnd"/>
      <w:r>
        <w:t xml:space="preserve">. </w:t>
      </w:r>
      <w:r w:rsidR="004E5CA1" w:rsidRPr="009D3DDA">
        <w:t xml:space="preserve">The debt raising cost value represents the unit allowance and is linked to row 390 </w:t>
      </w:r>
      <w:r w:rsidR="008027D8">
        <w:t>of</w:t>
      </w:r>
      <w:r w:rsidR="00C930E4">
        <w:t xml:space="preserve"> the </w:t>
      </w:r>
      <w:r w:rsidR="00C930E4" w:rsidRPr="00C930E4">
        <w:rPr>
          <w:rStyle w:val="AERtextbold"/>
        </w:rPr>
        <w:t xml:space="preserve">Input </w:t>
      </w:r>
      <w:r w:rsidR="00C930E4">
        <w:t xml:space="preserve">sheet </w:t>
      </w:r>
      <w:r w:rsidR="004E5CA1" w:rsidRPr="009D3DDA">
        <w:t xml:space="preserve">to calculate the overall benchmark debt raising costs to be included in the </w:t>
      </w:r>
      <w:proofErr w:type="spellStart"/>
      <w:r w:rsidR="004E5CA1" w:rsidRPr="009D3DDA">
        <w:t>opex</w:t>
      </w:r>
      <w:proofErr w:type="spellEnd"/>
      <w:r w:rsidR="004E5CA1" w:rsidRPr="009D3DDA">
        <w:t xml:space="preserve"> allowance.</w:t>
      </w:r>
    </w:p>
    <w:p w:rsidR="00C30A9B" w:rsidRDefault="00C30A9B" w:rsidP="00C30A9B">
      <w:pPr>
        <w:pStyle w:val="Heading3"/>
      </w:pPr>
      <w:bookmarkStart w:id="25" w:name="_Toc400092702"/>
      <w:r>
        <w:t>Maximum allowed revenue for the current year</w:t>
      </w:r>
      <w:bookmarkEnd w:id="25"/>
    </w:p>
    <w:p w:rsidR="00CA7EFD" w:rsidRPr="00CA7EFD" w:rsidRDefault="00476458" w:rsidP="00CA7EFD">
      <w:pPr>
        <w:pStyle w:val="AERbodytext"/>
      </w:pPr>
      <w:r>
        <w:t xml:space="preserve">Cell </w:t>
      </w:r>
      <w:r w:rsidR="004E5CA1">
        <w:t xml:space="preserve">G427 </w:t>
      </w:r>
      <w:r w:rsidR="00CA7EFD" w:rsidRPr="00CA7EFD">
        <w:t xml:space="preserve">records the current MAR for a TNSP. It is linked to the </w:t>
      </w:r>
      <w:r w:rsidR="004E5CA1" w:rsidRPr="00717317">
        <w:rPr>
          <w:rStyle w:val="AERtextbold"/>
        </w:rPr>
        <w:t>X factors</w:t>
      </w:r>
      <w:r w:rsidR="004E5CA1">
        <w:t xml:space="preserve"> and </w:t>
      </w:r>
      <w:r w:rsidR="004E5CA1" w:rsidRPr="00717317">
        <w:rPr>
          <w:rStyle w:val="AERtextbold"/>
        </w:rPr>
        <w:t>Revenue summary</w:t>
      </w:r>
      <w:r w:rsidR="004E5CA1">
        <w:t xml:space="preserve"> </w:t>
      </w:r>
      <w:r w:rsidR="00CA7EFD" w:rsidRPr="00CA7EFD">
        <w:t>sheets, and helps provide historical comparisons for forecast revenues over the next regulatory control period.</w:t>
      </w:r>
    </w:p>
    <w:p w:rsidR="00C30A9B" w:rsidRDefault="00C30A9B" w:rsidP="00C30A9B">
      <w:pPr>
        <w:pStyle w:val="Heading3"/>
      </w:pPr>
      <w:bookmarkStart w:id="26" w:name="_Toc400092703"/>
      <w:r>
        <w:t>Energy delivered forecast</w:t>
      </w:r>
      <w:bookmarkEnd w:id="26"/>
    </w:p>
    <w:p w:rsidR="003B7FE3" w:rsidRPr="003B7FE3" w:rsidRDefault="00CA7EFD" w:rsidP="003B7FE3">
      <w:r w:rsidRPr="00CA7EFD">
        <w:t xml:space="preserve">The energy delivered forecast </w:t>
      </w:r>
      <w:r w:rsidR="00E86EE3">
        <w:t xml:space="preserve">values are recorded in row 431 </w:t>
      </w:r>
      <w:r w:rsidRPr="00CA7EFD">
        <w:t xml:space="preserve">and are linked to the </w:t>
      </w:r>
      <w:r w:rsidR="004E5CA1" w:rsidRPr="00717317">
        <w:rPr>
          <w:rStyle w:val="AERtextbold"/>
        </w:rPr>
        <w:t>X factors</w:t>
      </w:r>
      <w:r w:rsidR="004E5CA1">
        <w:t xml:space="preserve"> and </w:t>
      </w:r>
      <w:r w:rsidR="004E5CA1" w:rsidRPr="00717317">
        <w:rPr>
          <w:rStyle w:val="AERtextbold"/>
        </w:rPr>
        <w:t>Revenue summary</w:t>
      </w:r>
      <w:r w:rsidR="004E5CA1">
        <w:t xml:space="preserve"> </w:t>
      </w:r>
      <w:r w:rsidR="00E86EE3">
        <w:t xml:space="preserve">sheets. </w:t>
      </w:r>
      <w:r w:rsidRPr="00CA7EFD">
        <w:t xml:space="preserve">Energy delivered forecasts may be obtained from the most recent Australian Energy Market Operator’s </w:t>
      </w:r>
      <w:r w:rsidRPr="00717317">
        <w:rPr>
          <w:rStyle w:val="AERtextitalic"/>
        </w:rPr>
        <w:t>National</w:t>
      </w:r>
      <w:r w:rsidR="00E86EE3" w:rsidRPr="00717317">
        <w:rPr>
          <w:rStyle w:val="AERtextitalic"/>
        </w:rPr>
        <w:t xml:space="preserve"> electricity forecasting report</w:t>
      </w:r>
      <w:r w:rsidRPr="00CA7EFD">
        <w:t>, a TNSP’s annual planning report or other relevant industry sources.</w:t>
      </w:r>
    </w:p>
    <w:p w:rsidR="003B7FE3" w:rsidRDefault="00C30A9B" w:rsidP="003B7FE3">
      <w:pPr>
        <w:pStyle w:val="Heading2"/>
      </w:pPr>
      <w:bookmarkStart w:id="27" w:name="_Toc400092704"/>
      <w:r>
        <w:lastRenderedPageBreak/>
        <w:t>WACC sheet</w:t>
      </w:r>
      <w:bookmarkEnd w:id="27"/>
    </w:p>
    <w:p w:rsidR="00CA7EFD" w:rsidRPr="00CA7EFD" w:rsidRDefault="00CA7EFD" w:rsidP="00CA7EFD">
      <w:pPr>
        <w:pStyle w:val="AERbodytext"/>
      </w:pPr>
      <w:r w:rsidRPr="00CA7EFD">
        <w:t xml:space="preserve">The </w:t>
      </w:r>
      <w:r w:rsidRPr="00E86EE3">
        <w:rPr>
          <w:rStyle w:val="AERtextbold"/>
        </w:rPr>
        <w:t>WACC</w:t>
      </w:r>
      <w:r w:rsidRPr="00CA7EFD">
        <w:t xml:space="preserve"> sheet determines for each year of the next regulatory control period the required return on equity, return on debt and the WACC using the relevant cost of capital parameters from the </w:t>
      </w:r>
      <w:r w:rsidRPr="00717317">
        <w:rPr>
          <w:rStyle w:val="AERtextbold"/>
        </w:rPr>
        <w:t>Input</w:t>
      </w:r>
      <w:r w:rsidRPr="00CA7EFD">
        <w:t xml:space="preserve"> sheet. </w:t>
      </w:r>
      <w:r w:rsidR="00ED0A88" w:rsidRPr="00E46AA7">
        <w:rPr>
          <w:rStyle w:val="AERtexthighlight"/>
        </w:rPr>
        <w:t>Some of these will be constant across the regulatory control period, the return on debt (and therefore the overall WACC) may now vary year-by year.</w:t>
      </w:r>
    </w:p>
    <w:p w:rsidR="00CA7EFD" w:rsidRPr="00CA7EFD" w:rsidRDefault="00CA7EFD" w:rsidP="00CA7EFD">
      <w:pPr>
        <w:pStyle w:val="AERbodytext"/>
      </w:pPr>
      <w:r w:rsidRPr="00CA7EFD">
        <w:t xml:space="preserve">The effective tax rates derived from the cash-flow analysis are also reported in the </w:t>
      </w:r>
      <w:r w:rsidRPr="00E86EE3">
        <w:rPr>
          <w:rStyle w:val="AERtextbold"/>
        </w:rPr>
        <w:t>WACC</w:t>
      </w:r>
      <w:r w:rsidRPr="00CA7EFD">
        <w:t xml:space="preserve"> sheet, including various measures of the WACC calculated from the forecast cash-flows in the Analysis sheet. The nominal pre-tax return on debt (row 1</w:t>
      </w:r>
      <w:r w:rsidR="007E0C42">
        <w:t>5</w:t>
      </w:r>
      <w:r w:rsidRPr="00CA7EFD">
        <w:t>) and the nominal post-tax cost of equity (row 12) are multiplied by the debt and equity components of the RAB (partially as-incurred) to determine the return on capital building block.</w:t>
      </w:r>
      <w:r w:rsidR="00476458">
        <w:rPr>
          <w:rStyle w:val="FootnoteReference"/>
        </w:rPr>
        <w:footnoteReference w:id="10"/>
      </w:r>
      <w:r w:rsidRPr="00CA7EFD">
        <w:t xml:space="preserve">  </w:t>
      </w:r>
    </w:p>
    <w:p w:rsidR="00CA7EFD" w:rsidRPr="0039038C" w:rsidRDefault="00CA7EFD" w:rsidP="00415CEF">
      <w:pPr>
        <w:pStyle w:val="AERbodytext"/>
        <w:rPr>
          <w:rStyle w:val="AERtexthighlight"/>
        </w:rPr>
      </w:pPr>
      <w:r w:rsidRPr="0039038C">
        <w:rPr>
          <w:rStyle w:val="AERtexthighlight"/>
        </w:rPr>
        <w:t xml:space="preserve">In addition, there is a button </w:t>
      </w:r>
      <w:r w:rsidR="00415CEF">
        <w:rPr>
          <w:rStyle w:val="AERtexthighlight"/>
        </w:rPr>
        <w:t xml:space="preserve">labelled 'Set </w:t>
      </w:r>
      <w:proofErr w:type="spellStart"/>
      <w:r w:rsidR="00415CEF">
        <w:rPr>
          <w:rStyle w:val="AERtexthighlight"/>
        </w:rPr>
        <w:t>Te</w:t>
      </w:r>
      <w:proofErr w:type="spellEnd"/>
      <w:r w:rsidR="00415CEF">
        <w:rPr>
          <w:rStyle w:val="AERtexthighlight"/>
        </w:rPr>
        <w:t xml:space="preserve"> and Td' which is </w:t>
      </w:r>
      <w:r w:rsidRPr="0039038C">
        <w:rPr>
          <w:rStyle w:val="AERtexthighlight"/>
        </w:rPr>
        <w:t>linked to a macro that should be pressed after all inputs have been finalised for establishing the A</w:t>
      </w:r>
      <w:r w:rsidR="004E5CA1">
        <w:rPr>
          <w:rStyle w:val="AERtexthighlight"/>
        </w:rPr>
        <w:t>BB</w:t>
      </w:r>
      <w:r w:rsidRPr="0039038C">
        <w:rPr>
          <w:rStyle w:val="AERtexthighlight"/>
        </w:rPr>
        <w:t xml:space="preserve">RR at the start of the next </w:t>
      </w:r>
      <w:r w:rsidRPr="00717317">
        <w:rPr>
          <w:rStyle w:val="AERtexthighlight"/>
          <w:highlight w:val="yellow"/>
        </w:rPr>
        <w:t xml:space="preserve">regulatory control period. This will copy the cash-flow derived effective tax rates for equity and debt from the </w:t>
      </w:r>
      <w:r w:rsidRPr="00717317">
        <w:rPr>
          <w:rStyle w:val="AERtextbold"/>
          <w:highlight w:val="yellow"/>
        </w:rPr>
        <w:t>Analysis</w:t>
      </w:r>
      <w:r w:rsidRPr="00717317">
        <w:rPr>
          <w:rStyle w:val="AERtexthighlight"/>
          <w:highlight w:val="yellow"/>
        </w:rPr>
        <w:t xml:space="preserve"> sheet to the </w:t>
      </w:r>
      <w:r w:rsidR="00F164A0" w:rsidRPr="00717317">
        <w:rPr>
          <w:rStyle w:val="AERtexthighlight"/>
          <w:highlight w:val="yellow"/>
        </w:rPr>
        <w:t xml:space="preserve">appropriate location </w:t>
      </w:r>
      <w:r w:rsidR="00A91246" w:rsidRPr="00717317">
        <w:rPr>
          <w:rStyle w:val="AERtexthighlight"/>
          <w:highlight w:val="yellow"/>
        </w:rPr>
        <w:t>i</w:t>
      </w:r>
      <w:r w:rsidR="00F164A0" w:rsidRPr="00717317">
        <w:rPr>
          <w:rStyle w:val="AERtexthighlight"/>
          <w:highlight w:val="yellow"/>
        </w:rPr>
        <w:t xml:space="preserve">n the </w:t>
      </w:r>
      <w:r w:rsidRPr="00717317">
        <w:rPr>
          <w:rStyle w:val="AERtextbold"/>
          <w:highlight w:val="yellow"/>
        </w:rPr>
        <w:t>WACC</w:t>
      </w:r>
      <w:r w:rsidRPr="0039038C">
        <w:rPr>
          <w:rStyle w:val="AERtexthighlight"/>
        </w:rPr>
        <w:t xml:space="preserve"> sheet</w:t>
      </w:r>
      <w:r w:rsidR="00F164A0">
        <w:rPr>
          <w:rStyle w:val="AERtexthighlight"/>
        </w:rPr>
        <w:t xml:space="preserve"> (cells G2</w:t>
      </w:r>
      <w:r w:rsidR="00A91246">
        <w:rPr>
          <w:rStyle w:val="AERtexthighlight"/>
        </w:rPr>
        <w:t>8</w:t>
      </w:r>
      <w:r w:rsidR="00F164A0">
        <w:rPr>
          <w:rStyle w:val="AERtexthighlight"/>
        </w:rPr>
        <w:t xml:space="preserve"> and G</w:t>
      </w:r>
      <w:r w:rsidR="00A91246">
        <w:rPr>
          <w:rStyle w:val="AERtexthighlight"/>
        </w:rPr>
        <w:t>29</w:t>
      </w:r>
      <w:r w:rsidR="00F164A0">
        <w:rPr>
          <w:rStyle w:val="AERtexthighlight"/>
        </w:rPr>
        <w:t>)</w:t>
      </w:r>
      <w:r w:rsidRPr="0039038C">
        <w:rPr>
          <w:rStyle w:val="AERtexthighlight"/>
        </w:rPr>
        <w:t xml:space="preserve">. The cash-flow derived rates shown in column R are designed as checks to ensure certain parameters are internally consistent with those derived by formula at the time of the final decision. Because the cash-flow derived rates are based on the use of a constant WACC, there is no need to press the </w:t>
      </w:r>
      <w:r w:rsidR="004E5CA1">
        <w:rPr>
          <w:rStyle w:val="AERtexthighlight"/>
        </w:rPr>
        <w:t>'</w:t>
      </w:r>
      <w:r w:rsidRPr="0039038C">
        <w:rPr>
          <w:rStyle w:val="AERtexthighlight"/>
        </w:rPr>
        <w:t xml:space="preserve">Set </w:t>
      </w:r>
      <w:proofErr w:type="spellStart"/>
      <w:r w:rsidRPr="0039038C">
        <w:rPr>
          <w:rStyle w:val="AERtexthighlight"/>
        </w:rPr>
        <w:t>Te</w:t>
      </w:r>
      <w:proofErr w:type="spellEnd"/>
      <w:r w:rsidRPr="0039038C">
        <w:rPr>
          <w:rStyle w:val="AERtexthighlight"/>
        </w:rPr>
        <w:t xml:space="preserve"> and Td</w:t>
      </w:r>
      <w:r w:rsidR="004E5CA1">
        <w:rPr>
          <w:rStyle w:val="AERtexthighlight"/>
        </w:rPr>
        <w:t>'</w:t>
      </w:r>
      <w:r w:rsidRPr="0039038C">
        <w:rPr>
          <w:rStyle w:val="AERtexthighlight"/>
        </w:rPr>
        <w:t xml:space="preserve"> button again as part of the annual return on debt update process during the regulatory control period. This process is discussed further in chapter 3. </w:t>
      </w:r>
    </w:p>
    <w:p w:rsidR="00CA7EFD" w:rsidRDefault="00BB1BF2" w:rsidP="00CA7EFD">
      <w:pPr>
        <w:pStyle w:val="AERbodytext"/>
      </w:pPr>
      <w:r>
        <w:fldChar w:fldCharType="begin"/>
      </w:r>
      <w:r>
        <w:instrText xml:space="preserve"> REF _Ref398112091 \h </w:instrText>
      </w:r>
      <w:r>
        <w:fldChar w:fldCharType="separate"/>
      </w:r>
      <w:r w:rsidR="00A275E3">
        <w:t xml:space="preserve">Figure </w:t>
      </w:r>
      <w:r w:rsidR="00A275E3">
        <w:rPr>
          <w:noProof/>
        </w:rPr>
        <w:t>3</w:t>
      </w:r>
      <w:r>
        <w:fldChar w:fldCharType="end"/>
      </w:r>
      <w:r w:rsidR="00CA7EFD" w:rsidRPr="00CA7EFD">
        <w:t xml:space="preserve"> provides an example of the </w:t>
      </w:r>
      <w:r w:rsidR="00CA7EFD" w:rsidRPr="00E86EE3">
        <w:rPr>
          <w:rStyle w:val="AERtextbold"/>
        </w:rPr>
        <w:t>WACC</w:t>
      </w:r>
      <w:r w:rsidR="00CA7EFD" w:rsidRPr="00CA7EFD">
        <w:t xml:space="preserve"> sheet.</w:t>
      </w:r>
    </w:p>
    <w:p w:rsidR="00BB1BF2" w:rsidRDefault="00BB1BF2" w:rsidP="00BB1BF2">
      <w:pPr>
        <w:pStyle w:val="Caption"/>
      </w:pPr>
      <w:bookmarkStart w:id="28" w:name="_Ref398112091"/>
      <w:r>
        <w:t xml:space="preserve">Figure </w:t>
      </w:r>
      <w:r w:rsidR="00CC1EDC">
        <w:fldChar w:fldCharType="begin"/>
      </w:r>
      <w:r w:rsidR="00CC1EDC">
        <w:instrText xml:space="preserve"> SEQ Figure \* ARABIC </w:instrText>
      </w:r>
      <w:r w:rsidR="00CC1EDC">
        <w:fldChar w:fldCharType="separate"/>
      </w:r>
      <w:r w:rsidR="00017432">
        <w:rPr>
          <w:noProof/>
        </w:rPr>
        <w:t>3</w:t>
      </w:r>
      <w:r w:rsidR="00CC1EDC">
        <w:rPr>
          <w:noProof/>
        </w:rPr>
        <w:fldChar w:fldCharType="end"/>
      </w:r>
      <w:bookmarkEnd w:id="28"/>
      <w:r w:rsidR="003038AD">
        <w:tab/>
        <w:t>WACC sheet</w:t>
      </w:r>
    </w:p>
    <w:p w:rsidR="00A275E3" w:rsidRPr="00E56517" w:rsidRDefault="003038AD" w:rsidP="00717317">
      <w:pPr>
        <w:pStyle w:val="AERbodytext"/>
      </w:pPr>
      <w:r w:rsidRPr="00E56517">
        <w:rPr>
          <w:noProof/>
          <w:lang w:eastAsia="en-AU"/>
        </w:rPr>
        <w:drawing>
          <wp:inline distT="0" distB="0" distL="0" distR="0" wp14:anchorId="20990B2D" wp14:editId="2A4E85E1">
            <wp:extent cx="5719445" cy="2872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9445" cy="2872740"/>
                    </a:xfrm>
                    <a:prstGeom prst="rect">
                      <a:avLst/>
                    </a:prstGeom>
                    <a:noFill/>
                    <a:ln>
                      <a:noFill/>
                    </a:ln>
                  </pic:spPr>
                </pic:pic>
              </a:graphicData>
            </a:graphic>
          </wp:inline>
        </w:drawing>
      </w:r>
    </w:p>
    <w:p w:rsidR="003B7FE3" w:rsidRDefault="00C30A9B" w:rsidP="003B7FE3">
      <w:pPr>
        <w:pStyle w:val="Heading2"/>
      </w:pPr>
      <w:bookmarkStart w:id="29" w:name="_Toc400092705"/>
      <w:r>
        <w:t>Assets sheet</w:t>
      </w:r>
      <w:bookmarkEnd w:id="29"/>
    </w:p>
    <w:p w:rsidR="00CA7EFD" w:rsidRPr="00CA7EFD" w:rsidRDefault="00CA7EFD" w:rsidP="00CA7EFD">
      <w:pPr>
        <w:pStyle w:val="AERbodytext"/>
      </w:pPr>
      <w:r w:rsidRPr="00CA7EFD">
        <w:t xml:space="preserve">The </w:t>
      </w:r>
      <w:r w:rsidRPr="00E86EE3">
        <w:rPr>
          <w:rStyle w:val="AERtextbold"/>
        </w:rPr>
        <w:t>Assets</w:t>
      </w:r>
      <w:r w:rsidRPr="00CA7EFD">
        <w:t xml:space="preserve"> sheet calculates the value of the RAB for each year of the next regulatory control period in real (start of year one) and nominal dollar terms. It also calculates both regulatory and tax </w:t>
      </w:r>
      <w:r w:rsidRPr="00CA7EFD">
        <w:lastRenderedPageBreak/>
        <w:t xml:space="preserve">depreciation. The </w:t>
      </w:r>
      <w:r w:rsidRPr="00E86EE3">
        <w:rPr>
          <w:rStyle w:val="AERtextbold"/>
        </w:rPr>
        <w:t>Assets</w:t>
      </w:r>
      <w:r w:rsidRPr="00CA7EFD">
        <w:t xml:space="preserve"> sheet displays 55 years of data so that the effective tax rate can be estimated. </w:t>
      </w:r>
    </w:p>
    <w:p w:rsidR="00CA7EFD" w:rsidRDefault="00BB1BF2" w:rsidP="00CA7EFD">
      <w:pPr>
        <w:pStyle w:val="AERbodytext"/>
      </w:pPr>
      <w:r>
        <w:fldChar w:fldCharType="begin"/>
      </w:r>
      <w:r>
        <w:instrText xml:space="preserve"> REF _Ref398112108 \h </w:instrText>
      </w:r>
      <w:r>
        <w:fldChar w:fldCharType="separate"/>
      </w:r>
      <w:r w:rsidR="003038AD">
        <w:t xml:space="preserve">Figure </w:t>
      </w:r>
      <w:r w:rsidR="003038AD">
        <w:rPr>
          <w:noProof/>
        </w:rPr>
        <w:t>4</w:t>
      </w:r>
      <w:r>
        <w:fldChar w:fldCharType="end"/>
      </w:r>
      <w:r w:rsidR="00CA7EFD" w:rsidRPr="00CA7EFD">
        <w:t xml:space="preserve"> provides an example of the </w:t>
      </w:r>
      <w:r w:rsidR="00CA7EFD" w:rsidRPr="00E86EE3">
        <w:rPr>
          <w:rStyle w:val="AERtextbold"/>
        </w:rPr>
        <w:t>Assets</w:t>
      </w:r>
      <w:r w:rsidR="00CA7EFD" w:rsidRPr="00CA7EFD">
        <w:t xml:space="preserve"> sheet.</w:t>
      </w:r>
    </w:p>
    <w:p w:rsidR="00BB1BF2" w:rsidRDefault="00BB1BF2" w:rsidP="00BB1BF2">
      <w:pPr>
        <w:pStyle w:val="Caption"/>
      </w:pPr>
      <w:bookmarkStart w:id="30" w:name="_Ref398112108"/>
      <w:r>
        <w:t xml:space="preserve">Figure </w:t>
      </w:r>
      <w:r w:rsidR="00CC1EDC">
        <w:fldChar w:fldCharType="begin"/>
      </w:r>
      <w:r w:rsidR="00CC1EDC">
        <w:instrText xml:space="preserve"> SEQ Figure \* ARABIC </w:instrText>
      </w:r>
      <w:r w:rsidR="00CC1EDC">
        <w:fldChar w:fldCharType="separate"/>
      </w:r>
      <w:r w:rsidR="00017432">
        <w:rPr>
          <w:noProof/>
        </w:rPr>
        <w:t>4</w:t>
      </w:r>
      <w:r w:rsidR="00CC1EDC">
        <w:rPr>
          <w:noProof/>
        </w:rPr>
        <w:fldChar w:fldCharType="end"/>
      </w:r>
      <w:bookmarkEnd w:id="30"/>
      <w:r w:rsidR="003038AD">
        <w:tab/>
        <w:t>Assets sheet</w:t>
      </w:r>
    </w:p>
    <w:p w:rsidR="003038AD" w:rsidRPr="00E56517" w:rsidRDefault="00DF2931" w:rsidP="00717317">
      <w:pPr>
        <w:pStyle w:val="AERbodytext"/>
      </w:pPr>
      <w:r w:rsidRPr="00E56517">
        <w:rPr>
          <w:noProof/>
          <w:lang w:eastAsia="en-AU"/>
        </w:rPr>
        <w:drawing>
          <wp:inline distT="0" distB="0" distL="0" distR="0" wp14:anchorId="2172DBFC" wp14:editId="4E6E24D1">
            <wp:extent cx="5719445" cy="2587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9445" cy="2587625"/>
                    </a:xfrm>
                    <a:prstGeom prst="rect">
                      <a:avLst/>
                    </a:prstGeom>
                    <a:noFill/>
                    <a:ln>
                      <a:noFill/>
                    </a:ln>
                  </pic:spPr>
                </pic:pic>
              </a:graphicData>
            </a:graphic>
          </wp:inline>
        </w:drawing>
      </w:r>
    </w:p>
    <w:p w:rsidR="005854EF" w:rsidRDefault="005854EF" w:rsidP="005854EF">
      <w:pPr>
        <w:pStyle w:val="Heading3"/>
      </w:pPr>
      <w:bookmarkStart w:id="31" w:name="_Toc400092706"/>
      <w:r>
        <w:t>Rolling forward the RAB and depreciation</w:t>
      </w:r>
      <w:bookmarkEnd w:id="31"/>
    </w:p>
    <w:p w:rsidR="00CA7EFD" w:rsidRPr="00CA7EFD" w:rsidRDefault="00CA7EFD" w:rsidP="00CA7EFD">
      <w:pPr>
        <w:pStyle w:val="AERbodytext"/>
      </w:pPr>
      <w:r w:rsidRPr="00CA7EFD">
        <w:t>For consistency, depreciation in a period must equal the difference between the asset value at the start and end of the period. Further, as depreciation is intended to represent the return of capital over the life of the asset, accumulated depreciation should not exceed the initial actual capital cost of the infrastructure.</w:t>
      </w:r>
    </w:p>
    <w:p w:rsidR="00CA7EFD" w:rsidRPr="00CA7EFD" w:rsidRDefault="00CA7EFD" w:rsidP="00CA7EFD">
      <w:pPr>
        <w:pStyle w:val="AERbodytext"/>
      </w:pPr>
      <w:r>
        <w:t>The opening RAB (cell F9</w:t>
      </w:r>
      <w:r w:rsidRPr="00CA7EFD">
        <w:t>) and real fo</w:t>
      </w:r>
      <w:r w:rsidR="00E86EE3">
        <w:t xml:space="preserve">recast net </w:t>
      </w:r>
      <w:proofErr w:type="spellStart"/>
      <w:r w:rsidR="00E86EE3">
        <w:t>capex</w:t>
      </w:r>
      <w:proofErr w:type="spellEnd"/>
      <w:r w:rsidR="00E86EE3">
        <w:t xml:space="preserve"> (rows 10 to 60</w:t>
      </w:r>
      <w:r w:rsidRPr="00CA7EFD">
        <w:t xml:space="preserve">) values displayed in this sheet are sourced from the </w:t>
      </w:r>
      <w:r w:rsidRPr="00E86EE3">
        <w:rPr>
          <w:rStyle w:val="AERtextbold"/>
        </w:rPr>
        <w:t>Input</w:t>
      </w:r>
      <w:r w:rsidRPr="00CA7EFD">
        <w:t xml:space="preserve"> sheet. Nominal forecast net </w:t>
      </w:r>
      <w:proofErr w:type="spellStart"/>
      <w:r w:rsidRPr="00CA7EFD">
        <w:t>capex</w:t>
      </w:r>
      <w:proofErr w:type="spellEnd"/>
      <w:r w:rsidRPr="00CA7EFD">
        <w:t xml:space="preserve"> values </w:t>
      </w:r>
      <w:r>
        <w:t>are displayed in rows 61 to 111</w:t>
      </w:r>
      <w:r w:rsidRPr="00CA7EFD">
        <w:t xml:space="preserve">. The modelling of </w:t>
      </w:r>
      <w:proofErr w:type="spellStart"/>
      <w:r w:rsidRPr="00CA7EFD">
        <w:t>capex</w:t>
      </w:r>
      <w:proofErr w:type="spellEnd"/>
      <w:r w:rsidRPr="00CA7EFD">
        <w:t xml:space="preserve"> in the PTRM is based on a partially as-incurred approach. Under this approach the return on capital is calculated based on as-incurred forecast net </w:t>
      </w:r>
      <w:proofErr w:type="spellStart"/>
      <w:r w:rsidRPr="00CA7EFD">
        <w:t>capex</w:t>
      </w:r>
      <w:proofErr w:type="spellEnd"/>
      <w:r w:rsidRPr="00CA7EFD">
        <w:t xml:space="preserve"> and the return of capital (depreciation) is calculated based on as-commissioned forecast net </w:t>
      </w:r>
      <w:proofErr w:type="spellStart"/>
      <w:r w:rsidRPr="00CA7EFD">
        <w:t>capex</w:t>
      </w:r>
      <w:proofErr w:type="spellEnd"/>
      <w:r w:rsidRPr="00CA7EFD">
        <w:t xml:space="preserve">. </w:t>
      </w:r>
    </w:p>
    <w:p w:rsidR="00CA7EFD" w:rsidRPr="00CA7EFD" w:rsidRDefault="005A09A2" w:rsidP="00CA7EFD">
      <w:pPr>
        <w:pStyle w:val="AERbodytext"/>
      </w:pPr>
      <w:proofErr w:type="spellStart"/>
      <w:r>
        <w:t>C</w:t>
      </w:r>
      <w:r w:rsidR="00CA7EFD" w:rsidRPr="00CA7EFD">
        <w:t>apex</w:t>
      </w:r>
      <w:proofErr w:type="spellEnd"/>
      <w:r w:rsidR="00CA7EFD" w:rsidRPr="00CA7EFD">
        <w:t xml:space="preserve"> is</w:t>
      </w:r>
      <w:r>
        <w:t xml:space="preserve"> assumed to be</w:t>
      </w:r>
      <w:r w:rsidR="00CA7EFD" w:rsidRPr="00CA7EFD">
        <w:t xml:space="preserve"> incurred evenly throughout the </w:t>
      </w:r>
      <w:r w:rsidR="00952BB5">
        <w:t xml:space="preserve">regulatory </w:t>
      </w:r>
      <w:r w:rsidR="00CA7EFD" w:rsidRPr="00CA7EFD">
        <w:t>year and therefore a timing assumption</w:t>
      </w:r>
      <w:r w:rsidR="00952BB5">
        <w:t xml:space="preserve"> is adopted</w:t>
      </w:r>
      <w:r w:rsidR="00CA7EFD" w:rsidRPr="00CA7EFD">
        <w:t xml:space="preserve"> that on average places </w:t>
      </w:r>
      <w:proofErr w:type="spellStart"/>
      <w:r w:rsidR="00CA7EFD" w:rsidRPr="00CA7EFD">
        <w:t>capex</w:t>
      </w:r>
      <w:proofErr w:type="spellEnd"/>
      <w:r w:rsidR="00CA7EFD" w:rsidRPr="00CA7EFD">
        <w:t xml:space="preserve"> half-way through the year. However, the PTRM calculates the return on capital based on the opening RAB for each year and </w:t>
      </w:r>
      <w:proofErr w:type="spellStart"/>
      <w:r w:rsidR="00CA7EFD" w:rsidRPr="00CA7EFD">
        <w:t>capex</w:t>
      </w:r>
      <w:proofErr w:type="spellEnd"/>
      <w:r w:rsidR="00CA7EFD" w:rsidRPr="00CA7EFD">
        <w:t xml:space="preserve"> is not added to the RAB until the end of the year in wh</w:t>
      </w:r>
      <w:r w:rsidR="00CA7EFD">
        <w:t>ich the expenditure on the asset</w:t>
      </w:r>
      <w:r w:rsidR="00CA7EFD" w:rsidRPr="00CA7EFD">
        <w:t xml:space="preserve"> is incurred. To address this timing difference in modelling the real </w:t>
      </w:r>
      <w:proofErr w:type="spellStart"/>
      <w:r w:rsidR="00CA7EFD" w:rsidRPr="00CA7EFD">
        <w:t>capex</w:t>
      </w:r>
      <w:proofErr w:type="spellEnd"/>
      <w:r w:rsidR="00CA7EFD" w:rsidRPr="00CA7EFD">
        <w:t xml:space="preserve">, a half-real vanilla WACC is provided (capitalised and recovered over the life of the assets) to compensate for the six-month period before </w:t>
      </w:r>
      <w:proofErr w:type="spellStart"/>
      <w:r w:rsidR="00CA7EFD" w:rsidRPr="00CA7EFD">
        <w:t>capex</w:t>
      </w:r>
      <w:proofErr w:type="spellEnd"/>
      <w:r w:rsidR="00CA7EFD" w:rsidRPr="00CA7EFD">
        <w:t xml:space="preserve"> is inc</w:t>
      </w:r>
      <w:r w:rsidR="00CA7EFD">
        <w:t>luded in the RAB (rows 11 to 60</w:t>
      </w:r>
      <w:r w:rsidR="00CA7EFD" w:rsidRPr="00CA7EFD">
        <w:t>).</w:t>
      </w:r>
      <w:r w:rsidR="00AB2E8F">
        <w:rPr>
          <w:rStyle w:val="FootnoteReference"/>
        </w:rPr>
        <w:footnoteReference w:id="11"/>
      </w:r>
      <w:r w:rsidR="00CA7EFD" w:rsidRPr="00CA7EFD">
        <w:t xml:space="preserve"> This is calculated using the specific half-real vanilla WACC applying to the year in wh</w:t>
      </w:r>
      <w:r w:rsidR="00CA7EFD">
        <w:t>ich the expenditure is incurred</w:t>
      </w:r>
      <w:r w:rsidR="00CA7EFD" w:rsidRPr="00CA7EFD">
        <w:t>.</w:t>
      </w:r>
    </w:p>
    <w:p w:rsidR="00CA7EFD" w:rsidRPr="00CA7EFD" w:rsidRDefault="00CA7EFD" w:rsidP="00CA7EFD">
      <w:pPr>
        <w:pStyle w:val="AERbodytext"/>
      </w:pPr>
      <w:r w:rsidRPr="00CA7EFD">
        <w:t>Real asset values a</w:t>
      </w:r>
      <w:r>
        <w:t xml:space="preserve">re displayed in rows </w:t>
      </w:r>
      <w:r w:rsidR="00BB3422">
        <w:t>115</w:t>
      </w:r>
      <w:r>
        <w:t xml:space="preserve"> to 767</w:t>
      </w:r>
      <w:r w:rsidRPr="00CA7EFD">
        <w:t>. Real straight-line depreciation i</w:t>
      </w:r>
      <w:r>
        <w:t xml:space="preserve">s calculated in rows </w:t>
      </w:r>
      <w:r w:rsidR="00BB3422">
        <w:t>115</w:t>
      </w:r>
      <w:r>
        <w:t xml:space="preserve"> to 765</w:t>
      </w:r>
      <w:r w:rsidRPr="00CA7EFD">
        <w:t xml:space="preserve">. It uses the opening RAB, forecast </w:t>
      </w:r>
      <w:proofErr w:type="spellStart"/>
      <w:r w:rsidRPr="00CA7EFD">
        <w:t>capex</w:t>
      </w:r>
      <w:proofErr w:type="spellEnd"/>
      <w:r w:rsidRPr="00CA7EFD">
        <w:t xml:space="preserve"> (as-commissioned) values and asset lives from the </w:t>
      </w:r>
      <w:r w:rsidRPr="00E86EE3">
        <w:rPr>
          <w:rStyle w:val="AERtextbold"/>
        </w:rPr>
        <w:t>Input</w:t>
      </w:r>
      <w:r w:rsidRPr="00CA7EFD">
        <w:t xml:space="preserve"> sheet. The individual depreciation profiles for each asset class can be view</w:t>
      </w:r>
      <w:r>
        <w:t xml:space="preserve">ed by </w:t>
      </w:r>
      <w:r>
        <w:lastRenderedPageBreak/>
        <w:t>expanding rows 1</w:t>
      </w:r>
      <w:r w:rsidR="00BB3422">
        <w:t>16</w:t>
      </w:r>
      <w:r>
        <w:t xml:space="preserve"> to 765</w:t>
      </w:r>
      <w:r w:rsidRPr="00CA7EFD">
        <w:t xml:space="preserve">. The roll forward of the closing RAB in real dollar terms (start of year one) for each year is calculated in row </w:t>
      </w:r>
      <w:r w:rsidR="002915C0">
        <w:t>766</w:t>
      </w:r>
      <w:r w:rsidRPr="00CA7EFD">
        <w:t>.</w:t>
      </w:r>
    </w:p>
    <w:p w:rsidR="00CA7EFD" w:rsidRPr="00CA7EFD" w:rsidRDefault="00CA7EFD" w:rsidP="00CA7EFD">
      <w:pPr>
        <w:pStyle w:val="AERbodytext"/>
      </w:pPr>
      <w:r w:rsidRPr="00CA7EFD">
        <w:t>Nominal asset values a</w:t>
      </w:r>
      <w:r>
        <w:t>re displayed in rows 77</w:t>
      </w:r>
      <w:r w:rsidR="00BB3422">
        <w:t>1</w:t>
      </w:r>
      <w:r>
        <w:t xml:space="preserve"> to 775</w:t>
      </w:r>
      <w:r w:rsidRPr="00CA7EFD">
        <w:t>. To compensate the TNSP for inflation, the residual value of the RAB at the end of each year is adjusted upwards for the amount of expected inflation in that year. This adju</w:t>
      </w:r>
      <w:r>
        <w:t>stment is calculated in row 771</w:t>
      </w:r>
      <w:r w:rsidRPr="00CA7EFD">
        <w:t xml:space="preserve">. The change in the nominal value of the RAB from year to year in nominal dollar terms is calculated by adjusting the closing RAB (row 774)  for forecast net </w:t>
      </w:r>
      <w:proofErr w:type="spellStart"/>
      <w:r w:rsidRPr="00CA7EFD">
        <w:t>capex</w:t>
      </w:r>
      <w:proofErr w:type="spellEnd"/>
      <w:r w:rsidRPr="00CA7EFD">
        <w:t xml:space="preserve"> (as-incurred) and the regulatory depreciation allowance. Regulatory depreciation (row 773) is calculated as the nominal straight-line depreciation (row 772), less the inflation adjustment on the opening RAB (row 771). </w:t>
      </w:r>
    </w:p>
    <w:p w:rsidR="00CA7EFD" w:rsidRPr="00CA7EFD" w:rsidRDefault="00CA7EFD" w:rsidP="00CA7EFD">
      <w:pPr>
        <w:pStyle w:val="AERbodytext"/>
      </w:pPr>
      <w:r w:rsidRPr="00CA7EFD">
        <w:t>Depreciation for tax purposes and the tax asset value over time is calculated in ro</w:t>
      </w:r>
      <w:r w:rsidR="00E86EE3">
        <w:t xml:space="preserve">ws 779 to 1430 </w:t>
      </w:r>
      <w:r w:rsidRPr="00CA7EFD">
        <w:t xml:space="preserve">based on the tax asset values, net </w:t>
      </w:r>
      <w:proofErr w:type="spellStart"/>
      <w:r w:rsidRPr="00CA7EFD">
        <w:t>capex</w:t>
      </w:r>
      <w:proofErr w:type="spellEnd"/>
      <w:r w:rsidRPr="00CA7EFD">
        <w:t xml:space="preserve"> (as-commissioned) values and tax asset lives from the </w:t>
      </w:r>
      <w:r w:rsidRPr="00E86EE3">
        <w:rPr>
          <w:rStyle w:val="AERtextbold"/>
        </w:rPr>
        <w:t>Input</w:t>
      </w:r>
      <w:r w:rsidRPr="00CA7EFD">
        <w:t xml:space="preserve"> sheet. The individual tax depreciation profiles for each asset class can be viewe</w:t>
      </w:r>
      <w:r w:rsidR="00E86EE3">
        <w:t>d by expanding rows 780 to 1429</w:t>
      </w:r>
      <w:r w:rsidRPr="00CA7EFD">
        <w:t>. Tax depreciation is calculated separately because asset values and asset lives for tax purposes generally differ from those for regulatory purposes.</w:t>
      </w:r>
    </w:p>
    <w:p w:rsidR="00CA7EFD" w:rsidRPr="00CA7EFD" w:rsidRDefault="00CA7EFD" w:rsidP="00CA7EFD">
      <w:pPr>
        <w:pStyle w:val="AERbodytext"/>
      </w:pPr>
      <w:r w:rsidRPr="00CA7EFD">
        <w:t xml:space="preserve">A summary of the roll forward of the RAB </w:t>
      </w:r>
      <w:r>
        <w:t>is set out in rows 1434 to 1438</w:t>
      </w:r>
      <w:r w:rsidRPr="00CA7EFD">
        <w:t>.</w:t>
      </w:r>
    </w:p>
    <w:p w:rsidR="005854EF" w:rsidRDefault="005854EF" w:rsidP="005854EF">
      <w:pPr>
        <w:pStyle w:val="Heading2"/>
      </w:pPr>
      <w:bookmarkStart w:id="32" w:name="_Toc400092707"/>
      <w:r>
        <w:t>Analysis sheet</w:t>
      </w:r>
      <w:bookmarkEnd w:id="32"/>
    </w:p>
    <w:p w:rsidR="00883CFF" w:rsidRPr="00883CFF" w:rsidRDefault="00883CFF" w:rsidP="00883CFF">
      <w:pPr>
        <w:pStyle w:val="AERbodytext"/>
      </w:pPr>
      <w:r w:rsidRPr="00883CFF">
        <w:t xml:space="preserve">The </w:t>
      </w:r>
      <w:r w:rsidRPr="00E86EE3">
        <w:rPr>
          <w:rStyle w:val="AERtextbold"/>
        </w:rPr>
        <w:t>Analysis</w:t>
      </w:r>
      <w:r w:rsidRPr="00883CFF">
        <w:t xml:space="preserve"> sheet itemises the basic costs, or building blocks of the TNSP, which are then added together to calculate the ABBRR. In other words, the </w:t>
      </w:r>
      <w:r w:rsidRPr="00E86EE3">
        <w:rPr>
          <w:rStyle w:val="AERtextbold"/>
        </w:rPr>
        <w:t>Analysis</w:t>
      </w:r>
      <w:r w:rsidRPr="00883CFF">
        <w:t xml:space="preserve"> sheet is where the data from the </w:t>
      </w:r>
      <w:r w:rsidRPr="000955A2">
        <w:rPr>
          <w:rStyle w:val="AERtextbold"/>
        </w:rPr>
        <w:t>Input</w:t>
      </w:r>
      <w:r w:rsidRPr="00883CFF">
        <w:t xml:space="preserve"> sheet is combined with the calculations in the </w:t>
      </w:r>
      <w:r w:rsidRPr="00717317">
        <w:rPr>
          <w:rStyle w:val="AERtextbold"/>
        </w:rPr>
        <w:t>Assets</w:t>
      </w:r>
      <w:r w:rsidRPr="00883CFF">
        <w:t xml:space="preserve"> and </w:t>
      </w:r>
      <w:r w:rsidRPr="00717317">
        <w:rPr>
          <w:rStyle w:val="AERtextbold"/>
        </w:rPr>
        <w:t>WACC</w:t>
      </w:r>
      <w:r w:rsidRPr="00883CFF">
        <w:t xml:space="preserve"> sheets to estimate a TNSP’s revenue requirement. The </w:t>
      </w:r>
      <w:r w:rsidRPr="00E86EE3">
        <w:rPr>
          <w:rStyle w:val="AERtextbold"/>
        </w:rPr>
        <w:t>Analysis</w:t>
      </w:r>
      <w:r w:rsidRPr="00883CFF">
        <w:t xml:space="preserve"> sheet displays 55 years of data so that the effective tax rate can be estimated.</w:t>
      </w:r>
    </w:p>
    <w:p w:rsidR="00883CFF" w:rsidRPr="00883CFF" w:rsidRDefault="00883CFF" w:rsidP="00883CFF">
      <w:pPr>
        <w:pStyle w:val="AERbodytext"/>
      </w:pPr>
      <w:r w:rsidRPr="00883CFF">
        <w:t xml:space="preserve">The </w:t>
      </w:r>
      <w:r w:rsidRPr="00E86EE3">
        <w:rPr>
          <w:rStyle w:val="AERtextbold"/>
        </w:rPr>
        <w:t>Analysis</w:t>
      </w:r>
      <w:r w:rsidRPr="00883CFF">
        <w:t xml:space="preserve"> sheet also includes an analysis of the forecast cash flows. This analysis provides rate of return measures estimated from forecast revenues and costs, including: expected </w:t>
      </w:r>
      <w:r w:rsidR="00F164A0">
        <w:t xml:space="preserve">pre and </w:t>
      </w:r>
      <w:r w:rsidRPr="00883CFF">
        <w:t>post-tax returns on equity, effective tax rates, the effective cost of debt and selected measures of the WACC.</w:t>
      </w:r>
    </w:p>
    <w:p w:rsidR="00883CFF" w:rsidRDefault="00BB1BF2" w:rsidP="00883CFF">
      <w:pPr>
        <w:pStyle w:val="AERbodytext"/>
      </w:pPr>
      <w:r>
        <w:fldChar w:fldCharType="begin"/>
      </w:r>
      <w:r>
        <w:instrText xml:space="preserve"> REF _Ref398112127 \h </w:instrText>
      </w:r>
      <w:r>
        <w:fldChar w:fldCharType="separate"/>
      </w:r>
      <w:r w:rsidR="00DF2931">
        <w:t xml:space="preserve">Figure </w:t>
      </w:r>
      <w:r w:rsidR="00DF2931">
        <w:rPr>
          <w:noProof/>
        </w:rPr>
        <w:t>5</w:t>
      </w:r>
      <w:r>
        <w:fldChar w:fldCharType="end"/>
      </w:r>
      <w:r w:rsidR="000A7EE3">
        <w:t xml:space="preserve"> and </w:t>
      </w:r>
      <w:r w:rsidR="000A7EE3">
        <w:fldChar w:fldCharType="begin"/>
      </w:r>
      <w:r w:rsidR="000A7EE3">
        <w:instrText xml:space="preserve"> REF _Ref398817136 \h </w:instrText>
      </w:r>
      <w:r w:rsidR="000A7EE3">
        <w:fldChar w:fldCharType="separate"/>
      </w:r>
      <w:r w:rsidR="000A7EE3">
        <w:t xml:space="preserve">Figure </w:t>
      </w:r>
      <w:r w:rsidR="000A7EE3">
        <w:rPr>
          <w:noProof/>
        </w:rPr>
        <w:t>6</w:t>
      </w:r>
      <w:r w:rsidR="000A7EE3">
        <w:fldChar w:fldCharType="end"/>
      </w:r>
      <w:r w:rsidR="00883CFF" w:rsidRPr="00883CFF">
        <w:t xml:space="preserve"> provide example</w:t>
      </w:r>
      <w:r w:rsidR="000A7EE3">
        <w:t>s</w:t>
      </w:r>
      <w:r w:rsidR="00883CFF" w:rsidRPr="00883CFF">
        <w:t xml:space="preserve"> of the </w:t>
      </w:r>
      <w:r w:rsidR="00883CFF" w:rsidRPr="00E86EE3">
        <w:rPr>
          <w:rStyle w:val="AERtextbold"/>
        </w:rPr>
        <w:t>Analysis</w:t>
      </w:r>
      <w:r w:rsidR="00883CFF" w:rsidRPr="00883CFF">
        <w:t xml:space="preserve"> sheet.</w:t>
      </w:r>
    </w:p>
    <w:p w:rsidR="00BB1BF2" w:rsidRDefault="00BB1BF2" w:rsidP="00BB1BF2">
      <w:pPr>
        <w:pStyle w:val="Caption"/>
      </w:pPr>
      <w:bookmarkStart w:id="33" w:name="_Ref398112127"/>
      <w:r>
        <w:lastRenderedPageBreak/>
        <w:t xml:space="preserve">Figure </w:t>
      </w:r>
      <w:r w:rsidR="00CC1EDC">
        <w:fldChar w:fldCharType="begin"/>
      </w:r>
      <w:r w:rsidR="00CC1EDC">
        <w:instrText xml:space="preserve"> SEQ Figure \* ARABIC </w:instrText>
      </w:r>
      <w:r w:rsidR="00CC1EDC">
        <w:fldChar w:fldCharType="separate"/>
      </w:r>
      <w:r w:rsidR="00017432">
        <w:rPr>
          <w:noProof/>
        </w:rPr>
        <w:t>5</w:t>
      </w:r>
      <w:r w:rsidR="00CC1EDC">
        <w:rPr>
          <w:noProof/>
        </w:rPr>
        <w:fldChar w:fldCharType="end"/>
      </w:r>
      <w:bookmarkEnd w:id="33"/>
      <w:r w:rsidR="000955A2">
        <w:tab/>
        <w:t>Analysis sheet–</w:t>
      </w:r>
      <w:r w:rsidR="00DF2931">
        <w:t>first screenshot</w:t>
      </w:r>
    </w:p>
    <w:p w:rsidR="00DF2931" w:rsidRDefault="005573F4" w:rsidP="00717317">
      <w:pPr>
        <w:pStyle w:val="AERbodytext"/>
      </w:pPr>
      <w:r>
        <w:rPr>
          <w:noProof/>
          <w:lang w:eastAsia="en-AU"/>
        </w:rPr>
        <w:drawing>
          <wp:inline distT="0" distB="0" distL="0" distR="0">
            <wp:extent cx="5730240" cy="3712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0240" cy="3712210"/>
                    </a:xfrm>
                    <a:prstGeom prst="rect">
                      <a:avLst/>
                    </a:prstGeom>
                    <a:noFill/>
                    <a:ln>
                      <a:noFill/>
                    </a:ln>
                  </pic:spPr>
                </pic:pic>
              </a:graphicData>
            </a:graphic>
          </wp:inline>
        </w:drawing>
      </w:r>
    </w:p>
    <w:p w:rsidR="00DF2931" w:rsidRDefault="00B521DF">
      <w:pPr>
        <w:pStyle w:val="Caption"/>
      </w:pPr>
      <w:bookmarkStart w:id="34" w:name="_Ref398817136"/>
      <w:r>
        <w:lastRenderedPageBreak/>
        <w:t xml:space="preserve">Figure </w:t>
      </w:r>
      <w:r w:rsidR="00CC1EDC">
        <w:fldChar w:fldCharType="begin"/>
      </w:r>
      <w:r w:rsidR="00CC1EDC">
        <w:instrText xml:space="preserve"> SEQ Figure \* ARABIC </w:instrText>
      </w:r>
      <w:r w:rsidR="00CC1EDC">
        <w:fldChar w:fldCharType="separate"/>
      </w:r>
      <w:r w:rsidR="00017432">
        <w:rPr>
          <w:noProof/>
        </w:rPr>
        <w:t>6</w:t>
      </w:r>
      <w:r w:rsidR="00CC1EDC">
        <w:rPr>
          <w:noProof/>
        </w:rPr>
        <w:fldChar w:fldCharType="end"/>
      </w:r>
      <w:bookmarkEnd w:id="34"/>
      <w:r w:rsidR="000955A2">
        <w:tab/>
        <w:t>Analysis sheet–</w:t>
      </w:r>
      <w:r>
        <w:t>second screenshot</w:t>
      </w:r>
    </w:p>
    <w:p w:rsidR="00B521DF" w:rsidRPr="00E56517" w:rsidRDefault="004A540B" w:rsidP="00717317">
      <w:pPr>
        <w:pStyle w:val="AERbodytext"/>
      </w:pPr>
      <w:r>
        <w:rPr>
          <w:noProof/>
          <w:lang w:eastAsia="en-AU"/>
        </w:rPr>
        <w:drawing>
          <wp:inline distT="0" distB="0" distL="0" distR="0">
            <wp:extent cx="5723890" cy="51390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3890" cy="5139055"/>
                    </a:xfrm>
                    <a:prstGeom prst="rect">
                      <a:avLst/>
                    </a:prstGeom>
                    <a:noFill/>
                    <a:ln>
                      <a:noFill/>
                    </a:ln>
                  </pic:spPr>
                </pic:pic>
              </a:graphicData>
            </a:graphic>
          </wp:inline>
        </w:drawing>
      </w:r>
    </w:p>
    <w:p w:rsidR="005854EF" w:rsidRDefault="005854EF" w:rsidP="005854EF">
      <w:pPr>
        <w:pStyle w:val="Heading3"/>
      </w:pPr>
      <w:bookmarkStart w:id="35" w:name="_Toc400092708"/>
      <w:r>
        <w:t>Building block approach to deriving cash flows</w:t>
      </w:r>
      <w:bookmarkEnd w:id="35"/>
    </w:p>
    <w:p w:rsidR="00556D14" w:rsidRPr="00556D14" w:rsidRDefault="00556D14" w:rsidP="00556D14">
      <w:pPr>
        <w:pStyle w:val="AERbodytext"/>
      </w:pPr>
      <w:r w:rsidRPr="00556D14">
        <w:t>Clause 6A.5.4 of the NER requires the AER to apply the building block approach to assess the revenues required by a TNSP to recover the full cost of providing the regulated transmission (prescribed) service. The revenue requirement includes a commercial return on its investment.</w:t>
      </w:r>
    </w:p>
    <w:p w:rsidR="00556D14" w:rsidRPr="00556D14" w:rsidRDefault="00556D14" w:rsidP="00556D14">
      <w:pPr>
        <w:pStyle w:val="AERbodytext"/>
      </w:pPr>
      <w:r w:rsidRPr="00556D14">
        <w:t>The key building blocks are:</w:t>
      </w:r>
    </w:p>
    <w:p w:rsidR="00556D14" w:rsidRPr="00556D14" w:rsidRDefault="00556D14" w:rsidP="00556D14">
      <w:pPr>
        <w:pStyle w:val="AERbulletlistfirststyle"/>
      </w:pPr>
      <w:r w:rsidRPr="00556D14">
        <w:t>the return on capital comprising (row 2</w:t>
      </w:r>
      <w:r w:rsidR="00A17C60">
        <w:t>3</w:t>
      </w:r>
      <w:r w:rsidRPr="00556D14">
        <w:t>) :</w:t>
      </w:r>
    </w:p>
    <w:p w:rsidR="00556D14" w:rsidRPr="00556D14" w:rsidRDefault="00556D14" w:rsidP="000955A2">
      <w:pPr>
        <w:pStyle w:val="AERbulletlistsecondstyle"/>
      </w:pPr>
      <w:r w:rsidRPr="00556D14">
        <w:t>the post-tax return on equity (row 2</w:t>
      </w:r>
      <w:r w:rsidR="00A17C60">
        <w:t>5</w:t>
      </w:r>
      <w:r w:rsidRPr="00556D14">
        <w:t xml:space="preserve">) </w:t>
      </w:r>
    </w:p>
    <w:p w:rsidR="00556D14" w:rsidRPr="00556D14" w:rsidRDefault="00556D14" w:rsidP="000955A2">
      <w:pPr>
        <w:pStyle w:val="AERbulletlistsecondstyle"/>
      </w:pPr>
      <w:r w:rsidRPr="00556D14">
        <w:t xml:space="preserve">the return on debt (or the interest payments </w:t>
      </w:r>
      <w:r>
        <w:t xml:space="preserve">incurred) required to service </w:t>
      </w:r>
      <w:r w:rsidRPr="00556D14">
        <w:t>borrowings (row 2</w:t>
      </w:r>
      <w:r w:rsidR="00A17C60">
        <w:t>6</w:t>
      </w:r>
      <w:r w:rsidRPr="00556D14">
        <w:t xml:space="preserve">) </w:t>
      </w:r>
    </w:p>
    <w:p w:rsidR="00556D14" w:rsidRPr="00556D14" w:rsidRDefault="00556D14" w:rsidP="00556D14">
      <w:pPr>
        <w:pStyle w:val="AERbulletlistfirststyle"/>
      </w:pPr>
      <w:r w:rsidRPr="00556D14">
        <w:t>the regulatory depreciation or return of capital (row 2</w:t>
      </w:r>
      <w:r w:rsidR="00A17C60">
        <w:t>8</w:t>
      </w:r>
      <w:r w:rsidRPr="00556D14">
        <w:t>)</w:t>
      </w:r>
    </w:p>
    <w:p w:rsidR="00556D14" w:rsidRPr="00556D14" w:rsidRDefault="00556D14" w:rsidP="00556D14">
      <w:pPr>
        <w:pStyle w:val="AERbulletlistfirststyle"/>
      </w:pPr>
      <w:proofErr w:type="spellStart"/>
      <w:r w:rsidRPr="00556D14">
        <w:t>opex</w:t>
      </w:r>
      <w:proofErr w:type="spellEnd"/>
      <w:r w:rsidRPr="00556D14">
        <w:t xml:space="preserve"> including carry</w:t>
      </w:r>
      <w:r w:rsidR="006B5886">
        <w:t>-</w:t>
      </w:r>
      <w:r w:rsidRPr="00556D14">
        <w:t>over amounts (row 3</w:t>
      </w:r>
      <w:r w:rsidR="00A17C60">
        <w:t>0</w:t>
      </w:r>
      <w:r w:rsidRPr="00556D14">
        <w:t>)</w:t>
      </w:r>
    </w:p>
    <w:p w:rsidR="00556D14" w:rsidRPr="00556D14" w:rsidRDefault="00556D14" w:rsidP="00F164A0">
      <w:pPr>
        <w:pStyle w:val="AERbulletlistfirststyle"/>
      </w:pPr>
      <w:r w:rsidRPr="00556D14">
        <w:t>net tax liabilities payable</w:t>
      </w:r>
      <w:r w:rsidR="008027D8">
        <w:t>—</w:t>
      </w:r>
      <w:r w:rsidRPr="00556D14">
        <w:t xml:space="preserve">the figure is net in the sense that it is the annual tax payable by the TNSP (row </w:t>
      </w:r>
      <w:r w:rsidR="002915C0">
        <w:t>3</w:t>
      </w:r>
      <w:r w:rsidR="00A17C60">
        <w:t>2</w:t>
      </w:r>
      <w:r w:rsidRPr="00556D14">
        <w:t xml:space="preserve">) less the value of imputation credits available to investing shareholders (row </w:t>
      </w:r>
      <w:r w:rsidR="002915C0">
        <w:t>3</w:t>
      </w:r>
      <w:r w:rsidR="00A17C60">
        <w:t>3</w:t>
      </w:r>
      <w:r w:rsidRPr="00556D14">
        <w:t>).</w:t>
      </w:r>
    </w:p>
    <w:p w:rsidR="00556D14" w:rsidRPr="00556D14" w:rsidRDefault="00556D14" w:rsidP="00556D14">
      <w:pPr>
        <w:pStyle w:val="AERbodytext"/>
      </w:pPr>
      <w:r w:rsidRPr="00556D14">
        <w:lastRenderedPageBreak/>
        <w:t xml:space="preserve">The costs are determined for each year of the next regulatory control period to derive the </w:t>
      </w:r>
      <w:r w:rsidR="00F164A0">
        <w:t xml:space="preserve">building block subtotal </w:t>
      </w:r>
      <w:r w:rsidRPr="00556D14">
        <w:t xml:space="preserve">(row </w:t>
      </w:r>
      <w:r w:rsidR="00F164A0">
        <w:t>3</w:t>
      </w:r>
      <w:r w:rsidR="00A17C60">
        <w:t>5</w:t>
      </w:r>
      <w:r w:rsidRPr="00556D14">
        <w:t xml:space="preserve">). </w:t>
      </w:r>
      <w:r w:rsidR="00F164A0" w:rsidRPr="008027D8">
        <w:rPr>
          <w:rStyle w:val="AERtexthighlight"/>
        </w:rPr>
        <w:t xml:space="preserve">There is an additional adjustment to reflect the taxation implications of revenue </w:t>
      </w:r>
      <w:r w:rsidR="008027D8" w:rsidRPr="008027D8">
        <w:rPr>
          <w:rStyle w:val="AERtexthighlight"/>
        </w:rPr>
        <w:t xml:space="preserve">adjustments for </w:t>
      </w:r>
      <w:r w:rsidR="00F164A0" w:rsidRPr="008027D8">
        <w:rPr>
          <w:rStyle w:val="AERtexthighlight"/>
        </w:rPr>
        <w:t>shared assets (row 3</w:t>
      </w:r>
      <w:r w:rsidR="00A17C60">
        <w:rPr>
          <w:rStyle w:val="AERtexthighlight"/>
        </w:rPr>
        <w:t>8</w:t>
      </w:r>
      <w:r w:rsidR="00F164A0" w:rsidRPr="008027D8">
        <w:rPr>
          <w:rStyle w:val="AERtexthighlight"/>
        </w:rPr>
        <w:t xml:space="preserve">). </w:t>
      </w:r>
      <w:r w:rsidRPr="00556D14">
        <w:t xml:space="preserve">Because the costs can fluctuate from year to year, the </w:t>
      </w:r>
      <w:r w:rsidR="00F164A0">
        <w:t xml:space="preserve">ABBRR (which includes the additional revenue adjustments) </w:t>
      </w:r>
      <w:r w:rsidRPr="00556D14">
        <w:t>is smoothed over the next regulatory control period to give the MAR (see section 2.5).</w:t>
      </w:r>
    </w:p>
    <w:p w:rsidR="00556D14" w:rsidRPr="0039038C" w:rsidRDefault="00556D14" w:rsidP="0096305C">
      <w:pPr>
        <w:pStyle w:val="AERbodytext"/>
        <w:rPr>
          <w:rStyle w:val="AERtexthighlight"/>
        </w:rPr>
      </w:pPr>
      <w:r w:rsidRPr="0039038C">
        <w:rPr>
          <w:rStyle w:val="AERtexthighlight"/>
        </w:rPr>
        <w:t xml:space="preserve">As a result of the PTRM’s particular timing assumptions, i.e. all cash flows with exception of </w:t>
      </w:r>
      <w:proofErr w:type="spellStart"/>
      <w:r w:rsidRPr="0039038C">
        <w:rPr>
          <w:rStyle w:val="AERtexthighlight"/>
        </w:rPr>
        <w:t>capex</w:t>
      </w:r>
      <w:proofErr w:type="spellEnd"/>
      <w:r w:rsidRPr="0039038C">
        <w:rPr>
          <w:rStyle w:val="AERtexthighlight"/>
        </w:rPr>
        <w:t xml:space="preserve"> are assumed to occur at the end of each </w:t>
      </w:r>
      <w:r w:rsidR="000955A2">
        <w:rPr>
          <w:rStyle w:val="AERtexthighlight"/>
        </w:rPr>
        <w:t xml:space="preserve">regulatory </w:t>
      </w:r>
      <w:r w:rsidRPr="0039038C">
        <w:rPr>
          <w:rStyle w:val="AERtexthighlight"/>
        </w:rPr>
        <w:t xml:space="preserve">year, there is no need to provide </w:t>
      </w:r>
      <w:r w:rsidR="00F164A0">
        <w:rPr>
          <w:rStyle w:val="AERtexthighlight"/>
        </w:rPr>
        <w:t>TNSPs</w:t>
      </w:r>
      <w:r w:rsidRPr="0039038C">
        <w:rPr>
          <w:rStyle w:val="AERtexthighlight"/>
        </w:rPr>
        <w:t xml:space="preserve"> an allowance for working capital in the modelling</w:t>
      </w:r>
      <w:r w:rsidRPr="00717317">
        <w:rPr>
          <w:rStyle w:val="AERtexthighlight"/>
          <w:highlight w:val="yellow"/>
        </w:rPr>
        <w:t>.</w:t>
      </w:r>
      <w:r w:rsidR="0096305C" w:rsidRPr="00717317">
        <w:rPr>
          <w:rStyle w:val="AERsuperscript"/>
          <w:highlight w:val="yellow"/>
        </w:rPr>
        <w:footnoteReference w:id="12"/>
      </w:r>
      <w:r w:rsidR="0096305C" w:rsidRPr="0039038C">
        <w:rPr>
          <w:rStyle w:val="AERtexthighlight"/>
        </w:rPr>
        <w:t xml:space="preserve"> </w:t>
      </w:r>
    </w:p>
    <w:p w:rsidR="005854EF" w:rsidRDefault="005854EF" w:rsidP="005854EF">
      <w:pPr>
        <w:pStyle w:val="Heading3"/>
      </w:pPr>
      <w:bookmarkStart w:id="36" w:name="_Toc400092709"/>
      <w:r>
        <w:t>Taxation and related costs and benefits</w:t>
      </w:r>
      <w:bookmarkEnd w:id="36"/>
    </w:p>
    <w:p w:rsidR="00894A2B" w:rsidRDefault="00894A2B" w:rsidP="00894A2B">
      <w:pPr>
        <w:pStyle w:val="AERbodytext"/>
      </w:pPr>
      <w:r w:rsidRPr="00894A2B">
        <w:t xml:space="preserve">Tax is payable on revenue less tax costs recognised by the ATO. Tax-deductible costs include interest or debt servicing, depreciation allowances and </w:t>
      </w:r>
      <w:proofErr w:type="spellStart"/>
      <w:r w:rsidRPr="00894A2B">
        <w:t>opex</w:t>
      </w:r>
      <w:proofErr w:type="spellEnd"/>
      <w:r w:rsidRPr="00894A2B">
        <w:t xml:space="preserve"> (rows 4</w:t>
      </w:r>
      <w:r w:rsidR="00A17C60">
        <w:t>1</w:t>
      </w:r>
      <w:r w:rsidRPr="00894A2B">
        <w:t xml:space="preserve"> to 4</w:t>
      </w:r>
      <w:r w:rsidR="00A17C60">
        <w:t>3</w:t>
      </w:r>
      <w:r w:rsidRPr="00894A2B">
        <w:t>).</w:t>
      </w:r>
    </w:p>
    <w:p w:rsidR="00894A2B" w:rsidRDefault="00894A2B" w:rsidP="00894A2B">
      <w:pPr>
        <w:pStyle w:val="HeadingBoldBlue"/>
      </w:pPr>
      <w:proofErr w:type="spellStart"/>
      <w:r>
        <w:t>Spreadsheet</w:t>
      </w:r>
      <w:proofErr w:type="spellEnd"/>
      <w:r>
        <w:t xml:space="preserve"> calculations</w:t>
      </w:r>
    </w:p>
    <w:p w:rsidR="00894A2B" w:rsidRPr="00894A2B" w:rsidRDefault="00894A2B" w:rsidP="00894A2B">
      <w:pPr>
        <w:pStyle w:val="AERbodytext"/>
      </w:pPr>
      <w:r w:rsidRPr="00894A2B">
        <w:t>Tax payable by the TNSP for each year</w:t>
      </w:r>
      <w:r w:rsidR="000955A2">
        <w:t xml:space="preserve"> is calculated in rows </w:t>
      </w:r>
      <w:r w:rsidR="008027D8">
        <w:t>3</w:t>
      </w:r>
      <w:r w:rsidR="00A17C60">
        <w:t>5</w:t>
      </w:r>
      <w:r w:rsidR="008027D8">
        <w:t xml:space="preserve"> to 5</w:t>
      </w:r>
      <w:r w:rsidR="00A17C60">
        <w:t>3</w:t>
      </w:r>
      <w:r w:rsidRPr="00894A2B">
        <w:t>, in three steps:</w:t>
      </w:r>
    </w:p>
    <w:p w:rsidR="00894A2B" w:rsidRPr="00894A2B" w:rsidRDefault="00894A2B" w:rsidP="00894A2B">
      <w:pPr>
        <w:pStyle w:val="AERbulletlistfirststyle"/>
      </w:pPr>
      <w:r w:rsidRPr="00894A2B">
        <w:t xml:space="preserve">Pre-tax income </w:t>
      </w:r>
      <w:r w:rsidR="008027D8">
        <w:t xml:space="preserve">(row </w:t>
      </w:r>
      <w:r w:rsidR="00A17C60">
        <w:t>49</w:t>
      </w:r>
      <w:r w:rsidR="008027D8">
        <w:t xml:space="preserve">) </w:t>
      </w:r>
      <w:r w:rsidRPr="00894A2B">
        <w:t xml:space="preserve">is calculated as the </w:t>
      </w:r>
      <w:r w:rsidR="00C23E3E">
        <w:t>building block subtotal plus the additional tax income (row 3</w:t>
      </w:r>
      <w:r w:rsidR="00A17C60">
        <w:t>8</w:t>
      </w:r>
      <w:r w:rsidR="00C23E3E">
        <w:t xml:space="preserve">) </w:t>
      </w:r>
      <w:r w:rsidRPr="00894A2B">
        <w:t xml:space="preserve">less the estimated total tax expense (row </w:t>
      </w:r>
      <w:r w:rsidR="00C23E3E">
        <w:t>4</w:t>
      </w:r>
      <w:r w:rsidR="00A17C60">
        <w:t>4</w:t>
      </w:r>
      <w:r w:rsidRPr="00894A2B">
        <w:t>).</w:t>
      </w:r>
    </w:p>
    <w:p w:rsidR="00894A2B" w:rsidRPr="00894A2B" w:rsidRDefault="00894A2B" w:rsidP="00894A2B">
      <w:pPr>
        <w:pStyle w:val="AERbulletlistfirststyle"/>
      </w:pPr>
      <w:r w:rsidRPr="00894A2B">
        <w:t xml:space="preserve">Tax loss carried forward is calculated (row </w:t>
      </w:r>
      <w:r w:rsidR="00C23E3E">
        <w:t>5</w:t>
      </w:r>
      <w:r w:rsidR="00A17C60">
        <w:t>0</w:t>
      </w:r>
      <w:r w:rsidRPr="00894A2B">
        <w:t>).</w:t>
      </w:r>
    </w:p>
    <w:p w:rsidR="00894A2B" w:rsidRPr="00894A2B" w:rsidRDefault="00894A2B" w:rsidP="00894A2B">
      <w:pPr>
        <w:pStyle w:val="AERbulletlistfirststyle"/>
      </w:pPr>
      <w:r w:rsidRPr="00894A2B">
        <w:t xml:space="preserve">Taxable income (row </w:t>
      </w:r>
      <w:r w:rsidR="00C23E3E">
        <w:t>4</w:t>
      </w:r>
      <w:r w:rsidR="00A17C60">
        <w:t>8</w:t>
      </w:r>
      <w:r w:rsidRPr="00894A2B">
        <w:t>) is then the sum of the above.</w:t>
      </w:r>
    </w:p>
    <w:p w:rsidR="00894A2B" w:rsidRPr="00894A2B" w:rsidRDefault="00894A2B" w:rsidP="00894A2B">
      <w:pPr>
        <w:pStyle w:val="AERbodytext"/>
      </w:pPr>
      <w:r w:rsidRPr="00894A2B">
        <w:t xml:space="preserve">The tax costs (rows </w:t>
      </w:r>
      <w:r w:rsidR="00C23E3E">
        <w:t>4</w:t>
      </w:r>
      <w:r w:rsidR="00A17C60">
        <w:t>1</w:t>
      </w:r>
      <w:r w:rsidR="00C23E3E">
        <w:t xml:space="preserve"> to 4</w:t>
      </w:r>
      <w:r w:rsidR="00A17C60">
        <w:t>3</w:t>
      </w:r>
      <w:r w:rsidRPr="00894A2B">
        <w:t>) used in calculating the pre-tax income for the year are the same as those in the building blocks (rows 2</w:t>
      </w:r>
      <w:r w:rsidR="00A17C60">
        <w:t>6</w:t>
      </w:r>
      <w:r w:rsidRPr="00894A2B">
        <w:t xml:space="preserve"> and 3</w:t>
      </w:r>
      <w:r w:rsidR="00A17C60">
        <w:t>0</w:t>
      </w:r>
      <w:r w:rsidRPr="00894A2B">
        <w:t>) with the exception of depreciation. In the case of the revenue building blocks, regulatory depreciation (row 2</w:t>
      </w:r>
      <w:r w:rsidR="00A17C60">
        <w:t>8</w:t>
      </w:r>
      <w:r w:rsidRPr="00894A2B">
        <w:t xml:space="preserve">) is calculated based on the economic life of the asset (see </w:t>
      </w:r>
      <w:r w:rsidR="00E86EE3">
        <w:t xml:space="preserve">rows 115 to 765 and 771 to 773 </w:t>
      </w:r>
      <w:r w:rsidRPr="00894A2B">
        <w:t xml:space="preserve">of the </w:t>
      </w:r>
      <w:r w:rsidRPr="00E86EE3">
        <w:rPr>
          <w:rStyle w:val="AERtextbold"/>
        </w:rPr>
        <w:t>Assets</w:t>
      </w:r>
      <w:r w:rsidRPr="00894A2B">
        <w:t xml:space="preserve"> sheet). Tax depreciation is generally based on a much shorter tax life or calculated in a diffe</w:t>
      </w:r>
      <w:r w:rsidR="00E86EE3">
        <w:t xml:space="preserve">rent way (see rows 779 to 1429 </w:t>
      </w:r>
      <w:r w:rsidRPr="00894A2B">
        <w:t xml:space="preserve">of the </w:t>
      </w:r>
      <w:r w:rsidRPr="00E86EE3">
        <w:rPr>
          <w:rStyle w:val="AERtextbold"/>
        </w:rPr>
        <w:t>Assets</w:t>
      </w:r>
      <w:r w:rsidRPr="00894A2B">
        <w:t xml:space="preserve"> sheet).</w:t>
      </w:r>
    </w:p>
    <w:p w:rsidR="00894A2B" w:rsidRPr="00894A2B" w:rsidRDefault="00894A2B" w:rsidP="00894A2B">
      <w:pPr>
        <w:pStyle w:val="AERbodytext"/>
      </w:pPr>
      <w:r w:rsidRPr="00894A2B">
        <w:t>The tax payable is recognised as a building block cost and added to the revenue building blocks (row</w:t>
      </w:r>
      <w:r w:rsidR="000955A2">
        <w:t> </w:t>
      </w:r>
      <w:r w:rsidR="00C23E3E">
        <w:t>3</w:t>
      </w:r>
      <w:r w:rsidR="00AD55BB">
        <w:t>5</w:t>
      </w:r>
      <w:r w:rsidRPr="00894A2B">
        <w:t>). Offsetting this tax cost is the benefit shareholders receive from imputation credits (gamma). This offsetting benefit is equal to gamma multiplied by the tax payable and</w:t>
      </w:r>
      <w:r>
        <w:t xml:space="preserve"> is recorded in rows </w:t>
      </w:r>
      <w:r w:rsidR="00C23E3E">
        <w:t>3</w:t>
      </w:r>
      <w:r w:rsidR="00AD55BB">
        <w:t>3</w:t>
      </w:r>
      <w:r>
        <w:t xml:space="preserve"> and</w:t>
      </w:r>
      <w:r w:rsidR="000955A2">
        <w:t> </w:t>
      </w:r>
      <w:r w:rsidR="00C23E3E">
        <w:t>5</w:t>
      </w:r>
      <w:r w:rsidR="00AD55BB">
        <w:t>2</w:t>
      </w:r>
      <w:r>
        <w:t>.</w:t>
      </w:r>
    </w:p>
    <w:p w:rsidR="005854EF" w:rsidRDefault="005854EF" w:rsidP="005854EF">
      <w:pPr>
        <w:pStyle w:val="Heading3"/>
      </w:pPr>
      <w:bookmarkStart w:id="37" w:name="_Toc400092710"/>
      <w:r>
        <w:t>Cash flow analysis</w:t>
      </w:r>
      <w:bookmarkEnd w:id="37"/>
    </w:p>
    <w:p w:rsidR="00894A2B" w:rsidRDefault="00894A2B" w:rsidP="00894A2B">
      <w:pPr>
        <w:pStyle w:val="AERbodytext"/>
      </w:pPr>
      <w:r w:rsidRPr="00894A2B">
        <w:t xml:space="preserve">Calculations in the cash flow analysis section provide a comprehensive check on the validity of revenue determinations to ensure that the outcomes are consistent with the assumptions forming the basis of the building block approach. The </w:t>
      </w:r>
      <w:r w:rsidRPr="00E86EE3">
        <w:rPr>
          <w:rStyle w:val="AERtextbold"/>
        </w:rPr>
        <w:t>Analysis</w:t>
      </w:r>
      <w:r w:rsidRPr="00894A2B">
        <w:t xml:space="preserve"> sheet is designed to check the desired rate of return on equity that can be expected from the regulated revenue stream.</w:t>
      </w:r>
    </w:p>
    <w:p w:rsidR="00894A2B" w:rsidRDefault="00894A2B" w:rsidP="00894A2B">
      <w:pPr>
        <w:pStyle w:val="HeadingBoldBlue"/>
      </w:pPr>
      <w:r>
        <w:t>Net present values</w:t>
      </w:r>
    </w:p>
    <w:p w:rsidR="00894A2B" w:rsidRDefault="00894A2B" w:rsidP="00894A2B">
      <w:pPr>
        <w:pStyle w:val="AERbodytext"/>
      </w:pPr>
      <w:r w:rsidRPr="00894A2B">
        <w:t xml:space="preserve">The total returns on and of capital (comprising the RAB and </w:t>
      </w:r>
      <w:proofErr w:type="spellStart"/>
      <w:r w:rsidRPr="00894A2B">
        <w:t>capex</w:t>
      </w:r>
      <w:proofErr w:type="spellEnd"/>
      <w:r w:rsidRPr="00894A2B">
        <w:t xml:space="preserve">) is calculated in row </w:t>
      </w:r>
      <w:r w:rsidR="00AD55BB">
        <w:t>59</w:t>
      </w:r>
      <w:r w:rsidRPr="00894A2B">
        <w:t xml:space="preserve">. The present value (PV) for these cash flows at the start of the first year of the next regulatory control period is calculated in cell </w:t>
      </w:r>
      <w:r w:rsidR="00C23E3E">
        <w:t>F</w:t>
      </w:r>
      <w:r w:rsidR="00AD55BB">
        <w:t>59</w:t>
      </w:r>
      <w:r w:rsidRPr="00894A2B">
        <w:t xml:space="preserve">. The PV for </w:t>
      </w:r>
      <w:proofErr w:type="spellStart"/>
      <w:r w:rsidRPr="00894A2B">
        <w:t>capex</w:t>
      </w:r>
      <w:proofErr w:type="spellEnd"/>
      <w:r w:rsidRPr="00894A2B">
        <w:t xml:space="preserve"> is calculated in cell </w:t>
      </w:r>
      <w:r w:rsidR="00AD55BB">
        <w:t>F60</w:t>
      </w:r>
      <w:r w:rsidRPr="00894A2B">
        <w:t xml:space="preserve">. The PV can be used to show that the PTRM is providing the correct returns to the asset. The project net present value (NPV) </w:t>
      </w:r>
      <w:r w:rsidRPr="00894A2B">
        <w:lastRenderedPageBreak/>
        <w:t xml:space="preserve">check (cell </w:t>
      </w:r>
      <w:r w:rsidR="00C23E3E">
        <w:t>F5</w:t>
      </w:r>
      <w:r w:rsidR="00AD55BB">
        <w:t>8</w:t>
      </w:r>
      <w:r w:rsidRPr="00894A2B">
        <w:t>) for the RAB should be equal to zero, which indicates that the asset i</w:t>
      </w:r>
      <w:r>
        <w:t>s receiving the correct returns</w:t>
      </w:r>
      <w:r w:rsidRPr="00894A2B">
        <w:t>.</w:t>
      </w:r>
    </w:p>
    <w:p w:rsidR="00894A2B" w:rsidRPr="00894A2B" w:rsidRDefault="00894A2B" w:rsidP="00B641E0">
      <w:pPr>
        <w:pStyle w:val="HeadingBoldBlue"/>
      </w:pPr>
      <w:r w:rsidRPr="00894A2B">
        <w:t>Net cash flows available to equity holders</w:t>
      </w:r>
    </w:p>
    <w:p w:rsidR="00894A2B" w:rsidRPr="00894A2B" w:rsidRDefault="00894A2B" w:rsidP="00894A2B">
      <w:pPr>
        <w:pStyle w:val="AERbodytext"/>
      </w:pPr>
      <w:r w:rsidRPr="00894A2B">
        <w:t xml:space="preserve">Net nominal pre-tax cash flows to equity holders (row </w:t>
      </w:r>
      <w:r w:rsidR="00C23E3E">
        <w:t>6</w:t>
      </w:r>
      <w:r w:rsidR="00AD55BB">
        <w:t>8</w:t>
      </w:r>
      <w:r w:rsidRPr="00894A2B">
        <w:t>) are represented by nominal revenues less:</w:t>
      </w:r>
    </w:p>
    <w:p w:rsidR="00894A2B" w:rsidRPr="00894A2B" w:rsidRDefault="00894A2B" w:rsidP="00B641E0">
      <w:pPr>
        <w:pStyle w:val="AERbulletlistfirststyle"/>
      </w:pPr>
      <w:proofErr w:type="spellStart"/>
      <w:r w:rsidRPr="00894A2B">
        <w:t>opex</w:t>
      </w:r>
      <w:proofErr w:type="spellEnd"/>
    </w:p>
    <w:p w:rsidR="00894A2B" w:rsidRPr="00894A2B" w:rsidRDefault="00894A2B" w:rsidP="00B641E0">
      <w:pPr>
        <w:pStyle w:val="AERbulletlistfirststyle"/>
      </w:pPr>
      <w:proofErr w:type="spellStart"/>
      <w:r w:rsidRPr="00894A2B">
        <w:t>capex</w:t>
      </w:r>
      <w:proofErr w:type="spellEnd"/>
    </w:p>
    <w:p w:rsidR="00894A2B" w:rsidRPr="00894A2B" w:rsidRDefault="00894A2B" w:rsidP="00B641E0">
      <w:pPr>
        <w:pStyle w:val="AERbulletlistfirststyle"/>
      </w:pPr>
      <w:r w:rsidRPr="00894A2B">
        <w:t>interest payments</w:t>
      </w:r>
    </w:p>
    <w:p w:rsidR="00894A2B" w:rsidRPr="00894A2B" w:rsidRDefault="00894A2B" w:rsidP="00B641E0">
      <w:pPr>
        <w:pStyle w:val="AERbulletlistfirststyle"/>
      </w:pPr>
      <w:proofErr w:type="gramStart"/>
      <w:r w:rsidRPr="00894A2B">
        <w:t>any</w:t>
      </w:r>
      <w:proofErr w:type="gramEnd"/>
      <w:r w:rsidRPr="00894A2B">
        <w:t xml:space="preserve"> repayment of debt in the period.</w:t>
      </w:r>
    </w:p>
    <w:p w:rsidR="00894A2B" w:rsidRPr="00894A2B" w:rsidRDefault="00894A2B" w:rsidP="00894A2B">
      <w:pPr>
        <w:pStyle w:val="AERbodytext"/>
      </w:pPr>
      <w:r w:rsidRPr="00894A2B">
        <w:t xml:space="preserve">Net nominal post-tax cash flow to equity holders (row </w:t>
      </w:r>
      <w:r w:rsidR="00AD55BB">
        <w:t>69</w:t>
      </w:r>
      <w:r w:rsidRPr="00894A2B">
        <w:t xml:space="preserve">) is obtained by further deducting the tax expense of the business. Row </w:t>
      </w:r>
      <w:r w:rsidR="00C23E3E">
        <w:t>7</w:t>
      </w:r>
      <w:r w:rsidR="00AD55BB">
        <w:t>0</w:t>
      </w:r>
      <w:r w:rsidRPr="00894A2B">
        <w:t xml:space="preserve"> adds back the value of imputation credits to calculate the net post-tax benefits available to equity holders in a period.</w:t>
      </w:r>
    </w:p>
    <w:p w:rsidR="00894A2B" w:rsidRPr="00894A2B" w:rsidRDefault="00894A2B" w:rsidP="00894A2B">
      <w:pPr>
        <w:pStyle w:val="AERbodytext"/>
      </w:pPr>
      <w:r w:rsidRPr="00894A2B">
        <w:t>The internal rate of return (IRR) of the net cash flows over the life of the assets is calculated in column</w:t>
      </w:r>
      <w:r w:rsidR="00C23E3E">
        <w:t> </w:t>
      </w:r>
      <w:r w:rsidRPr="00894A2B">
        <w:t>E. The key IRR is the net post-tax returns to equity holders inclusive of imputation credits (r</w:t>
      </w:r>
      <w:r w:rsidRPr="00717317">
        <w:rPr>
          <w:rStyle w:val="AERsubscript"/>
        </w:rPr>
        <w:t>e</w:t>
      </w:r>
      <w:r w:rsidRPr="00894A2B">
        <w:t>). The determined r</w:t>
      </w:r>
      <w:r w:rsidRPr="009C1DA4">
        <w:rPr>
          <w:rStyle w:val="AERsubscript"/>
        </w:rPr>
        <w:t>e</w:t>
      </w:r>
      <w:r w:rsidRPr="00894A2B">
        <w:t xml:space="preserve"> should be validated by the estimated cash flows (row </w:t>
      </w:r>
      <w:r w:rsidR="00C23E3E">
        <w:t>7</w:t>
      </w:r>
      <w:r w:rsidR="00AD55BB">
        <w:t>0</w:t>
      </w:r>
      <w:r w:rsidRPr="00894A2B">
        <w:t xml:space="preserve">). </w:t>
      </w:r>
    </w:p>
    <w:p w:rsidR="00894A2B" w:rsidRPr="00894A2B" w:rsidRDefault="00894A2B" w:rsidP="00894A2B">
      <w:pPr>
        <w:pStyle w:val="AERbodytext"/>
      </w:pPr>
      <w:r w:rsidRPr="00894A2B">
        <w:t xml:space="preserve">The corresponding real cash flows and the respective IRRs are calculated in rows </w:t>
      </w:r>
      <w:r w:rsidR="00C23E3E">
        <w:t>7</w:t>
      </w:r>
      <w:r w:rsidR="00AD55BB">
        <w:t>2</w:t>
      </w:r>
      <w:r w:rsidR="00C23E3E">
        <w:t xml:space="preserve"> to 7</w:t>
      </w:r>
      <w:r w:rsidR="00AD55BB">
        <w:t>4</w:t>
      </w:r>
      <w:r w:rsidRPr="00894A2B">
        <w:t>.</w:t>
      </w:r>
    </w:p>
    <w:p w:rsidR="00894A2B" w:rsidRPr="00894A2B" w:rsidRDefault="00894A2B" w:rsidP="00894A2B">
      <w:pPr>
        <w:pStyle w:val="AERbodytext"/>
      </w:pPr>
      <w:r w:rsidRPr="00894A2B">
        <w:t>The difference in the IRR applying to pre-tax and post-tax cash flows to equity allows the effective rate of tax (</w:t>
      </w:r>
      <w:proofErr w:type="spellStart"/>
      <w:r w:rsidRPr="00894A2B">
        <w:t>T</w:t>
      </w:r>
      <w:r w:rsidRPr="00717317">
        <w:rPr>
          <w:rStyle w:val="AERsubscript"/>
        </w:rPr>
        <w:t>e</w:t>
      </w:r>
      <w:proofErr w:type="spellEnd"/>
      <w:r w:rsidRPr="00894A2B">
        <w:t xml:space="preserve"> = 1 – </w:t>
      </w:r>
      <w:proofErr w:type="spellStart"/>
      <w:r w:rsidRPr="00894A2B">
        <w:t>r</w:t>
      </w:r>
      <w:r w:rsidRPr="00717317">
        <w:rPr>
          <w:rStyle w:val="AERsubscript"/>
        </w:rPr>
        <w:t>post</w:t>
      </w:r>
      <w:proofErr w:type="spellEnd"/>
      <w:r w:rsidRPr="00894A2B">
        <w:t>/</w:t>
      </w:r>
      <w:proofErr w:type="spellStart"/>
      <w:r w:rsidRPr="00894A2B">
        <w:t>r</w:t>
      </w:r>
      <w:r w:rsidRPr="00717317">
        <w:rPr>
          <w:rStyle w:val="AERsubscript"/>
        </w:rPr>
        <w:t>pre</w:t>
      </w:r>
      <w:proofErr w:type="spellEnd"/>
      <w:r w:rsidRPr="00894A2B">
        <w:t xml:space="preserve">) to be calculated (cell </w:t>
      </w:r>
      <w:r w:rsidR="00C23E3E">
        <w:t>D6</w:t>
      </w:r>
      <w:r w:rsidR="00AD55BB">
        <w:t>8</w:t>
      </w:r>
      <w:r w:rsidRPr="00894A2B">
        <w:t>). This can then be used as an input to the formula-based WACC calculations.</w:t>
      </w:r>
    </w:p>
    <w:p w:rsidR="00894A2B" w:rsidRPr="00894A2B" w:rsidRDefault="00894A2B" w:rsidP="00894A2B">
      <w:pPr>
        <w:pStyle w:val="AERbodytext"/>
      </w:pPr>
      <w:r w:rsidRPr="00894A2B">
        <w:t xml:space="preserve">It is important to note that the formula-based WACC calculations will only provide an approximation of the actual WACC outcomes implied by the cash flow calculations. In practice, </w:t>
      </w:r>
      <w:proofErr w:type="spellStart"/>
      <w:r w:rsidRPr="00894A2B">
        <w:t>T</w:t>
      </w:r>
      <w:r w:rsidRPr="00717317">
        <w:rPr>
          <w:rStyle w:val="AERsubscript"/>
        </w:rPr>
        <w:t>e</w:t>
      </w:r>
      <w:proofErr w:type="spellEnd"/>
      <w:r w:rsidRPr="00894A2B">
        <w:t xml:space="preserve"> is substantially below the corporate tax rate for assets that can be depreciated at a faster rate for tax purposes.</w:t>
      </w:r>
    </w:p>
    <w:p w:rsidR="00894A2B" w:rsidRPr="00894A2B" w:rsidRDefault="00894A2B" w:rsidP="00894A2B">
      <w:pPr>
        <w:pStyle w:val="HeadingBoldBlue"/>
      </w:pPr>
      <w:r w:rsidRPr="00894A2B">
        <w:t xml:space="preserve">Net cash flows necessary to service debt and the effective debt shield </w:t>
      </w:r>
    </w:p>
    <w:p w:rsidR="00894A2B" w:rsidRPr="00894A2B" w:rsidRDefault="00894A2B" w:rsidP="00894A2B">
      <w:pPr>
        <w:pStyle w:val="AERbodytext"/>
      </w:pPr>
      <w:r w:rsidRPr="00894A2B">
        <w:t xml:space="preserve">The cost of debt is reduced by the value of the ‘debt shield’ (row </w:t>
      </w:r>
      <w:r w:rsidR="00C23E3E">
        <w:t>7</w:t>
      </w:r>
      <w:r w:rsidR="00AD55BB">
        <w:t>6</w:t>
      </w:r>
      <w:r w:rsidRPr="00894A2B">
        <w:t>) in calculating tax liabilities. Where the interest expense in a year reduces taxable income by a corresponding amount, the net cost of debt for investors is reduced by the corporate tax rate.</w:t>
      </w:r>
    </w:p>
    <w:p w:rsidR="00894A2B" w:rsidRPr="00894A2B" w:rsidRDefault="00894A2B" w:rsidP="00894A2B">
      <w:pPr>
        <w:pStyle w:val="AERbodytext"/>
      </w:pPr>
      <w:r w:rsidRPr="00894A2B">
        <w:t xml:space="preserve">However, where the taxable income is so low that the full interest deduction is not required to reduce tax liabilities to zero, the value of the debt shield benefit is deferred to a later period. This effect is analysed in rows </w:t>
      </w:r>
      <w:r w:rsidR="00C23E3E">
        <w:t>7</w:t>
      </w:r>
      <w:r w:rsidR="00AD55BB">
        <w:t>6</w:t>
      </w:r>
      <w:r w:rsidR="00C23E3E">
        <w:t xml:space="preserve"> to </w:t>
      </w:r>
      <w:r w:rsidR="00AD55BB">
        <w:t>79</w:t>
      </w:r>
      <w:r w:rsidRPr="00894A2B">
        <w:t xml:space="preserve">.  That part of interest expense used to defer tax is calculated in each year (row </w:t>
      </w:r>
      <w:r w:rsidR="00C23E3E">
        <w:t>7</w:t>
      </w:r>
      <w:r w:rsidR="00AD55BB">
        <w:t>7</w:t>
      </w:r>
      <w:r w:rsidRPr="00894A2B">
        <w:t xml:space="preserve">) and the unused part carried forward is embodied in the tax loss carried forward calculation (row </w:t>
      </w:r>
      <w:r w:rsidR="00C23E3E">
        <w:t>7</w:t>
      </w:r>
      <w:r w:rsidR="00AD55BB">
        <w:t>8</w:t>
      </w:r>
      <w:r w:rsidRPr="00894A2B">
        <w:t>). This allows the net cost to the firm of paying debt holders, after taking account of the tax concession, to be calculated.</w:t>
      </w:r>
    </w:p>
    <w:p w:rsidR="00894A2B" w:rsidRPr="00894A2B" w:rsidRDefault="00894A2B" w:rsidP="00894A2B">
      <w:pPr>
        <w:pStyle w:val="AERbodytext"/>
      </w:pPr>
      <w:r w:rsidRPr="00894A2B">
        <w:t xml:space="preserve">The IRR calculation (cell </w:t>
      </w:r>
      <w:r w:rsidR="00C23E3E">
        <w:t>E</w:t>
      </w:r>
      <w:r w:rsidR="00AD55BB">
        <w:t>79</w:t>
      </w:r>
      <w:r w:rsidRPr="00894A2B">
        <w:t>) represents the effective cost of debt, which is generally well below the nominal cost of debt based on the current interest rates.</w:t>
      </w:r>
    </w:p>
    <w:p w:rsidR="00894A2B" w:rsidRPr="00894A2B" w:rsidRDefault="00894A2B" w:rsidP="00894A2B">
      <w:pPr>
        <w:pStyle w:val="HeadingBoldBlue"/>
      </w:pPr>
      <w:r w:rsidRPr="00894A2B">
        <w:t>Nominal cash flows to assets and calculation of WACC estimates</w:t>
      </w:r>
    </w:p>
    <w:p w:rsidR="00894A2B" w:rsidRPr="00894A2B" w:rsidRDefault="00894A2B" w:rsidP="00894A2B">
      <w:pPr>
        <w:pStyle w:val="AERbodytext"/>
      </w:pPr>
      <w:r w:rsidRPr="00894A2B">
        <w:t>The cash flows to the different sources of capital (debt and equity) have been presented above, but the cash flows to the assets as a whole are of interest since these aggregate numbers characterise the nature of the regulated business.</w:t>
      </w:r>
    </w:p>
    <w:p w:rsidR="00894A2B" w:rsidRPr="00894A2B" w:rsidRDefault="00894A2B" w:rsidP="00894A2B">
      <w:pPr>
        <w:pStyle w:val="AERbodytext"/>
      </w:pPr>
      <w:r w:rsidRPr="00894A2B">
        <w:lastRenderedPageBreak/>
        <w:t xml:space="preserve">The IRRs from these cash flows are the WACC estimates expected from the application of the regulatory framework and have greater validity than any formula-based approximations. They are summarised in the </w:t>
      </w:r>
      <w:r w:rsidRPr="00E86EE3">
        <w:rPr>
          <w:rStyle w:val="AERtextbold"/>
        </w:rPr>
        <w:t>WACC</w:t>
      </w:r>
      <w:r w:rsidRPr="00894A2B">
        <w:t xml:space="preserve"> sheet along with the formula-based approximations. It should be noted that the WACC outcomes are calculated for reporting purposes only. They are not required for setting revenues since the modelling already provides the requisite revenue forecasts.</w:t>
      </w:r>
    </w:p>
    <w:p w:rsidR="00894A2B" w:rsidRPr="00894A2B" w:rsidRDefault="00894A2B" w:rsidP="00894A2B">
      <w:pPr>
        <w:pStyle w:val="HeadingBoldBlue"/>
      </w:pPr>
      <w:r w:rsidRPr="00894A2B">
        <w:t>Regulatory control period analysis</w:t>
      </w:r>
    </w:p>
    <w:p w:rsidR="00894A2B" w:rsidRPr="00894A2B" w:rsidRDefault="00894A2B" w:rsidP="00894A2B">
      <w:pPr>
        <w:pStyle w:val="AERbodytext"/>
      </w:pPr>
      <w:r>
        <w:t xml:space="preserve">Rows </w:t>
      </w:r>
      <w:r w:rsidR="00C23E3E">
        <w:t>10</w:t>
      </w:r>
      <w:r w:rsidR="00AD55BB">
        <w:t>5</w:t>
      </w:r>
      <w:r>
        <w:t xml:space="preserve"> to 11</w:t>
      </w:r>
      <w:r w:rsidR="00AD55BB">
        <w:t>3</w:t>
      </w:r>
      <w:r>
        <w:t xml:space="preserve"> </w:t>
      </w:r>
      <w:r w:rsidRPr="00894A2B">
        <w:t>provide an additional analysis of the cash flow to equity holders over a regulatory control period.</w:t>
      </w:r>
    </w:p>
    <w:p w:rsidR="00894A2B" w:rsidRDefault="00894A2B" w:rsidP="00B641E0">
      <w:pPr>
        <w:pStyle w:val="AERbodytext"/>
      </w:pPr>
      <w:r w:rsidRPr="00894A2B">
        <w:t xml:space="preserve">The purpose of this section is to confirm that the desired re target remains over the next regulatory control period. Rows </w:t>
      </w:r>
      <w:r w:rsidR="00C23E3E">
        <w:t>10</w:t>
      </w:r>
      <w:r w:rsidR="00AD55BB">
        <w:t>5</w:t>
      </w:r>
      <w:r w:rsidRPr="00894A2B">
        <w:t xml:space="preserve"> to 11</w:t>
      </w:r>
      <w:r w:rsidR="00AD55BB">
        <w:t>3</w:t>
      </w:r>
      <w:r w:rsidRPr="00894A2B">
        <w:t xml:space="preserve"> are essentially an expansion of the </w:t>
      </w:r>
      <w:r w:rsidR="009C1DA4">
        <w:t>calculations used to derive row </w:t>
      </w:r>
      <w:r w:rsidRPr="00894A2B">
        <w:t>7</w:t>
      </w:r>
      <w:r w:rsidR="00AD55BB">
        <w:t>0</w:t>
      </w:r>
      <w:r w:rsidRPr="00894A2B">
        <w:t>—that is, cash flow to equity holders inclusive of t</w:t>
      </w:r>
      <w:r w:rsidR="00B641E0">
        <w:t>he value of imputation credits.</w:t>
      </w:r>
    </w:p>
    <w:p w:rsidR="00C23E3E" w:rsidRPr="00717317" w:rsidRDefault="00C23E3E" w:rsidP="00C23E3E">
      <w:pPr>
        <w:pStyle w:val="HeadingBoldBlue"/>
        <w:rPr>
          <w:rStyle w:val="AERtexthighlight"/>
        </w:rPr>
      </w:pPr>
      <w:r w:rsidRPr="00717317">
        <w:rPr>
          <w:rStyle w:val="AERtexthighlight"/>
        </w:rPr>
        <w:t>Additional disaggregation</w:t>
      </w:r>
    </w:p>
    <w:p w:rsidR="00C23E3E" w:rsidRPr="00717317" w:rsidRDefault="00C23E3E" w:rsidP="00B641E0">
      <w:pPr>
        <w:pStyle w:val="AERbodytext"/>
        <w:rPr>
          <w:rStyle w:val="AERtexthighlight"/>
        </w:rPr>
      </w:pPr>
      <w:r w:rsidRPr="00717317">
        <w:rPr>
          <w:rStyle w:val="AERtexthighlight"/>
        </w:rPr>
        <w:t>Rows 12</w:t>
      </w:r>
      <w:r w:rsidR="00AD55BB">
        <w:rPr>
          <w:rStyle w:val="AERtexthighlight"/>
        </w:rPr>
        <w:t>0</w:t>
      </w:r>
      <w:r w:rsidRPr="00717317">
        <w:rPr>
          <w:rStyle w:val="AERtexthighlight"/>
        </w:rPr>
        <w:t xml:space="preserve"> to 1</w:t>
      </w:r>
      <w:r w:rsidR="00AD55BB">
        <w:rPr>
          <w:rStyle w:val="AERtexthighlight"/>
        </w:rPr>
        <w:t>29</w:t>
      </w:r>
      <w:r w:rsidRPr="00717317">
        <w:rPr>
          <w:rStyle w:val="AERtexthighlight"/>
        </w:rPr>
        <w:t xml:space="preserve"> provide additional breakdown of reve</w:t>
      </w:r>
      <w:r w:rsidRPr="00717317">
        <w:rPr>
          <w:rStyle w:val="AERtexthighlight"/>
          <w:highlight w:val="yellow"/>
        </w:rPr>
        <w:t xml:space="preserve">nue by components in accordance with the categories listed in the NER. These </w:t>
      </w:r>
      <w:r w:rsidR="00764470" w:rsidRPr="00717317">
        <w:rPr>
          <w:rStyle w:val="AERtexthighlight"/>
          <w:highlight w:val="yellow"/>
        </w:rPr>
        <w:t>values</w:t>
      </w:r>
      <w:r w:rsidRPr="00717317">
        <w:rPr>
          <w:rStyle w:val="AERtexthighlight"/>
          <w:highlight w:val="yellow"/>
        </w:rPr>
        <w:t xml:space="preserve"> are refer</w:t>
      </w:r>
      <w:r w:rsidR="00764470" w:rsidRPr="00717317">
        <w:rPr>
          <w:rStyle w:val="AERtexthighlight"/>
          <w:highlight w:val="yellow"/>
        </w:rPr>
        <w:t>red to in</w:t>
      </w:r>
      <w:r w:rsidRPr="00717317">
        <w:rPr>
          <w:rStyle w:val="AERtexthighlight"/>
          <w:highlight w:val="yellow"/>
        </w:rPr>
        <w:t xml:space="preserve"> the </w:t>
      </w:r>
      <w:r w:rsidRPr="00717317">
        <w:rPr>
          <w:rStyle w:val="AERtextbold"/>
          <w:highlight w:val="yellow"/>
        </w:rPr>
        <w:t>X factors</w:t>
      </w:r>
      <w:r w:rsidRPr="00717317">
        <w:rPr>
          <w:rStyle w:val="AERtexthighlight"/>
          <w:highlight w:val="yellow"/>
        </w:rPr>
        <w:t xml:space="preserve">, </w:t>
      </w:r>
      <w:r w:rsidRPr="00717317">
        <w:rPr>
          <w:rStyle w:val="AERtextbold"/>
          <w:highlight w:val="yellow"/>
        </w:rPr>
        <w:t>Revenue summary</w:t>
      </w:r>
      <w:r w:rsidRPr="00717317">
        <w:rPr>
          <w:rStyle w:val="AERtexthighlight"/>
          <w:highlight w:val="yellow"/>
        </w:rPr>
        <w:t xml:space="preserve"> and </w:t>
      </w:r>
      <w:r w:rsidR="000955A2">
        <w:rPr>
          <w:rStyle w:val="AERtextbold"/>
          <w:highlight w:val="yellow"/>
        </w:rPr>
        <w:t>Chart 3–</w:t>
      </w:r>
      <w:r w:rsidRPr="00717317">
        <w:rPr>
          <w:rStyle w:val="AERtextbold"/>
          <w:highlight w:val="yellow"/>
        </w:rPr>
        <w:t>Building blocks</w:t>
      </w:r>
      <w:r w:rsidRPr="00717317">
        <w:rPr>
          <w:rStyle w:val="AERtexthighlight"/>
          <w:highlight w:val="yellow"/>
        </w:rPr>
        <w:t xml:space="preserve"> sheets.</w:t>
      </w:r>
    </w:p>
    <w:p w:rsidR="005854EF" w:rsidRDefault="005854EF" w:rsidP="005854EF">
      <w:pPr>
        <w:pStyle w:val="Heading2"/>
      </w:pPr>
      <w:bookmarkStart w:id="38" w:name="_Toc400092711"/>
      <w:r>
        <w:t>X factors sheet</w:t>
      </w:r>
      <w:bookmarkEnd w:id="38"/>
    </w:p>
    <w:p w:rsidR="00B641E0" w:rsidRPr="00B641E0" w:rsidRDefault="00B641E0" w:rsidP="00B641E0">
      <w:pPr>
        <w:pStyle w:val="AERbodytext"/>
      </w:pPr>
      <w:r w:rsidRPr="00B641E0">
        <w:t xml:space="preserve">It is common for the revenue stream resulting from the building block approach to be lumpy over the regulatory control period (e.g. because of a lumpy </w:t>
      </w:r>
      <w:proofErr w:type="spellStart"/>
      <w:r w:rsidRPr="00B641E0">
        <w:t>capex</w:t>
      </w:r>
      <w:proofErr w:type="spellEnd"/>
      <w:r w:rsidRPr="00B641E0">
        <w:t xml:space="preserve"> profile). The lumpy revenues, designed to deliver expected cost recovery, is regarded as undesirable because it can lead to price shocks for end users. Accordingly, chapter 6A of the NER requires the AER to smooth the time profile of revenues by </w:t>
      </w:r>
      <w:r w:rsidR="0035211B">
        <w:t>constraining it to follow a CPI</w:t>
      </w:r>
      <w:r w:rsidRPr="00B641E0">
        <w:t xml:space="preserve">–X path. </w:t>
      </w:r>
    </w:p>
    <w:p w:rsidR="00B641E0" w:rsidRPr="00B641E0" w:rsidRDefault="00B641E0" w:rsidP="00B641E0">
      <w:pPr>
        <w:pStyle w:val="AERbodytext"/>
      </w:pPr>
      <w:r w:rsidRPr="00B641E0">
        <w:t>The X factor is simply a price adjustment mechanism</w:t>
      </w:r>
      <w:r w:rsidR="00CD409A">
        <w:t>, and deriving the X factors is usually called smoothing</w:t>
      </w:r>
      <w:r w:rsidRPr="00B641E0">
        <w:t>. It does not relate to actual productivity improvements in the operations of a TNSP. However, this does not mean that the AER ignores productivity improvements when assessing a TNSP’s revenue proposal. Instead, the AER includes any expectation of productivity gains directly into the forecasts of costs.</w:t>
      </w:r>
    </w:p>
    <w:p w:rsidR="00BC011A" w:rsidRDefault="00B641E0" w:rsidP="00B641E0">
      <w:pPr>
        <w:pStyle w:val="AERbodytext"/>
      </w:pPr>
      <w:r w:rsidRPr="00B641E0">
        <w:t xml:space="preserve">The </w:t>
      </w:r>
      <w:r w:rsidRPr="00E86EE3">
        <w:rPr>
          <w:rStyle w:val="AERtextbold"/>
        </w:rPr>
        <w:t>X factors</w:t>
      </w:r>
      <w:r w:rsidRPr="00B641E0">
        <w:t xml:space="preserve"> sheet applies the smoothing methodology to the unsmoothed nominal forecast revenues</w:t>
      </w:r>
      <w:r w:rsidR="0035211B">
        <w:t>—</w:t>
      </w:r>
      <w:r w:rsidR="003B08BA">
        <w:t>that is,</w:t>
      </w:r>
      <w:r w:rsidR="003B08BA" w:rsidRPr="00B641E0">
        <w:t xml:space="preserve"> </w:t>
      </w:r>
      <w:r w:rsidRPr="00B641E0">
        <w:t xml:space="preserve">the ABBRR. </w:t>
      </w:r>
      <w:r w:rsidR="00BC011A" w:rsidRPr="00BC011A">
        <w:t>The ABBRR (row</w:t>
      </w:r>
      <w:r w:rsidR="003B08BA">
        <w:t>s</w:t>
      </w:r>
      <w:r w:rsidR="00BC011A" w:rsidRPr="00BC011A">
        <w:t xml:space="preserve"> 35</w:t>
      </w:r>
      <w:r w:rsidR="003B08BA">
        <w:t xml:space="preserve"> and 39</w:t>
      </w:r>
      <w:r w:rsidR="00BC011A" w:rsidRPr="00BC011A">
        <w:t xml:space="preserve">) is sourced from the </w:t>
      </w:r>
      <w:r w:rsidR="00BC011A" w:rsidRPr="00BC011A">
        <w:rPr>
          <w:rStyle w:val="AERtextbold"/>
        </w:rPr>
        <w:t>Analysis</w:t>
      </w:r>
      <w:r w:rsidR="00BC011A" w:rsidRPr="00BC011A">
        <w:t xml:space="preserve"> sheet. </w:t>
      </w:r>
      <w:r w:rsidRPr="00B641E0">
        <w:t>Under this approach, revenue</w:t>
      </w:r>
      <w:r w:rsidR="0035211B">
        <w:t>s are increased annually by CPI–</w:t>
      </w:r>
      <w:r w:rsidRPr="00B641E0">
        <w:t>X where the smoothing X factor is set so that the NPV of the smoothed revenue</w:t>
      </w:r>
      <w:r w:rsidR="0035211B">
        <w:t xml:space="preserve"> stream</w:t>
      </w:r>
      <w:r w:rsidRPr="00B641E0">
        <w:t xml:space="preserve"> is equivalent to the NPV of the unsmoothed revenue stream. This allows some of the cost recovery to be diverted to adjacent years within the regulatory control period.</w:t>
      </w:r>
    </w:p>
    <w:p w:rsidR="00002F92" w:rsidRPr="00002F92" w:rsidRDefault="00002F92" w:rsidP="00002F92">
      <w:pPr>
        <w:pStyle w:val="AERbodytext"/>
      </w:pPr>
      <w:r w:rsidRPr="00002F92">
        <w:t xml:space="preserve">A TNSP may nominate the X factor to apply for each year (inputs at row 47) of the next regulatory control period. These X factors may differ from year to year subject to satisfying the requirements of the NER. </w:t>
      </w:r>
    </w:p>
    <w:p w:rsidR="00002F92" w:rsidRPr="00002F92" w:rsidRDefault="00002F92" w:rsidP="00002F92">
      <w:pPr>
        <w:pStyle w:val="AERbodytext"/>
      </w:pPr>
      <w:r w:rsidRPr="00002F92">
        <w:t>Clause 6A.6.8 requires X factors to be set such that:</w:t>
      </w:r>
    </w:p>
    <w:p w:rsidR="00002F92" w:rsidRPr="00002F92" w:rsidRDefault="00002F92" w:rsidP="00002F92">
      <w:pPr>
        <w:pStyle w:val="AERnumberedlistfirststyle"/>
      </w:pPr>
      <w:r w:rsidRPr="00002F92">
        <w:t>The NPV of the expected smoothed MAR (cell R44) must equal the NPV of the expected ABBRR (cell R39).</w:t>
      </w:r>
    </w:p>
    <w:p w:rsidR="00002F92" w:rsidRPr="00002F92" w:rsidRDefault="00002F92" w:rsidP="00002F92">
      <w:pPr>
        <w:pStyle w:val="AERnumberedlistfirststyle"/>
      </w:pPr>
      <w:r w:rsidRPr="00002F92">
        <w:lastRenderedPageBreak/>
        <w:t>The expected smoothed MAR for the final year of the regulatory control period must be as close as reasonably possible to the ABBRR for that year.</w:t>
      </w:r>
      <w:r w:rsidRPr="00002F92">
        <w:rPr>
          <w:rStyle w:val="FootnoteReference"/>
        </w:rPr>
        <w:footnoteReference w:id="13"/>
      </w:r>
      <w:r w:rsidRPr="00002F92">
        <w:t xml:space="preserve"> </w:t>
      </w:r>
    </w:p>
    <w:p w:rsidR="00B641E0" w:rsidRPr="00717317" w:rsidRDefault="00BC011A" w:rsidP="00B641E0">
      <w:pPr>
        <w:pStyle w:val="AERbodytext"/>
        <w:rPr>
          <w:rStyle w:val="AERtexthighlight"/>
        </w:rPr>
      </w:pPr>
      <w:r w:rsidRPr="00717317">
        <w:rPr>
          <w:rStyle w:val="AERtexthighlight"/>
        </w:rPr>
        <w:t xml:space="preserve">When smoothing across the regulatory control period, it is necessary to iteratively update equity raising costs as well. This is because the estimate of equity raising costs is dependent on the smoothed revenue (MAR) profile, but in turn the MAR is dependent on the estimate of equity raising costs. Hence, there are a number of macros built </w:t>
      </w:r>
      <w:r w:rsidR="00764470" w:rsidRPr="00717317">
        <w:rPr>
          <w:rStyle w:val="AERtexthighlight"/>
        </w:rPr>
        <w:t>in</w:t>
      </w:r>
      <w:r w:rsidR="002F1E19" w:rsidRPr="00717317">
        <w:rPr>
          <w:rStyle w:val="AERtexthighlight"/>
        </w:rPr>
        <w:t>to</w:t>
      </w:r>
      <w:r w:rsidR="00764470" w:rsidRPr="00717317">
        <w:rPr>
          <w:rStyle w:val="AERtexthighlight"/>
        </w:rPr>
        <w:t xml:space="preserve"> </w:t>
      </w:r>
      <w:r w:rsidRPr="00717317">
        <w:rPr>
          <w:rStyle w:val="AERtexthighlight"/>
        </w:rPr>
        <w:t>the PTRM which jointly smooth revenues while iteratively updating equity raising costs. It is possible to stop the automatic updating of equity raising costs using the drop down menu in cell G16.</w:t>
      </w:r>
    </w:p>
    <w:p w:rsidR="00B641E0" w:rsidRPr="00717317" w:rsidRDefault="00BC011A" w:rsidP="00717317">
      <w:pPr>
        <w:pStyle w:val="AERbodytext"/>
        <w:rPr>
          <w:rStyle w:val="AERtexthighlight"/>
        </w:rPr>
      </w:pPr>
      <w:r w:rsidRPr="00717317">
        <w:rPr>
          <w:rStyle w:val="AERtexthighlight"/>
        </w:rPr>
        <w:t xml:space="preserve">The first </w:t>
      </w:r>
      <w:r w:rsidR="00B641E0" w:rsidRPr="00717317">
        <w:rPr>
          <w:rStyle w:val="AERtexthighlight"/>
        </w:rPr>
        <w:t xml:space="preserve">macro has been set up to automatically calculate </w:t>
      </w:r>
      <w:r w:rsidRPr="00717317">
        <w:rPr>
          <w:rStyle w:val="AERtexthighlight"/>
        </w:rPr>
        <w:t xml:space="preserve">the default smoothing path. First, this entails </w:t>
      </w:r>
      <w:r w:rsidR="00B641E0" w:rsidRPr="00717317">
        <w:rPr>
          <w:rStyle w:val="AERtexthighlight"/>
        </w:rPr>
        <w:t>setting the smoothed MAR for the first year equal to the ABBRR for that year</w:t>
      </w:r>
      <w:r w:rsidRPr="00717317">
        <w:rPr>
          <w:rStyle w:val="AERtexthighlight"/>
        </w:rPr>
        <w:t xml:space="preserve"> (this will show as a change to the X factor in year 1, sometimes referred to as </w:t>
      </w:r>
      <w:r w:rsidRPr="002475C9">
        <w:rPr>
          <w:rStyle w:val="AERtexthighlight"/>
          <w:highlight w:val="yellow"/>
        </w:rPr>
        <w:t>P</w:t>
      </w:r>
      <w:r w:rsidRPr="002475C9">
        <w:rPr>
          <w:rStyle w:val="AERsubscript"/>
          <w:highlight w:val="yellow"/>
        </w:rPr>
        <w:t>0</w:t>
      </w:r>
      <w:r w:rsidRPr="002475C9">
        <w:rPr>
          <w:rStyle w:val="AERtexthighlight"/>
          <w:highlight w:val="yellow"/>
        </w:rPr>
        <w:t>).</w:t>
      </w:r>
      <w:r w:rsidRPr="00717317">
        <w:rPr>
          <w:rStyle w:val="AERtexthighlight"/>
        </w:rPr>
        <w:t xml:space="preserve"> Next, the macro calculates the single (constant) X factor which can be applied to all remaining years of the next regulatory control period so that the NPV of smoothed (MAR) and unsmoothed (ABBRR) revenue is the same. To implement this macro, </w:t>
      </w:r>
      <w:r w:rsidR="00B641E0" w:rsidRPr="00717317">
        <w:rPr>
          <w:rStyle w:val="AERtexthighlight"/>
        </w:rPr>
        <w:t xml:space="preserve">click on the button </w:t>
      </w:r>
      <w:r w:rsidR="00B641E0" w:rsidRPr="00717317">
        <w:rPr>
          <w:rStyle w:val="AERtexthighlight"/>
          <w:highlight w:val="yellow"/>
        </w:rPr>
        <w:t xml:space="preserve">labelled </w:t>
      </w:r>
      <w:r w:rsidR="00717317" w:rsidRPr="00717317">
        <w:rPr>
          <w:rStyle w:val="AERtexthighlight"/>
          <w:highlight w:val="yellow"/>
          <w:shd w:val="clear" w:color="auto" w:fill="auto"/>
        </w:rPr>
        <w:t>'</w:t>
      </w:r>
      <w:r w:rsidR="00B641E0" w:rsidRPr="00717317">
        <w:rPr>
          <w:rStyle w:val="AERtextbold"/>
          <w:b w:val="0"/>
          <w:highlight w:val="yellow"/>
        </w:rPr>
        <w:t>Apply default smoothing</w:t>
      </w:r>
      <w:r w:rsidR="00717317" w:rsidRPr="00717317">
        <w:rPr>
          <w:rStyle w:val="AERtextbold"/>
          <w:b w:val="0"/>
          <w:highlight w:val="yellow"/>
        </w:rPr>
        <w:t>'</w:t>
      </w:r>
      <w:r w:rsidR="00B641E0" w:rsidRPr="00717317">
        <w:rPr>
          <w:rStyle w:val="AERtexthighlight"/>
          <w:highlight w:val="yellow"/>
          <w:shd w:val="clear" w:color="auto" w:fill="auto"/>
        </w:rPr>
        <w:t>.</w:t>
      </w:r>
      <w:r w:rsidRPr="00717317">
        <w:rPr>
          <w:rStyle w:val="AERtexthighlight"/>
          <w:highlight w:val="yellow"/>
        </w:rPr>
        <w:t xml:space="preserve"> </w:t>
      </w:r>
      <w:r w:rsidR="00002F92" w:rsidRPr="00717317">
        <w:rPr>
          <w:rStyle w:val="AERtexthighlight"/>
          <w:highlight w:val="yellow"/>
        </w:rPr>
        <w:t>After</w:t>
      </w:r>
      <w:r w:rsidR="00764470" w:rsidRPr="00717317">
        <w:rPr>
          <w:rStyle w:val="AERtexthighlight"/>
        </w:rPr>
        <w:t xml:space="preserve"> the</w:t>
      </w:r>
      <w:r w:rsidR="00002F92" w:rsidRPr="00717317">
        <w:rPr>
          <w:rStyle w:val="AERtexthighlight"/>
        </w:rPr>
        <w:t xml:space="preserve"> calculation is complete</w:t>
      </w:r>
      <w:r w:rsidR="00764470" w:rsidRPr="00717317">
        <w:rPr>
          <w:rStyle w:val="AERtexthighlight"/>
        </w:rPr>
        <w:t>d</w:t>
      </w:r>
      <w:r w:rsidR="00002F92" w:rsidRPr="00717317">
        <w:rPr>
          <w:rStyle w:val="AERtexthighlight"/>
        </w:rPr>
        <w:t>, the required X factors will show in row 47.</w:t>
      </w:r>
    </w:p>
    <w:p w:rsidR="00E103C3" w:rsidRPr="00717317" w:rsidRDefault="00BC011A" w:rsidP="0035211B">
      <w:pPr>
        <w:pStyle w:val="AERbodytext"/>
        <w:rPr>
          <w:rStyle w:val="AERtexthighlight"/>
        </w:rPr>
      </w:pPr>
      <w:r w:rsidRPr="00717317">
        <w:rPr>
          <w:rStyle w:val="AERtexthighlight"/>
        </w:rPr>
        <w:t xml:space="preserve">Alternatively, it </w:t>
      </w:r>
      <w:r w:rsidR="00002F92" w:rsidRPr="00717317">
        <w:rPr>
          <w:rStyle w:val="AERtexthighlight"/>
        </w:rPr>
        <w:t>might be necessary (including during the annual debt update) to adjust the X factor for a specific year only. T</w:t>
      </w:r>
      <w:r w:rsidRPr="00717317">
        <w:rPr>
          <w:rStyle w:val="AERtexthighlight"/>
        </w:rPr>
        <w:t xml:space="preserve">he buttons </w:t>
      </w:r>
      <w:r w:rsidR="0071301D">
        <w:rPr>
          <w:rStyle w:val="AERtexthighlight"/>
        </w:rPr>
        <w:t>at</w:t>
      </w:r>
      <w:r w:rsidRPr="00717317">
        <w:rPr>
          <w:rStyle w:val="AERtexthighlight"/>
        </w:rPr>
        <w:t xml:space="preserve"> row</w:t>
      </w:r>
      <w:r w:rsidR="0071301D">
        <w:rPr>
          <w:rStyle w:val="AERtexthighlight"/>
        </w:rPr>
        <w:t>s 49 to 50</w:t>
      </w:r>
      <w:r w:rsidRPr="00717317">
        <w:rPr>
          <w:rStyle w:val="AERtexthighlight"/>
        </w:rPr>
        <w:t xml:space="preserve"> can be used to ensure that the NPVs of the smoothed and unsmoothed revenue streams are equal—that is, the difference between the NPVs is zero (cell </w:t>
      </w:r>
      <w:r w:rsidR="00002F92" w:rsidRPr="00717317">
        <w:rPr>
          <w:rStyle w:val="AERtexthighlight"/>
        </w:rPr>
        <w:t>R49</w:t>
      </w:r>
      <w:r w:rsidRPr="00717317">
        <w:rPr>
          <w:rStyle w:val="AERtexthighlight"/>
        </w:rPr>
        <w:t xml:space="preserve">). </w:t>
      </w:r>
      <w:r w:rsidR="00002F92" w:rsidRPr="00717317">
        <w:rPr>
          <w:rStyle w:val="AERtexthighlight"/>
        </w:rPr>
        <w:t>These buttons will iteratively update equity raising costs while smoothing (unless this default option is turned off, as noted above).</w:t>
      </w:r>
      <w:r w:rsidR="00B641E0" w:rsidRPr="00B641E0">
        <w:t xml:space="preserve">The nominal smoothed MAR, based on either employing the default smoothing that uses a single constant X factor or nominated set of X factors, is displayed in row </w:t>
      </w:r>
      <w:r w:rsidR="00002F92" w:rsidRPr="0035211B">
        <w:t>44</w:t>
      </w:r>
      <w:r w:rsidR="00B641E0" w:rsidRPr="0035211B">
        <w:rPr>
          <w:rStyle w:val="AERtexthighlight"/>
          <w:shd w:val="clear" w:color="auto" w:fill="auto"/>
        </w:rPr>
        <w:t>.</w:t>
      </w:r>
      <w:r w:rsidR="00336732" w:rsidRPr="00717317">
        <w:rPr>
          <w:rStyle w:val="AERtexthighlight"/>
        </w:rPr>
        <w:t xml:space="preserve"> The difference between the final year ABBRR and MAR is presented in cells R41 (nominal dollars) and R42 (percentage of unsmoothed revenue)</w:t>
      </w:r>
      <w:r w:rsidR="00DD13BD" w:rsidRPr="00717317">
        <w:rPr>
          <w:rStyle w:val="AERtexthighlight"/>
        </w:rPr>
        <w:t>.</w:t>
      </w:r>
    </w:p>
    <w:p w:rsidR="00CD409A" w:rsidRPr="00717317" w:rsidRDefault="00E103C3" w:rsidP="00336732">
      <w:pPr>
        <w:pStyle w:val="AERbodytext"/>
        <w:rPr>
          <w:rStyle w:val="AERtexthighlight"/>
        </w:rPr>
      </w:pPr>
      <w:r w:rsidRPr="00717317">
        <w:rPr>
          <w:rStyle w:val="AERtexthighlight"/>
        </w:rPr>
        <w:t xml:space="preserve">All NPV calculations </w:t>
      </w:r>
      <w:r w:rsidR="00A5179B">
        <w:rPr>
          <w:rStyle w:val="AERtexthighlight"/>
        </w:rPr>
        <w:t xml:space="preserve">in this sheet </w:t>
      </w:r>
      <w:r w:rsidRPr="00717317">
        <w:rPr>
          <w:rStyle w:val="AERtexthighlight"/>
        </w:rPr>
        <w:t xml:space="preserve">now reflect the time varying WACC </w:t>
      </w:r>
      <w:r w:rsidR="00336732" w:rsidRPr="00717317">
        <w:rPr>
          <w:rStyle w:val="AERtexthighlight"/>
        </w:rPr>
        <w:t xml:space="preserve">(row 7) </w:t>
      </w:r>
      <w:r w:rsidRPr="00717317">
        <w:rPr>
          <w:rStyle w:val="AERtexthighlight"/>
        </w:rPr>
        <w:t xml:space="preserve">which </w:t>
      </w:r>
      <w:r w:rsidR="00336732" w:rsidRPr="00717317">
        <w:rPr>
          <w:rStyle w:val="AERtexthighlight"/>
        </w:rPr>
        <w:t>arises as a result of the return on debt (potentially) varying each year. The cumulative dis</w:t>
      </w:r>
      <w:r w:rsidR="008C1439">
        <w:rPr>
          <w:rStyle w:val="AERtexthighlight"/>
        </w:rPr>
        <w:t>count rate is calculated in row </w:t>
      </w:r>
      <w:r w:rsidR="00336732" w:rsidRPr="00717317">
        <w:rPr>
          <w:rStyle w:val="AERtexthighlight"/>
        </w:rPr>
        <w:t>8. When the return on debt is updated within the regulatory control period, these discount rates will change as a result, and so too will the NPV of the ABBRR and MA</w:t>
      </w:r>
      <w:r w:rsidR="00336732" w:rsidRPr="00717317">
        <w:rPr>
          <w:rStyle w:val="AERtexthighlight"/>
          <w:highlight w:val="yellow"/>
        </w:rPr>
        <w:t>R.</w:t>
      </w:r>
      <w:r w:rsidR="00336732" w:rsidRPr="00717317">
        <w:rPr>
          <w:rStyle w:val="FootnoteReference"/>
          <w:highlight w:val="yellow"/>
        </w:rPr>
        <w:footnoteReference w:id="14"/>
      </w:r>
    </w:p>
    <w:p w:rsidR="00336732" w:rsidRPr="00B641E0" w:rsidRDefault="00336732" w:rsidP="00336732">
      <w:pPr>
        <w:pStyle w:val="AERbodytext"/>
      </w:pPr>
      <w:r w:rsidRPr="00717317">
        <w:rPr>
          <w:rStyle w:val="AERtexthighlight"/>
        </w:rPr>
        <w:t xml:space="preserve">The process for annually updating the return on debt is described </w:t>
      </w:r>
      <w:r w:rsidR="001155CA" w:rsidRPr="00717317">
        <w:rPr>
          <w:rStyle w:val="AERtexthighlight"/>
        </w:rPr>
        <w:t>further</w:t>
      </w:r>
      <w:r w:rsidRPr="00717317">
        <w:rPr>
          <w:rStyle w:val="AERtexthighlight"/>
        </w:rPr>
        <w:t xml:space="preserve"> in </w:t>
      </w:r>
      <w:r w:rsidR="0035211B">
        <w:rPr>
          <w:rStyle w:val="AERtexthighlight"/>
        </w:rPr>
        <w:t>chapter</w:t>
      </w:r>
      <w:r w:rsidRPr="00717317">
        <w:rPr>
          <w:rStyle w:val="AERtexthighlight"/>
        </w:rPr>
        <w:t xml:space="preserve"> 3. There is a drop down menu in cell F21 which allows the user to input the year of the annual return on debt update. This drop down menu will not affect underlying calculations, but instead drives the presentation of content-sensitive help </w:t>
      </w:r>
      <w:r w:rsidR="00177A68">
        <w:rPr>
          <w:rStyle w:val="AERtexthighlight"/>
        </w:rPr>
        <w:t>i</w:t>
      </w:r>
      <w:r w:rsidRPr="00717317">
        <w:rPr>
          <w:rStyle w:val="AERtexthighlight"/>
        </w:rPr>
        <w:t xml:space="preserve">n this sheet (and </w:t>
      </w:r>
      <w:r w:rsidR="003E048C">
        <w:rPr>
          <w:rStyle w:val="AERtexthighlight"/>
        </w:rPr>
        <w:t>i</w:t>
      </w:r>
      <w:r w:rsidRPr="00717317">
        <w:rPr>
          <w:rStyle w:val="AERtexthighlight"/>
        </w:rPr>
        <w:t xml:space="preserve">n </w:t>
      </w:r>
      <w:r w:rsidRPr="00717317">
        <w:rPr>
          <w:rStyle w:val="AERtexthighlight"/>
          <w:highlight w:val="yellow"/>
        </w:rPr>
        <w:t xml:space="preserve">the </w:t>
      </w:r>
      <w:r w:rsidRPr="00717317">
        <w:rPr>
          <w:rStyle w:val="AERtextbold"/>
          <w:highlight w:val="yellow"/>
        </w:rPr>
        <w:t>Input</w:t>
      </w:r>
      <w:r w:rsidRPr="00717317">
        <w:rPr>
          <w:rStyle w:val="AERtexthighlight"/>
          <w:highlight w:val="yellow"/>
        </w:rPr>
        <w:t xml:space="preserve"> sheet</w:t>
      </w:r>
      <w:r w:rsidRPr="00717317">
        <w:rPr>
          <w:rStyle w:val="AERtexthighlight"/>
        </w:rPr>
        <w:t xml:space="preserve">). Rows 23 to 26, and row 51, will </w:t>
      </w:r>
      <w:r w:rsidR="00A5179B">
        <w:rPr>
          <w:rStyle w:val="AERtexthighlight"/>
        </w:rPr>
        <w:t>display</w:t>
      </w:r>
      <w:r w:rsidRPr="00717317">
        <w:rPr>
          <w:rStyle w:val="AERtexthighlight"/>
        </w:rPr>
        <w:t xml:space="preserve"> caution</w:t>
      </w:r>
      <w:r w:rsidR="003E048C" w:rsidRPr="00717317">
        <w:rPr>
          <w:rStyle w:val="AERtexthighlight"/>
        </w:rPr>
        <w:t xml:space="preserve"> note</w:t>
      </w:r>
      <w:r w:rsidRPr="00717317">
        <w:rPr>
          <w:rStyle w:val="AERtexthighlight"/>
        </w:rPr>
        <w:t>s</w:t>
      </w:r>
      <w:r w:rsidR="003E048C" w:rsidRPr="00717317">
        <w:rPr>
          <w:rStyle w:val="AERtexthighlight"/>
        </w:rPr>
        <w:t>/</w:t>
      </w:r>
      <w:r w:rsidRPr="00717317">
        <w:rPr>
          <w:rStyle w:val="AERtexthighlight"/>
        </w:rPr>
        <w:t>guidance based on logical tests of the PTRM.</w:t>
      </w:r>
    </w:p>
    <w:p w:rsidR="00B641E0" w:rsidRDefault="00BB1BF2" w:rsidP="00B641E0">
      <w:pPr>
        <w:pStyle w:val="AERbodytext"/>
      </w:pPr>
      <w:r>
        <w:fldChar w:fldCharType="begin"/>
      </w:r>
      <w:r>
        <w:instrText xml:space="preserve"> REF _Ref398112160 \h </w:instrText>
      </w:r>
      <w:r>
        <w:fldChar w:fldCharType="separate"/>
      </w:r>
      <w:r w:rsidR="007162D4">
        <w:t xml:space="preserve">Figure </w:t>
      </w:r>
      <w:r w:rsidR="007162D4">
        <w:rPr>
          <w:noProof/>
        </w:rPr>
        <w:t>7</w:t>
      </w:r>
      <w:r>
        <w:fldChar w:fldCharType="end"/>
      </w:r>
      <w:r w:rsidR="00B641E0" w:rsidRPr="00B641E0">
        <w:t xml:space="preserve"> provides an example of the </w:t>
      </w:r>
      <w:r w:rsidR="00B641E0" w:rsidRPr="00E86EE3">
        <w:rPr>
          <w:rStyle w:val="AERtextbold"/>
        </w:rPr>
        <w:t>X factors</w:t>
      </w:r>
      <w:r w:rsidR="00B641E0" w:rsidRPr="00B641E0">
        <w:t xml:space="preserve"> sheet.</w:t>
      </w:r>
    </w:p>
    <w:p w:rsidR="00BB1BF2" w:rsidRDefault="00BB1BF2" w:rsidP="00BB1BF2">
      <w:pPr>
        <w:pStyle w:val="Caption"/>
      </w:pPr>
      <w:bookmarkStart w:id="39" w:name="_Ref398112160"/>
      <w:r>
        <w:lastRenderedPageBreak/>
        <w:t xml:space="preserve">Figure </w:t>
      </w:r>
      <w:r w:rsidR="00CC1EDC">
        <w:fldChar w:fldCharType="begin"/>
      </w:r>
      <w:r w:rsidR="00CC1EDC">
        <w:instrText xml:space="preserve"> SEQ Figure \* ARABIC </w:instrText>
      </w:r>
      <w:r w:rsidR="00CC1EDC">
        <w:fldChar w:fldCharType="separate"/>
      </w:r>
      <w:r w:rsidR="00017432">
        <w:rPr>
          <w:noProof/>
        </w:rPr>
        <w:t>7</w:t>
      </w:r>
      <w:r w:rsidR="00CC1EDC">
        <w:rPr>
          <w:noProof/>
        </w:rPr>
        <w:fldChar w:fldCharType="end"/>
      </w:r>
      <w:bookmarkEnd w:id="39"/>
      <w:r w:rsidR="00A8189E">
        <w:tab/>
        <w:t>X factors sheet</w:t>
      </w:r>
    </w:p>
    <w:p w:rsidR="00A8189E" w:rsidRPr="00E56517" w:rsidRDefault="00A8189E" w:rsidP="00717317">
      <w:pPr>
        <w:pStyle w:val="AERbodytext"/>
      </w:pPr>
      <w:r w:rsidRPr="00E56517">
        <w:rPr>
          <w:noProof/>
          <w:lang w:eastAsia="en-AU"/>
        </w:rPr>
        <w:drawing>
          <wp:inline distT="0" distB="0" distL="0" distR="0" wp14:anchorId="163F13ED" wp14:editId="0CEC22C6">
            <wp:extent cx="5727700" cy="40201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4020185"/>
                    </a:xfrm>
                    <a:prstGeom prst="rect">
                      <a:avLst/>
                    </a:prstGeom>
                    <a:noFill/>
                    <a:ln>
                      <a:noFill/>
                    </a:ln>
                  </pic:spPr>
                </pic:pic>
              </a:graphicData>
            </a:graphic>
          </wp:inline>
        </w:drawing>
      </w:r>
    </w:p>
    <w:p w:rsidR="005854EF" w:rsidRDefault="005854EF" w:rsidP="005854EF">
      <w:pPr>
        <w:pStyle w:val="Heading2"/>
      </w:pPr>
      <w:bookmarkStart w:id="40" w:name="_Toc400092712"/>
      <w:r>
        <w:t>Revenue summary sheet</w:t>
      </w:r>
      <w:bookmarkEnd w:id="40"/>
    </w:p>
    <w:p w:rsidR="00B641E0" w:rsidRDefault="00B641E0" w:rsidP="00B641E0">
      <w:pPr>
        <w:pStyle w:val="AERbodytext"/>
      </w:pPr>
      <w:r w:rsidRPr="00B641E0">
        <w:t xml:space="preserve">The </w:t>
      </w:r>
      <w:r w:rsidRPr="00E86EE3">
        <w:rPr>
          <w:rStyle w:val="AERtextbold"/>
        </w:rPr>
        <w:t>Revenue summary</w:t>
      </w:r>
      <w:r w:rsidRPr="00B641E0">
        <w:t xml:space="preserve"> sheet outlines the various building blocks</w:t>
      </w:r>
      <w:r w:rsidR="00C96053">
        <w:t>,</w:t>
      </w:r>
      <w:r w:rsidRPr="00B641E0">
        <w:t xml:space="preserve"> </w:t>
      </w:r>
      <w:r w:rsidR="0090133C">
        <w:t xml:space="preserve">the </w:t>
      </w:r>
      <w:r w:rsidRPr="00B641E0">
        <w:t xml:space="preserve">unsmoothed </w:t>
      </w:r>
      <w:r w:rsidR="0090133C" w:rsidRPr="00B641E0">
        <w:t>(ABBRR</w:t>
      </w:r>
      <w:r w:rsidR="0090133C">
        <w:t>)</w:t>
      </w:r>
      <w:r w:rsidR="0090133C" w:rsidRPr="00B641E0">
        <w:t xml:space="preserve"> </w:t>
      </w:r>
      <w:r w:rsidR="0090133C">
        <w:t xml:space="preserve">and smoothed (MAR) </w:t>
      </w:r>
      <w:r w:rsidRPr="00B641E0">
        <w:t xml:space="preserve">nominal forecast revenues for the next regulatory control period. </w:t>
      </w:r>
      <w:r w:rsidR="0090133C">
        <w:t xml:space="preserve">The building blocks and unsmoothed ABBRR are summarised in rows 7 to 12. </w:t>
      </w:r>
      <w:r w:rsidRPr="00B641E0">
        <w:t xml:space="preserve">The smoothed MAR and the X factors for the next regulatory control period are </w:t>
      </w:r>
      <w:r w:rsidR="0090133C">
        <w:t>summarised</w:t>
      </w:r>
      <w:r w:rsidR="00E86EE3">
        <w:t xml:space="preserve"> in rows 1</w:t>
      </w:r>
      <w:r w:rsidR="0090133C">
        <w:t>6</w:t>
      </w:r>
      <w:r w:rsidR="00E86EE3">
        <w:t xml:space="preserve"> and 1</w:t>
      </w:r>
      <w:r w:rsidR="0090133C">
        <w:t>7</w:t>
      </w:r>
      <w:r w:rsidR="00E86EE3">
        <w:t xml:space="preserve"> </w:t>
      </w:r>
      <w:r w:rsidRPr="00B641E0">
        <w:t xml:space="preserve">respectively. </w:t>
      </w:r>
      <w:r w:rsidR="0090133C">
        <w:t>The equivalent building blocks, unsmoothed and smoothed revenues, and X factors for the next regulatory control period in real dollar terms (start of year one) are also summarised in rows 21 to 31. All t</w:t>
      </w:r>
      <w:r w:rsidRPr="00B641E0">
        <w:t xml:space="preserve">his information is sourced from the </w:t>
      </w:r>
      <w:r w:rsidRPr="00717317">
        <w:rPr>
          <w:rStyle w:val="AERtextbold"/>
        </w:rPr>
        <w:t>Analysis</w:t>
      </w:r>
      <w:r w:rsidRPr="00B641E0">
        <w:t xml:space="preserve"> and </w:t>
      </w:r>
      <w:r w:rsidR="00002F92" w:rsidRPr="00717317">
        <w:rPr>
          <w:rStyle w:val="AERtextbold"/>
        </w:rPr>
        <w:t>X</w:t>
      </w:r>
      <w:r w:rsidR="00002F92" w:rsidRPr="00717317">
        <w:rPr>
          <w:rStyle w:val="AERtextbold"/>
          <w:rFonts w:hint="eastAsia"/>
        </w:rPr>
        <w:t> </w:t>
      </w:r>
      <w:r w:rsidR="00002F92" w:rsidRPr="00717317">
        <w:rPr>
          <w:rStyle w:val="AERtextbold"/>
        </w:rPr>
        <w:t xml:space="preserve">factors </w:t>
      </w:r>
      <w:r w:rsidRPr="00B641E0">
        <w:t xml:space="preserve">sheets. </w:t>
      </w:r>
    </w:p>
    <w:p w:rsidR="00122FBA" w:rsidRPr="00B641E0" w:rsidRDefault="00122FBA" w:rsidP="00B641E0">
      <w:pPr>
        <w:pStyle w:val="AERbodytext"/>
      </w:pPr>
      <w:r w:rsidRPr="00717317">
        <w:rPr>
          <w:rStyle w:val="AERtexthighlight"/>
          <w:highlight w:val="yellow"/>
        </w:rPr>
        <w:t xml:space="preserve">The </w:t>
      </w:r>
      <w:r w:rsidRPr="00717317">
        <w:rPr>
          <w:rStyle w:val="AERtextbold"/>
          <w:highlight w:val="yellow"/>
        </w:rPr>
        <w:t>Price Path Analysis</w:t>
      </w:r>
      <w:r w:rsidRPr="00717317">
        <w:rPr>
          <w:rStyle w:val="AERtexthighlight"/>
          <w:highlight w:val="yellow"/>
        </w:rPr>
        <w:t xml:space="preserve"> section presents summary values for the forecast price path, derived from consideration of </w:t>
      </w:r>
      <w:r w:rsidR="002F1E19" w:rsidRPr="00717317">
        <w:rPr>
          <w:rStyle w:val="AERtexthighlight"/>
          <w:highlight w:val="yellow"/>
        </w:rPr>
        <w:t xml:space="preserve">both </w:t>
      </w:r>
      <w:r w:rsidRPr="00717317">
        <w:rPr>
          <w:rStyle w:val="AERtexthighlight"/>
          <w:highlight w:val="yellow"/>
        </w:rPr>
        <w:t xml:space="preserve">forecast </w:t>
      </w:r>
      <w:r w:rsidR="00836F4E" w:rsidRPr="00717317">
        <w:rPr>
          <w:rStyle w:val="AERtexthighlight"/>
          <w:highlight w:val="yellow"/>
        </w:rPr>
        <w:t xml:space="preserve">energy </w:t>
      </w:r>
      <w:r w:rsidRPr="00717317">
        <w:rPr>
          <w:rStyle w:val="AERtexthighlight"/>
          <w:highlight w:val="yellow"/>
        </w:rPr>
        <w:t>demand</w:t>
      </w:r>
      <w:r w:rsidR="002F1E19" w:rsidRPr="00717317">
        <w:rPr>
          <w:rStyle w:val="AERtexthighlight"/>
          <w:highlight w:val="yellow"/>
        </w:rPr>
        <w:t xml:space="preserve"> and revenue</w:t>
      </w:r>
      <w:r w:rsidRPr="00717317">
        <w:rPr>
          <w:rStyle w:val="AERtexthighlight"/>
          <w:highlight w:val="yellow"/>
        </w:rPr>
        <w:t xml:space="preserve">. </w:t>
      </w:r>
      <w:r w:rsidR="002F1E19" w:rsidRPr="00717317">
        <w:rPr>
          <w:rStyle w:val="AERtexthighlight"/>
          <w:highlight w:val="yellow"/>
        </w:rPr>
        <w:t>These are broad indicators provided for illustrative purposes only.</w:t>
      </w:r>
      <w:r w:rsidR="002F1E19" w:rsidRPr="00717317">
        <w:rPr>
          <w:rStyle w:val="FootnoteReference"/>
          <w:highlight w:val="yellow"/>
        </w:rPr>
        <w:footnoteReference w:id="15"/>
      </w:r>
      <w:r w:rsidR="002F1E19" w:rsidRPr="00717317">
        <w:rPr>
          <w:rStyle w:val="AERtexthighlight"/>
          <w:highlight w:val="yellow"/>
        </w:rPr>
        <w:t xml:space="preserve"> </w:t>
      </w:r>
      <w:r w:rsidRPr="00717317">
        <w:rPr>
          <w:rStyle w:val="AERtexthighlight"/>
          <w:highlight w:val="yellow"/>
        </w:rPr>
        <w:t>Rows</w:t>
      </w:r>
      <w:r w:rsidRPr="00717317">
        <w:rPr>
          <w:rStyle w:val="AERtexthighlight"/>
        </w:rPr>
        <w:t xml:space="preserve"> 38 to 43 present values in nominal </w:t>
      </w:r>
      <w:r w:rsidR="00177A68">
        <w:rPr>
          <w:rStyle w:val="AERtexthighlight"/>
        </w:rPr>
        <w:t xml:space="preserve">dollar </w:t>
      </w:r>
      <w:r w:rsidRPr="00717317">
        <w:rPr>
          <w:rStyle w:val="AERtexthighlight"/>
        </w:rPr>
        <w:t>terms, and rows 50 to 55 present equivalent values in real</w:t>
      </w:r>
      <w:r w:rsidR="00836F4E">
        <w:rPr>
          <w:rStyle w:val="AERtexthighlight"/>
        </w:rPr>
        <w:t xml:space="preserve"> dollar</w:t>
      </w:r>
      <w:r w:rsidRPr="00717317">
        <w:rPr>
          <w:rStyle w:val="AERtexthighlight"/>
        </w:rPr>
        <w:t xml:space="preserve"> terms</w:t>
      </w:r>
      <w:r w:rsidR="00836F4E">
        <w:rPr>
          <w:rStyle w:val="AERtexthighlight"/>
        </w:rPr>
        <w:t xml:space="preserve"> (start of year one)</w:t>
      </w:r>
      <w:r w:rsidRPr="00717317">
        <w:rPr>
          <w:rStyle w:val="AERtexthighlight"/>
        </w:rPr>
        <w:t>.</w:t>
      </w:r>
      <w:r w:rsidR="002F1E19" w:rsidRPr="00717317">
        <w:rPr>
          <w:rStyle w:val="AERtexthighlight"/>
        </w:rPr>
        <w:t xml:space="preserve"> In each section, the forecast energy consumption is presented (</w:t>
      </w:r>
      <w:r w:rsidR="00836F4E">
        <w:rPr>
          <w:rStyle w:val="AERtexthighlight"/>
        </w:rPr>
        <w:t>sourced</w:t>
      </w:r>
      <w:r w:rsidR="002F1E19" w:rsidRPr="00717317">
        <w:rPr>
          <w:rStyle w:val="AERtexthighlight"/>
        </w:rPr>
        <w:t xml:space="preserve"> from the </w:t>
      </w:r>
      <w:r w:rsidR="002F1E19" w:rsidRPr="002475C9">
        <w:rPr>
          <w:rStyle w:val="AERtexthighlight"/>
          <w:b/>
        </w:rPr>
        <w:t>Input</w:t>
      </w:r>
      <w:r w:rsidR="002F1E19" w:rsidRPr="00717317">
        <w:rPr>
          <w:rStyle w:val="AERtexthighlight"/>
        </w:rPr>
        <w:t xml:space="preserve"> sheet), together with the MAR (in nominal or real </w:t>
      </w:r>
      <w:r w:rsidR="00177A68">
        <w:rPr>
          <w:rStyle w:val="AERtexthighlight"/>
        </w:rPr>
        <w:t xml:space="preserve">dollar </w:t>
      </w:r>
      <w:r w:rsidR="002F1E19" w:rsidRPr="00717317">
        <w:rPr>
          <w:rStyle w:val="AERtexthighlight"/>
        </w:rPr>
        <w:t xml:space="preserve">terms, respectively). Total revenue divided by forecast energy demand provides the indicative price path. There are also </w:t>
      </w:r>
      <w:r w:rsidR="00E103C3" w:rsidRPr="00717317">
        <w:rPr>
          <w:rStyle w:val="AERtexthighlight"/>
        </w:rPr>
        <w:t xml:space="preserve">calculations showing the percentage change year-on-year (again, in nominal or real </w:t>
      </w:r>
      <w:r w:rsidR="00177A68">
        <w:rPr>
          <w:rStyle w:val="AERtexthighlight"/>
        </w:rPr>
        <w:t xml:space="preserve">dollar </w:t>
      </w:r>
      <w:r w:rsidR="00E103C3" w:rsidRPr="00717317">
        <w:rPr>
          <w:rStyle w:val="AERtexthighlight"/>
        </w:rPr>
        <w:t>terms) and the average yearly change across the regulatory control perio</w:t>
      </w:r>
      <w:r w:rsidR="00E103C3" w:rsidRPr="00717317">
        <w:rPr>
          <w:rStyle w:val="AERtexthighlight"/>
          <w:highlight w:val="yellow"/>
        </w:rPr>
        <w:t>d.</w:t>
      </w:r>
      <w:r w:rsidR="00E103C3" w:rsidRPr="00717317">
        <w:rPr>
          <w:rStyle w:val="FootnoteReference"/>
          <w:highlight w:val="yellow"/>
        </w:rPr>
        <w:footnoteReference w:id="16"/>
      </w:r>
    </w:p>
    <w:p w:rsidR="00B641E0" w:rsidRDefault="00351411" w:rsidP="00B641E0">
      <w:pPr>
        <w:pStyle w:val="AERbodytext"/>
      </w:pPr>
      <w:r>
        <w:lastRenderedPageBreak/>
        <w:fldChar w:fldCharType="begin"/>
      </w:r>
      <w:r>
        <w:instrText xml:space="preserve"> REF _Ref398118999 \h </w:instrText>
      </w:r>
      <w:r>
        <w:fldChar w:fldCharType="separate"/>
      </w:r>
      <w:r w:rsidR="00FB708C">
        <w:t xml:space="preserve">Figure </w:t>
      </w:r>
      <w:r w:rsidR="00FB708C">
        <w:rPr>
          <w:noProof/>
        </w:rPr>
        <w:t>8</w:t>
      </w:r>
      <w:r>
        <w:fldChar w:fldCharType="end"/>
      </w:r>
      <w:r w:rsidR="00B641E0" w:rsidRPr="00B641E0">
        <w:t xml:space="preserve"> provides an example of the </w:t>
      </w:r>
      <w:r w:rsidR="00B641E0" w:rsidRPr="00E86EE3">
        <w:rPr>
          <w:rStyle w:val="AERtextbold"/>
        </w:rPr>
        <w:t>Revenue summary</w:t>
      </w:r>
      <w:r w:rsidR="00B641E0" w:rsidRPr="00B641E0">
        <w:t xml:space="preserve"> sheet.</w:t>
      </w:r>
    </w:p>
    <w:p w:rsidR="00351411" w:rsidRDefault="00351411" w:rsidP="00351411">
      <w:pPr>
        <w:pStyle w:val="Caption"/>
        <w:rPr>
          <w:noProof/>
        </w:rPr>
      </w:pPr>
      <w:bookmarkStart w:id="41" w:name="_Ref398118999"/>
      <w:r>
        <w:t xml:space="preserve">Figure </w:t>
      </w:r>
      <w:r w:rsidR="00CC1EDC">
        <w:fldChar w:fldCharType="begin"/>
      </w:r>
      <w:r w:rsidR="00CC1EDC">
        <w:instrText xml:space="preserve"> SEQ Figure \* ARABIC </w:instrText>
      </w:r>
      <w:r w:rsidR="00CC1EDC">
        <w:fldChar w:fldCharType="separate"/>
      </w:r>
      <w:r w:rsidR="00017432">
        <w:rPr>
          <w:noProof/>
        </w:rPr>
        <w:t>8</w:t>
      </w:r>
      <w:r w:rsidR="00CC1EDC">
        <w:rPr>
          <w:noProof/>
        </w:rPr>
        <w:fldChar w:fldCharType="end"/>
      </w:r>
      <w:bookmarkEnd w:id="41"/>
      <w:r w:rsidR="00FB708C">
        <w:rPr>
          <w:noProof/>
        </w:rPr>
        <w:tab/>
        <w:t>Revenue summary sheet</w:t>
      </w:r>
    </w:p>
    <w:p w:rsidR="00FB708C" w:rsidRPr="00E56517" w:rsidRDefault="00FB708C" w:rsidP="00717317">
      <w:pPr>
        <w:pStyle w:val="AERbodytext"/>
      </w:pPr>
      <w:r w:rsidRPr="00E56517">
        <w:rPr>
          <w:noProof/>
          <w:lang w:eastAsia="en-AU"/>
        </w:rPr>
        <w:drawing>
          <wp:inline distT="0" distB="0" distL="0" distR="0" wp14:anchorId="59FEB7D5" wp14:editId="1BDF3F2C">
            <wp:extent cx="5727700" cy="39770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3977005"/>
                    </a:xfrm>
                    <a:prstGeom prst="rect">
                      <a:avLst/>
                    </a:prstGeom>
                    <a:noFill/>
                    <a:ln>
                      <a:noFill/>
                    </a:ln>
                  </pic:spPr>
                </pic:pic>
              </a:graphicData>
            </a:graphic>
          </wp:inline>
        </w:drawing>
      </w:r>
    </w:p>
    <w:p w:rsidR="005854EF" w:rsidRDefault="005854EF" w:rsidP="005854EF">
      <w:pPr>
        <w:pStyle w:val="Heading2"/>
      </w:pPr>
      <w:bookmarkStart w:id="42" w:name="_Toc400092713"/>
      <w:r>
        <w:t>Equity raising cost sheet</w:t>
      </w:r>
      <w:bookmarkEnd w:id="42"/>
    </w:p>
    <w:p w:rsidR="00B641E0" w:rsidRPr="00B641E0" w:rsidRDefault="00B641E0" w:rsidP="00B641E0">
      <w:pPr>
        <w:pStyle w:val="AERbodytext"/>
      </w:pPr>
      <w:r w:rsidRPr="00B641E0">
        <w:t>In raising new equity capital a business may incur costs such as legal fees, brokerage fees, marketing costs and other transaction costs. These are upfront expenses, with little or no ongoing costs over the life of the equity. While the majority of the equity a firm will  raise is typically obtained at its inception, there may be points in the life of a firm—for example, during significant capital expansions—where it chooses additional external equity funding (instead of debt or internal funding) as a source of equity capital, and accordingly may incur equity raising costs.</w:t>
      </w:r>
    </w:p>
    <w:p w:rsidR="00B641E0" w:rsidRPr="00B641E0" w:rsidRDefault="00B641E0" w:rsidP="00B641E0">
      <w:pPr>
        <w:pStyle w:val="AERbodytext"/>
      </w:pPr>
      <w:r w:rsidRPr="00B641E0">
        <w:t xml:space="preserve">The benchmark cash flow analysis applied by the AER to determine the extent to which equity raising associated with </w:t>
      </w:r>
      <w:proofErr w:type="spellStart"/>
      <w:r w:rsidRPr="00B641E0">
        <w:t>capex</w:t>
      </w:r>
      <w:proofErr w:type="spellEnd"/>
      <w:r w:rsidRPr="00B641E0">
        <w:t xml:space="preserve"> is required has been discussed in detail in previous transmission determinations.</w:t>
      </w:r>
      <w:r w:rsidR="000C577D">
        <w:rPr>
          <w:rStyle w:val="FootnoteReference"/>
        </w:rPr>
        <w:footnoteReference w:id="17"/>
      </w:r>
      <w:r w:rsidR="000C577D">
        <w:t xml:space="preserve"> </w:t>
      </w:r>
      <w:r w:rsidRPr="00B641E0">
        <w:t xml:space="preserve">Broadly, the analysis uses the PTRM cash flows to calculate the amount of retained earnings (taking account of cash flows such as revenue, </w:t>
      </w:r>
      <w:proofErr w:type="spellStart"/>
      <w:r w:rsidRPr="00B641E0">
        <w:t>opex</w:t>
      </w:r>
      <w:proofErr w:type="spellEnd"/>
      <w:r w:rsidRPr="00B641E0">
        <w:t xml:space="preserve">, interest payment, tax payment dividends, and dividend reinvestment plans). The amount of retained earnings is deducted from the equity component of forecast </w:t>
      </w:r>
      <w:proofErr w:type="spellStart"/>
      <w:r w:rsidRPr="00B641E0">
        <w:t>capex</w:t>
      </w:r>
      <w:proofErr w:type="spellEnd"/>
      <w:r w:rsidRPr="00B641E0">
        <w:t xml:space="preserve"> (while maintaining the benchmark level of gearing) to determine any external equity requirement. The </w:t>
      </w:r>
      <w:r w:rsidRPr="00E86EE3">
        <w:rPr>
          <w:rStyle w:val="AERtextbold"/>
        </w:rPr>
        <w:t>Equity raising cost</w:t>
      </w:r>
      <w:r w:rsidRPr="00B641E0">
        <w:t xml:space="preserve"> sheet sets out the benchmark cash flow analysis. </w:t>
      </w:r>
    </w:p>
    <w:p w:rsidR="00B641E0" w:rsidRPr="00B641E0" w:rsidRDefault="00B641E0" w:rsidP="00B641E0">
      <w:pPr>
        <w:pStyle w:val="AERbodytext"/>
      </w:pPr>
      <w:r w:rsidRPr="00B641E0">
        <w:t xml:space="preserve">The opening RAB and </w:t>
      </w:r>
      <w:proofErr w:type="spellStart"/>
      <w:r w:rsidRPr="00B641E0">
        <w:t>capex</w:t>
      </w:r>
      <w:proofErr w:type="spellEnd"/>
      <w:r w:rsidRPr="00B641E0">
        <w:t xml:space="preserve"> values (rows </w:t>
      </w:r>
      <w:r w:rsidR="00A17C60">
        <w:t>7</w:t>
      </w:r>
      <w:r w:rsidRPr="00B641E0">
        <w:t xml:space="preserve"> and </w:t>
      </w:r>
      <w:r w:rsidR="00A17C60">
        <w:t>8</w:t>
      </w:r>
      <w:r w:rsidRPr="00B641E0">
        <w:t xml:space="preserve">) are sourced from the </w:t>
      </w:r>
      <w:r w:rsidRPr="00E86EE3">
        <w:rPr>
          <w:rStyle w:val="AERtextbold"/>
        </w:rPr>
        <w:t>Assets</w:t>
      </w:r>
      <w:r w:rsidRPr="00B641E0">
        <w:t xml:space="preserve"> sheet. Based on this information the </w:t>
      </w:r>
      <w:proofErr w:type="spellStart"/>
      <w:r w:rsidRPr="00B641E0">
        <w:t>capex</w:t>
      </w:r>
      <w:proofErr w:type="spellEnd"/>
      <w:r w:rsidRPr="00B641E0">
        <w:t xml:space="preserve"> rate is ca</w:t>
      </w:r>
      <w:r w:rsidR="00A17C60">
        <w:t>lculated and displayed in row 9</w:t>
      </w:r>
      <w:r w:rsidRPr="00B641E0">
        <w:t xml:space="preserve">. The </w:t>
      </w:r>
      <w:proofErr w:type="spellStart"/>
      <w:r w:rsidRPr="00B641E0">
        <w:t>capex</w:t>
      </w:r>
      <w:proofErr w:type="spellEnd"/>
      <w:r w:rsidRPr="00B641E0">
        <w:t xml:space="preserve"> rate indicates the </w:t>
      </w:r>
      <w:r w:rsidRPr="00B641E0">
        <w:lastRenderedPageBreak/>
        <w:t xml:space="preserve">proportion of the </w:t>
      </w:r>
      <w:proofErr w:type="spellStart"/>
      <w:r w:rsidRPr="00B641E0">
        <w:t>capex</w:t>
      </w:r>
      <w:proofErr w:type="spellEnd"/>
      <w:r w:rsidRPr="00B641E0">
        <w:t xml:space="preserve"> relative to the opening RAB but does not affect the calculation of equity raising cos</w:t>
      </w:r>
      <w:r w:rsidR="00F068F7">
        <w:t>ts by</w:t>
      </w:r>
      <w:r w:rsidRPr="00B641E0">
        <w:t xml:space="preserve"> itself.</w:t>
      </w:r>
    </w:p>
    <w:p w:rsidR="00B641E0" w:rsidRPr="00B641E0" w:rsidRDefault="00B641E0" w:rsidP="00B641E0">
      <w:pPr>
        <w:pStyle w:val="AERbodytext"/>
      </w:pPr>
      <w:r w:rsidRPr="00B641E0">
        <w:t>The tax payable values (row 1</w:t>
      </w:r>
      <w:r w:rsidR="00A17C60">
        <w:t>3</w:t>
      </w:r>
      <w:r w:rsidRPr="00B641E0">
        <w:t xml:space="preserve">) are sourced from the </w:t>
      </w:r>
      <w:r w:rsidRPr="00E86EE3">
        <w:rPr>
          <w:rStyle w:val="AERtextbold"/>
        </w:rPr>
        <w:t xml:space="preserve">Analysis </w:t>
      </w:r>
      <w:r w:rsidRPr="00B641E0">
        <w:t xml:space="preserve">sheet and are used in combination with parameters (such as the corporate tax rate and imputation </w:t>
      </w:r>
      <w:r w:rsidR="00DD13BD">
        <w:t xml:space="preserve">credit </w:t>
      </w:r>
      <w:r w:rsidRPr="00B641E0">
        <w:t xml:space="preserve">payout ratio) from the </w:t>
      </w:r>
      <w:r w:rsidRPr="00E86EE3">
        <w:rPr>
          <w:rStyle w:val="AERtextbold"/>
        </w:rPr>
        <w:t>Inputs</w:t>
      </w:r>
      <w:r w:rsidRPr="00B641E0">
        <w:t xml:space="preserve"> sheet to calculate the dividends payable (row 1</w:t>
      </w:r>
      <w:r w:rsidR="00A17C60">
        <w:t>4</w:t>
      </w:r>
      <w:r w:rsidRPr="00B641E0">
        <w:t>). A proportion of dividends that are paid out to investors are assumed to be reinvested in the business. The amount of dividends reinvested by investors is displayed at row 16 and is used in the benchmark cash flow analysis to determine retained cash flows.</w:t>
      </w:r>
    </w:p>
    <w:p w:rsidR="00B641E0" w:rsidRPr="00B641E0" w:rsidRDefault="00B641E0" w:rsidP="00B641E0">
      <w:pPr>
        <w:pStyle w:val="AERbodytext"/>
      </w:pPr>
      <w:r w:rsidRPr="00B641E0">
        <w:t xml:space="preserve">The benchmark cash flow analysis set out in rows </w:t>
      </w:r>
      <w:r w:rsidR="00A17C60">
        <w:t>19</w:t>
      </w:r>
      <w:r w:rsidRPr="00B641E0">
        <w:t xml:space="preserve"> to 3</w:t>
      </w:r>
      <w:r w:rsidR="00A17C60">
        <w:t>4</w:t>
      </w:r>
      <w:r w:rsidRPr="00B641E0">
        <w:t xml:space="preserve"> are undertaken in nominal dollar terms and is used to determine the equity raising costs as follows:</w:t>
      </w:r>
    </w:p>
    <w:p w:rsidR="00B641E0" w:rsidRPr="00B641E0" w:rsidRDefault="00B641E0" w:rsidP="00B641E0">
      <w:pPr>
        <w:pStyle w:val="AERbulletlistfirststyle"/>
      </w:pPr>
      <w:r w:rsidRPr="00B641E0">
        <w:t xml:space="preserve">The revenues (row </w:t>
      </w:r>
      <w:r w:rsidR="00A17C60">
        <w:t>19</w:t>
      </w:r>
      <w:r w:rsidRPr="00B641E0">
        <w:t xml:space="preserve">) sourced from the </w:t>
      </w:r>
      <w:r w:rsidR="005E5117">
        <w:rPr>
          <w:rStyle w:val="AERtextbold"/>
        </w:rPr>
        <w:t>X factors</w:t>
      </w:r>
      <w:r w:rsidRPr="00B641E0">
        <w:t xml:space="preserve"> sheet less expenses such as </w:t>
      </w:r>
      <w:proofErr w:type="spellStart"/>
      <w:r w:rsidRPr="00B641E0">
        <w:t>opex</w:t>
      </w:r>
      <w:proofErr w:type="spellEnd"/>
      <w:r w:rsidRPr="00B641E0">
        <w:t>, interest payment</w:t>
      </w:r>
      <w:r w:rsidR="005E5117">
        <w:t>s</w:t>
      </w:r>
      <w:r w:rsidR="00DD13BD">
        <w:t>,</w:t>
      </w:r>
      <w:r w:rsidRPr="00B641E0">
        <w:t xml:space="preserve"> tax payable</w:t>
      </w:r>
      <w:r w:rsidR="00DD13BD">
        <w:t xml:space="preserve"> and other revenue adjustments</w:t>
      </w:r>
      <w:r w:rsidRPr="00B641E0">
        <w:t xml:space="preserve"> (rows 2</w:t>
      </w:r>
      <w:r w:rsidR="00A17C60">
        <w:t>0</w:t>
      </w:r>
      <w:r w:rsidRPr="00B641E0">
        <w:t xml:space="preserve"> to </w:t>
      </w:r>
      <w:r w:rsidR="00DD13BD">
        <w:t>2</w:t>
      </w:r>
      <w:r w:rsidR="00A17C60">
        <w:t>3</w:t>
      </w:r>
      <w:r w:rsidRPr="00B641E0">
        <w:t xml:space="preserve">) sourced from the </w:t>
      </w:r>
      <w:r w:rsidRPr="00E86EE3">
        <w:rPr>
          <w:rStyle w:val="AERtextbold"/>
        </w:rPr>
        <w:t>Analysis</w:t>
      </w:r>
      <w:r w:rsidRPr="00B641E0">
        <w:t xml:space="preserve"> sheet provides the internal cash flow (row </w:t>
      </w:r>
      <w:r w:rsidR="00DD13BD">
        <w:t>2</w:t>
      </w:r>
      <w:r w:rsidR="00A17C60">
        <w:t>4</w:t>
      </w:r>
      <w:r w:rsidRPr="00B641E0">
        <w:t>).</w:t>
      </w:r>
    </w:p>
    <w:p w:rsidR="00B641E0" w:rsidRPr="00B641E0" w:rsidRDefault="00B641E0" w:rsidP="00B641E0">
      <w:pPr>
        <w:pStyle w:val="AERbulletlistfirststyle"/>
      </w:pPr>
      <w:r w:rsidRPr="00B641E0">
        <w:t xml:space="preserve">The internal cash flow </w:t>
      </w:r>
      <w:proofErr w:type="gramStart"/>
      <w:r w:rsidRPr="00B641E0">
        <w:t>less</w:t>
      </w:r>
      <w:proofErr w:type="gramEnd"/>
      <w:r w:rsidRPr="00B641E0">
        <w:t xml:space="preserve"> dividends paid out to shareholders (row </w:t>
      </w:r>
      <w:r w:rsidR="00DD13BD">
        <w:t>2</w:t>
      </w:r>
      <w:r w:rsidR="00A17C60">
        <w:t>5</w:t>
      </w:r>
      <w:r w:rsidRPr="00B641E0">
        <w:t xml:space="preserve">) provides the retained cash flow (row </w:t>
      </w:r>
      <w:r w:rsidR="00DD13BD">
        <w:t>2</w:t>
      </w:r>
      <w:r w:rsidR="00A17C60">
        <w:t>6</w:t>
      </w:r>
      <w:r w:rsidRPr="00B641E0">
        <w:t>).</w:t>
      </w:r>
    </w:p>
    <w:p w:rsidR="00B641E0" w:rsidRPr="00B641E0" w:rsidRDefault="00B641E0" w:rsidP="00B641E0">
      <w:pPr>
        <w:pStyle w:val="AERbulletlistfirststyle"/>
      </w:pPr>
      <w:r w:rsidRPr="00B641E0">
        <w:t xml:space="preserve">The </w:t>
      </w:r>
      <w:proofErr w:type="spellStart"/>
      <w:r w:rsidRPr="00B641E0">
        <w:t>capex</w:t>
      </w:r>
      <w:proofErr w:type="spellEnd"/>
      <w:r w:rsidRPr="00B641E0">
        <w:t xml:space="preserve"> funding requirement (row </w:t>
      </w:r>
      <w:r w:rsidR="00DD13BD">
        <w:t>3</w:t>
      </w:r>
      <w:r w:rsidR="00A17C60">
        <w:t>0</w:t>
      </w:r>
      <w:r w:rsidRPr="00B641E0">
        <w:t xml:space="preserve">) is sourced from row </w:t>
      </w:r>
      <w:r w:rsidR="00A17C60">
        <w:t>8</w:t>
      </w:r>
      <w:r w:rsidRPr="00B641E0">
        <w:t xml:space="preserve">, adjusted to remove the gross-up for the WACC provided in the PTRM to account for the assumed timing of the incurrence of </w:t>
      </w:r>
      <w:proofErr w:type="spellStart"/>
      <w:r w:rsidRPr="00B641E0">
        <w:t>capex</w:t>
      </w:r>
      <w:proofErr w:type="spellEnd"/>
      <w:r w:rsidRPr="00B641E0">
        <w:t xml:space="preserve">, which is not relevant for financing purposes. The debt component (row </w:t>
      </w:r>
      <w:r w:rsidR="00DD13BD">
        <w:t>3</w:t>
      </w:r>
      <w:r w:rsidR="00A17C60">
        <w:t>1</w:t>
      </w:r>
      <w:r w:rsidRPr="00B641E0">
        <w:t xml:space="preserve">) represents the increase in debt funding and is sourced from the </w:t>
      </w:r>
      <w:r w:rsidRPr="00E86EE3">
        <w:rPr>
          <w:rStyle w:val="AERtextbold"/>
        </w:rPr>
        <w:t>Analysis</w:t>
      </w:r>
      <w:r w:rsidRPr="00B641E0">
        <w:t xml:space="preserve"> sheet, whereby to maintain the benchmark level of gearing, the level of debt must equal 60 per cent of the RAB rather than </w:t>
      </w:r>
      <w:proofErr w:type="spellStart"/>
      <w:r w:rsidRPr="00B641E0">
        <w:t>capex</w:t>
      </w:r>
      <w:proofErr w:type="spellEnd"/>
      <w:r w:rsidRPr="00B641E0">
        <w:t xml:space="preserve">. The residual of </w:t>
      </w:r>
      <w:proofErr w:type="spellStart"/>
      <w:r w:rsidRPr="00B641E0">
        <w:t>capex</w:t>
      </w:r>
      <w:proofErr w:type="spellEnd"/>
      <w:r w:rsidRPr="00B641E0">
        <w:t xml:space="preserve"> funding requirement less the increase in debt funding gives the equity component (row </w:t>
      </w:r>
      <w:r w:rsidR="00DD13BD">
        <w:t>3</w:t>
      </w:r>
      <w:r w:rsidR="00A17C60">
        <w:t>2</w:t>
      </w:r>
      <w:r w:rsidRPr="00B641E0">
        <w:t xml:space="preserve">), which represents the amount of </w:t>
      </w:r>
      <w:proofErr w:type="spellStart"/>
      <w:r w:rsidRPr="00B641E0">
        <w:t>capex</w:t>
      </w:r>
      <w:proofErr w:type="spellEnd"/>
      <w:r w:rsidRPr="00B641E0">
        <w:t xml:space="preserve"> that must be funded through retained earnings and then new equity.</w:t>
      </w:r>
    </w:p>
    <w:p w:rsidR="00B641E0" w:rsidRPr="00B641E0" w:rsidRDefault="00B641E0" w:rsidP="00B641E0">
      <w:pPr>
        <w:pStyle w:val="AERbulletlistfirststyle"/>
      </w:pPr>
      <w:r w:rsidRPr="00B641E0">
        <w:t xml:space="preserve">The equity component less retained cash flow (row </w:t>
      </w:r>
      <w:r w:rsidR="00DD13BD">
        <w:t>3</w:t>
      </w:r>
      <w:r w:rsidR="00A17C60">
        <w:t>3</w:t>
      </w:r>
      <w:r w:rsidRPr="00B641E0">
        <w:t xml:space="preserve">), where it is insufficient, indicates the additional equity requirement (row </w:t>
      </w:r>
      <w:r w:rsidR="00DD13BD">
        <w:t>3</w:t>
      </w:r>
      <w:r w:rsidR="00A17C60">
        <w:t>4</w:t>
      </w:r>
      <w:r w:rsidRPr="00B641E0">
        <w:t>).</w:t>
      </w:r>
      <w:r w:rsidR="000C577D">
        <w:rPr>
          <w:rStyle w:val="FootnoteReference"/>
        </w:rPr>
        <w:footnoteReference w:id="18"/>
      </w:r>
      <w:r w:rsidRPr="00B641E0">
        <w:t xml:space="preserve"> </w:t>
      </w:r>
    </w:p>
    <w:p w:rsidR="00B641E0" w:rsidRPr="0039038C" w:rsidRDefault="00B641E0" w:rsidP="00B641E0">
      <w:pPr>
        <w:pStyle w:val="AERbodytext"/>
        <w:rPr>
          <w:rStyle w:val="AERtexthighlight"/>
        </w:rPr>
      </w:pPr>
      <w:r w:rsidRPr="0039038C">
        <w:rPr>
          <w:rStyle w:val="AERtexthighlight"/>
        </w:rPr>
        <w:t xml:space="preserve">Rows </w:t>
      </w:r>
      <w:r w:rsidR="00DD13BD">
        <w:rPr>
          <w:rStyle w:val="AERtexthighlight"/>
        </w:rPr>
        <w:t>3</w:t>
      </w:r>
      <w:r w:rsidR="00A17C60">
        <w:rPr>
          <w:rStyle w:val="AERtexthighlight"/>
        </w:rPr>
        <w:t>8</w:t>
      </w:r>
      <w:r w:rsidRPr="0039038C">
        <w:rPr>
          <w:rStyle w:val="AERtexthighlight"/>
        </w:rPr>
        <w:t xml:space="preserve"> to </w:t>
      </w:r>
      <w:r w:rsidR="00DD13BD">
        <w:rPr>
          <w:rStyle w:val="AERtexthighlight"/>
        </w:rPr>
        <w:t>4</w:t>
      </w:r>
      <w:r w:rsidR="00A17C60">
        <w:rPr>
          <w:rStyle w:val="AERtexthighlight"/>
        </w:rPr>
        <w:t>0</w:t>
      </w:r>
      <w:r w:rsidRPr="0039038C">
        <w:rPr>
          <w:rStyle w:val="AERtexthighlight"/>
        </w:rPr>
        <w:t xml:space="preserve"> displays the equity component, retained cash flow and additional equity requirement in real dollar terms (based on start of year one) by converting the nominal dollar equivalents set out in rows </w:t>
      </w:r>
      <w:r w:rsidR="00DD13BD">
        <w:rPr>
          <w:rStyle w:val="AERtexthighlight"/>
        </w:rPr>
        <w:t>3</w:t>
      </w:r>
      <w:r w:rsidR="00A17C60">
        <w:rPr>
          <w:rStyle w:val="AERtexthighlight"/>
        </w:rPr>
        <w:t>2</w:t>
      </w:r>
      <w:r w:rsidRPr="0039038C">
        <w:rPr>
          <w:rStyle w:val="AERtexthighlight"/>
        </w:rPr>
        <w:t xml:space="preserve"> to </w:t>
      </w:r>
      <w:r w:rsidR="00DD13BD">
        <w:rPr>
          <w:rStyle w:val="AERtexthighlight"/>
        </w:rPr>
        <w:t>3</w:t>
      </w:r>
      <w:r w:rsidR="00A17C60">
        <w:rPr>
          <w:rStyle w:val="AERtexthighlight"/>
        </w:rPr>
        <w:t>4</w:t>
      </w:r>
      <w:r w:rsidRPr="0039038C">
        <w:rPr>
          <w:rStyle w:val="AERtexthighlight"/>
        </w:rPr>
        <w:t xml:space="preserve">. Dividend reinvestment also in real dollar terms is displayed in row </w:t>
      </w:r>
      <w:r w:rsidR="00DD13BD">
        <w:rPr>
          <w:rStyle w:val="AERtexthighlight"/>
        </w:rPr>
        <w:t>4</w:t>
      </w:r>
      <w:r w:rsidR="00A17C60">
        <w:rPr>
          <w:rStyle w:val="AERtexthighlight"/>
        </w:rPr>
        <w:t>2</w:t>
      </w:r>
      <w:r w:rsidRPr="0039038C">
        <w:rPr>
          <w:rStyle w:val="AERtexthighlight"/>
        </w:rPr>
        <w:t xml:space="preserve"> by converting the nominal dollar equivalent as set out in row 1</w:t>
      </w:r>
      <w:r w:rsidR="00A17C60">
        <w:rPr>
          <w:rStyle w:val="AERtexthighlight"/>
        </w:rPr>
        <w:t>5</w:t>
      </w:r>
      <w:r w:rsidRPr="0039038C">
        <w:rPr>
          <w:rStyle w:val="AERtexthighlight"/>
        </w:rPr>
        <w:t xml:space="preserve">. </w:t>
      </w:r>
    </w:p>
    <w:p w:rsidR="00B641E0" w:rsidRPr="0039038C" w:rsidRDefault="00B641E0" w:rsidP="00B641E0">
      <w:pPr>
        <w:pStyle w:val="AERbodytext"/>
        <w:rPr>
          <w:rStyle w:val="AERtexthighlight"/>
        </w:rPr>
      </w:pPr>
      <w:r w:rsidRPr="0039038C">
        <w:rPr>
          <w:rStyle w:val="AERtexthighlight"/>
        </w:rPr>
        <w:t xml:space="preserve">If the total equity requirement over the </w:t>
      </w:r>
      <w:r w:rsidR="00090CD3">
        <w:rPr>
          <w:rStyle w:val="AERtexthighlight"/>
        </w:rPr>
        <w:t xml:space="preserve">next </w:t>
      </w:r>
      <w:r w:rsidRPr="0039038C">
        <w:rPr>
          <w:rStyle w:val="AERtexthighlight"/>
        </w:rPr>
        <w:t xml:space="preserve">regulatory control period is above zero, cell </w:t>
      </w:r>
      <w:r w:rsidR="00DD13BD">
        <w:rPr>
          <w:rStyle w:val="AERtexthighlight"/>
        </w:rPr>
        <w:t>Q4</w:t>
      </w:r>
      <w:r w:rsidR="00A17C60">
        <w:rPr>
          <w:rStyle w:val="AERtexthighlight"/>
        </w:rPr>
        <w:t>6</w:t>
      </w:r>
      <w:r w:rsidRPr="0039038C">
        <w:rPr>
          <w:rStyle w:val="AERtexthighlight"/>
        </w:rPr>
        <w:t xml:space="preserve"> calculates the total dividend reinvestment plan requirement based on the total amount set out at </w:t>
      </w:r>
      <w:r w:rsidR="00DD13BD">
        <w:rPr>
          <w:rStyle w:val="AERtexthighlight"/>
        </w:rPr>
        <w:t>Q4</w:t>
      </w:r>
      <w:r w:rsidR="00A17C60">
        <w:rPr>
          <w:rStyle w:val="AERtexthighlight"/>
        </w:rPr>
        <w:t>2</w:t>
      </w:r>
      <w:r w:rsidRPr="0039038C">
        <w:rPr>
          <w:rStyle w:val="AERtexthighlight"/>
        </w:rPr>
        <w:t xml:space="preserve">. The total external equity requirement over the </w:t>
      </w:r>
      <w:r w:rsidR="00090CD3">
        <w:rPr>
          <w:rStyle w:val="AERtexthighlight"/>
        </w:rPr>
        <w:t xml:space="preserve">next </w:t>
      </w:r>
      <w:r w:rsidRPr="0039038C">
        <w:rPr>
          <w:rStyle w:val="AERtexthighlight"/>
        </w:rPr>
        <w:t xml:space="preserve">regulatory control period is calculated at cell </w:t>
      </w:r>
      <w:r w:rsidR="00DD13BD">
        <w:rPr>
          <w:rStyle w:val="AERtexthighlight"/>
        </w:rPr>
        <w:t>Q4</w:t>
      </w:r>
      <w:r w:rsidR="00A17C60">
        <w:rPr>
          <w:rStyle w:val="AERtexthighlight"/>
        </w:rPr>
        <w:t>7</w:t>
      </w:r>
      <w:r w:rsidRPr="0039038C">
        <w:rPr>
          <w:rStyle w:val="AERtexthighlight"/>
        </w:rPr>
        <w:t xml:space="preserve"> by taking the difference between the total equity requirement and the total dividend reinvestment. Cell</w:t>
      </w:r>
      <w:r w:rsidR="00DD13BD">
        <w:rPr>
          <w:rStyle w:val="AERtexthighlight"/>
        </w:rPr>
        <w:t> Q4</w:t>
      </w:r>
      <w:r w:rsidR="00A17C60">
        <w:rPr>
          <w:rStyle w:val="AERtexthighlight"/>
        </w:rPr>
        <w:t>8</w:t>
      </w:r>
      <w:r w:rsidRPr="0039038C">
        <w:rPr>
          <w:rStyle w:val="AERtexthighlight"/>
        </w:rPr>
        <w:t xml:space="preserve"> displays the sum of the total dividend reinvestment plan requirement and the total external equity requirement</w:t>
      </w:r>
      <w:r w:rsidR="00090CD3">
        <w:rPr>
          <w:rStyle w:val="AERtexthighlight"/>
        </w:rPr>
        <w:t>. This is</w:t>
      </w:r>
      <w:r w:rsidR="00F85AB0">
        <w:rPr>
          <w:rStyle w:val="AERtexthighlight"/>
        </w:rPr>
        <w:t xml:space="preserve"> </w:t>
      </w:r>
      <w:r w:rsidR="00090CD3">
        <w:rPr>
          <w:rStyle w:val="AERtexthighlight"/>
        </w:rPr>
        <w:t>the</w:t>
      </w:r>
      <w:r w:rsidR="00345F45">
        <w:rPr>
          <w:rStyle w:val="AERtexthighlight"/>
        </w:rPr>
        <w:t xml:space="preserve"> </w:t>
      </w:r>
      <w:r w:rsidRPr="0039038C">
        <w:rPr>
          <w:rStyle w:val="AERtexthighlight"/>
        </w:rPr>
        <w:t xml:space="preserve">total equity requirement. </w:t>
      </w:r>
    </w:p>
    <w:p w:rsidR="00B641E0" w:rsidRPr="00B641E0" w:rsidRDefault="00B641E0" w:rsidP="00B641E0">
      <w:pPr>
        <w:pStyle w:val="AERbodytext"/>
      </w:pPr>
      <w:r w:rsidRPr="00B641E0">
        <w:t xml:space="preserve">Based on the total amount of dividends reinvested (cell </w:t>
      </w:r>
      <w:r w:rsidR="00DD13BD">
        <w:t>Q4</w:t>
      </w:r>
      <w:r w:rsidR="00A17C60">
        <w:t>6</w:t>
      </w:r>
      <w:r w:rsidRPr="00B641E0">
        <w:t xml:space="preserve">) and the external equity requirement (cell </w:t>
      </w:r>
      <w:r w:rsidR="00DD13BD">
        <w:t>Q4</w:t>
      </w:r>
      <w:r w:rsidR="00A17C60">
        <w:t>7</w:t>
      </w:r>
      <w:r w:rsidRPr="00B641E0">
        <w:t xml:space="preserve">) the cost for each of these component (sourced from the </w:t>
      </w:r>
      <w:r w:rsidRPr="00E86EE3">
        <w:rPr>
          <w:rStyle w:val="AERtextbold"/>
        </w:rPr>
        <w:t>Input</w:t>
      </w:r>
      <w:r w:rsidRPr="00B641E0">
        <w:t xml:space="preserve"> sheet) is calculated in cells </w:t>
      </w:r>
      <w:r w:rsidR="00DD13BD">
        <w:t>Q5</w:t>
      </w:r>
      <w:r w:rsidR="00A17C60">
        <w:t>0</w:t>
      </w:r>
      <w:r w:rsidRPr="00B641E0">
        <w:t xml:space="preserve"> and </w:t>
      </w:r>
      <w:r w:rsidR="00DD13BD">
        <w:t>Q5</w:t>
      </w:r>
      <w:r w:rsidR="00A17C60">
        <w:t>1</w:t>
      </w:r>
      <w:r w:rsidRPr="00B641E0">
        <w:t xml:space="preserve"> respectively. The sum of these components provides the total equity raising costs in real dollar terms (start of year one) and is displayed at cell </w:t>
      </w:r>
      <w:r w:rsidR="00DD13BD">
        <w:t>Q5</w:t>
      </w:r>
      <w:r w:rsidR="00A17C60">
        <w:t>2</w:t>
      </w:r>
      <w:r w:rsidRPr="00B641E0">
        <w:t xml:space="preserve">. A positive value for the total equity raising </w:t>
      </w:r>
      <w:r w:rsidRPr="00B641E0">
        <w:lastRenderedPageBreak/>
        <w:t xml:space="preserve">costs over the </w:t>
      </w:r>
      <w:r w:rsidR="00090CD3">
        <w:t xml:space="preserve">next </w:t>
      </w:r>
      <w:r w:rsidRPr="00B641E0">
        <w:t xml:space="preserve">regulatory control period indicates that the calculated benchmark equity raising costs should be allowed and recovered by the TNSPs. </w:t>
      </w:r>
    </w:p>
    <w:p w:rsidR="00B641E0" w:rsidRPr="00D00A02" w:rsidRDefault="00C96053" w:rsidP="00B641E0">
      <w:pPr>
        <w:pStyle w:val="AERbodytext"/>
        <w:rPr>
          <w:rStyle w:val="AERtexthighlight"/>
        </w:rPr>
      </w:pPr>
      <w:r w:rsidRPr="00717317">
        <w:rPr>
          <w:rStyle w:val="AERtexthighlight"/>
        </w:rPr>
        <w:t>The e</w:t>
      </w:r>
      <w:r w:rsidR="00B641E0" w:rsidRPr="00717317">
        <w:rPr>
          <w:rStyle w:val="AERtexthighlight"/>
        </w:rPr>
        <w:t xml:space="preserve">quity raising cost calculations </w:t>
      </w:r>
      <w:r w:rsidR="005C3728" w:rsidRPr="00717317">
        <w:rPr>
          <w:rStyle w:val="AERtexthighlight"/>
        </w:rPr>
        <w:t xml:space="preserve">must be performed iteratively because they are both an input to and an output from the building block </w:t>
      </w:r>
      <w:r w:rsidR="005C3728" w:rsidRPr="00717317">
        <w:rPr>
          <w:rStyle w:val="AERtexthighlight"/>
          <w:highlight w:val="yellow"/>
        </w:rPr>
        <w:t>calculation.</w:t>
      </w:r>
      <w:r w:rsidR="006A041A" w:rsidRPr="00717317">
        <w:rPr>
          <w:rStyle w:val="FootnoteReference"/>
          <w:highlight w:val="yellow"/>
        </w:rPr>
        <w:footnoteReference w:id="19"/>
      </w:r>
      <w:r w:rsidR="005C3728" w:rsidRPr="00717317">
        <w:rPr>
          <w:highlight w:val="yellow"/>
        </w:rPr>
        <w:t xml:space="preserve"> </w:t>
      </w:r>
      <w:r w:rsidR="005C3728" w:rsidRPr="00717317">
        <w:rPr>
          <w:rStyle w:val="AERtexthighlight"/>
          <w:highlight w:val="yellow"/>
        </w:rPr>
        <w:t>In other</w:t>
      </w:r>
      <w:r w:rsidR="005C3728" w:rsidRPr="00717317">
        <w:rPr>
          <w:rStyle w:val="AERtexthighlight"/>
        </w:rPr>
        <w:t xml:space="preserve"> words, a change in the equity raising cost will change the ABBRR and MAR, which in turn changes the equity raising cost. Further, the equity raising cost calculation </w:t>
      </w:r>
      <w:r w:rsidR="00047042" w:rsidRPr="00717317">
        <w:rPr>
          <w:rStyle w:val="AERtexthighlight"/>
        </w:rPr>
        <w:t>depends on</w:t>
      </w:r>
      <w:r w:rsidR="005C3728" w:rsidRPr="00717317">
        <w:rPr>
          <w:rStyle w:val="AERtexthighlight"/>
        </w:rPr>
        <w:t xml:space="preserve"> both unsmoothed building block components (for instance, the outgoing cash flows each year) and the smoothed total revenue (for instance, the available revenue each year). A</w:t>
      </w:r>
      <w:r w:rsidR="00177A68">
        <w:rPr>
          <w:rStyle w:val="AERtexthighlight"/>
        </w:rPr>
        <w:t xml:space="preserve">ccordingly, changes </w:t>
      </w:r>
      <w:r w:rsidR="005C3728" w:rsidRPr="00717317">
        <w:rPr>
          <w:rStyle w:val="AERtexthighlight"/>
        </w:rPr>
        <w:t>to the smoothed revenue profile (the MAR) can change the required equity raising cost, starting the cycle again.</w:t>
      </w:r>
      <w:r w:rsidR="005C3728">
        <w:t xml:space="preserve"> </w:t>
      </w:r>
      <w:r w:rsidR="00B641E0" w:rsidRPr="00D00A02">
        <w:rPr>
          <w:rStyle w:val="AERtexthighlight"/>
        </w:rPr>
        <w:t xml:space="preserve"> </w:t>
      </w:r>
    </w:p>
    <w:p w:rsidR="00B641E0" w:rsidRPr="00D00A02" w:rsidRDefault="00B641E0" w:rsidP="00B641E0">
      <w:pPr>
        <w:pStyle w:val="AERbodytext"/>
        <w:rPr>
          <w:rStyle w:val="AERtexthighlight"/>
        </w:rPr>
      </w:pPr>
      <w:r w:rsidRPr="00D00A02">
        <w:rPr>
          <w:rStyle w:val="AERtexthighlight"/>
        </w:rPr>
        <w:t xml:space="preserve">By default, the smoothing macros </w:t>
      </w:r>
      <w:r w:rsidR="00964F04">
        <w:rPr>
          <w:rStyle w:val="AERtexthighlight"/>
        </w:rPr>
        <w:t>i</w:t>
      </w:r>
      <w:r w:rsidRPr="00D00A02">
        <w:rPr>
          <w:rStyle w:val="AERtexthighlight"/>
        </w:rPr>
        <w:t xml:space="preserve">n </w:t>
      </w:r>
      <w:r w:rsidRPr="00717317">
        <w:rPr>
          <w:rStyle w:val="AERtexthighlight"/>
          <w:highlight w:val="yellow"/>
        </w:rPr>
        <w:t xml:space="preserve">the </w:t>
      </w:r>
      <w:r w:rsidRPr="00717317">
        <w:rPr>
          <w:rStyle w:val="AERtextbold"/>
          <w:highlight w:val="yellow"/>
        </w:rPr>
        <w:t>X factors</w:t>
      </w:r>
      <w:r w:rsidRPr="00717317">
        <w:rPr>
          <w:rStyle w:val="AERtexthighlight"/>
          <w:highlight w:val="yellow"/>
        </w:rPr>
        <w:t xml:space="preserve"> sheet perform these </w:t>
      </w:r>
      <w:r w:rsidR="005C3728" w:rsidRPr="00717317">
        <w:rPr>
          <w:rStyle w:val="AERtexthighlight"/>
          <w:highlight w:val="yellow"/>
        </w:rPr>
        <w:t xml:space="preserve">iterative </w:t>
      </w:r>
      <w:r w:rsidRPr="00717317">
        <w:rPr>
          <w:rStyle w:val="AERtexthighlight"/>
          <w:highlight w:val="yellow"/>
        </w:rPr>
        <w:t>calculations</w:t>
      </w:r>
      <w:r w:rsidR="006A041A" w:rsidRPr="00717317">
        <w:rPr>
          <w:rStyle w:val="AERtexthighlight"/>
          <w:highlight w:val="yellow"/>
        </w:rPr>
        <w:t xml:space="preserve"> for equity raising costs at the same time</w:t>
      </w:r>
      <w:r w:rsidRPr="00717317">
        <w:rPr>
          <w:rStyle w:val="AERtexthighlight"/>
          <w:highlight w:val="yellow"/>
        </w:rPr>
        <w:t>. However, this function can be disabled using the drop-down menu in cell</w:t>
      </w:r>
      <w:r w:rsidR="005C3728" w:rsidRPr="00717317">
        <w:rPr>
          <w:rStyle w:val="AERtexthighlight"/>
          <w:highlight w:val="yellow"/>
        </w:rPr>
        <w:t xml:space="preserve"> G16</w:t>
      </w:r>
      <w:r w:rsidRPr="00717317">
        <w:rPr>
          <w:rStyle w:val="AERtexthighlight"/>
          <w:highlight w:val="yellow"/>
        </w:rPr>
        <w:t xml:space="preserve"> of the </w:t>
      </w:r>
      <w:r w:rsidRPr="00717317">
        <w:rPr>
          <w:rStyle w:val="AERtextbold"/>
          <w:highlight w:val="yellow"/>
        </w:rPr>
        <w:t>X factors</w:t>
      </w:r>
      <w:r w:rsidRPr="00717317">
        <w:rPr>
          <w:rStyle w:val="AERtexthighlight"/>
          <w:highlight w:val="yellow"/>
        </w:rPr>
        <w:t xml:space="preserve"> sheet.</w:t>
      </w:r>
      <w:r w:rsidR="00047042" w:rsidRPr="00717317">
        <w:rPr>
          <w:rStyle w:val="FootnoteReference"/>
          <w:highlight w:val="yellow"/>
          <w:shd w:val="clear" w:color="auto" w:fill="FFFF00"/>
        </w:rPr>
        <w:footnoteReference w:id="20"/>
      </w:r>
      <w:r w:rsidRPr="00D00A02">
        <w:rPr>
          <w:rStyle w:val="AERtexthighlight"/>
        </w:rPr>
        <w:t xml:space="preserve"> </w:t>
      </w:r>
    </w:p>
    <w:p w:rsidR="00B641E0" w:rsidRPr="00B641E0" w:rsidRDefault="003A46FE" w:rsidP="00B641E0">
      <w:pPr>
        <w:pStyle w:val="AERbodytext"/>
      </w:pPr>
      <w:r>
        <w:fldChar w:fldCharType="begin"/>
      </w:r>
      <w:r>
        <w:instrText xml:space="preserve"> REF _Ref398112823 \h </w:instrText>
      </w:r>
      <w:r>
        <w:fldChar w:fldCharType="separate"/>
      </w:r>
      <w:r w:rsidR="00F85AB0">
        <w:t xml:space="preserve">Figure </w:t>
      </w:r>
      <w:r w:rsidR="00F85AB0">
        <w:rPr>
          <w:noProof/>
        </w:rPr>
        <w:t>9</w:t>
      </w:r>
      <w:r>
        <w:fldChar w:fldCharType="end"/>
      </w:r>
      <w:r w:rsidR="00B641E0" w:rsidRPr="00B641E0">
        <w:t xml:space="preserve"> provides an example of the </w:t>
      </w:r>
      <w:r w:rsidR="00B641E0" w:rsidRPr="00E86EE3">
        <w:rPr>
          <w:rStyle w:val="AERtextbold"/>
        </w:rPr>
        <w:t>Equity raising cost</w:t>
      </w:r>
      <w:r w:rsidR="00B641E0" w:rsidRPr="00B641E0">
        <w:t xml:space="preserve"> sheet.</w:t>
      </w:r>
    </w:p>
    <w:p w:rsidR="00B641E0" w:rsidRDefault="00BB1BF2" w:rsidP="00BB1BF2">
      <w:pPr>
        <w:pStyle w:val="Caption"/>
        <w:rPr>
          <w:noProof/>
        </w:rPr>
      </w:pPr>
      <w:bookmarkStart w:id="43" w:name="_Ref398112823"/>
      <w:r>
        <w:lastRenderedPageBreak/>
        <w:t xml:space="preserve">Figure </w:t>
      </w:r>
      <w:r w:rsidR="00CC1EDC">
        <w:fldChar w:fldCharType="begin"/>
      </w:r>
      <w:r w:rsidR="00CC1EDC">
        <w:instrText xml:space="preserve"> SEQ Figure \* ARABIC </w:instrText>
      </w:r>
      <w:r w:rsidR="00CC1EDC">
        <w:fldChar w:fldCharType="separate"/>
      </w:r>
      <w:r w:rsidR="00017432">
        <w:rPr>
          <w:noProof/>
        </w:rPr>
        <w:t>9</w:t>
      </w:r>
      <w:r w:rsidR="00CC1EDC">
        <w:rPr>
          <w:noProof/>
        </w:rPr>
        <w:fldChar w:fldCharType="end"/>
      </w:r>
      <w:bookmarkEnd w:id="43"/>
      <w:r w:rsidR="00F85AB0">
        <w:rPr>
          <w:noProof/>
        </w:rPr>
        <w:tab/>
        <w:t>Equity raising cost sheet</w:t>
      </w:r>
    </w:p>
    <w:p w:rsidR="00F85AB0" w:rsidRPr="00717317" w:rsidRDefault="00F1463E" w:rsidP="00717317">
      <w:pPr>
        <w:pStyle w:val="AERbodytext"/>
      </w:pPr>
      <w:r>
        <w:rPr>
          <w:noProof/>
          <w:lang w:eastAsia="en-AU"/>
        </w:rPr>
        <w:drawing>
          <wp:inline distT="0" distB="0" distL="0" distR="0">
            <wp:extent cx="5723890" cy="4797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3890" cy="4797425"/>
                    </a:xfrm>
                    <a:prstGeom prst="rect">
                      <a:avLst/>
                    </a:prstGeom>
                    <a:noFill/>
                    <a:ln>
                      <a:noFill/>
                    </a:ln>
                  </pic:spPr>
                </pic:pic>
              </a:graphicData>
            </a:graphic>
          </wp:inline>
        </w:drawing>
      </w:r>
    </w:p>
    <w:p w:rsidR="005854EF" w:rsidRPr="00451FE5" w:rsidRDefault="00B23774" w:rsidP="00451FE5">
      <w:pPr>
        <w:pStyle w:val="Heading2"/>
        <w:rPr>
          <w:rStyle w:val="AERtexthighlight"/>
          <w:shd w:val="clear" w:color="auto" w:fill="auto"/>
        </w:rPr>
      </w:pPr>
      <w:bookmarkStart w:id="44" w:name="_Toc400092714"/>
      <w:r w:rsidRPr="00451FE5">
        <w:rPr>
          <w:rStyle w:val="AERtexthighlight"/>
          <w:shd w:val="clear" w:color="auto" w:fill="auto"/>
        </w:rPr>
        <w:t>Chart 1—Revenue</w:t>
      </w:r>
      <w:bookmarkEnd w:id="44"/>
    </w:p>
    <w:p w:rsidR="005120AB" w:rsidRPr="002475C9" w:rsidRDefault="005120AB" w:rsidP="005120AB">
      <w:pPr>
        <w:pStyle w:val="AERbodytext"/>
        <w:rPr>
          <w:rStyle w:val="AERtexthighlight"/>
        </w:rPr>
      </w:pPr>
      <w:r w:rsidRPr="002475C9">
        <w:t xml:space="preserve">The </w:t>
      </w:r>
      <w:r w:rsidRPr="002475C9">
        <w:rPr>
          <w:rStyle w:val="AERtextbold"/>
        </w:rPr>
        <w:t>Chart 1–Revenue</w:t>
      </w:r>
      <w:r w:rsidRPr="002475C9">
        <w:t xml:space="preserve"> sheet displays a chart that incorporates the:</w:t>
      </w:r>
    </w:p>
    <w:p w:rsidR="005120AB" w:rsidRPr="002475C9" w:rsidRDefault="005120AB" w:rsidP="002475C9">
      <w:pPr>
        <w:pStyle w:val="AERbulletlistfirststyle"/>
      </w:pPr>
      <w:r w:rsidRPr="002475C9">
        <w:t>nominal and real A</w:t>
      </w:r>
      <w:r w:rsidR="002915C0" w:rsidRPr="002475C9">
        <w:t>BB</w:t>
      </w:r>
      <w:r w:rsidRPr="002475C9">
        <w:t>RR</w:t>
      </w:r>
    </w:p>
    <w:p w:rsidR="005120AB" w:rsidRPr="002475C9" w:rsidRDefault="005120AB" w:rsidP="002475C9">
      <w:pPr>
        <w:pStyle w:val="AERbulletlistfirststyle"/>
      </w:pPr>
      <w:r w:rsidRPr="002475C9">
        <w:t xml:space="preserve">nominal and real </w:t>
      </w:r>
      <w:r w:rsidR="00DD13BD" w:rsidRPr="002475C9">
        <w:t>MAR</w:t>
      </w:r>
      <w:r w:rsidRPr="002475C9">
        <w:t xml:space="preserve"> derived under the </w:t>
      </w:r>
      <w:r w:rsidR="00DD13BD" w:rsidRPr="002475C9">
        <w:t>revenue cap</w:t>
      </w:r>
      <w:r w:rsidRPr="002475C9">
        <w:t xml:space="preserve"> </w:t>
      </w:r>
    </w:p>
    <w:p w:rsidR="005120AB" w:rsidRPr="002475C9" w:rsidRDefault="005120AB" w:rsidP="005120AB">
      <w:pPr>
        <w:pStyle w:val="AERbodytext"/>
        <w:rPr>
          <w:rStyle w:val="AERtexthighlight"/>
        </w:rPr>
      </w:pPr>
      <w:r w:rsidRPr="002475C9">
        <w:t xml:space="preserve">This information is sourced from the </w:t>
      </w:r>
      <w:r w:rsidRPr="002475C9">
        <w:rPr>
          <w:rStyle w:val="AERtextbold"/>
        </w:rPr>
        <w:t>Revenue summary</w:t>
      </w:r>
      <w:r w:rsidRPr="002475C9">
        <w:t xml:space="preserve"> sheet. </w:t>
      </w:r>
    </w:p>
    <w:p w:rsidR="005120AB" w:rsidRPr="002475C9" w:rsidRDefault="00AF28E4" w:rsidP="005120AB">
      <w:pPr>
        <w:pStyle w:val="AERbodytext"/>
        <w:rPr>
          <w:rStyle w:val="AERtexthighlight"/>
        </w:rPr>
      </w:pPr>
      <w:r>
        <w:fldChar w:fldCharType="begin"/>
      </w:r>
      <w:r>
        <w:instrText xml:space="preserve"> REF _Ref399401093 \h </w:instrText>
      </w:r>
      <w:r>
        <w:fldChar w:fldCharType="separate"/>
      </w:r>
      <w:r>
        <w:t xml:space="preserve">Figure </w:t>
      </w:r>
      <w:r>
        <w:rPr>
          <w:noProof/>
        </w:rPr>
        <w:t>10</w:t>
      </w:r>
      <w:r>
        <w:fldChar w:fldCharType="end"/>
      </w:r>
      <w:r>
        <w:t xml:space="preserve"> </w:t>
      </w:r>
      <w:r w:rsidR="005120AB" w:rsidRPr="002475C9">
        <w:t xml:space="preserve">provides an example of the </w:t>
      </w:r>
      <w:r w:rsidR="005120AB" w:rsidRPr="002475C9">
        <w:rPr>
          <w:rStyle w:val="AERtextbold"/>
        </w:rPr>
        <w:t>Chart 1</w:t>
      </w:r>
      <w:r w:rsidR="005120AB" w:rsidRPr="002475C9">
        <w:rPr>
          <w:rStyle w:val="AERtextbold"/>
          <w:rFonts w:hint="eastAsia"/>
        </w:rPr>
        <w:t>–</w:t>
      </w:r>
      <w:r w:rsidR="005120AB" w:rsidRPr="002475C9">
        <w:rPr>
          <w:rStyle w:val="AERtextbold"/>
        </w:rPr>
        <w:t>Revenue</w:t>
      </w:r>
      <w:r w:rsidR="005120AB" w:rsidRPr="002475C9">
        <w:t xml:space="preserve"> sheet.</w:t>
      </w:r>
    </w:p>
    <w:p w:rsidR="00F85AB0" w:rsidRPr="002475C9" w:rsidRDefault="002475C9" w:rsidP="002475C9">
      <w:pPr>
        <w:pStyle w:val="Caption"/>
      </w:pPr>
      <w:bookmarkStart w:id="45" w:name="_Ref399401093"/>
      <w:r>
        <w:lastRenderedPageBreak/>
        <w:t xml:space="preserve">Figure </w:t>
      </w:r>
      <w:r w:rsidR="00CC1EDC">
        <w:fldChar w:fldCharType="begin"/>
      </w:r>
      <w:r w:rsidR="00CC1EDC">
        <w:instrText xml:space="preserve"> SEQ Figure \* ARABIC </w:instrText>
      </w:r>
      <w:r w:rsidR="00CC1EDC">
        <w:fldChar w:fldCharType="separate"/>
      </w:r>
      <w:r w:rsidR="00017432">
        <w:rPr>
          <w:noProof/>
        </w:rPr>
        <w:t>10</w:t>
      </w:r>
      <w:r w:rsidR="00CC1EDC">
        <w:rPr>
          <w:noProof/>
        </w:rPr>
        <w:fldChar w:fldCharType="end"/>
      </w:r>
      <w:r>
        <w:tab/>
      </w:r>
      <w:r w:rsidRPr="002475C9">
        <w:t>Chart 1–Revenue sheet</w:t>
      </w:r>
      <w:bookmarkEnd w:id="45"/>
      <w:r w:rsidR="008C1439" w:rsidRPr="002475C9">
        <w:tab/>
      </w:r>
    </w:p>
    <w:p w:rsidR="00F85AB0" w:rsidRPr="00717317" w:rsidRDefault="00F85AB0" w:rsidP="00717317">
      <w:pPr>
        <w:pStyle w:val="AERbodytext"/>
      </w:pPr>
      <w:r w:rsidRPr="00717317">
        <w:rPr>
          <w:noProof/>
          <w:lang w:eastAsia="en-AU"/>
        </w:rPr>
        <w:drawing>
          <wp:inline distT="0" distB="0" distL="0" distR="0" wp14:anchorId="4B58119D" wp14:editId="0CA8A063">
            <wp:extent cx="5727700" cy="27343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7700" cy="2734310"/>
                    </a:xfrm>
                    <a:prstGeom prst="rect">
                      <a:avLst/>
                    </a:prstGeom>
                    <a:noFill/>
                    <a:ln>
                      <a:noFill/>
                    </a:ln>
                  </pic:spPr>
                </pic:pic>
              </a:graphicData>
            </a:graphic>
          </wp:inline>
        </w:drawing>
      </w:r>
    </w:p>
    <w:p w:rsidR="005854EF" w:rsidRPr="00451FE5" w:rsidRDefault="00B23774" w:rsidP="00451FE5">
      <w:pPr>
        <w:pStyle w:val="Heading2"/>
        <w:rPr>
          <w:rStyle w:val="AERtexthighlight"/>
          <w:shd w:val="clear" w:color="auto" w:fill="auto"/>
        </w:rPr>
      </w:pPr>
      <w:bookmarkStart w:id="46" w:name="_Toc400092715"/>
      <w:r w:rsidRPr="00451FE5">
        <w:rPr>
          <w:rStyle w:val="AERtexthighlight"/>
          <w:shd w:val="clear" w:color="auto" w:fill="auto"/>
        </w:rPr>
        <w:t>Chart 2—Price path</w:t>
      </w:r>
      <w:bookmarkEnd w:id="46"/>
    </w:p>
    <w:p w:rsidR="008D1E28" w:rsidRPr="00AF28E4" w:rsidRDefault="005120AB" w:rsidP="005120AB">
      <w:pPr>
        <w:pStyle w:val="AERbodytext"/>
        <w:rPr>
          <w:rStyle w:val="AERtexthighlight"/>
        </w:rPr>
      </w:pPr>
      <w:r w:rsidRPr="00AF28E4">
        <w:t xml:space="preserve">The </w:t>
      </w:r>
      <w:r w:rsidRPr="00AF28E4">
        <w:rPr>
          <w:rStyle w:val="AERtextbold"/>
        </w:rPr>
        <w:t>Chart 2</w:t>
      </w:r>
      <w:r w:rsidRPr="00AF28E4">
        <w:rPr>
          <w:rStyle w:val="AERtextbold"/>
          <w:rFonts w:hint="eastAsia"/>
        </w:rPr>
        <w:t>–</w:t>
      </w:r>
      <w:r w:rsidRPr="00AF28E4">
        <w:rPr>
          <w:rStyle w:val="AERtextbold"/>
        </w:rPr>
        <w:t>Price path</w:t>
      </w:r>
      <w:r w:rsidRPr="00AF28E4">
        <w:t xml:space="preserve"> sheet displays </w:t>
      </w:r>
      <w:r w:rsidR="006A041A" w:rsidRPr="00AF28E4">
        <w:t xml:space="preserve">a </w:t>
      </w:r>
      <w:r w:rsidRPr="00AF28E4">
        <w:t>chart</w:t>
      </w:r>
      <w:r w:rsidR="006A041A" w:rsidRPr="00AF28E4">
        <w:t xml:space="preserve"> that presents </w:t>
      </w:r>
      <w:r w:rsidRPr="00AF28E4">
        <w:t xml:space="preserve">the </w:t>
      </w:r>
      <w:r w:rsidR="006A041A" w:rsidRPr="00AF28E4">
        <w:t xml:space="preserve">indicative </w:t>
      </w:r>
      <w:r w:rsidRPr="00AF28E4">
        <w:t xml:space="preserve">price </w:t>
      </w:r>
      <w:r w:rsidR="006A041A" w:rsidRPr="00AF28E4">
        <w:t xml:space="preserve">path </w:t>
      </w:r>
      <w:r w:rsidRPr="00AF28E4">
        <w:t xml:space="preserve">(approximated by total revenues divided by total energy </w:t>
      </w:r>
      <w:r w:rsidR="006A041A" w:rsidRPr="00AF28E4">
        <w:t>demand forecast</w:t>
      </w:r>
      <w:r w:rsidRPr="00AF28E4">
        <w:t>) in nominal and real dollar terms (start of year one).</w:t>
      </w:r>
      <w:r w:rsidR="00345F45" w:rsidRPr="00AF28E4">
        <w:t xml:space="preserve"> </w:t>
      </w:r>
    </w:p>
    <w:p w:rsidR="005120AB" w:rsidRPr="00AF28E4" w:rsidRDefault="005120AB" w:rsidP="005120AB">
      <w:pPr>
        <w:pStyle w:val="AERbodytext"/>
        <w:rPr>
          <w:rStyle w:val="AERtexthighlight"/>
        </w:rPr>
      </w:pPr>
      <w:r w:rsidRPr="00AF28E4">
        <w:t xml:space="preserve">This information is sourced from the </w:t>
      </w:r>
      <w:r w:rsidRPr="00AF28E4">
        <w:rPr>
          <w:rStyle w:val="AERtextbold"/>
        </w:rPr>
        <w:t xml:space="preserve">Revenue summary </w:t>
      </w:r>
      <w:r w:rsidRPr="00AF28E4">
        <w:t>sheet.</w:t>
      </w:r>
    </w:p>
    <w:p w:rsidR="005120AB" w:rsidRPr="00AF28E4" w:rsidRDefault="00AF28E4" w:rsidP="005120AB">
      <w:pPr>
        <w:pStyle w:val="AERbodytext"/>
        <w:rPr>
          <w:rStyle w:val="AERtexthighlight"/>
        </w:rPr>
      </w:pPr>
      <w:r>
        <w:fldChar w:fldCharType="begin"/>
      </w:r>
      <w:r>
        <w:instrText xml:space="preserve"> REF _Ref399401587 \h </w:instrText>
      </w:r>
      <w:r>
        <w:fldChar w:fldCharType="separate"/>
      </w:r>
      <w:r>
        <w:t xml:space="preserve">Figure </w:t>
      </w:r>
      <w:r>
        <w:rPr>
          <w:noProof/>
        </w:rPr>
        <w:t>11</w:t>
      </w:r>
      <w:r>
        <w:fldChar w:fldCharType="end"/>
      </w:r>
      <w:r>
        <w:t xml:space="preserve"> </w:t>
      </w:r>
      <w:r w:rsidR="005120AB" w:rsidRPr="00AF28E4">
        <w:t xml:space="preserve">provides an example of the </w:t>
      </w:r>
      <w:r w:rsidR="005120AB" w:rsidRPr="00AF28E4">
        <w:rPr>
          <w:rStyle w:val="AERtextbold"/>
        </w:rPr>
        <w:t>Chart 2</w:t>
      </w:r>
      <w:r w:rsidR="008D1E28" w:rsidRPr="00AF28E4">
        <w:rPr>
          <w:rStyle w:val="AERtextbold"/>
        </w:rPr>
        <w:t>–</w:t>
      </w:r>
      <w:r w:rsidR="005120AB" w:rsidRPr="00AF28E4">
        <w:rPr>
          <w:rStyle w:val="AERtextbold"/>
        </w:rPr>
        <w:t>Price path</w:t>
      </w:r>
      <w:r w:rsidR="005120AB" w:rsidRPr="00AF28E4">
        <w:t xml:space="preserve"> sheet.</w:t>
      </w:r>
    </w:p>
    <w:p w:rsidR="005120AB" w:rsidRPr="00AF28E4" w:rsidRDefault="00AF28E4" w:rsidP="00AF28E4">
      <w:pPr>
        <w:pStyle w:val="Caption"/>
      </w:pPr>
      <w:bookmarkStart w:id="47" w:name="_Ref399401587"/>
      <w:r>
        <w:t xml:space="preserve">Figure </w:t>
      </w:r>
      <w:r w:rsidR="00CC1EDC">
        <w:fldChar w:fldCharType="begin"/>
      </w:r>
      <w:r w:rsidR="00CC1EDC">
        <w:instrText xml:space="preserve"> SEQ Figure \* ARABIC </w:instrText>
      </w:r>
      <w:r w:rsidR="00CC1EDC">
        <w:fldChar w:fldCharType="separate"/>
      </w:r>
      <w:r w:rsidR="00017432">
        <w:rPr>
          <w:noProof/>
        </w:rPr>
        <w:t>11</w:t>
      </w:r>
      <w:r w:rsidR="00CC1EDC">
        <w:rPr>
          <w:noProof/>
        </w:rPr>
        <w:fldChar w:fldCharType="end"/>
      </w:r>
      <w:bookmarkEnd w:id="47"/>
      <w:r>
        <w:tab/>
      </w:r>
      <w:r w:rsidRPr="00AF28E4">
        <w:t>Chart 2–Price path sheet</w:t>
      </w:r>
      <w:r w:rsidR="008D1E28" w:rsidRPr="00AF28E4">
        <w:tab/>
      </w:r>
    </w:p>
    <w:p w:rsidR="00C54199" w:rsidRPr="00717317" w:rsidRDefault="00F26CDB" w:rsidP="00717317">
      <w:pPr>
        <w:pStyle w:val="AERbodytext"/>
      </w:pPr>
      <w:r w:rsidRPr="00717317">
        <w:rPr>
          <w:noProof/>
          <w:lang w:eastAsia="en-AU"/>
        </w:rPr>
        <w:drawing>
          <wp:inline distT="0" distB="0" distL="0" distR="0" wp14:anchorId="3C1D9C1B" wp14:editId="56FA7CBE">
            <wp:extent cx="5727700" cy="27520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7700" cy="2752090"/>
                    </a:xfrm>
                    <a:prstGeom prst="rect">
                      <a:avLst/>
                    </a:prstGeom>
                    <a:noFill/>
                    <a:ln>
                      <a:noFill/>
                    </a:ln>
                  </pic:spPr>
                </pic:pic>
              </a:graphicData>
            </a:graphic>
          </wp:inline>
        </w:drawing>
      </w:r>
    </w:p>
    <w:p w:rsidR="00D968BF" w:rsidRDefault="00D968BF">
      <w:pPr>
        <w:spacing w:after="0" w:line="240" w:lineRule="auto"/>
        <w:jc w:val="left"/>
        <w:rPr>
          <w:rStyle w:val="AERtexthighlight"/>
          <w:rFonts w:eastAsia="Times New Roman"/>
          <w:b/>
          <w:color w:val="E36C0A"/>
          <w:sz w:val="28"/>
          <w:szCs w:val="26"/>
          <w:shd w:val="clear" w:color="auto" w:fill="auto"/>
        </w:rPr>
      </w:pPr>
      <w:r>
        <w:rPr>
          <w:rStyle w:val="AERtexthighlight"/>
          <w:shd w:val="clear" w:color="auto" w:fill="auto"/>
        </w:rPr>
        <w:br w:type="page"/>
      </w:r>
    </w:p>
    <w:p w:rsidR="00B23774" w:rsidRPr="00CC1EDC" w:rsidRDefault="00CC1EDC" w:rsidP="00CC1EDC">
      <w:pPr>
        <w:pStyle w:val="Heading2"/>
        <w:rPr>
          <w:rStyle w:val="AERtexthighlight"/>
          <w:shd w:val="clear" w:color="auto" w:fill="auto"/>
        </w:rPr>
      </w:pPr>
      <w:bookmarkStart w:id="48" w:name="_Toc400092716"/>
      <w:r w:rsidRPr="00CC1EDC">
        <w:rPr>
          <w:rStyle w:val="AERtexthighlight"/>
          <w:shd w:val="clear" w:color="auto" w:fill="auto"/>
        </w:rPr>
        <w:lastRenderedPageBreak/>
        <w:t>Chart 3—Building b</w:t>
      </w:r>
      <w:r w:rsidR="00B23774" w:rsidRPr="00CC1EDC">
        <w:rPr>
          <w:rStyle w:val="AERtexthighlight"/>
          <w:shd w:val="clear" w:color="auto" w:fill="auto"/>
        </w:rPr>
        <w:t>locks</w:t>
      </w:r>
      <w:bookmarkEnd w:id="48"/>
    </w:p>
    <w:p w:rsidR="005120AB" w:rsidRPr="00017432" w:rsidRDefault="005120AB" w:rsidP="005120AB">
      <w:pPr>
        <w:pStyle w:val="AERbodytext"/>
        <w:rPr>
          <w:rStyle w:val="AERtexthighlight"/>
        </w:rPr>
      </w:pPr>
      <w:r w:rsidRPr="00017432">
        <w:t xml:space="preserve">The </w:t>
      </w:r>
      <w:r w:rsidRPr="00017432">
        <w:rPr>
          <w:rStyle w:val="AERtextbold"/>
        </w:rPr>
        <w:t>Chart 3</w:t>
      </w:r>
      <w:r w:rsidR="008D1E28" w:rsidRPr="00017432">
        <w:rPr>
          <w:rStyle w:val="AERtextbold"/>
        </w:rPr>
        <w:t>–</w:t>
      </w:r>
      <w:r w:rsidR="00CC1EDC">
        <w:rPr>
          <w:rStyle w:val="AERtextbold"/>
        </w:rPr>
        <w:t>Building b</w:t>
      </w:r>
      <w:r w:rsidRPr="00017432">
        <w:rPr>
          <w:rStyle w:val="AERtextbold"/>
        </w:rPr>
        <w:t>locks</w:t>
      </w:r>
      <w:r w:rsidRPr="00017432">
        <w:t xml:space="preserve"> sheet displays the various building block cost components</w:t>
      </w:r>
      <w:r w:rsidR="00345F45" w:rsidRPr="00017432">
        <w:t xml:space="preserve"> making up the ABBRR</w:t>
      </w:r>
      <w:r w:rsidRPr="00017432">
        <w:t>:</w:t>
      </w:r>
    </w:p>
    <w:p w:rsidR="005120AB" w:rsidRPr="00017432" w:rsidRDefault="0064379D" w:rsidP="00017432">
      <w:pPr>
        <w:pStyle w:val="AERbulletlistfirststyle"/>
      </w:pPr>
      <w:r w:rsidRPr="00017432">
        <w:t xml:space="preserve">return on capital </w:t>
      </w:r>
    </w:p>
    <w:p w:rsidR="005120AB" w:rsidRPr="00017432" w:rsidRDefault="005120AB" w:rsidP="00017432">
      <w:pPr>
        <w:pStyle w:val="AERbulletlistfirststyle"/>
      </w:pPr>
      <w:r w:rsidRPr="00017432">
        <w:t>regulatory depreciation</w:t>
      </w:r>
    </w:p>
    <w:p w:rsidR="005120AB" w:rsidRPr="00017432" w:rsidRDefault="005120AB" w:rsidP="00017432">
      <w:pPr>
        <w:pStyle w:val="AERbulletlistfirststyle"/>
      </w:pPr>
      <w:proofErr w:type="spellStart"/>
      <w:r w:rsidRPr="00017432">
        <w:t>opex</w:t>
      </w:r>
      <w:proofErr w:type="spellEnd"/>
      <w:r w:rsidRPr="00017432">
        <w:t xml:space="preserve"> (excluding any carry-over amounts)</w:t>
      </w:r>
    </w:p>
    <w:p w:rsidR="0064379D" w:rsidRDefault="0064379D" w:rsidP="00017432">
      <w:pPr>
        <w:pStyle w:val="AERbulletlistfirststyle"/>
      </w:pPr>
      <w:r w:rsidRPr="00017432">
        <w:t xml:space="preserve">net tax costs </w:t>
      </w:r>
    </w:p>
    <w:p w:rsidR="005120AB" w:rsidRPr="00017432" w:rsidRDefault="005120AB" w:rsidP="00017432">
      <w:pPr>
        <w:pStyle w:val="AERbulletlistfirststyle"/>
      </w:pPr>
      <w:proofErr w:type="gramStart"/>
      <w:r w:rsidRPr="00017432">
        <w:t>carry-over</w:t>
      </w:r>
      <w:proofErr w:type="gramEnd"/>
      <w:r w:rsidRPr="00017432">
        <w:t xml:space="preserve"> and other revenue adjustments. </w:t>
      </w:r>
    </w:p>
    <w:p w:rsidR="005120AB" w:rsidRPr="00017432" w:rsidRDefault="005120AB" w:rsidP="005120AB">
      <w:pPr>
        <w:pStyle w:val="AERbodytext"/>
        <w:rPr>
          <w:rStyle w:val="AERtexthighlight"/>
        </w:rPr>
      </w:pPr>
      <w:r w:rsidRPr="00017432">
        <w:t xml:space="preserve">This information is sourced from the </w:t>
      </w:r>
      <w:r w:rsidRPr="00017432">
        <w:rPr>
          <w:rStyle w:val="AERtextbold"/>
        </w:rPr>
        <w:t>Analysis</w:t>
      </w:r>
      <w:r w:rsidRPr="00017432">
        <w:t xml:space="preserve"> sheet. </w:t>
      </w:r>
    </w:p>
    <w:p w:rsidR="005120AB" w:rsidRPr="00017432" w:rsidRDefault="00017432" w:rsidP="005120AB">
      <w:pPr>
        <w:pStyle w:val="AERbodytext"/>
        <w:rPr>
          <w:rStyle w:val="AERtexthighlight"/>
        </w:rPr>
      </w:pPr>
      <w:r>
        <w:fldChar w:fldCharType="begin"/>
      </w:r>
      <w:r>
        <w:instrText xml:space="preserve"> REF _Ref399401699 \h </w:instrText>
      </w:r>
      <w:r>
        <w:fldChar w:fldCharType="separate"/>
      </w:r>
      <w:r>
        <w:t xml:space="preserve">Figure </w:t>
      </w:r>
      <w:r>
        <w:rPr>
          <w:noProof/>
        </w:rPr>
        <w:t>12</w:t>
      </w:r>
      <w:r>
        <w:fldChar w:fldCharType="end"/>
      </w:r>
      <w:r>
        <w:t xml:space="preserve"> </w:t>
      </w:r>
      <w:r w:rsidR="005120AB" w:rsidRPr="00017432">
        <w:t xml:space="preserve">provides an example of the </w:t>
      </w:r>
      <w:r w:rsidR="005120AB" w:rsidRPr="00017432">
        <w:rPr>
          <w:rStyle w:val="AERtextbold"/>
        </w:rPr>
        <w:t>Chart 3</w:t>
      </w:r>
      <w:r w:rsidR="005120AB" w:rsidRPr="00017432">
        <w:rPr>
          <w:rStyle w:val="AERtextbold"/>
          <w:rFonts w:hint="eastAsia"/>
        </w:rPr>
        <w:t>–</w:t>
      </w:r>
      <w:r w:rsidR="005120AB" w:rsidRPr="00017432">
        <w:rPr>
          <w:rStyle w:val="AERtextbold"/>
        </w:rPr>
        <w:t>Building blocks</w:t>
      </w:r>
      <w:r w:rsidR="005120AB" w:rsidRPr="00017432">
        <w:t xml:space="preserve"> sheet.</w:t>
      </w:r>
    </w:p>
    <w:p w:rsidR="00351411" w:rsidRPr="00017432" w:rsidRDefault="00017432" w:rsidP="00017432">
      <w:pPr>
        <w:pStyle w:val="Caption"/>
      </w:pPr>
      <w:bookmarkStart w:id="49" w:name="_Ref399401699"/>
      <w:r>
        <w:t xml:space="preserve">Figure </w:t>
      </w:r>
      <w:r w:rsidR="00CC1EDC">
        <w:fldChar w:fldCharType="begin"/>
      </w:r>
      <w:r w:rsidR="00CC1EDC">
        <w:instrText xml:space="preserve"> SEQ Figure \* ARABIC </w:instrText>
      </w:r>
      <w:r w:rsidR="00CC1EDC">
        <w:fldChar w:fldCharType="separate"/>
      </w:r>
      <w:r>
        <w:rPr>
          <w:noProof/>
        </w:rPr>
        <w:t>12</w:t>
      </w:r>
      <w:r w:rsidR="00CC1EDC">
        <w:rPr>
          <w:noProof/>
        </w:rPr>
        <w:fldChar w:fldCharType="end"/>
      </w:r>
      <w:bookmarkEnd w:id="49"/>
      <w:r>
        <w:tab/>
      </w:r>
      <w:r w:rsidRPr="00017432">
        <w:t xml:space="preserve">Chart </w:t>
      </w:r>
      <w:r w:rsidR="00CC1EDC">
        <w:t>3–Building b</w:t>
      </w:r>
      <w:bookmarkStart w:id="50" w:name="_GoBack"/>
      <w:bookmarkEnd w:id="50"/>
      <w:r w:rsidRPr="00017432">
        <w:t>locks sheet</w:t>
      </w:r>
    </w:p>
    <w:p w:rsidR="00F26CDB" w:rsidRPr="00717317" w:rsidRDefault="008101DD" w:rsidP="00717317">
      <w:pPr>
        <w:pStyle w:val="AERbodytext"/>
      </w:pPr>
      <w:r w:rsidRPr="00717317">
        <w:rPr>
          <w:noProof/>
          <w:lang w:eastAsia="en-AU"/>
        </w:rPr>
        <w:drawing>
          <wp:inline distT="0" distB="0" distL="0" distR="0" wp14:anchorId="0D8ADC11" wp14:editId="23294162">
            <wp:extent cx="5727700" cy="27603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7700" cy="2760345"/>
                    </a:xfrm>
                    <a:prstGeom prst="rect">
                      <a:avLst/>
                    </a:prstGeom>
                    <a:noFill/>
                    <a:ln>
                      <a:noFill/>
                    </a:ln>
                  </pic:spPr>
                </pic:pic>
              </a:graphicData>
            </a:graphic>
          </wp:inline>
        </w:drawing>
      </w:r>
    </w:p>
    <w:p w:rsidR="005120AB" w:rsidRPr="005120AB" w:rsidRDefault="005120AB" w:rsidP="005120AB">
      <w:pPr>
        <w:pStyle w:val="AERbodytext"/>
      </w:pPr>
    </w:p>
    <w:p w:rsidR="005854EF" w:rsidRPr="00717317" w:rsidRDefault="00B23774" w:rsidP="00B23774">
      <w:pPr>
        <w:pStyle w:val="Heading1"/>
        <w:rPr>
          <w:rStyle w:val="AERtexthighlight"/>
        </w:rPr>
      </w:pPr>
      <w:bookmarkStart w:id="51" w:name="_Toc400092717"/>
      <w:r w:rsidRPr="00717317">
        <w:rPr>
          <w:rStyle w:val="AERtexthighlight"/>
        </w:rPr>
        <w:lastRenderedPageBreak/>
        <w:t xml:space="preserve">Process for annual </w:t>
      </w:r>
      <w:r w:rsidR="00A824F2" w:rsidRPr="00717317">
        <w:rPr>
          <w:rStyle w:val="AERtexthighlight"/>
        </w:rPr>
        <w:t>return on</w:t>
      </w:r>
      <w:r w:rsidRPr="00717317">
        <w:rPr>
          <w:rStyle w:val="AERtexthighlight"/>
        </w:rPr>
        <w:t xml:space="preserve"> debt update</w:t>
      </w:r>
      <w:bookmarkEnd w:id="51"/>
    </w:p>
    <w:p w:rsidR="00E73513" w:rsidRPr="00D00A02" w:rsidRDefault="00E73513" w:rsidP="00E73513">
      <w:pPr>
        <w:pStyle w:val="AERbodytext"/>
        <w:rPr>
          <w:rStyle w:val="AERtexthighlight"/>
        </w:rPr>
      </w:pPr>
      <w:r w:rsidRPr="00D00A02">
        <w:rPr>
          <w:rStyle w:val="AERtexthighlight"/>
        </w:rPr>
        <w:t>This section sets out the default process to set X</w:t>
      </w:r>
      <w:r w:rsidR="00090CD3">
        <w:rPr>
          <w:rStyle w:val="AERtexthighlight"/>
        </w:rPr>
        <w:t xml:space="preserve"> </w:t>
      </w:r>
      <w:r w:rsidRPr="00D00A02">
        <w:rPr>
          <w:rStyle w:val="AERtexthighlight"/>
        </w:rPr>
        <w:t xml:space="preserve">factors at the time of the </w:t>
      </w:r>
      <w:r w:rsidR="00090CD3">
        <w:rPr>
          <w:rStyle w:val="AERtexthighlight"/>
        </w:rPr>
        <w:t xml:space="preserve">final </w:t>
      </w:r>
      <w:r w:rsidRPr="00D00A02">
        <w:rPr>
          <w:rStyle w:val="AERtexthighlight"/>
        </w:rPr>
        <w:t>decision, and the default process for annual updates</w:t>
      </w:r>
      <w:r w:rsidR="00090CD3">
        <w:rPr>
          <w:rStyle w:val="AERtexthighlight"/>
        </w:rPr>
        <w:t xml:space="preserve"> of the return on debt</w:t>
      </w:r>
      <w:r w:rsidRPr="00D00A02">
        <w:rPr>
          <w:rStyle w:val="AERtexthighlight"/>
        </w:rPr>
        <w:t xml:space="preserve">. Some aspects of this approach will be guided by policy decisions to be made during individual determinations. However, following the process set out below </w:t>
      </w:r>
      <w:r w:rsidR="00090CD3">
        <w:rPr>
          <w:rStyle w:val="AERtexthighlight"/>
        </w:rPr>
        <w:t xml:space="preserve">will </w:t>
      </w:r>
      <w:r w:rsidRPr="00D00A02">
        <w:rPr>
          <w:rStyle w:val="AERtexthighlight"/>
        </w:rPr>
        <w:t xml:space="preserve">likely </w:t>
      </w:r>
      <w:r w:rsidR="00090CD3">
        <w:rPr>
          <w:rStyle w:val="AERtexthighlight"/>
        </w:rPr>
        <w:t xml:space="preserve">result in </w:t>
      </w:r>
      <w:r w:rsidRPr="00D00A02">
        <w:rPr>
          <w:rStyle w:val="AERtexthighlight"/>
        </w:rPr>
        <w:t>the basis for calculations</w:t>
      </w:r>
      <w:r w:rsidR="00090CD3">
        <w:rPr>
          <w:rStyle w:val="AERtexthighlight"/>
        </w:rPr>
        <w:t xml:space="preserve"> that is consistent with the requirements of clause</w:t>
      </w:r>
      <w:r w:rsidR="00091E28">
        <w:rPr>
          <w:rStyle w:val="AERtexthighlight"/>
        </w:rPr>
        <w:t>s</w:t>
      </w:r>
      <w:r w:rsidR="00090CD3">
        <w:rPr>
          <w:rStyle w:val="AERtexthighlight"/>
        </w:rPr>
        <w:t xml:space="preserve"> </w:t>
      </w:r>
      <w:proofErr w:type="gramStart"/>
      <w:r w:rsidR="00090CD3">
        <w:rPr>
          <w:rStyle w:val="AERtexthighlight"/>
        </w:rPr>
        <w:t>6A.</w:t>
      </w:r>
      <w:r w:rsidR="00091E28">
        <w:rPr>
          <w:rStyle w:val="AERtexthighlight"/>
        </w:rPr>
        <w:t>6.2(</w:t>
      </w:r>
      <w:proofErr w:type="gramEnd"/>
      <w:r w:rsidR="00091E28">
        <w:rPr>
          <w:rStyle w:val="AERtexthighlight"/>
        </w:rPr>
        <w:t xml:space="preserve">h)–(l) of </w:t>
      </w:r>
      <w:r w:rsidR="00090CD3">
        <w:rPr>
          <w:rStyle w:val="AERtexthighlight"/>
        </w:rPr>
        <w:t>the NER</w:t>
      </w:r>
      <w:r w:rsidRPr="00D00A02">
        <w:rPr>
          <w:rStyle w:val="AERtexthighlight"/>
        </w:rPr>
        <w:t>.</w:t>
      </w:r>
    </w:p>
    <w:p w:rsidR="00E73513" w:rsidRPr="00D00A02" w:rsidRDefault="008D1E28" w:rsidP="00E73513">
      <w:pPr>
        <w:pStyle w:val="Heading2"/>
        <w:rPr>
          <w:rStyle w:val="AERtexthighlight"/>
        </w:rPr>
      </w:pPr>
      <w:bookmarkStart w:id="52" w:name="_Toc400092718"/>
      <w:r>
        <w:rPr>
          <w:rStyle w:val="AERtexthighlight"/>
        </w:rPr>
        <w:t xml:space="preserve">Setting X </w:t>
      </w:r>
      <w:r w:rsidR="00E73513" w:rsidRPr="00D00A02">
        <w:rPr>
          <w:rStyle w:val="AERtexthighlight"/>
        </w:rPr>
        <w:t xml:space="preserve">factors </w:t>
      </w:r>
      <w:r w:rsidR="00091E28">
        <w:rPr>
          <w:rStyle w:val="AERtexthighlight"/>
        </w:rPr>
        <w:t>for</w:t>
      </w:r>
      <w:r w:rsidR="00091E28" w:rsidRPr="00D00A02">
        <w:rPr>
          <w:rStyle w:val="AERtexthighlight"/>
        </w:rPr>
        <w:t xml:space="preserve"> </w:t>
      </w:r>
      <w:r w:rsidR="00E73513" w:rsidRPr="00D00A02">
        <w:rPr>
          <w:rStyle w:val="AERtexthighlight"/>
        </w:rPr>
        <w:t>the final decision</w:t>
      </w:r>
      <w:r w:rsidR="00091E28">
        <w:rPr>
          <w:rStyle w:val="AERtexthighlight"/>
        </w:rPr>
        <w:t xml:space="preserve"> before the start of the regulatory control period</w:t>
      </w:r>
      <w:bookmarkEnd w:id="52"/>
    </w:p>
    <w:p w:rsidR="00E73513" w:rsidRPr="00717317" w:rsidRDefault="00E73513" w:rsidP="00E73513">
      <w:pPr>
        <w:pStyle w:val="AERnumberedlistfirststyle"/>
        <w:rPr>
          <w:rStyle w:val="AERtexthighlight"/>
          <w:highlight w:val="yellow"/>
        </w:rPr>
      </w:pPr>
      <w:r w:rsidRPr="00D00A02">
        <w:rPr>
          <w:rStyle w:val="AERtexthighlight"/>
        </w:rPr>
        <w:t>Comple</w:t>
      </w:r>
      <w:r w:rsidR="0035506F" w:rsidRPr="00D00A02">
        <w:rPr>
          <w:rStyle w:val="AERtexthighlight"/>
        </w:rPr>
        <w:t xml:space="preserve">te all inputs in the </w:t>
      </w:r>
      <w:r w:rsidR="0035506F" w:rsidRPr="00717317">
        <w:rPr>
          <w:rStyle w:val="AERtextbold"/>
          <w:highlight w:val="yellow"/>
        </w:rPr>
        <w:t>Input</w:t>
      </w:r>
      <w:r w:rsidR="0035506F" w:rsidRPr="00717317">
        <w:rPr>
          <w:rStyle w:val="AERtexthighlight"/>
          <w:highlight w:val="yellow"/>
        </w:rPr>
        <w:t xml:space="preserve"> </w:t>
      </w:r>
      <w:r w:rsidRPr="00717317">
        <w:rPr>
          <w:rStyle w:val="AERtexthighlight"/>
          <w:highlight w:val="yellow"/>
        </w:rPr>
        <w:t xml:space="preserve">sheet. This requires a trailing average portfolio </w:t>
      </w:r>
      <w:r w:rsidR="00A824F2">
        <w:rPr>
          <w:rStyle w:val="AERtexthighlight"/>
          <w:highlight w:val="yellow"/>
        </w:rPr>
        <w:t>return on</w:t>
      </w:r>
      <w:r w:rsidRPr="00717317">
        <w:rPr>
          <w:rStyle w:val="AERtexthighlight"/>
          <w:highlight w:val="yellow"/>
        </w:rPr>
        <w:t xml:space="preserve"> debt value only in G4</w:t>
      </w:r>
      <w:r w:rsidR="00576A5D" w:rsidRPr="00717317">
        <w:rPr>
          <w:rStyle w:val="AERtexthighlight"/>
          <w:highlight w:val="yellow"/>
        </w:rPr>
        <w:t>12</w:t>
      </w:r>
      <w:r w:rsidRPr="00717317">
        <w:rPr>
          <w:rStyle w:val="AERtexthighlight"/>
          <w:highlight w:val="yellow"/>
        </w:rPr>
        <w:t>.</w:t>
      </w:r>
      <w:r w:rsidR="00576A5D" w:rsidRPr="00717317">
        <w:rPr>
          <w:rStyle w:val="FootnoteReference"/>
          <w:highlight w:val="yellow"/>
          <w:shd w:val="clear" w:color="auto" w:fill="FFFF00"/>
        </w:rPr>
        <w:footnoteReference w:id="21"/>
      </w:r>
      <w:r w:rsidRPr="00717317">
        <w:rPr>
          <w:rStyle w:val="AERtexthighlight"/>
          <w:highlight w:val="yellow"/>
        </w:rPr>
        <w:t xml:space="preserve"> </w:t>
      </w:r>
      <w:r w:rsidR="00576A5D" w:rsidRPr="00717317">
        <w:rPr>
          <w:rStyle w:val="AERtexthighlight"/>
          <w:highlight w:val="yellow"/>
        </w:rPr>
        <w:t xml:space="preserve">By default, the PTRM </w:t>
      </w:r>
      <w:r w:rsidR="00A824F2">
        <w:rPr>
          <w:rStyle w:val="AERtexthighlight"/>
          <w:highlight w:val="yellow"/>
        </w:rPr>
        <w:t>approach adopts</w:t>
      </w:r>
      <w:r w:rsidR="00576A5D" w:rsidRPr="00717317">
        <w:rPr>
          <w:rStyle w:val="AERtexthighlight"/>
          <w:highlight w:val="yellow"/>
        </w:rPr>
        <w:t xml:space="preserve"> the most recent trailing average portfolio </w:t>
      </w:r>
      <w:r w:rsidR="00A824F2">
        <w:rPr>
          <w:rStyle w:val="AERtexthighlight"/>
          <w:highlight w:val="yellow"/>
        </w:rPr>
        <w:t>return on</w:t>
      </w:r>
      <w:r w:rsidR="00576A5D" w:rsidRPr="00717317">
        <w:rPr>
          <w:rStyle w:val="AERtexthighlight"/>
          <w:highlight w:val="yellow"/>
        </w:rPr>
        <w:t xml:space="preserve"> debt </w:t>
      </w:r>
      <w:r w:rsidR="00A824F2">
        <w:rPr>
          <w:rStyle w:val="AERtexthighlight"/>
          <w:highlight w:val="yellow"/>
        </w:rPr>
        <w:t xml:space="preserve">that </w:t>
      </w:r>
      <w:r w:rsidR="00576A5D" w:rsidRPr="00717317">
        <w:rPr>
          <w:rStyle w:val="AERtexthighlight"/>
          <w:highlight w:val="yellow"/>
        </w:rPr>
        <w:t>is</w:t>
      </w:r>
      <w:r w:rsidR="00A824F2">
        <w:rPr>
          <w:rStyle w:val="AERtexthighlight"/>
          <w:highlight w:val="yellow"/>
        </w:rPr>
        <w:t xml:space="preserve"> entered,</w:t>
      </w:r>
      <w:r w:rsidR="00576A5D" w:rsidRPr="00717317">
        <w:rPr>
          <w:rStyle w:val="AERtexthighlight"/>
          <w:highlight w:val="yellow"/>
        </w:rPr>
        <w:t xml:space="preserve"> where there is no </w:t>
      </w:r>
      <w:r w:rsidR="00A824F2">
        <w:rPr>
          <w:rStyle w:val="AERtexthighlight"/>
          <w:highlight w:val="yellow"/>
        </w:rPr>
        <w:t>further</w:t>
      </w:r>
      <w:r w:rsidR="00576A5D" w:rsidRPr="00717317">
        <w:rPr>
          <w:rStyle w:val="AERtexthighlight"/>
          <w:highlight w:val="yellow"/>
        </w:rPr>
        <w:t xml:space="preserve"> forecast</w:t>
      </w:r>
      <w:r w:rsidR="00A824F2">
        <w:rPr>
          <w:rStyle w:val="AERtexthighlight"/>
          <w:highlight w:val="yellow"/>
        </w:rPr>
        <w:t xml:space="preserve"> values</w:t>
      </w:r>
      <w:r w:rsidR="00576A5D" w:rsidRPr="00717317">
        <w:rPr>
          <w:rStyle w:val="AERtexthighlight"/>
          <w:highlight w:val="yellow"/>
        </w:rPr>
        <w:t xml:space="preserve"> entered for </w:t>
      </w:r>
      <w:r w:rsidR="00A824F2">
        <w:rPr>
          <w:rStyle w:val="AERtexthighlight"/>
          <w:highlight w:val="yellow"/>
        </w:rPr>
        <w:t>other</w:t>
      </w:r>
      <w:r w:rsidR="00576A5D" w:rsidRPr="00717317">
        <w:rPr>
          <w:rStyle w:val="AERtexthighlight"/>
          <w:highlight w:val="yellow"/>
        </w:rPr>
        <w:t xml:space="preserve"> year</w:t>
      </w:r>
      <w:r w:rsidR="00A824F2">
        <w:rPr>
          <w:rStyle w:val="AERtexthighlight"/>
          <w:highlight w:val="yellow"/>
        </w:rPr>
        <w:t>s in the regulatory control period.</w:t>
      </w:r>
      <w:r w:rsidR="00576A5D" w:rsidRPr="00717317">
        <w:rPr>
          <w:rStyle w:val="AERtexthighlight"/>
          <w:highlight w:val="yellow"/>
        </w:rPr>
        <w:t xml:space="preserve"> Accordingly, it is not necessary to enter the cost of debt for later years in the regulatory control period </w:t>
      </w:r>
      <w:r w:rsidRPr="00717317">
        <w:rPr>
          <w:rStyle w:val="AERtexthighlight"/>
          <w:highlight w:val="yellow"/>
        </w:rPr>
        <w:t>at this stage.</w:t>
      </w:r>
      <w:r w:rsidR="00576A5D" w:rsidRPr="00717317">
        <w:rPr>
          <w:rStyle w:val="FootnoteReference"/>
          <w:highlight w:val="yellow"/>
          <w:shd w:val="clear" w:color="auto" w:fill="FFFF00"/>
        </w:rPr>
        <w:footnoteReference w:id="22"/>
      </w:r>
    </w:p>
    <w:p w:rsidR="00415CEF" w:rsidRPr="00717317" w:rsidRDefault="0035506F" w:rsidP="005120AB">
      <w:pPr>
        <w:pStyle w:val="AERnumberedlistfirststyle"/>
        <w:rPr>
          <w:rStyle w:val="AERtexthighlight"/>
          <w:highlight w:val="yellow"/>
        </w:rPr>
      </w:pPr>
      <w:r w:rsidRPr="00717317">
        <w:rPr>
          <w:rStyle w:val="AERtexthighlight"/>
          <w:highlight w:val="yellow"/>
        </w:rPr>
        <w:t xml:space="preserve">In the </w:t>
      </w:r>
      <w:r w:rsidRPr="00717317">
        <w:rPr>
          <w:rStyle w:val="AERtextbold"/>
          <w:highlight w:val="yellow"/>
        </w:rPr>
        <w:t>X factors</w:t>
      </w:r>
      <w:r w:rsidRPr="00717317">
        <w:rPr>
          <w:rStyle w:val="AERtexthighlight"/>
          <w:highlight w:val="yellow"/>
        </w:rPr>
        <w:t xml:space="preserve"> sheet, e</w:t>
      </w:r>
      <w:r w:rsidR="00E53506" w:rsidRPr="00717317">
        <w:rPr>
          <w:rStyle w:val="AERtexthighlight"/>
          <w:highlight w:val="yellow"/>
        </w:rPr>
        <w:t>nsure that the</w:t>
      </w:r>
      <w:r w:rsidR="00E73513" w:rsidRPr="00717317">
        <w:rPr>
          <w:rStyle w:val="AERtexthighlight"/>
          <w:highlight w:val="yellow"/>
        </w:rPr>
        <w:t xml:space="preserve"> </w:t>
      </w:r>
      <w:r w:rsidR="00091E28" w:rsidRPr="00717317">
        <w:rPr>
          <w:rStyle w:val="AERtexthighlight"/>
          <w:highlight w:val="yellow"/>
        </w:rPr>
        <w:t xml:space="preserve">equity raising cost </w:t>
      </w:r>
      <w:r w:rsidR="00E73513" w:rsidRPr="00717317">
        <w:rPr>
          <w:rStyle w:val="AERtexthighlight"/>
          <w:highlight w:val="yellow"/>
        </w:rPr>
        <w:t>update option (cel</w:t>
      </w:r>
      <w:r w:rsidR="00576A5D" w:rsidRPr="00717317">
        <w:rPr>
          <w:rStyle w:val="AERtexthighlight"/>
          <w:highlight w:val="yellow"/>
        </w:rPr>
        <w:t>l G16</w:t>
      </w:r>
      <w:r w:rsidR="00E73513" w:rsidRPr="00717317">
        <w:rPr>
          <w:rStyle w:val="AERtexthighlight"/>
          <w:highlight w:val="yellow"/>
        </w:rPr>
        <w:t xml:space="preserve">) </w:t>
      </w:r>
      <w:r w:rsidR="00E53506" w:rsidRPr="00717317">
        <w:rPr>
          <w:rStyle w:val="AERtexthighlight"/>
          <w:highlight w:val="yellow"/>
        </w:rPr>
        <w:t xml:space="preserve">is set </w:t>
      </w:r>
      <w:r w:rsidR="00E73513" w:rsidRPr="00717317">
        <w:rPr>
          <w:rStyle w:val="AERtexthighlight"/>
          <w:highlight w:val="yellow"/>
        </w:rPr>
        <w:t xml:space="preserve">to </w:t>
      </w:r>
      <w:r w:rsidR="00091E28" w:rsidRPr="00717317">
        <w:rPr>
          <w:rStyle w:val="AERtexthighlight"/>
          <w:highlight w:val="yellow"/>
        </w:rPr>
        <w:t>'</w:t>
      </w:r>
      <w:r w:rsidR="00E73513" w:rsidRPr="00717317">
        <w:rPr>
          <w:rStyle w:val="AERtexthighlight"/>
          <w:highlight w:val="yellow"/>
        </w:rPr>
        <w:t>update ERC when smoothing (default)</w:t>
      </w:r>
      <w:r w:rsidR="00091E28" w:rsidRPr="00717317">
        <w:rPr>
          <w:rStyle w:val="AERtexthighlight"/>
          <w:highlight w:val="yellow"/>
        </w:rPr>
        <w:t>'</w:t>
      </w:r>
      <w:r w:rsidR="00E73513" w:rsidRPr="00717317">
        <w:rPr>
          <w:rStyle w:val="AERtexthighlight"/>
          <w:highlight w:val="yellow"/>
        </w:rPr>
        <w:t>.</w:t>
      </w:r>
      <w:r w:rsidR="00C63AD1" w:rsidRPr="00717317">
        <w:rPr>
          <w:rStyle w:val="AERtexthighlight"/>
          <w:highlight w:val="yellow"/>
        </w:rPr>
        <w:t xml:space="preserve"> This will ensure that the equity raising cost calculations are iteratively updated as part of setting the X factors.</w:t>
      </w:r>
      <w:r w:rsidRPr="00717317">
        <w:rPr>
          <w:rStyle w:val="AERsuperscript"/>
          <w:highlight w:val="yellow"/>
        </w:rPr>
        <w:footnoteReference w:id="23"/>
      </w:r>
    </w:p>
    <w:p w:rsidR="00BF68B7" w:rsidRDefault="005120AB" w:rsidP="00E73513">
      <w:pPr>
        <w:pStyle w:val="AERnumberedlistfirststyle"/>
        <w:rPr>
          <w:rStyle w:val="AERtexthighlight"/>
          <w:highlight w:val="yellow"/>
        </w:rPr>
      </w:pPr>
      <w:r w:rsidRPr="00717317">
        <w:rPr>
          <w:rStyle w:val="AERtexthighlight"/>
          <w:highlight w:val="yellow"/>
        </w:rPr>
        <w:t xml:space="preserve">In the </w:t>
      </w:r>
      <w:r w:rsidRPr="00717317">
        <w:rPr>
          <w:rStyle w:val="AERtextbold"/>
          <w:highlight w:val="yellow"/>
        </w:rPr>
        <w:t>X factors</w:t>
      </w:r>
      <w:r w:rsidRPr="00717317">
        <w:rPr>
          <w:rStyle w:val="AERtexthighlight"/>
          <w:highlight w:val="yellow"/>
        </w:rPr>
        <w:t xml:space="preserve"> sheet, check that cell F</w:t>
      </w:r>
      <w:r w:rsidR="008E71A6" w:rsidRPr="00717317">
        <w:rPr>
          <w:rStyle w:val="AERtexthighlight"/>
          <w:highlight w:val="yellow"/>
        </w:rPr>
        <w:t>21</w:t>
      </w:r>
      <w:r w:rsidRPr="00717317">
        <w:rPr>
          <w:rStyle w:val="AERtexthighlight"/>
          <w:highlight w:val="yellow"/>
        </w:rPr>
        <w:t xml:space="preserve"> is set to the first year of the </w:t>
      </w:r>
      <w:r w:rsidR="00C63AD1" w:rsidRPr="00717317">
        <w:rPr>
          <w:rStyle w:val="AERtexthighlight"/>
          <w:highlight w:val="yellow"/>
        </w:rPr>
        <w:t xml:space="preserve">next </w:t>
      </w:r>
      <w:r w:rsidRPr="00717317">
        <w:rPr>
          <w:rStyle w:val="AERtexthighlight"/>
          <w:highlight w:val="yellow"/>
        </w:rPr>
        <w:t xml:space="preserve">regulatory control period. This will ensure the correct checks and warnings </w:t>
      </w:r>
      <w:r w:rsidR="00A824F2">
        <w:rPr>
          <w:rStyle w:val="AERtexthighlight"/>
          <w:highlight w:val="yellow"/>
        </w:rPr>
        <w:t>operate for</w:t>
      </w:r>
      <w:r w:rsidRPr="00717317">
        <w:rPr>
          <w:rStyle w:val="AERtexthighlight"/>
          <w:highlight w:val="yellow"/>
        </w:rPr>
        <w:t xml:space="preserve"> the model.</w:t>
      </w:r>
      <w:r w:rsidR="00BF68B7">
        <w:rPr>
          <w:rStyle w:val="AERtexthighlight"/>
          <w:highlight w:val="yellow"/>
        </w:rPr>
        <w:t xml:space="preserve"> </w:t>
      </w:r>
    </w:p>
    <w:p w:rsidR="00E73513" w:rsidRPr="00717317" w:rsidRDefault="006A7DC6" w:rsidP="00E73513">
      <w:pPr>
        <w:pStyle w:val="AERnumberedlistfirststyle"/>
        <w:rPr>
          <w:rStyle w:val="AERtexthighlight"/>
          <w:highlight w:val="yellow"/>
        </w:rPr>
      </w:pPr>
      <w:r w:rsidRPr="00717317">
        <w:rPr>
          <w:rStyle w:val="AERtexthighlight"/>
          <w:highlight w:val="yellow"/>
        </w:rPr>
        <w:t>I</w:t>
      </w:r>
      <w:r w:rsidR="008E71A6" w:rsidRPr="00717317">
        <w:rPr>
          <w:rStyle w:val="AERtexthighlight"/>
          <w:highlight w:val="yellow"/>
        </w:rPr>
        <w:t xml:space="preserve">n the </w:t>
      </w:r>
      <w:r w:rsidR="008E71A6" w:rsidRPr="00717317">
        <w:rPr>
          <w:rStyle w:val="AERtextbold"/>
          <w:highlight w:val="yellow"/>
        </w:rPr>
        <w:t>X factors</w:t>
      </w:r>
      <w:r w:rsidR="008E71A6" w:rsidRPr="00717317">
        <w:rPr>
          <w:rStyle w:val="AERtexthighlight"/>
          <w:highlight w:val="yellow"/>
        </w:rPr>
        <w:t xml:space="preserve"> sheet, a</w:t>
      </w:r>
      <w:r w:rsidR="00E73513" w:rsidRPr="00717317">
        <w:rPr>
          <w:rStyle w:val="AERtexthighlight"/>
          <w:highlight w:val="yellow"/>
        </w:rPr>
        <w:t xml:space="preserve">pply </w:t>
      </w:r>
      <w:r w:rsidR="00A824F2">
        <w:rPr>
          <w:rStyle w:val="AERtexthighlight"/>
          <w:highlight w:val="yellow"/>
        </w:rPr>
        <w:t xml:space="preserve">revenue </w:t>
      </w:r>
      <w:r w:rsidR="00E73513" w:rsidRPr="00717317">
        <w:rPr>
          <w:rStyle w:val="AERtexthighlight"/>
          <w:highlight w:val="yellow"/>
        </w:rPr>
        <w:t>smoothing:</w:t>
      </w:r>
    </w:p>
    <w:p w:rsidR="00E73513" w:rsidRPr="00717317" w:rsidRDefault="00E73513" w:rsidP="001E0D7C">
      <w:pPr>
        <w:pStyle w:val="AERnumberedlistsecondstyle"/>
        <w:rPr>
          <w:rStyle w:val="AERtexthighlight"/>
          <w:highlight w:val="yellow"/>
        </w:rPr>
      </w:pPr>
      <w:r w:rsidRPr="00717317">
        <w:rPr>
          <w:rStyle w:val="AERtexthighlight"/>
          <w:highlight w:val="yellow"/>
        </w:rPr>
        <w:t xml:space="preserve">If </w:t>
      </w:r>
      <w:r w:rsidR="001E0D7C" w:rsidRPr="00717317">
        <w:rPr>
          <w:rStyle w:val="AERtexthighlight"/>
          <w:highlight w:val="yellow"/>
        </w:rPr>
        <w:t>applying the</w:t>
      </w:r>
      <w:r w:rsidRPr="00717317">
        <w:rPr>
          <w:rStyle w:val="AERtexthighlight"/>
          <w:highlight w:val="yellow"/>
        </w:rPr>
        <w:t xml:space="preserve"> default X</w:t>
      </w:r>
      <w:r w:rsidR="00C63AD1" w:rsidRPr="00717317">
        <w:rPr>
          <w:rStyle w:val="AERtexthighlight"/>
          <w:highlight w:val="yellow"/>
        </w:rPr>
        <w:t xml:space="preserve"> </w:t>
      </w:r>
      <w:r w:rsidRPr="00717317">
        <w:rPr>
          <w:rStyle w:val="AERtexthighlight"/>
          <w:highlight w:val="yellow"/>
        </w:rPr>
        <w:t>factor path (</w:t>
      </w:r>
      <w:r w:rsidR="00C63AD1" w:rsidRPr="00717317">
        <w:rPr>
          <w:rStyle w:val="AERtexthighlight"/>
          <w:highlight w:val="yellow"/>
        </w:rPr>
        <w:t>y</w:t>
      </w:r>
      <w:r w:rsidR="008E71A6" w:rsidRPr="00717317">
        <w:rPr>
          <w:rStyle w:val="AERtexthighlight"/>
          <w:highlight w:val="yellow"/>
        </w:rPr>
        <w:t xml:space="preserve">ear 1 ABBRR = </w:t>
      </w:r>
      <w:r w:rsidR="00C63AD1" w:rsidRPr="00717317">
        <w:rPr>
          <w:rStyle w:val="AERtexthighlight"/>
          <w:highlight w:val="yellow"/>
        </w:rPr>
        <w:t>y</w:t>
      </w:r>
      <w:r w:rsidR="008E71A6" w:rsidRPr="00717317">
        <w:rPr>
          <w:rStyle w:val="AERtexthighlight"/>
          <w:highlight w:val="yellow"/>
        </w:rPr>
        <w:t xml:space="preserve">ear 1 MAR; </w:t>
      </w:r>
      <w:r w:rsidRPr="00717317">
        <w:rPr>
          <w:rStyle w:val="AERtexthighlight"/>
          <w:highlight w:val="yellow"/>
        </w:rPr>
        <w:t>X2=X3=X4=X5</w:t>
      </w:r>
      <w:r w:rsidR="008E71A6" w:rsidRPr="00717317">
        <w:rPr>
          <w:rStyle w:val="AERtexthighlight"/>
          <w:highlight w:val="yellow"/>
        </w:rPr>
        <w:t xml:space="preserve">; </w:t>
      </w:r>
      <w:proofErr w:type="gramStart"/>
      <w:r w:rsidR="008E71A6" w:rsidRPr="00717317">
        <w:rPr>
          <w:rStyle w:val="AERtexthighlight"/>
          <w:highlight w:val="yellow"/>
        </w:rPr>
        <w:t>NPV(</w:t>
      </w:r>
      <w:proofErr w:type="gramEnd"/>
      <w:r w:rsidR="008E71A6" w:rsidRPr="00717317">
        <w:rPr>
          <w:rStyle w:val="AERtexthighlight"/>
          <w:highlight w:val="yellow"/>
        </w:rPr>
        <w:t>ABBRR) = NPV(MAR)</w:t>
      </w:r>
      <w:r w:rsidRPr="00717317">
        <w:rPr>
          <w:rStyle w:val="AERtexthighlight"/>
          <w:highlight w:val="yellow"/>
        </w:rPr>
        <w:t xml:space="preserve">), </w:t>
      </w:r>
      <w:r w:rsidR="001E0D7C" w:rsidRPr="00717317">
        <w:rPr>
          <w:rStyle w:val="AERtexthighlight"/>
          <w:highlight w:val="yellow"/>
        </w:rPr>
        <w:t>press</w:t>
      </w:r>
      <w:r w:rsidRPr="00717317">
        <w:rPr>
          <w:rStyle w:val="AERtexthighlight"/>
          <w:highlight w:val="yellow"/>
        </w:rPr>
        <w:t xml:space="preserve"> the button labelled </w:t>
      </w:r>
      <w:r w:rsidR="00717317" w:rsidRPr="00717317">
        <w:rPr>
          <w:rStyle w:val="AERtexthighlight"/>
          <w:highlight w:val="yellow"/>
        </w:rPr>
        <w:t>'</w:t>
      </w:r>
      <w:r w:rsidR="006A7DC6" w:rsidRPr="00717317">
        <w:rPr>
          <w:rStyle w:val="AERtexthighlight"/>
          <w:highlight w:val="yellow"/>
        </w:rPr>
        <w:t>A</w:t>
      </w:r>
      <w:r w:rsidRPr="00717317">
        <w:rPr>
          <w:rStyle w:val="AERtexthighlight"/>
          <w:highlight w:val="yellow"/>
        </w:rPr>
        <w:t>pply default smoothing</w:t>
      </w:r>
      <w:r w:rsidR="00717317" w:rsidRPr="00717317">
        <w:rPr>
          <w:rStyle w:val="AERtexthighlight"/>
          <w:highlight w:val="yellow"/>
        </w:rPr>
        <w:t>'</w:t>
      </w:r>
      <w:r w:rsidRPr="00717317">
        <w:rPr>
          <w:rStyle w:val="AERtexthighlight"/>
          <w:highlight w:val="yellow"/>
        </w:rPr>
        <w:t>.</w:t>
      </w:r>
    </w:p>
    <w:p w:rsidR="00E73513" w:rsidRPr="00717317" w:rsidRDefault="00E73513" w:rsidP="001E0D7C">
      <w:pPr>
        <w:pStyle w:val="AERnumberedlistsecondstyle"/>
        <w:rPr>
          <w:rStyle w:val="AERtexthighlight"/>
          <w:highlight w:val="yellow"/>
        </w:rPr>
      </w:pPr>
      <w:r w:rsidRPr="00717317">
        <w:rPr>
          <w:rStyle w:val="AERtexthighlight"/>
          <w:highlight w:val="yellow"/>
        </w:rPr>
        <w:t xml:space="preserve">If </w:t>
      </w:r>
      <w:r w:rsidR="001E0D7C" w:rsidRPr="00717317">
        <w:rPr>
          <w:rStyle w:val="AERtexthighlight"/>
          <w:highlight w:val="yellow"/>
        </w:rPr>
        <w:t>applying an</w:t>
      </w:r>
      <w:r w:rsidRPr="00717317">
        <w:rPr>
          <w:rStyle w:val="AERtexthighlight"/>
          <w:highlight w:val="yellow"/>
        </w:rPr>
        <w:t xml:space="preserve"> alternative smoothing path, manually enter values for </w:t>
      </w:r>
      <w:r w:rsidR="008E71A6" w:rsidRPr="00717317">
        <w:rPr>
          <w:rStyle w:val="AERtexthighlight"/>
          <w:highlight w:val="yellow"/>
        </w:rPr>
        <w:t xml:space="preserve">all X factors </w:t>
      </w:r>
      <w:r w:rsidRPr="00717317">
        <w:rPr>
          <w:rStyle w:val="AERtexthighlight"/>
          <w:highlight w:val="yellow"/>
        </w:rPr>
        <w:t xml:space="preserve">(cells </w:t>
      </w:r>
      <w:r w:rsidR="008E71A6" w:rsidRPr="00717317">
        <w:rPr>
          <w:rStyle w:val="AERtexthighlight"/>
          <w:highlight w:val="yellow"/>
        </w:rPr>
        <w:t xml:space="preserve">G47:P47) except one, </w:t>
      </w:r>
      <w:r w:rsidRPr="00717317">
        <w:rPr>
          <w:rStyle w:val="AERtexthighlight"/>
          <w:highlight w:val="yellow"/>
        </w:rPr>
        <w:t xml:space="preserve">then </w:t>
      </w:r>
      <w:r w:rsidR="001E0D7C" w:rsidRPr="00717317">
        <w:rPr>
          <w:rStyle w:val="AERtexthighlight"/>
          <w:highlight w:val="yellow"/>
        </w:rPr>
        <w:t>press</w:t>
      </w:r>
      <w:r w:rsidRPr="00717317">
        <w:rPr>
          <w:rStyle w:val="AERtexthighlight"/>
          <w:highlight w:val="yellow"/>
        </w:rPr>
        <w:t xml:space="preserve"> the </w:t>
      </w:r>
      <w:r w:rsidR="00652B51">
        <w:rPr>
          <w:rStyle w:val="AERtexthighlight"/>
          <w:highlight w:val="yellow"/>
        </w:rPr>
        <w:t xml:space="preserve">relevant </w:t>
      </w:r>
      <w:r w:rsidRPr="00717317">
        <w:rPr>
          <w:rStyle w:val="AERtexthighlight"/>
          <w:highlight w:val="yellow"/>
        </w:rPr>
        <w:t xml:space="preserve">button </w:t>
      </w:r>
      <w:r w:rsidR="008E71A6" w:rsidRPr="00717317">
        <w:rPr>
          <w:rStyle w:val="AERtexthighlight"/>
          <w:highlight w:val="yellow"/>
        </w:rPr>
        <w:t xml:space="preserve">to calculate the final remaining X factor (so that </w:t>
      </w:r>
      <w:proofErr w:type="gramStart"/>
      <w:r w:rsidR="008E71A6" w:rsidRPr="00717317">
        <w:rPr>
          <w:rStyle w:val="AERtexthighlight"/>
          <w:highlight w:val="yellow"/>
        </w:rPr>
        <w:t>NPV(</w:t>
      </w:r>
      <w:proofErr w:type="gramEnd"/>
      <w:r w:rsidR="008E71A6" w:rsidRPr="00717317">
        <w:rPr>
          <w:rStyle w:val="AERtexthighlight"/>
          <w:highlight w:val="yellow"/>
        </w:rPr>
        <w:t>ABBRR) = NPV(MAR))</w:t>
      </w:r>
      <w:r w:rsidRPr="00717317">
        <w:rPr>
          <w:rStyle w:val="AERtexthighlight"/>
          <w:highlight w:val="yellow"/>
        </w:rPr>
        <w:t>.</w:t>
      </w:r>
      <w:r w:rsidR="008E71A6" w:rsidRPr="00717317">
        <w:rPr>
          <w:rStyle w:val="AERtexthighlight"/>
          <w:highlight w:val="yellow"/>
        </w:rPr>
        <w:t xml:space="preserve"> This final X factor can be any of the X factors in the regulatory control period (including the first year, which is also labelled as 'P0')</w:t>
      </w:r>
    </w:p>
    <w:p w:rsidR="00B67E7B" w:rsidRPr="00717317" w:rsidRDefault="00B67E7B" w:rsidP="001E0D7C">
      <w:pPr>
        <w:pStyle w:val="AERnumberedlistsecondstyle"/>
        <w:rPr>
          <w:rStyle w:val="AERtexthighlight"/>
          <w:highlight w:val="yellow"/>
        </w:rPr>
      </w:pPr>
      <w:r w:rsidRPr="00717317">
        <w:rPr>
          <w:rStyle w:val="AERtexthighlight"/>
          <w:highlight w:val="yellow"/>
        </w:rPr>
        <w:t xml:space="preserve">In either case, it is necessary to consider the resulting difference between </w:t>
      </w:r>
      <w:r w:rsidR="00BF68B7">
        <w:rPr>
          <w:rStyle w:val="AERtexthighlight"/>
          <w:highlight w:val="yellow"/>
        </w:rPr>
        <w:t xml:space="preserve">the </w:t>
      </w:r>
      <w:r w:rsidRPr="00717317">
        <w:rPr>
          <w:rStyle w:val="AERtexthighlight"/>
          <w:highlight w:val="yellow"/>
        </w:rPr>
        <w:t xml:space="preserve">final year ABBRR and MAR (shown in cells R41 and R42). If this difference would not meet the requirements of NER clause 6A.6.8, return to step (b) and manually adjust one or more X factors again (ensuring that the final X factor adjustment uses the relevant button so as to jointly smooth </w:t>
      </w:r>
      <w:r w:rsidR="00DB1148" w:rsidRPr="00717317">
        <w:rPr>
          <w:rStyle w:val="AERtexthighlight"/>
          <w:highlight w:val="yellow"/>
        </w:rPr>
        <w:t xml:space="preserve">the </w:t>
      </w:r>
      <w:r w:rsidR="00652B51">
        <w:rPr>
          <w:rStyle w:val="AERtexthighlight"/>
          <w:highlight w:val="yellow"/>
        </w:rPr>
        <w:t>revenue</w:t>
      </w:r>
      <w:r w:rsidRPr="00717317">
        <w:rPr>
          <w:rStyle w:val="AERtexthighlight"/>
          <w:highlight w:val="yellow"/>
        </w:rPr>
        <w:t xml:space="preserve"> and </w:t>
      </w:r>
      <w:r w:rsidR="00DB1148" w:rsidRPr="00717317">
        <w:rPr>
          <w:rStyle w:val="AERtexthighlight"/>
          <w:highlight w:val="yellow"/>
        </w:rPr>
        <w:t>equity raising cost</w:t>
      </w:r>
      <w:r w:rsidR="00652B51">
        <w:rPr>
          <w:rStyle w:val="AERtexthighlight"/>
          <w:highlight w:val="yellow"/>
        </w:rPr>
        <w:t xml:space="preserve"> calculations</w:t>
      </w:r>
      <w:r w:rsidRPr="00717317">
        <w:rPr>
          <w:rStyle w:val="AERtexthighlight"/>
          <w:highlight w:val="yellow"/>
        </w:rPr>
        <w:t>).</w:t>
      </w:r>
    </w:p>
    <w:p w:rsidR="00B67E7B" w:rsidRPr="00717317" w:rsidRDefault="00B67E7B" w:rsidP="00B67E7B">
      <w:pPr>
        <w:pStyle w:val="AERnumberedlistfirststyle"/>
        <w:rPr>
          <w:rStyle w:val="AERtexthighlight"/>
          <w:highlight w:val="yellow"/>
        </w:rPr>
      </w:pPr>
      <w:r w:rsidRPr="00717317">
        <w:rPr>
          <w:rStyle w:val="AERtexthighlight"/>
          <w:highlight w:val="yellow"/>
        </w:rPr>
        <w:t xml:space="preserve">In the </w:t>
      </w:r>
      <w:r w:rsidRPr="00717317">
        <w:rPr>
          <w:rStyle w:val="AERtextbold"/>
          <w:highlight w:val="yellow"/>
        </w:rPr>
        <w:t>WACC</w:t>
      </w:r>
      <w:r w:rsidRPr="00717317">
        <w:rPr>
          <w:rStyle w:val="AERtexthighlight"/>
          <w:highlight w:val="yellow"/>
        </w:rPr>
        <w:t xml:space="preserve"> sheet, press the 'Set </w:t>
      </w:r>
      <w:proofErr w:type="spellStart"/>
      <w:r w:rsidRPr="00717317">
        <w:rPr>
          <w:rStyle w:val="AERtexthighlight"/>
          <w:highlight w:val="yellow"/>
        </w:rPr>
        <w:t>Te</w:t>
      </w:r>
      <w:proofErr w:type="spellEnd"/>
      <w:r w:rsidRPr="00717317">
        <w:rPr>
          <w:rStyle w:val="AERtexthighlight"/>
          <w:highlight w:val="yellow"/>
        </w:rPr>
        <w:t xml:space="preserve"> and Td' button to copy the cash-flow derived effective tax rates for equity and debt from the </w:t>
      </w:r>
      <w:r w:rsidRPr="00717317">
        <w:rPr>
          <w:rStyle w:val="AERtextbold"/>
          <w:highlight w:val="yellow"/>
        </w:rPr>
        <w:t>Analysis</w:t>
      </w:r>
      <w:r w:rsidRPr="00717317">
        <w:rPr>
          <w:rStyle w:val="AERtexthighlight"/>
          <w:highlight w:val="yellow"/>
        </w:rPr>
        <w:t xml:space="preserve"> </w:t>
      </w:r>
      <w:r w:rsidR="00BF68B7">
        <w:rPr>
          <w:rStyle w:val="AERtexthighlight"/>
          <w:highlight w:val="yellow"/>
        </w:rPr>
        <w:t>sheet to the appropriate cells i</w:t>
      </w:r>
      <w:r w:rsidRPr="00717317">
        <w:rPr>
          <w:rStyle w:val="AERtexthighlight"/>
          <w:highlight w:val="yellow"/>
        </w:rPr>
        <w:t xml:space="preserve">n the </w:t>
      </w:r>
      <w:r w:rsidRPr="00717317">
        <w:rPr>
          <w:rStyle w:val="AERtextbold"/>
          <w:highlight w:val="yellow"/>
        </w:rPr>
        <w:t>WACC</w:t>
      </w:r>
      <w:r w:rsidRPr="00717317">
        <w:rPr>
          <w:rStyle w:val="AERtexthighlight"/>
          <w:highlight w:val="yellow"/>
        </w:rPr>
        <w:t xml:space="preserve"> sheet.  </w:t>
      </w:r>
    </w:p>
    <w:p w:rsidR="00E73513" w:rsidRPr="00D00A02" w:rsidRDefault="008D1E28" w:rsidP="00E73513">
      <w:pPr>
        <w:pStyle w:val="Heading2"/>
        <w:rPr>
          <w:rStyle w:val="AERtexthighlight"/>
        </w:rPr>
      </w:pPr>
      <w:bookmarkStart w:id="53" w:name="_Toc400092719"/>
      <w:r>
        <w:rPr>
          <w:rStyle w:val="AERtexthighlight"/>
        </w:rPr>
        <w:lastRenderedPageBreak/>
        <w:t xml:space="preserve">Updating X </w:t>
      </w:r>
      <w:r w:rsidR="00E73513" w:rsidRPr="00D00A02">
        <w:rPr>
          <w:rStyle w:val="AERtexthighlight"/>
        </w:rPr>
        <w:t xml:space="preserve">factors to incorporate the annual update to the trailing average portfolio </w:t>
      </w:r>
      <w:r w:rsidR="00DB1148">
        <w:rPr>
          <w:rStyle w:val="AERtexthighlight"/>
        </w:rPr>
        <w:t>return on</w:t>
      </w:r>
      <w:r w:rsidR="00E73513" w:rsidRPr="00D00A02">
        <w:rPr>
          <w:rStyle w:val="AERtexthighlight"/>
        </w:rPr>
        <w:t xml:space="preserve"> debt</w:t>
      </w:r>
      <w:bookmarkEnd w:id="53"/>
    </w:p>
    <w:p w:rsidR="00E73513" w:rsidRPr="00717317" w:rsidRDefault="006A7DC6" w:rsidP="00E73513">
      <w:pPr>
        <w:pStyle w:val="AERnumberedlistfirststyle"/>
        <w:numPr>
          <w:ilvl w:val="1"/>
          <w:numId w:val="47"/>
        </w:numPr>
        <w:rPr>
          <w:rStyle w:val="AERtexthighlight"/>
          <w:highlight w:val="yellow"/>
        </w:rPr>
      </w:pPr>
      <w:r w:rsidRPr="00717317">
        <w:rPr>
          <w:rStyle w:val="AERtexthighlight"/>
          <w:highlight w:val="yellow"/>
        </w:rPr>
        <w:t xml:space="preserve">In </w:t>
      </w:r>
      <w:r w:rsidR="00E73513" w:rsidRPr="00717317">
        <w:rPr>
          <w:rStyle w:val="AERtexthighlight"/>
          <w:highlight w:val="yellow"/>
        </w:rPr>
        <w:t xml:space="preserve">the </w:t>
      </w:r>
      <w:r w:rsidR="00E73513" w:rsidRPr="00717317">
        <w:rPr>
          <w:rStyle w:val="AERtextbold"/>
          <w:highlight w:val="yellow"/>
        </w:rPr>
        <w:t>X factors</w:t>
      </w:r>
      <w:r w:rsidR="00E73513" w:rsidRPr="00717317">
        <w:rPr>
          <w:rStyle w:val="AERtexthighlight"/>
          <w:highlight w:val="yellow"/>
        </w:rPr>
        <w:t xml:space="preserve"> sheet, </w:t>
      </w:r>
      <w:r w:rsidR="00DB1148" w:rsidRPr="00717317">
        <w:rPr>
          <w:rStyle w:val="AERtexthighlight"/>
          <w:highlight w:val="yellow"/>
        </w:rPr>
        <w:t>select</w:t>
      </w:r>
      <w:r w:rsidR="00652B51">
        <w:rPr>
          <w:rStyle w:val="AERtexthighlight"/>
          <w:highlight w:val="yellow"/>
        </w:rPr>
        <w:t xml:space="preserve"> the</w:t>
      </w:r>
      <w:r w:rsidR="00DB1148" w:rsidRPr="00717317">
        <w:rPr>
          <w:rStyle w:val="AERtexthighlight"/>
          <w:highlight w:val="yellow"/>
        </w:rPr>
        <w:t xml:space="preserve"> relevant </w:t>
      </w:r>
      <w:r w:rsidR="00E73513" w:rsidRPr="00717317">
        <w:rPr>
          <w:rStyle w:val="AERtexthighlight"/>
          <w:highlight w:val="yellow"/>
        </w:rPr>
        <w:t>year of update in cell F</w:t>
      </w:r>
      <w:r w:rsidR="00D93E9C" w:rsidRPr="00717317">
        <w:rPr>
          <w:rStyle w:val="AERtexthighlight"/>
          <w:highlight w:val="yellow"/>
        </w:rPr>
        <w:t>21</w:t>
      </w:r>
      <w:r w:rsidR="00E73513" w:rsidRPr="00717317">
        <w:rPr>
          <w:rStyle w:val="AERtexthighlight"/>
          <w:highlight w:val="yellow"/>
        </w:rPr>
        <w:t>.</w:t>
      </w:r>
    </w:p>
    <w:p w:rsidR="00E73513" w:rsidRPr="00717317" w:rsidRDefault="006A7DC6" w:rsidP="00E73513">
      <w:pPr>
        <w:pStyle w:val="AERnumberedlistfirststyle"/>
        <w:rPr>
          <w:rStyle w:val="AERtexthighlight"/>
          <w:highlight w:val="yellow"/>
        </w:rPr>
      </w:pPr>
      <w:r w:rsidRPr="00717317">
        <w:rPr>
          <w:rStyle w:val="AERtexthighlight"/>
          <w:highlight w:val="yellow"/>
        </w:rPr>
        <w:t xml:space="preserve">In </w:t>
      </w:r>
      <w:r w:rsidR="001E0D7C" w:rsidRPr="00717317">
        <w:rPr>
          <w:rStyle w:val="AERtexthighlight"/>
          <w:highlight w:val="yellow"/>
        </w:rPr>
        <w:t xml:space="preserve">the </w:t>
      </w:r>
      <w:r w:rsidR="001E0D7C" w:rsidRPr="00717317">
        <w:rPr>
          <w:rStyle w:val="AERtextbold"/>
          <w:highlight w:val="yellow"/>
        </w:rPr>
        <w:t>Input</w:t>
      </w:r>
      <w:r w:rsidR="001E0D7C" w:rsidRPr="00717317">
        <w:rPr>
          <w:rStyle w:val="AERtexthighlight"/>
          <w:highlight w:val="yellow"/>
        </w:rPr>
        <w:t xml:space="preserve"> sheet</w:t>
      </w:r>
      <w:r w:rsidR="00D93E9C" w:rsidRPr="00717317">
        <w:rPr>
          <w:rStyle w:val="AERtexthighlight"/>
          <w:highlight w:val="yellow"/>
        </w:rPr>
        <w:t xml:space="preserve"> (row 412)</w:t>
      </w:r>
      <w:r w:rsidR="001E0D7C" w:rsidRPr="00717317">
        <w:rPr>
          <w:rStyle w:val="AERtexthighlight"/>
          <w:highlight w:val="yellow"/>
        </w:rPr>
        <w:t>, e</w:t>
      </w:r>
      <w:r w:rsidR="00E73513" w:rsidRPr="00717317">
        <w:rPr>
          <w:rStyle w:val="AERtexthighlight"/>
          <w:highlight w:val="yellow"/>
        </w:rPr>
        <w:t xml:space="preserve">nter </w:t>
      </w:r>
      <w:r w:rsidR="00652B51">
        <w:rPr>
          <w:rStyle w:val="AERtexthighlight"/>
          <w:highlight w:val="yellow"/>
        </w:rPr>
        <w:t xml:space="preserve">the </w:t>
      </w:r>
      <w:r w:rsidR="00E73513" w:rsidRPr="00717317">
        <w:rPr>
          <w:rStyle w:val="AERtexthighlight"/>
          <w:highlight w:val="yellow"/>
        </w:rPr>
        <w:t xml:space="preserve">trailing average portfolio </w:t>
      </w:r>
      <w:r w:rsidR="00DB1148" w:rsidRPr="00717317">
        <w:rPr>
          <w:rStyle w:val="AERtexthighlight"/>
          <w:highlight w:val="yellow"/>
        </w:rPr>
        <w:t>return on</w:t>
      </w:r>
      <w:r w:rsidR="00E73513" w:rsidRPr="00717317">
        <w:rPr>
          <w:rStyle w:val="AERtexthighlight"/>
          <w:highlight w:val="yellow"/>
        </w:rPr>
        <w:t xml:space="preserve"> debt values up to and including the </w:t>
      </w:r>
      <w:r w:rsidR="00DB1148" w:rsidRPr="00717317">
        <w:rPr>
          <w:rStyle w:val="AERtexthighlight"/>
          <w:highlight w:val="yellow"/>
        </w:rPr>
        <w:t xml:space="preserve">relevant </w:t>
      </w:r>
      <w:r w:rsidR="00E73513" w:rsidRPr="00717317">
        <w:rPr>
          <w:rStyle w:val="AERtexthighlight"/>
          <w:highlight w:val="yellow"/>
        </w:rPr>
        <w:t xml:space="preserve">year of update, </w:t>
      </w:r>
      <w:r w:rsidR="00DB1148" w:rsidRPr="00717317">
        <w:rPr>
          <w:rStyle w:val="AERtexthighlight"/>
          <w:highlight w:val="yellow"/>
        </w:rPr>
        <w:t xml:space="preserve">consistent with that </w:t>
      </w:r>
      <w:r w:rsidR="00E73513" w:rsidRPr="00717317">
        <w:rPr>
          <w:rStyle w:val="AERtexthighlight"/>
          <w:highlight w:val="yellow"/>
        </w:rPr>
        <w:t>selected in cell F</w:t>
      </w:r>
      <w:r w:rsidR="00D93E9C" w:rsidRPr="00717317">
        <w:rPr>
          <w:rStyle w:val="AERtexthighlight"/>
          <w:highlight w:val="yellow"/>
        </w:rPr>
        <w:t>21</w:t>
      </w:r>
      <w:r w:rsidR="00DB1148" w:rsidRPr="00717317">
        <w:rPr>
          <w:rStyle w:val="AERtexthighlight"/>
          <w:highlight w:val="yellow"/>
        </w:rPr>
        <w:t xml:space="preserve"> </w:t>
      </w:r>
      <w:r w:rsidR="00BF68B7">
        <w:rPr>
          <w:rStyle w:val="AERtexthighlight"/>
          <w:highlight w:val="yellow"/>
        </w:rPr>
        <w:t>of</w:t>
      </w:r>
      <w:r w:rsidR="00DB1148" w:rsidRPr="00717317">
        <w:rPr>
          <w:rStyle w:val="AERtexthighlight"/>
          <w:highlight w:val="yellow"/>
        </w:rPr>
        <w:t xml:space="preserve"> the </w:t>
      </w:r>
      <w:r w:rsidR="00DB1148" w:rsidRPr="00E261B3">
        <w:rPr>
          <w:rStyle w:val="AERtexthighlight"/>
          <w:b/>
          <w:highlight w:val="yellow"/>
        </w:rPr>
        <w:t>X factors</w:t>
      </w:r>
      <w:r w:rsidR="00DB1148" w:rsidRPr="00717317">
        <w:rPr>
          <w:rStyle w:val="AERtexthighlight"/>
          <w:highlight w:val="yellow"/>
        </w:rPr>
        <w:t xml:space="preserve"> sheet</w:t>
      </w:r>
      <w:r w:rsidR="00E73513" w:rsidRPr="00717317">
        <w:rPr>
          <w:rStyle w:val="AERtexthighlight"/>
          <w:highlight w:val="yellow"/>
        </w:rPr>
        <w:t>.</w:t>
      </w:r>
      <w:r w:rsidR="00D93E9C" w:rsidRPr="00717317">
        <w:rPr>
          <w:rStyle w:val="FootnoteReference"/>
          <w:highlight w:val="yellow"/>
          <w:shd w:val="clear" w:color="auto" w:fill="FFFF00"/>
        </w:rPr>
        <w:footnoteReference w:id="24"/>
      </w:r>
      <w:r w:rsidR="00E73513" w:rsidRPr="00717317">
        <w:rPr>
          <w:rStyle w:val="AERtexthighlight"/>
          <w:highlight w:val="yellow"/>
        </w:rPr>
        <w:t xml:space="preserve"> </w:t>
      </w:r>
      <w:r w:rsidR="00D93E9C" w:rsidRPr="00717317">
        <w:rPr>
          <w:rStyle w:val="AERtexthighlight"/>
          <w:highlight w:val="yellow"/>
        </w:rPr>
        <w:t>Caution</w:t>
      </w:r>
      <w:r w:rsidR="00652B51">
        <w:rPr>
          <w:rStyle w:val="AERtexthighlight"/>
          <w:highlight w:val="yellow"/>
        </w:rPr>
        <w:t xml:space="preserve"> note</w:t>
      </w:r>
      <w:r w:rsidR="00D93E9C" w:rsidRPr="00717317">
        <w:rPr>
          <w:rStyle w:val="AERtexthighlight"/>
          <w:highlight w:val="yellow"/>
        </w:rPr>
        <w:t xml:space="preserve">s </w:t>
      </w:r>
      <w:r w:rsidR="00E73513" w:rsidRPr="00717317">
        <w:rPr>
          <w:rStyle w:val="AERtexthighlight"/>
          <w:highlight w:val="yellow"/>
        </w:rPr>
        <w:t>will appear in row</w:t>
      </w:r>
      <w:r w:rsidR="008A55A1">
        <w:rPr>
          <w:rStyle w:val="AERtexthighlight"/>
          <w:highlight w:val="yellow"/>
        </w:rPr>
        <w:t>s 413 to 414 of</w:t>
      </w:r>
      <w:r w:rsidR="00DB1148" w:rsidRPr="00717317">
        <w:rPr>
          <w:rStyle w:val="AERtexthighlight"/>
          <w:highlight w:val="yellow"/>
        </w:rPr>
        <w:t xml:space="preserve"> the </w:t>
      </w:r>
      <w:r w:rsidR="00DB1148" w:rsidRPr="00717317">
        <w:rPr>
          <w:rStyle w:val="AERtextbold"/>
          <w:highlight w:val="yellow"/>
        </w:rPr>
        <w:t>Input</w:t>
      </w:r>
      <w:r w:rsidR="00DB1148" w:rsidRPr="00717317">
        <w:rPr>
          <w:rStyle w:val="AERtexthighlight"/>
          <w:highlight w:val="yellow"/>
        </w:rPr>
        <w:t xml:space="preserve"> sheet </w:t>
      </w:r>
      <w:r w:rsidR="00A966A6" w:rsidRPr="00717317">
        <w:rPr>
          <w:rStyle w:val="AERtexthighlight"/>
          <w:highlight w:val="yellow"/>
        </w:rPr>
        <w:t xml:space="preserve">to show </w:t>
      </w:r>
      <w:r w:rsidR="00E73513" w:rsidRPr="00717317">
        <w:rPr>
          <w:rStyle w:val="AERtexthighlight"/>
          <w:highlight w:val="yellow"/>
        </w:rPr>
        <w:t>which inputs are necessary.</w:t>
      </w:r>
      <w:r w:rsidR="00261D1B" w:rsidRPr="00717317">
        <w:rPr>
          <w:rStyle w:val="AERtexthighlight"/>
          <w:highlight w:val="yellow"/>
        </w:rPr>
        <w:t xml:space="preserve"> No other inputs should be changed.</w:t>
      </w:r>
    </w:p>
    <w:p w:rsidR="00E73513" w:rsidRPr="00717317" w:rsidRDefault="006A7DC6" w:rsidP="00E73513">
      <w:pPr>
        <w:pStyle w:val="AERnumberedlistfirststyle"/>
        <w:rPr>
          <w:rStyle w:val="AERtexthighlight"/>
          <w:highlight w:val="yellow"/>
        </w:rPr>
      </w:pPr>
      <w:r w:rsidRPr="00717317">
        <w:rPr>
          <w:rStyle w:val="AERtexthighlight"/>
          <w:highlight w:val="yellow"/>
        </w:rPr>
        <w:t>I</w:t>
      </w:r>
      <w:r w:rsidR="00D93E9C" w:rsidRPr="00717317">
        <w:rPr>
          <w:rStyle w:val="AERtexthighlight"/>
          <w:highlight w:val="yellow"/>
        </w:rPr>
        <w:t xml:space="preserve">n the </w:t>
      </w:r>
      <w:r w:rsidR="00D93E9C" w:rsidRPr="00717317">
        <w:rPr>
          <w:rStyle w:val="AERtextbold"/>
          <w:highlight w:val="yellow"/>
        </w:rPr>
        <w:t>X factors</w:t>
      </w:r>
      <w:r w:rsidR="00D93E9C" w:rsidRPr="00717317">
        <w:rPr>
          <w:rStyle w:val="AERtexthighlight"/>
          <w:highlight w:val="yellow"/>
        </w:rPr>
        <w:t xml:space="preserve"> sheet, e</w:t>
      </w:r>
      <w:r w:rsidR="001E0D7C" w:rsidRPr="00717317">
        <w:rPr>
          <w:rStyle w:val="AERtexthighlight"/>
          <w:highlight w:val="yellow"/>
        </w:rPr>
        <w:t>nsure that</w:t>
      </w:r>
      <w:r w:rsidR="00E73513" w:rsidRPr="00717317">
        <w:rPr>
          <w:rStyle w:val="AERtexthighlight"/>
          <w:highlight w:val="yellow"/>
        </w:rPr>
        <w:t xml:space="preserve"> the </w:t>
      </w:r>
      <w:r w:rsidR="00644DF5">
        <w:rPr>
          <w:rStyle w:val="AERtexthighlight"/>
          <w:highlight w:val="yellow"/>
        </w:rPr>
        <w:t xml:space="preserve">equity raising cost </w:t>
      </w:r>
      <w:r w:rsidR="00E73513" w:rsidRPr="00717317">
        <w:rPr>
          <w:rStyle w:val="AERtexthighlight"/>
          <w:highlight w:val="yellow"/>
        </w:rPr>
        <w:t>update option (cell</w:t>
      </w:r>
      <w:r w:rsidR="00D93E9C" w:rsidRPr="00717317">
        <w:rPr>
          <w:rStyle w:val="AERtexthighlight"/>
          <w:highlight w:val="yellow"/>
        </w:rPr>
        <w:t xml:space="preserve"> G16</w:t>
      </w:r>
      <w:r w:rsidR="00E73513" w:rsidRPr="00717317">
        <w:rPr>
          <w:rStyle w:val="AERtexthighlight"/>
          <w:highlight w:val="yellow"/>
        </w:rPr>
        <w:t xml:space="preserve">) </w:t>
      </w:r>
      <w:r w:rsidR="001E0D7C" w:rsidRPr="00717317">
        <w:rPr>
          <w:rStyle w:val="AERtexthighlight"/>
          <w:highlight w:val="yellow"/>
        </w:rPr>
        <w:t xml:space="preserve">is set </w:t>
      </w:r>
      <w:r w:rsidR="00E73513" w:rsidRPr="00717317">
        <w:rPr>
          <w:rStyle w:val="AERtexthighlight"/>
          <w:highlight w:val="yellow"/>
        </w:rPr>
        <w:t xml:space="preserve">to </w:t>
      </w:r>
      <w:r w:rsidR="00A966A6" w:rsidRPr="00717317">
        <w:rPr>
          <w:rStyle w:val="AERtexthighlight"/>
          <w:highlight w:val="yellow"/>
        </w:rPr>
        <w:t>'</w:t>
      </w:r>
      <w:r w:rsidR="00E73513" w:rsidRPr="00717317">
        <w:rPr>
          <w:rStyle w:val="AERtexthighlight"/>
          <w:highlight w:val="yellow"/>
        </w:rPr>
        <w:t xml:space="preserve">update ERC </w:t>
      </w:r>
      <w:r w:rsidR="00652B51">
        <w:rPr>
          <w:rStyle w:val="AERtexthighlight"/>
          <w:highlight w:val="yellow"/>
        </w:rPr>
        <w:t>when smoothing</w:t>
      </w:r>
      <w:r w:rsidR="00E73513" w:rsidRPr="00717317">
        <w:rPr>
          <w:rStyle w:val="AERtexthighlight"/>
          <w:highlight w:val="yellow"/>
        </w:rPr>
        <w:t xml:space="preserve"> (default)</w:t>
      </w:r>
      <w:r w:rsidR="00A966A6" w:rsidRPr="00717317">
        <w:rPr>
          <w:rStyle w:val="AERtexthighlight"/>
          <w:highlight w:val="yellow"/>
        </w:rPr>
        <w:t>'</w:t>
      </w:r>
      <w:r w:rsidR="00E73513" w:rsidRPr="00717317">
        <w:rPr>
          <w:rStyle w:val="AERtexthighlight"/>
          <w:highlight w:val="yellow"/>
        </w:rPr>
        <w:t xml:space="preserve">.  </w:t>
      </w:r>
    </w:p>
    <w:p w:rsidR="00E73513" w:rsidRPr="00717317" w:rsidRDefault="006A7DC6" w:rsidP="001E0D7C">
      <w:pPr>
        <w:pStyle w:val="AERnumberedlistfirststyle"/>
        <w:rPr>
          <w:rStyle w:val="AERtexthighlight"/>
          <w:highlight w:val="yellow"/>
        </w:rPr>
      </w:pPr>
      <w:r w:rsidRPr="00717317">
        <w:rPr>
          <w:rStyle w:val="AERtexthighlight"/>
          <w:highlight w:val="yellow"/>
        </w:rPr>
        <w:t>I</w:t>
      </w:r>
      <w:r w:rsidR="00415CEF" w:rsidRPr="00717317">
        <w:rPr>
          <w:rStyle w:val="AERtexthighlight"/>
          <w:highlight w:val="yellow"/>
        </w:rPr>
        <w:t xml:space="preserve">n the </w:t>
      </w:r>
      <w:r w:rsidR="00415CEF" w:rsidRPr="00717317">
        <w:rPr>
          <w:rStyle w:val="AERtextbold"/>
          <w:highlight w:val="yellow"/>
        </w:rPr>
        <w:t>X factors</w:t>
      </w:r>
      <w:r w:rsidR="00415CEF" w:rsidRPr="00717317">
        <w:rPr>
          <w:rStyle w:val="AERtexthighlight"/>
          <w:highlight w:val="yellow"/>
        </w:rPr>
        <w:t xml:space="preserve"> sheet, a</w:t>
      </w:r>
      <w:r w:rsidR="00E73513" w:rsidRPr="00717317">
        <w:rPr>
          <w:rStyle w:val="AERtexthighlight"/>
          <w:highlight w:val="yellow"/>
        </w:rPr>
        <w:t>pply smoothing</w:t>
      </w:r>
      <w:r w:rsidR="001E0D7C" w:rsidRPr="00717317">
        <w:rPr>
          <w:rStyle w:val="AERtexthighlight"/>
          <w:highlight w:val="yellow"/>
        </w:rPr>
        <w:t xml:space="preserve"> to recalculate the X factor</w:t>
      </w:r>
      <w:r w:rsidR="00E73513" w:rsidRPr="00717317">
        <w:rPr>
          <w:rStyle w:val="AERtexthighlight"/>
          <w:highlight w:val="yellow"/>
        </w:rPr>
        <w:t xml:space="preserve"> using the button </w:t>
      </w:r>
      <w:r w:rsidR="001E0D7C" w:rsidRPr="00717317">
        <w:rPr>
          <w:rStyle w:val="AERtexthighlight"/>
          <w:highlight w:val="yellow"/>
        </w:rPr>
        <w:t>for the relevant year as identified in step 1</w:t>
      </w:r>
      <w:r w:rsidR="00E73513" w:rsidRPr="00717317">
        <w:rPr>
          <w:rStyle w:val="AERtexthighlight"/>
          <w:highlight w:val="yellow"/>
        </w:rPr>
        <w:t>.</w:t>
      </w:r>
      <w:r w:rsidR="001E0D7C" w:rsidRPr="00717317">
        <w:rPr>
          <w:rStyle w:val="AERtexthighlight"/>
          <w:highlight w:val="yellow"/>
        </w:rPr>
        <w:t xml:space="preserve"> The correct year for update will be identified by a </w:t>
      </w:r>
      <w:r w:rsidR="00D93E9C" w:rsidRPr="00717317">
        <w:rPr>
          <w:rStyle w:val="AERtexthighlight"/>
          <w:highlight w:val="yellow"/>
        </w:rPr>
        <w:t>caution</w:t>
      </w:r>
      <w:r w:rsidR="0063341F">
        <w:rPr>
          <w:rStyle w:val="AERtexthighlight"/>
          <w:highlight w:val="yellow"/>
        </w:rPr>
        <w:t xml:space="preserve"> note</w:t>
      </w:r>
      <w:r w:rsidR="00D93E9C" w:rsidRPr="00717317">
        <w:rPr>
          <w:rStyle w:val="AERtexthighlight"/>
          <w:highlight w:val="yellow"/>
        </w:rPr>
        <w:t xml:space="preserve"> </w:t>
      </w:r>
      <w:r w:rsidR="008A55A1">
        <w:rPr>
          <w:rStyle w:val="AERtexthighlight"/>
          <w:highlight w:val="yellow"/>
        </w:rPr>
        <w:t xml:space="preserve">in </w:t>
      </w:r>
      <w:r w:rsidR="001E0D7C" w:rsidRPr="00717317">
        <w:rPr>
          <w:rStyle w:val="AERtexthighlight"/>
          <w:highlight w:val="yellow"/>
        </w:rPr>
        <w:t xml:space="preserve">row </w:t>
      </w:r>
      <w:r w:rsidR="008A55A1">
        <w:rPr>
          <w:rStyle w:val="AERtexthighlight"/>
          <w:highlight w:val="yellow"/>
        </w:rPr>
        <w:t xml:space="preserve">51 </w:t>
      </w:r>
      <w:r w:rsidR="001E0D7C" w:rsidRPr="00717317">
        <w:rPr>
          <w:rStyle w:val="AERtexthighlight"/>
          <w:highlight w:val="yellow"/>
        </w:rPr>
        <w:t>under the smoo</w:t>
      </w:r>
      <w:r w:rsidR="008A55A1">
        <w:rPr>
          <w:rStyle w:val="AERtexthighlight"/>
          <w:highlight w:val="yellow"/>
        </w:rPr>
        <w:t>thing X factor buttons</w:t>
      </w:r>
      <w:r w:rsidR="001E0D7C" w:rsidRPr="00717317">
        <w:rPr>
          <w:rStyle w:val="AERtexthighlight"/>
          <w:highlight w:val="yellow"/>
        </w:rPr>
        <w:t>.</w:t>
      </w:r>
      <w:r w:rsidR="00D93E9C" w:rsidRPr="00717317">
        <w:rPr>
          <w:rStyle w:val="AERtexthighlight"/>
          <w:highlight w:val="yellow"/>
        </w:rPr>
        <w:t xml:space="preserve"> It is important that the X factors for past years in the regulatory control period are not altered, since these X factors reflect the revenue (and price) outcomes from </w:t>
      </w:r>
      <w:r w:rsidR="0063341F">
        <w:rPr>
          <w:rStyle w:val="AERtexthighlight"/>
          <w:highlight w:val="yellow"/>
        </w:rPr>
        <w:t>those</w:t>
      </w:r>
      <w:r w:rsidR="00D93E9C" w:rsidRPr="00717317">
        <w:rPr>
          <w:rStyle w:val="AERtexthighlight"/>
          <w:highlight w:val="yellow"/>
        </w:rPr>
        <w:t xml:space="preserve"> years. Further, </w:t>
      </w:r>
      <w:r w:rsidR="0063341F">
        <w:rPr>
          <w:rStyle w:val="AERtexthighlight"/>
          <w:highlight w:val="yellow"/>
        </w:rPr>
        <w:t>the</w:t>
      </w:r>
      <w:r w:rsidR="000763A0" w:rsidRPr="00717317">
        <w:rPr>
          <w:rStyle w:val="AERtexthighlight"/>
          <w:highlight w:val="yellow"/>
        </w:rPr>
        <w:t xml:space="preserve"> default approach is that </w:t>
      </w:r>
      <w:r w:rsidR="00D93E9C" w:rsidRPr="00717317">
        <w:rPr>
          <w:rStyle w:val="AERtexthighlight"/>
          <w:highlight w:val="yellow"/>
        </w:rPr>
        <w:t xml:space="preserve">only the X factor for the year of update should be altered (rather than multiple X factors, for this year and </w:t>
      </w:r>
      <w:r w:rsidR="00E0415F" w:rsidRPr="00717317">
        <w:rPr>
          <w:rStyle w:val="AERtexthighlight"/>
          <w:highlight w:val="yellow"/>
        </w:rPr>
        <w:t xml:space="preserve">remaining </w:t>
      </w:r>
      <w:r w:rsidR="00D93E9C" w:rsidRPr="00717317">
        <w:rPr>
          <w:rStyle w:val="AERtexthighlight"/>
          <w:highlight w:val="yellow"/>
        </w:rPr>
        <w:t>years</w:t>
      </w:r>
      <w:r w:rsidR="00E0415F" w:rsidRPr="00717317">
        <w:rPr>
          <w:rStyle w:val="AERtexthighlight"/>
          <w:highlight w:val="yellow"/>
        </w:rPr>
        <w:t xml:space="preserve"> within the regulatory control period</w:t>
      </w:r>
      <w:r w:rsidR="00D93E9C" w:rsidRPr="00717317">
        <w:rPr>
          <w:rStyle w:val="AERtexthighlight"/>
          <w:highlight w:val="yellow"/>
        </w:rPr>
        <w:t>).</w:t>
      </w:r>
      <w:r w:rsidR="000763A0" w:rsidRPr="00717317">
        <w:rPr>
          <w:rStyle w:val="FootnoteReference"/>
          <w:highlight w:val="yellow"/>
          <w:shd w:val="clear" w:color="auto" w:fill="FFFF00"/>
        </w:rPr>
        <w:footnoteReference w:id="25"/>
      </w:r>
      <w:r w:rsidR="00D93E9C" w:rsidRPr="00717317">
        <w:rPr>
          <w:rStyle w:val="AERtexthighlight"/>
          <w:highlight w:val="yellow"/>
        </w:rPr>
        <w:t xml:space="preserve"> This means that the impact of increases/decrease in that year's </w:t>
      </w:r>
      <w:r w:rsidR="00644DF5">
        <w:rPr>
          <w:rStyle w:val="AERtexthighlight"/>
          <w:highlight w:val="yellow"/>
        </w:rPr>
        <w:t>return on</w:t>
      </w:r>
      <w:r w:rsidR="00D93E9C" w:rsidRPr="00717317">
        <w:rPr>
          <w:rStyle w:val="AERtexthighlight"/>
          <w:highlight w:val="yellow"/>
        </w:rPr>
        <w:t xml:space="preserve"> debt will be fully reflected in price changes in that year.</w:t>
      </w:r>
      <w:r w:rsidR="000763A0" w:rsidRPr="00717317">
        <w:rPr>
          <w:rStyle w:val="AERtexthighlight"/>
          <w:highlight w:val="yellow"/>
        </w:rPr>
        <w:t xml:space="preserve"> For example, to re-smooth for a return on debt update in year 2 the button </w:t>
      </w:r>
      <w:r w:rsidR="0063341F" w:rsidRPr="00717317">
        <w:rPr>
          <w:rStyle w:val="AERtexthighlight"/>
          <w:highlight w:val="yellow"/>
        </w:rPr>
        <w:t xml:space="preserve">labelled </w:t>
      </w:r>
      <w:r w:rsidR="00717317" w:rsidRPr="00717317">
        <w:rPr>
          <w:rStyle w:val="AERtexthighlight"/>
          <w:highlight w:val="yellow"/>
        </w:rPr>
        <w:t>'</w:t>
      </w:r>
      <w:r w:rsidR="000763A0" w:rsidRPr="00717317">
        <w:rPr>
          <w:rStyle w:val="AERtexthighlight"/>
          <w:highlight w:val="yellow"/>
        </w:rPr>
        <w:t>Set X2</w:t>
      </w:r>
      <w:r w:rsidR="00717317" w:rsidRPr="00717317">
        <w:rPr>
          <w:rStyle w:val="AERtexthighlight"/>
          <w:highlight w:val="yellow"/>
        </w:rPr>
        <w:t>'</w:t>
      </w:r>
      <w:r w:rsidR="000763A0" w:rsidRPr="00717317">
        <w:rPr>
          <w:rStyle w:val="AERtexthighlight"/>
          <w:highlight w:val="yellow"/>
        </w:rPr>
        <w:t xml:space="preserve"> would be used, and all other X factors </w:t>
      </w:r>
      <w:r w:rsidR="0063341F">
        <w:rPr>
          <w:rStyle w:val="AERtexthighlight"/>
          <w:highlight w:val="yellow"/>
        </w:rPr>
        <w:t xml:space="preserve">as determined during the final decision process </w:t>
      </w:r>
      <w:r w:rsidR="000763A0" w:rsidRPr="00717317">
        <w:rPr>
          <w:rStyle w:val="AERtexthighlight"/>
          <w:highlight w:val="yellow"/>
        </w:rPr>
        <w:t>would remain unaltered.</w:t>
      </w:r>
    </w:p>
    <w:p w:rsidR="00B23774" w:rsidRPr="00D00A02" w:rsidRDefault="00B23774" w:rsidP="00B23774">
      <w:pPr>
        <w:pStyle w:val="AERbodytext"/>
        <w:rPr>
          <w:rStyle w:val="AERtexthighlight"/>
        </w:rPr>
      </w:pPr>
    </w:p>
    <w:sectPr w:rsidR="00B23774" w:rsidRPr="00D00A02" w:rsidSect="00456081">
      <w:footerReference w:type="even"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F4B" w:rsidRPr="00AB4345" w:rsidRDefault="009D2F4B" w:rsidP="00AB4345">
      <w:r>
        <w:separator/>
      </w:r>
    </w:p>
  </w:endnote>
  <w:endnote w:type="continuationSeparator" w:id="0">
    <w:p w:rsidR="009D2F4B" w:rsidRPr="00AB4345" w:rsidRDefault="009D2F4B"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9D2F4B" w:rsidRPr="00824CC8" w:rsidRDefault="009D2F4B" w:rsidP="00824CC8">
        <w:pPr>
          <w:pStyle w:val="Footer"/>
        </w:pPr>
        <w:r w:rsidRPr="00824CC8">
          <w:fldChar w:fldCharType="begin"/>
        </w:r>
        <w:r w:rsidRPr="00824CC8">
          <w:instrText xml:space="preserve"> PAGE   \* MERGEFORMAT </w:instrText>
        </w:r>
        <w:r w:rsidRPr="00824CC8">
          <w:fldChar w:fldCharType="separate"/>
        </w:r>
        <w:r w:rsidR="00CC1EDC">
          <w:rPr>
            <w:noProof/>
          </w:rPr>
          <w:t>28</w:t>
        </w:r>
        <w:r w:rsidRPr="00824CC8">
          <w:fldChar w:fldCharType="end"/>
        </w:r>
        <w:r w:rsidRPr="00824CC8">
          <w:tab/>
        </w:r>
        <w:r>
          <w:t xml:space="preserve">                      </w:t>
        </w:r>
        <w:r>
          <w:rPr>
            <w:rStyle w:val="AERbody"/>
          </w:rPr>
          <w:t>Post-tax revenue model handbook</w:t>
        </w:r>
        <w:r w:rsidRPr="00824CC8">
          <w:rPr>
            <w:rStyle w:val="AERbody"/>
          </w:rPr>
          <w:t xml:space="preserve"> | </w:t>
        </w:r>
        <w:r>
          <w:rPr>
            <w:rStyle w:val="AERbody"/>
          </w:rPr>
          <w:t xml:space="preserve">Electricity </w:t>
        </w:r>
        <w:r w:rsidRPr="00824CC8">
          <w:rPr>
            <w:rStyle w:val="AERbody"/>
          </w:rPr>
          <w:t xml:space="preserve">transmission </w:t>
        </w:r>
        <w:r>
          <w:rPr>
            <w:rStyle w:val="AERbody"/>
          </w:rPr>
          <w:t>network service providers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4B" w:rsidRPr="00824CC8" w:rsidRDefault="009D2F4B" w:rsidP="00824CC8">
    <w:pPr>
      <w:pStyle w:val="Footer"/>
      <w:rPr>
        <w:rStyle w:val="AERbody"/>
      </w:rPr>
    </w:pPr>
    <w:r>
      <w:rPr>
        <w:rStyle w:val="AERbody"/>
      </w:rPr>
      <w:t>Post-tax revenue model handbook</w:t>
    </w:r>
    <w:r w:rsidRPr="00824CC8">
      <w:rPr>
        <w:rStyle w:val="AERbody"/>
      </w:rPr>
      <w:t xml:space="preserve"> | </w:t>
    </w:r>
    <w:r>
      <w:rPr>
        <w:rStyle w:val="AERbody"/>
      </w:rPr>
      <w:t xml:space="preserve">Electricity </w:t>
    </w:r>
    <w:r w:rsidRPr="00824CC8">
      <w:rPr>
        <w:rStyle w:val="AERbody"/>
      </w:rPr>
      <w:t xml:space="preserve">transmission </w:t>
    </w:r>
    <w:r>
      <w:rPr>
        <w:rStyle w:val="AERbody"/>
      </w:rPr>
      <w:t>network service providers</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CC1EDC">
      <w:rPr>
        <w:rStyle w:val="AERbody"/>
        <w:noProof/>
      </w:rPr>
      <w:t>27</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F4B" w:rsidRPr="00AB4345" w:rsidRDefault="009D2F4B" w:rsidP="00AB4345">
      <w:r>
        <w:separator/>
      </w:r>
    </w:p>
  </w:footnote>
  <w:footnote w:type="continuationSeparator" w:id="0">
    <w:p w:rsidR="009D2F4B" w:rsidRPr="00AB4345" w:rsidRDefault="009D2F4B" w:rsidP="00AB4345">
      <w:r>
        <w:continuationSeparator/>
      </w:r>
    </w:p>
  </w:footnote>
  <w:footnote w:id="1">
    <w:p w:rsidR="009D2F4B" w:rsidRDefault="009D2F4B">
      <w:pPr>
        <w:pStyle w:val="FootnoteText"/>
      </w:pPr>
      <w:r>
        <w:rPr>
          <w:rStyle w:val="FootnoteReference"/>
        </w:rPr>
        <w:footnoteRef/>
      </w:r>
      <w:r>
        <w:t xml:space="preserve"> </w:t>
      </w:r>
      <w:r>
        <w:tab/>
      </w:r>
      <w:r w:rsidRPr="009C447F">
        <w:t xml:space="preserve">The set of Microsoft Excel </w:t>
      </w:r>
      <w:proofErr w:type="spellStart"/>
      <w:r w:rsidRPr="009C447F">
        <w:t>spreadsheets</w:t>
      </w:r>
      <w:proofErr w:type="spellEnd"/>
      <w:r w:rsidRPr="009C447F">
        <w:t xml:space="preserve"> which constitute the PTRM were</w:t>
      </w:r>
      <w:r>
        <w:t xml:space="preserve"> created in Microsoft Excel 2007</w:t>
      </w:r>
      <w:r w:rsidRPr="009C447F">
        <w:t xml:space="preserve">. The AER recommends this or a later version of Microsoft Excel be used in applying these </w:t>
      </w:r>
      <w:proofErr w:type="spellStart"/>
      <w:r w:rsidRPr="009C447F">
        <w:t>spreadsheets</w:t>
      </w:r>
      <w:proofErr w:type="spellEnd"/>
      <w:r w:rsidRPr="009C447F">
        <w:t>.</w:t>
      </w:r>
    </w:p>
  </w:footnote>
  <w:footnote w:id="2">
    <w:p w:rsidR="009D2F4B" w:rsidRDefault="009D2F4B" w:rsidP="00036E2D">
      <w:pPr>
        <w:pStyle w:val="FootnoteText"/>
      </w:pPr>
      <w:r>
        <w:rPr>
          <w:rStyle w:val="FootnoteReference"/>
        </w:rPr>
        <w:footnoteRef/>
      </w:r>
      <w:r>
        <w:t xml:space="preserve"> </w:t>
      </w:r>
      <w:r>
        <w:tab/>
      </w:r>
      <w:r w:rsidRPr="00036E2D">
        <w:t xml:space="preserve">The partially as-incurred method for recognising </w:t>
      </w:r>
      <w:proofErr w:type="spellStart"/>
      <w:r w:rsidRPr="00036E2D">
        <w:t>capex</w:t>
      </w:r>
      <w:proofErr w:type="spellEnd"/>
      <w:r w:rsidRPr="00036E2D">
        <w:t xml:space="preserve"> calculates the return on capital based on an as-incurred approach and the return of capital (regulatory depreciation) is based on an as-commissioned approach.</w:t>
      </w:r>
    </w:p>
  </w:footnote>
  <w:footnote w:id="3">
    <w:p w:rsidR="009D2F4B" w:rsidRDefault="009D2F4B">
      <w:pPr>
        <w:pStyle w:val="FootnoteText"/>
      </w:pPr>
      <w:r>
        <w:rPr>
          <w:rStyle w:val="FootnoteReference"/>
        </w:rPr>
        <w:footnoteRef/>
      </w:r>
      <w:r>
        <w:t xml:space="preserve"> </w:t>
      </w:r>
      <w:r>
        <w:tab/>
      </w:r>
      <w:r w:rsidRPr="005A09A2">
        <w:rPr>
          <w:rStyle w:val="AERtexthighlight"/>
        </w:rPr>
        <w:t>The button at the left of row 56 may be pressed to display/hide rows 37 to 55 (asset classes 31 to 49).</w:t>
      </w:r>
    </w:p>
  </w:footnote>
  <w:footnote w:id="4">
    <w:p w:rsidR="009D2F4B" w:rsidRDefault="009D2F4B">
      <w:pPr>
        <w:pStyle w:val="FootnoteText"/>
      </w:pPr>
      <w:r>
        <w:rPr>
          <w:rStyle w:val="FootnoteReference"/>
        </w:rPr>
        <w:footnoteRef/>
      </w:r>
      <w:r>
        <w:t xml:space="preserve"> </w:t>
      </w:r>
      <w:r>
        <w:tab/>
      </w:r>
      <w:r w:rsidRPr="00036E2D">
        <w:t>The PTRM can be expanded to accommodate additional asset classes, when necessary.</w:t>
      </w:r>
    </w:p>
  </w:footnote>
  <w:footnote w:id="5">
    <w:p w:rsidR="009D2F4B" w:rsidRDefault="009D2F4B">
      <w:pPr>
        <w:pStyle w:val="FootnoteText"/>
      </w:pPr>
      <w:r>
        <w:rPr>
          <w:rStyle w:val="FootnoteReference"/>
        </w:rPr>
        <w:footnoteRef/>
      </w:r>
      <w:r>
        <w:t xml:space="preserve"> </w:t>
      </w:r>
      <w:r>
        <w:tab/>
      </w:r>
      <w:r w:rsidRPr="00717317">
        <w:rPr>
          <w:rStyle w:val="AERtexthighlight"/>
        </w:rPr>
        <w:t>The 50th asset class is designed to be used only with the 'Equity raising costs' asset class. Several defined name ranges use this asset class to implement the iterative equity raising cost update when smoothing total revenue.</w:t>
      </w:r>
    </w:p>
  </w:footnote>
  <w:footnote w:id="6">
    <w:p w:rsidR="009D2F4B" w:rsidRDefault="009D2F4B">
      <w:pPr>
        <w:pStyle w:val="FootnoteText"/>
      </w:pPr>
      <w:r>
        <w:rPr>
          <w:rStyle w:val="FootnoteReference"/>
        </w:rPr>
        <w:footnoteRef/>
      </w:r>
      <w:r>
        <w:t xml:space="preserve"> </w:t>
      </w:r>
      <w:r>
        <w:tab/>
      </w:r>
      <w:r w:rsidRPr="00D357AE">
        <w:rPr>
          <w:rStyle w:val="AERtexthighlight"/>
        </w:rPr>
        <w:t>Row 110 (asset class 50) is designed to be used for equity raising costs only,</w:t>
      </w:r>
      <w:r>
        <w:t xml:space="preserve"> </w:t>
      </w:r>
    </w:p>
  </w:footnote>
  <w:footnote w:id="7">
    <w:p w:rsidR="009D2F4B" w:rsidRDefault="009D2F4B">
      <w:pPr>
        <w:pStyle w:val="FootnoteText"/>
      </w:pPr>
      <w:r>
        <w:rPr>
          <w:rStyle w:val="FootnoteReference"/>
        </w:rPr>
        <w:footnoteRef/>
      </w:r>
      <w:r>
        <w:t xml:space="preserve"> </w:t>
      </w:r>
      <w:r>
        <w:tab/>
      </w:r>
      <w:r w:rsidRPr="00D357AE">
        <w:rPr>
          <w:rStyle w:val="AERtexthighlight"/>
        </w:rPr>
        <w:t>There is also a button which allows new rows to be inserted.</w:t>
      </w:r>
    </w:p>
  </w:footnote>
  <w:footnote w:id="8">
    <w:p w:rsidR="009D2F4B" w:rsidRDefault="009D2F4B" w:rsidP="00ED0A88">
      <w:pPr>
        <w:pStyle w:val="FootnoteText"/>
      </w:pPr>
      <w:r>
        <w:rPr>
          <w:rStyle w:val="FootnoteReference"/>
        </w:rPr>
        <w:footnoteRef/>
      </w:r>
      <w:r>
        <w:t xml:space="preserve"> </w:t>
      </w:r>
      <w:r>
        <w:tab/>
      </w:r>
      <w:r w:rsidRPr="00476458">
        <w:t xml:space="preserve">Clause </w:t>
      </w:r>
      <w:proofErr w:type="gramStart"/>
      <w:r w:rsidRPr="00476458">
        <w:t>6A.5.3(</w:t>
      </w:r>
      <w:proofErr w:type="gramEnd"/>
      <w:r w:rsidRPr="00476458">
        <w:t xml:space="preserve">b)(1) of the NER requires the AER to specify in the PTRM a methodology that is likely to result in the best estimate of expected inflation. The AER uses an approach that calculates the geometric average based on the inflation forecasts for two years sourced from the latest available Reserve Bank of Australia’s (RBA’s) </w:t>
      </w:r>
      <w:r w:rsidRPr="00476458">
        <w:rPr>
          <w:rStyle w:val="AERtextitalic"/>
        </w:rPr>
        <w:t>Statement of monetary policy</w:t>
      </w:r>
      <w:r w:rsidRPr="00476458">
        <w:t xml:space="preserve"> and the mid</w:t>
      </w:r>
      <w:r>
        <w:t>-</w:t>
      </w:r>
      <w:r w:rsidRPr="00476458">
        <w:t xml:space="preserve">point of the RBA’s target inflation band for eight years (see AER, </w:t>
      </w:r>
      <w:r w:rsidRPr="00476458">
        <w:rPr>
          <w:rStyle w:val="AERtextitalic"/>
        </w:rPr>
        <w:t>Final decision, TransGrid transmission determination 2009–10 to 2013–14</w:t>
      </w:r>
      <w:r w:rsidRPr="00476458">
        <w:t>, 28 April 2009, pp. 60–64).</w:t>
      </w:r>
    </w:p>
  </w:footnote>
  <w:footnote w:id="9">
    <w:p w:rsidR="009D2F4B" w:rsidRPr="00D968BF" w:rsidRDefault="009D2F4B" w:rsidP="00D968BF">
      <w:pPr>
        <w:pStyle w:val="FootnoteText"/>
      </w:pPr>
      <w:r>
        <w:rPr>
          <w:rStyle w:val="FootnoteReference"/>
        </w:rPr>
        <w:footnoteRef/>
      </w:r>
      <w:r>
        <w:t xml:space="preserve"> </w:t>
      </w:r>
      <w:r>
        <w:tab/>
      </w:r>
      <w:r w:rsidRPr="00D968BF">
        <w:rPr>
          <w:rStyle w:val="AERtextitalic"/>
          <w:i w:val="0"/>
        </w:rPr>
        <w:t>AER,</w:t>
      </w:r>
      <w:r w:rsidRPr="00D968BF">
        <w:rPr>
          <w:rStyle w:val="AERtextitalic"/>
        </w:rPr>
        <w:t xml:space="preserve"> Better regulation: Rate of return guideline</w:t>
      </w:r>
      <w:r w:rsidRPr="00D968BF">
        <w:rPr>
          <w:rStyle w:val="AERtextitalic"/>
          <w:i w:val="0"/>
        </w:rPr>
        <w:t>, December 2013.</w:t>
      </w:r>
    </w:p>
  </w:footnote>
  <w:footnote w:id="10">
    <w:p w:rsidR="009D2F4B" w:rsidRDefault="009D2F4B">
      <w:pPr>
        <w:pStyle w:val="FootnoteText"/>
      </w:pPr>
      <w:r>
        <w:rPr>
          <w:rStyle w:val="FootnoteReference"/>
        </w:rPr>
        <w:footnoteRef/>
      </w:r>
      <w:r>
        <w:t xml:space="preserve"> </w:t>
      </w:r>
      <w:r>
        <w:tab/>
      </w:r>
      <w:r w:rsidRPr="00476458">
        <w:t xml:space="preserve">See rows 24 to 27 in the </w:t>
      </w:r>
      <w:r w:rsidRPr="00476458">
        <w:rPr>
          <w:rStyle w:val="AERtextbold"/>
        </w:rPr>
        <w:t>Analysis</w:t>
      </w:r>
      <w:r w:rsidRPr="00476458">
        <w:t xml:space="preserve"> sheet, which calculate the return</w:t>
      </w:r>
      <w:r>
        <w:t xml:space="preserve"> on capital and provide a break</w:t>
      </w:r>
      <w:r w:rsidRPr="00476458">
        <w:t>down of the return on equity and return on debt.</w:t>
      </w:r>
    </w:p>
  </w:footnote>
  <w:footnote w:id="11">
    <w:p w:rsidR="009D2F4B" w:rsidRDefault="009D2F4B">
      <w:pPr>
        <w:pStyle w:val="FootnoteText"/>
      </w:pPr>
      <w:r>
        <w:rPr>
          <w:rStyle w:val="FootnoteReference"/>
        </w:rPr>
        <w:footnoteRef/>
      </w:r>
      <w:r>
        <w:t xml:space="preserve"> </w:t>
      </w:r>
      <w:r>
        <w:tab/>
      </w:r>
      <w:r w:rsidRPr="00AB2E8F">
        <w:t xml:space="preserve">The half-real vanilla WACC is calculated </w:t>
      </w:r>
      <w:r>
        <w:t>as</w:t>
      </w:r>
      <w:r w:rsidRPr="00AB2E8F">
        <w:t xml:space="preserve"> the square root of (1 + real vanilla WACC) </w:t>
      </w:r>
      <w:r>
        <w:t xml:space="preserve">– 1 </w:t>
      </w:r>
      <w:r w:rsidRPr="00AB2E8F">
        <w:t>to account for the compounding effect on an annual rate.</w:t>
      </w:r>
    </w:p>
  </w:footnote>
  <w:footnote w:id="12">
    <w:p w:rsidR="009D2F4B" w:rsidRDefault="009D2F4B">
      <w:pPr>
        <w:pStyle w:val="FootnoteText"/>
      </w:pPr>
      <w:r>
        <w:rPr>
          <w:rStyle w:val="FootnoteReference"/>
        </w:rPr>
        <w:footnoteRef/>
      </w:r>
      <w:r>
        <w:t xml:space="preserve"> </w:t>
      </w:r>
      <w:r>
        <w:tab/>
      </w:r>
      <w:r w:rsidRPr="0096305C">
        <w:t xml:space="preserve">The timing of the </w:t>
      </w:r>
      <w:proofErr w:type="spellStart"/>
      <w:r w:rsidRPr="0096305C">
        <w:t>capex</w:t>
      </w:r>
      <w:proofErr w:type="spellEnd"/>
      <w:r w:rsidRPr="0096305C">
        <w:t xml:space="preserve"> cash flow is assumed to be mid-year.</w:t>
      </w:r>
    </w:p>
  </w:footnote>
  <w:footnote w:id="13">
    <w:p w:rsidR="009D2F4B" w:rsidRDefault="009D2F4B" w:rsidP="00002F92">
      <w:pPr>
        <w:pStyle w:val="FootnoteText"/>
      </w:pPr>
      <w:r>
        <w:rPr>
          <w:rStyle w:val="FootnoteReference"/>
        </w:rPr>
        <w:footnoteRef/>
      </w:r>
      <w:r>
        <w:t xml:space="preserve"> </w:t>
      </w:r>
      <w:r>
        <w:tab/>
      </w:r>
      <w:r w:rsidRPr="00717317">
        <w:rPr>
          <w:rStyle w:val="AERtexthighlight"/>
        </w:rPr>
        <w:t xml:space="preserve">The AER in its regulatory determinations has considered a divergence of up to 3 per cent between the expected MAR and ABBR for the final year of the regulatory control period to be reasonable if this can achieve </w:t>
      </w:r>
      <w:r>
        <w:rPr>
          <w:rStyle w:val="AERtexthighlight"/>
        </w:rPr>
        <w:t>smoother price changes for customers</w:t>
      </w:r>
      <w:r w:rsidRPr="00717317">
        <w:rPr>
          <w:rStyle w:val="AERtexthighlight"/>
        </w:rPr>
        <w:t xml:space="preserve"> over the regulatory control period.</w:t>
      </w:r>
    </w:p>
  </w:footnote>
  <w:footnote w:id="14">
    <w:p w:rsidR="009D2F4B" w:rsidRDefault="009D2F4B">
      <w:pPr>
        <w:pStyle w:val="FootnoteText"/>
      </w:pPr>
      <w:r>
        <w:rPr>
          <w:rStyle w:val="FootnoteReference"/>
        </w:rPr>
        <w:footnoteRef/>
      </w:r>
      <w:r>
        <w:t xml:space="preserve"> </w:t>
      </w:r>
      <w:r>
        <w:tab/>
      </w:r>
      <w:r w:rsidRPr="00717317">
        <w:rPr>
          <w:rStyle w:val="AERtexthighlight"/>
        </w:rPr>
        <w:t xml:space="preserve">This is not the only change that flows from a change to the return on debt </w:t>
      </w:r>
      <w:r>
        <w:rPr>
          <w:rStyle w:val="AERtexthighlight"/>
        </w:rPr>
        <w:t>–</w:t>
      </w:r>
      <w:r w:rsidRPr="00717317">
        <w:rPr>
          <w:rStyle w:val="AERtexthighlight"/>
        </w:rPr>
        <w:t xml:space="preserve"> the return on capital and return of capital building blocks will change, and therefore so will the tax building block.</w:t>
      </w:r>
    </w:p>
  </w:footnote>
  <w:footnote w:id="15">
    <w:p w:rsidR="009D2F4B" w:rsidRDefault="009D2F4B">
      <w:pPr>
        <w:pStyle w:val="FootnoteText"/>
      </w:pPr>
      <w:r>
        <w:rPr>
          <w:rStyle w:val="FootnoteReference"/>
        </w:rPr>
        <w:footnoteRef/>
      </w:r>
      <w:r>
        <w:t xml:space="preserve"> </w:t>
      </w:r>
      <w:r>
        <w:tab/>
      </w:r>
      <w:r w:rsidRPr="00717317">
        <w:rPr>
          <w:rStyle w:val="AERtexthighlight"/>
        </w:rPr>
        <w:t>These price paths are also presented for comparability with the distribution PTRM, where they relate to additional alternative forms of control (specifically, the weighted average price cap and revenue yield cap) which are available to DNSPs but not TNSPs.</w:t>
      </w:r>
    </w:p>
  </w:footnote>
  <w:footnote w:id="16">
    <w:p w:rsidR="009D2F4B" w:rsidRDefault="009D2F4B">
      <w:pPr>
        <w:pStyle w:val="FootnoteText"/>
      </w:pPr>
      <w:r>
        <w:rPr>
          <w:rStyle w:val="FootnoteReference"/>
        </w:rPr>
        <w:footnoteRef/>
      </w:r>
      <w:r>
        <w:t xml:space="preserve"> </w:t>
      </w:r>
      <w:r>
        <w:tab/>
      </w:r>
      <w:r w:rsidRPr="00717317">
        <w:rPr>
          <w:rStyle w:val="AERtexthighlight"/>
        </w:rPr>
        <w:t>The average yearly change is calculated as the geometric mean (not the arithmetic mean), and therefore reflects the cumulative impact of year-on-year percentage changes across the regulatory control period. In other words, the value shown in cells S40, S43, S52 and S55 is the percentage change that, if applied to every year in the regulatory control period, would arrive at the total cumulative change across the period.</w:t>
      </w:r>
    </w:p>
  </w:footnote>
  <w:footnote w:id="17">
    <w:p w:rsidR="009D2F4B" w:rsidRDefault="009D2F4B">
      <w:pPr>
        <w:pStyle w:val="FootnoteText"/>
      </w:pPr>
      <w:r>
        <w:rPr>
          <w:rStyle w:val="FootnoteReference"/>
        </w:rPr>
        <w:footnoteRef/>
      </w:r>
      <w:r>
        <w:t xml:space="preserve"> </w:t>
      </w:r>
      <w:r>
        <w:tab/>
      </w:r>
      <w:proofErr w:type="gramStart"/>
      <w:r w:rsidRPr="000C577D">
        <w:t xml:space="preserve">AER, </w:t>
      </w:r>
      <w:r w:rsidRPr="000C577D">
        <w:rPr>
          <w:rStyle w:val="AERtextitalic"/>
        </w:rPr>
        <w:t xml:space="preserve">Final decision, </w:t>
      </w:r>
      <w:proofErr w:type="spellStart"/>
      <w:r w:rsidRPr="000C577D">
        <w:rPr>
          <w:rStyle w:val="AERtextitalic"/>
        </w:rPr>
        <w:t>Powerlink</w:t>
      </w:r>
      <w:proofErr w:type="spellEnd"/>
      <w:r w:rsidRPr="000C577D">
        <w:rPr>
          <w:rStyle w:val="AERtextitalic"/>
        </w:rPr>
        <w:t xml:space="preserve"> transmission determination 2012–13 to 2016–17</w:t>
      </w:r>
      <w:r w:rsidRPr="000C577D">
        <w:t>, April 2012, pp. 145–147.</w:t>
      </w:r>
      <w:proofErr w:type="gramEnd"/>
    </w:p>
  </w:footnote>
  <w:footnote w:id="18">
    <w:p w:rsidR="009D2F4B" w:rsidRDefault="009D2F4B">
      <w:pPr>
        <w:pStyle w:val="FootnoteText"/>
      </w:pPr>
      <w:r>
        <w:rPr>
          <w:rStyle w:val="FootnoteReference"/>
        </w:rPr>
        <w:footnoteRef/>
      </w:r>
      <w:r>
        <w:t xml:space="preserve"> </w:t>
      </w:r>
      <w:r>
        <w:tab/>
      </w:r>
      <w:r w:rsidRPr="000C577D">
        <w:t xml:space="preserve">Where there is sufficient retained cash flow to cover the equity component of </w:t>
      </w:r>
      <w:proofErr w:type="spellStart"/>
      <w:r w:rsidRPr="000C577D">
        <w:t>capex</w:t>
      </w:r>
      <w:proofErr w:type="spellEnd"/>
      <w:r w:rsidRPr="000C577D">
        <w:t>, the amounts shown in row 3</w:t>
      </w:r>
      <w:r>
        <w:t>4</w:t>
      </w:r>
      <w:r w:rsidRPr="000C577D">
        <w:t xml:space="preserve"> would be negative.</w:t>
      </w:r>
    </w:p>
  </w:footnote>
  <w:footnote w:id="19">
    <w:p w:rsidR="009D2F4B" w:rsidRDefault="009D2F4B">
      <w:pPr>
        <w:pStyle w:val="FootnoteText"/>
      </w:pPr>
      <w:r>
        <w:rPr>
          <w:rStyle w:val="FootnoteReference"/>
        </w:rPr>
        <w:footnoteRef/>
      </w:r>
      <w:r>
        <w:t xml:space="preserve"> </w:t>
      </w:r>
      <w:r>
        <w:tab/>
      </w:r>
      <w:r w:rsidRPr="00717317">
        <w:rPr>
          <w:rStyle w:val="AERtexthighlight"/>
        </w:rPr>
        <w:t xml:space="preserve">This does not mean that the calculation method for the entire workbook needs to be set to manual or iterative (under Options -&gt; Formulas -&gt; Calculation options). The implementation in the PTRM is such that direct values are entered on the </w:t>
      </w:r>
      <w:r w:rsidRPr="00717317">
        <w:rPr>
          <w:rStyle w:val="AERtextbold"/>
          <w:highlight w:val="yellow"/>
        </w:rPr>
        <w:t>Input</w:t>
      </w:r>
      <w:r w:rsidRPr="00717317">
        <w:rPr>
          <w:rStyle w:val="AERtexthighlight"/>
        </w:rPr>
        <w:t xml:space="preserve"> sheet, so there is no circular reference, and the iterative updates are managed via macros when smoothing. Hence, the calculation option can be left as automatic, without iteration.</w:t>
      </w:r>
    </w:p>
  </w:footnote>
  <w:footnote w:id="20">
    <w:p w:rsidR="009D2F4B" w:rsidRDefault="009D2F4B">
      <w:pPr>
        <w:pStyle w:val="FootnoteText"/>
      </w:pPr>
      <w:r>
        <w:rPr>
          <w:rStyle w:val="FootnoteReference"/>
        </w:rPr>
        <w:footnoteRef/>
      </w:r>
      <w:r>
        <w:t xml:space="preserve"> </w:t>
      </w:r>
      <w:r>
        <w:tab/>
      </w:r>
      <w:r>
        <w:rPr>
          <w:rStyle w:val="AERtexthighlight"/>
        </w:rPr>
        <w:t xml:space="preserve">In that case, the equity raising cost entered (in two places) in the </w:t>
      </w:r>
      <w:r w:rsidRPr="00717317">
        <w:rPr>
          <w:rStyle w:val="AERtextbold"/>
          <w:highlight w:val="yellow"/>
        </w:rPr>
        <w:t>Input</w:t>
      </w:r>
      <w:r w:rsidRPr="00717317">
        <w:rPr>
          <w:rStyle w:val="AERtexthighlight"/>
          <w:highlight w:val="yellow"/>
        </w:rPr>
        <w:t xml:space="preserve"> sheet will not be updated to reflect the calculation in the </w:t>
      </w:r>
      <w:r w:rsidRPr="00717317">
        <w:rPr>
          <w:rStyle w:val="AERtextbold"/>
          <w:highlight w:val="yellow"/>
        </w:rPr>
        <w:t>Equity raising cost</w:t>
      </w:r>
      <w:r w:rsidRPr="00717317">
        <w:rPr>
          <w:rStyle w:val="AERtexthighlight"/>
          <w:highlight w:val="yellow"/>
        </w:rPr>
        <w:t xml:space="preserve"> sheet. A caution will appear in the </w:t>
      </w:r>
      <w:r w:rsidRPr="00717317">
        <w:rPr>
          <w:rStyle w:val="AERtextbold"/>
          <w:highlight w:val="yellow"/>
        </w:rPr>
        <w:t>X factors</w:t>
      </w:r>
      <w:r w:rsidRPr="00717317">
        <w:rPr>
          <w:rStyle w:val="AERtexthighlight"/>
          <w:highlight w:val="yellow"/>
        </w:rPr>
        <w:t xml:space="preserve"> sheet</w:t>
      </w:r>
      <w:r>
        <w:rPr>
          <w:rStyle w:val="AERtexthighlight"/>
        </w:rPr>
        <w:t xml:space="preserve"> (cell D26) when the relevant values do not align.</w:t>
      </w:r>
    </w:p>
  </w:footnote>
  <w:footnote w:id="21">
    <w:p w:rsidR="009D2F4B" w:rsidRDefault="009D2F4B">
      <w:pPr>
        <w:pStyle w:val="FootnoteText"/>
      </w:pPr>
      <w:r>
        <w:rPr>
          <w:rStyle w:val="FootnoteReference"/>
        </w:rPr>
        <w:footnoteRef/>
      </w:r>
      <w:r>
        <w:t xml:space="preserve"> </w:t>
      </w:r>
      <w:r>
        <w:tab/>
      </w:r>
      <w:r w:rsidRPr="00717317">
        <w:rPr>
          <w:rStyle w:val="AERtexthighlight"/>
        </w:rPr>
        <w:t>Also, the year-by-year tax rates (row 402) only require the first year (cell G402) to be entered; the PTRM will apply this tax rate to later years where there is no explicit tax rate entered.</w:t>
      </w:r>
    </w:p>
  </w:footnote>
  <w:footnote w:id="22">
    <w:p w:rsidR="009D2F4B" w:rsidRPr="00717317" w:rsidRDefault="009D2F4B">
      <w:pPr>
        <w:pStyle w:val="FootnoteText"/>
        <w:rPr>
          <w:rStyle w:val="AERtexthighlight"/>
        </w:rPr>
      </w:pPr>
      <w:r>
        <w:rPr>
          <w:rStyle w:val="FootnoteReference"/>
        </w:rPr>
        <w:footnoteRef/>
      </w:r>
      <w:r>
        <w:t xml:space="preserve"> </w:t>
      </w:r>
      <w:r>
        <w:tab/>
      </w:r>
      <w:r w:rsidRPr="00717317">
        <w:rPr>
          <w:rStyle w:val="AERtexthighlight"/>
        </w:rPr>
        <w:t>The PTRM will use the return on debt for a given year if entered, so if forecasts were entered for later years in the regulatory control period (and these values differ from the year 1 return on debt), this will be reflected in the building block calculations. However, this is not intended to be the default operation of the PTRM. If a TNSP was to propose (at the time of making the final decision) return on debt forecasts for year 2 onwards this would need to be assessed as part of an individual determination.</w:t>
      </w:r>
    </w:p>
  </w:footnote>
  <w:footnote w:id="23">
    <w:p w:rsidR="009D2F4B" w:rsidRDefault="009D2F4B">
      <w:pPr>
        <w:pStyle w:val="FootnoteText"/>
      </w:pPr>
      <w:r>
        <w:rPr>
          <w:rStyle w:val="FootnoteReference"/>
        </w:rPr>
        <w:footnoteRef/>
      </w:r>
      <w:r>
        <w:t xml:space="preserve"> </w:t>
      </w:r>
      <w:r>
        <w:tab/>
      </w:r>
      <w:r w:rsidRPr="00717317">
        <w:rPr>
          <w:highlight w:val="yellow"/>
        </w:rPr>
        <w:t>The ‘do NOT update ERC when smoothing’ option can be selected for certain analysis that seeks to isolate the impact of equity raising cost from the revenue requirement.</w:t>
      </w:r>
    </w:p>
  </w:footnote>
  <w:footnote w:id="24">
    <w:p w:rsidR="009D2F4B" w:rsidRDefault="009D2F4B">
      <w:pPr>
        <w:pStyle w:val="FootnoteText"/>
      </w:pPr>
      <w:r>
        <w:rPr>
          <w:rStyle w:val="FootnoteReference"/>
        </w:rPr>
        <w:footnoteRef/>
      </w:r>
      <w:r>
        <w:t xml:space="preserve"> </w:t>
      </w:r>
      <w:r>
        <w:tab/>
      </w:r>
      <w:r w:rsidRPr="00717317">
        <w:rPr>
          <w:rStyle w:val="AERtexthighlight"/>
        </w:rPr>
        <w:t xml:space="preserve">By default, the PTRM will use the most recent </w:t>
      </w:r>
      <w:r>
        <w:rPr>
          <w:rStyle w:val="AERtexthighlight"/>
        </w:rPr>
        <w:t>return on</w:t>
      </w:r>
      <w:r w:rsidRPr="00717317">
        <w:rPr>
          <w:rStyle w:val="AERtexthighlight"/>
        </w:rPr>
        <w:t xml:space="preserve"> debt </w:t>
      </w:r>
      <w:r>
        <w:rPr>
          <w:rStyle w:val="AERtexthighlight"/>
        </w:rPr>
        <w:t xml:space="preserve">value </w:t>
      </w:r>
      <w:r w:rsidRPr="00717317">
        <w:rPr>
          <w:rStyle w:val="AERtexthighlight"/>
        </w:rPr>
        <w:t xml:space="preserve">as the forecast for later years (where the </w:t>
      </w:r>
      <w:r>
        <w:rPr>
          <w:rStyle w:val="AERtexthighlight"/>
        </w:rPr>
        <w:t>return on</w:t>
      </w:r>
      <w:r w:rsidRPr="00717317">
        <w:rPr>
          <w:rStyle w:val="AERtexthighlight"/>
        </w:rPr>
        <w:t xml:space="preserve"> debt is not yet known). Hence, at each annual update the forecast for the remaining years in the regulatory control period will be updated.</w:t>
      </w:r>
    </w:p>
  </w:footnote>
  <w:footnote w:id="25">
    <w:p w:rsidR="009D2F4B" w:rsidRDefault="009D2F4B">
      <w:pPr>
        <w:pStyle w:val="FootnoteText"/>
      </w:pPr>
      <w:r>
        <w:rPr>
          <w:rStyle w:val="FootnoteReference"/>
        </w:rPr>
        <w:footnoteRef/>
      </w:r>
      <w:r>
        <w:t xml:space="preserve"> </w:t>
      </w:r>
      <w:r>
        <w:tab/>
      </w:r>
      <w:r w:rsidRPr="00717317">
        <w:rPr>
          <w:rStyle w:val="AERtexthighlight"/>
        </w:rPr>
        <w:t>If a TNSP was to propose an alternative approach (for instance, where multiple X factors were changed in response to a given year's annual return on debt update) this would need to be assessed as part of an individual determination and approved as part of the final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1" w:cryptProviderType="rsaFull" w:cryptAlgorithmClass="hash" w:cryptAlgorithmType="typeAny" w:cryptAlgorithmSid="4" w:cryptSpinCount="100000" w:hash="JRbX2MP3yDD4bcg+1DZVSB86alo=" w:salt="HfAXiVvX/K6QSUlCvd19hw=="/>
  <w:defaultTabStop w:val="720"/>
  <w:evenAndOddHeaders/>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2428\D14 122324  3.1.4 - Proposed amended transmission PTRM handbook.DOCX"/>
  </w:docVars>
  <w:rsids>
    <w:rsidRoot w:val="000C052F"/>
    <w:rsid w:val="00002F92"/>
    <w:rsid w:val="00011129"/>
    <w:rsid w:val="00017432"/>
    <w:rsid w:val="00022606"/>
    <w:rsid w:val="0003484A"/>
    <w:rsid w:val="00036E2D"/>
    <w:rsid w:val="00040599"/>
    <w:rsid w:val="00040749"/>
    <w:rsid w:val="00047042"/>
    <w:rsid w:val="000763A0"/>
    <w:rsid w:val="0007690A"/>
    <w:rsid w:val="00090CD3"/>
    <w:rsid w:val="00091E28"/>
    <w:rsid w:val="000955A2"/>
    <w:rsid w:val="000A1CC2"/>
    <w:rsid w:val="000A5342"/>
    <w:rsid w:val="000A7EE3"/>
    <w:rsid w:val="000B1108"/>
    <w:rsid w:val="000B15CA"/>
    <w:rsid w:val="000B43E5"/>
    <w:rsid w:val="000C052F"/>
    <w:rsid w:val="000C3430"/>
    <w:rsid w:val="000C577D"/>
    <w:rsid w:val="000D03C2"/>
    <w:rsid w:val="000D04B1"/>
    <w:rsid w:val="000D401F"/>
    <w:rsid w:val="000E1A25"/>
    <w:rsid w:val="000E659B"/>
    <w:rsid w:val="000F3A6A"/>
    <w:rsid w:val="001033B3"/>
    <w:rsid w:val="00105636"/>
    <w:rsid w:val="00113C25"/>
    <w:rsid w:val="001155CA"/>
    <w:rsid w:val="00117F90"/>
    <w:rsid w:val="00122FBA"/>
    <w:rsid w:val="00123C27"/>
    <w:rsid w:val="0013022D"/>
    <w:rsid w:val="00130566"/>
    <w:rsid w:val="001311B6"/>
    <w:rsid w:val="001543D2"/>
    <w:rsid w:val="00160061"/>
    <w:rsid w:val="00174026"/>
    <w:rsid w:val="00177A68"/>
    <w:rsid w:val="001856EE"/>
    <w:rsid w:val="00194C3C"/>
    <w:rsid w:val="001B1FB1"/>
    <w:rsid w:val="001B288B"/>
    <w:rsid w:val="001C12E5"/>
    <w:rsid w:val="001C726E"/>
    <w:rsid w:val="001E0D7C"/>
    <w:rsid w:val="0020711E"/>
    <w:rsid w:val="00210880"/>
    <w:rsid w:val="00211511"/>
    <w:rsid w:val="002257B9"/>
    <w:rsid w:val="0023137D"/>
    <w:rsid w:val="002475C9"/>
    <w:rsid w:val="00254CA5"/>
    <w:rsid w:val="00261D1B"/>
    <w:rsid w:val="00266710"/>
    <w:rsid w:val="002805B8"/>
    <w:rsid w:val="002915C0"/>
    <w:rsid w:val="002938CE"/>
    <w:rsid w:val="002A0A8D"/>
    <w:rsid w:val="002B6640"/>
    <w:rsid w:val="002D1BCB"/>
    <w:rsid w:val="002D61AC"/>
    <w:rsid w:val="002E4720"/>
    <w:rsid w:val="002F1E19"/>
    <w:rsid w:val="00300B44"/>
    <w:rsid w:val="00303452"/>
    <w:rsid w:val="003038AD"/>
    <w:rsid w:val="003324F7"/>
    <w:rsid w:val="00334F88"/>
    <w:rsid w:val="00336732"/>
    <w:rsid w:val="00345F45"/>
    <w:rsid w:val="00351411"/>
    <w:rsid w:val="0035211B"/>
    <w:rsid w:val="0035506F"/>
    <w:rsid w:val="0035515D"/>
    <w:rsid w:val="00362B9A"/>
    <w:rsid w:val="003707DB"/>
    <w:rsid w:val="00375AEC"/>
    <w:rsid w:val="00376236"/>
    <w:rsid w:val="0037652C"/>
    <w:rsid w:val="003800E4"/>
    <w:rsid w:val="00380FF5"/>
    <w:rsid w:val="0039038C"/>
    <w:rsid w:val="00393588"/>
    <w:rsid w:val="0039509D"/>
    <w:rsid w:val="00395438"/>
    <w:rsid w:val="00397AAE"/>
    <w:rsid w:val="003A46FE"/>
    <w:rsid w:val="003A6174"/>
    <w:rsid w:val="003B08BA"/>
    <w:rsid w:val="003B7FE3"/>
    <w:rsid w:val="003E048C"/>
    <w:rsid w:val="003E093F"/>
    <w:rsid w:val="004030AB"/>
    <w:rsid w:val="00412282"/>
    <w:rsid w:val="00415CEF"/>
    <w:rsid w:val="004256BA"/>
    <w:rsid w:val="00431999"/>
    <w:rsid w:val="00433D80"/>
    <w:rsid w:val="00435682"/>
    <w:rsid w:val="00451FE5"/>
    <w:rsid w:val="00456081"/>
    <w:rsid w:val="00464F5D"/>
    <w:rsid w:val="00471AD2"/>
    <w:rsid w:val="00474FBD"/>
    <w:rsid w:val="00476458"/>
    <w:rsid w:val="00491D7D"/>
    <w:rsid w:val="004924BD"/>
    <w:rsid w:val="004A540B"/>
    <w:rsid w:val="004C3F45"/>
    <w:rsid w:val="004E40EF"/>
    <w:rsid w:val="004E5CA1"/>
    <w:rsid w:val="004E73F7"/>
    <w:rsid w:val="004F76A0"/>
    <w:rsid w:val="00500E7F"/>
    <w:rsid w:val="005120AB"/>
    <w:rsid w:val="0052179D"/>
    <w:rsid w:val="005456A9"/>
    <w:rsid w:val="00555D52"/>
    <w:rsid w:val="005566D7"/>
    <w:rsid w:val="00556D14"/>
    <w:rsid w:val="005573F4"/>
    <w:rsid w:val="00561F7F"/>
    <w:rsid w:val="00566B35"/>
    <w:rsid w:val="005732CC"/>
    <w:rsid w:val="00575422"/>
    <w:rsid w:val="00576A5D"/>
    <w:rsid w:val="005853DB"/>
    <w:rsid w:val="005854EF"/>
    <w:rsid w:val="005938C6"/>
    <w:rsid w:val="005A0431"/>
    <w:rsid w:val="005A09A2"/>
    <w:rsid w:val="005B3752"/>
    <w:rsid w:val="005B61C2"/>
    <w:rsid w:val="005C3728"/>
    <w:rsid w:val="005D26B7"/>
    <w:rsid w:val="005D3ADA"/>
    <w:rsid w:val="005D4AA1"/>
    <w:rsid w:val="005E5117"/>
    <w:rsid w:val="0060146C"/>
    <w:rsid w:val="0060207D"/>
    <w:rsid w:val="006039F2"/>
    <w:rsid w:val="006061B0"/>
    <w:rsid w:val="0060732E"/>
    <w:rsid w:val="006076A9"/>
    <w:rsid w:val="0063341F"/>
    <w:rsid w:val="0064379D"/>
    <w:rsid w:val="00644DF5"/>
    <w:rsid w:val="00652B51"/>
    <w:rsid w:val="006544EA"/>
    <w:rsid w:val="0066569F"/>
    <w:rsid w:val="0066781E"/>
    <w:rsid w:val="0069004B"/>
    <w:rsid w:val="006A041A"/>
    <w:rsid w:val="006A190A"/>
    <w:rsid w:val="006A7DC6"/>
    <w:rsid w:val="006B08EB"/>
    <w:rsid w:val="006B481F"/>
    <w:rsid w:val="006B5886"/>
    <w:rsid w:val="006C188B"/>
    <w:rsid w:val="006F638E"/>
    <w:rsid w:val="00703E42"/>
    <w:rsid w:val="0071301D"/>
    <w:rsid w:val="0071470B"/>
    <w:rsid w:val="007162D4"/>
    <w:rsid w:val="00717317"/>
    <w:rsid w:val="007368AD"/>
    <w:rsid w:val="00751D2A"/>
    <w:rsid w:val="00755095"/>
    <w:rsid w:val="00764470"/>
    <w:rsid w:val="007826D9"/>
    <w:rsid w:val="00794E3E"/>
    <w:rsid w:val="00796A07"/>
    <w:rsid w:val="007E0C42"/>
    <w:rsid w:val="007F10E3"/>
    <w:rsid w:val="007F2C0E"/>
    <w:rsid w:val="008027D8"/>
    <w:rsid w:val="00803767"/>
    <w:rsid w:val="00804AEB"/>
    <w:rsid w:val="008101DD"/>
    <w:rsid w:val="00824CC8"/>
    <w:rsid w:val="00836D17"/>
    <w:rsid w:val="00836F4E"/>
    <w:rsid w:val="00840A55"/>
    <w:rsid w:val="00841E25"/>
    <w:rsid w:val="008464CD"/>
    <w:rsid w:val="00846CA2"/>
    <w:rsid w:val="008515EE"/>
    <w:rsid w:val="00861C4E"/>
    <w:rsid w:val="00866D21"/>
    <w:rsid w:val="00872D85"/>
    <w:rsid w:val="00883CFF"/>
    <w:rsid w:val="00883DDA"/>
    <w:rsid w:val="00891FF9"/>
    <w:rsid w:val="00893367"/>
    <w:rsid w:val="00893D07"/>
    <w:rsid w:val="00894A2B"/>
    <w:rsid w:val="008A3E88"/>
    <w:rsid w:val="008A55A1"/>
    <w:rsid w:val="008B7956"/>
    <w:rsid w:val="008C1439"/>
    <w:rsid w:val="008C3722"/>
    <w:rsid w:val="008C3B67"/>
    <w:rsid w:val="008C3F48"/>
    <w:rsid w:val="008C6A82"/>
    <w:rsid w:val="008D1E28"/>
    <w:rsid w:val="008D49B4"/>
    <w:rsid w:val="008D7498"/>
    <w:rsid w:val="008E2547"/>
    <w:rsid w:val="008E71A6"/>
    <w:rsid w:val="008E7817"/>
    <w:rsid w:val="0090133C"/>
    <w:rsid w:val="00932E96"/>
    <w:rsid w:val="009418E6"/>
    <w:rsid w:val="0094235F"/>
    <w:rsid w:val="0094279F"/>
    <w:rsid w:val="00946B98"/>
    <w:rsid w:val="0095052A"/>
    <w:rsid w:val="00952BB5"/>
    <w:rsid w:val="0096305C"/>
    <w:rsid w:val="00964A1B"/>
    <w:rsid w:val="00964F04"/>
    <w:rsid w:val="009658F0"/>
    <w:rsid w:val="00971655"/>
    <w:rsid w:val="00971C63"/>
    <w:rsid w:val="00980605"/>
    <w:rsid w:val="009A4AE9"/>
    <w:rsid w:val="009C1DA4"/>
    <w:rsid w:val="009C71D5"/>
    <w:rsid w:val="009D2F4B"/>
    <w:rsid w:val="009D3DDA"/>
    <w:rsid w:val="009F6F22"/>
    <w:rsid w:val="009F7CE4"/>
    <w:rsid w:val="00A11162"/>
    <w:rsid w:val="00A17C60"/>
    <w:rsid w:val="00A275E3"/>
    <w:rsid w:val="00A43227"/>
    <w:rsid w:val="00A46CCD"/>
    <w:rsid w:val="00A5179B"/>
    <w:rsid w:val="00A65133"/>
    <w:rsid w:val="00A652C5"/>
    <w:rsid w:val="00A736C1"/>
    <w:rsid w:val="00A76707"/>
    <w:rsid w:val="00A8189E"/>
    <w:rsid w:val="00A81B8A"/>
    <w:rsid w:val="00A824F2"/>
    <w:rsid w:val="00A85C5A"/>
    <w:rsid w:val="00A91246"/>
    <w:rsid w:val="00A966A6"/>
    <w:rsid w:val="00A96A08"/>
    <w:rsid w:val="00AA0161"/>
    <w:rsid w:val="00AB1D08"/>
    <w:rsid w:val="00AB2E8F"/>
    <w:rsid w:val="00AB4345"/>
    <w:rsid w:val="00AB57B0"/>
    <w:rsid w:val="00AB5BD7"/>
    <w:rsid w:val="00AC0135"/>
    <w:rsid w:val="00AC070D"/>
    <w:rsid w:val="00AC1B94"/>
    <w:rsid w:val="00AD0616"/>
    <w:rsid w:val="00AD34FF"/>
    <w:rsid w:val="00AD4DE6"/>
    <w:rsid w:val="00AD55BB"/>
    <w:rsid w:val="00AE6DBC"/>
    <w:rsid w:val="00AF28E4"/>
    <w:rsid w:val="00AF3E95"/>
    <w:rsid w:val="00AF7C67"/>
    <w:rsid w:val="00B11BB8"/>
    <w:rsid w:val="00B15FE9"/>
    <w:rsid w:val="00B23774"/>
    <w:rsid w:val="00B47945"/>
    <w:rsid w:val="00B51883"/>
    <w:rsid w:val="00B521DF"/>
    <w:rsid w:val="00B61FD4"/>
    <w:rsid w:val="00B641E0"/>
    <w:rsid w:val="00B674DB"/>
    <w:rsid w:val="00B67E7B"/>
    <w:rsid w:val="00B806F6"/>
    <w:rsid w:val="00B82E8D"/>
    <w:rsid w:val="00B9264D"/>
    <w:rsid w:val="00B94D99"/>
    <w:rsid w:val="00BB0D47"/>
    <w:rsid w:val="00BB1BF2"/>
    <w:rsid w:val="00BB3422"/>
    <w:rsid w:val="00BB3FA1"/>
    <w:rsid w:val="00BB62BB"/>
    <w:rsid w:val="00BC011A"/>
    <w:rsid w:val="00BC05C5"/>
    <w:rsid w:val="00BD04BE"/>
    <w:rsid w:val="00BD4E35"/>
    <w:rsid w:val="00BE5E7E"/>
    <w:rsid w:val="00BE6F28"/>
    <w:rsid w:val="00BF29FA"/>
    <w:rsid w:val="00BF68B7"/>
    <w:rsid w:val="00C04D2B"/>
    <w:rsid w:val="00C1164B"/>
    <w:rsid w:val="00C23E3E"/>
    <w:rsid w:val="00C30A9B"/>
    <w:rsid w:val="00C4694E"/>
    <w:rsid w:val="00C54199"/>
    <w:rsid w:val="00C61E7A"/>
    <w:rsid w:val="00C63AD1"/>
    <w:rsid w:val="00C640A9"/>
    <w:rsid w:val="00C737C5"/>
    <w:rsid w:val="00C7535D"/>
    <w:rsid w:val="00C930E4"/>
    <w:rsid w:val="00C96053"/>
    <w:rsid w:val="00CA3540"/>
    <w:rsid w:val="00CA6DED"/>
    <w:rsid w:val="00CA7EFD"/>
    <w:rsid w:val="00CC1EDC"/>
    <w:rsid w:val="00CC49D4"/>
    <w:rsid w:val="00CD409A"/>
    <w:rsid w:val="00CE6DB2"/>
    <w:rsid w:val="00CE6F5A"/>
    <w:rsid w:val="00CF42CF"/>
    <w:rsid w:val="00D00A02"/>
    <w:rsid w:val="00D102E9"/>
    <w:rsid w:val="00D12402"/>
    <w:rsid w:val="00D1688F"/>
    <w:rsid w:val="00D2117F"/>
    <w:rsid w:val="00D25317"/>
    <w:rsid w:val="00D357AE"/>
    <w:rsid w:val="00D60B53"/>
    <w:rsid w:val="00D66E8B"/>
    <w:rsid w:val="00D85715"/>
    <w:rsid w:val="00D8706C"/>
    <w:rsid w:val="00D93E9C"/>
    <w:rsid w:val="00D968BF"/>
    <w:rsid w:val="00DA4C62"/>
    <w:rsid w:val="00DB1148"/>
    <w:rsid w:val="00DB6A17"/>
    <w:rsid w:val="00DC4736"/>
    <w:rsid w:val="00DD13BD"/>
    <w:rsid w:val="00DD4E84"/>
    <w:rsid w:val="00DD5520"/>
    <w:rsid w:val="00DF16C2"/>
    <w:rsid w:val="00DF2931"/>
    <w:rsid w:val="00E0039A"/>
    <w:rsid w:val="00E00F76"/>
    <w:rsid w:val="00E0415F"/>
    <w:rsid w:val="00E103C3"/>
    <w:rsid w:val="00E21E75"/>
    <w:rsid w:val="00E261B3"/>
    <w:rsid w:val="00E32721"/>
    <w:rsid w:val="00E35D91"/>
    <w:rsid w:val="00E46AA7"/>
    <w:rsid w:val="00E519DC"/>
    <w:rsid w:val="00E53506"/>
    <w:rsid w:val="00E56517"/>
    <w:rsid w:val="00E571E2"/>
    <w:rsid w:val="00E73513"/>
    <w:rsid w:val="00E807DA"/>
    <w:rsid w:val="00E84E3A"/>
    <w:rsid w:val="00E86EE3"/>
    <w:rsid w:val="00EA05AF"/>
    <w:rsid w:val="00EB5CDF"/>
    <w:rsid w:val="00EC43B9"/>
    <w:rsid w:val="00ED09CD"/>
    <w:rsid w:val="00ED0A88"/>
    <w:rsid w:val="00ED47A4"/>
    <w:rsid w:val="00ED4D69"/>
    <w:rsid w:val="00EE362F"/>
    <w:rsid w:val="00EF0E19"/>
    <w:rsid w:val="00F0258A"/>
    <w:rsid w:val="00F068F7"/>
    <w:rsid w:val="00F070B5"/>
    <w:rsid w:val="00F114AE"/>
    <w:rsid w:val="00F1463E"/>
    <w:rsid w:val="00F164A0"/>
    <w:rsid w:val="00F247DB"/>
    <w:rsid w:val="00F26CDB"/>
    <w:rsid w:val="00F43CA0"/>
    <w:rsid w:val="00F55030"/>
    <w:rsid w:val="00F7696F"/>
    <w:rsid w:val="00F8209B"/>
    <w:rsid w:val="00F85AB0"/>
    <w:rsid w:val="00F97CD9"/>
    <w:rsid w:val="00FA0576"/>
    <w:rsid w:val="00FA2161"/>
    <w:rsid w:val="00FB50B4"/>
    <w:rsid w:val="00FB708C"/>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210811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yperlink" Target="mailto:AERInquiry@aer.gov.au" TargetMode="External"/><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shing.unit@accc.gov.au" TargetMode="External"/><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CFE4-1AEF-46A5-B195-9BBD839D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3A89F2E0.dotm</Template>
  <TotalTime>340</TotalTime>
  <Pages>30</Pages>
  <Words>7761</Words>
  <Characters>44239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51897</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Yap, Kenny</cp:lastModifiedBy>
  <cp:revision>23</cp:revision>
  <cp:lastPrinted>2012-05-03T01:13:00Z</cp:lastPrinted>
  <dcterms:created xsi:type="dcterms:W3CDTF">2014-09-24T02:37:00Z</dcterms:created>
  <dcterms:modified xsi:type="dcterms:W3CDTF">2014-10-03T02:46:00Z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8272471</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\\SCBRFS001\home$\KYAP\proposed amended transmission (D2014-00128831).docx</vt:lpwstr>
  </property>
</Properties>
</file>