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E9" w:rsidRDefault="005365E9" w:rsidP="005365E9">
      <w:pPr>
        <w:pStyle w:val="AERbodytext"/>
        <w:ind w:hanging="851"/>
        <w:rPr>
          <w:rFonts w:ascii="Arial" w:hAnsi="Arial" w:cs="Arial"/>
          <w:i/>
          <w:sz w:val="22"/>
          <w:szCs w:val="22"/>
        </w:rPr>
      </w:pPr>
      <w:bookmarkStart w:id="0" w:name="OLE_LINK2"/>
      <w:bookmarkStart w:id="1" w:name="OLE_LINK3"/>
      <w:r w:rsidRPr="005365E9">
        <w:rPr>
          <w:rFonts w:ascii="Arial" w:hAnsi="Arial" w:cs="Arial"/>
          <w:noProof/>
          <w:sz w:val="22"/>
          <w:szCs w:val="2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ER_A4 news release" style="width:534pt;height:94.5pt;visibility:visible">
            <v:imagedata r:id="rId4" o:title="AER_A4 news release"/>
          </v:shape>
        </w:pict>
      </w:r>
      <w:bookmarkEnd w:id="0"/>
      <w:bookmarkEnd w:id="1"/>
    </w:p>
    <w:p w:rsidR="005365E9" w:rsidRPr="005365E9" w:rsidRDefault="005365E9" w:rsidP="005365E9">
      <w:pPr>
        <w:pStyle w:val="AERbodytext"/>
        <w:rPr>
          <w:rFonts w:ascii="Arial" w:hAnsi="Arial" w:cs="Arial"/>
          <w:b/>
        </w:rPr>
      </w:pPr>
      <w:r w:rsidRPr="005365E9">
        <w:rPr>
          <w:rFonts w:ascii="Arial" w:hAnsi="Arial" w:cs="Arial"/>
          <w:b/>
        </w:rPr>
        <w:t>AER VARIES VICTORIAN ELECTR</w:t>
      </w:r>
      <w:r w:rsidR="00385F5C">
        <w:rPr>
          <w:rFonts w:ascii="Arial" w:hAnsi="Arial" w:cs="Arial"/>
          <w:b/>
        </w:rPr>
        <w:t>I</w:t>
      </w:r>
      <w:r w:rsidRPr="005365E9">
        <w:rPr>
          <w:rFonts w:ascii="Arial" w:hAnsi="Arial" w:cs="Arial"/>
          <w:b/>
        </w:rPr>
        <w:t>CITY NETWORK CHARGES FOLLOWING TRIBUNAL DECISION</w:t>
      </w:r>
    </w:p>
    <w:p w:rsidR="005365E9" w:rsidRPr="005365E9" w:rsidRDefault="005365E9" w:rsidP="005365E9">
      <w:pPr>
        <w:rPr>
          <w:rFonts w:ascii="Arial" w:eastAsia="Times New Roman" w:hAnsi="Arial" w:cs="Arial"/>
          <w:b/>
        </w:rPr>
      </w:pPr>
      <w:r>
        <w:rPr>
          <w:rFonts w:ascii="Arial" w:eastAsia="Times New Roman" w:hAnsi="Arial" w:cs="Arial"/>
          <w:b/>
        </w:rPr>
        <w:t>Attachment</w:t>
      </w:r>
    </w:p>
    <w:p w:rsidR="005365E9" w:rsidRPr="005365E9" w:rsidRDefault="005365E9" w:rsidP="005365E9">
      <w:pPr>
        <w:rPr>
          <w:rFonts w:ascii="Arial" w:eastAsia="Times New Roman" w:hAnsi="Arial" w:cs="Arial"/>
          <w:b/>
        </w:rPr>
      </w:pPr>
      <w:r w:rsidRPr="005365E9">
        <w:rPr>
          <w:rFonts w:ascii="Arial" w:eastAsia="Times New Roman" w:hAnsi="Arial" w:cs="Arial"/>
          <w:b/>
        </w:rPr>
        <w:t xml:space="preserve">Indicative annual network tariff increase arising from the remade determinations for average residential customers for 2013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835"/>
        <w:gridCol w:w="2835"/>
      </w:tblGrid>
      <w:tr w:rsidR="005365E9" w:rsidRPr="005365E9" w:rsidTr="004A7379">
        <w:tc>
          <w:tcPr>
            <w:tcW w:w="2835" w:type="dxa"/>
          </w:tcPr>
          <w:p w:rsidR="005365E9" w:rsidRPr="005365E9" w:rsidRDefault="005365E9" w:rsidP="004A7379">
            <w:pPr>
              <w:pStyle w:val="AERtable"/>
              <w:rPr>
                <w:rFonts w:ascii="Arial" w:hAnsi="Arial" w:cs="Arial"/>
                <w:b/>
                <w:sz w:val="22"/>
                <w:szCs w:val="22"/>
              </w:rPr>
            </w:pPr>
            <w:proofErr w:type="spellStart"/>
            <w:r w:rsidRPr="005365E9">
              <w:rPr>
                <w:rFonts w:ascii="Arial" w:hAnsi="Arial" w:cs="Arial"/>
                <w:b/>
                <w:sz w:val="22"/>
                <w:szCs w:val="22"/>
              </w:rPr>
              <w:t>DNSP</w:t>
            </w:r>
            <w:proofErr w:type="spellEnd"/>
          </w:p>
        </w:tc>
        <w:tc>
          <w:tcPr>
            <w:tcW w:w="2835" w:type="dxa"/>
          </w:tcPr>
          <w:p w:rsidR="005365E9" w:rsidRPr="005365E9" w:rsidRDefault="005365E9" w:rsidP="004A7379">
            <w:pPr>
              <w:pStyle w:val="AERtable"/>
              <w:jc w:val="center"/>
              <w:rPr>
                <w:rFonts w:ascii="Arial" w:hAnsi="Arial" w:cs="Arial"/>
                <w:sz w:val="22"/>
                <w:szCs w:val="22"/>
              </w:rPr>
            </w:pPr>
            <w:r w:rsidRPr="005365E9">
              <w:rPr>
                <w:rFonts w:ascii="Arial" w:hAnsi="Arial" w:cs="Arial"/>
                <w:sz w:val="22"/>
                <w:szCs w:val="22"/>
              </w:rPr>
              <w:t>Network tariff increase ($)</w:t>
            </w:r>
          </w:p>
          <w:p w:rsidR="005365E9" w:rsidRPr="005365E9" w:rsidRDefault="005365E9" w:rsidP="004A7379">
            <w:pPr>
              <w:pStyle w:val="AERtable"/>
              <w:jc w:val="center"/>
              <w:rPr>
                <w:rFonts w:ascii="Arial" w:hAnsi="Arial" w:cs="Arial"/>
                <w:sz w:val="22"/>
                <w:szCs w:val="22"/>
              </w:rPr>
            </w:pPr>
            <w:r w:rsidRPr="005365E9">
              <w:rPr>
                <w:rFonts w:ascii="Arial" w:hAnsi="Arial" w:cs="Arial"/>
                <w:sz w:val="22"/>
                <w:szCs w:val="22"/>
              </w:rPr>
              <w:t>2013</w:t>
            </w:r>
          </w:p>
        </w:tc>
        <w:tc>
          <w:tcPr>
            <w:tcW w:w="2835" w:type="dxa"/>
          </w:tcPr>
          <w:p w:rsidR="005365E9" w:rsidRPr="005365E9" w:rsidRDefault="005365E9" w:rsidP="004A7379">
            <w:pPr>
              <w:pStyle w:val="AERtable"/>
              <w:jc w:val="center"/>
              <w:rPr>
                <w:rFonts w:ascii="Arial" w:hAnsi="Arial" w:cs="Arial"/>
                <w:sz w:val="22"/>
                <w:szCs w:val="22"/>
              </w:rPr>
            </w:pPr>
            <w:r w:rsidRPr="005365E9">
              <w:rPr>
                <w:rFonts w:ascii="Arial" w:hAnsi="Arial" w:cs="Arial"/>
                <w:sz w:val="22"/>
                <w:szCs w:val="22"/>
              </w:rPr>
              <w:t>Change (%)</w:t>
            </w:r>
          </w:p>
        </w:tc>
      </w:tr>
      <w:tr w:rsidR="005365E9" w:rsidRPr="005365E9" w:rsidTr="004A7379">
        <w:tc>
          <w:tcPr>
            <w:tcW w:w="2835" w:type="dxa"/>
          </w:tcPr>
          <w:p w:rsidR="005365E9" w:rsidRPr="005365E9" w:rsidRDefault="005365E9" w:rsidP="004A7379">
            <w:pPr>
              <w:pStyle w:val="AERtable"/>
              <w:rPr>
                <w:rFonts w:ascii="Arial" w:hAnsi="Arial" w:cs="Arial"/>
                <w:sz w:val="22"/>
                <w:szCs w:val="22"/>
              </w:rPr>
            </w:pPr>
            <w:proofErr w:type="spellStart"/>
            <w:r w:rsidRPr="005365E9">
              <w:rPr>
                <w:rFonts w:ascii="Arial" w:hAnsi="Arial" w:cs="Arial"/>
                <w:sz w:val="22"/>
                <w:szCs w:val="22"/>
              </w:rPr>
              <w:t>CitiPower</w:t>
            </w:r>
            <w:proofErr w:type="spellEnd"/>
          </w:p>
        </w:tc>
        <w:tc>
          <w:tcPr>
            <w:tcW w:w="2835" w:type="dxa"/>
          </w:tcPr>
          <w:p w:rsidR="005365E9" w:rsidRPr="005365E9" w:rsidRDefault="005365E9" w:rsidP="004A7379">
            <w:pPr>
              <w:jc w:val="center"/>
              <w:rPr>
                <w:rFonts w:ascii="Arial" w:hAnsi="Arial" w:cs="Arial"/>
              </w:rPr>
            </w:pPr>
            <w:r w:rsidRPr="005365E9">
              <w:rPr>
                <w:rFonts w:ascii="Arial" w:hAnsi="Arial" w:cs="Arial"/>
              </w:rPr>
              <w:t>13</w:t>
            </w:r>
          </w:p>
        </w:tc>
        <w:tc>
          <w:tcPr>
            <w:tcW w:w="2835" w:type="dxa"/>
          </w:tcPr>
          <w:p w:rsidR="005365E9" w:rsidRPr="005365E9" w:rsidRDefault="005365E9" w:rsidP="004A7379">
            <w:pPr>
              <w:jc w:val="center"/>
              <w:rPr>
                <w:rFonts w:ascii="Arial" w:hAnsi="Arial" w:cs="Arial"/>
              </w:rPr>
            </w:pPr>
            <w:r w:rsidRPr="005365E9">
              <w:rPr>
                <w:rFonts w:ascii="Arial" w:hAnsi="Arial" w:cs="Arial"/>
              </w:rPr>
              <w:t>2.4</w:t>
            </w:r>
          </w:p>
        </w:tc>
      </w:tr>
      <w:tr w:rsidR="005365E9" w:rsidRPr="005365E9" w:rsidTr="004A7379">
        <w:tc>
          <w:tcPr>
            <w:tcW w:w="2835" w:type="dxa"/>
          </w:tcPr>
          <w:p w:rsidR="005365E9" w:rsidRPr="005365E9" w:rsidRDefault="005365E9" w:rsidP="004A7379">
            <w:pPr>
              <w:pStyle w:val="AERtable"/>
              <w:rPr>
                <w:rFonts w:ascii="Arial" w:hAnsi="Arial" w:cs="Arial"/>
                <w:sz w:val="22"/>
                <w:szCs w:val="22"/>
              </w:rPr>
            </w:pPr>
            <w:proofErr w:type="spellStart"/>
            <w:r w:rsidRPr="005365E9">
              <w:rPr>
                <w:rFonts w:ascii="Arial" w:hAnsi="Arial" w:cs="Arial"/>
                <w:sz w:val="22"/>
                <w:szCs w:val="22"/>
              </w:rPr>
              <w:t>Powercor</w:t>
            </w:r>
            <w:proofErr w:type="spellEnd"/>
          </w:p>
        </w:tc>
        <w:tc>
          <w:tcPr>
            <w:tcW w:w="2835" w:type="dxa"/>
          </w:tcPr>
          <w:p w:rsidR="005365E9" w:rsidRPr="005365E9" w:rsidRDefault="005365E9" w:rsidP="004A7379">
            <w:pPr>
              <w:jc w:val="center"/>
              <w:rPr>
                <w:rFonts w:ascii="Arial" w:hAnsi="Arial" w:cs="Arial"/>
              </w:rPr>
            </w:pPr>
            <w:r w:rsidRPr="005365E9">
              <w:rPr>
                <w:rFonts w:ascii="Arial" w:hAnsi="Arial" w:cs="Arial"/>
              </w:rPr>
              <w:t>19</w:t>
            </w:r>
          </w:p>
        </w:tc>
        <w:tc>
          <w:tcPr>
            <w:tcW w:w="2835" w:type="dxa"/>
          </w:tcPr>
          <w:p w:rsidR="005365E9" w:rsidRPr="005365E9" w:rsidRDefault="005365E9" w:rsidP="004A7379">
            <w:pPr>
              <w:jc w:val="center"/>
              <w:rPr>
                <w:rFonts w:ascii="Arial" w:hAnsi="Arial" w:cs="Arial"/>
              </w:rPr>
            </w:pPr>
            <w:r w:rsidRPr="005365E9">
              <w:rPr>
                <w:rFonts w:ascii="Arial" w:hAnsi="Arial" w:cs="Arial"/>
              </w:rPr>
              <w:t>2.3</w:t>
            </w:r>
          </w:p>
        </w:tc>
      </w:tr>
      <w:tr w:rsidR="005365E9" w:rsidRPr="005365E9" w:rsidTr="004A7379">
        <w:tc>
          <w:tcPr>
            <w:tcW w:w="2835" w:type="dxa"/>
          </w:tcPr>
          <w:p w:rsidR="005365E9" w:rsidRPr="005365E9" w:rsidRDefault="005365E9" w:rsidP="004A7379">
            <w:pPr>
              <w:pStyle w:val="AERtable"/>
              <w:rPr>
                <w:rFonts w:ascii="Arial" w:hAnsi="Arial" w:cs="Arial"/>
                <w:sz w:val="22"/>
                <w:szCs w:val="22"/>
              </w:rPr>
            </w:pPr>
            <w:proofErr w:type="spellStart"/>
            <w:r w:rsidRPr="005365E9">
              <w:rPr>
                <w:rFonts w:ascii="Arial" w:hAnsi="Arial" w:cs="Arial"/>
                <w:sz w:val="22"/>
                <w:szCs w:val="22"/>
              </w:rPr>
              <w:t>Jemena</w:t>
            </w:r>
            <w:proofErr w:type="spellEnd"/>
            <w:r w:rsidRPr="005365E9">
              <w:rPr>
                <w:rFonts w:ascii="Arial" w:hAnsi="Arial" w:cs="Arial"/>
                <w:sz w:val="22"/>
                <w:szCs w:val="22"/>
              </w:rPr>
              <w:t xml:space="preserve"> Electricity Networks</w:t>
            </w:r>
          </w:p>
        </w:tc>
        <w:tc>
          <w:tcPr>
            <w:tcW w:w="2835" w:type="dxa"/>
          </w:tcPr>
          <w:p w:rsidR="005365E9" w:rsidRPr="005365E9" w:rsidRDefault="005365E9" w:rsidP="004A7379">
            <w:pPr>
              <w:jc w:val="center"/>
              <w:rPr>
                <w:rFonts w:ascii="Arial" w:hAnsi="Arial" w:cs="Arial"/>
              </w:rPr>
            </w:pPr>
            <w:r w:rsidRPr="005365E9">
              <w:rPr>
                <w:rFonts w:ascii="Arial" w:hAnsi="Arial" w:cs="Arial"/>
              </w:rPr>
              <w:t>39</w:t>
            </w:r>
          </w:p>
        </w:tc>
        <w:tc>
          <w:tcPr>
            <w:tcW w:w="2835" w:type="dxa"/>
          </w:tcPr>
          <w:p w:rsidR="005365E9" w:rsidRPr="005365E9" w:rsidRDefault="005365E9" w:rsidP="004A7379">
            <w:pPr>
              <w:jc w:val="center"/>
              <w:rPr>
                <w:rFonts w:ascii="Arial" w:hAnsi="Arial" w:cs="Arial"/>
              </w:rPr>
            </w:pPr>
            <w:r w:rsidRPr="005365E9">
              <w:rPr>
                <w:rFonts w:ascii="Arial" w:hAnsi="Arial" w:cs="Arial"/>
              </w:rPr>
              <w:t>5.4</w:t>
            </w:r>
          </w:p>
        </w:tc>
      </w:tr>
      <w:tr w:rsidR="005365E9" w:rsidRPr="005365E9" w:rsidTr="004A7379">
        <w:tc>
          <w:tcPr>
            <w:tcW w:w="2835" w:type="dxa"/>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 xml:space="preserve">SP </w:t>
            </w:r>
            <w:proofErr w:type="spellStart"/>
            <w:r w:rsidRPr="005365E9">
              <w:rPr>
                <w:rFonts w:ascii="Arial" w:hAnsi="Arial" w:cs="Arial"/>
                <w:sz w:val="22"/>
                <w:szCs w:val="22"/>
              </w:rPr>
              <w:t>AusNet</w:t>
            </w:r>
            <w:proofErr w:type="spellEnd"/>
          </w:p>
        </w:tc>
        <w:tc>
          <w:tcPr>
            <w:tcW w:w="2835" w:type="dxa"/>
          </w:tcPr>
          <w:p w:rsidR="005365E9" w:rsidRPr="005365E9" w:rsidRDefault="005365E9" w:rsidP="004A7379">
            <w:pPr>
              <w:jc w:val="center"/>
              <w:rPr>
                <w:rFonts w:ascii="Arial" w:hAnsi="Arial" w:cs="Arial"/>
              </w:rPr>
            </w:pPr>
            <w:r w:rsidRPr="005365E9">
              <w:rPr>
                <w:rFonts w:ascii="Arial" w:hAnsi="Arial" w:cs="Arial"/>
              </w:rPr>
              <w:t>8</w:t>
            </w:r>
          </w:p>
        </w:tc>
        <w:tc>
          <w:tcPr>
            <w:tcW w:w="2835" w:type="dxa"/>
          </w:tcPr>
          <w:p w:rsidR="005365E9" w:rsidRPr="005365E9" w:rsidRDefault="005365E9" w:rsidP="004A7379">
            <w:pPr>
              <w:jc w:val="center"/>
              <w:rPr>
                <w:rFonts w:ascii="Arial" w:hAnsi="Arial" w:cs="Arial"/>
              </w:rPr>
            </w:pPr>
            <w:r w:rsidRPr="005365E9">
              <w:rPr>
                <w:rFonts w:ascii="Arial" w:hAnsi="Arial" w:cs="Arial"/>
              </w:rPr>
              <w:t>1.1</w:t>
            </w:r>
          </w:p>
        </w:tc>
      </w:tr>
      <w:tr w:rsidR="005365E9" w:rsidRPr="005365E9" w:rsidTr="004A7379">
        <w:tc>
          <w:tcPr>
            <w:tcW w:w="2835" w:type="dxa"/>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United Energy</w:t>
            </w:r>
          </w:p>
        </w:tc>
        <w:tc>
          <w:tcPr>
            <w:tcW w:w="2835" w:type="dxa"/>
          </w:tcPr>
          <w:p w:rsidR="005365E9" w:rsidRPr="005365E9" w:rsidRDefault="005365E9" w:rsidP="004A7379">
            <w:pPr>
              <w:jc w:val="center"/>
              <w:rPr>
                <w:rFonts w:ascii="Arial" w:hAnsi="Arial" w:cs="Arial"/>
              </w:rPr>
            </w:pPr>
            <w:r w:rsidRPr="005365E9">
              <w:rPr>
                <w:rFonts w:ascii="Arial" w:hAnsi="Arial" w:cs="Arial"/>
              </w:rPr>
              <w:t>13</w:t>
            </w:r>
          </w:p>
        </w:tc>
        <w:tc>
          <w:tcPr>
            <w:tcW w:w="2835" w:type="dxa"/>
          </w:tcPr>
          <w:p w:rsidR="005365E9" w:rsidRPr="005365E9" w:rsidRDefault="005365E9" w:rsidP="004A7379">
            <w:pPr>
              <w:jc w:val="center"/>
              <w:rPr>
                <w:rFonts w:ascii="Arial" w:hAnsi="Arial" w:cs="Arial"/>
              </w:rPr>
            </w:pPr>
            <w:r w:rsidRPr="005365E9">
              <w:rPr>
                <w:rFonts w:ascii="Arial" w:hAnsi="Arial" w:cs="Arial"/>
              </w:rPr>
              <w:t>1.9</w:t>
            </w:r>
          </w:p>
        </w:tc>
      </w:tr>
      <w:tr w:rsidR="005365E9" w:rsidRPr="005365E9" w:rsidTr="004A7379">
        <w:tc>
          <w:tcPr>
            <w:tcW w:w="2835" w:type="dxa"/>
          </w:tcPr>
          <w:p w:rsidR="005365E9" w:rsidRPr="005365E9" w:rsidRDefault="005365E9" w:rsidP="004A7379">
            <w:pPr>
              <w:pStyle w:val="AERtable"/>
              <w:rPr>
                <w:rFonts w:ascii="Arial" w:hAnsi="Arial" w:cs="Arial"/>
                <w:b/>
                <w:sz w:val="22"/>
                <w:szCs w:val="22"/>
              </w:rPr>
            </w:pPr>
            <w:r w:rsidRPr="005365E9">
              <w:rPr>
                <w:rFonts w:ascii="Arial" w:hAnsi="Arial" w:cs="Arial"/>
                <w:b/>
                <w:sz w:val="22"/>
                <w:szCs w:val="22"/>
              </w:rPr>
              <w:t xml:space="preserve">All </w:t>
            </w:r>
            <w:proofErr w:type="spellStart"/>
            <w:r w:rsidRPr="005365E9">
              <w:rPr>
                <w:rFonts w:ascii="Arial" w:hAnsi="Arial" w:cs="Arial"/>
                <w:b/>
                <w:sz w:val="22"/>
                <w:szCs w:val="22"/>
              </w:rPr>
              <w:t>DNSPs</w:t>
            </w:r>
            <w:proofErr w:type="spellEnd"/>
          </w:p>
        </w:tc>
        <w:tc>
          <w:tcPr>
            <w:tcW w:w="2835" w:type="dxa"/>
          </w:tcPr>
          <w:p w:rsidR="005365E9" w:rsidRPr="005365E9" w:rsidRDefault="005365E9" w:rsidP="004A7379">
            <w:pPr>
              <w:jc w:val="center"/>
              <w:rPr>
                <w:rFonts w:ascii="Arial" w:hAnsi="Arial" w:cs="Arial"/>
                <w:b/>
              </w:rPr>
            </w:pPr>
            <w:r w:rsidRPr="005365E9">
              <w:rPr>
                <w:rFonts w:ascii="Arial" w:hAnsi="Arial" w:cs="Arial"/>
                <w:b/>
              </w:rPr>
              <w:t>19</w:t>
            </w:r>
          </w:p>
        </w:tc>
        <w:tc>
          <w:tcPr>
            <w:tcW w:w="2835" w:type="dxa"/>
          </w:tcPr>
          <w:p w:rsidR="005365E9" w:rsidRPr="005365E9" w:rsidRDefault="005365E9" w:rsidP="004A7379">
            <w:pPr>
              <w:jc w:val="center"/>
              <w:rPr>
                <w:rFonts w:ascii="Arial" w:hAnsi="Arial" w:cs="Arial"/>
                <w:b/>
              </w:rPr>
            </w:pPr>
            <w:r w:rsidRPr="005365E9">
              <w:rPr>
                <w:rFonts w:ascii="Arial" w:hAnsi="Arial" w:cs="Arial"/>
                <w:b/>
              </w:rPr>
              <w:t>2.6</w:t>
            </w:r>
          </w:p>
        </w:tc>
      </w:tr>
    </w:tbl>
    <w:p w:rsidR="005365E9" w:rsidRPr="005365E9" w:rsidRDefault="005365E9" w:rsidP="005365E9">
      <w:pPr>
        <w:rPr>
          <w:rFonts w:ascii="Arial" w:hAnsi="Arial" w:cs="Arial"/>
        </w:rPr>
      </w:pPr>
      <w:r w:rsidRPr="005365E9">
        <w:rPr>
          <w:rFonts w:ascii="Arial" w:hAnsi="Arial" w:cs="Arial"/>
        </w:rPr>
        <w:t>Note:</w:t>
      </w:r>
    </w:p>
    <w:p w:rsidR="005365E9" w:rsidRPr="005365E9" w:rsidRDefault="005365E9" w:rsidP="005365E9">
      <w:pPr>
        <w:rPr>
          <w:rFonts w:ascii="Arial" w:hAnsi="Arial" w:cs="Arial"/>
        </w:rPr>
      </w:pPr>
      <w:r w:rsidRPr="005365E9">
        <w:rPr>
          <w:rFonts w:ascii="Arial" w:hAnsi="Arial" w:cs="Arial"/>
        </w:rPr>
        <w:t xml:space="preserve"> (a) </w:t>
      </w:r>
      <w:proofErr w:type="gramStart"/>
      <w:r w:rsidRPr="005365E9">
        <w:rPr>
          <w:rFonts w:ascii="Arial" w:hAnsi="Arial" w:cs="Arial"/>
        </w:rPr>
        <w:t>the</w:t>
      </w:r>
      <w:proofErr w:type="gramEnd"/>
      <w:r w:rsidRPr="005365E9">
        <w:rPr>
          <w:rFonts w:ascii="Arial" w:hAnsi="Arial" w:cs="Arial"/>
        </w:rPr>
        <w:t xml:space="preserve"> estimated impact of the approved network tariff on individual customers will vary based on network tariff, consumption levels and retailers approach to pricing.</w:t>
      </w:r>
    </w:p>
    <w:p w:rsidR="005365E9" w:rsidRPr="005365E9" w:rsidRDefault="005365E9" w:rsidP="005365E9">
      <w:pPr>
        <w:rPr>
          <w:rFonts w:ascii="Arial" w:hAnsi="Arial" w:cs="Arial"/>
        </w:rPr>
      </w:pPr>
      <w:r w:rsidRPr="005365E9">
        <w:rPr>
          <w:rFonts w:ascii="Arial" w:hAnsi="Arial" w:cs="Arial"/>
        </w:rPr>
        <w:t xml:space="preserve">(b) Distribution network tariffs represent around 30-40 per cent of the total cost of supplying electricity to residential customers and the impact of network tariffs for 2012 are based on an estimated average annual consumption of 6 500 kWh. </w:t>
      </w:r>
    </w:p>
    <w:p w:rsidR="005365E9" w:rsidRPr="005365E9" w:rsidRDefault="005365E9" w:rsidP="005365E9">
      <w:pPr>
        <w:rPr>
          <w:rFonts w:ascii="Arial" w:hAnsi="Arial" w:cs="Arial"/>
        </w:rPr>
      </w:pPr>
      <w:r w:rsidRPr="005365E9">
        <w:rPr>
          <w:rFonts w:ascii="Arial" w:hAnsi="Arial" w:cs="Arial"/>
        </w:rPr>
        <w:t xml:space="preserve">(c) Typically, customers do not see network charges itemised on their final electricity bills. Instead, they are included in tariffs charged by electricity retailers, such as AGL Origin Energy and </w:t>
      </w:r>
      <w:proofErr w:type="spellStart"/>
      <w:r w:rsidRPr="005365E9">
        <w:rPr>
          <w:rFonts w:ascii="Arial" w:hAnsi="Arial" w:cs="Arial"/>
        </w:rPr>
        <w:t>TRUenergy</w:t>
      </w:r>
      <w:proofErr w:type="spellEnd"/>
      <w:r w:rsidRPr="005365E9">
        <w:rPr>
          <w:rFonts w:ascii="Arial" w:hAnsi="Arial" w:cs="Arial"/>
        </w:rPr>
        <w:t>.</w:t>
      </w:r>
    </w:p>
    <w:p w:rsidR="005365E9" w:rsidRPr="005365E9" w:rsidRDefault="005365E9" w:rsidP="005365E9">
      <w:pPr>
        <w:rPr>
          <w:rFonts w:ascii="Arial" w:hAnsi="Arial" w:cs="Arial"/>
          <w:b/>
        </w:rPr>
      </w:pPr>
      <w:r w:rsidRPr="005365E9">
        <w:rPr>
          <w:rFonts w:ascii="Arial" w:hAnsi="Arial" w:cs="Arial"/>
          <w:b/>
        </w:rPr>
        <w:t xml:space="preserve"> Background</w:t>
      </w:r>
    </w:p>
    <w:p w:rsidR="005365E9" w:rsidRPr="005365E9" w:rsidRDefault="005365E9" w:rsidP="005365E9">
      <w:pPr>
        <w:rPr>
          <w:rFonts w:ascii="Arial" w:hAnsi="Arial" w:cs="Arial"/>
        </w:rPr>
      </w:pPr>
      <w:r w:rsidRPr="005365E9">
        <w:rPr>
          <w:rFonts w:ascii="Arial" w:hAnsi="Arial" w:cs="Arial"/>
        </w:rPr>
        <w:t>On 19 November 2010, Victorian electricity distribution businesses (</w:t>
      </w:r>
      <w:proofErr w:type="spellStart"/>
      <w:r w:rsidRPr="005365E9">
        <w:rPr>
          <w:rFonts w:ascii="Arial" w:hAnsi="Arial" w:cs="Arial"/>
        </w:rPr>
        <w:t>CitiPower</w:t>
      </w:r>
      <w:proofErr w:type="spellEnd"/>
      <w:r w:rsidRPr="005365E9">
        <w:rPr>
          <w:rFonts w:ascii="Arial" w:hAnsi="Arial" w:cs="Arial"/>
        </w:rPr>
        <w:t xml:space="preserve">, </w:t>
      </w:r>
      <w:proofErr w:type="spellStart"/>
      <w:r w:rsidRPr="005365E9">
        <w:rPr>
          <w:rFonts w:ascii="Arial" w:hAnsi="Arial" w:cs="Arial"/>
        </w:rPr>
        <w:t>Powercor</w:t>
      </w:r>
      <w:proofErr w:type="spellEnd"/>
      <w:r w:rsidRPr="005365E9">
        <w:rPr>
          <w:rFonts w:ascii="Arial" w:hAnsi="Arial" w:cs="Arial"/>
        </w:rPr>
        <w:t xml:space="preserve">, </w:t>
      </w:r>
      <w:proofErr w:type="spellStart"/>
      <w:r w:rsidRPr="005365E9">
        <w:rPr>
          <w:rFonts w:ascii="Arial" w:hAnsi="Arial" w:cs="Arial"/>
        </w:rPr>
        <w:t>Jemena</w:t>
      </w:r>
      <w:proofErr w:type="spellEnd"/>
      <w:r w:rsidRPr="005365E9">
        <w:rPr>
          <w:rFonts w:ascii="Arial" w:hAnsi="Arial" w:cs="Arial"/>
        </w:rPr>
        <w:t xml:space="preserve"> Electricity Networks, SP </w:t>
      </w:r>
      <w:proofErr w:type="spellStart"/>
      <w:r w:rsidRPr="005365E9">
        <w:rPr>
          <w:rFonts w:ascii="Arial" w:hAnsi="Arial" w:cs="Arial"/>
        </w:rPr>
        <w:t>AusNet</w:t>
      </w:r>
      <w:proofErr w:type="spellEnd"/>
      <w:r w:rsidRPr="005365E9">
        <w:rPr>
          <w:rFonts w:ascii="Arial" w:hAnsi="Arial" w:cs="Arial"/>
        </w:rPr>
        <w:t xml:space="preserve"> and United Energy) applied to the Australian Competition Tribunal (Tribunal) for review of certain parts of their 2011–15 distribution determinations. </w:t>
      </w:r>
    </w:p>
    <w:p w:rsidR="005365E9" w:rsidRPr="005365E9" w:rsidRDefault="005365E9" w:rsidP="005365E9">
      <w:pPr>
        <w:rPr>
          <w:rFonts w:ascii="Arial" w:eastAsia="Times New Roman" w:hAnsi="Arial" w:cs="Arial"/>
        </w:rPr>
      </w:pPr>
      <w:r w:rsidRPr="005365E9">
        <w:rPr>
          <w:rFonts w:ascii="Arial" w:eastAsia="Times New Roman" w:hAnsi="Arial" w:cs="Arial"/>
        </w:rPr>
        <w:t xml:space="preserve">The Tribunal in its decision on 5 April 2012 affirmed some aspects of the AER’s 2010 distribution determination. However, the Tribunal disagreed with the AER’s methodology or </w:t>
      </w:r>
      <w:r w:rsidRPr="005365E9">
        <w:rPr>
          <w:rFonts w:ascii="Arial" w:eastAsia="Times New Roman" w:hAnsi="Arial" w:cs="Arial"/>
        </w:rPr>
        <w:lastRenderedPageBreak/>
        <w:t xml:space="preserve">approach in relation to a number of matters (i.e. the calculation of the cost of debt, indexation of the asset base for inflation, the disallowance of some operating costs for </w:t>
      </w:r>
      <w:proofErr w:type="spellStart"/>
      <w:r w:rsidRPr="005365E9">
        <w:rPr>
          <w:rFonts w:ascii="Arial" w:eastAsia="Times New Roman" w:hAnsi="Arial" w:cs="Arial"/>
        </w:rPr>
        <w:t>Jemena</w:t>
      </w:r>
      <w:proofErr w:type="spellEnd"/>
      <w:r w:rsidRPr="005365E9">
        <w:rPr>
          <w:rFonts w:ascii="Arial" w:eastAsia="Times New Roman" w:hAnsi="Arial" w:cs="Arial"/>
        </w:rPr>
        <w:t xml:space="preserve"> Electricity Networks and operating costs for </w:t>
      </w:r>
      <w:proofErr w:type="spellStart"/>
      <w:r w:rsidRPr="005365E9">
        <w:rPr>
          <w:rFonts w:ascii="Arial" w:eastAsia="Times New Roman" w:hAnsi="Arial" w:cs="Arial"/>
        </w:rPr>
        <w:t>CitiPower</w:t>
      </w:r>
      <w:proofErr w:type="spellEnd"/>
      <w:r w:rsidRPr="005365E9">
        <w:rPr>
          <w:rFonts w:ascii="Arial" w:eastAsia="Times New Roman" w:hAnsi="Arial" w:cs="Arial"/>
        </w:rPr>
        <w:t xml:space="preserve"> and </w:t>
      </w:r>
      <w:proofErr w:type="spellStart"/>
      <w:r w:rsidRPr="005365E9">
        <w:rPr>
          <w:rFonts w:ascii="Arial" w:eastAsia="Times New Roman" w:hAnsi="Arial" w:cs="Arial"/>
        </w:rPr>
        <w:t>Powercor</w:t>
      </w:r>
      <w:proofErr w:type="spellEnd"/>
      <w:r w:rsidRPr="005365E9">
        <w:rPr>
          <w:rFonts w:ascii="Arial" w:eastAsia="Times New Roman" w:hAnsi="Arial" w:cs="Arial"/>
        </w:rPr>
        <w:t xml:space="preserve"> related to safety regulations). For some of these matters, the Tribunal remitted the matter back to the AER to reconsider the decision. The AER has now completed this further work. </w:t>
      </w:r>
    </w:p>
    <w:p w:rsidR="005365E9" w:rsidRPr="005365E9" w:rsidRDefault="005365E9" w:rsidP="005365E9">
      <w:pPr>
        <w:rPr>
          <w:rFonts w:ascii="Arial" w:hAnsi="Arial" w:cs="Arial"/>
        </w:rPr>
      </w:pPr>
      <w:r w:rsidRPr="005365E9">
        <w:rPr>
          <w:rFonts w:ascii="Arial" w:hAnsi="Arial" w:cs="Arial"/>
        </w:rPr>
        <w:t>In addition, on 27 September 2012, Victorian legislation took effect which provided that the AER’s 2010 determinations on the application of penalties and rewards from the incentive schemes implemented by the previous jurisdictional Regulator should stand. The Tribunal had disallowed these payments for some of the businesses. The action of the Victorian government negates the Tribunal decision on this matter and means network prices will not increase as much as otherwise.</w:t>
      </w:r>
    </w:p>
    <w:p w:rsidR="005365E9" w:rsidRPr="005365E9" w:rsidRDefault="005365E9" w:rsidP="005365E9">
      <w:pPr>
        <w:pStyle w:val="AERbodytext"/>
        <w:rPr>
          <w:rFonts w:ascii="Arial" w:hAnsi="Arial" w:cs="Arial"/>
          <w:sz w:val="22"/>
          <w:szCs w:val="22"/>
        </w:rPr>
      </w:pPr>
      <w:r w:rsidRPr="005365E9">
        <w:rPr>
          <w:rFonts w:ascii="Arial" w:hAnsi="Arial" w:cs="Arial"/>
          <w:sz w:val="22"/>
          <w:szCs w:val="22"/>
        </w:rPr>
        <w:t xml:space="preserve">The revenue impact arising from the Tribunal’s decision (taking into account the Victorian Legislation) will increase allowed revenue across all of the businesses by around $255 million, or around three per cent of total allowed revenue of $8.8 billion over the 2011-15 regulatory period. The revenue impact across each business is provided in the table below. </w:t>
      </w:r>
    </w:p>
    <w:p w:rsidR="005365E9" w:rsidRPr="005365E9" w:rsidRDefault="005365E9" w:rsidP="005365E9">
      <w:pPr>
        <w:pStyle w:val="AERbodytext"/>
        <w:rPr>
          <w:rFonts w:ascii="Arial" w:hAnsi="Arial" w:cs="Arial"/>
          <w:b/>
          <w:sz w:val="22"/>
          <w:szCs w:val="22"/>
        </w:rPr>
      </w:pPr>
      <w:r w:rsidRPr="005365E9">
        <w:rPr>
          <w:rFonts w:ascii="Arial" w:hAnsi="Arial" w:cs="Arial"/>
          <w:b/>
          <w:sz w:val="22"/>
          <w:szCs w:val="22"/>
        </w:rPr>
        <w:t>Impact on the Building Block Revenue requirement ($’m nominal)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3"/>
        <w:gridCol w:w="1335"/>
        <w:gridCol w:w="1323"/>
        <w:gridCol w:w="1243"/>
        <w:gridCol w:w="1264"/>
        <w:gridCol w:w="1260"/>
        <w:gridCol w:w="1134"/>
      </w:tblGrid>
      <w:tr w:rsidR="005365E9" w:rsidRPr="005365E9" w:rsidTr="004A7379">
        <w:tc>
          <w:tcPr>
            <w:tcW w:w="1683" w:type="dxa"/>
          </w:tcPr>
          <w:p w:rsidR="005365E9" w:rsidRPr="005365E9" w:rsidRDefault="005365E9" w:rsidP="004A7379">
            <w:pPr>
              <w:pStyle w:val="AERbodytext"/>
              <w:rPr>
                <w:rFonts w:ascii="Arial" w:hAnsi="Arial" w:cs="Arial"/>
                <w:sz w:val="22"/>
                <w:szCs w:val="22"/>
              </w:rPr>
            </w:pPr>
          </w:p>
        </w:tc>
        <w:tc>
          <w:tcPr>
            <w:tcW w:w="1335" w:type="dxa"/>
          </w:tcPr>
          <w:p w:rsidR="005365E9" w:rsidRPr="005365E9" w:rsidRDefault="005365E9" w:rsidP="004A7379">
            <w:pPr>
              <w:pStyle w:val="AERbodytext"/>
              <w:jc w:val="center"/>
              <w:rPr>
                <w:rFonts w:ascii="Arial" w:hAnsi="Arial" w:cs="Arial"/>
                <w:b/>
                <w:sz w:val="22"/>
                <w:szCs w:val="22"/>
              </w:rPr>
            </w:pPr>
            <w:proofErr w:type="spellStart"/>
            <w:r w:rsidRPr="005365E9">
              <w:rPr>
                <w:rFonts w:ascii="Arial" w:hAnsi="Arial" w:cs="Arial"/>
                <w:b/>
                <w:sz w:val="22"/>
                <w:szCs w:val="22"/>
              </w:rPr>
              <w:t>CitiPower</w:t>
            </w:r>
            <w:proofErr w:type="spellEnd"/>
          </w:p>
        </w:tc>
        <w:tc>
          <w:tcPr>
            <w:tcW w:w="1323" w:type="dxa"/>
          </w:tcPr>
          <w:p w:rsidR="005365E9" w:rsidRPr="005365E9" w:rsidRDefault="005365E9" w:rsidP="004A7379">
            <w:pPr>
              <w:pStyle w:val="AERbodytext"/>
              <w:jc w:val="center"/>
              <w:rPr>
                <w:rFonts w:ascii="Arial" w:hAnsi="Arial" w:cs="Arial"/>
                <w:b/>
                <w:sz w:val="22"/>
                <w:szCs w:val="22"/>
              </w:rPr>
            </w:pPr>
            <w:proofErr w:type="spellStart"/>
            <w:r w:rsidRPr="005365E9">
              <w:rPr>
                <w:rFonts w:ascii="Arial" w:hAnsi="Arial" w:cs="Arial"/>
                <w:b/>
                <w:sz w:val="22"/>
                <w:szCs w:val="22"/>
              </w:rPr>
              <w:t>Powercor</w:t>
            </w:r>
            <w:proofErr w:type="spellEnd"/>
          </w:p>
        </w:tc>
        <w:tc>
          <w:tcPr>
            <w:tcW w:w="1243" w:type="dxa"/>
          </w:tcPr>
          <w:p w:rsidR="005365E9" w:rsidRPr="005365E9" w:rsidRDefault="005365E9" w:rsidP="004A7379">
            <w:pPr>
              <w:pStyle w:val="AERbodytext"/>
              <w:jc w:val="center"/>
              <w:rPr>
                <w:rFonts w:ascii="Arial" w:hAnsi="Arial" w:cs="Arial"/>
                <w:b/>
                <w:sz w:val="22"/>
                <w:szCs w:val="22"/>
              </w:rPr>
            </w:pPr>
            <w:r w:rsidRPr="005365E9">
              <w:rPr>
                <w:rFonts w:ascii="Arial" w:hAnsi="Arial" w:cs="Arial"/>
                <w:b/>
                <w:sz w:val="22"/>
                <w:szCs w:val="22"/>
              </w:rPr>
              <w:t>JEN</w:t>
            </w:r>
          </w:p>
        </w:tc>
        <w:tc>
          <w:tcPr>
            <w:tcW w:w="1264" w:type="dxa"/>
          </w:tcPr>
          <w:p w:rsidR="005365E9" w:rsidRPr="005365E9" w:rsidRDefault="005365E9" w:rsidP="004A7379">
            <w:pPr>
              <w:pStyle w:val="AERbodytext"/>
              <w:jc w:val="center"/>
              <w:rPr>
                <w:rFonts w:ascii="Arial" w:hAnsi="Arial" w:cs="Arial"/>
                <w:b/>
                <w:sz w:val="22"/>
                <w:szCs w:val="22"/>
              </w:rPr>
            </w:pPr>
            <w:r w:rsidRPr="005365E9">
              <w:rPr>
                <w:rFonts w:ascii="Arial" w:hAnsi="Arial" w:cs="Arial"/>
                <w:b/>
                <w:sz w:val="22"/>
                <w:szCs w:val="22"/>
              </w:rPr>
              <w:t xml:space="preserve">SP </w:t>
            </w:r>
            <w:proofErr w:type="spellStart"/>
            <w:r w:rsidRPr="005365E9">
              <w:rPr>
                <w:rFonts w:ascii="Arial" w:hAnsi="Arial" w:cs="Arial"/>
                <w:b/>
                <w:sz w:val="22"/>
                <w:szCs w:val="22"/>
              </w:rPr>
              <w:t>AusNet</w:t>
            </w:r>
            <w:proofErr w:type="spellEnd"/>
          </w:p>
        </w:tc>
        <w:tc>
          <w:tcPr>
            <w:tcW w:w="1260" w:type="dxa"/>
          </w:tcPr>
          <w:p w:rsidR="005365E9" w:rsidRPr="005365E9" w:rsidRDefault="005365E9" w:rsidP="004A7379">
            <w:pPr>
              <w:pStyle w:val="AERbodytext"/>
              <w:jc w:val="center"/>
              <w:rPr>
                <w:rFonts w:ascii="Arial" w:hAnsi="Arial" w:cs="Arial"/>
                <w:b/>
                <w:sz w:val="22"/>
                <w:szCs w:val="22"/>
              </w:rPr>
            </w:pPr>
            <w:r w:rsidRPr="005365E9">
              <w:rPr>
                <w:rFonts w:ascii="Arial" w:hAnsi="Arial" w:cs="Arial"/>
                <w:b/>
                <w:sz w:val="22"/>
                <w:szCs w:val="22"/>
              </w:rPr>
              <w:t>United Energy</w:t>
            </w:r>
          </w:p>
        </w:tc>
        <w:tc>
          <w:tcPr>
            <w:tcW w:w="1134" w:type="dxa"/>
          </w:tcPr>
          <w:p w:rsidR="005365E9" w:rsidRPr="005365E9" w:rsidRDefault="005365E9" w:rsidP="004A7379">
            <w:pPr>
              <w:pStyle w:val="AERbodytext"/>
              <w:jc w:val="center"/>
              <w:rPr>
                <w:rFonts w:ascii="Arial" w:hAnsi="Arial" w:cs="Arial"/>
                <w:b/>
                <w:sz w:val="22"/>
                <w:szCs w:val="22"/>
              </w:rPr>
            </w:pPr>
            <w:r w:rsidRPr="005365E9">
              <w:rPr>
                <w:rFonts w:ascii="Arial" w:hAnsi="Arial" w:cs="Arial"/>
                <w:b/>
                <w:sz w:val="22"/>
                <w:szCs w:val="22"/>
              </w:rPr>
              <w:t>Total</w:t>
            </w:r>
          </w:p>
        </w:tc>
      </w:tr>
      <w:tr w:rsidR="005365E9" w:rsidRPr="005365E9" w:rsidTr="004A7379">
        <w:tc>
          <w:tcPr>
            <w:tcW w:w="1683"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AER 2010 determination</w:t>
            </w:r>
          </w:p>
        </w:tc>
        <w:tc>
          <w:tcPr>
            <w:tcW w:w="1335"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1190</w:t>
            </w:r>
          </w:p>
        </w:tc>
        <w:tc>
          <w:tcPr>
            <w:tcW w:w="1323"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2512</w:t>
            </w:r>
          </w:p>
        </w:tc>
        <w:tc>
          <w:tcPr>
            <w:tcW w:w="1243"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994</w:t>
            </w:r>
          </w:p>
        </w:tc>
        <w:tc>
          <w:tcPr>
            <w:tcW w:w="1264"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2447</w:t>
            </w:r>
          </w:p>
        </w:tc>
        <w:tc>
          <w:tcPr>
            <w:tcW w:w="1260"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1675</w:t>
            </w:r>
          </w:p>
        </w:tc>
        <w:tc>
          <w:tcPr>
            <w:tcW w:w="1134"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8817</w:t>
            </w:r>
          </w:p>
        </w:tc>
      </w:tr>
      <w:tr w:rsidR="005365E9" w:rsidRPr="005365E9" w:rsidTr="004A7379">
        <w:tc>
          <w:tcPr>
            <w:tcW w:w="1683"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 xml:space="preserve">Remade determination </w:t>
            </w:r>
          </w:p>
        </w:tc>
        <w:tc>
          <w:tcPr>
            <w:tcW w:w="1335"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1229</w:t>
            </w:r>
          </w:p>
        </w:tc>
        <w:tc>
          <w:tcPr>
            <w:tcW w:w="1323"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2608</w:t>
            </w:r>
          </w:p>
        </w:tc>
        <w:tc>
          <w:tcPr>
            <w:tcW w:w="1243"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1041</w:t>
            </w:r>
          </w:p>
        </w:tc>
        <w:tc>
          <w:tcPr>
            <w:tcW w:w="1264"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2478</w:t>
            </w:r>
          </w:p>
        </w:tc>
        <w:tc>
          <w:tcPr>
            <w:tcW w:w="1260"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1716</w:t>
            </w:r>
          </w:p>
        </w:tc>
        <w:tc>
          <w:tcPr>
            <w:tcW w:w="1134"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9072</w:t>
            </w:r>
          </w:p>
        </w:tc>
      </w:tr>
      <w:tr w:rsidR="005365E9" w:rsidRPr="005365E9" w:rsidTr="004A7379">
        <w:tc>
          <w:tcPr>
            <w:tcW w:w="1683"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 xml:space="preserve">Difference ($)     </w:t>
            </w:r>
          </w:p>
        </w:tc>
        <w:tc>
          <w:tcPr>
            <w:tcW w:w="1335"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39</w:t>
            </w:r>
          </w:p>
        </w:tc>
        <w:tc>
          <w:tcPr>
            <w:tcW w:w="1323"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96</w:t>
            </w:r>
          </w:p>
        </w:tc>
        <w:tc>
          <w:tcPr>
            <w:tcW w:w="1243"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47</w:t>
            </w:r>
          </w:p>
        </w:tc>
        <w:tc>
          <w:tcPr>
            <w:tcW w:w="1264"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31</w:t>
            </w:r>
          </w:p>
        </w:tc>
        <w:tc>
          <w:tcPr>
            <w:tcW w:w="1260"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41</w:t>
            </w:r>
          </w:p>
        </w:tc>
        <w:tc>
          <w:tcPr>
            <w:tcW w:w="1134" w:type="dxa"/>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255</w:t>
            </w:r>
          </w:p>
        </w:tc>
      </w:tr>
      <w:tr w:rsidR="005365E9" w:rsidRPr="005365E9" w:rsidTr="004A7379">
        <w:tc>
          <w:tcPr>
            <w:tcW w:w="1683" w:type="dxa"/>
            <w:tcBorders>
              <w:bottom w:val="double" w:sz="4" w:space="0" w:color="auto"/>
            </w:tcBorders>
            <w:vAlign w:val="center"/>
          </w:tcPr>
          <w:p w:rsidR="005365E9" w:rsidRPr="005365E9" w:rsidRDefault="005365E9" w:rsidP="004A7379">
            <w:pPr>
              <w:pStyle w:val="AERtable"/>
              <w:rPr>
                <w:rFonts w:ascii="Arial" w:hAnsi="Arial" w:cs="Arial"/>
                <w:sz w:val="22"/>
                <w:szCs w:val="22"/>
              </w:rPr>
            </w:pPr>
            <w:r w:rsidRPr="005365E9">
              <w:rPr>
                <w:rFonts w:ascii="Arial" w:hAnsi="Arial" w:cs="Arial"/>
                <w:sz w:val="22"/>
                <w:szCs w:val="22"/>
              </w:rPr>
              <w:t>Total Change (%)</w:t>
            </w:r>
          </w:p>
        </w:tc>
        <w:tc>
          <w:tcPr>
            <w:tcW w:w="1335" w:type="dxa"/>
            <w:tcBorders>
              <w:bottom w:val="double" w:sz="4" w:space="0" w:color="auto"/>
            </w:tcBorders>
            <w:vAlign w:val="center"/>
          </w:tcPr>
          <w:p w:rsidR="005365E9" w:rsidRPr="005365E9" w:rsidRDefault="005365E9" w:rsidP="004A7379">
            <w:pPr>
              <w:pStyle w:val="AERtable"/>
              <w:rPr>
                <w:rFonts w:ascii="Arial" w:hAnsi="Arial" w:cs="Arial"/>
                <w:b/>
                <w:sz w:val="22"/>
                <w:szCs w:val="22"/>
                <w:u w:val="single"/>
              </w:rPr>
            </w:pPr>
            <w:r w:rsidRPr="005365E9">
              <w:rPr>
                <w:rFonts w:ascii="Arial" w:hAnsi="Arial" w:cs="Arial"/>
                <w:b/>
                <w:sz w:val="22"/>
                <w:szCs w:val="22"/>
                <w:u w:val="single"/>
              </w:rPr>
              <w:t>3.3%</w:t>
            </w:r>
          </w:p>
        </w:tc>
        <w:tc>
          <w:tcPr>
            <w:tcW w:w="1323" w:type="dxa"/>
            <w:tcBorders>
              <w:bottom w:val="double" w:sz="4" w:space="0" w:color="auto"/>
            </w:tcBorders>
            <w:vAlign w:val="center"/>
          </w:tcPr>
          <w:p w:rsidR="005365E9" w:rsidRPr="005365E9" w:rsidRDefault="005365E9" w:rsidP="004A7379">
            <w:pPr>
              <w:pStyle w:val="AERtable"/>
              <w:rPr>
                <w:rFonts w:ascii="Arial" w:hAnsi="Arial" w:cs="Arial"/>
                <w:b/>
                <w:sz w:val="22"/>
                <w:szCs w:val="22"/>
                <w:u w:val="single"/>
              </w:rPr>
            </w:pPr>
            <w:r w:rsidRPr="005365E9">
              <w:rPr>
                <w:rFonts w:ascii="Arial" w:hAnsi="Arial" w:cs="Arial"/>
                <w:b/>
                <w:sz w:val="22"/>
                <w:szCs w:val="22"/>
                <w:u w:val="single"/>
              </w:rPr>
              <w:t>3.8%</w:t>
            </w:r>
          </w:p>
        </w:tc>
        <w:tc>
          <w:tcPr>
            <w:tcW w:w="1243" w:type="dxa"/>
            <w:tcBorders>
              <w:bottom w:val="double" w:sz="4" w:space="0" w:color="auto"/>
            </w:tcBorders>
            <w:vAlign w:val="center"/>
          </w:tcPr>
          <w:p w:rsidR="005365E9" w:rsidRPr="005365E9" w:rsidRDefault="005365E9" w:rsidP="004A7379">
            <w:pPr>
              <w:pStyle w:val="AERtable"/>
              <w:rPr>
                <w:rFonts w:ascii="Arial" w:hAnsi="Arial" w:cs="Arial"/>
                <w:b/>
                <w:sz w:val="22"/>
                <w:szCs w:val="22"/>
                <w:u w:val="single"/>
              </w:rPr>
            </w:pPr>
            <w:r w:rsidRPr="005365E9">
              <w:rPr>
                <w:rFonts w:ascii="Arial" w:hAnsi="Arial" w:cs="Arial"/>
                <w:b/>
                <w:sz w:val="22"/>
                <w:szCs w:val="22"/>
                <w:u w:val="single"/>
              </w:rPr>
              <w:t>4.7%</w:t>
            </w:r>
          </w:p>
        </w:tc>
        <w:tc>
          <w:tcPr>
            <w:tcW w:w="1264" w:type="dxa"/>
            <w:tcBorders>
              <w:bottom w:val="double" w:sz="4" w:space="0" w:color="auto"/>
            </w:tcBorders>
            <w:vAlign w:val="center"/>
          </w:tcPr>
          <w:p w:rsidR="005365E9" w:rsidRPr="005365E9" w:rsidRDefault="005365E9" w:rsidP="004A7379">
            <w:pPr>
              <w:pStyle w:val="AERtable"/>
              <w:rPr>
                <w:rFonts w:ascii="Arial" w:hAnsi="Arial" w:cs="Arial"/>
                <w:b/>
                <w:sz w:val="22"/>
                <w:szCs w:val="22"/>
                <w:u w:val="single"/>
              </w:rPr>
            </w:pPr>
            <w:r w:rsidRPr="005365E9">
              <w:rPr>
                <w:rFonts w:ascii="Arial" w:hAnsi="Arial" w:cs="Arial"/>
                <w:b/>
                <w:sz w:val="22"/>
                <w:szCs w:val="22"/>
                <w:u w:val="single"/>
              </w:rPr>
              <w:t>1.3%</w:t>
            </w:r>
          </w:p>
        </w:tc>
        <w:tc>
          <w:tcPr>
            <w:tcW w:w="1260" w:type="dxa"/>
            <w:tcBorders>
              <w:bottom w:val="double" w:sz="4" w:space="0" w:color="auto"/>
            </w:tcBorders>
            <w:vAlign w:val="center"/>
          </w:tcPr>
          <w:p w:rsidR="005365E9" w:rsidRPr="005365E9" w:rsidRDefault="005365E9" w:rsidP="004A7379">
            <w:pPr>
              <w:pStyle w:val="AERtable"/>
              <w:rPr>
                <w:rFonts w:ascii="Arial" w:hAnsi="Arial" w:cs="Arial"/>
                <w:b/>
                <w:sz w:val="22"/>
                <w:szCs w:val="22"/>
                <w:u w:val="single"/>
              </w:rPr>
            </w:pPr>
            <w:r w:rsidRPr="005365E9">
              <w:rPr>
                <w:rFonts w:ascii="Arial" w:hAnsi="Arial" w:cs="Arial"/>
                <w:b/>
                <w:sz w:val="22"/>
                <w:szCs w:val="22"/>
                <w:u w:val="single"/>
              </w:rPr>
              <w:t>2.5%</w:t>
            </w:r>
          </w:p>
        </w:tc>
        <w:tc>
          <w:tcPr>
            <w:tcW w:w="1134" w:type="dxa"/>
            <w:tcBorders>
              <w:bottom w:val="double" w:sz="4" w:space="0" w:color="auto"/>
            </w:tcBorders>
            <w:vAlign w:val="center"/>
          </w:tcPr>
          <w:p w:rsidR="005365E9" w:rsidRPr="005365E9" w:rsidRDefault="005365E9" w:rsidP="004A7379">
            <w:pPr>
              <w:pStyle w:val="AERtable"/>
              <w:rPr>
                <w:rFonts w:ascii="Arial" w:hAnsi="Arial" w:cs="Arial"/>
                <w:b/>
                <w:sz w:val="22"/>
                <w:szCs w:val="22"/>
                <w:u w:val="single"/>
              </w:rPr>
            </w:pPr>
            <w:r w:rsidRPr="005365E9">
              <w:rPr>
                <w:rFonts w:ascii="Arial" w:hAnsi="Arial" w:cs="Arial"/>
                <w:b/>
                <w:sz w:val="22"/>
                <w:szCs w:val="22"/>
                <w:u w:val="single"/>
              </w:rPr>
              <w:t>2.9%</w:t>
            </w:r>
          </w:p>
        </w:tc>
      </w:tr>
    </w:tbl>
    <w:p w:rsidR="005365E9" w:rsidRPr="005365E9" w:rsidRDefault="005365E9" w:rsidP="005365E9">
      <w:pPr>
        <w:rPr>
          <w:rFonts w:ascii="Arial" w:hAnsi="Arial" w:cs="Arial"/>
        </w:rPr>
      </w:pPr>
    </w:p>
    <w:p w:rsidR="005365E9" w:rsidRPr="005365E9" w:rsidRDefault="005365E9" w:rsidP="005365E9">
      <w:pPr>
        <w:rPr>
          <w:rFonts w:ascii="Arial" w:hAnsi="Arial" w:cs="Arial"/>
        </w:rPr>
      </w:pPr>
      <w:r w:rsidRPr="005365E9">
        <w:rPr>
          <w:rFonts w:ascii="Arial" w:hAnsi="Arial" w:cs="Arial"/>
        </w:rPr>
        <w:t>For the average residential customer in Victoria, the resulting increase in network charges for 2013 across the DNSPs is estimated to be about $19 or 2.6 per cent. As the network component is on average 35 per cent of the total retail bill in Victoria, this would result in an average increase of around one per cent to a customer’s total annual bill.</w:t>
      </w:r>
    </w:p>
    <w:p w:rsidR="00CD78C2" w:rsidRPr="005365E9" w:rsidRDefault="00CD78C2">
      <w:pPr>
        <w:rPr>
          <w:rFonts w:ascii="Arial" w:hAnsi="Arial" w:cs="Arial"/>
        </w:rPr>
      </w:pPr>
    </w:p>
    <w:sectPr w:rsidR="00CD78C2" w:rsidRPr="005365E9" w:rsidSect="004A73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65E9"/>
    <w:rsid w:val="0000346A"/>
    <w:rsid w:val="00003799"/>
    <w:rsid w:val="00004C7A"/>
    <w:rsid w:val="0000556D"/>
    <w:rsid w:val="0000692E"/>
    <w:rsid w:val="00011FDB"/>
    <w:rsid w:val="00014794"/>
    <w:rsid w:val="000168EE"/>
    <w:rsid w:val="00017AB8"/>
    <w:rsid w:val="00020AF6"/>
    <w:rsid w:val="00024F4C"/>
    <w:rsid w:val="00025548"/>
    <w:rsid w:val="00025A2F"/>
    <w:rsid w:val="0003071D"/>
    <w:rsid w:val="00031CEA"/>
    <w:rsid w:val="00035717"/>
    <w:rsid w:val="00035C14"/>
    <w:rsid w:val="00036E49"/>
    <w:rsid w:val="000379C7"/>
    <w:rsid w:val="00037C1E"/>
    <w:rsid w:val="0004022C"/>
    <w:rsid w:val="00042E19"/>
    <w:rsid w:val="00043EF6"/>
    <w:rsid w:val="000442DE"/>
    <w:rsid w:val="000505DB"/>
    <w:rsid w:val="00057014"/>
    <w:rsid w:val="00064124"/>
    <w:rsid w:val="0006605F"/>
    <w:rsid w:val="00066456"/>
    <w:rsid w:val="000664B2"/>
    <w:rsid w:val="00067064"/>
    <w:rsid w:val="00070E18"/>
    <w:rsid w:val="00071F2A"/>
    <w:rsid w:val="00072282"/>
    <w:rsid w:val="00072519"/>
    <w:rsid w:val="00073749"/>
    <w:rsid w:val="00073F44"/>
    <w:rsid w:val="00075175"/>
    <w:rsid w:val="00085A04"/>
    <w:rsid w:val="00096B5E"/>
    <w:rsid w:val="000A0703"/>
    <w:rsid w:val="000A4904"/>
    <w:rsid w:val="000A4ED4"/>
    <w:rsid w:val="000A50CD"/>
    <w:rsid w:val="000A61D7"/>
    <w:rsid w:val="000B28AC"/>
    <w:rsid w:val="000B74F8"/>
    <w:rsid w:val="000C256A"/>
    <w:rsid w:val="000C27DE"/>
    <w:rsid w:val="000C4428"/>
    <w:rsid w:val="000C4AB0"/>
    <w:rsid w:val="000C4C13"/>
    <w:rsid w:val="000C5BD5"/>
    <w:rsid w:val="000D0DC2"/>
    <w:rsid w:val="000D1EDC"/>
    <w:rsid w:val="000D3B4A"/>
    <w:rsid w:val="000F1589"/>
    <w:rsid w:val="00104284"/>
    <w:rsid w:val="00106502"/>
    <w:rsid w:val="00111E6E"/>
    <w:rsid w:val="0011572E"/>
    <w:rsid w:val="001200F2"/>
    <w:rsid w:val="00122A69"/>
    <w:rsid w:val="0012426B"/>
    <w:rsid w:val="0012503C"/>
    <w:rsid w:val="00132677"/>
    <w:rsid w:val="00137D4F"/>
    <w:rsid w:val="001426C9"/>
    <w:rsid w:val="001479CC"/>
    <w:rsid w:val="00150D96"/>
    <w:rsid w:val="00153E7E"/>
    <w:rsid w:val="0015550E"/>
    <w:rsid w:val="00156C17"/>
    <w:rsid w:val="00162965"/>
    <w:rsid w:val="001640AC"/>
    <w:rsid w:val="001664FE"/>
    <w:rsid w:val="00166BE7"/>
    <w:rsid w:val="00170D02"/>
    <w:rsid w:val="0017198E"/>
    <w:rsid w:val="00173985"/>
    <w:rsid w:val="00175DC8"/>
    <w:rsid w:val="00180054"/>
    <w:rsid w:val="00182307"/>
    <w:rsid w:val="001902A7"/>
    <w:rsid w:val="0019264C"/>
    <w:rsid w:val="00193677"/>
    <w:rsid w:val="00193F7D"/>
    <w:rsid w:val="00195E0C"/>
    <w:rsid w:val="001963FD"/>
    <w:rsid w:val="001A3695"/>
    <w:rsid w:val="001A373D"/>
    <w:rsid w:val="001A73A1"/>
    <w:rsid w:val="001B457D"/>
    <w:rsid w:val="001B5E31"/>
    <w:rsid w:val="001B77F8"/>
    <w:rsid w:val="001C00BC"/>
    <w:rsid w:val="001C370E"/>
    <w:rsid w:val="001C5164"/>
    <w:rsid w:val="001D0651"/>
    <w:rsid w:val="001D524A"/>
    <w:rsid w:val="001D6364"/>
    <w:rsid w:val="001D7C89"/>
    <w:rsid w:val="001D7FDC"/>
    <w:rsid w:val="001E132B"/>
    <w:rsid w:val="001E337D"/>
    <w:rsid w:val="001E4A8B"/>
    <w:rsid w:val="001E553D"/>
    <w:rsid w:val="001E5721"/>
    <w:rsid w:val="001E7B7F"/>
    <w:rsid w:val="001F1246"/>
    <w:rsid w:val="001F2F5D"/>
    <w:rsid w:val="001F4132"/>
    <w:rsid w:val="001F71DA"/>
    <w:rsid w:val="0020552B"/>
    <w:rsid w:val="002058BE"/>
    <w:rsid w:val="0021237B"/>
    <w:rsid w:val="00212949"/>
    <w:rsid w:val="00214264"/>
    <w:rsid w:val="0022360E"/>
    <w:rsid w:val="0022407F"/>
    <w:rsid w:val="00227A19"/>
    <w:rsid w:val="0023095B"/>
    <w:rsid w:val="00232F08"/>
    <w:rsid w:val="002330D4"/>
    <w:rsid w:val="00233852"/>
    <w:rsid w:val="00237F61"/>
    <w:rsid w:val="00246EB5"/>
    <w:rsid w:val="002504A8"/>
    <w:rsid w:val="0025464B"/>
    <w:rsid w:val="00262C30"/>
    <w:rsid w:val="0027318D"/>
    <w:rsid w:val="00273F67"/>
    <w:rsid w:val="00275485"/>
    <w:rsid w:val="0028011B"/>
    <w:rsid w:val="002827E3"/>
    <w:rsid w:val="002856A6"/>
    <w:rsid w:val="00290FCD"/>
    <w:rsid w:val="00291B73"/>
    <w:rsid w:val="00293462"/>
    <w:rsid w:val="00296B4C"/>
    <w:rsid w:val="00297826"/>
    <w:rsid w:val="002A1E83"/>
    <w:rsid w:val="002A7F66"/>
    <w:rsid w:val="002B1EA3"/>
    <w:rsid w:val="002C1B7F"/>
    <w:rsid w:val="002C4394"/>
    <w:rsid w:val="002C53C3"/>
    <w:rsid w:val="002C5C65"/>
    <w:rsid w:val="002C5FB8"/>
    <w:rsid w:val="002C7842"/>
    <w:rsid w:val="002D1A99"/>
    <w:rsid w:val="002D2D92"/>
    <w:rsid w:val="002D382F"/>
    <w:rsid w:val="002D395C"/>
    <w:rsid w:val="002D68F6"/>
    <w:rsid w:val="002E38BD"/>
    <w:rsid w:val="002E474F"/>
    <w:rsid w:val="002E7E3D"/>
    <w:rsid w:val="002F1A30"/>
    <w:rsid w:val="002F28DA"/>
    <w:rsid w:val="002F2933"/>
    <w:rsid w:val="002F5F8C"/>
    <w:rsid w:val="002F6F0F"/>
    <w:rsid w:val="00300F23"/>
    <w:rsid w:val="00301D3B"/>
    <w:rsid w:val="00303EE5"/>
    <w:rsid w:val="00305333"/>
    <w:rsid w:val="0030641E"/>
    <w:rsid w:val="0030696E"/>
    <w:rsid w:val="00307C3D"/>
    <w:rsid w:val="00307EBB"/>
    <w:rsid w:val="00311643"/>
    <w:rsid w:val="00312DE3"/>
    <w:rsid w:val="003256CD"/>
    <w:rsid w:val="00326126"/>
    <w:rsid w:val="00326AFF"/>
    <w:rsid w:val="00326EA7"/>
    <w:rsid w:val="00331A5D"/>
    <w:rsid w:val="00333507"/>
    <w:rsid w:val="003366BB"/>
    <w:rsid w:val="0034168A"/>
    <w:rsid w:val="003426F0"/>
    <w:rsid w:val="00344AD4"/>
    <w:rsid w:val="00347111"/>
    <w:rsid w:val="0035107C"/>
    <w:rsid w:val="00361785"/>
    <w:rsid w:val="00370331"/>
    <w:rsid w:val="00371872"/>
    <w:rsid w:val="00372D80"/>
    <w:rsid w:val="00375614"/>
    <w:rsid w:val="0037678B"/>
    <w:rsid w:val="00381C99"/>
    <w:rsid w:val="00385F5C"/>
    <w:rsid w:val="003973E2"/>
    <w:rsid w:val="003B4F4B"/>
    <w:rsid w:val="003C3C51"/>
    <w:rsid w:val="003C7AAF"/>
    <w:rsid w:val="003D1692"/>
    <w:rsid w:val="003D1F1E"/>
    <w:rsid w:val="003E18EE"/>
    <w:rsid w:val="003E4735"/>
    <w:rsid w:val="003E607B"/>
    <w:rsid w:val="003E68F5"/>
    <w:rsid w:val="003E6C76"/>
    <w:rsid w:val="003F441A"/>
    <w:rsid w:val="003F509B"/>
    <w:rsid w:val="004028E6"/>
    <w:rsid w:val="0040396D"/>
    <w:rsid w:val="004055A5"/>
    <w:rsid w:val="00407C07"/>
    <w:rsid w:val="00411D44"/>
    <w:rsid w:val="00415962"/>
    <w:rsid w:val="004163C8"/>
    <w:rsid w:val="00421CA7"/>
    <w:rsid w:val="00424EAB"/>
    <w:rsid w:val="00433541"/>
    <w:rsid w:val="004414ED"/>
    <w:rsid w:val="00443CBC"/>
    <w:rsid w:val="00444E8F"/>
    <w:rsid w:val="0044618C"/>
    <w:rsid w:val="004477A2"/>
    <w:rsid w:val="00447ACB"/>
    <w:rsid w:val="00453203"/>
    <w:rsid w:val="00456946"/>
    <w:rsid w:val="00460F6F"/>
    <w:rsid w:val="00476763"/>
    <w:rsid w:val="004771DF"/>
    <w:rsid w:val="004805F7"/>
    <w:rsid w:val="00480D3B"/>
    <w:rsid w:val="00481D67"/>
    <w:rsid w:val="004865D4"/>
    <w:rsid w:val="00486AA3"/>
    <w:rsid w:val="00487CFF"/>
    <w:rsid w:val="00490CC5"/>
    <w:rsid w:val="00492045"/>
    <w:rsid w:val="00492A02"/>
    <w:rsid w:val="004931B2"/>
    <w:rsid w:val="00493ECB"/>
    <w:rsid w:val="004A0DAD"/>
    <w:rsid w:val="004A1B36"/>
    <w:rsid w:val="004A592B"/>
    <w:rsid w:val="004A7379"/>
    <w:rsid w:val="004B4361"/>
    <w:rsid w:val="004B49FE"/>
    <w:rsid w:val="004C0287"/>
    <w:rsid w:val="004C1204"/>
    <w:rsid w:val="004C1729"/>
    <w:rsid w:val="004C7407"/>
    <w:rsid w:val="004D2373"/>
    <w:rsid w:val="004D3591"/>
    <w:rsid w:val="004D41F9"/>
    <w:rsid w:val="004E0321"/>
    <w:rsid w:val="004E2FFC"/>
    <w:rsid w:val="004E3742"/>
    <w:rsid w:val="004E3E27"/>
    <w:rsid w:val="004E5AA1"/>
    <w:rsid w:val="004E6872"/>
    <w:rsid w:val="004F1004"/>
    <w:rsid w:val="004F1D6B"/>
    <w:rsid w:val="004F5D31"/>
    <w:rsid w:val="0050125D"/>
    <w:rsid w:val="00502173"/>
    <w:rsid w:val="005046DF"/>
    <w:rsid w:val="00510AE6"/>
    <w:rsid w:val="00512F66"/>
    <w:rsid w:val="00514E31"/>
    <w:rsid w:val="00525C68"/>
    <w:rsid w:val="005365E9"/>
    <w:rsid w:val="005365F0"/>
    <w:rsid w:val="005373AE"/>
    <w:rsid w:val="005470CB"/>
    <w:rsid w:val="005472FC"/>
    <w:rsid w:val="00554EAB"/>
    <w:rsid w:val="0055712C"/>
    <w:rsid w:val="00563188"/>
    <w:rsid w:val="00566792"/>
    <w:rsid w:val="00567EA5"/>
    <w:rsid w:val="00574078"/>
    <w:rsid w:val="00580710"/>
    <w:rsid w:val="0058117C"/>
    <w:rsid w:val="00582212"/>
    <w:rsid w:val="00582B65"/>
    <w:rsid w:val="00583C16"/>
    <w:rsid w:val="00587C1C"/>
    <w:rsid w:val="0059297B"/>
    <w:rsid w:val="0059456A"/>
    <w:rsid w:val="00595C8F"/>
    <w:rsid w:val="005971BA"/>
    <w:rsid w:val="005A0BAA"/>
    <w:rsid w:val="005A1D14"/>
    <w:rsid w:val="005A4042"/>
    <w:rsid w:val="005A561C"/>
    <w:rsid w:val="005B012F"/>
    <w:rsid w:val="005B46AB"/>
    <w:rsid w:val="005B4FA8"/>
    <w:rsid w:val="005C0067"/>
    <w:rsid w:val="005C262D"/>
    <w:rsid w:val="005C267F"/>
    <w:rsid w:val="005C36C6"/>
    <w:rsid w:val="005C452B"/>
    <w:rsid w:val="005C5885"/>
    <w:rsid w:val="005C778D"/>
    <w:rsid w:val="005D03F6"/>
    <w:rsid w:val="005D1252"/>
    <w:rsid w:val="005D75C5"/>
    <w:rsid w:val="005E1573"/>
    <w:rsid w:val="005E1ED0"/>
    <w:rsid w:val="005E2CD4"/>
    <w:rsid w:val="005E3311"/>
    <w:rsid w:val="005E4A99"/>
    <w:rsid w:val="005E61FB"/>
    <w:rsid w:val="005E7E77"/>
    <w:rsid w:val="005F0A05"/>
    <w:rsid w:val="005F1105"/>
    <w:rsid w:val="005F27A8"/>
    <w:rsid w:val="005F4458"/>
    <w:rsid w:val="005F6EDD"/>
    <w:rsid w:val="00601549"/>
    <w:rsid w:val="00601F30"/>
    <w:rsid w:val="0060362D"/>
    <w:rsid w:val="00603975"/>
    <w:rsid w:val="00606E55"/>
    <w:rsid w:val="00612544"/>
    <w:rsid w:val="006131B5"/>
    <w:rsid w:val="0061532D"/>
    <w:rsid w:val="0061577B"/>
    <w:rsid w:val="00615CE7"/>
    <w:rsid w:val="00616597"/>
    <w:rsid w:val="006221B9"/>
    <w:rsid w:val="00622626"/>
    <w:rsid w:val="00622C32"/>
    <w:rsid w:val="006232F2"/>
    <w:rsid w:val="00624058"/>
    <w:rsid w:val="00631D78"/>
    <w:rsid w:val="00632B98"/>
    <w:rsid w:val="0063538A"/>
    <w:rsid w:val="006422E3"/>
    <w:rsid w:val="00643F7D"/>
    <w:rsid w:val="00646879"/>
    <w:rsid w:val="00646E66"/>
    <w:rsid w:val="00651485"/>
    <w:rsid w:val="00657F26"/>
    <w:rsid w:val="00670179"/>
    <w:rsid w:val="006702BE"/>
    <w:rsid w:val="00671757"/>
    <w:rsid w:val="00671B02"/>
    <w:rsid w:val="00671EFF"/>
    <w:rsid w:val="00672261"/>
    <w:rsid w:val="00672740"/>
    <w:rsid w:val="0067552C"/>
    <w:rsid w:val="00675574"/>
    <w:rsid w:val="00676604"/>
    <w:rsid w:val="006810BA"/>
    <w:rsid w:val="00685A5D"/>
    <w:rsid w:val="00687181"/>
    <w:rsid w:val="00690D08"/>
    <w:rsid w:val="0069116A"/>
    <w:rsid w:val="0069377F"/>
    <w:rsid w:val="006A7C8E"/>
    <w:rsid w:val="006A7DFC"/>
    <w:rsid w:val="006B077C"/>
    <w:rsid w:val="006B26BA"/>
    <w:rsid w:val="006B7505"/>
    <w:rsid w:val="006B7BE3"/>
    <w:rsid w:val="006C0150"/>
    <w:rsid w:val="006C591B"/>
    <w:rsid w:val="006D2DA0"/>
    <w:rsid w:val="006D6D1B"/>
    <w:rsid w:val="006E0769"/>
    <w:rsid w:val="006E4DD7"/>
    <w:rsid w:val="006F2068"/>
    <w:rsid w:val="006F3509"/>
    <w:rsid w:val="006F3EFC"/>
    <w:rsid w:val="006F450F"/>
    <w:rsid w:val="00701F22"/>
    <w:rsid w:val="0070333C"/>
    <w:rsid w:val="00703B1F"/>
    <w:rsid w:val="007053C7"/>
    <w:rsid w:val="00705DB8"/>
    <w:rsid w:val="0070602B"/>
    <w:rsid w:val="00706F2A"/>
    <w:rsid w:val="00707231"/>
    <w:rsid w:val="007076C5"/>
    <w:rsid w:val="0071151F"/>
    <w:rsid w:val="007119FC"/>
    <w:rsid w:val="007129B0"/>
    <w:rsid w:val="00714150"/>
    <w:rsid w:val="0071586F"/>
    <w:rsid w:val="00717F35"/>
    <w:rsid w:val="00732583"/>
    <w:rsid w:val="00732B86"/>
    <w:rsid w:val="0073301A"/>
    <w:rsid w:val="00734EF2"/>
    <w:rsid w:val="00742B40"/>
    <w:rsid w:val="00743535"/>
    <w:rsid w:val="00744BA1"/>
    <w:rsid w:val="0074742C"/>
    <w:rsid w:val="0075402A"/>
    <w:rsid w:val="00755B64"/>
    <w:rsid w:val="00756FB6"/>
    <w:rsid w:val="00757008"/>
    <w:rsid w:val="00765885"/>
    <w:rsid w:val="007675A4"/>
    <w:rsid w:val="00771980"/>
    <w:rsid w:val="00771F1B"/>
    <w:rsid w:val="00772AF5"/>
    <w:rsid w:val="00773EE3"/>
    <w:rsid w:val="00774730"/>
    <w:rsid w:val="007751AF"/>
    <w:rsid w:val="00776E39"/>
    <w:rsid w:val="00781CC6"/>
    <w:rsid w:val="0078238B"/>
    <w:rsid w:val="007869C8"/>
    <w:rsid w:val="007937D7"/>
    <w:rsid w:val="007940A2"/>
    <w:rsid w:val="00796CD5"/>
    <w:rsid w:val="007A1829"/>
    <w:rsid w:val="007A2158"/>
    <w:rsid w:val="007A2498"/>
    <w:rsid w:val="007A5075"/>
    <w:rsid w:val="007B0D64"/>
    <w:rsid w:val="007B1BEB"/>
    <w:rsid w:val="007B28B0"/>
    <w:rsid w:val="007B3B72"/>
    <w:rsid w:val="007B3BAF"/>
    <w:rsid w:val="007B63F8"/>
    <w:rsid w:val="007C0351"/>
    <w:rsid w:val="007C1950"/>
    <w:rsid w:val="007C3043"/>
    <w:rsid w:val="007C59E1"/>
    <w:rsid w:val="007C5E2F"/>
    <w:rsid w:val="007D15DF"/>
    <w:rsid w:val="007D1621"/>
    <w:rsid w:val="007D217C"/>
    <w:rsid w:val="007D4CD4"/>
    <w:rsid w:val="007D5DF3"/>
    <w:rsid w:val="007E3278"/>
    <w:rsid w:val="007E4AF7"/>
    <w:rsid w:val="007E5D6E"/>
    <w:rsid w:val="007E5E20"/>
    <w:rsid w:val="007E73D6"/>
    <w:rsid w:val="007E7D1C"/>
    <w:rsid w:val="007F0364"/>
    <w:rsid w:val="007F136D"/>
    <w:rsid w:val="007F7E2F"/>
    <w:rsid w:val="0080047A"/>
    <w:rsid w:val="008055C8"/>
    <w:rsid w:val="008334A7"/>
    <w:rsid w:val="00834D22"/>
    <w:rsid w:val="00840169"/>
    <w:rsid w:val="00842497"/>
    <w:rsid w:val="00842864"/>
    <w:rsid w:val="00843A99"/>
    <w:rsid w:val="00844F79"/>
    <w:rsid w:val="008520B2"/>
    <w:rsid w:val="00852CBF"/>
    <w:rsid w:val="00856DB0"/>
    <w:rsid w:val="00857EFB"/>
    <w:rsid w:val="00861248"/>
    <w:rsid w:val="008624B4"/>
    <w:rsid w:val="00862678"/>
    <w:rsid w:val="00862A9F"/>
    <w:rsid w:val="0086384F"/>
    <w:rsid w:val="00863F03"/>
    <w:rsid w:val="008663AA"/>
    <w:rsid w:val="00867F6A"/>
    <w:rsid w:val="00870403"/>
    <w:rsid w:val="00870640"/>
    <w:rsid w:val="00870703"/>
    <w:rsid w:val="0087361E"/>
    <w:rsid w:val="00876866"/>
    <w:rsid w:val="00876BBF"/>
    <w:rsid w:val="0087778B"/>
    <w:rsid w:val="00877B7F"/>
    <w:rsid w:val="00884456"/>
    <w:rsid w:val="00887FF8"/>
    <w:rsid w:val="00890019"/>
    <w:rsid w:val="00890C34"/>
    <w:rsid w:val="0089194C"/>
    <w:rsid w:val="0089249B"/>
    <w:rsid w:val="00892A98"/>
    <w:rsid w:val="00895AF5"/>
    <w:rsid w:val="00896855"/>
    <w:rsid w:val="00897638"/>
    <w:rsid w:val="008A01E2"/>
    <w:rsid w:val="008A3F60"/>
    <w:rsid w:val="008A6141"/>
    <w:rsid w:val="008B1CC8"/>
    <w:rsid w:val="008B58A9"/>
    <w:rsid w:val="008B68C1"/>
    <w:rsid w:val="008B7C75"/>
    <w:rsid w:val="008C0B10"/>
    <w:rsid w:val="008C12A5"/>
    <w:rsid w:val="008C2AEE"/>
    <w:rsid w:val="008C3B47"/>
    <w:rsid w:val="008C5193"/>
    <w:rsid w:val="008D09B7"/>
    <w:rsid w:val="008D3203"/>
    <w:rsid w:val="008D3C25"/>
    <w:rsid w:val="008D3D02"/>
    <w:rsid w:val="008D4A0B"/>
    <w:rsid w:val="008D57BF"/>
    <w:rsid w:val="008D5A11"/>
    <w:rsid w:val="008E055A"/>
    <w:rsid w:val="008E1AAC"/>
    <w:rsid w:val="008E307C"/>
    <w:rsid w:val="008E42A6"/>
    <w:rsid w:val="008E5C68"/>
    <w:rsid w:val="008F528C"/>
    <w:rsid w:val="008F57FF"/>
    <w:rsid w:val="008F5FB3"/>
    <w:rsid w:val="008F74D2"/>
    <w:rsid w:val="00900E61"/>
    <w:rsid w:val="00901C53"/>
    <w:rsid w:val="009031D1"/>
    <w:rsid w:val="00904E35"/>
    <w:rsid w:val="009119CA"/>
    <w:rsid w:val="00913F16"/>
    <w:rsid w:val="0092190E"/>
    <w:rsid w:val="00925341"/>
    <w:rsid w:val="00925DB6"/>
    <w:rsid w:val="00926E40"/>
    <w:rsid w:val="009342D9"/>
    <w:rsid w:val="009355A6"/>
    <w:rsid w:val="009356F3"/>
    <w:rsid w:val="00937161"/>
    <w:rsid w:val="009375AE"/>
    <w:rsid w:val="00944C81"/>
    <w:rsid w:val="009453A3"/>
    <w:rsid w:val="009462DC"/>
    <w:rsid w:val="0095299B"/>
    <w:rsid w:val="00952E79"/>
    <w:rsid w:val="00955FB2"/>
    <w:rsid w:val="009561C3"/>
    <w:rsid w:val="009602CF"/>
    <w:rsid w:val="00963BDD"/>
    <w:rsid w:val="00963C55"/>
    <w:rsid w:val="00966CA5"/>
    <w:rsid w:val="009702F8"/>
    <w:rsid w:val="00970762"/>
    <w:rsid w:val="00971E8C"/>
    <w:rsid w:val="00972E12"/>
    <w:rsid w:val="00972E43"/>
    <w:rsid w:val="00972F0E"/>
    <w:rsid w:val="009767B4"/>
    <w:rsid w:val="00976977"/>
    <w:rsid w:val="009814D6"/>
    <w:rsid w:val="009841D9"/>
    <w:rsid w:val="00987BC7"/>
    <w:rsid w:val="00991EDD"/>
    <w:rsid w:val="009947CD"/>
    <w:rsid w:val="0099572F"/>
    <w:rsid w:val="009A02F1"/>
    <w:rsid w:val="009A1F97"/>
    <w:rsid w:val="009A2713"/>
    <w:rsid w:val="009A47D5"/>
    <w:rsid w:val="009A711D"/>
    <w:rsid w:val="009A7F00"/>
    <w:rsid w:val="009B0463"/>
    <w:rsid w:val="009B0568"/>
    <w:rsid w:val="009B29F3"/>
    <w:rsid w:val="009B2E93"/>
    <w:rsid w:val="009C160E"/>
    <w:rsid w:val="009C4325"/>
    <w:rsid w:val="009C7497"/>
    <w:rsid w:val="009D1206"/>
    <w:rsid w:val="009D1BF8"/>
    <w:rsid w:val="009D3A8C"/>
    <w:rsid w:val="009D46CC"/>
    <w:rsid w:val="009D7EAB"/>
    <w:rsid w:val="009E02CB"/>
    <w:rsid w:val="009E2C68"/>
    <w:rsid w:val="009E31A5"/>
    <w:rsid w:val="009F1AA4"/>
    <w:rsid w:val="009F1DDE"/>
    <w:rsid w:val="009F32F0"/>
    <w:rsid w:val="00A00863"/>
    <w:rsid w:val="00A01416"/>
    <w:rsid w:val="00A122D2"/>
    <w:rsid w:val="00A17707"/>
    <w:rsid w:val="00A233C9"/>
    <w:rsid w:val="00A249D7"/>
    <w:rsid w:val="00A26376"/>
    <w:rsid w:val="00A3058E"/>
    <w:rsid w:val="00A31FBF"/>
    <w:rsid w:val="00A35005"/>
    <w:rsid w:val="00A425C6"/>
    <w:rsid w:val="00A43301"/>
    <w:rsid w:val="00A43D6C"/>
    <w:rsid w:val="00A45A81"/>
    <w:rsid w:val="00A45AAE"/>
    <w:rsid w:val="00A516EC"/>
    <w:rsid w:val="00A5785F"/>
    <w:rsid w:val="00A57EF9"/>
    <w:rsid w:val="00A650F8"/>
    <w:rsid w:val="00A65E43"/>
    <w:rsid w:val="00A66D34"/>
    <w:rsid w:val="00A72D57"/>
    <w:rsid w:val="00A73C08"/>
    <w:rsid w:val="00A76B5B"/>
    <w:rsid w:val="00A8033A"/>
    <w:rsid w:val="00A8086C"/>
    <w:rsid w:val="00A8208C"/>
    <w:rsid w:val="00A8344B"/>
    <w:rsid w:val="00A84364"/>
    <w:rsid w:val="00A9112F"/>
    <w:rsid w:val="00A96B1D"/>
    <w:rsid w:val="00AA0320"/>
    <w:rsid w:val="00AA21B3"/>
    <w:rsid w:val="00AA3A96"/>
    <w:rsid w:val="00AA3A9A"/>
    <w:rsid w:val="00AB248B"/>
    <w:rsid w:val="00AB45B4"/>
    <w:rsid w:val="00AC118D"/>
    <w:rsid w:val="00AC4E8D"/>
    <w:rsid w:val="00AC6498"/>
    <w:rsid w:val="00AD3492"/>
    <w:rsid w:val="00AE46F8"/>
    <w:rsid w:val="00AE5613"/>
    <w:rsid w:val="00AF0F79"/>
    <w:rsid w:val="00AF1A29"/>
    <w:rsid w:val="00AF5EB4"/>
    <w:rsid w:val="00AF679F"/>
    <w:rsid w:val="00B00E50"/>
    <w:rsid w:val="00B00F45"/>
    <w:rsid w:val="00B018C7"/>
    <w:rsid w:val="00B1043B"/>
    <w:rsid w:val="00B129A2"/>
    <w:rsid w:val="00B15F43"/>
    <w:rsid w:val="00B22B5C"/>
    <w:rsid w:val="00B23402"/>
    <w:rsid w:val="00B23875"/>
    <w:rsid w:val="00B2607F"/>
    <w:rsid w:val="00B26E21"/>
    <w:rsid w:val="00B30852"/>
    <w:rsid w:val="00B310B5"/>
    <w:rsid w:val="00B317D3"/>
    <w:rsid w:val="00B35530"/>
    <w:rsid w:val="00B3562F"/>
    <w:rsid w:val="00B42AC2"/>
    <w:rsid w:val="00B44DD2"/>
    <w:rsid w:val="00B468FD"/>
    <w:rsid w:val="00B55BC0"/>
    <w:rsid w:val="00B5626E"/>
    <w:rsid w:val="00B660FF"/>
    <w:rsid w:val="00B7272C"/>
    <w:rsid w:val="00B73FF4"/>
    <w:rsid w:val="00B75FC8"/>
    <w:rsid w:val="00B8252F"/>
    <w:rsid w:val="00B833BF"/>
    <w:rsid w:val="00B87C71"/>
    <w:rsid w:val="00B905B4"/>
    <w:rsid w:val="00B90722"/>
    <w:rsid w:val="00B935BE"/>
    <w:rsid w:val="00B948C3"/>
    <w:rsid w:val="00BA3893"/>
    <w:rsid w:val="00BB6564"/>
    <w:rsid w:val="00BB72D1"/>
    <w:rsid w:val="00BC0197"/>
    <w:rsid w:val="00BC5E47"/>
    <w:rsid w:val="00BD2BE7"/>
    <w:rsid w:val="00BD34EA"/>
    <w:rsid w:val="00BD5399"/>
    <w:rsid w:val="00BD648E"/>
    <w:rsid w:val="00BE5D18"/>
    <w:rsid w:val="00BE6491"/>
    <w:rsid w:val="00BF0BAD"/>
    <w:rsid w:val="00BF10E0"/>
    <w:rsid w:val="00BF1748"/>
    <w:rsid w:val="00C01911"/>
    <w:rsid w:val="00C01FE3"/>
    <w:rsid w:val="00C0673E"/>
    <w:rsid w:val="00C2288A"/>
    <w:rsid w:val="00C246B6"/>
    <w:rsid w:val="00C2504F"/>
    <w:rsid w:val="00C26B0B"/>
    <w:rsid w:val="00C26E26"/>
    <w:rsid w:val="00C31E72"/>
    <w:rsid w:val="00C36A30"/>
    <w:rsid w:val="00C452EA"/>
    <w:rsid w:val="00C479E8"/>
    <w:rsid w:val="00C47D99"/>
    <w:rsid w:val="00C47F33"/>
    <w:rsid w:val="00C50361"/>
    <w:rsid w:val="00C50867"/>
    <w:rsid w:val="00C531DD"/>
    <w:rsid w:val="00C53543"/>
    <w:rsid w:val="00C53C65"/>
    <w:rsid w:val="00C54202"/>
    <w:rsid w:val="00C548FD"/>
    <w:rsid w:val="00C65123"/>
    <w:rsid w:val="00C66F23"/>
    <w:rsid w:val="00C677EE"/>
    <w:rsid w:val="00C70784"/>
    <w:rsid w:val="00C716CD"/>
    <w:rsid w:val="00C72ABD"/>
    <w:rsid w:val="00C72B42"/>
    <w:rsid w:val="00C8171F"/>
    <w:rsid w:val="00C82D43"/>
    <w:rsid w:val="00C835F8"/>
    <w:rsid w:val="00C86597"/>
    <w:rsid w:val="00C93373"/>
    <w:rsid w:val="00CA1D79"/>
    <w:rsid w:val="00CA7729"/>
    <w:rsid w:val="00CB3F08"/>
    <w:rsid w:val="00CC26E9"/>
    <w:rsid w:val="00CC2E8D"/>
    <w:rsid w:val="00CC30F4"/>
    <w:rsid w:val="00CC6B0A"/>
    <w:rsid w:val="00CC72CF"/>
    <w:rsid w:val="00CD1468"/>
    <w:rsid w:val="00CD17D5"/>
    <w:rsid w:val="00CD23B0"/>
    <w:rsid w:val="00CD2DA2"/>
    <w:rsid w:val="00CD6200"/>
    <w:rsid w:val="00CD78C2"/>
    <w:rsid w:val="00CD7BEE"/>
    <w:rsid w:val="00CE299A"/>
    <w:rsid w:val="00CE7537"/>
    <w:rsid w:val="00CF03BB"/>
    <w:rsid w:val="00CF2BA0"/>
    <w:rsid w:val="00CF3805"/>
    <w:rsid w:val="00CF5FA6"/>
    <w:rsid w:val="00D0149C"/>
    <w:rsid w:val="00D121D5"/>
    <w:rsid w:val="00D12EF7"/>
    <w:rsid w:val="00D211B6"/>
    <w:rsid w:val="00D23858"/>
    <w:rsid w:val="00D274AE"/>
    <w:rsid w:val="00D3660D"/>
    <w:rsid w:val="00D37981"/>
    <w:rsid w:val="00D404E7"/>
    <w:rsid w:val="00D40A96"/>
    <w:rsid w:val="00D42410"/>
    <w:rsid w:val="00D431FE"/>
    <w:rsid w:val="00D44F92"/>
    <w:rsid w:val="00D461F2"/>
    <w:rsid w:val="00D46C03"/>
    <w:rsid w:val="00D55EF9"/>
    <w:rsid w:val="00D601E6"/>
    <w:rsid w:val="00D62977"/>
    <w:rsid w:val="00D7112F"/>
    <w:rsid w:val="00D755E9"/>
    <w:rsid w:val="00D76C29"/>
    <w:rsid w:val="00D800EC"/>
    <w:rsid w:val="00D807BA"/>
    <w:rsid w:val="00D81337"/>
    <w:rsid w:val="00D824CA"/>
    <w:rsid w:val="00D833E2"/>
    <w:rsid w:val="00D8652B"/>
    <w:rsid w:val="00D92761"/>
    <w:rsid w:val="00D93A95"/>
    <w:rsid w:val="00D93F5E"/>
    <w:rsid w:val="00D943D7"/>
    <w:rsid w:val="00D94A28"/>
    <w:rsid w:val="00D95165"/>
    <w:rsid w:val="00DA0E4D"/>
    <w:rsid w:val="00DA6350"/>
    <w:rsid w:val="00DA6B59"/>
    <w:rsid w:val="00DB050B"/>
    <w:rsid w:val="00DB3F2F"/>
    <w:rsid w:val="00DB55FA"/>
    <w:rsid w:val="00DB5BC3"/>
    <w:rsid w:val="00DB5F1C"/>
    <w:rsid w:val="00DB60F9"/>
    <w:rsid w:val="00DB64E5"/>
    <w:rsid w:val="00DB7EAC"/>
    <w:rsid w:val="00DC063A"/>
    <w:rsid w:val="00DC0BD6"/>
    <w:rsid w:val="00DC4111"/>
    <w:rsid w:val="00DD1CEF"/>
    <w:rsid w:val="00DD3F54"/>
    <w:rsid w:val="00DD65A9"/>
    <w:rsid w:val="00DD698D"/>
    <w:rsid w:val="00DE0CBB"/>
    <w:rsid w:val="00DE124A"/>
    <w:rsid w:val="00DE309E"/>
    <w:rsid w:val="00DE73EB"/>
    <w:rsid w:val="00DE7BA4"/>
    <w:rsid w:val="00DF0B57"/>
    <w:rsid w:val="00DF3C9F"/>
    <w:rsid w:val="00DF4400"/>
    <w:rsid w:val="00E036DE"/>
    <w:rsid w:val="00E0472A"/>
    <w:rsid w:val="00E04C29"/>
    <w:rsid w:val="00E0595B"/>
    <w:rsid w:val="00E07117"/>
    <w:rsid w:val="00E0711A"/>
    <w:rsid w:val="00E07832"/>
    <w:rsid w:val="00E12031"/>
    <w:rsid w:val="00E128E8"/>
    <w:rsid w:val="00E13DBA"/>
    <w:rsid w:val="00E17521"/>
    <w:rsid w:val="00E23564"/>
    <w:rsid w:val="00E23F0F"/>
    <w:rsid w:val="00E259A2"/>
    <w:rsid w:val="00E517CB"/>
    <w:rsid w:val="00E52736"/>
    <w:rsid w:val="00E60C7C"/>
    <w:rsid w:val="00E60F91"/>
    <w:rsid w:val="00E61650"/>
    <w:rsid w:val="00E61B58"/>
    <w:rsid w:val="00E62CDB"/>
    <w:rsid w:val="00E80268"/>
    <w:rsid w:val="00E80620"/>
    <w:rsid w:val="00E86849"/>
    <w:rsid w:val="00E90AF0"/>
    <w:rsid w:val="00E94306"/>
    <w:rsid w:val="00EA0145"/>
    <w:rsid w:val="00EA1BFA"/>
    <w:rsid w:val="00EA26C7"/>
    <w:rsid w:val="00EA3B39"/>
    <w:rsid w:val="00EA493F"/>
    <w:rsid w:val="00EA57EE"/>
    <w:rsid w:val="00EA6508"/>
    <w:rsid w:val="00EB09C9"/>
    <w:rsid w:val="00EB0F5F"/>
    <w:rsid w:val="00EB303A"/>
    <w:rsid w:val="00EB5CF3"/>
    <w:rsid w:val="00EC0B3C"/>
    <w:rsid w:val="00EC2FF3"/>
    <w:rsid w:val="00EC3274"/>
    <w:rsid w:val="00EC7EC8"/>
    <w:rsid w:val="00ED13CA"/>
    <w:rsid w:val="00ED18CA"/>
    <w:rsid w:val="00ED3E5A"/>
    <w:rsid w:val="00ED436D"/>
    <w:rsid w:val="00ED4B32"/>
    <w:rsid w:val="00ED5854"/>
    <w:rsid w:val="00EE5333"/>
    <w:rsid w:val="00EE6466"/>
    <w:rsid w:val="00EF1BFA"/>
    <w:rsid w:val="00EF3599"/>
    <w:rsid w:val="00EF414F"/>
    <w:rsid w:val="00EF69BA"/>
    <w:rsid w:val="00F00551"/>
    <w:rsid w:val="00F024EC"/>
    <w:rsid w:val="00F0305C"/>
    <w:rsid w:val="00F0489F"/>
    <w:rsid w:val="00F04A41"/>
    <w:rsid w:val="00F061D3"/>
    <w:rsid w:val="00F111F7"/>
    <w:rsid w:val="00F1202E"/>
    <w:rsid w:val="00F12132"/>
    <w:rsid w:val="00F12228"/>
    <w:rsid w:val="00F12424"/>
    <w:rsid w:val="00F153D0"/>
    <w:rsid w:val="00F16719"/>
    <w:rsid w:val="00F2607E"/>
    <w:rsid w:val="00F34D20"/>
    <w:rsid w:val="00F36348"/>
    <w:rsid w:val="00F37BC6"/>
    <w:rsid w:val="00F40FD8"/>
    <w:rsid w:val="00F4103C"/>
    <w:rsid w:val="00F416AF"/>
    <w:rsid w:val="00F424E2"/>
    <w:rsid w:val="00F4280B"/>
    <w:rsid w:val="00F43C52"/>
    <w:rsid w:val="00F45F4B"/>
    <w:rsid w:val="00F476F4"/>
    <w:rsid w:val="00F507A2"/>
    <w:rsid w:val="00F51A23"/>
    <w:rsid w:val="00F5627D"/>
    <w:rsid w:val="00F566D3"/>
    <w:rsid w:val="00F60989"/>
    <w:rsid w:val="00F60A03"/>
    <w:rsid w:val="00F6179D"/>
    <w:rsid w:val="00F61917"/>
    <w:rsid w:val="00F64CB6"/>
    <w:rsid w:val="00F66D50"/>
    <w:rsid w:val="00F705E6"/>
    <w:rsid w:val="00F748FA"/>
    <w:rsid w:val="00F74AD9"/>
    <w:rsid w:val="00F764F4"/>
    <w:rsid w:val="00F77B42"/>
    <w:rsid w:val="00F806DD"/>
    <w:rsid w:val="00F8179E"/>
    <w:rsid w:val="00F82385"/>
    <w:rsid w:val="00F82B44"/>
    <w:rsid w:val="00F85CF5"/>
    <w:rsid w:val="00F85DAE"/>
    <w:rsid w:val="00F918D4"/>
    <w:rsid w:val="00F95064"/>
    <w:rsid w:val="00F964D4"/>
    <w:rsid w:val="00F96F48"/>
    <w:rsid w:val="00F9723E"/>
    <w:rsid w:val="00FA504C"/>
    <w:rsid w:val="00FA7094"/>
    <w:rsid w:val="00FB291A"/>
    <w:rsid w:val="00FB5BA7"/>
    <w:rsid w:val="00FB7C29"/>
    <w:rsid w:val="00FC3B58"/>
    <w:rsid w:val="00FD0A90"/>
    <w:rsid w:val="00FD36E8"/>
    <w:rsid w:val="00FD47B7"/>
    <w:rsid w:val="00FE0316"/>
    <w:rsid w:val="00FE320E"/>
    <w:rsid w:val="00FE5959"/>
    <w:rsid w:val="00FE5F7E"/>
    <w:rsid w:val="00FF390F"/>
    <w:rsid w:val="00FF3D64"/>
    <w:rsid w:val="00FF481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E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rsid w:val="005365E9"/>
    <w:pPr>
      <w:spacing w:after="240"/>
    </w:pPr>
    <w:rPr>
      <w:rFonts w:ascii="Times New Roman" w:eastAsia="Times New Roman" w:hAnsi="Times New Roman"/>
      <w:sz w:val="24"/>
      <w:szCs w:val="24"/>
      <w:lang w:eastAsia="en-US"/>
    </w:rPr>
  </w:style>
  <w:style w:type="character" w:customStyle="1" w:styleId="AERbodytextChar">
    <w:name w:val="AER body text Char"/>
    <w:basedOn w:val="DefaultParagraphFont"/>
    <w:link w:val="AERbodytext"/>
    <w:rsid w:val="005365E9"/>
    <w:rPr>
      <w:rFonts w:ascii="Times New Roman" w:eastAsia="Times New Roman" w:hAnsi="Times New Roman"/>
      <w:sz w:val="24"/>
      <w:szCs w:val="24"/>
      <w:lang w:val="en-AU" w:eastAsia="en-US" w:bidi="ar-SA"/>
    </w:rPr>
  </w:style>
  <w:style w:type="paragraph" w:customStyle="1" w:styleId="AERtable">
    <w:name w:val="AER table"/>
    <w:basedOn w:val="Normal"/>
    <w:link w:val="AERtableChar"/>
    <w:rsid w:val="005365E9"/>
    <w:pPr>
      <w:tabs>
        <w:tab w:val="left" w:pos="0"/>
        <w:tab w:val="left" w:pos="360"/>
        <w:tab w:val="right" w:leader="dot" w:pos="8453"/>
      </w:tabs>
      <w:spacing w:before="60" w:after="60" w:line="240" w:lineRule="auto"/>
      <w:ind w:left="72" w:hanging="72"/>
    </w:pPr>
    <w:rPr>
      <w:rFonts w:ascii="Times New Roman" w:eastAsia="Times New Roman" w:hAnsi="Times New Roman"/>
      <w:sz w:val="20"/>
      <w:szCs w:val="20"/>
      <w:lang w:eastAsia="en-AU"/>
    </w:rPr>
  </w:style>
  <w:style w:type="character" w:customStyle="1" w:styleId="AERtableChar">
    <w:name w:val="AER table Char"/>
    <w:basedOn w:val="DefaultParagraphFont"/>
    <w:link w:val="AERtable"/>
    <w:rsid w:val="005365E9"/>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536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5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Attachment- AER varies Victorian electricity network charges following tribunal decision - 2 October 2012</dc:title>
  <dc:subject/>
  <dc:creator>AER</dc:creator>
  <cp:keywords/>
  <dc:description/>
  <cp:lastModifiedBy>tpits</cp:lastModifiedBy>
  <cp:revision>4</cp:revision>
  <cp:lastPrinted>2012-10-02T04:54:00Z</cp:lastPrinted>
  <dcterms:created xsi:type="dcterms:W3CDTF">2012-10-02T04:50:00Z</dcterms:created>
  <dcterms:modified xsi:type="dcterms:W3CDTF">2012-10-02T04:54:00Z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C:\Documents and Settings\tpits\Local Settings\Temporary Internet Files\Content.Outlook\DAJ23M0O\Media - News Release - NR 018 12 - AER varies Victorian electrcity network charges following tribunal decision - 2 October 2012.doc</vt:lpwstr>
  </property>
</Properties>
</file>