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501" w:rsidRPr="0020711E" w:rsidRDefault="00892501" w:rsidP="00892501">
      <w:pPr>
        <w:pStyle w:val="AERtitle1"/>
        <w:rPr>
          <w:rStyle w:val="AERtextsize8"/>
        </w:rPr>
      </w:pPr>
      <w:bookmarkStart w:id="0" w:name="_GoBack"/>
      <w:bookmarkEnd w:id="0"/>
      <w:r w:rsidRPr="00892501">
        <w:rPr>
          <w:noProof/>
        </w:rPr>
        <w:drawing>
          <wp:anchor distT="0" distB="0" distL="114300" distR="114300" simplePos="0" relativeHeight="251668480" behindDoc="1" locked="0" layoutInCell="1" allowOverlap="1" wp14:anchorId="59E3407B" wp14:editId="7E2D9FD2">
            <wp:simplePos x="0" y="0"/>
            <wp:positionH relativeFrom="column">
              <wp:posOffset>-913130</wp:posOffset>
            </wp:positionH>
            <wp:positionV relativeFrom="paragraph">
              <wp:posOffset>-935990</wp:posOffset>
            </wp:positionV>
            <wp:extent cx="7678800" cy="10908000"/>
            <wp:effectExtent l="0" t="0" r="0" b="0"/>
            <wp:wrapNone/>
            <wp:docPr id="1"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78800" cy="10908000"/>
                    </a:xfrm>
                    <a:prstGeom prst="rect">
                      <a:avLst/>
                    </a:prstGeom>
                    <a:noFill/>
                  </pic:spPr>
                </pic:pic>
              </a:graphicData>
            </a:graphic>
            <wp14:sizeRelH relativeFrom="margin">
              <wp14:pctWidth>0</wp14:pctWidth>
            </wp14:sizeRelH>
            <wp14:sizeRelV relativeFrom="margin">
              <wp14:pctHeight>0</wp14:pctHeight>
            </wp14:sizeRelV>
          </wp:anchor>
        </w:drawing>
      </w:r>
    </w:p>
    <w:p w:rsidR="00892501" w:rsidRDefault="00892501" w:rsidP="00892501">
      <w:pPr>
        <w:pStyle w:val="AERtitle1"/>
      </w:pPr>
    </w:p>
    <w:p w:rsidR="00892501" w:rsidRDefault="00892501" w:rsidP="00892501">
      <w:pPr>
        <w:pStyle w:val="AERtitle1"/>
      </w:pPr>
    </w:p>
    <w:p w:rsidR="00892501" w:rsidRDefault="00892501" w:rsidP="00892501">
      <w:pPr>
        <w:pStyle w:val="AERtitle1"/>
      </w:pPr>
    </w:p>
    <w:p w:rsidR="00892501" w:rsidRDefault="00892501" w:rsidP="00892501">
      <w:pPr>
        <w:pStyle w:val="AERtitle1"/>
      </w:pPr>
    </w:p>
    <w:p w:rsidR="00892501" w:rsidRDefault="00892501" w:rsidP="00892501">
      <w:pPr>
        <w:pStyle w:val="AERtitle1"/>
      </w:pPr>
    </w:p>
    <w:p w:rsidR="007D3570" w:rsidRDefault="007D3570" w:rsidP="007D3570">
      <w:pPr>
        <w:pStyle w:val="AERtitle1"/>
      </w:pPr>
      <w:r w:rsidRPr="007D3570">
        <w:rPr>
          <w:noProof/>
        </w:rPr>
        <w:drawing>
          <wp:anchor distT="0" distB="0" distL="114300" distR="114300" simplePos="0" relativeHeight="251672576" behindDoc="1" locked="0" layoutInCell="1" allowOverlap="1" wp14:anchorId="37594622" wp14:editId="76E45027">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t>Better Regulation</w:t>
      </w:r>
    </w:p>
    <w:p w:rsidR="007D3570" w:rsidRDefault="007D3570" w:rsidP="007D3570">
      <w:pPr>
        <w:pStyle w:val="AERtitle1"/>
      </w:pPr>
    </w:p>
    <w:p w:rsidR="00892501" w:rsidRDefault="007D3570" w:rsidP="00892501">
      <w:pPr>
        <w:pStyle w:val="AERtitle1"/>
      </w:pPr>
      <w:r>
        <w:t xml:space="preserve">Draft </w:t>
      </w:r>
      <w:r w:rsidR="00823522">
        <w:t>r</w:t>
      </w:r>
      <w:r>
        <w:t xml:space="preserve">ate of </w:t>
      </w:r>
      <w:r w:rsidR="00823522">
        <w:t>r</w:t>
      </w:r>
      <w:r>
        <w:t xml:space="preserve">eturn </w:t>
      </w:r>
      <w:r w:rsidR="00984689">
        <w:t>guideline</w:t>
      </w:r>
    </w:p>
    <w:p w:rsidR="00892501" w:rsidRDefault="00892501" w:rsidP="00892501">
      <w:pPr>
        <w:pStyle w:val="AERtitle2"/>
      </w:pPr>
    </w:p>
    <w:p w:rsidR="00892501" w:rsidRDefault="00892501" w:rsidP="00892501">
      <w:pPr>
        <w:pStyle w:val="AERtitle2"/>
      </w:pPr>
    </w:p>
    <w:p w:rsidR="00892501" w:rsidRDefault="00494409" w:rsidP="00892501">
      <w:pPr>
        <w:pStyle w:val="AERtitle2"/>
      </w:pPr>
      <w:r>
        <w:t>August</w:t>
      </w:r>
      <w:r w:rsidR="00892501">
        <w:t xml:space="preserve"> 2013</w:t>
      </w:r>
    </w:p>
    <w:p w:rsidR="00892501" w:rsidRDefault="00892501" w:rsidP="00892501">
      <w:pPr>
        <w:pStyle w:val="AERbodytext"/>
        <w:numPr>
          <w:ilvl w:val="0"/>
          <w:numId w:val="6"/>
        </w:numPr>
      </w:pPr>
      <w:r>
        <w:br w:type="page"/>
      </w:r>
      <w:r w:rsidRPr="001126F2">
        <w:lastRenderedPageBreak/>
        <w:t>© Commonwealth of Australia 201</w:t>
      </w:r>
      <w:r w:rsidR="00106BA7">
        <w:t>3</w:t>
      </w:r>
      <w:r w:rsidRPr="001126F2">
        <w:t xml:space="preserve"> </w:t>
      </w:r>
    </w:p>
    <w:p w:rsidR="007B42A0" w:rsidRPr="00020884" w:rsidRDefault="007B42A0" w:rsidP="007B42A0">
      <w:pPr>
        <w:pStyle w:val="AERbodytext"/>
        <w:numPr>
          <w:ilvl w:val="0"/>
          <w:numId w:val="6"/>
        </w:numPr>
      </w:pPr>
      <w:r w:rsidRPr="00020884">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7B42A0" w:rsidRPr="00020884" w:rsidRDefault="007B42A0" w:rsidP="007B42A0">
      <w:pPr>
        <w:pStyle w:val="AERbodytext"/>
        <w:numPr>
          <w:ilvl w:val="0"/>
          <w:numId w:val="6"/>
        </w:numPr>
      </w:pPr>
      <w:r w:rsidRPr="00020884">
        <w:t>Inquiries about this document should be addressed to:</w:t>
      </w:r>
    </w:p>
    <w:p w:rsidR="007B42A0" w:rsidRDefault="007B42A0" w:rsidP="007B42A0">
      <w:pPr>
        <w:pStyle w:val="AERbodytextnospace"/>
        <w:numPr>
          <w:ilvl w:val="0"/>
          <w:numId w:val="6"/>
        </w:numPr>
      </w:pPr>
      <w:r>
        <w:t>Australian Energy Regulator</w:t>
      </w:r>
    </w:p>
    <w:p w:rsidR="007B42A0" w:rsidRDefault="007B42A0" w:rsidP="007B42A0">
      <w:pPr>
        <w:pStyle w:val="AERbodytextnospace"/>
        <w:numPr>
          <w:ilvl w:val="0"/>
          <w:numId w:val="6"/>
        </w:numPr>
      </w:pPr>
      <w:r>
        <w:t>GPO Box 520</w:t>
      </w:r>
    </w:p>
    <w:p w:rsidR="007B42A0" w:rsidRDefault="007B42A0" w:rsidP="007B42A0">
      <w:pPr>
        <w:pStyle w:val="AERbodytextnospace"/>
        <w:numPr>
          <w:ilvl w:val="0"/>
          <w:numId w:val="6"/>
        </w:numPr>
      </w:pPr>
      <w:r>
        <w:t>Melbourne  Vic  3001</w:t>
      </w:r>
    </w:p>
    <w:p w:rsidR="007B42A0" w:rsidRDefault="007B42A0" w:rsidP="007B42A0">
      <w:pPr>
        <w:pStyle w:val="AERbodytextnospace"/>
        <w:numPr>
          <w:ilvl w:val="0"/>
          <w:numId w:val="6"/>
        </w:numPr>
      </w:pPr>
      <w:r>
        <w:t>Tel: (03) 9290 1444</w:t>
      </w:r>
    </w:p>
    <w:p w:rsidR="007B42A0" w:rsidRDefault="007B42A0" w:rsidP="007B42A0">
      <w:pPr>
        <w:pStyle w:val="AERbodytextnospace"/>
        <w:numPr>
          <w:ilvl w:val="0"/>
          <w:numId w:val="6"/>
        </w:numPr>
      </w:pPr>
      <w:r>
        <w:t>Fax: (03) 9290 1457</w:t>
      </w:r>
    </w:p>
    <w:p w:rsidR="007B42A0" w:rsidRDefault="007B42A0" w:rsidP="007B42A0">
      <w:pPr>
        <w:pStyle w:val="AERbodytextnospace"/>
        <w:numPr>
          <w:ilvl w:val="0"/>
          <w:numId w:val="6"/>
        </w:numPr>
      </w:pPr>
      <w:r>
        <w:t xml:space="preserve">Email: </w:t>
      </w:r>
      <w:hyperlink r:id="rId10" w:history="1">
        <w:r w:rsidRPr="003E184A">
          <w:rPr>
            <w:rStyle w:val="Hyperlink"/>
          </w:rPr>
          <w:t>AERInquiry@aer.gov.au</w:t>
        </w:r>
      </w:hyperlink>
    </w:p>
    <w:p w:rsidR="007B42A0" w:rsidRDefault="007B42A0" w:rsidP="007B42A0">
      <w:pPr>
        <w:pStyle w:val="AERbodytext"/>
        <w:numPr>
          <w:ilvl w:val="0"/>
          <w:numId w:val="6"/>
        </w:numPr>
      </w:pPr>
    </w:p>
    <w:p w:rsidR="007B42A0" w:rsidRPr="006643A1" w:rsidRDefault="007B42A0" w:rsidP="006643A1">
      <w:r w:rsidRPr="00020884">
        <w:t xml:space="preserve">AER reference:   </w:t>
      </w:r>
      <w:r w:rsidR="00546D22">
        <w:t>49866/D13/61631</w:t>
      </w:r>
    </w:p>
    <w:p w:rsidR="007B42A0" w:rsidRPr="008F1A4A" w:rsidRDefault="007B42A0" w:rsidP="007B42A0">
      <w:pPr>
        <w:pStyle w:val="AERbodytextnospace"/>
        <w:numPr>
          <w:ilvl w:val="0"/>
          <w:numId w:val="6"/>
        </w:numPr>
        <w:rPr>
          <w:rStyle w:val="AERtextbold"/>
        </w:rPr>
      </w:pPr>
      <w:r w:rsidRPr="008F1A4A">
        <w:rPr>
          <w:rStyle w:val="AERtextbold"/>
        </w:rPr>
        <w:t xml:space="preserve">Amendment record </w:t>
      </w:r>
    </w:p>
    <w:tbl>
      <w:tblPr>
        <w:tblStyle w:val="AERtable-text"/>
        <w:tblW w:w="5000" w:type="pct"/>
        <w:tblLook w:val="01E0" w:firstRow="1" w:lastRow="1" w:firstColumn="1" w:lastColumn="1" w:noHBand="0" w:noVBand="0"/>
      </w:tblPr>
      <w:tblGrid>
        <w:gridCol w:w="3080"/>
        <w:gridCol w:w="3081"/>
        <w:gridCol w:w="3081"/>
      </w:tblGrid>
      <w:tr w:rsidR="007B42A0" w:rsidTr="00941EE7">
        <w:trPr>
          <w:cnfStyle w:val="100000000000" w:firstRow="1" w:lastRow="0" w:firstColumn="0" w:lastColumn="0" w:oddVBand="0" w:evenVBand="0" w:oddHBand="0" w:evenHBand="0" w:firstRowFirstColumn="0" w:firstRowLastColumn="0" w:lastRowFirstColumn="0" w:lastRowLastColumn="0"/>
        </w:trPr>
        <w:tc>
          <w:tcPr>
            <w:tcW w:w="1666" w:type="pct"/>
          </w:tcPr>
          <w:p w:rsidR="007B42A0" w:rsidRPr="007B42A0" w:rsidRDefault="007B42A0" w:rsidP="007B42A0">
            <w:pPr>
              <w:pStyle w:val="AERtabletextleft"/>
            </w:pPr>
            <w:r w:rsidRPr="008F1A4A">
              <w:t>Version</w:t>
            </w:r>
          </w:p>
        </w:tc>
        <w:tc>
          <w:tcPr>
            <w:tcW w:w="1667" w:type="pct"/>
          </w:tcPr>
          <w:p w:rsidR="007B42A0" w:rsidRPr="007B42A0" w:rsidRDefault="007B42A0" w:rsidP="007B42A0">
            <w:pPr>
              <w:pStyle w:val="AERtabletextleft"/>
            </w:pPr>
            <w:r w:rsidRPr="008F1A4A">
              <w:t>Date</w:t>
            </w:r>
          </w:p>
        </w:tc>
        <w:tc>
          <w:tcPr>
            <w:tcW w:w="1667" w:type="pct"/>
          </w:tcPr>
          <w:p w:rsidR="007B42A0" w:rsidRPr="007B42A0" w:rsidRDefault="007B42A0" w:rsidP="007B42A0">
            <w:pPr>
              <w:pStyle w:val="AERtabletextleft"/>
            </w:pPr>
            <w:r w:rsidRPr="008F1A4A">
              <w:t>Pages</w:t>
            </w:r>
          </w:p>
        </w:tc>
      </w:tr>
      <w:tr w:rsidR="007B42A0" w:rsidTr="00941EE7">
        <w:tc>
          <w:tcPr>
            <w:tcW w:w="1666" w:type="pct"/>
          </w:tcPr>
          <w:p w:rsidR="007B42A0" w:rsidRPr="00C66A76" w:rsidRDefault="007B42A0" w:rsidP="00C66A76">
            <w:pPr>
              <w:pStyle w:val="AERtabletextleft"/>
            </w:pPr>
            <w:r w:rsidRPr="00C66A76">
              <w:t>01</w:t>
            </w:r>
          </w:p>
        </w:tc>
        <w:tc>
          <w:tcPr>
            <w:tcW w:w="1667" w:type="pct"/>
          </w:tcPr>
          <w:p w:rsidR="007B42A0" w:rsidRPr="00C66A76" w:rsidRDefault="00C66A76" w:rsidP="00C66A76">
            <w:pPr>
              <w:pStyle w:val="AERtabletextleft"/>
            </w:pPr>
            <w:r w:rsidRPr="00C66A76">
              <w:t>August 2013</w:t>
            </w:r>
          </w:p>
        </w:tc>
        <w:tc>
          <w:tcPr>
            <w:tcW w:w="1667" w:type="pct"/>
          </w:tcPr>
          <w:p w:rsidR="007B42A0" w:rsidRPr="00C66A76" w:rsidRDefault="00874997" w:rsidP="00C66A76">
            <w:pPr>
              <w:pStyle w:val="AERtabletextleft"/>
            </w:pPr>
            <w:r>
              <w:t>30</w:t>
            </w:r>
          </w:p>
        </w:tc>
      </w:tr>
    </w:tbl>
    <w:p w:rsidR="007B42A0" w:rsidRDefault="007B42A0" w:rsidP="00823522">
      <w:pPr>
        <w:pStyle w:val="AERbodytext"/>
        <w:numPr>
          <w:ilvl w:val="0"/>
          <w:numId w:val="0"/>
        </w:numPr>
      </w:pPr>
    </w:p>
    <w:p w:rsidR="00823522" w:rsidRDefault="00823522">
      <w:pPr>
        <w:spacing w:after="0" w:line="240" w:lineRule="auto"/>
        <w:jc w:val="left"/>
        <w:rPr>
          <w:rFonts w:eastAsia="Times New Roman"/>
          <w:szCs w:val="24"/>
        </w:rPr>
      </w:pPr>
      <w:r>
        <w:br w:type="page"/>
      </w:r>
    </w:p>
    <w:p w:rsidR="00892501" w:rsidRDefault="00892501" w:rsidP="00892501">
      <w:pPr>
        <w:pStyle w:val="UnnumberedHeading"/>
      </w:pPr>
      <w:bookmarkStart w:id="1" w:name="_Toc365537030"/>
      <w:r>
        <w:lastRenderedPageBreak/>
        <w:t>Contents</w:t>
      </w:r>
      <w:bookmarkEnd w:id="1"/>
    </w:p>
    <w:p w:rsidR="00B105D6" w:rsidRDefault="00181DC6">
      <w:pPr>
        <w:pStyle w:val="TOC1"/>
        <w:tabs>
          <w:tab w:val="right" w:leader="dot" w:pos="9016"/>
        </w:tabs>
        <w:rPr>
          <w:rFonts w:asciiTheme="minorHAnsi" w:eastAsiaTheme="minorEastAsia" w:hAnsiTheme="minorHAnsi" w:cstheme="minorBidi"/>
          <w:b w:val="0"/>
          <w:bCs w:val="0"/>
          <w:noProof/>
          <w:sz w:val="22"/>
          <w:szCs w:val="22"/>
          <w:lang w:eastAsia="en-AU"/>
        </w:rPr>
      </w:pPr>
      <w:r w:rsidRPr="00892501">
        <w:fldChar w:fldCharType="begin"/>
      </w:r>
      <w:r w:rsidR="00892501" w:rsidRPr="00892501">
        <w:instrText xml:space="preserve"> TOC \o "1-2" \h \z \u \t "Heading 7,1,Heading 8,2" </w:instrText>
      </w:r>
      <w:r w:rsidRPr="00892501">
        <w:fldChar w:fldCharType="separate"/>
      </w:r>
      <w:hyperlink w:anchor="_Toc365537030" w:history="1">
        <w:r w:rsidR="00B105D6" w:rsidRPr="00732759">
          <w:rPr>
            <w:rStyle w:val="Hyperlink"/>
            <w:noProof/>
          </w:rPr>
          <w:t>Contents</w:t>
        </w:r>
        <w:r w:rsidR="00B105D6">
          <w:rPr>
            <w:noProof/>
            <w:webHidden/>
          </w:rPr>
          <w:tab/>
        </w:r>
        <w:r w:rsidR="00B105D6">
          <w:rPr>
            <w:noProof/>
            <w:webHidden/>
          </w:rPr>
          <w:fldChar w:fldCharType="begin"/>
        </w:r>
        <w:r w:rsidR="00B105D6">
          <w:rPr>
            <w:noProof/>
            <w:webHidden/>
          </w:rPr>
          <w:instrText xml:space="preserve"> PAGEREF _Toc365537030 \h </w:instrText>
        </w:r>
        <w:r w:rsidR="00B105D6">
          <w:rPr>
            <w:noProof/>
            <w:webHidden/>
          </w:rPr>
        </w:r>
        <w:r w:rsidR="00B105D6">
          <w:rPr>
            <w:noProof/>
            <w:webHidden/>
          </w:rPr>
          <w:fldChar w:fldCharType="separate"/>
        </w:r>
        <w:r w:rsidR="00B105D6">
          <w:rPr>
            <w:noProof/>
            <w:webHidden/>
          </w:rPr>
          <w:t>3</w:t>
        </w:r>
        <w:r w:rsidR="00B105D6">
          <w:rPr>
            <w:noProof/>
            <w:webHidden/>
          </w:rPr>
          <w:fldChar w:fldCharType="end"/>
        </w:r>
      </w:hyperlink>
    </w:p>
    <w:p w:rsidR="00B105D6" w:rsidRDefault="002F23A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5537031" w:history="1">
        <w:r w:rsidR="00B105D6" w:rsidRPr="00732759">
          <w:rPr>
            <w:rStyle w:val="Hyperlink"/>
            <w:noProof/>
          </w:rPr>
          <w:t>1</w:t>
        </w:r>
        <w:r w:rsidR="00B105D6">
          <w:rPr>
            <w:rFonts w:asciiTheme="minorHAnsi" w:eastAsiaTheme="minorEastAsia" w:hAnsiTheme="minorHAnsi" w:cstheme="minorBidi"/>
            <w:b w:val="0"/>
            <w:bCs w:val="0"/>
            <w:noProof/>
            <w:sz w:val="22"/>
            <w:szCs w:val="22"/>
            <w:lang w:eastAsia="en-AU"/>
          </w:rPr>
          <w:tab/>
        </w:r>
        <w:r w:rsidR="00B105D6" w:rsidRPr="00732759">
          <w:rPr>
            <w:rStyle w:val="Hyperlink"/>
            <w:noProof/>
          </w:rPr>
          <w:t>Nature and authority</w:t>
        </w:r>
        <w:r w:rsidR="00B105D6">
          <w:rPr>
            <w:noProof/>
            <w:webHidden/>
          </w:rPr>
          <w:tab/>
        </w:r>
        <w:r w:rsidR="00B105D6">
          <w:rPr>
            <w:noProof/>
            <w:webHidden/>
          </w:rPr>
          <w:fldChar w:fldCharType="begin"/>
        </w:r>
        <w:r w:rsidR="00B105D6">
          <w:rPr>
            <w:noProof/>
            <w:webHidden/>
          </w:rPr>
          <w:instrText xml:space="preserve"> PAGEREF _Toc365537031 \h </w:instrText>
        </w:r>
        <w:r w:rsidR="00B105D6">
          <w:rPr>
            <w:noProof/>
            <w:webHidden/>
          </w:rPr>
        </w:r>
        <w:r w:rsidR="00B105D6">
          <w:rPr>
            <w:noProof/>
            <w:webHidden/>
          </w:rPr>
          <w:fldChar w:fldCharType="separate"/>
        </w:r>
        <w:r w:rsidR="00B105D6">
          <w:rPr>
            <w:noProof/>
            <w:webHidden/>
          </w:rPr>
          <w:t>5</w:t>
        </w:r>
        <w:r w:rsidR="00B105D6">
          <w:rPr>
            <w:noProof/>
            <w:webHidden/>
          </w:rPr>
          <w:fldChar w:fldCharType="end"/>
        </w:r>
      </w:hyperlink>
    </w:p>
    <w:p w:rsidR="00B105D6" w:rsidRDefault="002F23A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537032" w:history="1">
        <w:r w:rsidR="00B105D6" w:rsidRPr="00732759">
          <w:rPr>
            <w:rStyle w:val="Hyperlink"/>
            <w:noProof/>
          </w:rPr>
          <w:t>1.1</w:t>
        </w:r>
        <w:r w:rsidR="00B105D6">
          <w:rPr>
            <w:rFonts w:asciiTheme="minorHAnsi" w:eastAsiaTheme="minorEastAsia" w:hAnsiTheme="minorHAnsi" w:cstheme="minorBidi"/>
            <w:iCs w:val="0"/>
            <w:noProof/>
            <w:sz w:val="22"/>
            <w:szCs w:val="22"/>
            <w:lang w:eastAsia="en-AU"/>
          </w:rPr>
          <w:tab/>
        </w:r>
        <w:r w:rsidR="00B105D6" w:rsidRPr="00732759">
          <w:rPr>
            <w:rStyle w:val="Hyperlink"/>
            <w:noProof/>
          </w:rPr>
          <w:t>Introduction</w:t>
        </w:r>
        <w:r w:rsidR="00B105D6">
          <w:rPr>
            <w:noProof/>
            <w:webHidden/>
          </w:rPr>
          <w:tab/>
        </w:r>
        <w:r w:rsidR="00B105D6">
          <w:rPr>
            <w:noProof/>
            <w:webHidden/>
          </w:rPr>
          <w:fldChar w:fldCharType="begin"/>
        </w:r>
        <w:r w:rsidR="00B105D6">
          <w:rPr>
            <w:noProof/>
            <w:webHidden/>
          </w:rPr>
          <w:instrText xml:space="preserve"> PAGEREF _Toc365537032 \h </w:instrText>
        </w:r>
        <w:r w:rsidR="00B105D6">
          <w:rPr>
            <w:noProof/>
            <w:webHidden/>
          </w:rPr>
        </w:r>
        <w:r w:rsidR="00B105D6">
          <w:rPr>
            <w:noProof/>
            <w:webHidden/>
          </w:rPr>
          <w:fldChar w:fldCharType="separate"/>
        </w:r>
        <w:r w:rsidR="00B105D6">
          <w:rPr>
            <w:noProof/>
            <w:webHidden/>
          </w:rPr>
          <w:t>5</w:t>
        </w:r>
        <w:r w:rsidR="00B105D6">
          <w:rPr>
            <w:noProof/>
            <w:webHidden/>
          </w:rPr>
          <w:fldChar w:fldCharType="end"/>
        </w:r>
      </w:hyperlink>
    </w:p>
    <w:p w:rsidR="00B105D6" w:rsidRDefault="002F23A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537033" w:history="1">
        <w:r w:rsidR="00B105D6" w:rsidRPr="00732759">
          <w:rPr>
            <w:rStyle w:val="Hyperlink"/>
            <w:noProof/>
          </w:rPr>
          <w:t>1.2</w:t>
        </w:r>
        <w:r w:rsidR="00B105D6">
          <w:rPr>
            <w:rFonts w:asciiTheme="minorHAnsi" w:eastAsiaTheme="minorEastAsia" w:hAnsiTheme="minorHAnsi" w:cstheme="minorBidi"/>
            <w:iCs w:val="0"/>
            <w:noProof/>
            <w:sz w:val="22"/>
            <w:szCs w:val="22"/>
            <w:lang w:eastAsia="en-AU"/>
          </w:rPr>
          <w:tab/>
        </w:r>
        <w:r w:rsidR="00B105D6" w:rsidRPr="00732759">
          <w:rPr>
            <w:rStyle w:val="Hyperlink"/>
            <w:noProof/>
          </w:rPr>
          <w:t>Authority</w:t>
        </w:r>
        <w:r w:rsidR="00B105D6">
          <w:rPr>
            <w:noProof/>
            <w:webHidden/>
          </w:rPr>
          <w:tab/>
        </w:r>
        <w:r w:rsidR="00B105D6">
          <w:rPr>
            <w:noProof/>
            <w:webHidden/>
          </w:rPr>
          <w:fldChar w:fldCharType="begin"/>
        </w:r>
        <w:r w:rsidR="00B105D6">
          <w:rPr>
            <w:noProof/>
            <w:webHidden/>
          </w:rPr>
          <w:instrText xml:space="preserve"> PAGEREF _Toc365537033 \h </w:instrText>
        </w:r>
        <w:r w:rsidR="00B105D6">
          <w:rPr>
            <w:noProof/>
            <w:webHidden/>
          </w:rPr>
        </w:r>
        <w:r w:rsidR="00B105D6">
          <w:rPr>
            <w:noProof/>
            <w:webHidden/>
          </w:rPr>
          <w:fldChar w:fldCharType="separate"/>
        </w:r>
        <w:r w:rsidR="00B105D6">
          <w:rPr>
            <w:noProof/>
            <w:webHidden/>
          </w:rPr>
          <w:t>5</w:t>
        </w:r>
        <w:r w:rsidR="00B105D6">
          <w:rPr>
            <w:noProof/>
            <w:webHidden/>
          </w:rPr>
          <w:fldChar w:fldCharType="end"/>
        </w:r>
      </w:hyperlink>
    </w:p>
    <w:p w:rsidR="00B105D6" w:rsidRDefault="002F23A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537034" w:history="1">
        <w:r w:rsidR="00B105D6" w:rsidRPr="00732759">
          <w:rPr>
            <w:rStyle w:val="Hyperlink"/>
            <w:noProof/>
          </w:rPr>
          <w:t>1.3</w:t>
        </w:r>
        <w:r w:rsidR="00B105D6">
          <w:rPr>
            <w:rFonts w:asciiTheme="minorHAnsi" w:eastAsiaTheme="minorEastAsia" w:hAnsiTheme="minorHAnsi" w:cstheme="minorBidi"/>
            <w:iCs w:val="0"/>
            <w:noProof/>
            <w:sz w:val="22"/>
            <w:szCs w:val="22"/>
            <w:lang w:eastAsia="en-AU"/>
          </w:rPr>
          <w:tab/>
        </w:r>
        <w:r w:rsidR="00B105D6" w:rsidRPr="00732759">
          <w:rPr>
            <w:rStyle w:val="Hyperlink"/>
            <w:noProof/>
          </w:rPr>
          <w:t>Role of the guideline</w:t>
        </w:r>
        <w:r w:rsidR="00B105D6">
          <w:rPr>
            <w:noProof/>
            <w:webHidden/>
          </w:rPr>
          <w:tab/>
        </w:r>
        <w:r w:rsidR="00B105D6">
          <w:rPr>
            <w:noProof/>
            <w:webHidden/>
          </w:rPr>
          <w:fldChar w:fldCharType="begin"/>
        </w:r>
        <w:r w:rsidR="00B105D6">
          <w:rPr>
            <w:noProof/>
            <w:webHidden/>
          </w:rPr>
          <w:instrText xml:space="preserve"> PAGEREF _Toc365537034 \h </w:instrText>
        </w:r>
        <w:r w:rsidR="00B105D6">
          <w:rPr>
            <w:noProof/>
            <w:webHidden/>
          </w:rPr>
        </w:r>
        <w:r w:rsidR="00B105D6">
          <w:rPr>
            <w:noProof/>
            <w:webHidden/>
          </w:rPr>
          <w:fldChar w:fldCharType="separate"/>
        </w:r>
        <w:r w:rsidR="00B105D6">
          <w:rPr>
            <w:noProof/>
            <w:webHidden/>
          </w:rPr>
          <w:t>5</w:t>
        </w:r>
        <w:r w:rsidR="00B105D6">
          <w:rPr>
            <w:noProof/>
            <w:webHidden/>
          </w:rPr>
          <w:fldChar w:fldCharType="end"/>
        </w:r>
      </w:hyperlink>
    </w:p>
    <w:p w:rsidR="00B105D6" w:rsidRDefault="002F23A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537035" w:history="1">
        <w:r w:rsidR="00B105D6" w:rsidRPr="00732759">
          <w:rPr>
            <w:rStyle w:val="Hyperlink"/>
            <w:noProof/>
          </w:rPr>
          <w:t>1.4</w:t>
        </w:r>
        <w:r w:rsidR="00B105D6">
          <w:rPr>
            <w:rFonts w:asciiTheme="minorHAnsi" w:eastAsiaTheme="minorEastAsia" w:hAnsiTheme="minorHAnsi" w:cstheme="minorBidi"/>
            <w:iCs w:val="0"/>
            <w:noProof/>
            <w:sz w:val="22"/>
            <w:szCs w:val="22"/>
            <w:lang w:eastAsia="en-AU"/>
          </w:rPr>
          <w:tab/>
        </w:r>
        <w:r w:rsidR="00B105D6" w:rsidRPr="00732759">
          <w:rPr>
            <w:rStyle w:val="Hyperlink"/>
            <w:noProof/>
          </w:rPr>
          <w:t>Definitions and interpretation</w:t>
        </w:r>
        <w:r w:rsidR="00B105D6">
          <w:rPr>
            <w:noProof/>
            <w:webHidden/>
          </w:rPr>
          <w:tab/>
        </w:r>
        <w:r w:rsidR="00B105D6">
          <w:rPr>
            <w:noProof/>
            <w:webHidden/>
          </w:rPr>
          <w:fldChar w:fldCharType="begin"/>
        </w:r>
        <w:r w:rsidR="00B105D6">
          <w:rPr>
            <w:noProof/>
            <w:webHidden/>
          </w:rPr>
          <w:instrText xml:space="preserve"> PAGEREF _Toc365537035 \h </w:instrText>
        </w:r>
        <w:r w:rsidR="00B105D6">
          <w:rPr>
            <w:noProof/>
            <w:webHidden/>
          </w:rPr>
        </w:r>
        <w:r w:rsidR="00B105D6">
          <w:rPr>
            <w:noProof/>
            <w:webHidden/>
          </w:rPr>
          <w:fldChar w:fldCharType="separate"/>
        </w:r>
        <w:r w:rsidR="00B105D6">
          <w:rPr>
            <w:noProof/>
            <w:webHidden/>
          </w:rPr>
          <w:t>5</w:t>
        </w:r>
        <w:r w:rsidR="00B105D6">
          <w:rPr>
            <w:noProof/>
            <w:webHidden/>
          </w:rPr>
          <w:fldChar w:fldCharType="end"/>
        </w:r>
      </w:hyperlink>
    </w:p>
    <w:p w:rsidR="00B105D6" w:rsidRDefault="002F23A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537036" w:history="1">
        <w:r w:rsidR="00B105D6" w:rsidRPr="00732759">
          <w:rPr>
            <w:rStyle w:val="Hyperlink"/>
            <w:noProof/>
          </w:rPr>
          <w:t>1.5</w:t>
        </w:r>
        <w:r w:rsidR="00B105D6">
          <w:rPr>
            <w:rFonts w:asciiTheme="minorHAnsi" w:eastAsiaTheme="minorEastAsia" w:hAnsiTheme="minorHAnsi" w:cstheme="minorBidi"/>
            <w:iCs w:val="0"/>
            <w:noProof/>
            <w:sz w:val="22"/>
            <w:szCs w:val="22"/>
            <w:lang w:eastAsia="en-AU"/>
          </w:rPr>
          <w:tab/>
        </w:r>
        <w:r w:rsidR="00B105D6" w:rsidRPr="00732759">
          <w:rPr>
            <w:rStyle w:val="Hyperlink"/>
            <w:noProof/>
          </w:rPr>
          <w:t>Process for revision</w:t>
        </w:r>
        <w:r w:rsidR="00B105D6">
          <w:rPr>
            <w:noProof/>
            <w:webHidden/>
          </w:rPr>
          <w:tab/>
        </w:r>
        <w:r w:rsidR="00B105D6">
          <w:rPr>
            <w:noProof/>
            <w:webHidden/>
          </w:rPr>
          <w:fldChar w:fldCharType="begin"/>
        </w:r>
        <w:r w:rsidR="00B105D6">
          <w:rPr>
            <w:noProof/>
            <w:webHidden/>
          </w:rPr>
          <w:instrText xml:space="preserve"> PAGEREF _Toc365537036 \h </w:instrText>
        </w:r>
        <w:r w:rsidR="00B105D6">
          <w:rPr>
            <w:noProof/>
            <w:webHidden/>
          </w:rPr>
        </w:r>
        <w:r w:rsidR="00B105D6">
          <w:rPr>
            <w:noProof/>
            <w:webHidden/>
          </w:rPr>
          <w:fldChar w:fldCharType="separate"/>
        </w:r>
        <w:r w:rsidR="00B105D6">
          <w:rPr>
            <w:noProof/>
            <w:webHidden/>
          </w:rPr>
          <w:t>5</w:t>
        </w:r>
        <w:r w:rsidR="00B105D6">
          <w:rPr>
            <w:noProof/>
            <w:webHidden/>
          </w:rPr>
          <w:fldChar w:fldCharType="end"/>
        </w:r>
      </w:hyperlink>
    </w:p>
    <w:p w:rsidR="00B105D6" w:rsidRDefault="002F23A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537037" w:history="1">
        <w:r w:rsidR="00B105D6" w:rsidRPr="00732759">
          <w:rPr>
            <w:rStyle w:val="Hyperlink"/>
            <w:noProof/>
          </w:rPr>
          <w:t>1.6</w:t>
        </w:r>
        <w:r w:rsidR="00B105D6">
          <w:rPr>
            <w:rFonts w:asciiTheme="minorHAnsi" w:eastAsiaTheme="minorEastAsia" w:hAnsiTheme="minorHAnsi" w:cstheme="minorBidi"/>
            <w:iCs w:val="0"/>
            <w:noProof/>
            <w:sz w:val="22"/>
            <w:szCs w:val="22"/>
            <w:lang w:eastAsia="en-AU"/>
          </w:rPr>
          <w:tab/>
        </w:r>
        <w:r w:rsidR="00B105D6" w:rsidRPr="00732759">
          <w:rPr>
            <w:rStyle w:val="Hyperlink"/>
            <w:noProof/>
          </w:rPr>
          <w:t>Version history and effective date</w:t>
        </w:r>
        <w:r w:rsidR="00B105D6">
          <w:rPr>
            <w:noProof/>
            <w:webHidden/>
          </w:rPr>
          <w:tab/>
        </w:r>
        <w:r w:rsidR="00B105D6">
          <w:rPr>
            <w:noProof/>
            <w:webHidden/>
          </w:rPr>
          <w:fldChar w:fldCharType="begin"/>
        </w:r>
        <w:r w:rsidR="00B105D6">
          <w:rPr>
            <w:noProof/>
            <w:webHidden/>
          </w:rPr>
          <w:instrText xml:space="preserve"> PAGEREF _Toc365537037 \h </w:instrText>
        </w:r>
        <w:r w:rsidR="00B105D6">
          <w:rPr>
            <w:noProof/>
            <w:webHidden/>
          </w:rPr>
        </w:r>
        <w:r w:rsidR="00B105D6">
          <w:rPr>
            <w:noProof/>
            <w:webHidden/>
          </w:rPr>
          <w:fldChar w:fldCharType="separate"/>
        </w:r>
        <w:r w:rsidR="00B105D6">
          <w:rPr>
            <w:noProof/>
            <w:webHidden/>
          </w:rPr>
          <w:t>6</w:t>
        </w:r>
        <w:r w:rsidR="00B105D6">
          <w:rPr>
            <w:noProof/>
            <w:webHidden/>
          </w:rPr>
          <w:fldChar w:fldCharType="end"/>
        </w:r>
      </w:hyperlink>
    </w:p>
    <w:p w:rsidR="00B105D6" w:rsidRDefault="002F23A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5537038" w:history="1">
        <w:r w:rsidR="00B105D6" w:rsidRPr="00732759">
          <w:rPr>
            <w:rStyle w:val="Hyperlink"/>
            <w:noProof/>
          </w:rPr>
          <w:t>2</w:t>
        </w:r>
        <w:r w:rsidR="00B105D6">
          <w:rPr>
            <w:rFonts w:asciiTheme="minorHAnsi" w:eastAsiaTheme="minorEastAsia" w:hAnsiTheme="minorHAnsi" w:cstheme="minorBidi"/>
            <w:b w:val="0"/>
            <w:bCs w:val="0"/>
            <w:noProof/>
            <w:sz w:val="22"/>
            <w:szCs w:val="22"/>
            <w:lang w:eastAsia="en-AU"/>
          </w:rPr>
          <w:tab/>
        </w:r>
        <w:r w:rsidR="00B105D6" w:rsidRPr="00732759">
          <w:rPr>
            <w:rStyle w:val="Hyperlink"/>
            <w:noProof/>
          </w:rPr>
          <w:t>Overview</w:t>
        </w:r>
        <w:r w:rsidR="00B105D6">
          <w:rPr>
            <w:noProof/>
            <w:webHidden/>
          </w:rPr>
          <w:tab/>
        </w:r>
        <w:r w:rsidR="00B105D6">
          <w:rPr>
            <w:noProof/>
            <w:webHidden/>
          </w:rPr>
          <w:fldChar w:fldCharType="begin"/>
        </w:r>
        <w:r w:rsidR="00B105D6">
          <w:rPr>
            <w:noProof/>
            <w:webHidden/>
          </w:rPr>
          <w:instrText xml:space="preserve"> PAGEREF _Toc365537038 \h </w:instrText>
        </w:r>
        <w:r w:rsidR="00B105D6">
          <w:rPr>
            <w:noProof/>
            <w:webHidden/>
          </w:rPr>
        </w:r>
        <w:r w:rsidR="00B105D6">
          <w:rPr>
            <w:noProof/>
            <w:webHidden/>
          </w:rPr>
          <w:fldChar w:fldCharType="separate"/>
        </w:r>
        <w:r w:rsidR="00B105D6">
          <w:rPr>
            <w:noProof/>
            <w:webHidden/>
          </w:rPr>
          <w:t>7</w:t>
        </w:r>
        <w:r w:rsidR="00B105D6">
          <w:rPr>
            <w:noProof/>
            <w:webHidden/>
          </w:rPr>
          <w:fldChar w:fldCharType="end"/>
        </w:r>
      </w:hyperlink>
    </w:p>
    <w:p w:rsidR="00B105D6" w:rsidRDefault="002F23A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537039" w:history="1">
        <w:r w:rsidR="00B105D6" w:rsidRPr="00732759">
          <w:rPr>
            <w:rStyle w:val="Hyperlink"/>
            <w:noProof/>
          </w:rPr>
          <w:t>2.1</w:t>
        </w:r>
        <w:r w:rsidR="00B105D6">
          <w:rPr>
            <w:rFonts w:asciiTheme="minorHAnsi" w:eastAsiaTheme="minorEastAsia" w:hAnsiTheme="minorHAnsi" w:cstheme="minorBidi"/>
            <w:iCs w:val="0"/>
            <w:noProof/>
            <w:sz w:val="22"/>
            <w:szCs w:val="22"/>
            <w:lang w:eastAsia="en-AU"/>
          </w:rPr>
          <w:tab/>
        </w:r>
        <w:r w:rsidR="00B105D6" w:rsidRPr="00732759">
          <w:rPr>
            <w:rStyle w:val="Hyperlink"/>
            <w:noProof/>
          </w:rPr>
          <w:t>Structure of the guideline</w:t>
        </w:r>
        <w:r w:rsidR="00B105D6">
          <w:rPr>
            <w:noProof/>
            <w:webHidden/>
          </w:rPr>
          <w:tab/>
        </w:r>
        <w:r w:rsidR="00B105D6">
          <w:rPr>
            <w:noProof/>
            <w:webHidden/>
          </w:rPr>
          <w:fldChar w:fldCharType="begin"/>
        </w:r>
        <w:r w:rsidR="00B105D6">
          <w:rPr>
            <w:noProof/>
            <w:webHidden/>
          </w:rPr>
          <w:instrText xml:space="preserve"> PAGEREF _Toc365537039 \h </w:instrText>
        </w:r>
        <w:r w:rsidR="00B105D6">
          <w:rPr>
            <w:noProof/>
            <w:webHidden/>
          </w:rPr>
        </w:r>
        <w:r w:rsidR="00B105D6">
          <w:rPr>
            <w:noProof/>
            <w:webHidden/>
          </w:rPr>
          <w:fldChar w:fldCharType="separate"/>
        </w:r>
        <w:r w:rsidR="00B105D6">
          <w:rPr>
            <w:noProof/>
            <w:webHidden/>
          </w:rPr>
          <w:t>7</w:t>
        </w:r>
        <w:r w:rsidR="00B105D6">
          <w:rPr>
            <w:noProof/>
            <w:webHidden/>
          </w:rPr>
          <w:fldChar w:fldCharType="end"/>
        </w:r>
      </w:hyperlink>
    </w:p>
    <w:p w:rsidR="00B105D6" w:rsidRDefault="002F23A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5537040" w:history="1">
        <w:r w:rsidR="00B105D6" w:rsidRPr="00732759">
          <w:rPr>
            <w:rStyle w:val="Hyperlink"/>
            <w:noProof/>
          </w:rPr>
          <w:t>3</w:t>
        </w:r>
        <w:r w:rsidR="00B105D6">
          <w:rPr>
            <w:rFonts w:asciiTheme="minorHAnsi" w:eastAsiaTheme="minorEastAsia" w:hAnsiTheme="minorHAnsi" w:cstheme="minorBidi"/>
            <w:b w:val="0"/>
            <w:bCs w:val="0"/>
            <w:noProof/>
            <w:sz w:val="22"/>
            <w:szCs w:val="22"/>
            <w:lang w:eastAsia="en-AU"/>
          </w:rPr>
          <w:tab/>
        </w:r>
        <w:r w:rsidR="00B105D6" w:rsidRPr="00732759">
          <w:rPr>
            <w:rStyle w:val="Hyperlink"/>
            <w:noProof/>
          </w:rPr>
          <w:t>Benchmark efficient entity and compensation for risk</w:t>
        </w:r>
        <w:r w:rsidR="00B105D6">
          <w:rPr>
            <w:noProof/>
            <w:webHidden/>
          </w:rPr>
          <w:tab/>
        </w:r>
        <w:r w:rsidR="00B105D6">
          <w:rPr>
            <w:noProof/>
            <w:webHidden/>
          </w:rPr>
          <w:fldChar w:fldCharType="begin"/>
        </w:r>
        <w:r w:rsidR="00B105D6">
          <w:rPr>
            <w:noProof/>
            <w:webHidden/>
          </w:rPr>
          <w:instrText xml:space="preserve"> PAGEREF _Toc365537040 \h </w:instrText>
        </w:r>
        <w:r w:rsidR="00B105D6">
          <w:rPr>
            <w:noProof/>
            <w:webHidden/>
          </w:rPr>
        </w:r>
        <w:r w:rsidR="00B105D6">
          <w:rPr>
            <w:noProof/>
            <w:webHidden/>
          </w:rPr>
          <w:fldChar w:fldCharType="separate"/>
        </w:r>
        <w:r w:rsidR="00B105D6">
          <w:rPr>
            <w:noProof/>
            <w:webHidden/>
          </w:rPr>
          <w:t>9</w:t>
        </w:r>
        <w:r w:rsidR="00B105D6">
          <w:rPr>
            <w:noProof/>
            <w:webHidden/>
          </w:rPr>
          <w:fldChar w:fldCharType="end"/>
        </w:r>
      </w:hyperlink>
    </w:p>
    <w:p w:rsidR="00B105D6" w:rsidRDefault="002F23A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537041" w:history="1">
        <w:r w:rsidR="00B105D6" w:rsidRPr="00732759">
          <w:rPr>
            <w:rStyle w:val="Hyperlink"/>
            <w:noProof/>
          </w:rPr>
          <w:t>3.1</w:t>
        </w:r>
        <w:r w:rsidR="00B105D6">
          <w:rPr>
            <w:rFonts w:asciiTheme="minorHAnsi" w:eastAsiaTheme="minorEastAsia" w:hAnsiTheme="minorHAnsi" w:cstheme="minorBidi"/>
            <w:iCs w:val="0"/>
            <w:noProof/>
            <w:sz w:val="22"/>
            <w:szCs w:val="22"/>
            <w:lang w:eastAsia="en-AU"/>
          </w:rPr>
          <w:tab/>
        </w:r>
        <w:r w:rsidR="00B105D6" w:rsidRPr="00732759">
          <w:rPr>
            <w:rStyle w:val="Hyperlink"/>
            <w:noProof/>
          </w:rPr>
          <w:t>Objective</w:t>
        </w:r>
        <w:r w:rsidR="00B105D6">
          <w:rPr>
            <w:noProof/>
            <w:webHidden/>
          </w:rPr>
          <w:tab/>
        </w:r>
        <w:r w:rsidR="00B105D6">
          <w:rPr>
            <w:noProof/>
            <w:webHidden/>
          </w:rPr>
          <w:fldChar w:fldCharType="begin"/>
        </w:r>
        <w:r w:rsidR="00B105D6">
          <w:rPr>
            <w:noProof/>
            <w:webHidden/>
          </w:rPr>
          <w:instrText xml:space="preserve"> PAGEREF _Toc365537041 \h </w:instrText>
        </w:r>
        <w:r w:rsidR="00B105D6">
          <w:rPr>
            <w:noProof/>
            <w:webHidden/>
          </w:rPr>
        </w:r>
        <w:r w:rsidR="00B105D6">
          <w:rPr>
            <w:noProof/>
            <w:webHidden/>
          </w:rPr>
          <w:fldChar w:fldCharType="separate"/>
        </w:r>
        <w:r w:rsidR="00B105D6">
          <w:rPr>
            <w:noProof/>
            <w:webHidden/>
          </w:rPr>
          <w:t>9</w:t>
        </w:r>
        <w:r w:rsidR="00B105D6">
          <w:rPr>
            <w:noProof/>
            <w:webHidden/>
          </w:rPr>
          <w:fldChar w:fldCharType="end"/>
        </w:r>
      </w:hyperlink>
    </w:p>
    <w:p w:rsidR="00B105D6" w:rsidRDefault="002F23A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537042" w:history="1">
        <w:r w:rsidR="00B105D6" w:rsidRPr="00732759">
          <w:rPr>
            <w:rStyle w:val="Hyperlink"/>
            <w:noProof/>
          </w:rPr>
          <w:t>3.2</w:t>
        </w:r>
        <w:r w:rsidR="00B105D6">
          <w:rPr>
            <w:rFonts w:asciiTheme="minorHAnsi" w:eastAsiaTheme="minorEastAsia" w:hAnsiTheme="minorHAnsi" w:cstheme="minorBidi"/>
            <w:iCs w:val="0"/>
            <w:noProof/>
            <w:sz w:val="22"/>
            <w:szCs w:val="22"/>
            <w:lang w:eastAsia="en-AU"/>
          </w:rPr>
          <w:tab/>
        </w:r>
        <w:r w:rsidR="00B105D6" w:rsidRPr="00732759">
          <w:rPr>
            <w:rStyle w:val="Hyperlink"/>
            <w:noProof/>
          </w:rPr>
          <w:t>Rule requirements</w:t>
        </w:r>
        <w:r w:rsidR="00B105D6">
          <w:rPr>
            <w:noProof/>
            <w:webHidden/>
          </w:rPr>
          <w:tab/>
        </w:r>
        <w:r w:rsidR="00B105D6">
          <w:rPr>
            <w:noProof/>
            <w:webHidden/>
          </w:rPr>
          <w:fldChar w:fldCharType="begin"/>
        </w:r>
        <w:r w:rsidR="00B105D6">
          <w:rPr>
            <w:noProof/>
            <w:webHidden/>
          </w:rPr>
          <w:instrText xml:space="preserve"> PAGEREF _Toc365537042 \h </w:instrText>
        </w:r>
        <w:r w:rsidR="00B105D6">
          <w:rPr>
            <w:noProof/>
            <w:webHidden/>
          </w:rPr>
        </w:r>
        <w:r w:rsidR="00B105D6">
          <w:rPr>
            <w:noProof/>
            <w:webHidden/>
          </w:rPr>
          <w:fldChar w:fldCharType="separate"/>
        </w:r>
        <w:r w:rsidR="00B105D6">
          <w:rPr>
            <w:noProof/>
            <w:webHidden/>
          </w:rPr>
          <w:t>9</w:t>
        </w:r>
        <w:r w:rsidR="00B105D6">
          <w:rPr>
            <w:noProof/>
            <w:webHidden/>
          </w:rPr>
          <w:fldChar w:fldCharType="end"/>
        </w:r>
      </w:hyperlink>
    </w:p>
    <w:p w:rsidR="00B105D6" w:rsidRDefault="002F23A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537043" w:history="1">
        <w:r w:rsidR="00B105D6" w:rsidRPr="00732759">
          <w:rPr>
            <w:rStyle w:val="Hyperlink"/>
            <w:noProof/>
          </w:rPr>
          <w:t>3.3</w:t>
        </w:r>
        <w:r w:rsidR="00B105D6">
          <w:rPr>
            <w:rFonts w:asciiTheme="minorHAnsi" w:eastAsiaTheme="minorEastAsia" w:hAnsiTheme="minorHAnsi" w:cstheme="minorBidi"/>
            <w:iCs w:val="0"/>
            <w:noProof/>
            <w:sz w:val="22"/>
            <w:szCs w:val="22"/>
            <w:lang w:eastAsia="en-AU"/>
          </w:rPr>
          <w:tab/>
        </w:r>
        <w:r w:rsidR="00B105D6" w:rsidRPr="00732759">
          <w:rPr>
            <w:rStyle w:val="Hyperlink"/>
            <w:noProof/>
          </w:rPr>
          <w:t>Application</w:t>
        </w:r>
        <w:r w:rsidR="00B105D6">
          <w:rPr>
            <w:noProof/>
            <w:webHidden/>
          </w:rPr>
          <w:tab/>
        </w:r>
        <w:r w:rsidR="00B105D6">
          <w:rPr>
            <w:noProof/>
            <w:webHidden/>
          </w:rPr>
          <w:fldChar w:fldCharType="begin"/>
        </w:r>
        <w:r w:rsidR="00B105D6">
          <w:rPr>
            <w:noProof/>
            <w:webHidden/>
          </w:rPr>
          <w:instrText xml:space="preserve"> PAGEREF _Toc365537043 \h </w:instrText>
        </w:r>
        <w:r w:rsidR="00B105D6">
          <w:rPr>
            <w:noProof/>
            <w:webHidden/>
          </w:rPr>
        </w:r>
        <w:r w:rsidR="00B105D6">
          <w:rPr>
            <w:noProof/>
            <w:webHidden/>
          </w:rPr>
          <w:fldChar w:fldCharType="separate"/>
        </w:r>
        <w:r w:rsidR="00B105D6">
          <w:rPr>
            <w:noProof/>
            <w:webHidden/>
          </w:rPr>
          <w:t>9</w:t>
        </w:r>
        <w:r w:rsidR="00B105D6">
          <w:rPr>
            <w:noProof/>
            <w:webHidden/>
          </w:rPr>
          <w:fldChar w:fldCharType="end"/>
        </w:r>
      </w:hyperlink>
    </w:p>
    <w:p w:rsidR="00B105D6" w:rsidRDefault="002F23A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5537044" w:history="1">
        <w:r w:rsidR="00B105D6" w:rsidRPr="00732759">
          <w:rPr>
            <w:rStyle w:val="Hyperlink"/>
            <w:noProof/>
          </w:rPr>
          <w:t>4</w:t>
        </w:r>
        <w:r w:rsidR="00B105D6">
          <w:rPr>
            <w:rFonts w:asciiTheme="minorHAnsi" w:eastAsiaTheme="minorEastAsia" w:hAnsiTheme="minorHAnsi" w:cstheme="minorBidi"/>
            <w:b w:val="0"/>
            <w:bCs w:val="0"/>
            <w:noProof/>
            <w:sz w:val="22"/>
            <w:szCs w:val="22"/>
            <w:lang w:eastAsia="en-AU"/>
          </w:rPr>
          <w:tab/>
        </w:r>
        <w:r w:rsidR="00B105D6" w:rsidRPr="00732759">
          <w:rPr>
            <w:rStyle w:val="Hyperlink"/>
            <w:noProof/>
          </w:rPr>
          <w:t>Overall rate of return</w:t>
        </w:r>
        <w:r w:rsidR="00B105D6">
          <w:rPr>
            <w:noProof/>
            <w:webHidden/>
          </w:rPr>
          <w:tab/>
        </w:r>
        <w:r w:rsidR="00B105D6">
          <w:rPr>
            <w:noProof/>
            <w:webHidden/>
          </w:rPr>
          <w:fldChar w:fldCharType="begin"/>
        </w:r>
        <w:r w:rsidR="00B105D6">
          <w:rPr>
            <w:noProof/>
            <w:webHidden/>
          </w:rPr>
          <w:instrText xml:space="preserve"> PAGEREF _Toc365537044 \h </w:instrText>
        </w:r>
        <w:r w:rsidR="00B105D6">
          <w:rPr>
            <w:noProof/>
            <w:webHidden/>
          </w:rPr>
        </w:r>
        <w:r w:rsidR="00B105D6">
          <w:rPr>
            <w:noProof/>
            <w:webHidden/>
          </w:rPr>
          <w:fldChar w:fldCharType="separate"/>
        </w:r>
        <w:r w:rsidR="00B105D6">
          <w:rPr>
            <w:noProof/>
            <w:webHidden/>
          </w:rPr>
          <w:t>10</w:t>
        </w:r>
        <w:r w:rsidR="00B105D6">
          <w:rPr>
            <w:noProof/>
            <w:webHidden/>
          </w:rPr>
          <w:fldChar w:fldCharType="end"/>
        </w:r>
      </w:hyperlink>
    </w:p>
    <w:p w:rsidR="00B105D6" w:rsidRDefault="002F23A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537045" w:history="1">
        <w:r w:rsidR="00B105D6" w:rsidRPr="00732759">
          <w:rPr>
            <w:rStyle w:val="Hyperlink"/>
            <w:noProof/>
          </w:rPr>
          <w:t>4.1</w:t>
        </w:r>
        <w:r w:rsidR="00B105D6">
          <w:rPr>
            <w:rFonts w:asciiTheme="minorHAnsi" w:eastAsiaTheme="minorEastAsia" w:hAnsiTheme="minorHAnsi" w:cstheme="minorBidi"/>
            <w:iCs w:val="0"/>
            <w:noProof/>
            <w:sz w:val="22"/>
            <w:szCs w:val="22"/>
            <w:lang w:eastAsia="en-AU"/>
          </w:rPr>
          <w:tab/>
        </w:r>
        <w:r w:rsidR="00B105D6" w:rsidRPr="00732759">
          <w:rPr>
            <w:rStyle w:val="Hyperlink"/>
            <w:noProof/>
          </w:rPr>
          <w:t>Objective</w:t>
        </w:r>
        <w:r w:rsidR="00B105D6">
          <w:rPr>
            <w:noProof/>
            <w:webHidden/>
          </w:rPr>
          <w:tab/>
        </w:r>
        <w:r w:rsidR="00B105D6">
          <w:rPr>
            <w:noProof/>
            <w:webHidden/>
          </w:rPr>
          <w:fldChar w:fldCharType="begin"/>
        </w:r>
        <w:r w:rsidR="00B105D6">
          <w:rPr>
            <w:noProof/>
            <w:webHidden/>
          </w:rPr>
          <w:instrText xml:space="preserve"> PAGEREF _Toc365537045 \h </w:instrText>
        </w:r>
        <w:r w:rsidR="00B105D6">
          <w:rPr>
            <w:noProof/>
            <w:webHidden/>
          </w:rPr>
        </w:r>
        <w:r w:rsidR="00B105D6">
          <w:rPr>
            <w:noProof/>
            <w:webHidden/>
          </w:rPr>
          <w:fldChar w:fldCharType="separate"/>
        </w:r>
        <w:r w:rsidR="00B105D6">
          <w:rPr>
            <w:noProof/>
            <w:webHidden/>
          </w:rPr>
          <w:t>10</w:t>
        </w:r>
        <w:r w:rsidR="00B105D6">
          <w:rPr>
            <w:noProof/>
            <w:webHidden/>
          </w:rPr>
          <w:fldChar w:fldCharType="end"/>
        </w:r>
      </w:hyperlink>
    </w:p>
    <w:p w:rsidR="00B105D6" w:rsidRDefault="002F23A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537046" w:history="1">
        <w:r w:rsidR="00B105D6" w:rsidRPr="00732759">
          <w:rPr>
            <w:rStyle w:val="Hyperlink"/>
            <w:noProof/>
          </w:rPr>
          <w:t>4.2</w:t>
        </w:r>
        <w:r w:rsidR="00B105D6">
          <w:rPr>
            <w:rFonts w:asciiTheme="minorHAnsi" w:eastAsiaTheme="minorEastAsia" w:hAnsiTheme="minorHAnsi" w:cstheme="minorBidi"/>
            <w:iCs w:val="0"/>
            <w:noProof/>
            <w:sz w:val="22"/>
            <w:szCs w:val="22"/>
            <w:lang w:eastAsia="en-AU"/>
          </w:rPr>
          <w:tab/>
        </w:r>
        <w:r w:rsidR="00B105D6" w:rsidRPr="00732759">
          <w:rPr>
            <w:rStyle w:val="Hyperlink"/>
            <w:noProof/>
          </w:rPr>
          <w:t>Rule requirements</w:t>
        </w:r>
        <w:r w:rsidR="00B105D6">
          <w:rPr>
            <w:noProof/>
            <w:webHidden/>
          </w:rPr>
          <w:tab/>
        </w:r>
        <w:r w:rsidR="00B105D6">
          <w:rPr>
            <w:noProof/>
            <w:webHidden/>
          </w:rPr>
          <w:fldChar w:fldCharType="begin"/>
        </w:r>
        <w:r w:rsidR="00B105D6">
          <w:rPr>
            <w:noProof/>
            <w:webHidden/>
          </w:rPr>
          <w:instrText xml:space="preserve"> PAGEREF _Toc365537046 \h </w:instrText>
        </w:r>
        <w:r w:rsidR="00B105D6">
          <w:rPr>
            <w:noProof/>
            <w:webHidden/>
          </w:rPr>
        </w:r>
        <w:r w:rsidR="00B105D6">
          <w:rPr>
            <w:noProof/>
            <w:webHidden/>
          </w:rPr>
          <w:fldChar w:fldCharType="separate"/>
        </w:r>
        <w:r w:rsidR="00B105D6">
          <w:rPr>
            <w:noProof/>
            <w:webHidden/>
          </w:rPr>
          <w:t>10</w:t>
        </w:r>
        <w:r w:rsidR="00B105D6">
          <w:rPr>
            <w:noProof/>
            <w:webHidden/>
          </w:rPr>
          <w:fldChar w:fldCharType="end"/>
        </w:r>
      </w:hyperlink>
    </w:p>
    <w:p w:rsidR="00B105D6" w:rsidRDefault="002F23A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537047" w:history="1">
        <w:r w:rsidR="00B105D6" w:rsidRPr="00732759">
          <w:rPr>
            <w:rStyle w:val="Hyperlink"/>
            <w:noProof/>
          </w:rPr>
          <w:t>4.3</w:t>
        </w:r>
        <w:r w:rsidR="00B105D6">
          <w:rPr>
            <w:rFonts w:asciiTheme="minorHAnsi" w:eastAsiaTheme="minorEastAsia" w:hAnsiTheme="minorHAnsi" w:cstheme="minorBidi"/>
            <w:iCs w:val="0"/>
            <w:noProof/>
            <w:sz w:val="22"/>
            <w:szCs w:val="22"/>
            <w:lang w:eastAsia="en-AU"/>
          </w:rPr>
          <w:tab/>
        </w:r>
        <w:r w:rsidR="00B105D6" w:rsidRPr="00732759">
          <w:rPr>
            <w:rStyle w:val="Hyperlink"/>
            <w:noProof/>
          </w:rPr>
          <w:t>Application</w:t>
        </w:r>
        <w:r w:rsidR="00B105D6">
          <w:rPr>
            <w:noProof/>
            <w:webHidden/>
          </w:rPr>
          <w:tab/>
        </w:r>
        <w:r w:rsidR="00B105D6">
          <w:rPr>
            <w:noProof/>
            <w:webHidden/>
          </w:rPr>
          <w:fldChar w:fldCharType="begin"/>
        </w:r>
        <w:r w:rsidR="00B105D6">
          <w:rPr>
            <w:noProof/>
            <w:webHidden/>
          </w:rPr>
          <w:instrText xml:space="preserve"> PAGEREF _Toc365537047 \h </w:instrText>
        </w:r>
        <w:r w:rsidR="00B105D6">
          <w:rPr>
            <w:noProof/>
            <w:webHidden/>
          </w:rPr>
        </w:r>
        <w:r w:rsidR="00B105D6">
          <w:rPr>
            <w:noProof/>
            <w:webHidden/>
          </w:rPr>
          <w:fldChar w:fldCharType="separate"/>
        </w:r>
        <w:r w:rsidR="00B105D6">
          <w:rPr>
            <w:noProof/>
            <w:webHidden/>
          </w:rPr>
          <w:t>11</w:t>
        </w:r>
        <w:r w:rsidR="00B105D6">
          <w:rPr>
            <w:noProof/>
            <w:webHidden/>
          </w:rPr>
          <w:fldChar w:fldCharType="end"/>
        </w:r>
      </w:hyperlink>
    </w:p>
    <w:p w:rsidR="00B105D6" w:rsidRDefault="002F23A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5537048" w:history="1">
        <w:r w:rsidR="00B105D6" w:rsidRPr="00732759">
          <w:rPr>
            <w:rStyle w:val="Hyperlink"/>
            <w:noProof/>
          </w:rPr>
          <w:t>5</w:t>
        </w:r>
        <w:r w:rsidR="00B105D6">
          <w:rPr>
            <w:rFonts w:asciiTheme="minorHAnsi" w:eastAsiaTheme="minorEastAsia" w:hAnsiTheme="minorHAnsi" w:cstheme="minorBidi"/>
            <w:b w:val="0"/>
            <w:bCs w:val="0"/>
            <w:noProof/>
            <w:sz w:val="22"/>
            <w:szCs w:val="22"/>
            <w:lang w:eastAsia="en-AU"/>
          </w:rPr>
          <w:tab/>
        </w:r>
        <w:r w:rsidR="00B105D6" w:rsidRPr="00732759">
          <w:rPr>
            <w:rStyle w:val="Hyperlink"/>
            <w:noProof/>
          </w:rPr>
          <w:t>Return on equity</w:t>
        </w:r>
        <w:r w:rsidR="00B105D6">
          <w:rPr>
            <w:noProof/>
            <w:webHidden/>
          </w:rPr>
          <w:tab/>
        </w:r>
        <w:r w:rsidR="00B105D6">
          <w:rPr>
            <w:noProof/>
            <w:webHidden/>
          </w:rPr>
          <w:fldChar w:fldCharType="begin"/>
        </w:r>
        <w:r w:rsidR="00B105D6">
          <w:rPr>
            <w:noProof/>
            <w:webHidden/>
          </w:rPr>
          <w:instrText xml:space="preserve"> PAGEREF _Toc365537048 \h </w:instrText>
        </w:r>
        <w:r w:rsidR="00B105D6">
          <w:rPr>
            <w:noProof/>
            <w:webHidden/>
          </w:rPr>
        </w:r>
        <w:r w:rsidR="00B105D6">
          <w:rPr>
            <w:noProof/>
            <w:webHidden/>
          </w:rPr>
          <w:fldChar w:fldCharType="separate"/>
        </w:r>
        <w:r w:rsidR="00B105D6">
          <w:rPr>
            <w:noProof/>
            <w:webHidden/>
          </w:rPr>
          <w:t>13</w:t>
        </w:r>
        <w:r w:rsidR="00B105D6">
          <w:rPr>
            <w:noProof/>
            <w:webHidden/>
          </w:rPr>
          <w:fldChar w:fldCharType="end"/>
        </w:r>
      </w:hyperlink>
    </w:p>
    <w:p w:rsidR="00B105D6" w:rsidRDefault="002F23A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537049" w:history="1">
        <w:r w:rsidR="00B105D6" w:rsidRPr="00732759">
          <w:rPr>
            <w:rStyle w:val="Hyperlink"/>
            <w:noProof/>
          </w:rPr>
          <w:t>5.1</w:t>
        </w:r>
        <w:r w:rsidR="00B105D6">
          <w:rPr>
            <w:rFonts w:asciiTheme="minorHAnsi" w:eastAsiaTheme="minorEastAsia" w:hAnsiTheme="minorHAnsi" w:cstheme="minorBidi"/>
            <w:iCs w:val="0"/>
            <w:noProof/>
            <w:sz w:val="22"/>
            <w:szCs w:val="22"/>
            <w:lang w:eastAsia="en-AU"/>
          </w:rPr>
          <w:tab/>
        </w:r>
        <w:r w:rsidR="00B105D6" w:rsidRPr="00732759">
          <w:rPr>
            <w:rStyle w:val="Hyperlink"/>
            <w:noProof/>
          </w:rPr>
          <w:t>Objective</w:t>
        </w:r>
        <w:r w:rsidR="00B105D6">
          <w:rPr>
            <w:noProof/>
            <w:webHidden/>
          </w:rPr>
          <w:tab/>
        </w:r>
        <w:r w:rsidR="00B105D6">
          <w:rPr>
            <w:noProof/>
            <w:webHidden/>
          </w:rPr>
          <w:fldChar w:fldCharType="begin"/>
        </w:r>
        <w:r w:rsidR="00B105D6">
          <w:rPr>
            <w:noProof/>
            <w:webHidden/>
          </w:rPr>
          <w:instrText xml:space="preserve"> PAGEREF _Toc365537049 \h </w:instrText>
        </w:r>
        <w:r w:rsidR="00B105D6">
          <w:rPr>
            <w:noProof/>
            <w:webHidden/>
          </w:rPr>
        </w:r>
        <w:r w:rsidR="00B105D6">
          <w:rPr>
            <w:noProof/>
            <w:webHidden/>
          </w:rPr>
          <w:fldChar w:fldCharType="separate"/>
        </w:r>
        <w:r w:rsidR="00B105D6">
          <w:rPr>
            <w:noProof/>
            <w:webHidden/>
          </w:rPr>
          <w:t>13</w:t>
        </w:r>
        <w:r w:rsidR="00B105D6">
          <w:rPr>
            <w:noProof/>
            <w:webHidden/>
          </w:rPr>
          <w:fldChar w:fldCharType="end"/>
        </w:r>
      </w:hyperlink>
    </w:p>
    <w:p w:rsidR="00B105D6" w:rsidRDefault="002F23A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537050" w:history="1">
        <w:r w:rsidR="00B105D6" w:rsidRPr="00732759">
          <w:rPr>
            <w:rStyle w:val="Hyperlink"/>
            <w:noProof/>
          </w:rPr>
          <w:t>5.2</w:t>
        </w:r>
        <w:r w:rsidR="00B105D6">
          <w:rPr>
            <w:rFonts w:asciiTheme="minorHAnsi" w:eastAsiaTheme="minorEastAsia" w:hAnsiTheme="minorHAnsi" w:cstheme="minorBidi"/>
            <w:iCs w:val="0"/>
            <w:noProof/>
            <w:sz w:val="22"/>
            <w:szCs w:val="22"/>
            <w:lang w:eastAsia="en-AU"/>
          </w:rPr>
          <w:tab/>
        </w:r>
        <w:r w:rsidR="00B105D6" w:rsidRPr="00732759">
          <w:rPr>
            <w:rStyle w:val="Hyperlink"/>
            <w:noProof/>
          </w:rPr>
          <w:t>Rules requirements</w:t>
        </w:r>
        <w:r w:rsidR="00B105D6">
          <w:rPr>
            <w:noProof/>
            <w:webHidden/>
          </w:rPr>
          <w:tab/>
        </w:r>
        <w:r w:rsidR="00B105D6">
          <w:rPr>
            <w:noProof/>
            <w:webHidden/>
          </w:rPr>
          <w:fldChar w:fldCharType="begin"/>
        </w:r>
        <w:r w:rsidR="00B105D6">
          <w:rPr>
            <w:noProof/>
            <w:webHidden/>
          </w:rPr>
          <w:instrText xml:space="preserve"> PAGEREF _Toc365537050 \h </w:instrText>
        </w:r>
        <w:r w:rsidR="00B105D6">
          <w:rPr>
            <w:noProof/>
            <w:webHidden/>
          </w:rPr>
        </w:r>
        <w:r w:rsidR="00B105D6">
          <w:rPr>
            <w:noProof/>
            <w:webHidden/>
          </w:rPr>
          <w:fldChar w:fldCharType="separate"/>
        </w:r>
        <w:r w:rsidR="00B105D6">
          <w:rPr>
            <w:noProof/>
            <w:webHidden/>
          </w:rPr>
          <w:t>13</w:t>
        </w:r>
        <w:r w:rsidR="00B105D6">
          <w:rPr>
            <w:noProof/>
            <w:webHidden/>
          </w:rPr>
          <w:fldChar w:fldCharType="end"/>
        </w:r>
      </w:hyperlink>
    </w:p>
    <w:p w:rsidR="00B105D6" w:rsidRDefault="002F23A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537051" w:history="1">
        <w:r w:rsidR="00B105D6" w:rsidRPr="00732759">
          <w:rPr>
            <w:rStyle w:val="Hyperlink"/>
            <w:noProof/>
          </w:rPr>
          <w:t>5.3</w:t>
        </w:r>
        <w:r w:rsidR="00B105D6">
          <w:rPr>
            <w:rFonts w:asciiTheme="minorHAnsi" w:eastAsiaTheme="minorEastAsia" w:hAnsiTheme="minorHAnsi" w:cstheme="minorBidi"/>
            <w:iCs w:val="0"/>
            <w:noProof/>
            <w:sz w:val="22"/>
            <w:szCs w:val="22"/>
            <w:lang w:eastAsia="en-AU"/>
          </w:rPr>
          <w:tab/>
        </w:r>
        <w:r w:rsidR="00B105D6" w:rsidRPr="00732759">
          <w:rPr>
            <w:rStyle w:val="Hyperlink"/>
            <w:noProof/>
          </w:rPr>
          <w:t>Application</w:t>
        </w:r>
        <w:r w:rsidR="00B105D6">
          <w:rPr>
            <w:noProof/>
            <w:webHidden/>
          </w:rPr>
          <w:tab/>
        </w:r>
        <w:r w:rsidR="00B105D6">
          <w:rPr>
            <w:noProof/>
            <w:webHidden/>
          </w:rPr>
          <w:fldChar w:fldCharType="begin"/>
        </w:r>
        <w:r w:rsidR="00B105D6">
          <w:rPr>
            <w:noProof/>
            <w:webHidden/>
          </w:rPr>
          <w:instrText xml:space="preserve"> PAGEREF _Toc365537051 \h </w:instrText>
        </w:r>
        <w:r w:rsidR="00B105D6">
          <w:rPr>
            <w:noProof/>
            <w:webHidden/>
          </w:rPr>
        </w:r>
        <w:r w:rsidR="00B105D6">
          <w:rPr>
            <w:noProof/>
            <w:webHidden/>
          </w:rPr>
          <w:fldChar w:fldCharType="separate"/>
        </w:r>
        <w:r w:rsidR="00B105D6">
          <w:rPr>
            <w:noProof/>
            <w:webHidden/>
          </w:rPr>
          <w:t>14</w:t>
        </w:r>
        <w:r w:rsidR="00B105D6">
          <w:rPr>
            <w:noProof/>
            <w:webHidden/>
          </w:rPr>
          <w:fldChar w:fldCharType="end"/>
        </w:r>
      </w:hyperlink>
    </w:p>
    <w:p w:rsidR="00B105D6" w:rsidRDefault="002F23A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5537052" w:history="1">
        <w:r w:rsidR="00B105D6" w:rsidRPr="00732759">
          <w:rPr>
            <w:rStyle w:val="Hyperlink"/>
            <w:noProof/>
          </w:rPr>
          <w:t>6</w:t>
        </w:r>
        <w:r w:rsidR="00B105D6">
          <w:rPr>
            <w:rFonts w:asciiTheme="minorHAnsi" w:eastAsiaTheme="minorEastAsia" w:hAnsiTheme="minorHAnsi" w:cstheme="minorBidi"/>
            <w:b w:val="0"/>
            <w:bCs w:val="0"/>
            <w:noProof/>
            <w:sz w:val="22"/>
            <w:szCs w:val="22"/>
            <w:lang w:eastAsia="en-AU"/>
          </w:rPr>
          <w:tab/>
        </w:r>
        <w:r w:rsidR="00B105D6" w:rsidRPr="00732759">
          <w:rPr>
            <w:rStyle w:val="Hyperlink"/>
            <w:noProof/>
          </w:rPr>
          <w:t>Return on debt</w:t>
        </w:r>
        <w:r w:rsidR="00B105D6">
          <w:rPr>
            <w:noProof/>
            <w:webHidden/>
          </w:rPr>
          <w:tab/>
        </w:r>
        <w:r w:rsidR="00B105D6">
          <w:rPr>
            <w:noProof/>
            <w:webHidden/>
          </w:rPr>
          <w:fldChar w:fldCharType="begin"/>
        </w:r>
        <w:r w:rsidR="00B105D6">
          <w:rPr>
            <w:noProof/>
            <w:webHidden/>
          </w:rPr>
          <w:instrText xml:space="preserve"> PAGEREF _Toc365537052 \h </w:instrText>
        </w:r>
        <w:r w:rsidR="00B105D6">
          <w:rPr>
            <w:noProof/>
            <w:webHidden/>
          </w:rPr>
        </w:r>
        <w:r w:rsidR="00B105D6">
          <w:rPr>
            <w:noProof/>
            <w:webHidden/>
          </w:rPr>
          <w:fldChar w:fldCharType="separate"/>
        </w:r>
        <w:r w:rsidR="00B105D6">
          <w:rPr>
            <w:noProof/>
            <w:webHidden/>
          </w:rPr>
          <w:t>20</w:t>
        </w:r>
        <w:r w:rsidR="00B105D6">
          <w:rPr>
            <w:noProof/>
            <w:webHidden/>
          </w:rPr>
          <w:fldChar w:fldCharType="end"/>
        </w:r>
      </w:hyperlink>
    </w:p>
    <w:p w:rsidR="00B105D6" w:rsidRDefault="002F23A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537053" w:history="1">
        <w:r w:rsidR="00B105D6" w:rsidRPr="00732759">
          <w:rPr>
            <w:rStyle w:val="Hyperlink"/>
            <w:noProof/>
          </w:rPr>
          <w:t>6.1</w:t>
        </w:r>
        <w:r w:rsidR="00B105D6">
          <w:rPr>
            <w:rFonts w:asciiTheme="minorHAnsi" w:eastAsiaTheme="minorEastAsia" w:hAnsiTheme="minorHAnsi" w:cstheme="minorBidi"/>
            <w:iCs w:val="0"/>
            <w:noProof/>
            <w:sz w:val="22"/>
            <w:szCs w:val="22"/>
            <w:lang w:eastAsia="en-AU"/>
          </w:rPr>
          <w:tab/>
        </w:r>
        <w:r w:rsidR="00B105D6" w:rsidRPr="00732759">
          <w:rPr>
            <w:rStyle w:val="Hyperlink"/>
            <w:noProof/>
          </w:rPr>
          <w:t>Objective</w:t>
        </w:r>
        <w:r w:rsidR="00B105D6">
          <w:rPr>
            <w:noProof/>
            <w:webHidden/>
          </w:rPr>
          <w:tab/>
        </w:r>
        <w:r w:rsidR="00B105D6">
          <w:rPr>
            <w:noProof/>
            <w:webHidden/>
          </w:rPr>
          <w:fldChar w:fldCharType="begin"/>
        </w:r>
        <w:r w:rsidR="00B105D6">
          <w:rPr>
            <w:noProof/>
            <w:webHidden/>
          </w:rPr>
          <w:instrText xml:space="preserve"> PAGEREF _Toc365537053 \h </w:instrText>
        </w:r>
        <w:r w:rsidR="00B105D6">
          <w:rPr>
            <w:noProof/>
            <w:webHidden/>
          </w:rPr>
        </w:r>
        <w:r w:rsidR="00B105D6">
          <w:rPr>
            <w:noProof/>
            <w:webHidden/>
          </w:rPr>
          <w:fldChar w:fldCharType="separate"/>
        </w:r>
        <w:r w:rsidR="00B105D6">
          <w:rPr>
            <w:noProof/>
            <w:webHidden/>
          </w:rPr>
          <w:t>20</w:t>
        </w:r>
        <w:r w:rsidR="00B105D6">
          <w:rPr>
            <w:noProof/>
            <w:webHidden/>
          </w:rPr>
          <w:fldChar w:fldCharType="end"/>
        </w:r>
      </w:hyperlink>
    </w:p>
    <w:p w:rsidR="00B105D6" w:rsidRDefault="002F23A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537054" w:history="1">
        <w:r w:rsidR="00B105D6" w:rsidRPr="00732759">
          <w:rPr>
            <w:rStyle w:val="Hyperlink"/>
            <w:noProof/>
          </w:rPr>
          <w:t>6.2</w:t>
        </w:r>
        <w:r w:rsidR="00B105D6">
          <w:rPr>
            <w:rFonts w:asciiTheme="minorHAnsi" w:eastAsiaTheme="minorEastAsia" w:hAnsiTheme="minorHAnsi" w:cstheme="minorBidi"/>
            <w:iCs w:val="0"/>
            <w:noProof/>
            <w:sz w:val="22"/>
            <w:szCs w:val="22"/>
            <w:lang w:eastAsia="en-AU"/>
          </w:rPr>
          <w:tab/>
        </w:r>
        <w:r w:rsidR="00B105D6" w:rsidRPr="00732759">
          <w:rPr>
            <w:rStyle w:val="Hyperlink"/>
            <w:noProof/>
          </w:rPr>
          <w:t>Rule requirements</w:t>
        </w:r>
        <w:r w:rsidR="00B105D6">
          <w:rPr>
            <w:noProof/>
            <w:webHidden/>
          </w:rPr>
          <w:tab/>
        </w:r>
        <w:r w:rsidR="00B105D6">
          <w:rPr>
            <w:noProof/>
            <w:webHidden/>
          </w:rPr>
          <w:fldChar w:fldCharType="begin"/>
        </w:r>
        <w:r w:rsidR="00B105D6">
          <w:rPr>
            <w:noProof/>
            <w:webHidden/>
          </w:rPr>
          <w:instrText xml:space="preserve"> PAGEREF _Toc365537054 \h </w:instrText>
        </w:r>
        <w:r w:rsidR="00B105D6">
          <w:rPr>
            <w:noProof/>
            <w:webHidden/>
          </w:rPr>
        </w:r>
        <w:r w:rsidR="00B105D6">
          <w:rPr>
            <w:noProof/>
            <w:webHidden/>
          </w:rPr>
          <w:fldChar w:fldCharType="separate"/>
        </w:r>
        <w:r w:rsidR="00B105D6">
          <w:rPr>
            <w:noProof/>
            <w:webHidden/>
          </w:rPr>
          <w:t>20</w:t>
        </w:r>
        <w:r w:rsidR="00B105D6">
          <w:rPr>
            <w:noProof/>
            <w:webHidden/>
          </w:rPr>
          <w:fldChar w:fldCharType="end"/>
        </w:r>
      </w:hyperlink>
    </w:p>
    <w:p w:rsidR="00B105D6" w:rsidRDefault="002F23A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537055" w:history="1">
        <w:r w:rsidR="00B105D6" w:rsidRPr="00732759">
          <w:rPr>
            <w:rStyle w:val="Hyperlink"/>
            <w:noProof/>
          </w:rPr>
          <w:t>6.3</w:t>
        </w:r>
        <w:r w:rsidR="00B105D6">
          <w:rPr>
            <w:rFonts w:asciiTheme="minorHAnsi" w:eastAsiaTheme="minorEastAsia" w:hAnsiTheme="minorHAnsi" w:cstheme="minorBidi"/>
            <w:iCs w:val="0"/>
            <w:noProof/>
            <w:sz w:val="22"/>
            <w:szCs w:val="22"/>
            <w:lang w:eastAsia="en-AU"/>
          </w:rPr>
          <w:tab/>
        </w:r>
        <w:r w:rsidR="00B105D6" w:rsidRPr="00732759">
          <w:rPr>
            <w:rStyle w:val="Hyperlink"/>
            <w:noProof/>
          </w:rPr>
          <w:t>Application</w:t>
        </w:r>
        <w:r w:rsidR="00B105D6">
          <w:rPr>
            <w:noProof/>
            <w:webHidden/>
          </w:rPr>
          <w:tab/>
        </w:r>
        <w:r w:rsidR="00B105D6">
          <w:rPr>
            <w:noProof/>
            <w:webHidden/>
          </w:rPr>
          <w:fldChar w:fldCharType="begin"/>
        </w:r>
        <w:r w:rsidR="00B105D6">
          <w:rPr>
            <w:noProof/>
            <w:webHidden/>
          </w:rPr>
          <w:instrText xml:space="preserve"> PAGEREF _Toc365537055 \h </w:instrText>
        </w:r>
        <w:r w:rsidR="00B105D6">
          <w:rPr>
            <w:noProof/>
            <w:webHidden/>
          </w:rPr>
        </w:r>
        <w:r w:rsidR="00B105D6">
          <w:rPr>
            <w:noProof/>
            <w:webHidden/>
          </w:rPr>
          <w:fldChar w:fldCharType="separate"/>
        </w:r>
        <w:r w:rsidR="00B105D6">
          <w:rPr>
            <w:noProof/>
            <w:webHidden/>
          </w:rPr>
          <w:t>21</w:t>
        </w:r>
        <w:r w:rsidR="00B105D6">
          <w:rPr>
            <w:noProof/>
            <w:webHidden/>
          </w:rPr>
          <w:fldChar w:fldCharType="end"/>
        </w:r>
      </w:hyperlink>
    </w:p>
    <w:p w:rsidR="00B105D6" w:rsidRDefault="002F23A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5537056" w:history="1">
        <w:r w:rsidR="00B105D6" w:rsidRPr="00732759">
          <w:rPr>
            <w:rStyle w:val="Hyperlink"/>
            <w:noProof/>
          </w:rPr>
          <w:t>7</w:t>
        </w:r>
        <w:r w:rsidR="00B105D6">
          <w:rPr>
            <w:rFonts w:asciiTheme="minorHAnsi" w:eastAsiaTheme="minorEastAsia" w:hAnsiTheme="minorHAnsi" w:cstheme="minorBidi"/>
            <w:b w:val="0"/>
            <w:bCs w:val="0"/>
            <w:noProof/>
            <w:sz w:val="22"/>
            <w:szCs w:val="22"/>
            <w:lang w:eastAsia="en-AU"/>
          </w:rPr>
          <w:tab/>
        </w:r>
        <w:r w:rsidR="00B105D6" w:rsidRPr="00732759">
          <w:rPr>
            <w:rStyle w:val="Hyperlink"/>
            <w:noProof/>
          </w:rPr>
          <w:t>Imputation credits</w:t>
        </w:r>
        <w:r w:rsidR="00B105D6">
          <w:rPr>
            <w:noProof/>
            <w:webHidden/>
          </w:rPr>
          <w:tab/>
        </w:r>
        <w:r w:rsidR="00B105D6">
          <w:rPr>
            <w:noProof/>
            <w:webHidden/>
          </w:rPr>
          <w:fldChar w:fldCharType="begin"/>
        </w:r>
        <w:r w:rsidR="00B105D6">
          <w:rPr>
            <w:noProof/>
            <w:webHidden/>
          </w:rPr>
          <w:instrText xml:space="preserve"> PAGEREF _Toc365537056 \h </w:instrText>
        </w:r>
        <w:r w:rsidR="00B105D6">
          <w:rPr>
            <w:noProof/>
            <w:webHidden/>
          </w:rPr>
        </w:r>
        <w:r w:rsidR="00B105D6">
          <w:rPr>
            <w:noProof/>
            <w:webHidden/>
          </w:rPr>
          <w:fldChar w:fldCharType="separate"/>
        </w:r>
        <w:r w:rsidR="00B105D6">
          <w:rPr>
            <w:noProof/>
            <w:webHidden/>
          </w:rPr>
          <w:t>24</w:t>
        </w:r>
        <w:r w:rsidR="00B105D6">
          <w:rPr>
            <w:noProof/>
            <w:webHidden/>
          </w:rPr>
          <w:fldChar w:fldCharType="end"/>
        </w:r>
      </w:hyperlink>
    </w:p>
    <w:p w:rsidR="00B105D6" w:rsidRDefault="002F23A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537057" w:history="1">
        <w:r w:rsidR="00B105D6" w:rsidRPr="00732759">
          <w:rPr>
            <w:rStyle w:val="Hyperlink"/>
            <w:noProof/>
          </w:rPr>
          <w:t>7.1</w:t>
        </w:r>
        <w:r w:rsidR="00B105D6">
          <w:rPr>
            <w:rFonts w:asciiTheme="minorHAnsi" w:eastAsiaTheme="minorEastAsia" w:hAnsiTheme="minorHAnsi" w:cstheme="minorBidi"/>
            <w:iCs w:val="0"/>
            <w:noProof/>
            <w:sz w:val="22"/>
            <w:szCs w:val="22"/>
            <w:lang w:eastAsia="en-AU"/>
          </w:rPr>
          <w:tab/>
        </w:r>
        <w:r w:rsidR="00B105D6" w:rsidRPr="00732759">
          <w:rPr>
            <w:rStyle w:val="Hyperlink"/>
            <w:noProof/>
          </w:rPr>
          <w:t>Objective</w:t>
        </w:r>
        <w:r w:rsidR="00B105D6">
          <w:rPr>
            <w:noProof/>
            <w:webHidden/>
          </w:rPr>
          <w:tab/>
        </w:r>
        <w:r w:rsidR="00B105D6">
          <w:rPr>
            <w:noProof/>
            <w:webHidden/>
          </w:rPr>
          <w:fldChar w:fldCharType="begin"/>
        </w:r>
        <w:r w:rsidR="00B105D6">
          <w:rPr>
            <w:noProof/>
            <w:webHidden/>
          </w:rPr>
          <w:instrText xml:space="preserve"> PAGEREF _Toc365537057 \h </w:instrText>
        </w:r>
        <w:r w:rsidR="00B105D6">
          <w:rPr>
            <w:noProof/>
            <w:webHidden/>
          </w:rPr>
        </w:r>
        <w:r w:rsidR="00B105D6">
          <w:rPr>
            <w:noProof/>
            <w:webHidden/>
          </w:rPr>
          <w:fldChar w:fldCharType="separate"/>
        </w:r>
        <w:r w:rsidR="00B105D6">
          <w:rPr>
            <w:noProof/>
            <w:webHidden/>
          </w:rPr>
          <w:t>24</w:t>
        </w:r>
        <w:r w:rsidR="00B105D6">
          <w:rPr>
            <w:noProof/>
            <w:webHidden/>
          </w:rPr>
          <w:fldChar w:fldCharType="end"/>
        </w:r>
      </w:hyperlink>
    </w:p>
    <w:p w:rsidR="00B105D6" w:rsidRDefault="002F23A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537058" w:history="1">
        <w:r w:rsidR="00B105D6" w:rsidRPr="00732759">
          <w:rPr>
            <w:rStyle w:val="Hyperlink"/>
            <w:noProof/>
          </w:rPr>
          <w:t>7.2</w:t>
        </w:r>
        <w:r w:rsidR="00B105D6">
          <w:rPr>
            <w:rFonts w:asciiTheme="minorHAnsi" w:eastAsiaTheme="minorEastAsia" w:hAnsiTheme="minorHAnsi" w:cstheme="minorBidi"/>
            <w:iCs w:val="0"/>
            <w:noProof/>
            <w:sz w:val="22"/>
            <w:szCs w:val="22"/>
            <w:lang w:eastAsia="en-AU"/>
          </w:rPr>
          <w:tab/>
        </w:r>
        <w:r w:rsidR="00B105D6" w:rsidRPr="00732759">
          <w:rPr>
            <w:rStyle w:val="Hyperlink"/>
            <w:noProof/>
          </w:rPr>
          <w:t>Rule requirements</w:t>
        </w:r>
        <w:r w:rsidR="00B105D6">
          <w:rPr>
            <w:noProof/>
            <w:webHidden/>
          </w:rPr>
          <w:tab/>
        </w:r>
        <w:r w:rsidR="00B105D6">
          <w:rPr>
            <w:noProof/>
            <w:webHidden/>
          </w:rPr>
          <w:fldChar w:fldCharType="begin"/>
        </w:r>
        <w:r w:rsidR="00B105D6">
          <w:rPr>
            <w:noProof/>
            <w:webHidden/>
          </w:rPr>
          <w:instrText xml:space="preserve"> PAGEREF _Toc365537058 \h </w:instrText>
        </w:r>
        <w:r w:rsidR="00B105D6">
          <w:rPr>
            <w:noProof/>
            <w:webHidden/>
          </w:rPr>
        </w:r>
        <w:r w:rsidR="00B105D6">
          <w:rPr>
            <w:noProof/>
            <w:webHidden/>
          </w:rPr>
          <w:fldChar w:fldCharType="separate"/>
        </w:r>
        <w:r w:rsidR="00B105D6">
          <w:rPr>
            <w:noProof/>
            <w:webHidden/>
          </w:rPr>
          <w:t>24</w:t>
        </w:r>
        <w:r w:rsidR="00B105D6">
          <w:rPr>
            <w:noProof/>
            <w:webHidden/>
          </w:rPr>
          <w:fldChar w:fldCharType="end"/>
        </w:r>
      </w:hyperlink>
    </w:p>
    <w:p w:rsidR="00B105D6" w:rsidRDefault="002F23A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5537059" w:history="1">
        <w:r w:rsidR="00B105D6" w:rsidRPr="00732759">
          <w:rPr>
            <w:rStyle w:val="Hyperlink"/>
            <w:noProof/>
          </w:rPr>
          <w:t>7.3</w:t>
        </w:r>
        <w:r w:rsidR="00B105D6">
          <w:rPr>
            <w:rFonts w:asciiTheme="minorHAnsi" w:eastAsiaTheme="minorEastAsia" w:hAnsiTheme="minorHAnsi" w:cstheme="minorBidi"/>
            <w:iCs w:val="0"/>
            <w:noProof/>
            <w:sz w:val="22"/>
            <w:szCs w:val="22"/>
            <w:lang w:eastAsia="en-AU"/>
          </w:rPr>
          <w:tab/>
        </w:r>
        <w:r w:rsidR="00B105D6" w:rsidRPr="00732759">
          <w:rPr>
            <w:rStyle w:val="Hyperlink"/>
            <w:noProof/>
          </w:rPr>
          <w:t>Application</w:t>
        </w:r>
        <w:r w:rsidR="00B105D6">
          <w:rPr>
            <w:noProof/>
            <w:webHidden/>
          </w:rPr>
          <w:tab/>
        </w:r>
        <w:r w:rsidR="00B105D6">
          <w:rPr>
            <w:noProof/>
            <w:webHidden/>
          </w:rPr>
          <w:fldChar w:fldCharType="begin"/>
        </w:r>
        <w:r w:rsidR="00B105D6">
          <w:rPr>
            <w:noProof/>
            <w:webHidden/>
          </w:rPr>
          <w:instrText xml:space="preserve"> PAGEREF _Toc365537059 \h </w:instrText>
        </w:r>
        <w:r w:rsidR="00B105D6">
          <w:rPr>
            <w:noProof/>
            <w:webHidden/>
          </w:rPr>
        </w:r>
        <w:r w:rsidR="00B105D6">
          <w:rPr>
            <w:noProof/>
            <w:webHidden/>
          </w:rPr>
          <w:fldChar w:fldCharType="separate"/>
        </w:r>
        <w:r w:rsidR="00B105D6">
          <w:rPr>
            <w:noProof/>
            <w:webHidden/>
          </w:rPr>
          <w:t>24</w:t>
        </w:r>
        <w:r w:rsidR="00B105D6">
          <w:rPr>
            <w:noProof/>
            <w:webHidden/>
          </w:rPr>
          <w:fldChar w:fldCharType="end"/>
        </w:r>
      </w:hyperlink>
    </w:p>
    <w:p w:rsidR="00B105D6" w:rsidRDefault="002F23AE">
      <w:pPr>
        <w:pStyle w:val="TOC1"/>
        <w:tabs>
          <w:tab w:val="right" w:leader="dot" w:pos="9016"/>
        </w:tabs>
        <w:rPr>
          <w:rFonts w:asciiTheme="minorHAnsi" w:eastAsiaTheme="minorEastAsia" w:hAnsiTheme="minorHAnsi" w:cstheme="minorBidi"/>
          <w:b w:val="0"/>
          <w:bCs w:val="0"/>
          <w:noProof/>
          <w:sz w:val="22"/>
          <w:szCs w:val="22"/>
          <w:lang w:eastAsia="en-AU"/>
        </w:rPr>
      </w:pPr>
      <w:hyperlink w:anchor="_Toc365537060" w:history="1">
        <w:r w:rsidR="00B105D6" w:rsidRPr="00732759">
          <w:rPr>
            <w:rStyle w:val="Hyperlink"/>
            <w:noProof/>
          </w:rPr>
          <w:t>Glossary</w:t>
        </w:r>
        <w:r w:rsidR="00B105D6">
          <w:rPr>
            <w:noProof/>
            <w:webHidden/>
          </w:rPr>
          <w:tab/>
        </w:r>
        <w:r w:rsidR="00B105D6">
          <w:rPr>
            <w:noProof/>
            <w:webHidden/>
          </w:rPr>
          <w:fldChar w:fldCharType="begin"/>
        </w:r>
        <w:r w:rsidR="00B105D6">
          <w:rPr>
            <w:noProof/>
            <w:webHidden/>
          </w:rPr>
          <w:instrText xml:space="preserve"> PAGEREF _Toc365537060 \h </w:instrText>
        </w:r>
        <w:r w:rsidR="00B105D6">
          <w:rPr>
            <w:noProof/>
            <w:webHidden/>
          </w:rPr>
        </w:r>
        <w:r w:rsidR="00B105D6">
          <w:rPr>
            <w:noProof/>
            <w:webHidden/>
          </w:rPr>
          <w:fldChar w:fldCharType="separate"/>
        </w:r>
        <w:r w:rsidR="00B105D6">
          <w:rPr>
            <w:noProof/>
            <w:webHidden/>
          </w:rPr>
          <w:t>26</w:t>
        </w:r>
        <w:r w:rsidR="00B105D6">
          <w:rPr>
            <w:noProof/>
            <w:webHidden/>
          </w:rPr>
          <w:fldChar w:fldCharType="end"/>
        </w:r>
      </w:hyperlink>
    </w:p>
    <w:p w:rsidR="00B105D6" w:rsidRDefault="002F23A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5537061" w:history="1">
        <w:r w:rsidR="00B105D6" w:rsidRPr="00732759">
          <w:rPr>
            <w:rStyle w:val="Hyperlink"/>
            <w:noProof/>
          </w:rPr>
          <w:t>A</w:t>
        </w:r>
        <w:r w:rsidR="00B105D6">
          <w:rPr>
            <w:rFonts w:asciiTheme="minorHAnsi" w:eastAsiaTheme="minorEastAsia" w:hAnsiTheme="minorHAnsi" w:cstheme="minorBidi"/>
            <w:b w:val="0"/>
            <w:bCs w:val="0"/>
            <w:noProof/>
            <w:sz w:val="22"/>
            <w:szCs w:val="22"/>
            <w:lang w:eastAsia="en-AU"/>
          </w:rPr>
          <w:tab/>
        </w:r>
        <w:r w:rsidR="00B105D6" w:rsidRPr="00732759">
          <w:rPr>
            <w:rStyle w:val="Hyperlink"/>
            <w:noProof/>
          </w:rPr>
          <w:t>Estimation of the return on debt: an example</w:t>
        </w:r>
        <w:r w:rsidR="00B105D6">
          <w:rPr>
            <w:noProof/>
            <w:webHidden/>
          </w:rPr>
          <w:tab/>
        </w:r>
        <w:r w:rsidR="00B105D6">
          <w:rPr>
            <w:noProof/>
            <w:webHidden/>
          </w:rPr>
          <w:fldChar w:fldCharType="begin"/>
        </w:r>
        <w:r w:rsidR="00B105D6">
          <w:rPr>
            <w:noProof/>
            <w:webHidden/>
          </w:rPr>
          <w:instrText xml:space="preserve"> PAGEREF _Toc365537061 \h </w:instrText>
        </w:r>
        <w:r w:rsidR="00B105D6">
          <w:rPr>
            <w:noProof/>
            <w:webHidden/>
          </w:rPr>
        </w:r>
        <w:r w:rsidR="00B105D6">
          <w:rPr>
            <w:noProof/>
            <w:webHidden/>
          </w:rPr>
          <w:fldChar w:fldCharType="separate"/>
        </w:r>
        <w:r w:rsidR="00B105D6">
          <w:rPr>
            <w:noProof/>
            <w:webHidden/>
          </w:rPr>
          <w:t>28</w:t>
        </w:r>
        <w:r w:rsidR="00B105D6">
          <w:rPr>
            <w:noProof/>
            <w:webHidden/>
          </w:rPr>
          <w:fldChar w:fldCharType="end"/>
        </w:r>
      </w:hyperlink>
    </w:p>
    <w:p w:rsidR="00892501" w:rsidRDefault="00181DC6" w:rsidP="00892501">
      <w:pPr>
        <w:pStyle w:val="AERbodytext"/>
        <w:numPr>
          <w:ilvl w:val="0"/>
          <w:numId w:val="6"/>
        </w:numPr>
      </w:pPr>
      <w:r w:rsidRPr="00892501">
        <w:fldChar w:fldCharType="end"/>
      </w:r>
    </w:p>
    <w:p w:rsidR="00213F1D" w:rsidRDefault="00213F1D" w:rsidP="00213F1D">
      <w:pPr>
        <w:pStyle w:val="AERbodytext"/>
        <w:numPr>
          <w:ilvl w:val="0"/>
          <w:numId w:val="0"/>
        </w:numPr>
      </w:pPr>
    </w:p>
    <w:p w:rsidR="00213F1D" w:rsidRPr="00892501" w:rsidRDefault="00213F1D" w:rsidP="00213F1D">
      <w:pPr>
        <w:pStyle w:val="AERbodytext"/>
        <w:numPr>
          <w:ilvl w:val="0"/>
          <w:numId w:val="0"/>
        </w:numPr>
      </w:pPr>
    </w:p>
    <w:p w:rsidR="00DE071B" w:rsidRPr="0030610D" w:rsidRDefault="00DE071B" w:rsidP="0030610D">
      <w:pPr>
        <w:pStyle w:val="Heading1"/>
      </w:pPr>
      <w:bookmarkStart w:id="2" w:name="_Toc356398571"/>
      <w:bookmarkStart w:id="3" w:name="_Toc365537031"/>
      <w:r w:rsidRPr="0030610D">
        <w:lastRenderedPageBreak/>
        <w:t>Nature and authority</w:t>
      </w:r>
      <w:bookmarkEnd w:id="2"/>
      <w:bookmarkEnd w:id="3"/>
    </w:p>
    <w:p w:rsidR="00DE071B" w:rsidRDefault="00DE071B" w:rsidP="00DE071B">
      <w:pPr>
        <w:pStyle w:val="Heading2"/>
      </w:pPr>
      <w:bookmarkStart w:id="4" w:name="_Toc356398572"/>
      <w:bookmarkStart w:id="5" w:name="_Toc365537032"/>
      <w:r w:rsidRPr="00DD0B5F">
        <w:t>Introduction</w:t>
      </w:r>
      <w:bookmarkEnd w:id="4"/>
      <w:bookmarkEnd w:id="5"/>
    </w:p>
    <w:p w:rsidR="0026547A" w:rsidRDefault="00941EE7" w:rsidP="0026547A">
      <w:pPr>
        <w:pStyle w:val="AERbodytext"/>
      </w:pPr>
      <w:r>
        <w:t xml:space="preserve">Consistent with the requirements of clause 6.5.2(m) </w:t>
      </w:r>
      <w:r w:rsidR="004F67D7">
        <w:t xml:space="preserve">and 6A.6.2(m) </w:t>
      </w:r>
      <w:r>
        <w:t xml:space="preserve">of the </w:t>
      </w:r>
      <w:r w:rsidRPr="00061CC2">
        <w:t xml:space="preserve">National Electricity Rules (NER) and </w:t>
      </w:r>
      <w:r>
        <w:t xml:space="preserve">rule 87(13) of the </w:t>
      </w:r>
      <w:r w:rsidRPr="00061CC2">
        <w:t>National Gas Rules (NGR)</w:t>
      </w:r>
      <w:r>
        <w:t xml:space="preserve">, this </w:t>
      </w:r>
      <w:r w:rsidR="0026547A">
        <w:t xml:space="preserve">publication </w:t>
      </w:r>
      <w:r w:rsidRPr="00061CC2">
        <w:t>set</w:t>
      </w:r>
      <w:r w:rsidR="0026547A">
        <w:t>s</w:t>
      </w:r>
      <w:r w:rsidRPr="00061CC2">
        <w:t xml:space="preserve"> out the </w:t>
      </w:r>
      <w:r w:rsidR="0026547A" w:rsidRPr="0026547A">
        <w:t>Australian Energy Regulator's (AER)</w:t>
      </w:r>
      <w:r w:rsidR="0026547A">
        <w:t xml:space="preserve"> draft rate of return </w:t>
      </w:r>
      <w:r w:rsidR="00984689">
        <w:t>guideline</w:t>
      </w:r>
      <w:r w:rsidR="004F5B86">
        <w:t>s (</w:t>
      </w:r>
      <w:r w:rsidR="00EB7B63">
        <w:t xml:space="preserve">the </w:t>
      </w:r>
      <w:r w:rsidR="004F5B86">
        <w:t>guideline)</w:t>
      </w:r>
      <w:r w:rsidR="0026547A">
        <w:t xml:space="preserve"> </w:t>
      </w:r>
      <w:r w:rsidR="0026547A" w:rsidRPr="00061CC2">
        <w:t xml:space="preserve">for </w:t>
      </w:r>
      <w:r w:rsidR="00F1326B">
        <w:t>electricity and gas transmission and distribution network s</w:t>
      </w:r>
      <w:r w:rsidR="0026547A" w:rsidRPr="00061CC2">
        <w:t xml:space="preserve">ervice </w:t>
      </w:r>
      <w:r w:rsidR="00F1326B">
        <w:t>p</w:t>
      </w:r>
      <w:r w:rsidR="0026547A" w:rsidRPr="00061CC2">
        <w:t>roviders</w:t>
      </w:r>
      <w:r w:rsidR="008552C6">
        <w:t xml:space="preserve"> (</w:t>
      </w:r>
      <w:r w:rsidR="00F1326B">
        <w:t>the 'service providers'</w:t>
      </w:r>
      <w:r w:rsidR="008552C6">
        <w:t>)</w:t>
      </w:r>
      <w:r w:rsidR="0026547A">
        <w:t>.</w:t>
      </w:r>
    </w:p>
    <w:p w:rsidR="00DE071B" w:rsidRDefault="00DE071B" w:rsidP="00DE071B">
      <w:pPr>
        <w:pStyle w:val="Heading2"/>
      </w:pPr>
      <w:bookmarkStart w:id="6" w:name="_Toc352688443"/>
      <w:bookmarkStart w:id="7" w:name="_Toc352688444"/>
      <w:bookmarkStart w:id="8" w:name="_Toc352688445"/>
      <w:bookmarkStart w:id="9" w:name="_Toc352688466"/>
      <w:bookmarkStart w:id="10" w:name="_Toc352688467"/>
      <w:bookmarkStart w:id="11" w:name="_Toc352688468"/>
      <w:bookmarkStart w:id="12" w:name="_Toc352688469"/>
      <w:bookmarkStart w:id="13" w:name="_Toc352688482"/>
      <w:bookmarkStart w:id="14" w:name="_Toc352688483"/>
      <w:bookmarkStart w:id="15" w:name="_Toc352688484"/>
      <w:bookmarkStart w:id="16" w:name="_Toc352688485"/>
      <w:bookmarkStart w:id="17" w:name="_Toc352688486"/>
      <w:bookmarkStart w:id="18" w:name="_Toc352688487"/>
      <w:bookmarkStart w:id="19" w:name="_Toc356398573"/>
      <w:bookmarkStart w:id="20" w:name="_Toc365537033"/>
      <w:bookmarkEnd w:id="6"/>
      <w:bookmarkEnd w:id="7"/>
      <w:bookmarkEnd w:id="8"/>
      <w:bookmarkEnd w:id="9"/>
      <w:bookmarkEnd w:id="10"/>
      <w:bookmarkEnd w:id="11"/>
      <w:bookmarkEnd w:id="12"/>
      <w:bookmarkEnd w:id="13"/>
      <w:bookmarkEnd w:id="14"/>
      <w:bookmarkEnd w:id="15"/>
      <w:bookmarkEnd w:id="16"/>
      <w:bookmarkEnd w:id="17"/>
      <w:bookmarkEnd w:id="18"/>
      <w:r>
        <w:t>Authority</w:t>
      </w:r>
      <w:bookmarkEnd w:id="19"/>
      <w:bookmarkEnd w:id="20"/>
    </w:p>
    <w:p w:rsidR="001F2CA8" w:rsidRDefault="00ED288F" w:rsidP="00112858">
      <w:pPr>
        <w:pStyle w:val="AERbodytext"/>
        <w:numPr>
          <w:ilvl w:val="0"/>
          <w:numId w:val="0"/>
        </w:numPr>
      </w:pPr>
      <w:r w:rsidRPr="00ED288F">
        <w:t>Clause</w:t>
      </w:r>
      <w:r w:rsidR="00AC0CF5">
        <w:t>s</w:t>
      </w:r>
      <w:r w:rsidRPr="00ED288F">
        <w:t xml:space="preserve"> 6.5.2(m) and 6A.6.2(m) of the NER and rule 87(13) of the NGR requires the AER to develop, and publish, in accordance with the </w:t>
      </w:r>
      <w:r w:rsidR="004F5B86">
        <w:t xml:space="preserve">relevant </w:t>
      </w:r>
      <w:r w:rsidRPr="00ED288F">
        <w:t>transmission</w:t>
      </w:r>
      <w:r w:rsidR="004F5B86">
        <w:t xml:space="preserve"> and</w:t>
      </w:r>
      <w:r w:rsidRPr="00ED288F">
        <w:t xml:space="preserve"> distribution consultative procedures, </w:t>
      </w:r>
      <w:r w:rsidR="00D2707F">
        <w:t>a</w:t>
      </w:r>
      <w:r w:rsidR="00D2707F" w:rsidRPr="00ED288F">
        <w:t xml:space="preserve"> </w:t>
      </w:r>
      <w:r w:rsidR="00984689">
        <w:t>guideline</w:t>
      </w:r>
      <w:r w:rsidRPr="00ED288F">
        <w:t xml:space="preserve"> for the assessment of </w:t>
      </w:r>
      <w:r w:rsidR="0018447A">
        <w:t xml:space="preserve">the </w:t>
      </w:r>
      <w:r w:rsidRPr="00ED288F">
        <w:t>rate of return</w:t>
      </w:r>
      <w:r w:rsidR="00D2707F">
        <w:t xml:space="preserve"> for electricity distribution, electricity transmission and gas distribution and transmission</w:t>
      </w:r>
      <w:r w:rsidR="0018447A">
        <w:t>,</w:t>
      </w:r>
      <w:r w:rsidR="00D2707F">
        <w:t xml:space="preserve"> respectively</w:t>
      </w:r>
      <w:r w:rsidRPr="00ED288F">
        <w:t>.</w:t>
      </w:r>
      <w:r w:rsidR="00AC0CF5">
        <w:t xml:space="preserve"> Clauses 6.5.2(n) and 6A.6.2(n) of the NER and rule 87(14) specifies the matters which must be set out in the guideline.</w:t>
      </w:r>
      <w:r w:rsidR="00912723">
        <w:t xml:space="preserve"> </w:t>
      </w:r>
    </w:p>
    <w:p w:rsidR="00DE071B" w:rsidRPr="00D4227B" w:rsidRDefault="00DE071B" w:rsidP="00DE071B">
      <w:pPr>
        <w:pStyle w:val="Heading2"/>
      </w:pPr>
      <w:bookmarkStart w:id="21" w:name="_Toc356398574"/>
      <w:bookmarkStart w:id="22" w:name="_Toc365537034"/>
      <w:r>
        <w:t xml:space="preserve">Role of the </w:t>
      </w:r>
      <w:bookmarkEnd w:id="21"/>
      <w:r w:rsidR="00984689">
        <w:t>guideline</w:t>
      </w:r>
      <w:bookmarkEnd w:id="22"/>
    </w:p>
    <w:p w:rsidR="006D7CA8" w:rsidRDefault="006D7CA8" w:rsidP="007C780F">
      <w:pPr>
        <w:pStyle w:val="AERbodytext"/>
      </w:pPr>
      <w:r>
        <w:t>Under clause</w:t>
      </w:r>
      <w:r w:rsidR="00544AB0">
        <w:t>s</w:t>
      </w:r>
      <w:r>
        <w:t xml:space="preserve"> 6.5.2(n)</w:t>
      </w:r>
      <w:r w:rsidR="00544AB0">
        <w:t xml:space="preserve"> and</w:t>
      </w:r>
      <w:r>
        <w:t xml:space="preserve"> 6A.6.2(n) of the NER and rule 87(14) of the NGR, the AER </w:t>
      </w:r>
      <w:r w:rsidR="00544AB0">
        <w:t xml:space="preserve">must set out </w:t>
      </w:r>
      <w:r>
        <w:t xml:space="preserve">in the </w:t>
      </w:r>
      <w:r w:rsidR="00984689">
        <w:t>guideline</w:t>
      </w:r>
      <w:r>
        <w:t>:</w:t>
      </w:r>
    </w:p>
    <w:p w:rsidR="006D7CA8" w:rsidRDefault="006D7CA8" w:rsidP="006D7CA8">
      <w:pPr>
        <w:pStyle w:val="AERbulletlistfirststyle"/>
      </w:pPr>
      <w:r w:rsidRPr="006D7CA8">
        <w:t>the methodologies that the AER proposes to use in estimating the allowed rate of return, including how those methodologies are proposed to result in the determination of a return on equity and a</w:t>
      </w:r>
      <w:r>
        <w:t xml:space="preserve"> </w:t>
      </w:r>
      <w:r w:rsidRPr="006D7CA8">
        <w:t xml:space="preserve">return on debt in a way that is consistent </w:t>
      </w:r>
      <w:r w:rsidR="00DA6C48">
        <w:t xml:space="preserve">with </w:t>
      </w:r>
      <w:r w:rsidRPr="006D7CA8">
        <w:t>the allowed rate of return objective; and</w:t>
      </w:r>
    </w:p>
    <w:p w:rsidR="006D7CA8" w:rsidRDefault="006D7CA8" w:rsidP="006D7CA8">
      <w:pPr>
        <w:pStyle w:val="AERbulletlistfirststyle"/>
      </w:pPr>
      <w:r w:rsidRPr="006D7CA8">
        <w:t>the estimation methods, financial models, market data and other evidence the AER proposes to take into account in estimating the return on equity, the return on debt and the value of imputation credits.</w:t>
      </w:r>
    </w:p>
    <w:p w:rsidR="008B7003" w:rsidRDefault="008B7003" w:rsidP="008B7003">
      <w:pPr>
        <w:pStyle w:val="AERbodytext"/>
      </w:pPr>
      <w:r>
        <w:t xml:space="preserve">The guideline applies to electricity distribution and transmission and gas distribution and transmission </w:t>
      </w:r>
      <w:r w:rsidR="0018447A">
        <w:t xml:space="preserve">service providers </w:t>
      </w:r>
      <w:r>
        <w:t>regulated by the AER.</w:t>
      </w:r>
    </w:p>
    <w:p w:rsidR="0018447A" w:rsidRPr="0018447A" w:rsidRDefault="0018447A" w:rsidP="0018447A">
      <w:pPr>
        <w:pStyle w:val="AERbodytext"/>
        <w:numPr>
          <w:ilvl w:val="0"/>
          <w:numId w:val="6"/>
        </w:numPr>
      </w:pPr>
      <w:r w:rsidRPr="0018447A">
        <w:t xml:space="preserve">The guideline is not binding on the AER (or anyone else). However, if we make a determination that is not in accordance with the guideline, our reasons for the determination must </w:t>
      </w:r>
      <w:r>
        <w:t>state</w:t>
      </w:r>
      <w:r w:rsidRPr="0018447A">
        <w:t xml:space="preserve"> why we departed from the guideline.</w:t>
      </w:r>
      <w:r w:rsidR="009129D9">
        <w:rPr>
          <w:rStyle w:val="FootnoteReference"/>
        </w:rPr>
        <w:footnoteReference w:id="1"/>
      </w:r>
    </w:p>
    <w:p w:rsidR="00DE071B" w:rsidRDefault="00DE071B" w:rsidP="00DE071B">
      <w:pPr>
        <w:pStyle w:val="Heading2"/>
      </w:pPr>
      <w:bookmarkStart w:id="23" w:name="_Toc352688490"/>
      <w:bookmarkStart w:id="24" w:name="_Toc356398575"/>
      <w:bookmarkStart w:id="25" w:name="_Toc365537035"/>
      <w:bookmarkEnd w:id="23"/>
      <w:r>
        <w:t>Definitions and interpretation</w:t>
      </w:r>
      <w:bookmarkEnd w:id="24"/>
      <w:bookmarkEnd w:id="25"/>
    </w:p>
    <w:p w:rsidR="00DE071B" w:rsidRPr="00DD0B5F" w:rsidRDefault="00DE071B" w:rsidP="00DE071B">
      <w:pPr>
        <w:pStyle w:val="AERbodytext"/>
        <w:numPr>
          <w:ilvl w:val="0"/>
          <w:numId w:val="6"/>
        </w:numPr>
      </w:pPr>
      <w:r w:rsidRPr="00DD0B5F">
        <w:t>In th</w:t>
      </w:r>
      <w:r>
        <w:t>is g</w:t>
      </w:r>
      <w:r w:rsidRPr="00DD0B5F">
        <w:t>uideline the words and phrases have the meaning given to them in:</w:t>
      </w:r>
    </w:p>
    <w:p w:rsidR="00DE071B" w:rsidRPr="00DD0B5F" w:rsidRDefault="00DE071B" w:rsidP="00DE071B">
      <w:pPr>
        <w:pStyle w:val="AERbulletlistfirststyle"/>
      </w:pPr>
      <w:r w:rsidRPr="00DD0B5F">
        <w:t>the glossary</w:t>
      </w:r>
      <w:r w:rsidR="0030610D">
        <w:t>;</w:t>
      </w:r>
      <w:r w:rsidRPr="00DD0B5F">
        <w:t xml:space="preserve"> or</w:t>
      </w:r>
    </w:p>
    <w:p w:rsidR="00DE071B" w:rsidRPr="00DD0B5F" w:rsidRDefault="00DE071B" w:rsidP="00DE071B">
      <w:pPr>
        <w:pStyle w:val="AERbulletlistfirststyle"/>
      </w:pPr>
      <w:r w:rsidRPr="00DD0B5F">
        <w:t>if not defined in the glossary, the</w:t>
      </w:r>
      <w:r>
        <w:t xml:space="preserve"> NER</w:t>
      </w:r>
      <w:r w:rsidR="004F468C">
        <w:t xml:space="preserve"> or NGR.</w:t>
      </w:r>
    </w:p>
    <w:p w:rsidR="00DE071B" w:rsidRDefault="00DE071B" w:rsidP="00DE071B">
      <w:pPr>
        <w:pStyle w:val="Heading2"/>
      </w:pPr>
      <w:bookmarkStart w:id="26" w:name="_Toc356398576"/>
      <w:bookmarkStart w:id="27" w:name="_Toc365537036"/>
      <w:r>
        <w:t>Process for revision</w:t>
      </w:r>
      <w:bookmarkEnd w:id="26"/>
      <w:bookmarkEnd w:id="27"/>
    </w:p>
    <w:p w:rsidR="00E45CA7" w:rsidRDefault="00F75E3F" w:rsidP="0018447A">
      <w:pPr>
        <w:pStyle w:val="AERbodytext"/>
        <w:numPr>
          <w:ilvl w:val="0"/>
          <w:numId w:val="6"/>
        </w:numPr>
      </w:pPr>
      <w:r w:rsidRPr="00DD0B5F">
        <w:t xml:space="preserve">The AER may amend or replace </w:t>
      </w:r>
      <w:r w:rsidRPr="00333133">
        <w:t>these guidelines from time to time in accordance with the consultation procedures under clauses 6.16 and 6A.20 of the NER</w:t>
      </w:r>
      <w:r>
        <w:t xml:space="preserve"> and rule 9B</w:t>
      </w:r>
      <w:r w:rsidR="0018447A">
        <w:t xml:space="preserve"> </w:t>
      </w:r>
      <w:r w:rsidR="00E45CA7" w:rsidRPr="00E45CA7">
        <w:t xml:space="preserve">of the </w:t>
      </w:r>
      <w:r w:rsidR="00E45CA7">
        <w:t>NGR</w:t>
      </w:r>
      <w:r w:rsidR="005C1C77">
        <w:t>.</w:t>
      </w:r>
      <w:r w:rsidR="00A72366">
        <w:rPr>
          <w:rStyle w:val="FootnoteReference"/>
        </w:rPr>
        <w:footnoteReference w:id="2"/>
      </w:r>
      <w:r w:rsidR="00E45CA7">
        <w:t xml:space="preserve"> </w:t>
      </w:r>
    </w:p>
    <w:p w:rsidR="00DE071B" w:rsidRPr="00DD0B5F" w:rsidRDefault="00DE071B" w:rsidP="00DE071B">
      <w:pPr>
        <w:pStyle w:val="Heading2"/>
      </w:pPr>
      <w:bookmarkStart w:id="28" w:name="_Toc356398577"/>
      <w:bookmarkStart w:id="29" w:name="_Toc365537037"/>
      <w:r w:rsidRPr="00DD0B5F">
        <w:lastRenderedPageBreak/>
        <w:t>Version history and effective date</w:t>
      </w:r>
      <w:bookmarkEnd w:id="28"/>
      <w:bookmarkEnd w:id="29"/>
    </w:p>
    <w:p w:rsidR="00DE071B" w:rsidRDefault="00DE071B" w:rsidP="00016FF6">
      <w:pPr>
        <w:pStyle w:val="AERbodytext"/>
      </w:pPr>
      <w:r w:rsidRPr="00DD0B5F">
        <w:t>A version number and an effective date of issue will identify every version of th</w:t>
      </w:r>
      <w:r>
        <w:t xml:space="preserve">is </w:t>
      </w:r>
      <w:r w:rsidRPr="00016FF6">
        <w:rPr>
          <w:rStyle w:val="AERtextitalic"/>
          <w:i w:val="0"/>
        </w:rPr>
        <w:t>guideline</w:t>
      </w:r>
      <w:r w:rsidRPr="00016FF6">
        <w:t>.</w:t>
      </w:r>
    </w:p>
    <w:p w:rsidR="00BD346F" w:rsidRDefault="00BD346F" w:rsidP="0030610D">
      <w:pPr>
        <w:pStyle w:val="AERbodytext"/>
        <w:numPr>
          <w:ilvl w:val="0"/>
          <w:numId w:val="0"/>
        </w:numPr>
      </w:pPr>
    </w:p>
    <w:p w:rsidR="00550143" w:rsidRPr="00550143" w:rsidRDefault="00550143" w:rsidP="006601D0">
      <w:pPr>
        <w:spacing w:after="0" w:line="240" w:lineRule="auto"/>
        <w:jc w:val="left"/>
      </w:pPr>
    </w:p>
    <w:p w:rsidR="00550143" w:rsidRPr="0030610D" w:rsidRDefault="00550143" w:rsidP="0030610D">
      <w:pPr>
        <w:pStyle w:val="Heading1"/>
      </w:pPr>
      <w:bookmarkStart w:id="30" w:name="_Toc365537038"/>
      <w:r w:rsidRPr="0030610D">
        <w:lastRenderedPageBreak/>
        <w:t>Overview</w:t>
      </w:r>
      <w:bookmarkEnd w:id="30"/>
      <w:r w:rsidR="003A2CF9" w:rsidRPr="0030610D">
        <w:t xml:space="preserve"> </w:t>
      </w:r>
    </w:p>
    <w:p w:rsidR="00436E4A" w:rsidRDefault="00DB1231" w:rsidP="008C1AD4">
      <w:pPr>
        <w:numPr>
          <w:ilvl w:val="0"/>
          <w:numId w:val="6"/>
        </w:numPr>
      </w:pPr>
      <w:r>
        <w:t>The new r</w:t>
      </w:r>
      <w:r w:rsidR="00436E4A" w:rsidRPr="00FC3818">
        <w:t xml:space="preserve">ules require us to develop </w:t>
      </w:r>
      <w:r w:rsidR="00CE0C55">
        <w:t xml:space="preserve">a </w:t>
      </w:r>
      <w:r w:rsidR="00436E4A" w:rsidRPr="00FC3818">
        <w:t xml:space="preserve">rate of return </w:t>
      </w:r>
      <w:r w:rsidR="00984689">
        <w:t>guideline</w:t>
      </w:r>
      <w:r w:rsidR="00436E4A" w:rsidRPr="00FC3818">
        <w:t xml:space="preserve"> that set</w:t>
      </w:r>
      <w:r w:rsidR="00CE0C55">
        <w:t>s</w:t>
      </w:r>
      <w:r w:rsidR="00436E4A" w:rsidRPr="00FC3818">
        <w:t xml:space="preserve"> out the approach we intend to take to determining the allowed rate of return for both electricity and gas service providers. We intend for the final </w:t>
      </w:r>
      <w:r w:rsidR="00984689">
        <w:t>guideline</w:t>
      </w:r>
      <w:r w:rsidR="00436E4A" w:rsidRPr="00FC3818">
        <w:t xml:space="preserve"> to include sufficient detail to allow a service provider or other stakeholders to make a reasonably good estimate of the rate of return that would be determined by us if the </w:t>
      </w:r>
      <w:r w:rsidR="00984689">
        <w:t>guideline</w:t>
      </w:r>
      <w:r w:rsidR="00436E4A" w:rsidRPr="00FC3818">
        <w:t xml:space="preserve"> were applied to a determination for a particular business at any given time.</w:t>
      </w:r>
    </w:p>
    <w:p w:rsidR="00550143" w:rsidRDefault="00550143" w:rsidP="008C1AD4">
      <w:pPr>
        <w:numPr>
          <w:ilvl w:val="0"/>
          <w:numId w:val="6"/>
        </w:numPr>
      </w:pPr>
      <w:r w:rsidRPr="00550143">
        <w:t xml:space="preserve">Our Better Regulation program involves the publication of several </w:t>
      </w:r>
      <w:r w:rsidR="00984689">
        <w:t>guidelines</w:t>
      </w:r>
      <w:r w:rsidRPr="00550143">
        <w:t xml:space="preserve">, including publication of </w:t>
      </w:r>
      <w:r w:rsidR="00DA6C48">
        <w:t xml:space="preserve">the </w:t>
      </w:r>
      <w:r w:rsidRPr="00550143">
        <w:t xml:space="preserve">rate of return </w:t>
      </w:r>
      <w:r w:rsidR="00984689">
        <w:t>guideline</w:t>
      </w:r>
      <w:r w:rsidRPr="00550143">
        <w:t xml:space="preserve"> (the </w:t>
      </w:r>
      <w:r w:rsidR="00984689">
        <w:t>guideline</w:t>
      </w:r>
      <w:r w:rsidRPr="00550143">
        <w:t xml:space="preserve">) for the </w:t>
      </w:r>
      <w:r w:rsidR="002D4BF6">
        <w:t>service providers</w:t>
      </w:r>
      <w:r w:rsidRPr="00550143">
        <w:t xml:space="preserve">. We are required to publish the </w:t>
      </w:r>
      <w:r w:rsidR="00984689">
        <w:t>guideline</w:t>
      </w:r>
      <w:r w:rsidRPr="00550143">
        <w:t xml:space="preserve"> by 29 November 2013.</w:t>
      </w:r>
      <w:r w:rsidR="007B2D0C">
        <w:t xml:space="preserve"> </w:t>
      </w:r>
      <w:r w:rsidRPr="00550143">
        <w:t xml:space="preserve">The </w:t>
      </w:r>
      <w:r w:rsidR="00984689">
        <w:t>guideline</w:t>
      </w:r>
      <w:r w:rsidRPr="00550143">
        <w:t xml:space="preserve"> will set out the approach we intend to take to determining the allowed rate of return in accordance with the N</w:t>
      </w:r>
      <w:r w:rsidR="0066651F">
        <w:t>EL</w:t>
      </w:r>
      <w:r w:rsidR="00DA6C48">
        <w:t xml:space="preserve"> and</w:t>
      </w:r>
      <w:r w:rsidRPr="00550143">
        <w:t xml:space="preserve"> the N</w:t>
      </w:r>
      <w:r w:rsidR="0066651F">
        <w:t>GL</w:t>
      </w:r>
      <w:r w:rsidRPr="00550143">
        <w:t xml:space="preserve"> (collectively, the law and rules).</w:t>
      </w:r>
    </w:p>
    <w:p w:rsidR="00FF5E3F" w:rsidRPr="00A80813" w:rsidRDefault="00FF5E3F" w:rsidP="00FF5E3F">
      <w:pPr>
        <w:numPr>
          <w:ilvl w:val="0"/>
          <w:numId w:val="6"/>
        </w:numPr>
      </w:pPr>
      <w:r w:rsidRPr="00A80813">
        <w:t xml:space="preserve">The new rules require us to set out in the </w:t>
      </w:r>
      <w:r w:rsidR="00984689">
        <w:t>guideline</w:t>
      </w:r>
      <w:r w:rsidRPr="00A80813">
        <w:t>:</w:t>
      </w:r>
      <w:r w:rsidR="0030610D">
        <w:rPr>
          <w:rStyle w:val="FootnoteReference"/>
        </w:rPr>
        <w:footnoteReference w:id="3"/>
      </w:r>
    </w:p>
    <w:p w:rsidR="00FF5E3F" w:rsidRPr="00A80813" w:rsidRDefault="00FF5E3F" w:rsidP="00FF5E3F">
      <w:pPr>
        <w:pStyle w:val="AERbulletlistfirststyle"/>
      </w:pPr>
      <w:r w:rsidRPr="00A80813">
        <w:t xml:space="preserve">the methodologies </w:t>
      </w:r>
      <w:r w:rsidR="00363816">
        <w:t>we</w:t>
      </w:r>
      <w:r w:rsidR="00363816" w:rsidRPr="00A80813">
        <w:t xml:space="preserve"> </w:t>
      </w:r>
      <w:r w:rsidR="00E27205">
        <w:t>propose</w:t>
      </w:r>
      <w:r w:rsidRPr="00A80813">
        <w:t xml:space="preserve"> to use</w:t>
      </w:r>
    </w:p>
    <w:p w:rsidR="00FF5E3F" w:rsidRPr="00A80813" w:rsidRDefault="00FF5E3F" w:rsidP="00FF5E3F">
      <w:pPr>
        <w:pStyle w:val="AERbulletlistfirststyle"/>
      </w:pPr>
      <w:r w:rsidRPr="00A80813">
        <w:t xml:space="preserve">the estimation methods, financial models, market data and other evidence </w:t>
      </w:r>
      <w:r w:rsidR="000D5239">
        <w:t>we</w:t>
      </w:r>
      <w:r w:rsidR="000D5239" w:rsidRPr="00A80813">
        <w:t xml:space="preserve"> </w:t>
      </w:r>
      <w:r w:rsidRPr="00A80813">
        <w:t>propose to take into account.</w:t>
      </w:r>
    </w:p>
    <w:p w:rsidR="00735007" w:rsidRDefault="00735007" w:rsidP="00550143">
      <w:r>
        <w:t>The major changes we have proposed in this guideline include:</w:t>
      </w:r>
    </w:p>
    <w:p w:rsidR="00735007" w:rsidRDefault="00735007" w:rsidP="00DC31CC">
      <w:pPr>
        <w:pStyle w:val="AERbulletlistfirststyle"/>
      </w:pPr>
      <w:r>
        <w:t xml:space="preserve">Considering </w:t>
      </w:r>
      <w:r w:rsidR="00DA6C48">
        <w:t xml:space="preserve">a </w:t>
      </w:r>
      <w:r>
        <w:t>broad</w:t>
      </w:r>
      <w:r w:rsidR="00DA6C48">
        <w:t xml:space="preserve"> range of</w:t>
      </w:r>
      <w:r>
        <w:t xml:space="preserve"> material in arriving at a point estimate for the return on equity. </w:t>
      </w:r>
      <w:r w:rsidR="00FA427A">
        <w:t xml:space="preserve">We </w:t>
      </w:r>
      <w:r w:rsidR="003F4407">
        <w:t xml:space="preserve">would </w:t>
      </w:r>
      <w:r w:rsidR="00FA427A">
        <w:t xml:space="preserve">continue to use the </w:t>
      </w:r>
      <w:r w:rsidR="0030610D">
        <w:t>Sharpe–Lintner</w:t>
      </w:r>
      <w:r w:rsidR="00FA427A">
        <w:t xml:space="preserve"> </w:t>
      </w:r>
      <w:r w:rsidR="00DD32B7">
        <w:t xml:space="preserve">CAPM for </w:t>
      </w:r>
      <w:r w:rsidR="00DA6C48">
        <w:t xml:space="preserve">estimating </w:t>
      </w:r>
      <w:r w:rsidR="005F4C99">
        <w:t xml:space="preserve">a starting point and </w:t>
      </w:r>
      <w:r w:rsidR="003F4407">
        <w:t xml:space="preserve">a </w:t>
      </w:r>
      <w:r w:rsidR="005F4C99">
        <w:t>range for the final</w:t>
      </w:r>
      <w:r w:rsidR="00DD32B7">
        <w:t xml:space="preserve"> return on equity. </w:t>
      </w:r>
      <w:r w:rsidR="00191966">
        <w:t xml:space="preserve">However, we would use the </w:t>
      </w:r>
      <w:r w:rsidR="00FF09F9">
        <w:t xml:space="preserve">theory of the </w:t>
      </w:r>
      <w:r w:rsidR="00191966">
        <w:t xml:space="preserve">Black CAPM and dividend growth model outputs to inform the input parameters we use to estimate the return on equity using the </w:t>
      </w:r>
      <w:r w:rsidR="0030610D">
        <w:t>Sharpe–Lintner</w:t>
      </w:r>
      <w:r w:rsidR="00191966">
        <w:t xml:space="preserve"> CAPM. We would also have regard to </w:t>
      </w:r>
      <w:r w:rsidR="00FF09F9">
        <w:t xml:space="preserve">other information, including </w:t>
      </w:r>
      <w:r w:rsidR="00191966">
        <w:t xml:space="preserve">the estimated return on equity from the Wright </w:t>
      </w:r>
      <w:r w:rsidR="00FF09F9">
        <w:t>approach</w:t>
      </w:r>
      <w:r w:rsidR="00191966">
        <w:t xml:space="preserve">, valuation and broker reports, and other regulators. </w:t>
      </w:r>
      <w:r w:rsidR="00BF47ED">
        <w:t xml:space="preserve">Where appropriate, this information may lead </w:t>
      </w:r>
      <w:r w:rsidR="00DB1231">
        <w:t>us</w:t>
      </w:r>
      <w:r w:rsidR="00BF47ED">
        <w:t xml:space="preserve"> </w:t>
      </w:r>
      <w:r w:rsidR="00DB1231">
        <w:t xml:space="preserve">to </w:t>
      </w:r>
      <w:r w:rsidR="00FF09F9">
        <w:t xml:space="preserve">select an estimate of the return on equity that differs from </w:t>
      </w:r>
      <w:r w:rsidR="00BF47ED">
        <w:t xml:space="preserve">the output of the </w:t>
      </w:r>
      <w:r w:rsidR="0030610D">
        <w:t>Sharpe–Lintner</w:t>
      </w:r>
      <w:r w:rsidR="00BF47ED">
        <w:t xml:space="preserve"> CAPM.</w:t>
      </w:r>
    </w:p>
    <w:p w:rsidR="00FA427A" w:rsidRDefault="00FA427A" w:rsidP="00452423">
      <w:pPr>
        <w:pStyle w:val="AERbulletlistfirststyle"/>
      </w:pPr>
      <w:r>
        <w:t xml:space="preserve">Changing from the current 'on the day' approach to a trailing average </w:t>
      </w:r>
      <w:r w:rsidR="0018447A">
        <w:t xml:space="preserve">portfolio </w:t>
      </w:r>
      <w:r>
        <w:t>approach for estimating the return on debt.</w:t>
      </w:r>
      <w:r w:rsidR="00BF47ED">
        <w:t xml:space="preserve"> The trailing average will be calculated using a simple seven year average and will be updated annually.</w:t>
      </w:r>
      <w:r w:rsidR="00BF47ED" w:rsidRPr="00452423">
        <w:t xml:space="preserve"> The yearly average will be calculated over a </w:t>
      </w:r>
      <w:r w:rsidR="00DA6C48">
        <w:t xml:space="preserve">period of </w:t>
      </w:r>
      <w:r w:rsidR="00BF47ED" w:rsidRPr="00452423">
        <w:t>10</w:t>
      </w:r>
      <w:r w:rsidR="0030610D" w:rsidRPr="00452423">
        <w:t xml:space="preserve"> </w:t>
      </w:r>
      <w:r w:rsidR="00452423" w:rsidRPr="00452423">
        <w:t xml:space="preserve">or more </w:t>
      </w:r>
      <w:r w:rsidR="003F4407" w:rsidRPr="00452423">
        <w:t xml:space="preserve">consecutive </w:t>
      </w:r>
      <w:r w:rsidR="00452423" w:rsidRPr="00452423">
        <w:t>business</w:t>
      </w:r>
      <w:r w:rsidR="00BF47ED" w:rsidRPr="00452423">
        <w:t xml:space="preserve"> day</w:t>
      </w:r>
      <w:r w:rsidR="00DA6C48">
        <w:t>s</w:t>
      </w:r>
      <w:r w:rsidR="00BF47ED">
        <w:t xml:space="preserve"> using yield estimates from a</w:t>
      </w:r>
      <w:r w:rsidR="003F4407">
        <w:t>n independent</w:t>
      </w:r>
      <w:r w:rsidR="00BF47ED">
        <w:t xml:space="preserve"> third party service provider for a seven year debt term and the closest proximate for a BBB+ credit rating. There will be a seven year transition</w:t>
      </w:r>
      <w:r w:rsidR="00851C93">
        <w:t xml:space="preserve"> period from the current 'on the day' approach to the trailing average </w:t>
      </w:r>
      <w:r w:rsidR="003F4407">
        <w:t xml:space="preserve">portfolio </w:t>
      </w:r>
      <w:r w:rsidR="00851C93">
        <w:t>approach.</w:t>
      </w:r>
    </w:p>
    <w:p w:rsidR="000E70FB" w:rsidRDefault="00CC2AE6" w:rsidP="00DC31CC">
      <w:pPr>
        <w:pStyle w:val="AERbulletlistfirststyle"/>
      </w:pPr>
      <w:r>
        <w:t>Considering a wider range of material to inform the estimation of the value of imputation credits.</w:t>
      </w:r>
    </w:p>
    <w:p w:rsidR="00EB1BDB" w:rsidRDefault="00EB1BDB" w:rsidP="00EB1BDB">
      <w:pPr>
        <w:pStyle w:val="Heading2"/>
      </w:pPr>
      <w:bookmarkStart w:id="31" w:name="_Toc365537039"/>
      <w:r>
        <w:t>Structure of the guideline</w:t>
      </w:r>
      <w:bookmarkEnd w:id="31"/>
    </w:p>
    <w:p w:rsidR="00EB1BDB" w:rsidRPr="00BD346F" w:rsidRDefault="00EB1BDB" w:rsidP="00EB1BDB">
      <w:pPr>
        <w:pStyle w:val="AERbodytext"/>
        <w:numPr>
          <w:ilvl w:val="0"/>
          <w:numId w:val="6"/>
        </w:numPr>
      </w:pPr>
      <w:r>
        <w:t>There are</w:t>
      </w:r>
      <w:r w:rsidRPr="00BD346F">
        <w:t xml:space="preserve"> five main parts to this guideline:</w:t>
      </w:r>
    </w:p>
    <w:p w:rsidR="00E506C9" w:rsidRDefault="00E506C9" w:rsidP="00EB1BDB">
      <w:pPr>
        <w:pStyle w:val="AERbulletlistfirststyle"/>
      </w:pPr>
      <w:r>
        <w:t xml:space="preserve">Chapter three outlines the AER's definition of </w:t>
      </w:r>
      <w:r w:rsidR="00E27205">
        <w:t xml:space="preserve">the </w:t>
      </w:r>
      <w:r>
        <w:t xml:space="preserve">benchmark </w:t>
      </w:r>
      <w:r w:rsidR="00E27205">
        <w:t xml:space="preserve">entity </w:t>
      </w:r>
      <w:r>
        <w:t>and compensation of risk</w:t>
      </w:r>
    </w:p>
    <w:p w:rsidR="00EB1BDB" w:rsidRDefault="00EB1BDB" w:rsidP="00EB1BDB">
      <w:pPr>
        <w:pStyle w:val="AERbulletlistfirststyle"/>
      </w:pPr>
      <w:r>
        <w:t xml:space="preserve">Chapter </w:t>
      </w:r>
      <w:r w:rsidR="00E506C9">
        <w:t>four</w:t>
      </w:r>
      <w:r>
        <w:t xml:space="preserve"> outlines the AER's approach to estimating estimate the overall return of return</w:t>
      </w:r>
    </w:p>
    <w:p w:rsidR="00EB1BDB" w:rsidRDefault="00EB1BDB" w:rsidP="00EB1BDB">
      <w:pPr>
        <w:pStyle w:val="AERbulletlistfirststyle"/>
      </w:pPr>
      <w:r>
        <w:lastRenderedPageBreak/>
        <w:t xml:space="preserve">Chapter </w:t>
      </w:r>
      <w:r w:rsidR="00E506C9">
        <w:t>five</w:t>
      </w:r>
      <w:r>
        <w:t xml:space="preserve"> </w:t>
      </w:r>
      <w:r w:rsidRPr="00EE3083">
        <w:t xml:space="preserve">outlines the </w:t>
      </w:r>
      <w:r>
        <w:t xml:space="preserve">AER's approach to </w:t>
      </w:r>
      <w:r w:rsidR="004C0AC0">
        <w:t xml:space="preserve">estimating the </w:t>
      </w:r>
      <w:r>
        <w:t xml:space="preserve">return on equity. This includes using the </w:t>
      </w:r>
      <w:r w:rsidR="0030610D">
        <w:t>Sharpe–Lintner</w:t>
      </w:r>
      <w:r>
        <w:t xml:space="preserve"> </w:t>
      </w:r>
      <w:r w:rsidR="004C0AC0">
        <w:t xml:space="preserve">CAPM </w:t>
      </w:r>
      <w:r>
        <w:t>as the foundation model</w:t>
      </w:r>
      <w:r w:rsidR="004C0AC0">
        <w:t>,</w:t>
      </w:r>
      <w:r>
        <w:t xml:space="preserve"> and then having regard to other </w:t>
      </w:r>
      <w:r w:rsidR="004C0AC0">
        <w:t xml:space="preserve">relevant </w:t>
      </w:r>
      <w:r>
        <w:t>material to arrive at a</w:t>
      </w:r>
      <w:r w:rsidR="004C0AC0">
        <w:t xml:space="preserve"> final point estimate of the</w:t>
      </w:r>
      <w:r w:rsidR="004C0AC0" w:rsidDel="004C0AC0">
        <w:t xml:space="preserve"> </w:t>
      </w:r>
      <w:r>
        <w:t>return on equity.</w:t>
      </w:r>
    </w:p>
    <w:p w:rsidR="00EB1BDB" w:rsidRDefault="00EB1BDB" w:rsidP="00EB1BDB">
      <w:pPr>
        <w:pStyle w:val="AERbulletlistfirststyle"/>
      </w:pPr>
      <w:r>
        <w:t xml:space="preserve">Chapter </w:t>
      </w:r>
      <w:r w:rsidR="00E506C9">
        <w:t>six</w:t>
      </w:r>
      <w:r>
        <w:t xml:space="preserve"> </w:t>
      </w:r>
      <w:r w:rsidR="00E506C9">
        <w:t xml:space="preserve">outlines </w:t>
      </w:r>
      <w:r w:rsidRPr="00EE3083">
        <w:t>the</w:t>
      </w:r>
      <w:r w:rsidRPr="009C42B9">
        <w:t xml:space="preserve"> </w:t>
      </w:r>
      <w:r>
        <w:t>AER's</w:t>
      </w:r>
      <w:r w:rsidRPr="00EE3083">
        <w:t xml:space="preserve"> </w:t>
      </w:r>
      <w:r>
        <w:t xml:space="preserve">approach to estimating the return on debt. This includes using a </w:t>
      </w:r>
      <w:r w:rsidR="0030610D">
        <w:t>seven year</w:t>
      </w:r>
      <w:r>
        <w:t xml:space="preserve"> trailing average for estimating the </w:t>
      </w:r>
      <w:r w:rsidR="005B3912">
        <w:t>return on</w:t>
      </w:r>
      <w:r>
        <w:t xml:space="preserve"> debt, with annual updates. The transitional arrangements from the on the day approach to the trailing average approach are also outlined.</w:t>
      </w:r>
    </w:p>
    <w:p w:rsidR="00EB1BDB" w:rsidRDefault="00EB1BDB" w:rsidP="00EB1BDB">
      <w:pPr>
        <w:pStyle w:val="AERbulletlistfirststyle"/>
      </w:pPr>
      <w:r>
        <w:t xml:space="preserve">Chapter </w:t>
      </w:r>
      <w:r w:rsidR="00E506C9">
        <w:t>seven</w:t>
      </w:r>
      <w:r w:rsidRPr="00EE3083">
        <w:t xml:space="preserve"> outlines the </w:t>
      </w:r>
      <w:r>
        <w:t>AER's</w:t>
      </w:r>
      <w:r w:rsidRPr="00EE3083">
        <w:t xml:space="preserve"> approach to estimating </w:t>
      </w:r>
      <w:r>
        <w:t>imputation credit</w:t>
      </w:r>
      <w:r w:rsidR="00893CE6">
        <w:t>s</w:t>
      </w:r>
      <w:r>
        <w:t>.</w:t>
      </w:r>
    </w:p>
    <w:p w:rsidR="00562AA2" w:rsidRPr="00550143" w:rsidRDefault="00562AA2" w:rsidP="00550143"/>
    <w:p w:rsidR="00F80A6B" w:rsidRPr="0030610D" w:rsidRDefault="001C47AC" w:rsidP="0030610D">
      <w:pPr>
        <w:pStyle w:val="Heading1"/>
      </w:pPr>
      <w:bookmarkStart w:id="32" w:name="_Toc365537040"/>
      <w:r>
        <w:lastRenderedPageBreak/>
        <w:t>Benchmark efficient entity</w:t>
      </w:r>
      <w:r w:rsidR="00F80A6B" w:rsidRPr="0030610D">
        <w:t xml:space="preserve"> and compensation for risk</w:t>
      </w:r>
      <w:bookmarkEnd w:id="32"/>
    </w:p>
    <w:p w:rsidR="00A81991" w:rsidRPr="00A81991" w:rsidRDefault="00A81991" w:rsidP="00A81991">
      <w:pPr>
        <w:pStyle w:val="AERbodytext"/>
      </w:pPr>
      <w:r>
        <w:t xml:space="preserve">This chapter sets out the </w:t>
      </w:r>
      <w:r w:rsidRPr="00B667CF">
        <w:t xml:space="preserve">AER’s </w:t>
      </w:r>
      <w:r>
        <w:t>defini</w:t>
      </w:r>
      <w:r w:rsidR="002D128B">
        <w:t>tio</w:t>
      </w:r>
      <w:r>
        <w:t>n</w:t>
      </w:r>
      <w:r w:rsidR="002D128B">
        <w:t xml:space="preserve"> of</w:t>
      </w:r>
      <w:r>
        <w:t xml:space="preserve"> the </w:t>
      </w:r>
      <w:r w:rsidR="001C47AC">
        <w:t>benchmark efficient entity</w:t>
      </w:r>
      <w:r w:rsidR="002D128B">
        <w:t xml:space="preserve">. </w:t>
      </w:r>
      <w:r w:rsidR="002D128B" w:rsidRPr="00C46E90">
        <w:t xml:space="preserve">The definition of the </w:t>
      </w:r>
      <w:r w:rsidR="001C47AC">
        <w:t>benchmark efficient entity</w:t>
      </w:r>
      <w:r w:rsidR="002D128B" w:rsidRPr="00C46E90">
        <w:t xml:space="preserve"> has implications for the estimated return on debt and equity (including the choice of data and models used to estimate the return on equity and debt</w:t>
      </w:r>
      <w:r w:rsidR="00D152BC">
        <w:t>).</w:t>
      </w:r>
    </w:p>
    <w:p w:rsidR="00F51AAA" w:rsidRDefault="00F51AAA" w:rsidP="00F51AAA">
      <w:pPr>
        <w:pStyle w:val="Heading2"/>
      </w:pPr>
      <w:bookmarkStart w:id="33" w:name="_Toc365537041"/>
      <w:r w:rsidRPr="00F51AAA">
        <w:t>Objective</w:t>
      </w:r>
      <w:bookmarkEnd w:id="33"/>
    </w:p>
    <w:p w:rsidR="00F51AAA" w:rsidRPr="00F51AAA" w:rsidRDefault="002D128B" w:rsidP="00F51AAA">
      <w:pPr>
        <w:pStyle w:val="AERbodytext"/>
      </w:pPr>
      <w:r>
        <w:t xml:space="preserve">The </w:t>
      </w:r>
      <w:r w:rsidR="001C47AC">
        <w:t>benchmark efficient entity</w:t>
      </w:r>
      <w:r w:rsidR="00A74B39">
        <w:t xml:space="preserve"> </w:t>
      </w:r>
      <w:r>
        <w:t xml:space="preserve">is defined </w:t>
      </w:r>
      <w:r w:rsidR="00A74B39">
        <w:t xml:space="preserve">so that the allowed rate of return estimated for that </w:t>
      </w:r>
      <w:r w:rsidR="001C47AC">
        <w:t>benchmark efficient entity</w:t>
      </w:r>
      <w:r w:rsidR="003E7A71">
        <w:t xml:space="preserve"> provides service providers with a reasonable opportunity to recover at least their efficient financing costs, consistent with the </w:t>
      </w:r>
      <w:r w:rsidR="00893CE6">
        <w:t>n</w:t>
      </w:r>
      <w:r w:rsidR="003E7A71">
        <w:t xml:space="preserve">ational electricity objective (NEO), </w:t>
      </w:r>
      <w:r w:rsidR="00893CE6">
        <w:t>n</w:t>
      </w:r>
      <w:r w:rsidR="003E7A71">
        <w:t xml:space="preserve">ational gas objective (NGO) and </w:t>
      </w:r>
      <w:r w:rsidR="00893CE6">
        <w:t>r</w:t>
      </w:r>
      <w:r w:rsidR="003E7A71">
        <w:t>evenue pricing principles (RPP).</w:t>
      </w:r>
      <w:r w:rsidR="00893CE6">
        <w:rPr>
          <w:rStyle w:val="FootnoteReference"/>
        </w:rPr>
        <w:footnoteReference w:id="4"/>
      </w:r>
      <w:r w:rsidR="003E7A71">
        <w:t xml:space="preserve"> </w:t>
      </w:r>
    </w:p>
    <w:p w:rsidR="00F51AAA" w:rsidRDefault="00F51AAA" w:rsidP="00F51AAA">
      <w:pPr>
        <w:pStyle w:val="Heading2"/>
      </w:pPr>
      <w:bookmarkStart w:id="34" w:name="_Toc365537042"/>
      <w:r>
        <w:t>Rule requirements</w:t>
      </w:r>
      <w:bookmarkEnd w:id="34"/>
    </w:p>
    <w:p w:rsidR="00F51AAA" w:rsidRPr="00F51AAA" w:rsidRDefault="00D67B7B" w:rsidP="009550E6">
      <w:pPr>
        <w:pStyle w:val="AERbodytext"/>
        <w:numPr>
          <w:ilvl w:val="0"/>
          <w:numId w:val="6"/>
        </w:numPr>
      </w:pPr>
      <w:r>
        <w:t>Clauses</w:t>
      </w:r>
      <w:r w:rsidR="00D152BC">
        <w:t xml:space="preserve"> 6.5.2(c) and 6A.6.2(c) of the NER and rule 87(2)(3) of the NGR set out t</w:t>
      </w:r>
      <w:r w:rsidR="00D152BC" w:rsidRPr="004A5E3A">
        <w:t>he allowed rate of return objective</w:t>
      </w:r>
      <w:r w:rsidR="00D152BC">
        <w:t>. The allowed rate of return objective</w:t>
      </w:r>
      <w:r w:rsidR="00D152BC" w:rsidRPr="004A5E3A">
        <w:t xml:space="preserve"> requires the AER </w:t>
      </w:r>
      <w:r w:rsidR="002844CD">
        <w:t xml:space="preserve">to </w:t>
      </w:r>
      <w:r w:rsidR="00D152BC" w:rsidRPr="004A5E3A">
        <w:t xml:space="preserve">set the rate of return for a </w:t>
      </w:r>
      <w:r w:rsidR="00D152BC">
        <w:t>distribution or transmission service provider</w:t>
      </w:r>
      <w:r w:rsidR="002844CD">
        <w:t>,</w:t>
      </w:r>
      <w:r w:rsidR="00D152BC" w:rsidRPr="004A5E3A">
        <w:t xml:space="preserve"> which is commensurate with the efficient financing costs of a benchmark efficient entity with a similar degree of risk as that which applies to the </w:t>
      </w:r>
      <w:r w:rsidR="00D152BC" w:rsidRPr="007679DB">
        <w:t>distribution or transmission service provider</w:t>
      </w:r>
      <w:r w:rsidR="00D152BC" w:rsidRPr="004A5E3A">
        <w:t xml:space="preserve"> in respect of the provision of </w:t>
      </w:r>
      <w:r w:rsidR="00D61F72">
        <w:t>regulated</w:t>
      </w:r>
      <w:r w:rsidR="00D152BC" w:rsidRPr="004A5E3A">
        <w:t xml:space="preserve"> services.</w:t>
      </w:r>
    </w:p>
    <w:p w:rsidR="00F80A6B" w:rsidRDefault="00F51AAA" w:rsidP="00F80A6B">
      <w:pPr>
        <w:pStyle w:val="Heading2"/>
      </w:pPr>
      <w:bookmarkStart w:id="35" w:name="_Toc365537043"/>
      <w:r>
        <w:t>Application</w:t>
      </w:r>
      <w:bookmarkEnd w:id="35"/>
    </w:p>
    <w:p w:rsidR="00D67B7B" w:rsidRDefault="00D67B7B" w:rsidP="00D67B7B">
      <w:pPr>
        <w:pStyle w:val="AERbodytext"/>
        <w:numPr>
          <w:ilvl w:val="0"/>
          <w:numId w:val="6"/>
        </w:numPr>
      </w:pPr>
      <w:r>
        <w:t xml:space="preserve">The AER's proposed conceptual definition of the </w:t>
      </w:r>
      <w:r w:rsidR="001C47AC">
        <w:t>benchmark efficient entity</w:t>
      </w:r>
      <w:r>
        <w:t xml:space="preserve"> is a pure play, </w:t>
      </w:r>
      <w:r w:rsidRPr="003E172C">
        <w:t xml:space="preserve">regulated energy </w:t>
      </w:r>
      <w:r w:rsidR="006C0677">
        <w:t xml:space="preserve">network </w:t>
      </w:r>
      <w:r w:rsidRPr="003E172C">
        <w:t>business operating within Australia</w:t>
      </w:r>
      <w:r>
        <w:t>.</w:t>
      </w:r>
    </w:p>
    <w:p w:rsidR="00C6104A" w:rsidRDefault="00622EB4" w:rsidP="00D67B7B">
      <w:pPr>
        <w:pStyle w:val="AERbodytext"/>
        <w:numPr>
          <w:ilvl w:val="0"/>
          <w:numId w:val="6"/>
        </w:numPr>
      </w:pPr>
      <w:r>
        <w:t xml:space="preserve">In estimating the return on equity, the benchmark is applied to </w:t>
      </w:r>
      <w:r w:rsidR="00DA6C48">
        <w:t>select comparable</w:t>
      </w:r>
      <w:r>
        <w:t xml:space="preserve"> entities which are </w:t>
      </w:r>
      <w:r w:rsidR="00DA6C48">
        <w:t xml:space="preserve">then </w:t>
      </w:r>
      <w:r>
        <w:t xml:space="preserve">used to </w:t>
      </w:r>
      <w:r w:rsidR="00DA6C48">
        <w:t xml:space="preserve">estimate </w:t>
      </w:r>
      <w:r>
        <w:t>the equity beta</w:t>
      </w:r>
      <w:r w:rsidR="009214D5">
        <w:t xml:space="preserve"> (see section </w:t>
      </w:r>
      <w:r w:rsidR="006423CF">
        <w:fldChar w:fldCharType="begin"/>
      </w:r>
      <w:r w:rsidR="006423CF">
        <w:instrText xml:space="preserve"> REF _Ref363731938 \r \h </w:instrText>
      </w:r>
      <w:r w:rsidR="006423CF">
        <w:fldChar w:fldCharType="separate"/>
      </w:r>
      <w:r w:rsidR="00B105D6">
        <w:t>5.3.3</w:t>
      </w:r>
      <w:r w:rsidR="006423CF">
        <w:fldChar w:fldCharType="end"/>
      </w:r>
      <w:r w:rsidR="009214D5">
        <w:t>)</w:t>
      </w:r>
      <w:r>
        <w:t>. The equity beta, in turn enters the Sharpe</w:t>
      </w:r>
      <w:r w:rsidR="00AC5EFD">
        <w:t>–</w:t>
      </w:r>
      <w:r>
        <w:t>Lintner CAPM model, which is used as the foundation model for estimating the return on equity</w:t>
      </w:r>
      <w:r w:rsidR="009214D5">
        <w:t xml:space="preserve"> (see section </w:t>
      </w:r>
      <w:r w:rsidR="006423CF">
        <w:fldChar w:fldCharType="begin"/>
      </w:r>
      <w:r w:rsidR="006423CF">
        <w:instrText xml:space="preserve"> REF _Ref363731938 \r \h </w:instrText>
      </w:r>
      <w:r w:rsidR="006423CF">
        <w:fldChar w:fldCharType="separate"/>
      </w:r>
      <w:r w:rsidR="00B105D6">
        <w:t>5.3.3</w:t>
      </w:r>
      <w:r w:rsidR="006423CF">
        <w:fldChar w:fldCharType="end"/>
      </w:r>
      <w:r w:rsidR="009214D5">
        <w:t>)</w:t>
      </w:r>
      <w:r>
        <w:t>.</w:t>
      </w:r>
    </w:p>
    <w:p w:rsidR="0061417E" w:rsidRDefault="00622EB4" w:rsidP="00D67B7B">
      <w:pPr>
        <w:pStyle w:val="AERbodytext"/>
        <w:numPr>
          <w:ilvl w:val="0"/>
          <w:numId w:val="6"/>
        </w:numPr>
      </w:pPr>
      <w:r>
        <w:t xml:space="preserve">In estimating the </w:t>
      </w:r>
      <w:r w:rsidR="00EE5B3C">
        <w:t xml:space="preserve">allowed </w:t>
      </w:r>
      <w:r>
        <w:t xml:space="preserve">return on debt, the </w:t>
      </w:r>
      <w:r w:rsidR="0061417E">
        <w:t xml:space="preserve">definition of the </w:t>
      </w:r>
      <w:r w:rsidR="001C47AC">
        <w:t>benchmark efficient entity</w:t>
      </w:r>
      <w:r w:rsidR="0061417E">
        <w:t xml:space="preserve"> </w:t>
      </w:r>
      <w:r>
        <w:t xml:space="preserve">is applied to </w:t>
      </w:r>
      <w:r w:rsidR="0061417E">
        <w:t>inform</w:t>
      </w:r>
      <w:r>
        <w:t xml:space="preserve"> the</w:t>
      </w:r>
      <w:r w:rsidR="00DA6C48">
        <w:t xml:space="preserve"> choice of comparable</w:t>
      </w:r>
      <w:r>
        <w:t xml:space="preserve"> entities which are used to </w:t>
      </w:r>
      <w:r w:rsidR="00DA6C48">
        <w:t>estimate</w:t>
      </w:r>
      <w:r w:rsidR="00B91726">
        <w:t>:</w:t>
      </w:r>
      <w:r w:rsidR="00CE0C55">
        <w:t xml:space="preserve"> </w:t>
      </w:r>
    </w:p>
    <w:p w:rsidR="0061417E" w:rsidRDefault="00B91726" w:rsidP="009550E6">
      <w:pPr>
        <w:pStyle w:val="AERbulletlistfirststyle"/>
      </w:pPr>
      <w:r>
        <w:t xml:space="preserve">the benchmark </w:t>
      </w:r>
      <w:r w:rsidR="0061417E">
        <w:t>gearing ratio</w:t>
      </w:r>
      <w:r w:rsidR="00CE0C55">
        <w:t xml:space="preserve"> (see section</w:t>
      </w:r>
      <w:r w:rsidR="00166A03">
        <w:t xml:space="preserve"> 4.3.2</w:t>
      </w:r>
      <w:r w:rsidR="009550E6">
        <w:t>)</w:t>
      </w:r>
    </w:p>
    <w:p w:rsidR="0061417E" w:rsidRDefault="00B91726" w:rsidP="009550E6">
      <w:pPr>
        <w:pStyle w:val="AERbulletlistfirststyle"/>
      </w:pPr>
      <w:r>
        <w:t xml:space="preserve">the benchmark </w:t>
      </w:r>
      <w:r w:rsidR="00CE0C55">
        <w:t>credit rating</w:t>
      </w:r>
      <w:r w:rsidR="009550E6">
        <w:t xml:space="preserve"> (see</w:t>
      </w:r>
      <w:r w:rsidR="00C210F4">
        <w:t xml:space="preserve"> section</w:t>
      </w:r>
      <w:r w:rsidR="0091420F">
        <w:t xml:space="preserve"> </w:t>
      </w:r>
      <w:r w:rsidR="0091420F">
        <w:fldChar w:fldCharType="begin"/>
      </w:r>
      <w:r w:rsidR="0091420F">
        <w:instrText xml:space="preserve"> REF _Ref365363929 \r \h </w:instrText>
      </w:r>
      <w:r w:rsidR="0091420F">
        <w:fldChar w:fldCharType="separate"/>
      </w:r>
      <w:r w:rsidR="00B105D6">
        <w:t>6.3.3</w:t>
      </w:r>
      <w:r w:rsidR="0091420F">
        <w:fldChar w:fldCharType="end"/>
      </w:r>
      <w:r w:rsidR="009550E6">
        <w:t>)</w:t>
      </w:r>
      <w:r w:rsidR="00CE0C55">
        <w:t>.</w:t>
      </w:r>
    </w:p>
    <w:p w:rsidR="00622EB4" w:rsidRDefault="00622EB4" w:rsidP="00D67B7B">
      <w:pPr>
        <w:pStyle w:val="AERbodytext"/>
        <w:numPr>
          <w:ilvl w:val="0"/>
          <w:numId w:val="6"/>
        </w:numPr>
      </w:pPr>
    </w:p>
    <w:p w:rsidR="00622EB4" w:rsidRDefault="00622EB4" w:rsidP="00D67B7B">
      <w:pPr>
        <w:pStyle w:val="AERbodytext"/>
        <w:numPr>
          <w:ilvl w:val="0"/>
          <w:numId w:val="6"/>
        </w:numPr>
      </w:pPr>
    </w:p>
    <w:p w:rsidR="00F51AAA" w:rsidRPr="00F51AAA" w:rsidRDefault="00F51AAA" w:rsidP="00F51AAA">
      <w:pPr>
        <w:pStyle w:val="AERbodytext"/>
      </w:pPr>
    </w:p>
    <w:p w:rsidR="00BD07B7" w:rsidRPr="0030610D" w:rsidRDefault="00BD07B7" w:rsidP="0030610D">
      <w:pPr>
        <w:pStyle w:val="Heading1"/>
      </w:pPr>
      <w:bookmarkStart w:id="36" w:name="_Toc365537044"/>
      <w:r w:rsidRPr="0030610D">
        <w:lastRenderedPageBreak/>
        <w:t>Overall rate of return</w:t>
      </w:r>
      <w:bookmarkEnd w:id="36"/>
    </w:p>
    <w:p w:rsidR="00BD07B7" w:rsidRPr="00F80A6B" w:rsidRDefault="00BD07B7" w:rsidP="00BD07B7">
      <w:pPr>
        <w:pStyle w:val="AERbodytext"/>
        <w:numPr>
          <w:ilvl w:val="0"/>
          <w:numId w:val="6"/>
        </w:numPr>
      </w:pPr>
      <w:r>
        <w:t>This chapter</w:t>
      </w:r>
      <w:r w:rsidRPr="006C0677">
        <w:t xml:space="preserve"> set</w:t>
      </w:r>
      <w:r>
        <w:t>s</w:t>
      </w:r>
      <w:r w:rsidRPr="006C0677">
        <w:t xml:space="preserve"> out the AER's approach to estimating the </w:t>
      </w:r>
      <w:r>
        <w:t xml:space="preserve">overall rate of </w:t>
      </w:r>
      <w:r w:rsidRPr="006C0677">
        <w:t xml:space="preserve">return for service providers. </w:t>
      </w:r>
      <w:r>
        <w:t>The overall rate of return is determined using a</w:t>
      </w:r>
      <w:r w:rsidRPr="00155CE8">
        <w:t xml:space="preserve"> nominal</w:t>
      </w:r>
      <w:r>
        <w:t xml:space="preserve"> post–tax vanilla </w:t>
      </w:r>
      <w:r w:rsidRPr="00155CE8">
        <w:t>WACC formula</w:t>
      </w:r>
      <w:r>
        <w:t>, together with a series of reasonableness checks.</w:t>
      </w:r>
      <w:r w:rsidRPr="006C0677">
        <w:t xml:space="preserve"> </w:t>
      </w:r>
    </w:p>
    <w:p w:rsidR="00BD07B7" w:rsidRDefault="00BD07B7" w:rsidP="00BD07B7">
      <w:pPr>
        <w:pStyle w:val="Heading2"/>
      </w:pPr>
      <w:bookmarkStart w:id="37" w:name="_Toc365537045"/>
      <w:r>
        <w:t>Objective</w:t>
      </w:r>
      <w:bookmarkEnd w:id="37"/>
    </w:p>
    <w:p w:rsidR="00BD07B7" w:rsidRDefault="00BD07B7" w:rsidP="00BD07B7">
      <w:pPr>
        <w:pStyle w:val="AERbodytext"/>
        <w:numPr>
          <w:ilvl w:val="0"/>
          <w:numId w:val="6"/>
        </w:numPr>
      </w:pPr>
      <w:r w:rsidRPr="00155F81">
        <w:t>The</w:t>
      </w:r>
      <w:r>
        <w:t xml:space="preserve"> overall rate of return is to be set such that it meets the</w:t>
      </w:r>
      <w:r w:rsidRPr="00155F81">
        <w:t xml:space="preserve"> allowed rate of return objective</w:t>
      </w:r>
      <w:r>
        <w:t>. This requires that the AER set a</w:t>
      </w:r>
      <w:r w:rsidRPr="00155F81">
        <w:t xml:space="preserve"> rate of return </w:t>
      </w:r>
      <w:r>
        <w:t xml:space="preserve">which reflects the efficient financing costs of a benchmark efficient entity. The benchmark efficient entity is to be subject to a similar degree of risk in providing regulated services as the service provider which is subject to the determination. </w:t>
      </w:r>
    </w:p>
    <w:p w:rsidR="00BD07B7" w:rsidRDefault="00BD07B7" w:rsidP="00BD07B7">
      <w:pPr>
        <w:pStyle w:val="AERbodytext"/>
        <w:numPr>
          <w:ilvl w:val="0"/>
          <w:numId w:val="6"/>
        </w:numPr>
      </w:pPr>
      <w:r w:rsidRPr="00B80F54">
        <w:t>T</w:t>
      </w:r>
      <w:r>
        <w:t xml:space="preserve">ogether with the other building block components, the estimate of the overall rate of return is to be set such that: </w:t>
      </w:r>
    </w:p>
    <w:p w:rsidR="00BD07B7" w:rsidRDefault="00BD07B7" w:rsidP="00BD07B7">
      <w:pPr>
        <w:pStyle w:val="AERbulletlistfirststyle"/>
      </w:pPr>
      <w:r>
        <w:t xml:space="preserve">it </w:t>
      </w:r>
      <w:r w:rsidRPr="00B80F54">
        <w:t>promote</w:t>
      </w:r>
      <w:r>
        <w:t>s</w:t>
      </w:r>
      <w:r w:rsidRPr="00B80F54">
        <w:t xml:space="preserve"> efficient investment in, and efficient operation</w:t>
      </w:r>
      <w:r>
        <w:t xml:space="preserve"> </w:t>
      </w:r>
      <w:r w:rsidRPr="00B80F54">
        <w:t xml:space="preserve">and use of, electricity </w:t>
      </w:r>
      <w:r>
        <w:t xml:space="preserve">and natural gas </w:t>
      </w:r>
      <w:r w:rsidRPr="00B80F54">
        <w:t>services for the long term interests of consumers</w:t>
      </w:r>
      <w:r>
        <w:rPr>
          <w:rStyle w:val="FootnoteReference"/>
        </w:rPr>
        <w:footnoteReference w:id="5"/>
      </w:r>
    </w:p>
    <w:p w:rsidR="00BD07B7" w:rsidRPr="00B80F54" w:rsidRDefault="00BD07B7" w:rsidP="00BD07B7">
      <w:pPr>
        <w:pStyle w:val="AERbulletlistfirststyle"/>
      </w:pPr>
      <w:r>
        <w:t xml:space="preserve">a </w:t>
      </w:r>
      <w:r w:rsidRPr="00B80F54">
        <w:t>regulated network service provider should be provided with a reasonable</w:t>
      </w:r>
      <w:r>
        <w:t xml:space="preserve"> </w:t>
      </w:r>
      <w:r w:rsidRPr="00B80F54">
        <w:t>opportunity to recover at least the efficient costs the operator incurs in</w:t>
      </w:r>
      <w:r>
        <w:t xml:space="preserve"> </w:t>
      </w:r>
      <w:r w:rsidRPr="00B80F54">
        <w:t xml:space="preserve">providing </w:t>
      </w:r>
      <w:r>
        <w:t>regulated</w:t>
      </w:r>
      <w:r w:rsidRPr="00B80F54">
        <w:t xml:space="preserve"> services and</w:t>
      </w:r>
      <w:r>
        <w:t xml:space="preserve"> </w:t>
      </w:r>
      <w:r w:rsidRPr="00B80F54">
        <w:t xml:space="preserve">complying with </w:t>
      </w:r>
      <w:r>
        <w:t>its</w:t>
      </w:r>
      <w:r w:rsidRPr="00B80F54">
        <w:t xml:space="preserve"> regulatory obligation</w:t>
      </w:r>
      <w:r>
        <w:t>s.</w:t>
      </w:r>
      <w:r>
        <w:rPr>
          <w:rStyle w:val="FootnoteReference"/>
        </w:rPr>
        <w:footnoteReference w:id="6"/>
      </w:r>
    </w:p>
    <w:p w:rsidR="00BD07B7" w:rsidRDefault="00BD07B7" w:rsidP="00BD07B7">
      <w:pPr>
        <w:pStyle w:val="Heading2"/>
      </w:pPr>
      <w:bookmarkStart w:id="38" w:name="_Toc365537046"/>
      <w:r>
        <w:t>Rule requirements</w:t>
      </w:r>
      <w:bookmarkEnd w:id="38"/>
    </w:p>
    <w:p w:rsidR="00BD07B7" w:rsidRDefault="00BD07B7" w:rsidP="00BD07B7">
      <w:pPr>
        <w:pStyle w:val="AERbodytext"/>
        <w:numPr>
          <w:ilvl w:val="0"/>
          <w:numId w:val="6"/>
        </w:numPr>
      </w:pPr>
      <w:r>
        <w:t>Clauses 6.5.2(d) and 6A.6.2(d) of the NER and rule 87(4) of the NGR specify two elements which the AER is to apply in estimating the allowed rate of return.</w:t>
      </w:r>
    </w:p>
    <w:p w:rsidR="00BD07B7" w:rsidRDefault="00BD07B7" w:rsidP="00BD07B7">
      <w:pPr>
        <w:pStyle w:val="AERbodytext"/>
        <w:numPr>
          <w:ilvl w:val="0"/>
          <w:numId w:val="6"/>
        </w:numPr>
      </w:pPr>
      <w:r>
        <w:t xml:space="preserve">The first element, provided by clauses 6.5.2(d)(1), and 6A.6.2(d)(1) of the NER and rule 87(4)(a) of the NGR, requires that the AER apply </w:t>
      </w:r>
      <w:r w:rsidRPr="00B455B3">
        <w:t>a weighted average of</w:t>
      </w:r>
      <w:r>
        <w:t>:</w:t>
      </w:r>
    </w:p>
    <w:p w:rsidR="00BD07B7" w:rsidRDefault="00BD07B7" w:rsidP="00BD07B7">
      <w:pPr>
        <w:pStyle w:val="AERbulletlistfirststyle"/>
      </w:pPr>
      <w:r w:rsidRPr="00B455B3">
        <w:t>the return on equity for the regulatory control period in which that regulatory year occurs</w:t>
      </w:r>
    </w:p>
    <w:p w:rsidR="00BD07B7" w:rsidRDefault="00BD07B7" w:rsidP="00BD07B7">
      <w:pPr>
        <w:pStyle w:val="AERbulletlistfirststyle"/>
      </w:pPr>
      <w:r w:rsidRPr="00B455B3">
        <w:t>the return on debt for that regulatory year</w:t>
      </w:r>
      <w:r>
        <w:t>.</w:t>
      </w:r>
    </w:p>
    <w:p w:rsidR="00BD07B7" w:rsidRDefault="00BD07B7" w:rsidP="00BD07B7">
      <w:pPr>
        <w:pStyle w:val="AERbodytext"/>
        <w:numPr>
          <w:ilvl w:val="0"/>
          <w:numId w:val="6"/>
        </w:numPr>
      </w:pPr>
      <w:r>
        <w:t>The second element</w:t>
      </w:r>
      <w:r w:rsidR="00DA6C48">
        <w:t xml:space="preserve"> provides</w:t>
      </w:r>
      <w:r w:rsidRPr="001E35D7">
        <w:t xml:space="preserve"> that </w:t>
      </w:r>
      <w:r>
        <w:t>the AER</w:t>
      </w:r>
      <w:r w:rsidRPr="001E35D7">
        <w:t xml:space="preserve"> </w:t>
      </w:r>
      <w:r>
        <w:t>must</w:t>
      </w:r>
      <w:r w:rsidRPr="001E35D7">
        <w:t xml:space="preserve"> use a nominal post</w:t>
      </w:r>
      <w:r>
        <w:t>–</w:t>
      </w:r>
      <w:r w:rsidRPr="001E35D7">
        <w:t xml:space="preserve">tax framework </w:t>
      </w:r>
      <w:r>
        <w:t>to</w:t>
      </w:r>
      <w:r w:rsidRPr="001E35D7">
        <w:t xml:space="preserve"> </w:t>
      </w:r>
      <w:r>
        <w:t>calculate the allowed rate of return.</w:t>
      </w:r>
      <w:r w:rsidR="003A0D8A">
        <w:rPr>
          <w:rStyle w:val="FootnoteReference"/>
        </w:rPr>
        <w:footnoteReference w:id="7"/>
      </w:r>
      <w:r>
        <w:t xml:space="preserve"> In arriving at the allowed rate of return, </w:t>
      </w:r>
      <w:r w:rsidR="003A0D8A">
        <w:t>the rules</w:t>
      </w:r>
      <w:r>
        <w:t xml:space="preserve"> require that the AER has regard to:</w:t>
      </w:r>
      <w:r w:rsidR="003A0D8A">
        <w:rPr>
          <w:rStyle w:val="FootnoteReference"/>
        </w:rPr>
        <w:footnoteReference w:id="8"/>
      </w:r>
    </w:p>
    <w:p w:rsidR="00BD07B7" w:rsidRDefault="00BD07B7" w:rsidP="00BD07B7">
      <w:pPr>
        <w:pStyle w:val="AERbulletlistfirststyle"/>
      </w:pPr>
      <w:r w:rsidRPr="008B5673">
        <w:t>relevant estimation methods, financial models, market data and other evidence</w:t>
      </w:r>
      <w:r w:rsidR="003A0D8A">
        <w:t>;</w:t>
      </w:r>
    </w:p>
    <w:p w:rsidR="00BD07B7" w:rsidRDefault="00BD07B7" w:rsidP="00BD07B7">
      <w:pPr>
        <w:pStyle w:val="AERbulletlistfirststyle"/>
      </w:pPr>
      <w:r w:rsidRPr="008B5673">
        <w:t>the desirability of using an approach that leads to the consistent application of any estimates of financial parameters that are relevant to the estimates of, and that are common to, the return on equity and the return on debt</w:t>
      </w:r>
      <w:r w:rsidR="003A0D8A">
        <w:t>; and</w:t>
      </w:r>
    </w:p>
    <w:p w:rsidR="00BD07B7" w:rsidRPr="006C0677" w:rsidRDefault="00BD07B7" w:rsidP="00BD07B7">
      <w:pPr>
        <w:pStyle w:val="AERbulletlistfirststyle"/>
      </w:pPr>
      <w:r w:rsidRPr="008B5673">
        <w:t>any interrelationships between estimates of financial parameters that are relevant to the estimates of the return on equity and the return on debt</w:t>
      </w:r>
      <w:r>
        <w:t>.</w:t>
      </w:r>
    </w:p>
    <w:p w:rsidR="00BD07B7" w:rsidRDefault="00BD07B7" w:rsidP="00BD07B7">
      <w:pPr>
        <w:pStyle w:val="Heading2"/>
      </w:pPr>
      <w:bookmarkStart w:id="39" w:name="_Toc365537047"/>
      <w:r>
        <w:lastRenderedPageBreak/>
        <w:t>Application</w:t>
      </w:r>
      <w:bookmarkEnd w:id="39"/>
    </w:p>
    <w:p w:rsidR="00BD07B7" w:rsidRDefault="00BD07B7" w:rsidP="00BD07B7">
      <w:pPr>
        <w:pStyle w:val="AERbodytext"/>
        <w:numPr>
          <w:ilvl w:val="0"/>
          <w:numId w:val="6"/>
        </w:numPr>
      </w:pPr>
      <w:r w:rsidRPr="00D62AE7">
        <w:t xml:space="preserve">This section describes how the </w:t>
      </w:r>
      <w:r>
        <w:t>overall rate of return</w:t>
      </w:r>
      <w:r w:rsidRPr="00D62AE7">
        <w:t xml:space="preserve"> </w:t>
      </w:r>
      <w:r>
        <w:t>is to be estimated</w:t>
      </w:r>
      <w:r w:rsidRPr="00D62AE7">
        <w:t>.</w:t>
      </w:r>
      <w:r>
        <w:t xml:space="preserve"> This involves applying the following elements:</w:t>
      </w:r>
    </w:p>
    <w:p w:rsidR="00BD07B7" w:rsidRDefault="00BD07B7" w:rsidP="00BD07B7">
      <w:pPr>
        <w:pStyle w:val="AERbulletlistfirststyle"/>
      </w:pPr>
      <w:r>
        <w:t>applying a nominal post–tax model</w:t>
      </w:r>
    </w:p>
    <w:p w:rsidR="00BD07B7" w:rsidRDefault="00BD07B7" w:rsidP="00BD07B7">
      <w:pPr>
        <w:pStyle w:val="AERbulletlistfirststyle"/>
      </w:pPr>
      <w:r>
        <w:t>calculating the WACC using a vanilla WACC formula</w:t>
      </w:r>
    </w:p>
    <w:p w:rsidR="00BD07B7" w:rsidRDefault="00BD07B7" w:rsidP="00BD07B7">
      <w:pPr>
        <w:pStyle w:val="AERbulletlistfirststyle"/>
      </w:pPr>
      <w:r>
        <w:t>applying intra–period adjustments of the WACC</w:t>
      </w:r>
    </w:p>
    <w:p w:rsidR="00BD07B7" w:rsidRDefault="00BD07B7" w:rsidP="00BD07B7">
      <w:pPr>
        <w:pStyle w:val="AERbulletlistfirststyle"/>
      </w:pPr>
      <w:r>
        <w:t>assessing reasonableness tests of the overall rate of return.</w:t>
      </w:r>
    </w:p>
    <w:p w:rsidR="00BD07B7" w:rsidRDefault="00BD07B7" w:rsidP="00BD07B7">
      <w:pPr>
        <w:pStyle w:val="Heading3"/>
      </w:pPr>
      <w:r>
        <w:t>Applying a nominal post</w:t>
      </w:r>
      <w:r w:rsidR="00893CE6">
        <w:t>–</w:t>
      </w:r>
      <w:r>
        <w:t>tax model</w:t>
      </w:r>
    </w:p>
    <w:p w:rsidR="00BD07B7" w:rsidRDefault="00BD07B7" w:rsidP="00BD07B7">
      <w:pPr>
        <w:pStyle w:val="AERbodytext"/>
        <w:numPr>
          <w:ilvl w:val="0"/>
          <w:numId w:val="6"/>
        </w:numPr>
      </w:pPr>
      <w:r>
        <w:t>The AER would continue to apply its current post tax revenue model (PTRM) to fulfil the rule requirements to apply a nominal post–tax framework.</w:t>
      </w:r>
      <w:r>
        <w:rPr>
          <w:rStyle w:val="FootnoteReference"/>
        </w:rPr>
        <w:footnoteReference w:id="9"/>
      </w:r>
    </w:p>
    <w:p w:rsidR="00BD07B7" w:rsidRDefault="00BD07B7" w:rsidP="00BD07B7">
      <w:pPr>
        <w:pStyle w:val="AERbodytext"/>
        <w:numPr>
          <w:ilvl w:val="0"/>
          <w:numId w:val="6"/>
        </w:numPr>
      </w:pPr>
      <w:r>
        <w:t>The PTRM accommodates the use of a nominal vanilla WACC for calculating the rate of return.</w:t>
      </w:r>
    </w:p>
    <w:p w:rsidR="00BD07B7" w:rsidRPr="00362ACC" w:rsidRDefault="00BD07B7" w:rsidP="00BD07B7">
      <w:pPr>
        <w:pStyle w:val="AERbodytext"/>
        <w:numPr>
          <w:ilvl w:val="0"/>
          <w:numId w:val="6"/>
        </w:numPr>
      </w:pPr>
      <w:r>
        <w:t xml:space="preserve">The treatment of tax enters the PTRM via the operating expenditure cash flows. It is therefore consistent with the use of a nominal vanilla WACC for calculating the rate of return.  </w:t>
      </w:r>
    </w:p>
    <w:p w:rsidR="00BD07B7" w:rsidRDefault="00BD07B7" w:rsidP="00BD07B7">
      <w:pPr>
        <w:pStyle w:val="Heading3"/>
      </w:pPr>
      <w:r>
        <w:t>Calculating the weighted average cost of capital</w:t>
      </w:r>
      <w:r w:rsidRPr="00362ACC">
        <w:t xml:space="preserve"> </w:t>
      </w:r>
      <w:r>
        <w:t>using a vanilla WACC formula</w:t>
      </w:r>
    </w:p>
    <w:p w:rsidR="00BD07B7" w:rsidRDefault="00BD07B7" w:rsidP="00BD07B7">
      <w:pPr>
        <w:pStyle w:val="AERbodytext"/>
        <w:numPr>
          <w:ilvl w:val="0"/>
          <w:numId w:val="6"/>
        </w:numPr>
      </w:pPr>
      <w:r>
        <w:t>The AER would calculate the WACC by applying the following vanilla WACC formula:</w:t>
      </w:r>
    </w:p>
    <w:p w:rsidR="00AF42D2" w:rsidRPr="00BF2C29" w:rsidRDefault="00BD07B7" w:rsidP="00AF42D2">
      <m:oMathPara>
        <m:oMath>
          <m:r>
            <m:rPr>
              <m:sty m:val="p"/>
            </m:rPr>
            <w:rPr>
              <w:rFonts w:ascii="Cambria Math" w:hAnsi="Cambria Math"/>
            </w:rPr>
            <w:br/>
          </m:r>
        </m:oMath>
        <m:oMath>
          <m:sSub>
            <m:sSubPr>
              <m:ctrlPr>
                <w:rPr>
                  <w:rFonts w:ascii="Cambria Math" w:hAnsi="Cambria Math"/>
                </w:rPr>
              </m:ctrlPr>
            </m:sSubPr>
            <m:e>
              <m:r>
                <w:rPr>
                  <w:rFonts w:ascii="Cambria Math" w:hAnsi="Cambria Math"/>
                </w:rPr>
                <m:t>WACC</m:t>
              </m:r>
            </m:e>
            <m:sub>
              <m:r>
                <w:rPr>
                  <w:rFonts w:ascii="Cambria Math" w:hAnsi="Cambria Math"/>
                </w:rPr>
                <m:t>vanilla</m:t>
              </m:r>
            </m:sub>
          </m:sSub>
          <m:r>
            <w:rPr>
              <w:rFonts w:ascii="Cambria Math" w:hAnsi="Cambria Math"/>
            </w:rPr>
            <m:t>=E</m:t>
          </m:r>
          <m:d>
            <m:dPr>
              <m:ctrlPr>
                <w:rPr>
                  <w:rFonts w:ascii="Cambria Math" w:hAnsi="Cambria Math"/>
                  <w:i/>
                </w:rPr>
              </m:ctrlPr>
            </m:dPr>
            <m:e>
              <m:sSub>
                <m:sSubPr>
                  <m:ctrlPr>
                    <w:rPr>
                      <w:rFonts w:ascii="Cambria Math" w:hAnsi="Cambria Math"/>
                    </w:rPr>
                  </m:ctrlPr>
                </m:sSubPr>
                <m:e>
                  <m:r>
                    <w:rPr>
                      <w:rFonts w:ascii="Cambria Math" w:hAnsi="Cambria Math"/>
                    </w:rPr>
                    <m:t>k</m:t>
                  </m:r>
                </m:e>
                <m:sub>
                  <m:r>
                    <w:rPr>
                      <w:rFonts w:ascii="Cambria Math" w:hAnsi="Cambria Math"/>
                    </w:rPr>
                    <m:t>e</m:t>
                  </m:r>
                </m:sub>
              </m:sSub>
            </m:e>
          </m:d>
          <m:f>
            <m:fPr>
              <m:ctrlPr>
                <w:rPr>
                  <w:rFonts w:ascii="Cambria Math" w:hAnsi="Cambria Math"/>
                </w:rPr>
              </m:ctrlPr>
            </m:fPr>
            <m:num>
              <m:r>
                <w:rPr>
                  <w:rFonts w:ascii="Cambria Math" w:hAnsi="Cambria Math"/>
                </w:rPr>
                <m:t>E</m:t>
              </m:r>
            </m:num>
            <m:den>
              <m:r>
                <w:rPr>
                  <w:rFonts w:ascii="Cambria Math" w:hAnsi="Cambria Math"/>
                </w:rPr>
                <m:t>V</m:t>
              </m:r>
            </m:den>
          </m:f>
          <m:r>
            <w:rPr>
              <w:rFonts w:ascii="Cambria Math" w:hAnsi="Cambria Math"/>
            </w:rPr>
            <m:t>+E</m:t>
          </m:r>
          <m:d>
            <m:dPr>
              <m:ctrlPr>
                <w:rPr>
                  <w:rFonts w:ascii="Cambria Math" w:hAnsi="Cambria Math"/>
                  <w:i/>
                </w:rPr>
              </m:ctrlPr>
            </m:dPr>
            <m:e>
              <m:sSub>
                <m:sSubPr>
                  <m:ctrlPr>
                    <w:rPr>
                      <w:rFonts w:ascii="Cambria Math" w:hAnsi="Cambria Math"/>
                    </w:rPr>
                  </m:ctrlPr>
                </m:sSubPr>
                <m:e>
                  <m:r>
                    <w:rPr>
                      <w:rFonts w:ascii="Cambria Math" w:hAnsi="Cambria Math"/>
                    </w:rPr>
                    <m:t>k</m:t>
                  </m:r>
                </m:e>
                <m:sub>
                  <m:r>
                    <w:rPr>
                      <w:rFonts w:ascii="Cambria Math" w:hAnsi="Cambria Math"/>
                    </w:rPr>
                    <m:t>d</m:t>
                  </m:r>
                </m:sub>
              </m:sSub>
            </m:e>
          </m:d>
          <m:f>
            <m:fPr>
              <m:ctrlPr>
                <w:rPr>
                  <w:rFonts w:ascii="Cambria Math" w:hAnsi="Cambria Math"/>
                </w:rPr>
              </m:ctrlPr>
            </m:fPr>
            <m:num>
              <m:r>
                <w:rPr>
                  <w:rFonts w:ascii="Cambria Math" w:hAnsi="Cambria Math"/>
                </w:rPr>
                <m:t>D</m:t>
              </m:r>
            </m:num>
            <m:den>
              <m:r>
                <w:rPr>
                  <w:rFonts w:ascii="Cambria Math" w:hAnsi="Cambria Math"/>
                </w:rPr>
                <m:t>V</m:t>
              </m:r>
            </m:den>
          </m:f>
        </m:oMath>
      </m:oMathPara>
    </w:p>
    <w:p w:rsidR="00BF2C29" w:rsidRDefault="00BF2C29" w:rsidP="00AF42D2">
      <w:r>
        <w:t>where:</w:t>
      </w:r>
    </w:p>
    <w:p w:rsidR="0032732E" w:rsidRDefault="005278DF" w:rsidP="001A5B40">
      <w:pPr>
        <w:pStyle w:val="AERbulletlistfirststyle"/>
      </w:pPr>
      <w:r w:rsidRPr="005278DF">
        <w:rPr>
          <w:rStyle w:val="AERtextitalic"/>
        </w:rPr>
        <w:t>E(k</w:t>
      </w:r>
      <w:r w:rsidRPr="005278DF">
        <w:rPr>
          <w:rStyle w:val="AERsubscript"/>
        </w:rPr>
        <w:t>e</w:t>
      </w:r>
      <w:r w:rsidRPr="005278DF">
        <w:rPr>
          <w:rStyle w:val="AERtextitalic"/>
        </w:rPr>
        <w:t>)</w:t>
      </w:r>
      <w:r>
        <w:rPr>
          <w:rStyle w:val="AERbody"/>
        </w:rPr>
        <w:t xml:space="preserve"> </w:t>
      </w:r>
      <w:r w:rsidRPr="00BD07B7">
        <w:t>is the expected return on equity</w:t>
      </w:r>
    </w:p>
    <w:p w:rsidR="005278DF" w:rsidRDefault="005278DF" w:rsidP="001A5B40">
      <w:pPr>
        <w:pStyle w:val="AERbulletlistfirststyle"/>
      </w:pPr>
      <w:r w:rsidRPr="005278DF">
        <w:rPr>
          <w:rStyle w:val="AERtextitalic"/>
        </w:rPr>
        <w:t>E(k</w:t>
      </w:r>
      <w:r>
        <w:rPr>
          <w:rStyle w:val="AERsubscript"/>
        </w:rPr>
        <w:t>d</w:t>
      </w:r>
      <w:r w:rsidRPr="005278DF">
        <w:rPr>
          <w:rStyle w:val="AERtextitalic"/>
        </w:rPr>
        <w:t>)</w:t>
      </w:r>
      <w:r>
        <w:rPr>
          <w:rStyle w:val="AERbody"/>
        </w:rPr>
        <w:t xml:space="preserve"> </w:t>
      </w:r>
      <w:r w:rsidRPr="00BD07B7">
        <w:t>is the expected return on debt</w:t>
      </w:r>
    </w:p>
    <w:p w:rsidR="005278DF" w:rsidRDefault="002F23AE" w:rsidP="001A5B40">
      <w:pPr>
        <w:pStyle w:val="AERbulletlistfirststyle"/>
      </w:pPr>
      <m:oMath>
        <m:f>
          <m:fPr>
            <m:ctrlPr>
              <w:rPr>
                <w:rFonts w:ascii="Cambria Math" w:hAnsi="Cambria Math"/>
              </w:rPr>
            </m:ctrlPr>
          </m:fPr>
          <m:num>
            <m:r>
              <w:rPr>
                <w:rFonts w:ascii="Cambria Math" w:hAnsi="Cambria Math"/>
              </w:rPr>
              <m:t>E</m:t>
            </m:r>
          </m:num>
          <m:den>
            <m:r>
              <w:rPr>
                <w:rFonts w:ascii="Cambria Math" w:hAnsi="Cambria Math"/>
              </w:rPr>
              <m:t>V</m:t>
            </m:r>
          </m:den>
        </m:f>
      </m:oMath>
      <w:r w:rsidR="00306C8A">
        <w:t xml:space="preserve"> </w:t>
      </w:r>
      <w:r w:rsidR="00306C8A" w:rsidRPr="00BD07B7">
        <w:t>is the proportion of equity in total financing (comprising equity and debt</w:t>
      </w:r>
      <w:r w:rsidR="00306C8A">
        <w:t>).</w:t>
      </w:r>
    </w:p>
    <w:p w:rsidR="000E1089" w:rsidRPr="00BD07B7" w:rsidRDefault="002F23AE" w:rsidP="001A5B40">
      <w:pPr>
        <w:pStyle w:val="AERbulletlistfirststyle"/>
      </w:pPr>
      <m:oMath>
        <m:f>
          <m:fPr>
            <m:ctrlPr>
              <w:rPr>
                <w:rFonts w:ascii="Cambria Math" w:hAnsi="Cambria Math"/>
              </w:rPr>
            </m:ctrlPr>
          </m:fPr>
          <m:num>
            <m:r>
              <w:rPr>
                <w:rFonts w:ascii="Cambria Math" w:hAnsi="Cambria Math"/>
              </w:rPr>
              <m:t>D</m:t>
            </m:r>
          </m:num>
          <m:den>
            <m:r>
              <w:rPr>
                <w:rFonts w:ascii="Cambria Math" w:hAnsi="Cambria Math"/>
              </w:rPr>
              <m:t>V</m:t>
            </m:r>
          </m:den>
        </m:f>
      </m:oMath>
      <w:r w:rsidR="000E1089">
        <w:t xml:space="preserve"> </w:t>
      </w:r>
      <w:r w:rsidR="000E1089" w:rsidRPr="00BD07B7">
        <w:t>is the proportion of debt in total financing</w:t>
      </w:r>
      <w:r w:rsidR="000E1089">
        <w:t xml:space="preserve">, and is equal to our </w:t>
      </w:r>
      <w:r w:rsidR="00166A03">
        <w:t xml:space="preserve">proposed </w:t>
      </w:r>
      <w:r w:rsidR="001C47AC">
        <w:t>benchmark efficient entity</w:t>
      </w:r>
      <w:r w:rsidR="000E1089">
        <w:t xml:space="preserve"> gearing ratio</w:t>
      </w:r>
      <w:r w:rsidR="00166A03">
        <w:t xml:space="preserve"> of 0.6</w:t>
      </w:r>
      <w:r w:rsidR="000E1089">
        <w:t>.</w:t>
      </w:r>
    </w:p>
    <w:p w:rsidR="00BD07B7" w:rsidRDefault="00BD07B7" w:rsidP="000E1089">
      <w:pPr>
        <w:pStyle w:val="Heading3"/>
      </w:pPr>
      <w:r>
        <w:t>Intra–period adjustment of the WACC</w:t>
      </w:r>
    </w:p>
    <w:p w:rsidR="00BD07B7" w:rsidRDefault="00BD07B7" w:rsidP="00BD07B7">
      <w:pPr>
        <w:pStyle w:val="AERbodytext"/>
        <w:numPr>
          <w:ilvl w:val="0"/>
          <w:numId w:val="6"/>
        </w:numPr>
      </w:pPr>
      <w:r>
        <w:t>The AER would update the overall rate of return annually. This is a result of the allowed return on debt being updated annually.</w:t>
      </w:r>
    </w:p>
    <w:p w:rsidR="00BD07B7" w:rsidRDefault="00BD07B7" w:rsidP="00BD07B7">
      <w:pPr>
        <w:pStyle w:val="AERbodytext"/>
        <w:numPr>
          <w:ilvl w:val="0"/>
          <w:numId w:val="6"/>
        </w:numPr>
      </w:pPr>
      <w:r>
        <w:t>The AER would set the return on equity for the duration of the regulatory control period.</w:t>
      </w:r>
    </w:p>
    <w:p w:rsidR="00BD07B7" w:rsidRDefault="00BD07B7" w:rsidP="00BD07B7">
      <w:pPr>
        <w:pStyle w:val="Heading3"/>
      </w:pPr>
      <w:r>
        <w:lastRenderedPageBreak/>
        <w:t>Arriving at point estimates or ranges</w:t>
      </w:r>
    </w:p>
    <w:p w:rsidR="00BD07B7" w:rsidRPr="00986868" w:rsidRDefault="00BD07B7" w:rsidP="00BD07B7">
      <w:pPr>
        <w:pStyle w:val="AERbodytext"/>
        <w:numPr>
          <w:ilvl w:val="0"/>
          <w:numId w:val="6"/>
        </w:numPr>
      </w:pPr>
      <w:r>
        <w:t>The overall rate of return is a point estimate, reflecting the use of a point estimate for the return on debt and the return on equity.</w:t>
      </w:r>
    </w:p>
    <w:p w:rsidR="00BD07B7" w:rsidRDefault="00BD07B7" w:rsidP="00BD07B7">
      <w:pPr>
        <w:pStyle w:val="Heading3"/>
      </w:pPr>
      <w:r>
        <w:t>Carrying out reasonableness tests</w:t>
      </w:r>
    </w:p>
    <w:p w:rsidR="00BD07B7" w:rsidRDefault="00BD07B7" w:rsidP="008971BE">
      <w:pPr>
        <w:pStyle w:val="AERbodytext"/>
        <w:numPr>
          <w:ilvl w:val="0"/>
          <w:numId w:val="6"/>
        </w:numPr>
      </w:pPr>
      <w:r>
        <w:t>The AER would use only regulatory asset base (RAB) acquisition and trading multiples as reasonableness tests of our estimate of the overall rate of return.</w:t>
      </w:r>
    </w:p>
    <w:p w:rsidR="008971BE" w:rsidRPr="0030610D" w:rsidRDefault="008971BE" w:rsidP="0030610D">
      <w:pPr>
        <w:pStyle w:val="Heading1"/>
      </w:pPr>
      <w:bookmarkStart w:id="40" w:name="_Toc365537048"/>
      <w:r w:rsidRPr="0030610D">
        <w:lastRenderedPageBreak/>
        <w:t>Return on equity</w:t>
      </w:r>
      <w:bookmarkEnd w:id="40"/>
    </w:p>
    <w:p w:rsidR="008971BE" w:rsidRDefault="008971BE" w:rsidP="008971BE">
      <w:pPr>
        <w:rPr>
          <w:rStyle w:val="AERbody"/>
        </w:rPr>
      </w:pPr>
      <w:r>
        <w:t xml:space="preserve">This chapter sets out the </w:t>
      </w:r>
      <w:r w:rsidRPr="00B667CF">
        <w:t xml:space="preserve">AER’s </w:t>
      </w:r>
      <w:r>
        <w:t xml:space="preserve">approach to estimating the return on equity. The AER </w:t>
      </w:r>
      <w:r w:rsidR="00B91726">
        <w:t xml:space="preserve">would </w:t>
      </w:r>
      <w:r>
        <w:t>apply a</w:t>
      </w:r>
      <w:r w:rsidRPr="003C3E75">
        <w:t xml:space="preserve"> </w:t>
      </w:r>
      <w:r>
        <w:t xml:space="preserve">six step approach to </w:t>
      </w:r>
      <w:r w:rsidRPr="003C3E75">
        <w:t>determine an estimate of the return on equity that is consistent with the allowed rate of return objective</w:t>
      </w:r>
      <w:r>
        <w:t>.</w:t>
      </w:r>
      <w:r w:rsidRPr="003C3E75">
        <w:t xml:space="preserve"> These steps are explained below</w:t>
      </w:r>
      <w:r>
        <w:t>, and are</w:t>
      </w:r>
      <w:r>
        <w:rPr>
          <w:rStyle w:val="AERbody"/>
        </w:rPr>
        <w:t xml:space="preserve"> summarised in </w:t>
      </w:r>
      <w:r>
        <w:rPr>
          <w:rStyle w:val="AERbody"/>
        </w:rPr>
        <w:fldChar w:fldCharType="begin"/>
      </w:r>
      <w:r>
        <w:rPr>
          <w:rStyle w:val="AERbody"/>
        </w:rPr>
        <w:instrText xml:space="preserve"> REF  _Ref362959174 \* Lower \h  \* MERGEFORMAT </w:instrText>
      </w:r>
      <w:r>
        <w:rPr>
          <w:rStyle w:val="AERbody"/>
        </w:rPr>
      </w:r>
      <w:r>
        <w:rPr>
          <w:rStyle w:val="AERbody"/>
        </w:rPr>
        <w:fldChar w:fldCharType="separate"/>
      </w:r>
      <w:r w:rsidR="00B105D6">
        <w:t>figure 1</w:t>
      </w:r>
      <w:r>
        <w:rPr>
          <w:rStyle w:val="AERbody"/>
        </w:rPr>
        <w:fldChar w:fldCharType="end"/>
      </w:r>
      <w:r w:rsidRPr="00B02FBF">
        <w:rPr>
          <w:rStyle w:val="AERbody"/>
        </w:rPr>
        <w:t>.</w:t>
      </w:r>
    </w:p>
    <w:p w:rsidR="008971BE" w:rsidRDefault="008971BE" w:rsidP="008971BE">
      <w:pPr>
        <w:pStyle w:val="Heading2"/>
      </w:pPr>
      <w:r w:rsidDel="00F977E2">
        <w:t xml:space="preserve"> </w:t>
      </w:r>
      <w:bookmarkStart w:id="41" w:name="_Toc365537049"/>
      <w:r>
        <w:t>Objective</w:t>
      </w:r>
      <w:bookmarkEnd w:id="41"/>
    </w:p>
    <w:p w:rsidR="008971BE" w:rsidRPr="00225FBA" w:rsidRDefault="008971BE" w:rsidP="008971BE">
      <w:pPr>
        <w:pStyle w:val="AERbodytext"/>
        <w:numPr>
          <w:ilvl w:val="0"/>
          <w:numId w:val="6"/>
        </w:numPr>
      </w:pPr>
      <w:r>
        <w:t xml:space="preserve">The return on equity must be </w:t>
      </w:r>
      <w:r w:rsidRPr="00225FBA">
        <w:t>estimated such that it contributes to the achievement of the allowed rate of return objective</w:t>
      </w:r>
      <w:r>
        <w:t>.</w:t>
      </w:r>
    </w:p>
    <w:p w:rsidR="008971BE" w:rsidRDefault="008971BE" w:rsidP="008971BE">
      <w:pPr>
        <w:pStyle w:val="Heading2"/>
      </w:pPr>
      <w:bookmarkStart w:id="42" w:name="_Toc365537050"/>
      <w:r>
        <w:t>Rules requirements</w:t>
      </w:r>
      <w:bookmarkEnd w:id="42"/>
    </w:p>
    <w:p w:rsidR="008971BE" w:rsidRDefault="008971BE" w:rsidP="008971BE">
      <w:pPr>
        <w:pStyle w:val="AERbodytext"/>
        <w:numPr>
          <w:ilvl w:val="0"/>
          <w:numId w:val="6"/>
        </w:numPr>
      </w:pPr>
      <w:r>
        <w:t xml:space="preserve">Clauses 6.5.2(f) and (g) of the </w:t>
      </w:r>
      <w:r w:rsidRPr="00F2470F">
        <w:t>NER and 87(6) and (7) of</w:t>
      </w:r>
      <w:r>
        <w:t xml:space="preserve"> the NGL specify that:</w:t>
      </w:r>
    </w:p>
    <w:p w:rsidR="008971BE" w:rsidRPr="008971BE" w:rsidRDefault="00536037" w:rsidP="008971BE">
      <w:pPr>
        <w:pStyle w:val="AERbulletlistfirststyle"/>
      </w:pPr>
      <w:r>
        <w:t>t</w:t>
      </w:r>
      <w:r w:rsidR="008971BE" w:rsidRPr="008971BE">
        <w:t>he return on equity for a regulatory control period must be estimated such that it contributes to the achievement of the al</w:t>
      </w:r>
      <w:r>
        <w:t>lowed rate of return objective</w:t>
      </w:r>
    </w:p>
    <w:p w:rsidR="008971BE" w:rsidRDefault="00536037" w:rsidP="008971BE">
      <w:pPr>
        <w:pStyle w:val="AERbulletlistfirststyle"/>
      </w:pPr>
      <w:r>
        <w:t>i</w:t>
      </w:r>
      <w:r w:rsidR="008971BE" w:rsidRPr="008971BE">
        <w:t>n estimating the return on equity, regard must be had to the prevailing conditions in the market for equity funds.</w:t>
      </w:r>
    </w:p>
    <w:p w:rsidR="008971BE" w:rsidRDefault="008971BE" w:rsidP="008971BE">
      <w:r>
        <w:t xml:space="preserve">The </w:t>
      </w:r>
      <w:r w:rsidR="00536037">
        <w:t xml:space="preserve">allowed </w:t>
      </w:r>
      <w:r>
        <w:t>rate of return objective is that:</w:t>
      </w:r>
      <w:r>
        <w:rPr>
          <w:rStyle w:val="FootnoteReference"/>
        </w:rPr>
        <w:footnoteReference w:id="10"/>
      </w:r>
    </w:p>
    <w:p w:rsidR="008971BE" w:rsidRDefault="00536037" w:rsidP="008971BE">
      <w:pPr>
        <w:pStyle w:val="AERbulletlistfirststyle"/>
      </w:pPr>
      <w:r>
        <w:t>t</w:t>
      </w:r>
      <w:r w:rsidR="008971BE" w:rsidRPr="008971BE">
        <w:t xml:space="preserve">he rate of return for a </w:t>
      </w:r>
      <w:r w:rsidR="008971BE">
        <w:t>s</w:t>
      </w:r>
      <w:r w:rsidR="008971BE" w:rsidRPr="008971BE">
        <w:t xml:space="preserve">ervice </w:t>
      </w:r>
      <w:r w:rsidR="008971BE">
        <w:t>p</w:t>
      </w:r>
      <w:r w:rsidR="008971BE" w:rsidRPr="008971BE">
        <w:t xml:space="preserve">rovider is to be commensurate with the efficient financing costs of a benchmark efficient entity with a similar degree of risk as that which applies to the </w:t>
      </w:r>
      <w:r w:rsidR="008971BE">
        <w:t>service provider.</w:t>
      </w:r>
      <w:r w:rsidR="008971BE" w:rsidRPr="008971BE">
        <w:t xml:space="preserve"> </w:t>
      </w:r>
    </w:p>
    <w:p w:rsidR="008971BE" w:rsidRDefault="008971BE" w:rsidP="008971BE">
      <w:pPr>
        <w:rPr>
          <w:rStyle w:val="AERbody"/>
        </w:rPr>
      </w:pPr>
      <w:r>
        <w:rPr>
          <w:rStyle w:val="AERbody"/>
        </w:rPr>
        <w:t>I</w:t>
      </w:r>
      <w:r w:rsidRPr="00F977E2">
        <w:rPr>
          <w:rStyle w:val="AERbody"/>
        </w:rPr>
        <w:t xml:space="preserve">n </w:t>
      </w:r>
      <w:r>
        <w:rPr>
          <w:rStyle w:val="AERbody"/>
        </w:rPr>
        <w:t xml:space="preserve">developing a guideline that estimates a return on equity in accordance with the </w:t>
      </w:r>
      <w:r w:rsidR="00536037">
        <w:rPr>
          <w:rStyle w:val="AERbody"/>
        </w:rPr>
        <w:t xml:space="preserve">allowed </w:t>
      </w:r>
      <w:r>
        <w:rPr>
          <w:rStyle w:val="AERbody"/>
        </w:rPr>
        <w:t xml:space="preserve">rate of return objective, the AER has had regard to, among other things, </w:t>
      </w:r>
      <w:r w:rsidRPr="00225FBA">
        <w:t>relevant estimation methods, financial models, market data and other evidence</w:t>
      </w:r>
      <w:r>
        <w:rPr>
          <w:rStyle w:val="AERbody"/>
        </w:rPr>
        <w:t>.</w:t>
      </w:r>
      <w:r>
        <w:rPr>
          <w:rStyle w:val="FootnoteReference"/>
        </w:rPr>
        <w:footnoteReference w:id="11"/>
      </w:r>
    </w:p>
    <w:p w:rsidR="008971BE" w:rsidRPr="008971BE" w:rsidRDefault="008971BE" w:rsidP="008971BE">
      <w:pPr>
        <w:pStyle w:val="Heading2"/>
        <w:rPr>
          <w:rStyle w:val="AERbody"/>
          <w:color w:val="E36C0A"/>
          <w:sz w:val="28"/>
        </w:rPr>
      </w:pPr>
      <w:bookmarkStart w:id="43" w:name="_Toc365537051"/>
      <w:r w:rsidRPr="008971BE">
        <w:rPr>
          <w:rStyle w:val="AERbody"/>
          <w:color w:val="E36C0A"/>
          <w:sz w:val="28"/>
        </w:rPr>
        <w:lastRenderedPageBreak/>
        <w:t>Application</w:t>
      </w:r>
      <w:bookmarkEnd w:id="43"/>
    </w:p>
    <w:p w:rsidR="008971BE" w:rsidRDefault="008971BE" w:rsidP="008971BE">
      <w:pPr>
        <w:pStyle w:val="Caption"/>
      </w:pPr>
      <w:bookmarkStart w:id="44" w:name="_Ref362959174"/>
      <w:bookmarkStart w:id="45" w:name="_Ref364339244"/>
      <w:r>
        <w:t xml:space="preserve">Figure </w:t>
      </w:r>
      <w:r w:rsidRPr="008971BE">
        <w:fldChar w:fldCharType="begin"/>
      </w:r>
      <w:r>
        <w:instrText xml:space="preserve"> SEQ Figure \* ARABIC </w:instrText>
      </w:r>
      <w:r w:rsidRPr="008971BE">
        <w:fldChar w:fldCharType="separate"/>
      </w:r>
      <w:r w:rsidR="00B105D6">
        <w:rPr>
          <w:noProof/>
        </w:rPr>
        <w:t>1</w:t>
      </w:r>
      <w:r w:rsidRPr="008971BE">
        <w:fldChar w:fldCharType="end"/>
      </w:r>
      <w:bookmarkEnd w:id="44"/>
      <w:r>
        <w:tab/>
        <w:t>Flowchart of proposed approach</w:t>
      </w:r>
      <w:bookmarkEnd w:id="45"/>
    </w:p>
    <w:p w:rsidR="008971BE" w:rsidRPr="00DC20EE" w:rsidRDefault="008971BE" w:rsidP="008971BE">
      <w:pPr>
        <w:pStyle w:val="AERbodytextnospace"/>
        <w:numPr>
          <w:ilvl w:val="0"/>
          <w:numId w:val="6"/>
        </w:numPr>
        <w:rPr>
          <w:rStyle w:val="AERbody"/>
        </w:rPr>
      </w:pPr>
      <w:r w:rsidRPr="008971BE">
        <w:rPr>
          <w:noProof/>
          <w:lang w:eastAsia="en-AU"/>
        </w:rPr>
        <w:drawing>
          <wp:inline distT="0" distB="0" distL="0" distR="0" wp14:anchorId="00BD7558" wp14:editId="7F4B547B">
            <wp:extent cx="5731510" cy="8168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3.bmp"/>
                    <pic:cNvPicPr/>
                  </pic:nvPicPr>
                  <pic:blipFill>
                    <a:blip r:embed="rId11">
                      <a:extLst>
                        <a:ext uri="{28A0092B-C50C-407E-A947-70E740481C1C}">
                          <a14:useLocalDpi xmlns:a14="http://schemas.microsoft.com/office/drawing/2010/main" val="0"/>
                        </a:ext>
                      </a:extLst>
                    </a:blip>
                    <a:stretch>
                      <a:fillRect/>
                    </a:stretch>
                  </pic:blipFill>
                  <pic:spPr>
                    <a:xfrm>
                      <a:off x="0" y="0"/>
                      <a:ext cx="5731510" cy="8168640"/>
                    </a:xfrm>
                    <a:prstGeom prst="rect">
                      <a:avLst/>
                    </a:prstGeom>
                  </pic:spPr>
                </pic:pic>
              </a:graphicData>
            </a:graphic>
          </wp:inline>
        </w:drawing>
      </w:r>
    </w:p>
    <w:p w:rsidR="008971BE" w:rsidRDefault="008971BE" w:rsidP="00DC31CC">
      <w:pPr>
        <w:pStyle w:val="Heading3"/>
      </w:pPr>
      <w:r>
        <w:br w:type="page"/>
      </w:r>
      <w:r w:rsidR="00D80C99">
        <w:lastRenderedPageBreak/>
        <w:t>Step one: i</w:t>
      </w:r>
      <w:r>
        <w:t>dentify relevant material</w:t>
      </w:r>
    </w:p>
    <w:p w:rsidR="008971BE" w:rsidRDefault="008971BE" w:rsidP="008971BE">
      <w:r>
        <w:t xml:space="preserve">The AER's first step </w:t>
      </w:r>
      <w:r w:rsidR="00536037">
        <w:t>would be</w:t>
      </w:r>
      <w:r>
        <w:t xml:space="preserve"> to identify the relevant material that may inform the estimate of the return on equity. The material identified by the AER to be relevant is outlined in the </w:t>
      </w:r>
      <w:r w:rsidR="00277975">
        <w:t>e</w:t>
      </w:r>
      <w:r>
        <w:t>xplanatory statement to this guideline</w:t>
      </w:r>
      <w:r w:rsidR="00B105D6">
        <w:t>,</w:t>
      </w:r>
      <w:r>
        <w:t xml:space="preserve"> and in </w:t>
      </w:r>
      <w:r>
        <w:fldChar w:fldCharType="begin"/>
      </w:r>
      <w:r>
        <w:instrText xml:space="preserve"> REF  _Ref362608756 \* Lower \h  \* MERGEFORMAT </w:instrText>
      </w:r>
      <w:r>
        <w:fldChar w:fldCharType="separate"/>
      </w:r>
      <w:r w:rsidR="00B105D6">
        <w:t>table 1</w:t>
      </w:r>
      <w:r>
        <w:fldChar w:fldCharType="end"/>
      </w:r>
      <w:r>
        <w:t xml:space="preserve"> and </w:t>
      </w:r>
      <w:r w:rsidR="00B105D6">
        <w:t>table 2</w:t>
      </w:r>
      <w:r>
        <w:t xml:space="preserve"> of this guideline.</w:t>
      </w:r>
    </w:p>
    <w:p w:rsidR="008971BE" w:rsidRDefault="00D80C99" w:rsidP="008971BE">
      <w:pPr>
        <w:pStyle w:val="Heading3"/>
      </w:pPr>
      <w:bookmarkStart w:id="46" w:name="_Ref362608730"/>
      <w:r>
        <w:t>Step two: d</w:t>
      </w:r>
      <w:r w:rsidR="008971BE">
        <w:t>etermine role</w:t>
      </w:r>
      <w:bookmarkEnd w:id="46"/>
    </w:p>
    <w:p w:rsidR="008971BE" w:rsidRDefault="008971BE" w:rsidP="008971BE">
      <w:r>
        <w:t xml:space="preserve">The AER's second step </w:t>
      </w:r>
      <w:r w:rsidR="00536037">
        <w:t>would be</w:t>
      </w:r>
      <w:r>
        <w:t xml:space="preserve"> to assess the relevant material identified in step one against the AER's assessment criteria. The purpose of this assessment is to identify what role the relevant material </w:t>
      </w:r>
      <w:r w:rsidR="00536037">
        <w:t>would</w:t>
      </w:r>
      <w:r>
        <w:t xml:space="preserve"> play in estimating the return on equity. Each piece of relevant material </w:t>
      </w:r>
      <w:r w:rsidR="000B348C">
        <w:t>would</w:t>
      </w:r>
      <w:r w:rsidRPr="00D4639B">
        <w:t xml:space="preserve"> be used only once (to the extent practicable</w:t>
      </w:r>
      <w:r>
        <w:t>),</w:t>
      </w:r>
      <w:r w:rsidRPr="00D4639B">
        <w:t xml:space="preserve"> </w:t>
      </w:r>
      <w:r>
        <w:t xml:space="preserve">in one of </w:t>
      </w:r>
      <w:r w:rsidR="00B91726">
        <w:t xml:space="preserve">the </w:t>
      </w:r>
      <w:r>
        <w:t>four ways:</w:t>
      </w:r>
    </w:p>
    <w:p w:rsidR="008971BE" w:rsidRPr="00FB7D06" w:rsidRDefault="008971BE" w:rsidP="008971BE">
      <w:pPr>
        <w:pStyle w:val="AERnumberedlist2first"/>
        <w:numPr>
          <w:ilvl w:val="4"/>
          <w:numId w:val="6"/>
        </w:numPr>
      </w:pPr>
      <w:r>
        <w:t>Used as t</w:t>
      </w:r>
      <w:r w:rsidRPr="00FB7D06">
        <w:t xml:space="preserve">he </w:t>
      </w:r>
      <w:r>
        <w:t>foundation model.</w:t>
      </w:r>
    </w:p>
    <w:p w:rsidR="008971BE" w:rsidRPr="00FB7D06" w:rsidRDefault="008971BE" w:rsidP="008971BE">
      <w:pPr>
        <w:pStyle w:val="AERnumberedlist2first"/>
        <w:numPr>
          <w:ilvl w:val="4"/>
          <w:numId w:val="6"/>
        </w:numPr>
      </w:pPr>
      <w:r>
        <w:t xml:space="preserve">Used to inform the estimation of parameters within </w:t>
      </w:r>
      <w:r w:rsidRPr="00FB7D06">
        <w:t xml:space="preserve">the </w:t>
      </w:r>
      <w:r>
        <w:t>foundation</w:t>
      </w:r>
      <w:r w:rsidRPr="00FB7D06">
        <w:t xml:space="preserve"> model.</w:t>
      </w:r>
    </w:p>
    <w:p w:rsidR="008971BE" w:rsidRPr="00FB7D06" w:rsidRDefault="008971BE" w:rsidP="008971BE">
      <w:pPr>
        <w:pStyle w:val="AERnumberedlist2first"/>
        <w:numPr>
          <w:ilvl w:val="4"/>
          <w:numId w:val="6"/>
        </w:numPr>
      </w:pPr>
      <w:r>
        <w:t>Used to i</w:t>
      </w:r>
      <w:r w:rsidRPr="00FB7D06">
        <w:t xml:space="preserve">nform </w:t>
      </w:r>
      <w:r>
        <w:t xml:space="preserve">where within the </w:t>
      </w:r>
      <w:r w:rsidRPr="00FB7D06">
        <w:t>return on equity</w:t>
      </w:r>
      <w:r>
        <w:t xml:space="preserve"> range, set by the foundation model, our final return on equity point estimate should fall</w:t>
      </w:r>
      <w:r w:rsidRPr="00FB7D06">
        <w:t>.</w:t>
      </w:r>
    </w:p>
    <w:p w:rsidR="008971BE" w:rsidRDefault="008971BE" w:rsidP="008971BE">
      <w:pPr>
        <w:pStyle w:val="AERnumberedlist2first"/>
        <w:numPr>
          <w:ilvl w:val="4"/>
          <w:numId w:val="6"/>
        </w:numPr>
      </w:pPr>
      <w:r w:rsidRPr="00FB7D06">
        <w:t>Not used to estimate the return on equity.</w:t>
      </w:r>
      <w:r>
        <w:rPr>
          <w:rStyle w:val="FootnoteReference"/>
        </w:rPr>
        <w:footnoteReference w:id="12"/>
      </w:r>
    </w:p>
    <w:p w:rsidR="008971BE" w:rsidRDefault="008971BE" w:rsidP="008971BE">
      <w:pPr>
        <w:pStyle w:val="AERbodytext"/>
        <w:numPr>
          <w:ilvl w:val="0"/>
          <w:numId w:val="6"/>
        </w:numPr>
      </w:pPr>
      <w:r>
        <w:t xml:space="preserve">The AER </w:t>
      </w:r>
      <w:r w:rsidR="00B91726">
        <w:t>undertook</w:t>
      </w:r>
      <w:r>
        <w:t xml:space="preserve"> an assessment of the relevant material identified in step 1 against the assessment criteria. The AER assessed models and other relevant material. The detailed assessment is outlined in the </w:t>
      </w:r>
      <w:r w:rsidR="003F243D">
        <w:t>e</w:t>
      </w:r>
      <w:r>
        <w:t>xplanatory statement to this guideline.</w:t>
      </w:r>
    </w:p>
    <w:p w:rsidR="008971BE" w:rsidRPr="00F11654" w:rsidRDefault="008971BE" w:rsidP="008971BE">
      <w:pPr>
        <w:pStyle w:val="AERbodytext"/>
        <w:numPr>
          <w:ilvl w:val="0"/>
          <w:numId w:val="6"/>
        </w:numPr>
      </w:pPr>
      <w:r>
        <w:t xml:space="preserve">The outcome of the AER's model assessment is outlined in </w:t>
      </w:r>
      <w:r w:rsidR="008E2F58">
        <w:fldChar w:fldCharType="begin"/>
      </w:r>
      <w:r w:rsidR="008E2F58">
        <w:instrText xml:space="preserve"> REF  _Ref362608756 \* Lower \h  \* MERGEFORMAT </w:instrText>
      </w:r>
      <w:r w:rsidR="008E2F58">
        <w:fldChar w:fldCharType="separate"/>
      </w:r>
      <w:r w:rsidR="00B105D6">
        <w:t xml:space="preserve">table </w:t>
      </w:r>
      <w:r w:rsidR="00B105D6">
        <w:rPr>
          <w:noProof/>
        </w:rPr>
        <w:t>1</w:t>
      </w:r>
      <w:r w:rsidR="008E2F58">
        <w:fldChar w:fldCharType="end"/>
      </w:r>
      <w:r>
        <w:t>.</w:t>
      </w:r>
    </w:p>
    <w:p w:rsidR="008971BE" w:rsidRDefault="008971BE" w:rsidP="008971BE">
      <w:pPr>
        <w:pStyle w:val="Caption"/>
      </w:pPr>
      <w:bookmarkStart w:id="47" w:name="_Ref362608756"/>
      <w:bookmarkStart w:id="48" w:name="_Ref363730643"/>
      <w:r>
        <w:t xml:space="preserve">Table </w:t>
      </w:r>
      <w:r w:rsidRPr="008971BE">
        <w:fldChar w:fldCharType="begin"/>
      </w:r>
      <w:r>
        <w:instrText xml:space="preserve"> SEQ Table \* ARABIC </w:instrText>
      </w:r>
      <w:r w:rsidRPr="008971BE">
        <w:fldChar w:fldCharType="separate"/>
      </w:r>
      <w:r w:rsidR="00B105D6">
        <w:rPr>
          <w:noProof/>
        </w:rPr>
        <w:t>1</w:t>
      </w:r>
      <w:r w:rsidRPr="008971BE">
        <w:fldChar w:fldCharType="end"/>
      </w:r>
      <w:bookmarkEnd w:id="47"/>
      <w:r>
        <w:tab/>
      </w:r>
      <w:bookmarkStart w:id="49" w:name="_Ref363730639"/>
      <w:r>
        <w:t>Role of relevant models</w:t>
      </w:r>
      <w:bookmarkEnd w:id="48"/>
      <w:bookmarkEnd w:id="49"/>
    </w:p>
    <w:tbl>
      <w:tblPr>
        <w:tblStyle w:val="AERtable-text"/>
        <w:tblW w:w="5000" w:type="pct"/>
        <w:tblLook w:val="04A0" w:firstRow="1" w:lastRow="0" w:firstColumn="1" w:lastColumn="0" w:noHBand="0" w:noVBand="1"/>
      </w:tblPr>
      <w:tblGrid>
        <w:gridCol w:w="3647"/>
        <w:gridCol w:w="5595"/>
      </w:tblGrid>
      <w:tr w:rsidR="00DA0867" w:rsidRPr="00A77A6A" w:rsidTr="00DA0867">
        <w:trPr>
          <w:cnfStyle w:val="100000000000" w:firstRow="1" w:lastRow="0" w:firstColumn="0" w:lastColumn="0" w:oddVBand="0" w:evenVBand="0" w:oddHBand="0" w:evenHBand="0" w:firstRowFirstColumn="0" w:firstRowLastColumn="0" w:lastRowFirstColumn="0" w:lastRowLastColumn="0"/>
        </w:trPr>
        <w:tc>
          <w:tcPr>
            <w:tcW w:w="1973" w:type="pct"/>
          </w:tcPr>
          <w:p w:rsidR="00DA0867" w:rsidRPr="0055177B" w:rsidRDefault="00DA0867" w:rsidP="00DA0867">
            <w:pPr>
              <w:pStyle w:val="AERbodytext"/>
              <w:numPr>
                <w:ilvl w:val="0"/>
                <w:numId w:val="6"/>
              </w:numPr>
            </w:pPr>
            <w:r w:rsidRPr="0055177B">
              <w:t>Material</w:t>
            </w:r>
            <w:r>
              <w:t xml:space="preserve"> (step one)</w:t>
            </w:r>
          </w:p>
        </w:tc>
        <w:tc>
          <w:tcPr>
            <w:tcW w:w="3027" w:type="pct"/>
          </w:tcPr>
          <w:p w:rsidR="00DA0867" w:rsidRPr="0055177B" w:rsidRDefault="00DA0867" w:rsidP="00DA0867">
            <w:pPr>
              <w:pStyle w:val="AERbodytext"/>
              <w:numPr>
                <w:ilvl w:val="0"/>
                <w:numId w:val="6"/>
              </w:numPr>
            </w:pPr>
            <w:r w:rsidRPr="0055177B">
              <w:t>Role</w:t>
            </w:r>
            <w:r>
              <w:t xml:space="preserve"> (step two)</w:t>
            </w:r>
          </w:p>
        </w:tc>
      </w:tr>
      <w:tr w:rsidR="00DA0867" w:rsidRPr="00A77A6A" w:rsidTr="00DA0867">
        <w:tc>
          <w:tcPr>
            <w:tcW w:w="1973" w:type="pct"/>
          </w:tcPr>
          <w:p w:rsidR="00DA0867" w:rsidRPr="0055177B" w:rsidRDefault="00DA0867" w:rsidP="00DA0867">
            <w:pPr>
              <w:pStyle w:val="AERbodytext"/>
              <w:numPr>
                <w:ilvl w:val="0"/>
                <w:numId w:val="6"/>
              </w:numPr>
            </w:pPr>
            <w:r w:rsidRPr="0055177B">
              <w:t>Sharpe–Lintner CAPM</w:t>
            </w:r>
          </w:p>
        </w:tc>
        <w:tc>
          <w:tcPr>
            <w:tcW w:w="3027" w:type="pct"/>
          </w:tcPr>
          <w:p w:rsidR="00DA0867" w:rsidRPr="0055177B" w:rsidRDefault="00DA0867" w:rsidP="00DA0867">
            <w:pPr>
              <w:pStyle w:val="AERbodytext"/>
              <w:numPr>
                <w:ilvl w:val="0"/>
                <w:numId w:val="6"/>
              </w:numPr>
            </w:pPr>
            <w:r w:rsidRPr="0055177B">
              <w:t>Foundation model</w:t>
            </w:r>
          </w:p>
        </w:tc>
      </w:tr>
      <w:tr w:rsidR="00DA0867" w:rsidRPr="00A77A6A" w:rsidTr="00DA0867">
        <w:trPr>
          <w:cnfStyle w:val="000000010000" w:firstRow="0" w:lastRow="0" w:firstColumn="0" w:lastColumn="0" w:oddVBand="0" w:evenVBand="0" w:oddHBand="0" w:evenHBand="1" w:firstRowFirstColumn="0" w:firstRowLastColumn="0" w:lastRowFirstColumn="0" w:lastRowLastColumn="0"/>
        </w:trPr>
        <w:tc>
          <w:tcPr>
            <w:tcW w:w="1973" w:type="pct"/>
          </w:tcPr>
          <w:p w:rsidR="00DA0867" w:rsidRPr="0055177B" w:rsidRDefault="00DA0867" w:rsidP="00DA0867">
            <w:pPr>
              <w:pStyle w:val="AERbodytext"/>
              <w:numPr>
                <w:ilvl w:val="0"/>
                <w:numId w:val="6"/>
              </w:numPr>
            </w:pPr>
            <w:r w:rsidRPr="0055177B">
              <w:t>Black CAPM</w:t>
            </w:r>
          </w:p>
        </w:tc>
        <w:tc>
          <w:tcPr>
            <w:tcW w:w="3027" w:type="pct"/>
          </w:tcPr>
          <w:p w:rsidR="00DA0867" w:rsidRPr="0055177B" w:rsidRDefault="00DA0867" w:rsidP="00DA0867">
            <w:pPr>
              <w:pStyle w:val="AERbodytext"/>
              <w:numPr>
                <w:ilvl w:val="0"/>
                <w:numId w:val="6"/>
              </w:numPr>
            </w:pPr>
            <w:r w:rsidRPr="0055177B">
              <w:t>Inform foundation model parameter estimate</w:t>
            </w:r>
            <w:r>
              <w:t>s</w:t>
            </w:r>
            <w:r w:rsidRPr="0055177B">
              <w:t xml:space="preserve"> (equity beta)</w:t>
            </w:r>
          </w:p>
        </w:tc>
      </w:tr>
      <w:tr w:rsidR="00DA0867" w:rsidRPr="00A77A6A" w:rsidTr="00DA0867">
        <w:tc>
          <w:tcPr>
            <w:tcW w:w="1973" w:type="pct"/>
          </w:tcPr>
          <w:p w:rsidR="00DA0867" w:rsidRPr="0055177B" w:rsidRDefault="00DA0867" w:rsidP="00DA0867">
            <w:pPr>
              <w:pStyle w:val="AERbodytext"/>
              <w:numPr>
                <w:ilvl w:val="0"/>
                <w:numId w:val="6"/>
              </w:numPr>
            </w:pPr>
            <w:r>
              <w:t>Dividend growth models</w:t>
            </w:r>
          </w:p>
        </w:tc>
        <w:tc>
          <w:tcPr>
            <w:tcW w:w="3027" w:type="pct"/>
          </w:tcPr>
          <w:p w:rsidR="00DA0867" w:rsidRPr="0055177B" w:rsidRDefault="00DA0867" w:rsidP="00DA0867">
            <w:pPr>
              <w:pStyle w:val="AERbodytext"/>
              <w:numPr>
                <w:ilvl w:val="0"/>
                <w:numId w:val="6"/>
              </w:numPr>
            </w:pPr>
            <w:r w:rsidRPr="0055177B">
              <w:t>Inform foundation model parameter estimate</w:t>
            </w:r>
            <w:r>
              <w:t>s</w:t>
            </w:r>
            <w:r w:rsidRPr="0055177B">
              <w:t xml:space="preserve"> (</w:t>
            </w:r>
            <w:r>
              <w:t>market risk premium</w:t>
            </w:r>
            <w:r w:rsidRPr="0055177B">
              <w:t>)</w:t>
            </w:r>
          </w:p>
        </w:tc>
      </w:tr>
      <w:tr w:rsidR="00DA0867" w:rsidRPr="00A77A6A" w:rsidTr="00DA0867">
        <w:trPr>
          <w:cnfStyle w:val="000000010000" w:firstRow="0" w:lastRow="0" w:firstColumn="0" w:lastColumn="0" w:oddVBand="0" w:evenVBand="0" w:oddHBand="0" w:evenHBand="1" w:firstRowFirstColumn="0" w:firstRowLastColumn="0" w:lastRowFirstColumn="0" w:lastRowLastColumn="0"/>
        </w:trPr>
        <w:tc>
          <w:tcPr>
            <w:tcW w:w="1973" w:type="pct"/>
          </w:tcPr>
          <w:p w:rsidR="00DA0867" w:rsidRPr="0055177B" w:rsidRDefault="00DA0867" w:rsidP="00DA0867">
            <w:pPr>
              <w:pStyle w:val="AERbodytext"/>
              <w:numPr>
                <w:ilvl w:val="0"/>
                <w:numId w:val="6"/>
              </w:numPr>
            </w:pPr>
            <w:r w:rsidRPr="0055177B">
              <w:t>Fama–French</w:t>
            </w:r>
            <w:r>
              <w:t xml:space="preserve"> three factor</w:t>
            </w:r>
            <w:r w:rsidRPr="0055177B">
              <w:t xml:space="preserve"> model</w:t>
            </w:r>
          </w:p>
        </w:tc>
        <w:tc>
          <w:tcPr>
            <w:tcW w:w="3027" w:type="pct"/>
          </w:tcPr>
          <w:p w:rsidR="00DA0867" w:rsidRPr="0055177B" w:rsidRDefault="00DA0867" w:rsidP="00DA0867">
            <w:pPr>
              <w:pStyle w:val="AERbodytext"/>
              <w:numPr>
                <w:ilvl w:val="0"/>
                <w:numId w:val="6"/>
              </w:numPr>
            </w:pPr>
            <w:r w:rsidRPr="0055177B">
              <w:t>No role</w:t>
            </w:r>
          </w:p>
        </w:tc>
      </w:tr>
    </w:tbl>
    <w:p w:rsidR="008971BE" w:rsidRDefault="008971BE" w:rsidP="008971BE">
      <w:pPr>
        <w:pStyle w:val="AERtablesource"/>
      </w:pPr>
      <w:r>
        <w:t>Source:</w:t>
      </w:r>
      <w:r>
        <w:tab/>
        <w:t>AER analysis.</w:t>
      </w:r>
    </w:p>
    <w:p w:rsidR="00B105D6" w:rsidRPr="00F11654" w:rsidRDefault="008971BE" w:rsidP="00B105D6">
      <w:pPr>
        <w:spacing w:after="0" w:line="240" w:lineRule="auto"/>
        <w:jc w:val="left"/>
      </w:pPr>
      <w:r>
        <w:t>The outcome of the AER's assessment of other relevant information is outlined in</w:t>
      </w:r>
      <w:r w:rsidR="00B105D6">
        <w:t xml:space="preserve"> table 2.</w:t>
      </w:r>
    </w:p>
    <w:p w:rsidR="00311F12" w:rsidRPr="00EA0694" w:rsidRDefault="00311F12" w:rsidP="00EA0694">
      <w:pPr>
        <w:spacing w:after="0" w:line="240" w:lineRule="auto"/>
        <w:jc w:val="left"/>
        <w:rPr>
          <w:rFonts w:eastAsia="Times New Roman"/>
          <w:b/>
          <w:bCs/>
          <w:szCs w:val="18"/>
        </w:rPr>
      </w:pPr>
    </w:p>
    <w:p w:rsidR="007D7D13" w:rsidRDefault="007D7D13">
      <w:pPr>
        <w:spacing w:after="0" w:line="240" w:lineRule="auto"/>
        <w:jc w:val="left"/>
        <w:rPr>
          <w:rFonts w:eastAsia="Times New Roman"/>
          <w:b/>
          <w:bCs/>
          <w:szCs w:val="18"/>
        </w:rPr>
      </w:pPr>
      <w:bookmarkStart w:id="50" w:name="_Ref363732038"/>
      <w:r>
        <w:br w:type="page"/>
      </w:r>
    </w:p>
    <w:p w:rsidR="008971BE" w:rsidRDefault="008971BE" w:rsidP="008971BE">
      <w:pPr>
        <w:pStyle w:val="Caption"/>
      </w:pPr>
      <w:r>
        <w:lastRenderedPageBreak/>
        <w:t xml:space="preserve">Table </w:t>
      </w:r>
      <w:r w:rsidRPr="008971BE">
        <w:fldChar w:fldCharType="begin"/>
      </w:r>
      <w:r>
        <w:instrText xml:space="preserve"> SEQ Table \* ARABIC </w:instrText>
      </w:r>
      <w:r w:rsidRPr="008971BE">
        <w:fldChar w:fldCharType="separate"/>
      </w:r>
      <w:r w:rsidR="00B105D6">
        <w:rPr>
          <w:noProof/>
        </w:rPr>
        <w:t>2</w:t>
      </w:r>
      <w:r w:rsidRPr="008971BE">
        <w:fldChar w:fldCharType="end"/>
      </w:r>
      <w:bookmarkEnd w:id="50"/>
      <w:r>
        <w:tab/>
        <w:t>Role of other information</w:t>
      </w:r>
    </w:p>
    <w:tbl>
      <w:tblPr>
        <w:tblStyle w:val="AERtable-text"/>
        <w:tblW w:w="5000" w:type="pct"/>
        <w:tblLook w:val="04A0" w:firstRow="1" w:lastRow="0" w:firstColumn="1" w:lastColumn="0" w:noHBand="0" w:noVBand="1"/>
      </w:tblPr>
      <w:tblGrid>
        <w:gridCol w:w="3647"/>
        <w:gridCol w:w="5595"/>
      </w:tblGrid>
      <w:tr w:rsidR="003F243D" w:rsidRPr="00A77A6A" w:rsidTr="00EB6636">
        <w:trPr>
          <w:cnfStyle w:val="100000000000" w:firstRow="1" w:lastRow="0" w:firstColumn="0" w:lastColumn="0" w:oddVBand="0" w:evenVBand="0" w:oddHBand="0" w:evenHBand="0" w:firstRowFirstColumn="0" w:firstRowLastColumn="0" w:lastRowFirstColumn="0" w:lastRowLastColumn="0"/>
        </w:trPr>
        <w:tc>
          <w:tcPr>
            <w:tcW w:w="1973" w:type="pct"/>
          </w:tcPr>
          <w:p w:rsidR="003F243D" w:rsidRPr="0055177B" w:rsidRDefault="003F243D" w:rsidP="003F243D">
            <w:pPr>
              <w:pStyle w:val="AERbodytext"/>
              <w:numPr>
                <w:ilvl w:val="0"/>
                <w:numId w:val="6"/>
              </w:numPr>
            </w:pPr>
            <w:r w:rsidRPr="0055177B">
              <w:t>Material</w:t>
            </w:r>
            <w:r>
              <w:t xml:space="preserve"> (step one)</w:t>
            </w:r>
          </w:p>
        </w:tc>
        <w:tc>
          <w:tcPr>
            <w:tcW w:w="3027" w:type="pct"/>
          </w:tcPr>
          <w:p w:rsidR="003F243D" w:rsidRPr="0055177B" w:rsidRDefault="003F243D" w:rsidP="003F243D">
            <w:pPr>
              <w:pStyle w:val="AERbodytext"/>
              <w:numPr>
                <w:ilvl w:val="0"/>
                <w:numId w:val="6"/>
              </w:numPr>
            </w:pPr>
            <w:r w:rsidRPr="0055177B">
              <w:t>Role</w:t>
            </w:r>
            <w:r>
              <w:t xml:space="preserve"> (step two)</w:t>
            </w:r>
          </w:p>
        </w:tc>
      </w:tr>
      <w:tr w:rsidR="003F243D" w:rsidRPr="00A77A6A" w:rsidTr="00EB6636">
        <w:tc>
          <w:tcPr>
            <w:tcW w:w="1973" w:type="pct"/>
          </w:tcPr>
          <w:p w:rsidR="003F243D" w:rsidRPr="003F243D" w:rsidRDefault="003F243D" w:rsidP="003F243D">
            <w:pPr>
              <w:pStyle w:val="AERbodytext"/>
            </w:pPr>
            <w:r w:rsidRPr="003F243D">
              <w:t>Historical excess returns</w:t>
            </w:r>
          </w:p>
        </w:tc>
        <w:tc>
          <w:tcPr>
            <w:tcW w:w="3027" w:type="pct"/>
            <w:vAlign w:val="top"/>
          </w:tcPr>
          <w:p w:rsidR="003F243D" w:rsidRPr="003F243D" w:rsidRDefault="003F243D" w:rsidP="003F243D">
            <w:pPr>
              <w:pStyle w:val="AERbodytext"/>
            </w:pPr>
            <w:r w:rsidRPr="003F243D">
              <w:t>Inform foundation model parameter estimates (</w:t>
            </w:r>
            <w:r>
              <w:t>market risk premium</w:t>
            </w:r>
            <w:r w:rsidRPr="003F243D">
              <w:t>)</w:t>
            </w:r>
          </w:p>
        </w:tc>
      </w:tr>
      <w:tr w:rsidR="003F243D" w:rsidRPr="00A77A6A" w:rsidTr="00EB6636">
        <w:trPr>
          <w:cnfStyle w:val="000000010000" w:firstRow="0" w:lastRow="0" w:firstColumn="0" w:lastColumn="0" w:oddVBand="0" w:evenVBand="0" w:oddHBand="0" w:evenHBand="1" w:firstRowFirstColumn="0" w:firstRowLastColumn="0" w:lastRowFirstColumn="0" w:lastRowLastColumn="0"/>
        </w:trPr>
        <w:tc>
          <w:tcPr>
            <w:tcW w:w="1973" w:type="pct"/>
          </w:tcPr>
          <w:p w:rsidR="003F243D" w:rsidRPr="003F243D" w:rsidRDefault="003F243D" w:rsidP="003F243D">
            <w:pPr>
              <w:pStyle w:val="AERbodytext"/>
            </w:pPr>
            <w:r w:rsidRPr="003F243D">
              <w:t xml:space="preserve">Survey evidence of the </w:t>
            </w:r>
            <w:r>
              <w:t>market risk premium</w:t>
            </w:r>
          </w:p>
        </w:tc>
        <w:tc>
          <w:tcPr>
            <w:tcW w:w="3027" w:type="pct"/>
            <w:vAlign w:val="top"/>
          </w:tcPr>
          <w:p w:rsidR="003F243D" w:rsidRPr="003F243D" w:rsidRDefault="003F243D" w:rsidP="003F243D">
            <w:pPr>
              <w:pStyle w:val="AERbodytext"/>
            </w:pPr>
            <w:r w:rsidRPr="003F243D">
              <w:t>Inform foundation model parameter estimates (</w:t>
            </w:r>
            <w:r>
              <w:t>market risk premium</w:t>
            </w:r>
            <w:r w:rsidRPr="003F243D">
              <w:t>)</w:t>
            </w:r>
          </w:p>
        </w:tc>
      </w:tr>
      <w:tr w:rsidR="003F243D" w:rsidRPr="00A77A6A" w:rsidTr="00EB6636">
        <w:tc>
          <w:tcPr>
            <w:tcW w:w="1973" w:type="pct"/>
          </w:tcPr>
          <w:p w:rsidR="003F243D" w:rsidRPr="003F243D" w:rsidRDefault="003F243D" w:rsidP="003F243D">
            <w:pPr>
              <w:pStyle w:val="AERbodytext"/>
            </w:pPr>
            <w:r w:rsidRPr="003F243D">
              <w:t>Implied volatility</w:t>
            </w:r>
          </w:p>
        </w:tc>
        <w:tc>
          <w:tcPr>
            <w:tcW w:w="3027" w:type="pct"/>
            <w:vAlign w:val="top"/>
          </w:tcPr>
          <w:p w:rsidR="003F243D" w:rsidRPr="003F243D" w:rsidRDefault="003F243D" w:rsidP="003F243D">
            <w:pPr>
              <w:pStyle w:val="AERbodytext"/>
            </w:pPr>
            <w:r w:rsidRPr="003F243D">
              <w:t>Inform foundation model parameter estimates (</w:t>
            </w:r>
            <w:r>
              <w:t>market risk premium</w:t>
            </w:r>
            <w:r w:rsidRPr="003F243D">
              <w:t>)</w:t>
            </w:r>
          </w:p>
        </w:tc>
      </w:tr>
      <w:tr w:rsidR="003F243D" w:rsidRPr="00A77A6A" w:rsidTr="00EB6636">
        <w:trPr>
          <w:cnfStyle w:val="000000010000" w:firstRow="0" w:lastRow="0" w:firstColumn="0" w:lastColumn="0" w:oddVBand="0" w:evenVBand="0" w:oddHBand="0" w:evenHBand="1" w:firstRowFirstColumn="0" w:firstRowLastColumn="0" w:lastRowFirstColumn="0" w:lastRowLastColumn="0"/>
        </w:trPr>
        <w:tc>
          <w:tcPr>
            <w:tcW w:w="1973" w:type="pct"/>
          </w:tcPr>
          <w:p w:rsidR="003F243D" w:rsidRPr="003F243D" w:rsidRDefault="003F243D" w:rsidP="003F243D">
            <w:pPr>
              <w:pStyle w:val="AERbodytext"/>
            </w:pPr>
            <w:r w:rsidRPr="003F243D">
              <w:t xml:space="preserve">Other regulators’ </w:t>
            </w:r>
            <w:r>
              <w:t>market risk premium</w:t>
            </w:r>
            <w:r w:rsidRPr="003F243D">
              <w:t xml:space="preserve"> estimates</w:t>
            </w:r>
          </w:p>
        </w:tc>
        <w:tc>
          <w:tcPr>
            <w:tcW w:w="3027" w:type="pct"/>
            <w:vAlign w:val="top"/>
          </w:tcPr>
          <w:p w:rsidR="003F243D" w:rsidRPr="003F243D" w:rsidRDefault="003F243D" w:rsidP="003F243D">
            <w:pPr>
              <w:pStyle w:val="AERbodytext"/>
            </w:pPr>
            <w:r w:rsidRPr="003F243D">
              <w:t>Inform foundation model parameter estimates (</w:t>
            </w:r>
            <w:r>
              <w:t>market risk premium</w:t>
            </w:r>
            <w:r w:rsidRPr="003F243D">
              <w:t>)</w:t>
            </w:r>
          </w:p>
        </w:tc>
      </w:tr>
      <w:tr w:rsidR="003F243D" w:rsidRPr="00A77A6A" w:rsidTr="00EB6636">
        <w:tc>
          <w:tcPr>
            <w:tcW w:w="1973" w:type="pct"/>
          </w:tcPr>
          <w:p w:rsidR="003F243D" w:rsidRPr="003F243D" w:rsidRDefault="003F243D" w:rsidP="003F243D">
            <w:pPr>
              <w:pStyle w:val="AERbodytext"/>
            </w:pPr>
            <w:r w:rsidRPr="003F243D">
              <w:t>Historical equity beta estimates</w:t>
            </w:r>
          </w:p>
        </w:tc>
        <w:tc>
          <w:tcPr>
            <w:tcW w:w="3027" w:type="pct"/>
          </w:tcPr>
          <w:p w:rsidR="003F243D" w:rsidRPr="003F243D" w:rsidRDefault="003F243D" w:rsidP="003F243D">
            <w:pPr>
              <w:pStyle w:val="AERbodytext"/>
            </w:pPr>
            <w:r w:rsidRPr="003F243D">
              <w:t>Inform foundation model parameter estimates (equity beta)</w:t>
            </w:r>
          </w:p>
        </w:tc>
      </w:tr>
      <w:tr w:rsidR="003F243D" w:rsidRPr="00A77A6A" w:rsidTr="00EB6636">
        <w:trPr>
          <w:cnfStyle w:val="000000010000" w:firstRow="0" w:lastRow="0" w:firstColumn="0" w:lastColumn="0" w:oddVBand="0" w:evenVBand="0" w:oddHBand="0" w:evenHBand="1" w:firstRowFirstColumn="0" w:firstRowLastColumn="0" w:lastRowFirstColumn="0" w:lastRowLastColumn="0"/>
        </w:trPr>
        <w:tc>
          <w:tcPr>
            <w:tcW w:w="1973" w:type="pct"/>
          </w:tcPr>
          <w:p w:rsidR="003F243D" w:rsidRPr="003F243D" w:rsidRDefault="003F243D" w:rsidP="003F243D">
            <w:pPr>
              <w:pStyle w:val="AERbodytext"/>
            </w:pPr>
            <w:r w:rsidRPr="003F243D">
              <w:t>Commonwealth government securities</w:t>
            </w:r>
          </w:p>
        </w:tc>
        <w:tc>
          <w:tcPr>
            <w:tcW w:w="3027" w:type="pct"/>
          </w:tcPr>
          <w:p w:rsidR="003F243D" w:rsidRPr="003F243D" w:rsidRDefault="003F243D" w:rsidP="003F243D">
            <w:pPr>
              <w:pStyle w:val="AERbodytext"/>
            </w:pPr>
            <w:r w:rsidRPr="003F243D">
              <w:t>Inform foundation model parameter estimates (</w:t>
            </w:r>
            <w:r w:rsidR="00CA4BFD">
              <w:t>risk free rate</w:t>
            </w:r>
            <w:r w:rsidRPr="003F243D">
              <w:t>)</w:t>
            </w:r>
          </w:p>
        </w:tc>
      </w:tr>
      <w:tr w:rsidR="003F243D" w:rsidRPr="00A77A6A" w:rsidTr="00EB6636">
        <w:tc>
          <w:tcPr>
            <w:tcW w:w="1973" w:type="pct"/>
          </w:tcPr>
          <w:p w:rsidR="003F243D" w:rsidRPr="003F243D" w:rsidRDefault="003F243D" w:rsidP="003F243D">
            <w:pPr>
              <w:pStyle w:val="AERbodytext"/>
            </w:pPr>
            <w:r w:rsidRPr="003F243D">
              <w:t xml:space="preserve">Professor Wright approach </w:t>
            </w:r>
          </w:p>
        </w:tc>
        <w:tc>
          <w:tcPr>
            <w:tcW w:w="3027" w:type="pct"/>
          </w:tcPr>
          <w:p w:rsidR="003F243D" w:rsidRPr="003F243D" w:rsidRDefault="003F243D" w:rsidP="003F243D">
            <w:pPr>
              <w:pStyle w:val="AERbodytext"/>
            </w:pPr>
            <w:r w:rsidRPr="003F243D">
              <w:t>Inform the overall return on equity</w:t>
            </w:r>
          </w:p>
        </w:tc>
      </w:tr>
      <w:tr w:rsidR="003F243D" w:rsidRPr="00A77A6A" w:rsidTr="00EB6636">
        <w:trPr>
          <w:cnfStyle w:val="000000010000" w:firstRow="0" w:lastRow="0" w:firstColumn="0" w:lastColumn="0" w:oddVBand="0" w:evenVBand="0" w:oddHBand="0" w:evenHBand="1" w:firstRowFirstColumn="0" w:firstRowLastColumn="0" w:lastRowFirstColumn="0" w:lastRowLastColumn="0"/>
        </w:trPr>
        <w:tc>
          <w:tcPr>
            <w:tcW w:w="1973" w:type="pct"/>
          </w:tcPr>
          <w:p w:rsidR="003F243D" w:rsidRPr="003F243D" w:rsidRDefault="003F243D" w:rsidP="003F243D">
            <w:pPr>
              <w:pStyle w:val="AERbodytext"/>
            </w:pPr>
            <w:r w:rsidRPr="003F243D">
              <w:t>Takeover/valuation reports</w:t>
            </w:r>
          </w:p>
        </w:tc>
        <w:tc>
          <w:tcPr>
            <w:tcW w:w="3027" w:type="pct"/>
          </w:tcPr>
          <w:p w:rsidR="003F243D" w:rsidRPr="003F243D" w:rsidRDefault="003F243D" w:rsidP="003F243D">
            <w:pPr>
              <w:pStyle w:val="AERbodytext"/>
            </w:pPr>
            <w:r w:rsidRPr="003F243D">
              <w:t>Inform the overall return on equity</w:t>
            </w:r>
          </w:p>
        </w:tc>
      </w:tr>
      <w:tr w:rsidR="003F243D" w:rsidRPr="00A77A6A" w:rsidTr="00EB6636">
        <w:tc>
          <w:tcPr>
            <w:tcW w:w="1973" w:type="pct"/>
          </w:tcPr>
          <w:p w:rsidR="003F243D" w:rsidRPr="003F243D" w:rsidRDefault="003F243D" w:rsidP="003F243D">
            <w:pPr>
              <w:pStyle w:val="AERbodytext"/>
            </w:pPr>
            <w:r w:rsidRPr="003F243D">
              <w:t>Broker return on equity estimates</w:t>
            </w:r>
          </w:p>
        </w:tc>
        <w:tc>
          <w:tcPr>
            <w:tcW w:w="3027" w:type="pct"/>
          </w:tcPr>
          <w:p w:rsidR="003F243D" w:rsidRPr="003F243D" w:rsidRDefault="003F243D" w:rsidP="003F243D">
            <w:pPr>
              <w:pStyle w:val="AERbodytext"/>
            </w:pPr>
            <w:r w:rsidRPr="003F243D">
              <w:t>Inform the overall return on equity</w:t>
            </w:r>
          </w:p>
        </w:tc>
      </w:tr>
      <w:tr w:rsidR="003F243D" w:rsidRPr="00A77A6A" w:rsidTr="00EB6636">
        <w:trPr>
          <w:cnfStyle w:val="000000010000" w:firstRow="0" w:lastRow="0" w:firstColumn="0" w:lastColumn="0" w:oddVBand="0" w:evenVBand="0" w:oddHBand="0" w:evenHBand="1" w:firstRowFirstColumn="0" w:firstRowLastColumn="0" w:lastRowFirstColumn="0" w:lastRowLastColumn="0"/>
        </w:trPr>
        <w:tc>
          <w:tcPr>
            <w:tcW w:w="1973" w:type="pct"/>
          </w:tcPr>
          <w:p w:rsidR="003F243D" w:rsidRPr="003F243D" w:rsidRDefault="003F243D" w:rsidP="003F243D">
            <w:pPr>
              <w:pStyle w:val="AERbodytext"/>
            </w:pPr>
            <w:r w:rsidRPr="003F243D">
              <w:t>Other regulators’ return on equity estimates</w:t>
            </w:r>
          </w:p>
        </w:tc>
        <w:tc>
          <w:tcPr>
            <w:tcW w:w="3027" w:type="pct"/>
          </w:tcPr>
          <w:p w:rsidR="003F243D" w:rsidRPr="003F243D" w:rsidRDefault="003F243D" w:rsidP="003F243D">
            <w:pPr>
              <w:pStyle w:val="AERbodytext"/>
            </w:pPr>
            <w:r w:rsidRPr="003F243D">
              <w:t xml:space="preserve">Inform the overall return on equity </w:t>
            </w:r>
          </w:p>
        </w:tc>
      </w:tr>
      <w:tr w:rsidR="003F243D" w:rsidRPr="00A77A6A" w:rsidTr="00EB6636">
        <w:tc>
          <w:tcPr>
            <w:tcW w:w="1973" w:type="pct"/>
          </w:tcPr>
          <w:p w:rsidR="003F243D" w:rsidRPr="003F243D" w:rsidRDefault="003F243D" w:rsidP="003F243D">
            <w:pPr>
              <w:pStyle w:val="AERbodytext"/>
            </w:pPr>
            <w:r w:rsidRPr="003F243D">
              <w:t>Debt spreads</w:t>
            </w:r>
          </w:p>
        </w:tc>
        <w:tc>
          <w:tcPr>
            <w:tcW w:w="3027" w:type="pct"/>
          </w:tcPr>
          <w:p w:rsidR="003F243D" w:rsidRPr="003F243D" w:rsidRDefault="003F243D" w:rsidP="003F243D">
            <w:pPr>
              <w:pStyle w:val="AERbodytext"/>
            </w:pPr>
            <w:r w:rsidRPr="003F243D">
              <w:t xml:space="preserve">Inform the overall return on equity </w:t>
            </w:r>
          </w:p>
        </w:tc>
      </w:tr>
      <w:tr w:rsidR="003F243D" w:rsidRPr="00A77A6A" w:rsidTr="00EB6636">
        <w:trPr>
          <w:cnfStyle w:val="000000010000" w:firstRow="0" w:lastRow="0" w:firstColumn="0" w:lastColumn="0" w:oddVBand="0" w:evenVBand="0" w:oddHBand="0" w:evenHBand="1" w:firstRowFirstColumn="0" w:firstRowLastColumn="0" w:lastRowFirstColumn="0" w:lastRowLastColumn="0"/>
        </w:trPr>
        <w:tc>
          <w:tcPr>
            <w:tcW w:w="1973" w:type="pct"/>
          </w:tcPr>
          <w:p w:rsidR="003F243D" w:rsidRPr="003F243D" w:rsidRDefault="003F243D" w:rsidP="003F243D">
            <w:pPr>
              <w:pStyle w:val="AERbodytext"/>
            </w:pPr>
            <w:r w:rsidRPr="003F243D">
              <w:t>Dividend yield</w:t>
            </w:r>
          </w:p>
        </w:tc>
        <w:tc>
          <w:tcPr>
            <w:tcW w:w="3027" w:type="pct"/>
          </w:tcPr>
          <w:p w:rsidR="003F243D" w:rsidRPr="003F243D" w:rsidRDefault="003F243D" w:rsidP="003F243D">
            <w:pPr>
              <w:pStyle w:val="AERbodytext"/>
            </w:pPr>
            <w:r w:rsidRPr="003F243D">
              <w:t xml:space="preserve">Inform the overall return on equity </w:t>
            </w:r>
          </w:p>
        </w:tc>
      </w:tr>
      <w:tr w:rsidR="003F243D" w:rsidRPr="00A77A6A" w:rsidTr="00EB6636">
        <w:tc>
          <w:tcPr>
            <w:tcW w:w="1973" w:type="pct"/>
          </w:tcPr>
          <w:p w:rsidR="003F243D" w:rsidRPr="003F243D" w:rsidRDefault="003F243D" w:rsidP="003F243D">
            <w:pPr>
              <w:pStyle w:val="AERbodytext"/>
            </w:pPr>
            <w:r w:rsidRPr="003F243D">
              <w:t>Comparison with return on debt</w:t>
            </w:r>
          </w:p>
        </w:tc>
        <w:tc>
          <w:tcPr>
            <w:tcW w:w="3027" w:type="pct"/>
          </w:tcPr>
          <w:p w:rsidR="003F243D" w:rsidRPr="003F243D" w:rsidRDefault="003F243D" w:rsidP="003F243D">
            <w:pPr>
              <w:pStyle w:val="AERbodytext"/>
            </w:pPr>
            <w:r w:rsidRPr="003F243D">
              <w:t>Inform the overall return on equity</w:t>
            </w:r>
          </w:p>
        </w:tc>
      </w:tr>
      <w:tr w:rsidR="003F243D" w:rsidRPr="00A77A6A" w:rsidTr="00EB6636">
        <w:trPr>
          <w:cnfStyle w:val="000000010000" w:firstRow="0" w:lastRow="0" w:firstColumn="0" w:lastColumn="0" w:oddVBand="0" w:evenVBand="0" w:oddHBand="0" w:evenHBand="1" w:firstRowFirstColumn="0" w:firstRowLastColumn="0" w:lastRowFirstColumn="0" w:lastRowLastColumn="0"/>
        </w:trPr>
        <w:tc>
          <w:tcPr>
            <w:tcW w:w="1973" w:type="pct"/>
            <w:vAlign w:val="top"/>
          </w:tcPr>
          <w:p w:rsidR="003F243D" w:rsidRPr="003F243D" w:rsidRDefault="003F243D" w:rsidP="003F243D">
            <w:pPr>
              <w:pStyle w:val="AERbodytext"/>
            </w:pPr>
            <w:r w:rsidRPr="003F243D">
              <w:t>Trading multiples</w:t>
            </w:r>
          </w:p>
        </w:tc>
        <w:tc>
          <w:tcPr>
            <w:tcW w:w="3027" w:type="pct"/>
            <w:vAlign w:val="top"/>
          </w:tcPr>
          <w:p w:rsidR="003F243D" w:rsidRPr="003F243D" w:rsidRDefault="003F243D" w:rsidP="003F243D">
            <w:pPr>
              <w:pStyle w:val="AERbodytext"/>
            </w:pPr>
            <w:r w:rsidRPr="003F243D">
              <w:t>No role informing return on equity (assess overall rate of return only)</w:t>
            </w:r>
          </w:p>
        </w:tc>
      </w:tr>
      <w:tr w:rsidR="003F243D" w:rsidRPr="00A77A6A" w:rsidTr="00EB6636">
        <w:tc>
          <w:tcPr>
            <w:tcW w:w="1973" w:type="pct"/>
            <w:vAlign w:val="top"/>
          </w:tcPr>
          <w:p w:rsidR="003F243D" w:rsidRPr="003F243D" w:rsidRDefault="003F243D" w:rsidP="003F243D">
            <w:pPr>
              <w:pStyle w:val="AERbodytext"/>
            </w:pPr>
            <w:r w:rsidRPr="003F243D">
              <w:t>Asset sales</w:t>
            </w:r>
          </w:p>
        </w:tc>
        <w:tc>
          <w:tcPr>
            <w:tcW w:w="3027" w:type="pct"/>
            <w:vAlign w:val="top"/>
          </w:tcPr>
          <w:p w:rsidR="003F243D" w:rsidRPr="003F243D" w:rsidRDefault="003F243D" w:rsidP="003F243D">
            <w:pPr>
              <w:pStyle w:val="AERbodytext"/>
            </w:pPr>
            <w:r w:rsidRPr="003F243D">
              <w:t>No role informing return on equity (assess overall rate of return only)</w:t>
            </w:r>
          </w:p>
        </w:tc>
      </w:tr>
      <w:tr w:rsidR="003F243D" w:rsidRPr="00A77A6A" w:rsidTr="00EB6636">
        <w:trPr>
          <w:cnfStyle w:val="000000010000" w:firstRow="0" w:lastRow="0" w:firstColumn="0" w:lastColumn="0" w:oddVBand="0" w:evenVBand="0" w:oddHBand="0" w:evenHBand="1" w:firstRowFirstColumn="0" w:firstRowLastColumn="0" w:lastRowFirstColumn="0" w:lastRowLastColumn="0"/>
        </w:trPr>
        <w:tc>
          <w:tcPr>
            <w:tcW w:w="1973" w:type="pct"/>
            <w:vAlign w:val="top"/>
          </w:tcPr>
          <w:p w:rsidR="003F243D" w:rsidRPr="003F243D" w:rsidRDefault="003F243D" w:rsidP="003F243D">
            <w:pPr>
              <w:pStyle w:val="AERbodytext"/>
            </w:pPr>
            <w:r w:rsidRPr="003F243D">
              <w:t>Brokers’ WACC estimates</w:t>
            </w:r>
          </w:p>
        </w:tc>
        <w:tc>
          <w:tcPr>
            <w:tcW w:w="3027" w:type="pct"/>
            <w:vAlign w:val="top"/>
          </w:tcPr>
          <w:p w:rsidR="003F243D" w:rsidRPr="003F243D" w:rsidRDefault="003F243D" w:rsidP="003F243D">
            <w:pPr>
              <w:pStyle w:val="AERbodytext"/>
            </w:pPr>
            <w:r w:rsidRPr="003F243D">
              <w:t>No role</w:t>
            </w:r>
          </w:p>
        </w:tc>
      </w:tr>
      <w:tr w:rsidR="003F243D" w:rsidRPr="00A77A6A" w:rsidTr="00EB6636">
        <w:tc>
          <w:tcPr>
            <w:tcW w:w="1973" w:type="pct"/>
            <w:vAlign w:val="top"/>
          </w:tcPr>
          <w:p w:rsidR="003F243D" w:rsidRPr="003F243D" w:rsidRDefault="003F243D" w:rsidP="003F243D">
            <w:pPr>
              <w:pStyle w:val="AERbodytext"/>
            </w:pPr>
            <w:r w:rsidRPr="003F243D">
              <w:t>Other regulators’ WACC estimates</w:t>
            </w:r>
          </w:p>
        </w:tc>
        <w:tc>
          <w:tcPr>
            <w:tcW w:w="3027" w:type="pct"/>
            <w:vAlign w:val="top"/>
          </w:tcPr>
          <w:p w:rsidR="003F243D" w:rsidRPr="003F243D" w:rsidRDefault="003F243D" w:rsidP="003F243D">
            <w:pPr>
              <w:pStyle w:val="AERbodytext"/>
            </w:pPr>
            <w:r w:rsidRPr="003F243D">
              <w:t>No role</w:t>
            </w:r>
          </w:p>
        </w:tc>
      </w:tr>
      <w:tr w:rsidR="003F243D" w:rsidRPr="00A77A6A" w:rsidTr="00EB6636">
        <w:trPr>
          <w:cnfStyle w:val="000000010000" w:firstRow="0" w:lastRow="0" w:firstColumn="0" w:lastColumn="0" w:oddVBand="0" w:evenVBand="0" w:oddHBand="0" w:evenHBand="1" w:firstRowFirstColumn="0" w:firstRowLastColumn="0" w:lastRowFirstColumn="0" w:lastRowLastColumn="0"/>
        </w:trPr>
        <w:tc>
          <w:tcPr>
            <w:tcW w:w="1973" w:type="pct"/>
          </w:tcPr>
          <w:p w:rsidR="003F243D" w:rsidRPr="003F243D" w:rsidRDefault="003F243D" w:rsidP="003F243D">
            <w:pPr>
              <w:pStyle w:val="AERbodytext"/>
            </w:pPr>
            <w:r w:rsidRPr="003F243D">
              <w:t>Finance metrics</w:t>
            </w:r>
          </w:p>
        </w:tc>
        <w:tc>
          <w:tcPr>
            <w:tcW w:w="3027" w:type="pct"/>
          </w:tcPr>
          <w:p w:rsidR="003F243D" w:rsidRPr="003F243D" w:rsidRDefault="003F243D" w:rsidP="003F243D">
            <w:pPr>
              <w:pStyle w:val="AERbodytext"/>
            </w:pPr>
            <w:r w:rsidRPr="003F243D">
              <w:t>No role</w:t>
            </w:r>
          </w:p>
        </w:tc>
      </w:tr>
    </w:tbl>
    <w:p w:rsidR="008971BE" w:rsidRPr="008157D9" w:rsidRDefault="008971BE" w:rsidP="008971BE">
      <w:pPr>
        <w:pStyle w:val="AERtablesource"/>
      </w:pPr>
      <w:r>
        <w:t>Source:</w:t>
      </w:r>
      <w:r>
        <w:tab/>
        <w:t>AER analysis.</w:t>
      </w:r>
    </w:p>
    <w:p w:rsidR="008971BE" w:rsidRDefault="00D80C99" w:rsidP="008971BE">
      <w:pPr>
        <w:pStyle w:val="Heading3"/>
      </w:pPr>
      <w:bookmarkStart w:id="51" w:name="_Ref363731938"/>
      <w:r>
        <w:t>Step three: i</w:t>
      </w:r>
      <w:r w:rsidR="008971BE">
        <w:t>mplement foundation model</w:t>
      </w:r>
      <w:bookmarkEnd w:id="51"/>
    </w:p>
    <w:p w:rsidR="008971BE" w:rsidRDefault="0052300E" w:rsidP="008971BE">
      <w:r>
        <w:t xml:space="preserve">The AER's third step would be to </w:t>
      </w:r>
      <w:r w:rsidR="008971BE">
        <w:t xml:space="preserve">use the Sharpe–Lintner CAPM as the foundation model. </w:t>
      </w:r>
      <w:r w:rsidR="000B348C">
        <w:t>The AER's</w:t>
      </w:r>
      <w:r w:rsidR="008971BE">
        <w:t xml:space="preserve"> implementation of the Sharpe–Lintner CAPM </w:t>
      </w:r>
      <w:r w:rsidR="000B348C">
        <w:t>would</w:t>
      </w:r>
      <w:r w:rsidR="008971BE">
        <w:t xml:space="preserve"> be as follows: </w:t>
      </w:r>
    </w:p>
    <w:p w:rsidR="008971BE" w:rsidRDefault="008971BE" w:rsidP="008971BE">
      <w:pPr>
        <w:pStyle w:val="AERbulletlistfirststyle"/>
      </w:pPr>
      <w:r>
        <w:t xml:space="preserve">The Sharpe–Lintner CAPM </w:t>
      </w:r>
      <w:r w:rsidR="00536037">
        <w:t>would</w:t>
      </w:r>
      <w:r>
        <w:t xml:space="preserve"> be estimated as the sum of the </w:t>
      </w:r>
      <w:r w:rsidR="00CA4BFD">
        <w:t>risk free rate</w:t>
      </w:r>
      <w:r>
        <w:t>, and the product of the equity beta and market risk premium.</w:t>
      </w:r>
    </w:p>
    <w:p w:rsidR="008971BE" w:rsidRDefault="008971BE" w:rsidP="008971BE">
      <w:pPr>
        <w:pStyle w:val="AERbulletlistfirststyle"/>
      </w:pPr>
      <w:r>
        <w:lastRenderedPageBreak/>
        <w:t xml:space="preserve">The AER </w:t>
      </w:r>
      <w:r w:rsidR="006B195C">
        <w:t xml:space="preserve">would </w:t>
      </w:r>
      <w:r>
        <w:t xml:space="preserve">select </w:t>
      </w:r>
      <w:r w:rsidRPr="006657D6">
        <w:t xml:space="preserve">the </w:t>
      </w:r>
      <w:r w:rsidR="00CA4BFD">
        <w:t>risk free rate</w:t>
      </w:r>
      <w:r w:rsidRPr="006657D6">
        <w:t xml:space="preserve"> by averaging, over a period of time, Commonwealth government securities with a 10 year maturity</w:t>
      </w:r>
      <w:r w:rsidR="00B91726">
        <w:t>.</w:t>
      </w:r>
      <w:r>
        <w:t xml:space="preserve"> The averaging period will be:</w:t>
      </w:r>
    </w:p>
    <w:p w:rsidR="008971BE" w:rsidRDefault="008971BE" w:rsidP="008971BE">
      <w:pPr>
        <w:pStyle w:val="AERbulletlistsecondstyle"/>
        <w:rPr>
          <w:rStyle w:val="AERbody"/>
        </w:rPr>
      </w:pPr>
      <w:r>
        <w:rPr>
          <w:rStyle w:val="AERbody"/>
        </w:rPr>
        <w:t>20 business days in length.</w:t>
      </w:r>
    </w:p>
    <w:p w:rsidR="008971BE" w:rsidRDefault="008971BE" w:rsidP="008971BE">
      <w:pPr>
        <w:pStyle w:val="AERbulletlistsecondstyle"/>
        <w:rPr>
          <w:rStyle w:val="AERbody"/>
        </w:rPr>
      </w:pPr>
      <w:r>
        <w:rPr>
          <w:rStyle w:val="AERbody"/>
        </w:rPr>
        <w:t xml:space="preserve">Nominated in advance by the AER and set out in the draft decision of a particular determination. That is, the averaging period </w:t>
      </w:r>
      <w:r w:rsidR="006B195C">
        <w:rPr>
          <w:rStyle w:val="AERbody"/>
        </w:rPr>
        <w:t xml:space="preserve">would </w:t>
      </w:r>
      <w:r>
        <w:rPr>
          <w:rStyle w:val="AERbody"/>
        </w:rPr>
        <w:t xml:space="preserve">be after the draft decision but before the final decision.  </w:t>
      </w:r>
    </w:p>
    <w:p w:rsidR="008971BE" w:rsidRDefault="008971BE" w:rsidP="008971BE">
      <w:pPr>
        <w:pStyle w:val="AERbulletlistsecondstyle"/>
      </w:pPr>
      <w:r>
        <w:rPr>
          <w:rStyle w:val="AERbody"/>
        </w:rPr>
        <w:t xml:space="preserve">As close as practicably possible to the commencement of the regulatory period. </w:t>
      </w:r>
    </w:p>
    <w:p w:rsidR="008971BE" w:rsidRDefault="008971BE" w:rsidP="008971BE">
      <w:pPr>
        <w:pStyle w:val="AERbulletlistfirststyle"/>
      </w:pPr>
      <w:r>
        <w:t>The e</w:t>
      </w:r>
      <w:r w:rsidRPr="00142229">
        <w:t xml:space="preserve">quity beta </w:t>
      </w:r>
      <w:r>
        <w:t xml:space="preserve">range </w:t>
      </w:r>
      <w:r w:rsidR="006B195C">
        <w:t>would</w:t>
      </w:r>
      <w:r w:rsidR="006B195C" w:rsidRPr="00142229">
        <w:t xml:space="preserve"> </w:t>
      </w:r>
      <w:r w:rsidRPr="00142229">
        <w:t>be estimated with regard to theoretical and empirical evidence—based on the observed equity beta for a comparator set of Australian energy networks, cross checked against overseas energy networks and other Australian utilities.</w:t>
      </w:r>
    </w:p>
    <w:p w:rsidR="008971BE" w:rsidRDefault="008971BE" w:rsidP="008971BE">
      <w:pPr>
        <w:pStyle w:val="AERbulletlistfirststyle"/>
      </w:pPr>
      <w:r>
        <w:t xml:space="preserve">The equity beta point estimate </w:t>
      </w:r>
      <w:r w:rsidR="006B195C">
        <w:t>would</w:t>
      </w:r>
      <w:r w:rsidR="006B195C" w:rsidRPr="00142229">
        <w:t xml:space="preserve"> </w:t>
      </w:r>
      <w:r>
        <w:t xml:space="preserve">be determined based on the AER's regulatory judgement, having regard to the empirical evidence, </w:t>
      </w:r>
      <w:r w:rsidR="00D80C99">
        <w:t xml:space="preserve">the </w:t>
      </w:r>
      <w:r>
        <w:t xml:space="preserve">theory underpinning the Black CAPM and regulatory precedent. </w:t>
      </w:r>
    </w:p>
    <w:p w:rsidR="000235F6" w:rsidRPr="00142229" w:rsidRDefault="003E7BBE" w:rsidP="003E7BBE">
      <w:pPr>
        <w:pStyle w:val="AERbulletlistfirststyle"/>
      </w:pPr>
      <w:r>
        <w:t>T</w:t>
      </w:r>
      <w:r w:rsidR="000235F6">
        <w:t xml:space="preserve">he AER intends on including a beta point estimate and range in its final guideline. </w:t>
      </w:r>
    </w:p>
    <w:p w:rsidR="008971BE" w:rsidRDefault="008971BE" w:rsidP="008971BE">
      <w:pPr>
        <w:pStyle w:val="AERbulletlistfirststyle"/>
      </w:pPr>
      <w:r>
        <w:t>The market risk premium</w:t>
      </w:r>
      <w:r w:rsidRPr="00142229">
        <w:t xml:space="preserve"> </w:t>
      </w:r>
      <w:r>
        <w:t xml:space="preserve">range </w:t>
      </w:r>
      <w:r w:rsidR="006B195C">
        <w:t>would</w:t>
      </w:r>
      <w:r w:rsidR="006B195C" w:rsidRPr="00142229">
        <w:t xml:space="preserve"> </w:t>
      </w:r>
      <w:r w:rsidRPr="00142229">
        <w:t xml:space="preserve">be estimated with regard to theoretical and empirical evidence—based on </w:t>
      </w:r>
      <w:r>
        <w:t xml:space="preserve">evidence including </w:t>
      </w:r>
      <w:r w:rsidRPr="00142229">
        <w:t>historical excess return</w:t>
      </w:r>
      <w:r w:rsidR="00D80C99">
        <w:t>s</w:t>
      </w:r>
      <w:r w:rsidRPr="00142229">
        <w:t>, survey evidence, financial market indicators</w:t>
      </w:r>
      <w:r w:rsidR="00DA0867">
        <w:t xml:space="preserve"> </w:t>
      </w:r>
      <w:r w:rsidRPr="00142229">
        <w:t>and dividend growth model estimates.</w:t>
      </w:r>
      <w:r>
        <w:t xml:space="preserve"> </w:t>
      </w:r>
    </w:p>
    <w:p w:rsidR="008971BE" w:rsidRDefault="008971BE" w:rsidP="008971BE">
      <w:pPr>
        <w:pStyle w:val="AERbulletlistfirststyle"/>
      </w:pPr>
      <w:r>
        <w:t>The market risk premium</w:t>
      </w:r>
      <w:r w:rsidRPr="00142229">
        <w:t xml:space="preserve"> </w:t>
      </w:r>
      <w:r>
        <w:t xml:space="preserve">point estimate </w:t>
      </w:r>
      <w:r w:rsidR="006B195C">
        <w:t>would</w:t>
      </w:r>
      <w:r w:rsidR="006B195C" w:rsidRPr="00142229">
        <w:t xml:space="preserve"> </w:t>
      </w:r>
      <w:r>
        <w:t>be determined based on the AER's regulatory judgement, taking into account estimates from each of those sources of evidence, including their strengths and limitations.</w:t>
      </w:r>
    </w:p>
    <w:p w:rsidR="008971BE" w:rsidRDefault="008971BE" w:rsidP="008971BE">
      <w:pPr>
        <w:pStyle w:val="AERbulletlistfirststyle"/>
      </w:pPr>
      <w:r>
        <w:t xml:space="preserve">The range and point estimate for the return on equity </w:t>
      </w:r>
      <w:r w:rsidR="006B195C">
        <w:t xml:space="preserve">would </w:t>
      </w:r>
      <w:r>
        <w:t xml:space="preserve">be calculated based on the range and point estimates from the corresponding input parameters. For example, the lower bound of the return on equity range would be calculated by applying the point estimate for the </w:t>
      </w:r>
      <w:r w:rsidR="00CA4BFD">
        <w:t>risk free rate</w:t>
      </w:r>
      <w:r>
        <w:t xml:space="preserve"> and the lower bound estimates of the equity beta and market risk premium. </w:t>
      </w:r>
      <w:r w:rsidR="00B83022">
        <w:t>A probability would not be assigned to values within the range, but it would not be assumed that all values within the range are equally probable.</w:t>
      </w:r>
    </w:p>
    <w:p w:rsidR="008971BE" w:rsidRDefault="008971BE" w:rsidP="008971BE">
      <w:pPr>
        <w:pStyle w:val="Heading3"/>
      </w:pPr>
      <w:bookmarkStart w:id="52" w:name="_Ref362953757"/>
      <w:r>
        <w:t>Step f</w:t>
      </w:r>
      <w:r w:rsidR="00D80C99">
        <w:t>our: o</w:t>
      </w:r>
      <w:r>
        <w:t xml:space="preserve">ther </w:t>
      </w:r>
      <w:bookmarkEnd w:id="52"/>
      <w:r>
        <w:t>information</w:t>
      </w:r>
    </w:p>
    <w:p w:rsidR="008971BE" w:rsidRDefault="008971BE" w:rsidP="008971BE">
      <w:pPr>
        <w:pStyle w:val="AERbodytext"/>
        <w:numPr>
          <w:ilvl w:val="0"/>
          <w:numId w:val="6"/>
        </w:numPr>
      </w:pPr>
      <w:r>
        <w:t xml:space="preserve">The AER's fourth step </w:t>
      </w:r>
      <w:r w:rsidR="006B195C">
        <w:t xml:space="preserve">would be </w:t>
      </w:r>
      <w:r>
        <w:t>to estimate ranges, directional or relative information that will inform the point estimate of the return on equity.</w:t>
      </w:r>
    </w:p>
    <w:p w:rsidR="008971BE" w:rsidRDefault="008971BE" w:rsidP="008971BE">
      <w:pPr>
        <w:pStyle w:val="AERbodytext"/>
        <w:numPr>
          <w:ilvl w:val="0"/>
          <w:numId w:val="6"/>
        </w:numPr>
      </w:pPr>
      <w:r>
        <w:t xml:space="preserve">To determine the form in which each piece of other information would be used, the AER assessed the information against the assessment criteria. This assessment is outlined in the </w:t>
      </w:r>
      <w:r w:rsidR="003F243D">
        <w:t>e</w:t>
      </w:r>
      <w:r>
        <w:t>xplanatory statement to this guideline.</w:t>
      </w:r>
    </w:p>
    <w:p w:rsidR="00B105D6" w:rsidRDefault="008971BE" w:rsidP="00B105D6">
      <w:pPr>
        <w:pStyle w:val="AERbodytext"/>
        <w:numPr>
          <w:ilvl w:val="0"/>
          <w:numId w:val="6"/>
        </w:numPr>
      </w:pPr>
      <w:r>
        <w:t>The outcome of the AER's assessment on the form of additional information is outlined in</w:t>
      </w:r>
      <w:r w:rsidR="00B105D6">
        <w:t xml:space="preserve"> table 3.</w:t>
      </w:r>
    </w:p>
    <w:p w:rsidR="008971BE" w:rsidRPr="00B85634" w:rsidRDefault="008971BE" w:rsidP="00874997">
      <w:pPr>
        <w:pStyle w:val="AERbodytext"/>
        <w:numPr>
          <w:ilvl w:val="0"/>
          <w:numId w:val="6"/>
        </w:numPr>
      </w:pPr>
      <w:r w:rsidRPr="0043665E">
        <w:t xml:space="preserve"> </w:t>
      </w:r>
    </w:p>
    <w:p w:rsidR="007D7D13" w:rsidRDefault="007D7D13">
      <w:pPr>
        <w:spacing w:after="0" w:line="240" w:lineRule="auto"/>
        <w:jc w:val="left"/>
        <w:rPr>
          <w:rFonts w:eastAsia="Times New Roman"/>
          <w:b/>
          <w:bCs/>
          <w:szCs w:val="18"/>
        </w:rPr>
      </w:pPr>
      <w:bookmarkStart w:id="53" w:name="_Ref362608813"/>
      <w:r>
        <w:br w:type="page"/>
      </w:r>
    </w:p>
    <w:p w:rsidR="008971BE" w:rsidRDefault="008971BE" w:rsidP="008971BE">
      <w:pPr>
        <w:pStyle w:val="Caption"/>
      </w:pPr>
      <w:r>
        <w:lastRenderedPageBreak/>
        <w:t xml:space="preserve">Table </w:t>
      </w:r>
      <w:r w:rsidRPr="008971BE">
        <w:fldChar w:fldCharType="begin"/>
      </w:r>
      <w:r>
        <w:instrText xml:space="preserve"> SEQ Table \* ARABIC </w:instrText>
      </w:r>
      <w:r w:rsidRPr="008971BE">
        <w:fldChar w:fldCharType="separate"/>
      </w:r>
      <w:r w:rsidR="00B105D6">
        <w:rPr>
          <w:noProof/>
        </w:rPr>
        <w:t>3</w:t>
      </w:r>
      <w:r w:rsidRPr="008971BE">
        <w:fldChar w:fldCharType="end"/>
      </w:r>
      <w:bookmarkEnd w:id="53"/>
      <w:r>
        <w:tab/>
        <w:t>Form of other relevant information</w:t>
      </w:r>
    </w:p>
    <w:tbl>
      <w:tblPr>
        <w:tblStyle w:val="AERtable-text"/>
        <w:tblW w:w="5000" w:type="pct"/>
        <w:tblLook w:val="04A0" w:firstRow="1" w:lastRow="0" w:firstColumn="1" w:lastColumn="0" w:noHBand="0" w:noVBand="1"/>
      </w:tblPr>
      <w:tblGrid>
        <w:gridCol w:w="5042"/>
        <w:gridCol w:w="4200"/>
      </w:tblGrid>
      <w:tr w:rsidR="008971BE" w:rsidRPr="00A77A6A" w:rsidTr="001E0EFB">
        <w:trPr>
          <w:cnfStyle w:val="100000000000" w:firstRow="1" w:lastRow="0" w:firstColumn="0" w:lastColumn="0" w:oddVBand="0" w:evenVBand="0" w:oddHBand="0" w:evenHBand="0" w:firstRowFirstColumn="0" w:firstRowLastColumn="0" w:lastRowFirstColumn="0" w:lastRowLastColumn="0"/>
        </w:trPr>
        <w:tc>
          <w:tcPr>
            <w:tcW w:w="2728" w:type="pct"/>
          </w:tcPr>
          <w:p w:rsidR="008971BE" w:rsidRPr="00B85634" w:rsidRDefault="008971BE" w:rsidP="008971BE">
            <w:pPr>
              <w:pStyle w:val="AERbodytext"/>
              <w:numPr>
                <w:ilvl w:val="0"/>
                <w:numId w:val="6"/>
              </w:numPr>
            </w:pPr>
            <w:r>
              <w:t>Additional information</w:t>
            </w:r>
          </w:p>
        </w:tc>
        <w:tc>
          <w:tcPr>
            <w:tcW w:w="2272" w:type="pct"/>
          </w:tcPr>
          <w:p w:rsidR="008971BE" w:rsidRPr="00B85634" w:rsidRDefault="008971BE" w:rsidP="008971BE">
            <w:pPr>
              <w:pStyle w:val="AERbodytext"/>
              <w:numPr>
                <w:ilvl w:val="0"/>
                <w:numId w:val="6"/>
              </w:numPr>
            </w:pPr>
            <w:r>
              <w:t>Form</w:t>
            </w:r>
            <w:r w:rsidRPr="00B85634">
              <w:t xml:space="preserve"> of information</w:t>
            </w:r>
          </w:p>
        </w:tc>
      </w:tr>
      <w:tr w:rsidR="008971BE" w:rsidRPr="00A77A6A" w:rsidTr="001E0EFB">
        <w:tc>
          <w:tcPr>
            <w:tcW w:w="2728" w:type="pct"/>
          </w:tcPr>
          <w:p w:rsidR="008971BE" w:rsidRPr="0055177B" w:rsidRDefault="008971BE" w:rsidP="008971BE">
            <w:pPr>
              <w:pStyle w:val="AERbodytext"/>
              <w:numPr>
                <w:ilvl w:val="0"/>
                <w:numId w:val="6"/>
              </w:numPr>
            </w:pPr>
            <w:r>
              <w:t xml:space="preserve">Professor </w:t>
            </w:r>
            <w:r w:rsidRPr="0055177B">
              <w:t xml:space="preserve">Wright approach </w:t>
            </w:r>
          </w:p>
        </w:tc>
        <w:tc>
          <w:tcPr>
            <w:tcW w:w="2272" w:type="pct"/>
          </w:tcPr>
          <w:p w:rsidR="008971BE" w:rsidRPr="00B85634" w:rsidRDefault="008971BE" w:rsidP="008971BE">
            <w:pPr>
              <w:pStyle w:val="AERbodytext"/>
              <w:numPr>
                <w:ilvl w:val="0"/>
                <w:numId w:val="6"/>
              </w:numPr>
            </w:pPr>
            <w:r w:rsidRPr="00B85634">
              <w:t xml:space="preserve">Range </w:t>
            </w:r>
          </w:p>
        </w:tc>
      </w:tr>
      <w:tr w:rsidR="008971BE" w:rsidRPr="00A77A6A" w:rsidTr="001E0EFB">
        <w:trPr>
          <w:cnfStyle w:val="000000010000" w:firstRow="0" w:lastRow="0" w:firstColumn="0" w:lastColumn="0" w:oddVBand="0" w:evenVBand="0" w:oddHBand="0" w:evenHBand="1" w:firstRowFirstColumn="0" w:firstRowLastColumn="0" w:lastRowFirstColumn="0" w:lastRowLastColumn="0"/>
        </w:trPr>
        <w:tc>
          <w:tcPr>
            <w:tcW w:w="2728" w:type="pct"/>
          </w:tcPr>
          <w:p w:rsidR="008971BE" w:rsidRPr="0055177B" w:rsidRDefault="008971BE" w:rsidP="008971BE">
            <w:pPr>
              <w:pStyle w:val="AERbodytext"/>
              <w:numPr>
                <w:ilvl w:val="0"/>
                <w:numId w:val="6"/>
              </w:numPr>
            </w:pPr>
            <w:r w:rsidRPr="0055177B">
              <w:t>Takeover/valuation reports</w:t>
            </w:r>
          </w:p>
        </w:tc>
        <w:tc>
          <w:tcPr>
            <w:tcW w:w="2272" w:type="pct"/>
          </w:tcPr>
          <w:p w:rsidR="008971BE" w:rsidRPr="00B85634" w:rsidRDefault="008971BE" w:rsidP="008971BE">
            <w:pPr>
              <w:pStyle w:val="AERbodytext"/>
              <w:numPr>
                <w:ilvl w:val="0"/>
                <w:numId w:val="6"/>
              </w:numPr>
            </w:pPr>
            <w:r>
              <w:t>Range</w:t>
            </w:r>
          </w:p>
        </w:tc>
      </w:tr>
      <w:tr w:rsidR="008971BE" w:rsidRPr="00A77A6A" w:rsidTr="001E0EFB">
        <w:tc>
          <w:tcPr>
            <w:tcW w:w="2728" w:type="pct"/>
          </w:tcPr>
          <w:p w:rsidR="008971BE" w:rsidRPr="0055177B" w:rsidRDefault="008971BE" w:rsidP="008971BE">
            <w:pPr>
              <w:pStyle w:val="AERbodytext"/>
              <w:numPr>
                <w:ilvl w:val="0"/>
                <w:numId w:val="6"/>
              </w:numPr>
            </w:pPr>
            <w:r w:rsidRPr="0055177B">
              <w:t xml:space="preserve">Broker </w:t>
            </w:r>
            <w:r>
              <w:t>return on equity</w:t>
            </w:r>
            <w:r w:rsidRPr="0055177B">
              <w:t xml:space="preserve"> estimates</w:t>
            </w:r>
          </w:p>
        </w:tc>
        <w:tc>
          <w:tcPr>
            <w:tcW w:w="2272" w:type="pct"/>
          </w:tcPr>
          <w:p w:rsidR="008971BE" w:rsidRPr="00B85634" w:rsidRDefault="008971BE" w:rsidP="008971BE">
            <w:pPr>
              <w:pStyle w:val="AERbodytext"/>
              <w:numPr>
                <w:ilvl w:val="0"/>
                <w:numId w:val="6"/>
              </w:numPr>
            </w:pPr>
            <w:r w:rsidRPr="00B85634">
              <w:t>Range</w:t>
            </w:r>
          </w:p>
        </w:tc>
      </w:tr>
      <w:tr w:rsidR="008971BE" w:rsidRPr="00A77A6A" w:rsidTr="001E0EFB">
        <w:trPr>
          <w:cnfStyle w:val="000000010000" w:firstRow="0" w:lastRow="0" w:firstColumn="0" w:lastColumn="0" w:oddVBand="0" w:evenVBand="0" w:oddHBand="0" w:evenHBand="1" w:firstRowFirstColumn="0" w:firstRowLastColumn="0" w:lastRowFirstColumn="0" w:lastRowLastColumn="0"/>
        </w:trPr>
        <w:tc>
          <w:tcPr>
            <w:tcW w:w="2728" w:type="pct"/>
          </w:tcPr>
          <w:p w:rsidR="008971BE" w:rsidRPr="0055177B" w:rsidRDefault="008971BE" w:rsidP="008971BE">
            <w:pPr>
              <w:pStyle w:val="AERbodytext"/>
              <w:numPr>
                <w:ilvl w:val="0"/>
                <w:numId w:val="6"/>
              </w:numPr>
            </w:pPr>
            <w:r w:rsidRPr="0055177B">
              <w:t xml:space="preserve">Other regulators’ </w:t>
            </w:r>
            <w:r>
              <w:t>return on equity</w:t>
            </w:r>
            <w:r w:rsidRPr="0055177B">
              <w:t xml:space="preserve"> estimates</w:t>
            </w:r>
          </w:p>
        </w:tc>
        <w:tc>
          <w:tcPr>
            <w:tcW w:w="2272" w:type="pct"/>
          </w:tcPr>
          <w:p w:rsidR="008971BE" w:rsidRPr="00B85634" w:rsidRDefault="008971BE" w:rsidP="008971BE">
            <w:pPr>
              <w:pStyle w:val="AERbodytext"/>
              <w:numPr>
                <w:ilvl w:val="0"/>
                <w:numId w:val="6"/>
              </w:numPr>
            </w:pPr>
            <w:r w:rsidRPr="00B85634">
              <w:t>Range</w:t>
            </w:r>
          </w:p>
        </w:tc>
      </w:tr>
      <w:tr w:rsidR="008971BE" w:rsidRPr="00A77A6A" w:rsidTr="001E0EFB">
        <w:tc>
          <w:tcPr>
            <w:tcW w:w="2728" w:type="pct"/>
          </w:tcPr>
          <w:p w:rsidR="008971BE" w:rsidRPr="0055177B" w:rsidRDefault="008971BE" w:rsidP="008971BE">
            <w:pPr>
              <w:pStyle w:val="AERbodytext"/>
              <w:numPr>
                <w:ilvl w:val="0"/>
                <w:numId w:val="6"/>
              </w:numPr>
            </w:pPr>
            <w:r w:rsidRPr="0055177B">
              <w:t>Debt spreads</w:t>
            </w:r>
          </w:p>
        </w:tc>
        <w:tc>
          <w:tcPr>
            <w:tcW w:w="2272" w:type="pct"/>
          </w:tcPr>
          <w:p w:rsidR="008971BE" w:rsidRPr="00B85634" w:rsidRDefault="008971BE" w:rsidP="008971BE">
            <w:pPr>
              <w:pStyle w:val="AERbodytext"/>
              <w:numPr>
                <w:ilvl w:val="0"/>
                <w:numId w:val="6"/>
              </w:numPr>
            </w:pPr>
            <w:r w:rsidRPr="00B85634">
              <w:t>Directional</w:t>
            </w:r>
          </w:p>
        </w:tc>
      </w:tr>
      <w:tr w:rsidR="008971BE" w:rsidRPr="00A77A6A" w:rsidTr="001E0EFB">
        <w:trPr>
          <w:cnfStyle w:val="000000010000" w:firstRow="0" w:lastRow="0" w:firstColumn="0" w:lastColumn="0" w:oddVBand="0" w:evenVBand="0" w:oddHBand="0" w:evenHBand="1" w:firstRowFirstColumn="0" w:firstRowLastColumn="0" w:lastRowFirstColumn="0" w:lastRowLastColumn="0"/>
        </w:trPr>
        <w:tc>
          <w:tcPr>
            <w:tcW w:w="2728" w:type="pct"/>
          </w:tcPr>
          <w:p w:rsidR="008971BE" w:rsidRPr="0055177B" w:rsidRDefault="008971BE" w:rsidP="008971BE">
            <w:pPr>
              <w:pStyle w:val="AERbodytext"/>
              <w:numPr>
                <w:ilvl w:val="0"/>
                <w:numId w:val="6"/>
              </w:numPr>
            </w:pPr>
            <w:r w:rsidRPr="0055177B">
              <w:t>Dividend yield</w:t>
            </w:r>
          </w:p>
        </w:tc>
        <w:tc>
          <w:tcPr>
            <w:tcW w:w="2272" w:type="pct"/>
          </w:tcPr>
          <w:p w:rsidR="008971BE" w:rsidRPr="00B85634" w:rsidRDefault="008971BE" w:rsidP="008971BE">
            <w:pPr>
              <w:pStyle w:val="AERbodytext"/>
              <w:numPr>
                <w:ilvl w:val="0"/>
                <w:numId w:val="6"/>
              </w:numPr>
            </w:pPr>
            <w:r w:rsidRPr="00B85634">
              <w:t>Directional</w:t>
            </w:r>
          </w:p>
        </w:tc>
      </w:tr>
      <w:tr w:rsidR="008971BE" w:rsidRPr="00A77A6A" w:rsidTr="001E0EFB">
        <w:tc>
          <w:tcPr>
            <w:tcW w:w="2728" w:type="pct"/>
          </w:tcPr>
          <w:p w:rsidR="008971BE" w:rsidRPr="0055177B" w:rsidRDefault="008971BE" w:rsidP="008971BE">
            <w:pPr>
              <w:pStyle w:val="AERbodytext"/>
              <w:numPr>
                <w:ilvl w:val="0"/>
                <w:numId w:val="6"/>
              </w:numPr>
            </w:pPr>
            <w:r w:rsidRPr="0055177B">
              <w:t>Comparison with return on debt</w:t>
            </w:r>
          </w:p>
        </w:tc>
        <w:tc>
          <w:tcPr>
            <w:tcW w:w="2272" w:type="pct"/>
          </w:tcPr>
          <w:p w:rsidR="008971BE" w:rsidRPr="00B85634" w:rsidRDefault="008971BE" w:rsidP="008971BE">
            <w:pPr>
              <w:pStyle w:val="AERbodytext"/>
              <w:numPr>
                <w:ilvl w:val="0"/>
                <w:numId w:val="6"/>
              </w:numPr>
            </w:pPr>
            <w:r>
              <w:t>Relative</w:t>
            </w:r>
          </w:p>
        </w:tc>
      </w:tr>
    </w:tbl>
    <w:p w:rsidR="008971BE" w:rsidRPr="0024173C" w:rsidRDefault="008971BE" w:rsidP="008971BE">
      <w:pPr>
        <w:pStyle w:val="AERtablesource"/>
      </w:pPr>
      <w:r>
        <w:t>Source:</w:t>
      </w:r>
      <w:r>
        <w:tab/>
        <w:t>AER analysis.</w:t>
      </w:r>
    </w:p>
    <w:p w:rsidR="008971BE" w:rsidRDefault="00D80C99" w:rsidP="008971BE">
      <w:pPr>
        <w:pStyle w:val="Heading3"/>
      </w:pPr>
      <w:bookmarkStart w:id="54" w:name="_Ref363035491"/>
      <w:r>
        <w:t>Step five: e</w:t>
      </w:r>
      <w:r w:rsidR="008971BE">
        <w:t>valuate information set</w:t>
      </w:r>
      <w:bookmarkEnd w:id="54"/>
    </w:p>
    <w:p w:rsidR="008971BE" w:rsidRDefault="008971BE" w:rsidP="008971BE">
      <w:r>
        <w:t xml:space="preserve">The AER's fifth step </w:t>
      </w:r>
      <w:r w:rsidR="006B195C">
        <w:t xml:space="preserve">would be </w:t>
      </w:r>
      <w:r>
        <w:t>to evaluate</w:t>
      </w:r>
      <w:r w:rsidRPr="00B53BB4">
        <w:t xml:space="preserve"> the full set of </w:t>
      </w:r>
      <w:r>
        <w:t>material</w:t>
      </w:r>
      <w:r w:rsidRPr="00B53BB4">
        <w:t xml:space="preserve"> that </w:t>
      </w:r>
      <w:r>
        <w:t>will</w:t>
      </w:r>
      <w:r w:rsidRPr="00B53BB4">
        <w:t xml:space="preserve"> inform, in some way, the estimation of the return on equity. </w:t>
      </w:r>
      <w:r>
        <w:t>T</w:t>
      </w:r>
      <w:r w:rsidRPr="00B53BB4">
        <w:t xml:space="preserve">his includes assessing the </w:t>
      </w:r>
      <w:r>
        <w:t>foundation</w:t>
      </w:r>
      <w:r w:rsidRPr="00B53BB4">
        <w:t xml:space="preserve"> model range and point estimate alongside the </w:t>
      </w:r>
      <w:r>
        <w:t>other</w:t>
      </w:r>
      <w:r w:rsidRPr="00B53BB4">
        <w:t xml:space="preserve"> information </w:t>
      </w:r>
      <w:r>
        <w:t xml:space="preserve">from step four. </w:t>
      </w:r>
    </w:p>
    <w:p w:rsidR="008971BE" w:rsidRDefault="008971BE" w:rsidP="008971BE">
      <w:r>
        <w:t xml:space="preserve">In undertaking this evaluation the AER may have regard to </w:t>
      </w:r>
      <w:r w:rsidR="006B195C">
        <w:t xml:space="preserve">matters </w:t>
      </w:r>
      <w:r>
        <w:t>including:</w:t>
      </w:r>
    </w:p>
    <w:p w:rsidR="008971BE" w:rsidRDefault="008971BE" w:rsidP="008971BE">
      <w:pPr>
        <w:pStyle w:val="AERbulletlistfirststyle"/>
      </w:pPr>
      <w:r>
        <w:t>patterns shown in the other information</w:t>
      </w:r>
    </w:p>
    <w:p w:rsidR="008971BE" w:rsidRDefault="008971BE" w:rsidP="008971BE">
      <w:pPr>
        <w:pStyle w:val="AERbulletlistfirststyle"/>
      </w:pPr>
      <w:r>
        <w:t>the strengths and limitations of the other information</w:t>
      </w:r>
    </w:p>
    <w:p w:rsidR="008971BE" w:rsidRDefault="008971BE" w:rsidP="008971BE">
      <w:pPr>
        <w:pStyle w:val="AERbulletlistfirststyle"/>
      </w:pPr>
      <w:r>
        <w:t>the magnitude by which the other information suggests that the foundation model's point estimate under or over estimates the return on equity (if at all).</w:t>
      </w:r>
    </w:p>
    <w:p w:rsidR="008971BE" w:rsidRDefault="008971BE" w:rsidP="008971BE">
      <w:pPr>
        <w:pStyle w:val="Heading3"/>
      </w:pPr>
      <w:r>
        <w:t>Step six:</w:t>
      </w:r>
      <w:r w:rsidR="005B3F57">
        <w:t xml:space="preserve"> d</w:t>
      </w:r>
      <w:r>
        <w:t>istil return on equity point estimate</w:t>
      </w:r>
    </w:p>
    <w:p w:rsidR="008971BE" w:rsidRDefault="008971BE" w:rsidP="008971BE">
      <w:pPr>
        <w:pStyle w:val="AERbodytext"/>
        <w:numPr>
          <w:ilvl w:val="0"/>
          <w:numId w:val="6"/>
        </w:numPr>
      </w:pPr>
      <w:r>
        <w:t xml:space="preserve">The AER's sixth step </w:t>
      </w:r>
      <w:r w:rsidR="006B195C">
        <w:t xml:space="preserve">would be </w:t>
      </w:r>
      <w:r>
        <w:t xml:space="preserve">to determine the final point estimate for the return on equity that </w:t>
      </w:r>
      <w:r w:rsidR="006B195C">
        <w:t xml:space="preserve">would </w:t>
      </w:r>
      <w:r>
        <w:t xml:space="preserve">be applied. The AER's starting point for estimating the return on equity </w:t>
      </w:r>
      <w:r w:rsidR="006B195C">
        <w:t xml:space="preserve">would </w:t>
      </w:r>
      <w:r>
        <w:t xml:space="preserve">be the foundation model's point estimate. Moreover, the final point estimate </w:t>
      </w:r>
      <w:r w:rsidR="006B195C">
        <w:t xml:space="preserve">would </w:t>
      </w:r>
      <w:r>
        <w:t>be selected from within the foundation model range.</w:t>
      </w:r>
    </w:p>
    <w:p w:rsidR="008971BE" w:rsidRDefault="008971BE" w:rsidP="008971BE">
      <w:pPr>
        <w:pStyle w:val="AERbodytext"/>
        <w:numPr>
          <w:ilvl w:val="0"/>
          <w:numId w:val="6"/>
        </w:numPr>
      </w:pPr>
      <w:r>
        <w:t xml:space="preserve">The final point estimate of the return on equity will require the exercise of regulatory judgement. This judgement </w:t>
      </w:r>
      <w:r w:rsidR="006B195C">
        <w:t xml:space="preserve">would </w:t>
      </w:r>
      <w:r>
        <w:t>draw on the analysis and evaluation of the other information undertaken in step five.</w:t>
      </w:r>
      <w:r w:rsidR="00304D07">
        <w:t xml:space="preserve"> For example, i</w:t>
      </w:r>
      <w:r w:rsidR="00B10994">
        <w:t xml:space="preserve">f the </w:t>
      </w:r>
      <w:r w:rsidR="00155425">
        <w:t>evaluation of the</w:t>
      </w:r>
      <w:r w:rsidR="00B10994">
        <w:t xml:space="preserve"> other information</w:t>
      </w:r>
      <w:r w:rsidR="00155425">
        <w:t xml:space="preserve"> set (step five)</w:t>
      </w:r>
      <w:r w:rsidR="00B10994">
        <w:t xml:space="preserve"> suggests that the point estimate from the foundation model is </w:t>
      </w:r>
      <w:r w:rsidR="00155425">
        <w:t>appropriate</w:t>
      </w:r>
      <w:r w:rsidR="00B10994">
        <w:t xml:space="preserve">, then this point estimate (rounded) will be </w:t>
      </w:r>
      <w:r w:rsidR="00304D07">
        <w:t xml:space="preserve">applied. </w:t>
      </w:r>
      <w:r w:rsidR="00155425">
        <w:t>Alternatively,</w:t>
      </w:r>
      <w:r w:rsidR="00B10994">
        <w:t xml:space="preserve"> if the </w:t>
      </w:r>
      <w:r w:rsidR="00155425">
        <w:t>evaluation</w:t>
      </w:r>
      <w:r w:rsidR="00B10994">
        <w:t xml:space="preserve"> suggests that the point estimate is too high or low, the point estimate will be changed by an amount informed by the other information</w:t>
      </w:r>
      <w:r w:rsidR="004D44E5">
        <w:t>,</w:t>
      </w:r>
      <w:r w:rsidR="00B10994">
        <w:t xml:space="preserve"> using the AER's regulatory judgment.   </w:t>
      </w:r>
    </w:p>
    <w:p w:rsidR="008971BE" w:rsidRDefault="008971BE" w:rsidP="008971BE">
      <w:pPr>
        <w:pStyle w:val="AERbodytext"/>
        <w:numPr>
          <w:ilvl w:val="0"/>
          <w:numId w:val="6"/>
        </w:numPr>
      </w:pPr>
      <w:r>
        <w:t xml:space="preserve">The final point estimate </w:t>
      </w:r>
      <w:r w:rsidRPr="00F32EE5">
        <w:t>of the return on equity</w:t>
      </w:r>
      <w:r>
        <w:t xml:space="preserve"> </w:t>
      </w:r>
      <w:r w:rsidR="00C11C86">
        <w:t xml:space="preserve">would </w:t>
      </w:r>
      <w:r>
        <w:t>be the foundation model point estimate, or alternatively, a different value that is a multiple of 25 basis points.</w:t>
      </w:r>
      <w:r w:rsidRPr="00CE7104">
        <w:t xml:space="preserve"> </w:t>
      </w:r>
      <w:r>
        <w:t xml:space="preserve">If the foundation model point </w:t>
      </w:r>
      <w:r>
        <w:lastRenderedPageBreak/>
        <w:t xml:space="preserve">estimate is applied, this estimate </w:t>
      </w:r>
      <w:r w:rsidR="006B195C">
        <w:t xml:space="preserve">would </w:t>
      </w:r>
      <w:r>
        <w:t>be rounded to a single decimal point. This recognises the limited precision with which the return on equity can be estimated.</w:t>
      </w:r>
    </w:p>
    <w:p w:rsidR="003A2CF9" w:rsidRPr="00F51AAA" w:rsidRDefault="008971BE" w:rsidP="003A2CF9">
      <w:pPr>
        <w:pStyle w:val="AERbodytext"/>
        <w:numPr>
          <w:ilvl w:val="0"/>
          <w:numId w:val="0"/>
        </w:numPr>
      </w:pPr>
      <w:r>
        <w:t>The approach</w:t>
      </w:r>
      <w:r w:rsidRPr="00F32EE5">
        <w:t xml:space="preserve"> </w:t>
      </w:r>
      <w:r>
        <w:t xml:space="preserve">outlined </w:t>
      </w:r>
      <w:r w:rsidRPr="00F32EE5">
        <w:t xml:space="preserve">is premised on the expectation that the analysis in step five should not suggest a final estimate of the return on equity outside the foundation model range. </w:t>
      </w:r>
      <w:r>
        <w:t>I</w:t>
      </w:r>
      <w:r w:rsidRPr="00F32EE5">
        <w:t xml:space="preserve">f this expectation is not met, </w:t>
      </w:r>
      <w:r w:rsidR="00BF5C19">
        <w:t>the AER</w:t>
      </w:r>
      <w:r w:rsidR="00BF5C19" w:rsidRPr="00F32EE5">
        <w:t xml:space="preserve"> </w:t>
      </w:r>
      <w:r w:rsidRPr="00F32EE5">
        <w:t>may reconsider the foundation model input parameter estimates, or more fundamentally, the foundation model itself. This recognises that, ultimately, our rate of return must meet the allowed rate of return objective.</w:t>
      </w:r>
    </w:p>
    <w:p w:rsidR="00F80A6B" w:rsidRPr="0030610D" w:rsidRDefault="00467FFD" w:rsidP="0030610D">
      <w:pPr>
        <w:pStyle w:val="Heading1"/>
      </w:pPr>
      <w:bookmarkStart w:id="55" w:name="_Toc365537052"/>
      <w:r w:rsidRPr="0030610D">
        <w:lastRenderedPageBreak/>
        <w:t>R</w:t>
      </w:r>
      <w:r w:rsidR="00CB3465" w:rsidRPr="0030610D">
        <w:t>eturn on debt</w:t>
      </w:r>
      <w:bookmarkEnd w:id="55"/>
      <w:r w:rsidR="00CB3465" w:rsidRPr="0030610D">
        <w:t xml:space="preserve"> </w:t>
      </w:r>
    </w:p>
    <w:p w:rsidR="00CB3465" w:rsidRPr="00CB3465" w:rsidRDefault="00AB75AD" w:rsidP="00CB3465">
      <w:pPr>
        <w:pStyle w:val="AERbodytext"/>
        <w:numPr>
          <w:ilvl w:val="0"/>
          <w:numId w:val="0"/>
        </w:numPr>
      </w:pPr>
      <w:r>
        <w:t xml:space="preserve">This </w:t>
      </w:r>
      <w:r w:rsidR="00537065">
        <w:t>chapter</w:t>
      </w:r>
      <w:r>
        <w:t xml:space="preserve"> set</w:t>
      </w:r>
      <w:r w:rsidR="00537065">
        <w:t>s</w:t>
      </w:r>
      <w:r>
        <w:t xml:space="preserve"> out the AER's </w:t>
      </w:r>
      <w:r w:rsidR="006B195C">
        <w:t xml:space="preserve">proposed </w:t>
      </w:r>
      <w:r>
        <w:t xml:space="preserve">approach to estimating the return on debt allowance for service providers.  </w:t>
      </w:r>
    </w:p>
    <w:p w:rsidR="00F51AAA" w:rsidRDefault="00F51AAA" w:rsidP="00F51AAA">
      <w:pPr>
        <w:pStyle w:val="Heading2"/>
      </w:pPr>
      <w:bookmarkStart w:id="56" w:name="_Toc365537053"/>
      <w:r>
        <w:t>Objective</w:t>
      </w:r>
      <w:bookmarkEnd w:id="56"/>
    </w:p>
    <w:p w:rsidR="00F51AAA" w:rsidRPr="00F51AAA" w:rsidRDefault="00AB75AD" w:rsidP="00F51AAA">
      <w:pPr>
        <w:pStyle w:val="AERbodytext"/>
      </w:pPr>
      <w:r>
        <w:t xml:space="preserve">The objective of the return on debt is to provide compensation to a service provider for the </w:t>
      </w:r>
      <w:r w:rsidR="00221A44">
        <w:t xml:space="preserve">debt financing </w:t>
      </w:r>
      <w:r>
        <w:t xml:space="preserve">cost which is commensurate with the efficient financing costs of a </w:t>
      </w:r>
      <w:r w:rsidR="001C47AC">
        <w:t>benchmark efficient entity</w:t>
      </w:r>
      <w:r>
        <w:t xml:space="preserve"> with a similar degree of risk. This is achieved by </w:t>
      </w:r>
      <w:r w:rsidR="00BE370E">
        <w:t>determining a return on debt which promotes ef</w:t>
      </w:r>
      <w:r w:rsidR="00EE5B3C">
        <w:t>f</w:t>
      </w:r>
      <w:r w:rsidR="00BE370E">
        <w:t>icient investment</w:t>
      </w:r>
      <w:r w:rsidR="00DB1231">
        <w:t xml:space="preserve"> and provides a service provider with at least the opportunity to recover its efficient costs. </w:t>
      </w:r>
      <w:r w:rsidR="00BE370E">
        <w:t xml:space="preserve"> </w:t>
      </w:r>
    </w:p>
    <w:p w:rsidR="00F51AAA" w:rsidRDefault="00F51AAA" w:rsidP="00F51AAA">
      <w:pPr>
        <w:pStyle w:val="Heading2"/>
      </w:pPr>
      <w:bookmarkStart w:id="57" w:name="_Toc365537054"/>
      <w:r>
        <w:t>Rule requirements</w:t>
      </w:r>
      <w:bookmarkEnd w:id="57"/>
    </w:p>
    <w:p w:rsidR="00BE370E" w:rsidRDefault="008D2327" w:rsidP="00F51AAA">
      <w:pPr>
        <w:pStyle w:val="AERbodytext"/>
      </w:pPr>
      <w:r>
        <w:t>The rules</w:t>
      </w:r>
      <w:r w:rsidR="00511E29">
        <w:t xml:space="preserve"> </w:t>
      </w:r>
      <w:r w:rsidR="00BE370E">
        <w:t>set out the:</w:t>
      </w:r>
      <w:r>
        <w:rPr>
          <w:rStyle w:val="FootnoteReference"/>
        </w:rPr>
        <w:footnoteReference w:id="13"/>
      </w:r>
    </w:p>
    <w:p w:rsidR="00BE370E" w:rsidRDefault="00BE370E" w:rsidP="00511E29">
      <w:pPr>
        <w:pStyle w:val="AERbulletlistfirststyle"/>
      </w:pPr>
      <w:r>
        <w:t>calculation and form of the calculation to the return on capital</w:t>
      </w:r>
    </w:p>
    <w:p w:rsidR="005324E9" w:rsidRDefault="00BE370E" w:rsidP="00511E29">
      <w:pPr>
        <w:pStyle w:val="AERbulletlistfirststyle"/>
      </w:pPr>
      <w:r>
        <w:t>return on capital objective (including factors the AER must have regard to in setting the return on capital</w:t>
      </w:r>
    </w:p>
    <w:p w:rsidR="005324E9" w:rsidRDefault="005324E9">
      <w:pPr>
        <w:pStyle w:val="AERbodytext"/>
      </w:pPr>
      <w:r>
        <w:t>In addition, the return on debt may be estimated by the AER using a methodology which results in either:</w:t>
      </w:r>
    </w:p>
    <w:p w:rsidR="005324E9" w:rsidRDefault="005324E9" w:rsidP="00511E29">
      <w:pPr>
        <w:pStyle w:val="AERbulletlistfirststyle"/>
      </w:pPr>
      <w:r>
        <w:t>the return on debt for each regulatory year in the regulatory control period being the same; or</w:t>
      </w:r>
    </w:p>
    <w:p w:rsidR="005324E9" w:rsidRDefault="005324E9" w:rsidP="00511E29">
      <w:pPr>
        <w:pStyle w:val="AERbulletlistfirststyle"/>
      </w:pPr>
      <w:r>
        <w:t>the return on debt (and consequently the allowed rate of return) bein</w:t>
      </w:r>
      <w:r w:rsidR="00A5073A">
        <w:t>g or potentially being, different</w:t>
      </w:r>
      <w:r>
        <w:t xml:space="preserve"> </w:t>
      </w:r>
      <w:r w:rsidR="00523722">
        <w:t>for different regulatory y</w:t>
      </w:r>
      <w:r>
        <w:t>e</w:t>
      </w:r>
      <w:r w:rsidR="00523722">
        <w:t>a</w:t>
      </w:r>
      <w:r>
        <w:t>rs in the regulatory control period.</w:t>
      </w:r>
    </w:p>
    <w:p w:rsidR="005324E9" w:rsidRDefault="005324E9" w:rsidP="00511E29">
      <w:pPr>
        <w:pStyle w:val="AERbodytext"/>
      </w:pPr>
      <w:r>
        <w:t xml:space="preserve">In estimating the return on debt the </w:t>
      </w:r>
      <w:r w:rsidR="00A5073A">
        <w:t>AE</w:t>
      </w:r>
      <w:r>
        <w:t>R must have regard to the following factors:</w:t>
      </w:r>
    </w:p>
    <w:p w:rsidR="005324E9" w:rsidRDefault="00CA4BFD" w:rsidP="00511E29">
      <w:pPr>
        <w:pStyle w:val="AERbulletlistfirststyle"/>
      </w:pPr>
      <w:r>
        <w:t>t</w:t>
      </w:r>
      <w:r w:rsidR="005324E9">
        <w:t>he desirability of minimising any difference between the return on debt of a benchmark efficient entity</w:t>
      </w:r>
    </w:p>
    <w:p w:rsidR="005324E9" w:rsidRDefault="00CA4BFD" w:rsidP="00511E29">
      <w:pPr>
        <w:pStyle w:val="AERbulletlistfirststyle"/>
      </w:pPr>
      <w:r>
        <w:t>t</w:t>
      </w:r>
      <w:r w:rsidR="005324E9">
        <w:t>he interrelationship between the return on equity and the return on debt</w:t>
      </w:r>
    </w:p>
    <w:p w:rsidR="00951DD0" w:rsidRDefault="00CA4BFD" w:rsidP="00511E29">
      <w:pPr>
        <w:pStyle w:val="AERbulletlistfirststyle"/>
      </w:pPr>
      <w:r>
        <w:t>t</w:t>
      </w:r>
      <w:r w:rsidR="00951DD0">
        <w:t>he incentive that the return on debt may provide in relation to capital expenditure over the regulatory control period, including as to the timing of capital expenditure</w:t>
      </w:r>
    </w:p>
    <w:p w:rsidR="00951DD0" w:rsidRDefault="00CA4BFD" w:rsidP="00511E29">
      <w:pPr>
        <w:pStyle w:val="AERbulletlistfirststyle"/>
      </w:pPr>
      <w:r>
        <w:t>a</w:t>
      </w:r>
      <w:r w:rsidR="00951DD0">
        <w:t>ny impacts (including in relation to the costs of servicing debt across regulatory control periods)</w:t>
      </w:r>
      <w:r w:rsidR="00523722">
        <w:t xml:space="preserve"> on a </w:t>
      </w:r>
      <w:r w:rsidR="001C47AC">
        <w:t>benchmark efficient entity</w:t>
      </w:r>
      <w:r w:rsidR="00523722">
        <w:t xml:space="preserve"> referred to in the allowed rate of return objective that could arise as a result of changing the methodology that is used to estimate the return on debt from one regulatory control period to the next. </w:t>
      </w:r>
    </w:p>
    <w:p w:rsidR="00BE370E" w:rsidRDefault="00BE370E" w:rsidP="00523722">
      <w:pPr>
        <w:pStyle w:val="AERbulletlistfirststyle"/>
        <w:numPr>
          <w:ilvl w:val="0"/>
          <w:numId w:val="0"/>
        </w:numPr>
      </w:pPr>
    </w:p>
    <w:p w:rsidR="0072305B" w:rsidRDefault="0072305B" w:rsidP="00523722">
      <w:pPr>
        <w:pStyle w:val="AERbulletlistfirststyle"/>
        <w:numPr>
          <w:ilvl w:val="0"/>
          <w:numId w:val="0"/>
        </w:numPr>
      </w:pPr>
    </w:p>
    <w:p w:rsidR="0072305B" w:rsidRDefault="0072305B" w:rsidP="00523722">
      <w:pPr>
        <w:pStyle w:val="AERbulletlistfirststyle"/>
        <w:numPr>
          <w:ilvl w:val="0"/>
          <w:numId w:val="0"/>
        </w:numPr>
      </w:pPr>
    </w:p>
    <w:p w:rsidR="0072305B" w:rsidRPr="00F51AAA" w:rsidRDefault="0072305B" w:rsidP="00523722">
      <w:pPr>
        <w:pStyle w:val="AERbulletlistfirststyle"/>
        <w:numPr>
          <w:ilvl w:val="0"/>
          <w:numId w:val="0"/>
        </w:numPr>
      </w:pPr>
    </w:p>
    <w:p w:rsidR="00F51AAA" w:rsidRDefault="006755EA" w:rsidP="00F51AAA">
      <w:pPr>
        <w:pStyle w:val="Heading2"/>
      </w:pPr>
      <w:bookmarkStart w:id="58" w:name="_Toc365537055"/>
      <w:r>
        <w:lastRenderedPageBreak/>
        <w:t>Application</w:t>
      </w:r>
      <w:bookmarkEnd w:id="58"/>
    </w:p>
    <w:p w:rsidR="00C9002B" w:rsidRPr="00523722" w:rsidRDefault="0072305B" w:rsidP="00C9002B">
      <w:r>
        <w:t xml:space="preserve">This section sets out the method </w:t>
      </w:r>
      <w:r w:rsidR="006B195C">
        <w:t xml:space="preserve">the AER proposes to use to calculate the allowed </w:t>
      </w:r>
      <w:r>
        <w:t xml:space="preserve">return on debt. </w:t>
      </w:r>
    </w:p>
    <w:p w:rsidR="00A71984" w:rsidRPr="006643A1" w:rsidRDefault="00A459D8" w:rsidP="006643A1">
      <w:pPr>
        <w:pStyle w:val="Heading3"/>
      </w:pPr>
      <w:r w:rsidRPr="006643A1">
        <w:t>Trailing average portfolio approach</w:t>
      </w:r>
    </w:p>
    <w:p w:rsidR="00A459D8" w:rsidRDefault="00EE5B3C" w:rsidP="00511E29">
      <w:pPr>
        <w:pStyle w:val="AERbodytext"/>
      </w:pPr>
      <w:r>
        <w:t xml:space="preserve">The </w:t>
      </w:r>
      <w:r w:rsidR="00A459D8">
        <w:t xml:space="preserve">allowed return on debt </w:t>
      </w:r>
      <w:r w:rsidR="00991814" w:rsidRPr="00523722">
        <w:t>(</w:t>
      </w:r>
      <m:oMath>
        <m:sSub>
          <m:sSubPr>
            <m:ctrlPr>
              <w:rPr>
                <w:rFonts w:ascii="Cambria Math" w:hAnsi="Cambria Math"/>
              </w:rPr>
            </m:ctrlPr>
          </m:sSubPr>
          <m:e>
            <m:r>
              <w:rPr>
                <w:rFonts w:ascii="Cambria Math" w:hAnsi="Cambria Math"/>
              </w:rPr>
              <m:t>k</m:t>
            </m:r>
          </m:e>
          <m:sub>
            <m:r>
              <w:rPr>
                <w:rFonts w:ascii="Cambria Math" w:hAnsi="Cambria Math"/>
              </w:rPr>
              <m:t>d</m:t>
            </m:r>
          </m:sub>
        </m:sSub>
      </m:oMath>
      <w:r w:rsidR="00991814">
        <w:t xml:space="preserve">) </w:t>
      </w:r>
      <w:r w:rsidR="006B195C">
        <w:t>would</w:t>
      </w:r>
      <w:r w:rsidR="00A459D8">
        <w:t xml:space="preserve"> be estimated by a trailing average portfolio method</w:t>
      </w:r>
      <w:r w:rsidR="00991814">
        <w:t xml:space="preserve"> following the completion of a transitional arrangement period</w:t>
      </w:r>
      <w:r w:rsidR="00A459D8">
        <w:t xml:space="preserve">. In particular, the AER </w:t>
      </w:r>
      <w:r w:rsidR="006B195C">
        <w:t xml:space="preserve">would </w:t>
      </w:r>
      <w:r w:rsidR="00A459D8">
        <w:t>apply the following:</w:t>
      </w:r>
    </w:p>
    <w:p w:rsidR="00A459D8" w:rsidRPr="00A459D8" w:rsidRDefault="00A459D8" w:rsidP="00511E29">
      <w:pPr>
        <w:pStyle w:val="AERbulletlistfirststyle"/>
      </w:pPr>
      <w:r w:rsidRPr="00A459D8">
        <w:t>a trailing average portfolio approach with the length of the trailing average to be seven years</w:t>
      </w:r>
    </w:p>
    <w:p w:rsidR="00A459D8" w:rsidRPr="00A459D8" w:rsidRDefault="00A459D8" w:rsidP="00511E29">
      <w:pPr>
        <w:pStyle w:val="AERbulletlistfirststyle"/>
      </w:pPr>
      <w:r w:rsidRPr="00A459D8">
        <w:t>equal weights to be applied to all the elements of the trailing average</w:t>
      </w:r>
    </w:p>
    <w:p w:rsidR="00A459D8" w:rsidRPr="00A459D8" w:rsidRDefault="00A459D8" w:rsidP="00511E29">
      <w:pPr>
        <w:pStyle w:val="AERbulletlistfirststyle"/>
        <w:rPr>
          <w:rStyle w:val="AERbody"/>
          <w:rFonts w:eastAsia="Calibri"/>
        </w:rPr>
      </w:pPr>
      <w:r w:rsidRPr="00A459D8">
        <w:t>the trailing average to be automatically updated every regulatory year within the regulatory control period.</w:t>
      </w:r>
    </w:p>
    <w:p w:rsidR="001D6D43" w:rsidRPr="001D6D43" w:rsidRDefault="001D6D43" w:rsidP="002C604D">
      <w:pPr>
        <w:pStyle w:val="AERbodytext"/>
      </w:pPr>
      <w:r>
        <w:t>In particular, t</w:t>
      </w:r>
      <w:r w:rsidRPr="001D6D43">
        <w:t xml:space="preserve">he allowed return on debt for each </w:t>
      </w:r>
      <w:r w:rsidR="005B3594">
        <w:t xml:space="preserve">regulatory </w:t>
      </w:r>
      <w:r w:rsidRPr="001D6D43">
        <w:t xml:space="preserve">year within a regulatory control period </w:t>
      </w:r>
      <w:r w:rsidR="006B195C">
        <w:t xml:space="preserve">would </w:t>
      </w:r>
      <w:r w:rsidRPr="001D6D43">
        <w:t>be determined in accordance with the following formula:</w:t>
      </w:r>
    </w:p>
    <w:p w:rsidR="001D6D43" w:rsidRPr="001D6D43" w:rsidRDefault="002F23AE" w:rsidP="001C47AC">
      <w:pPr>
        <w:pStyle w:val="AERbodytextindent1"/>
      </w:pPr>
      <m:oMathPara>
        <m:oMath>
          <m:sPre>
            <m:sPrePr>
              <m:ctrlPr>
                <w:rPr>
                  <w:rFonts w:ascii="Cambria Math" w:hAnsi="Cambria Math"/>
                </w:rPr>
              </m:ctrlPr>
            </m:sPrePr>
            <m:sub>
              <m:r>
                <w:rPr>
                  <w:rFonts w:ascii="Cambria Math" w:hAnsi="Cambria Math"/>
                </w:rPr>
                <m:t>x</m:t>
              </m:r>
            </m:sub>
            <m:sup/>
            <m:e>
              <m:sSubSup>
                <m:sSubSupPr>
                  <m:ctrlPr>
                    <w:rPr>
                      <w:rFonts w:ascii="Cambria Math" w:hAnsi="Cambria Math"/>
                    </w:rPr>
                  </m:ctrlPr>
                </m:sSubSupPr>
                <m:e>
                  <m:r>
                    <w:rPr>
                      <w:rFonts w:ascii="Cambria Math" w:hAnsi="Cambria Math"/>
                    </w:rPr>
                    <m:t>kd</m:t>
                  </m:r>
                </m:e>
                <m:sub>
                  <m:r>
                    <w:rPr>
                      <w:rFonts w:ascii="Cambria Math" w:hAnsi="Cambria Math"/>
                    </w:rPr>
                    <m:t>x</m:t>
                  </m:r>
                  <m:r>
                    <m:rPr>
                      <m:sty m:val="p"/>
                    </m:rPr>
                    <w:rPr>
                      <w:rFonts w:ascii="Cambria Math" w:hAnsi="Cambria Math"/>
                    </w:rPr>
                    <m:t>+1</m:t>
                  </m:r>
                </m:sub>
                <m:sup/>
              </m:sSubSup>
            </m:e>
          </m:sPre>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=1</m:t>
              </m:r>
            </m:sub>
            <m:sup>
              <m:r>
                <m:rPr>
                  <m:sty m:val="p"/>
                </m:rPr>
                <w:rPr>
                  <w:rFonts w:ascii="Cambria Math" w:hAnsi="Cambria Math"/>
                </w:rPr>
                <m:t>7</m:t>
              </m:r>
            </m:sup>
            <m:e>
              <m:sPre>
                <m:sPrePr>
                  <m:ctrlPr>
                    <w:rPr>
                      <w:rFonts w:ascii="Cambria Math" w:hAnsi="Cambria Math"/>
                    </w:rPr>
                  </m:ctrlPr>
                </m:sPrePr>
                <m:sub>
                  <m:r>
                    <w:rPr>
                      <w:rFonts w:ascii="Cambria Math" w:hAnsi="Cambria Math"/>
                    </w:rPr>
                    <m:t>x</m:t>
                  </m:r>
                  <m:r>
                    <m:rPr>
                      <m:sty m:val="p"/>
                    </m:rPr>
                    <w:rPr>
                      <w:rFonts w:ascii="Cambria Math" w:hAnsi="Cambria Math"/>
                    </w:rPr>
                    <m:t>-7+</m:t>
                  </m:r>
                  <m:r>
                    <w:rPr>
                      <w:rFonts w:ascii="Cambria Math" w:hAnsi="Cambria Math"/>
                    </w:rPr>
                    <m:t>t</m:t>
                  </m:r>
                </m:sub>
                <m:sup/>
                <m:e>
                  <m:sSubSup>
                    <m:sSubSupPr>
                      <m:ctrlPr>
                        <w:rPr>
                          <w:rFonts w:ascii="Cambria Math" w:hAnsi="Cambria Math"/>
                        </w:rPr>
                      </m:ctrlPr>
                    </m:sSubSupPr>
                    <m:e>
                      <m:r>
                        <w:rPr>
                          <w:rFonts w:ascii="Cambria Math" w:hAnsi="Cambria Math"/>
                        </w:rPr>
                        <m:t>R</m:t>
                      </m:r>
                    </m:e>
                    <m:sub>
                      <m:r>
                        <w:rPr>
                          <w:rFonts w:ascii="Cambria Math" w:hAnsi="Cambria Math"/>
                        </w:rPr>
                        <m:t>x</m:t>
                      </m:r>
                      <m:r>
                        <m:rPr>
                          <m:sty m:val="p"/>
                        </m:rPr>
                        <w:rPr>
                          <w:rFonts w:ascii="Cambria Math" w:hAnsi="Cambria Math"/>
                        </w:rPr>
                        <m:t>+</m:t>
                      </m:r>
                      <m:r>
                        <w:rPr>
                          <w:rFonts w:ascii="Cambria Math" w:hAnsi="Cambria Math"/>
                        </w:rPr>
                        <m:t>t</m:t>
                      </m:r>
                    </m:sub>
                    <m:sup/>
                  </m:sSubSup>
                </m:e>
              </m:sPre>
            </m:e>
          </m:nary>
        </m:oMath>
      </m:oMathPara>
    </w:p>
    <w:p w:rsidR="001D6D43" w:rsidRDefault="00BF2C29" w:rsidP="002C604D">
      <w:pPr>
        <w:pStyle w:val="AERbodytext"/>
      </w:pPr>
      <w:r>
        <w:t>w</w:t>
      </w:r>
      <w:r w:rsidR="001D6D43">
        <w:t>here:</w:t>
      </w:r>
    </w:p>
    <w:p w:rsidR="001D6D43" w:rsidRDefault="002F23AE" w:rsidP="00C279A8">
      <w:pPr>
        <w:pStyle w:val="AERbulletlistfirststyle"/>
      </w:pPr>
      <m:oMath>
        <m:sPre>
          <m:sPrePr>
            <m:ctrlPr>
              <w:rPr>
                <w:rFonts w:ascii="Cambria Math" w:hAnsi="Cambria Math"/>
              </w:rPr>
            </m:ctrlPr>
          </m:sPrePr>
          <m:sub>
            <m:r>
              <w:rPr>
                <w:rFonts w:ascii="Cambria Math" w:hAnsi="Cambria Math"/>
              </w:rPr>
              <m:t>x</m:t>
            </m:r>
          </m:sub>
          <m:sup/>
          <m:e>
            <m:sSubSup>
              <m:sSubSupPr>
                <m:ctrlPr>
                  <w:rPr>
                    <w:rFonts w:ascii="Cambria Math" w:hAnsi="Cambria Math"/>
                  </w:rPr>
                </m:ctrlPr>
              </m:sSubSupPr>
              <m:e>
                <m:r>
                  <w:rPr>
                    <w:rFonts w:ascii="Cambria Math" w:hAnsi="Cambria Math"/>
                  </w:rPr>
                  <m:t>kd</m:t>
                </m:r>
              </m:e>
              <m:sub>
                <m:r>
                  <w:rPr>
                    <w:rFonts w:ascii="Cambria Math" w:hAnsi="Cambria Math"/>
                  </w:rPr>
                  <m:t>x</m:t>
                </m:r>
                <m:r>
                  <m:rPr>
                    <m:sty m:val="p"/>
                  </m:rPr>
                  <w:rPr>
                    <w:rFonts w:ascii="Cambria Math" w:hAnsi="Cambria Math"/>
                  </w:rPr>
                  <m:t>+1</m:t>
                </m:r>
              </m:sub>
              <m:sup/>
            </m:sSubSup>
          </m:e>
        </m:sPre>
      </m:oMath>
      <w:r w:rsidR="001D6D43" w:rsidRPr="001D6D43">
        <w:t xml:space="preserve"> refers to the allowed return </w:t>
      </w:r>
      <w:r w:rsidR="005B3594">
        <w:t xml:space="preserve">on debt </w:t>
      </w:r>
      <w:r w:rsidR="001D6D43" w:rsidRPr="001D6D43">
        <w:t xml:space="preserve">for the </w:t>
      </w:r>
      <w:r w:rsidR="00B32EC2">
        <w:t xml:space="preserve">regulatory year </w:t>
      </w:r>
      <w:r w:rsidR="001D6D43" w:rsidRPr="001D6D43">
        <w:rPr>
          <w:rStyle w:val="AERtextitalic"/>
        </w:rPr>
        <w:t>x+1</w:t>
      </w:r>
    </w:p>
    <w:p w:rsidR="001D6D43" w:rsidRDefault="002F23AE" w:rsidP="00C279A8">
      <w:pPr>
        <w:pStyle w:val="AERbulletlistfirststyle"/>
      </w:pPr>
      <m:oMath>
        <m:sPre>
          <m:sPrePr>
            <m:ctrlPr>
              <w:rPr>
                <w:rFonts w:ascii="Cambria Math" w:hAnsi="Cambria Math"/>
              </w:rPr>
            </m:ctrlPr>
          </m:sPrePr>
          <m:sub>
            <m:r>
              <w:rPr>
                <w:rFonts w:ascii="Cambria Math" w:hAnsi="Cambria Math"/>
              </w:rPr>
              <m:t>x-7+t</m:t>
            </m:r>
          </m:sub>
          <m:sup/>
          <m:e>
            <m:sSubSup>
              <m:sSubSupPr>
                <m:ctrlPr>
                  <w:rPr>
                    <w:rFonts w:ascii="Cambria Math" w:hAnsi="Cambria Math"/>
                  </w:rPr>
                </m:ctrlPr>
              </m:sSubSupPr>
              <m:e>
                <m:r>
                  <w:rPr>
                    <w:rFonts w:ascii="Cambria Math" w:hAnsi="Cambria Math"/>
                  </w:rPr>
                  <m:t>R</m:t>
                </m:r>
              </m:e>
              <m:sub>
                <m:r>
                  <w:rPr>
                    <w:rFonts w:ascii="Cambria Math" w:hAnsi="Cambria Math"/>
                  </w:rPr>
                  <m:t>x+t</m:t>
                </m:r>
              </m:sub>
              <m:sup/>
            </m:sSubSup>
          </m:e>
        </m:sPre>
      </m:oMath>
      <w:r w:rsidR="001D6D43" w:rsidRPr="001D6D43">
        <w:t xml:space="preserve"> </w:t>
      </w:r>
      <w:r w:rsidR="00B32EC2">
        <w:t xml:space="preserve">refers to the estimated prevailing rate of </w:t>
      </w:r>
      <w:r w:rsidR="001D6D43" w:rsidRPr="001D6D43">
        <w:t xml:space="preserve">return on debt that was entered into in year </w:t>
      </w:r>
      <w:r w:rsidR="007E4372">
        <w:rPr>
          <w:rStyle w:val="AERtextitalic"/>
        </w:rPr>
        <w:t>(x-7+t)</w:t>
      </w:r>
      <w:r w:rsidR="001D6D43" w:rsidRPr="001D6D43">
        <w:t xml:space="preserve"> and matures in year </w:t>
      </w:r>
      <w:r w:rsidR="007E4372" w:rsidRPr="007E4372">
        <w:rPr>
          <w:rStyle w:val="AERtextitalic"/>
        </w:rPr>
        <w:t>(x+t)</w:t>
      </w:r>
      <w:r w:rsidR="007E4372" w:rsidRPr="005B3594">
        <w:rPr>
          <w:rStyle w:val="AERbody"/>
        </w:rPr>
        <w:t xml:space="preserve"> </w:t>
      </w:r>
      <w:r w:rsidR="005B3594" w:rsidRPr="005B3594">
        <w:rPr>
          <w:rStyle w:val="AERbody"/>
        </w:rPr>
        <w:t xml:space="preserve">(in the formula above all debt has </w:t>
      </w:r>
      <w:r w:rsidR="005B3594">
        <w:rPr>
          <w:rStyle w:val="AERbody"/>
        </w:rPr>
        <w:t xml:space="preserve">a </w:t>
      </w:r>
      <w:r w:rsidR="005B3594" w:rsidRPr="005B3594">
        <w:rPr>
          <w:rStyle w:val="AERbody"/>
        </w:rPr>
        <w:t>seven year term)</w:t>
      </w:r>
      <w:r w:rsidR="00B32EC2" w:rsidRPr="005B3594">
        <w:rPr>
          <w:rStyle w:val="AERbody"/>
        </w:rPr>
        <w:t>;</w:t>
      </w:r>
      <w:r w:rsidR="00B32EC2">
        <w:t xml:space="preserve"> and</w:t>
      </w:r>
    </w:p>
    <w:p w:rsidR="00B32EC2" w:rsidRDefault="00B32EC2" w:rsidP="00C279A8">
      <w:pPr>
        <w:pStyle w:val="AERbulletlistfirststyle"/>
      </w:pPr>
      <w:r>
        <w:t>weights of 1/7 will apply to each element of the trailing average</w:t>
      </w:r>
      <w:r w:rsidR="0072305B">
        <w:t>.</w:t>
      </w:r>
    </w:p>
    <w:p w:rsidR="001D6D43" w:rsidRDefault="001D6D43" w:rsidP="002C604D">
      <w:pPr>
        <w:pStyle w:val="AERbodytext"/>
      </w:pPr>
      <w:r w:rsidRPr="001D6D43">
        <w:t xml:space="preserve">Estimates of </w:t>
      </w:r>
      <m:oMath>
        <m:sPre>
          <m:sPrePr>
            <m:ctrlPr>
              <w:rPr>
                <w:rFonts w:ascii="Cambria Math" w:hAnsi="Cambria Math"/>
              </w:rPr>
            </m:ctrlPr>
          </m:sPrePr>
          <m:sub>
            <m:r>
              <w:rPr>
                <w:rFonts w:ascii="Cambria Math" w:hAnsi="Cambria Math"/>
              </w:rPr>
              <m:t>x-7+t</m:t>
            </m:r>
          </m:sub>
          <m:sup/>
          <m:e>
            <m:sSubSup>
              <m:sSubSupPr>
                <m:ctrlPr>
                  <w:rPr>
                    <w:rFonts w:ascii="Cambria Math" w:hAnsi="Cambria Math"/>
                  </w:rPr>
                </m:ctrlPr>
              </m:sSubSupPr>
              <m:e>
                <m:r>
                  <w:rPr>
                    <w:rFonts w:ascii="Cambria Math" w:hAnsi="Cambria Math"/>
                  </w:rPr>
                  <m:t>R</m:t>
                </m:r>
              </m:e>
              <m:sub>
                <m:r>
                  <w:rPr>
                    <w:rFonts w:ascii="Cambria Math" w:hAnsi="Cambria Math"/>
                  </w:rPr>
                  <m:t>x+t</m:t>
                </m:r>
              </m:sub>
              <m:sup/>
            </m:sSubSup>
          </m:e>
        </m:sPre>
      </m:oMath>
      <w:r w:rsidR="007E4372">
        <w:t xml:space="preserve"> </w:t>
      </w:r>
      <w:r w:rsidRPr="001D6D43">
        <w:t xml:space="preserve">represent simple averages of the estimates for each </w:t>
      </w:r>
      <w:r>
        <w:t xml:space="preserve">business </w:t>
      </w:r>
      <w:r w:rsidRPr="001D6D43">
        <w:t xml:space="preserve">day within the averaging period corresponding to year </w:t>
      </w:r>
      <w:r w:rsidR="007E4372">
        <w:rPr>
          <w:rStyle w:val="AERtextitalic"/>
        </w:rPr>
        <w:t>(x-7+t)</w:t>
      </w:r>
      <w:r w:rsidRPr="001D6D43">
        <w:t>. Each daily estimate within the averaging period will be obtained from a</w:t>
      </w:r>
      <w:r w:rsidR="00B32EC2">
        <w:t>n</w:t>
      </w:r>
      <w:r w:rsidRPr="001D6D43">
        <w:t xml:space="preserve"> </w:t>
      </w:r>
      <w:r w:rsidR="00B32EC2">
        <w:t xml:space="preserve">independent </w:t>
      </w:r>
      <w:r w:rsidRPr="001D6D43">
        <w:t>third</w:t>
      </w:r>
      <w:r w:rsidR="00C11C86">
        <w:t xml:space="preserve"> </w:t>
      </w:r>
      <w:r w:rsidRPr="001D6D43">
        <w:t>party data provider in accordance with the estimation procedure specified in this guideline</w:t>
      </w:r>
      <w:r w:rsidR="00B32EC2">
        <w:t xml:space="preserve"> (as specified in section </w:t>
      </w:r>
      <w:r w:rsidR="009550E6">
        <w:t>6</w:t>
      </w:r>
      <w:r w:rsidR="00B32EC2">
        <w:t>.</w:t>
      </w:r>
      <w:r w:rsidR="009550E6">
        <w:t>3.3</w:t>
      </w:r>
      <w:r w:rsidR="00B32EC2">
        <w:t>)</w:t>
      </w:r>
      <w:r w:rsidRPr="001D6D43">
        <w:t>.</w:t>
      </w:r>
    </w:p>
    <w:p w:rsidR="00B32EC2" w:rsidRDefault="00B32EC2" w:rsidP="00DC31CC">
      <w:pPr>
        <w:pStyle w:val="Heading3"/>
      </w:pPr>
      <w:r>
        <w:t>Transitional arrangements</w:t>
      </w:r>
    </w:p>
    <w:p w:rsidR="00B32EC2" w:rsidRDefault="002C604D" w:rsidP="002C604D">
      <w:pPr>
        <w:pStyle w:val="AERbodytext"/>
      </w:pPr>
      <w:r w:rsidRPr="002C604D">
        <w:t xml:space="preserve">A trailing average </w:t>
      </w:r>
      <w:r>
        <w:t xml:space="preserve">portfolio </w:t>
      </w:r>
      <w:r w:rsidRPr="002C604D">
        <w:t xml:space="preserve">approach </w:t>
      </w:r>
      <w:r w:rsidR="006B195C">
        <w:t>would</w:t>
      </w:r>
      <w:r w:rsidR="006B195C" w:rsidRPr="002C604D">
        <w:t xml:space="preserve"> </w:t>
      </w:r>
      <w:r w:rsidRPr="002C604D">
        <w:t xml:space="preserve">be implemented after a period of transition. </w:t>
      </w:r>
      <w:r w:rsidR="00B32EC2">
        <w:t>The</w:t>
      </w:r>
      <w:r>
        <w:t xml:space="preserve"> AER </w:t>
      </w:r>
      <w:r w:rsidR="006B195C">
        <w:t xml:space="preserve">would </w:t>
      </w:r>
      <w:r>
        <w:t xml:space="preserve">apply </w:t>
      </w:r>
      <w:r w:rsidR="00991814">
        <w:t xml:space="preserve">a </w:t>
      </w:r>
      <w:r>
        <w:t>transition</w:t>
      </w:r>
      <w:r w:rsidR="00991814">
        <w:t>al</w:t>
      </w:r>
      <w:r>
        <w:t xml:space="preserve"> arrangement</w:t>
      </w:r>
      <w:r w:rsidR="00B32EC2">
        <w:t xml:space="preserve"> to d</w:t>
      </w:r>
      <w:r>
        <w:t>e</w:t>
      </w:r>
      <w:r w:rsidR="00B32EC2">
        <w:t xml:space="preserve">termine the allowed nominal return on debt </w:t>
      </w:r>
      <w:r w:rsidR="00991814" w:rsidRPr="00523722">
        <w:t>(</w:t>
      </w:r>
      <m:oMath>
        <m:sSub>
          <m:sSubPr>
            <m:ctrlPr>
              <w:rPr>
                <w:rFonts w:ascii="Cambria Math" w:hAnsi="Cambria Math"/>
              </w:rPr>
            </m:ctrlPr>
          </m:sSubPr>
          <m:e>
            <m:r>
              <w:rPr>
                <w:rFonts w:ascii="Cambria Math" w:hAnsi="Cambria Math"/>
              </w:rPr>
              <m:t>k</m:t>
            </m:r>
          </m:e>
          <m:sub>
            <m:r>
              <w:rPr>
                <w:rFonts w:ascii="Cambria Math" w:hAnsi="Cambria Math"/>
              </w:rPr>
              <m:t>d</m:t>
            </m:r>
          </m:sub>
        </m:sSub>
      </m:oMath>
      <w:r w:rsidR="00991814">
        <w:t>)</w:t>
      </w:r>
      <w:r w:rsidR="00B32EC2">
        <w:t xml:space="preserve"> at the commencement of a service provider</w:t>
      </w:r>
      <w:r>
        <w:t>'</w:t>
      </w:r>
      <w:r w:rsidR="00B32EC2">
        <w:t xml:space="preserve">s forthcoming regulatory control period. </w:t>
      </w:r>
      <w:r>
        <w:t xml:space="preserve">The period of transition </w:t>
      </w:r>
      <w:r w:rsidR="006B195C">
        <w:t xml:space="preserve">would </w:t>
      </w:r>
      <w:r>
        <w:t>be seven regulatory years. The transition method is set out below.</w:t>
      </w:r>
    </w:p>
    <w:p w:rsidR="002C604D" w:rsidRDefault="002C604D" w:rsidP="002C604D">
      <w:pPr>
        <w:pStyle w:val="AERbodytext"/>
        <w:numPr>
          <w:ilvl w:val="0"/>
          <w:numId w:val="6"/>
        </w:numPr>
      </w:pPr>
      <w:r w:rsidRPr="002C604D">
        <w:t xml:space="preserve">In the </w:t>
      </w:r>
      <w:r w:rsidR="00991814">
        <w:t>transitional formulae</w:t>
      </w:r>
      <w:r>
        <w:t>:</w:t>
      </w:r>
    </w:p>
    <w:p w:rsidR="002C604D" w:rsidRDefault="002C604D" w:rsidP="00991814">
      <w:pPr>
        <w:pStyle w:val="AERbulletlistfirststyle"/>
      </w:pPr>
      <w:r w:rsidRPr="002C604D">
        <w:t xml:space="preserve"> </w:t>
      </w:r>
      <m:oMath>
        <m:sPre>
          <m:sPrePr>
            <m:ctrlPr>
              <w:rPr>
                <w:rFonts w:ascii="Cambria Math" w:hAnsi="Cambria Math"/>
              </w:rPr>
            </m:ctrlPr>
          </m:sPrePr>
          <m:sub>
            <m:r>
              <w:rPr>
                <w:rFonts w:ascii="Cambria Math" w:hAnsi="Cambria Math"/>
              </w:rPr>
              <m:t>a</m:t>
            </m:r>
          </m:sub>
          <m:sup/>
          <m:e>
            <m:sSubSup>
              <m:sSubSupPr>
                <m:ctrlPr>
                  <w:rPr>
                    <w:rFonts w:ascii="Cambria Math" w:hAnsi="Cambria Math"/>
                  </w:rPr>
                </m:ctrlPr>
              </m:sSubSupPr>
              <m:e>
                <m:r>
                  <w:rPr>
                    <w:rFonts w:ascii="Cambria Math" w:hAnsi="Cambria Math"/>
                  </w:rPr>
                  <m:t>R</m:t>
                </m:r>
              </m:e>
              <m:sub>
                <m:r>
                  <w:rPr>
                    <w:rFonts w:ascii="Cambria Math" w:hAnsi="Cambria Math"/>
                  </w:rPr>
                  <m:t>b</m:t>
                </m:r>
              </m:sub>
              <m:sup/>
            </m:sSubSup>
          </m:e>
        </m:sPre>
      </m:oMath>
      <w:r w:rsidRPr="002C604D">
        <w:t xml:space="preserve"> corresponds to the </w:t>
      </w:r>
      <w:r>
        <w:t xml:space="preserve">estimated </w:t>
      </w:r>
      <w:r w:rsidRPr="002C604D">
        <w:t xml:space="preserve">prevailing return on debt that was entered into in year </w:t>
      </w:r>
      <w:r w:rsidRPr="002C604D">
        <w:rPr>
          <w:rStyle w:val="AERtextitalic"/>
        </w:rPr>
        <w:t>a</w:t>
      </w:r>
      <w:r w:rsidRPr="002C604D">
        <w:t xml:space="preserve"> and matures in year </w:t>
      </w:r>
      <w:r w:rsidRPr="002C604D">
        <w:rPr>
          <w:rStyle w:val="AERtextitalic"/>
        </w:rPr>
        <w:t>b</w:t>
      </w:r>
      <w:r>
        <w:rPr>
          <w:rStyle w:val="AERtextitalic"/>
        </w:rPr>
        <w:t>;</w:t>
      </w:r>
      <w:r w:rsidRPr="002C604D">
        <w:t xml:space="preserve"> and</w:t>
      </w:r>
    </w:p>
    <w:p w:rsidR="002C604D" w:rsidRPr="002C604D" w:rsidRDefault="002F23AE" w:rsidP="00991814">
      <w:pPr>
        <w:pStyle w:val="AERbulletlistfirststyle"/>
      </w:pPr>
      <m:oMath>
        <m:sPre>
          <m:sPrePr>
            <m:ctrlPr>
              <w:rPr>
                <w:rFonts w:ascii="Cambria Math" w:hAnsi="Cambria Math"/>
              </w:rPr>
            </m:ctrlPr>
          </m:sPrePr>
          <m:sub>
            <m:r>
              <w:rPr>
                <w:rFonts w:ascii="Cambria Math" w:hAnsi="Cambria Math"/>
              </w:rPr>
              <m:t>c</m:t>
            </m:r>
          </m:sub>
          <m:sup/>
          <m:e>
            <m:sSubSup>
              <m:sSubSupPr>
                <m:ctrlPr>
                  <w:rPr>
                    <w:rFonts w:ascii="Cambria Math" w:hAnsi="Cambria Math"/>
                  </w:rPr>
                </m:ctrlPr>
              </m:sSubSupPr>
              <m:e>
                <m:r>
                  <w:rPr>
                    <w:rFonts w:ascii="Cambria Math" w:hAnsi="Cambria Math"/>
                  </w:rPr>
                  <m:t>kd</m:t>
                </m:r>
              </m:e>
              <m:sub>
                <m:r>
                  <w:rPr>
                    <w:rFonts w:ascii="Cambria Math" w:hAnsi="Cambria Math"/>
                  </w:rPr>
                  <m:t>d</m:t>
                </m:r>
              </m:sub>
              <m:sup/>
            </m:sSubSup>
          </m:e>
        </m:sPre>
      </m:oMath>
      <w:r w:rsidR="002C604D" w:rsidRPr="002C604D">
        <w:t xml:space="preserve"> refers to the allowed return </w:t>
      </w:r>
      <w:r w:rsidR="005B3594">
        <w:t xml:space="preserve">on debt </w:t>
      </w:r>
      <w:r w:rsidR="002C604D" w:rsidRPr="002C604D">
        <w:t xml:space="preserve">for period beginning in the end of year </w:t>
      </w:r>
      <w:r w:rsidR="002C604D" w:rsidRPr="002C604D">
        <w:rPr>
          <w:rStyle w:val="AERtextitalic"/>
        </w:rPr>
        <w:t>c</w:t>
      </w:r>
      <w:r w:rsidR="002C604D" w:rsidRPr="002C604D">
        <w:t xml:space="preserve"> and ending at the beginning of year </w:t>
      </w:r>
      <w:r w:rsidR="002C604D" w:rsidRPr="002C604D">
        <w:rPr>
          <w:rStyle w:val="AERtextitalic"/>
        </w:rPr>
        <w:t>d</w:t>
      </w:r>
      <w:r w:rsidR="002C604D" w:rsidRPr="002C604D">
        <w:t xml:space="preserve">. Estimates of </w:t>
      </w:r>
      <m:oMath>
        <m:sPre>
          <m:sPrePr>
            <m:ctrlPr>
              <w:rPr>
                <w:rFonts w:ascii="Cambria Math" w:hAnsi="Cambria Math"/>
              </w:rPr>
            </m:ctrlPr>
          </m:sPrePr>
          <m:sub>
            <m:r>
              <w:rPr>
                <w:rFonts w:ascii="Cambria Math" w:hAnsi="Cambria Math"/>
              </w:rPr>
              <m:t>a</m:t>
            </m:r>
          </m:sub>
          <m:sup/>
          <m:e>
            <m:sSubSup>
              <m:sSubSupPr>
                <m:ctrlPr>
                  <w:rPr>
                    <w:rFonts w:ascii="Cambria Math" w:hAnsi="Cambria Math"/>
                  </w:rPr>
                </m:ctrlPr>
              </m:sSubSupPr>
              <m:e>
                <m:r>
                  <w:rPr>
                    <w:rFonts w:ascii="Cambria Math" w:hAnsi="Cambria Math"/>
                  </w:rPr>
                  <m:t>R</m:t>
                </m:r>
              </m:e>
              <m:sub>
                <m:r>
                  <w:rPr>
                    <w:rFonts w:ascii="Cambria Math" w:hAnsi="Cambria Math"/>
                  </w:rPr>
                  <m:t>b</m:t>
                </m:r>
              </m:sub>
              <m:sup/>
            </m:sSubSup>
          </m:e>
        </m:sPre>
      </m:oMath>
      <w:r w:rsidR="002C604D" w:rsidRPr="002C604D">
        <w:t xml:space="preserve"> are computed in accordance with the specified estimation method and represent simple averages of the estimates for each </w:t>
      </w:r>
      <w:r w:rsidR="00991814">
        <w:t xml:space="preserve">business </w:t>
      </w:r>
      <w:r w:rsidR="002C604D" w:rsidRPr="002C604D">
        <w:t>day within the corresponding averaging period.</w:t>
      </w:r>
    </w:p>
    <w:p w:rsidR="002C604D" w:rsidRDefault="002C604D" w:rsidP="002C604D">
      <w:r>
        <w:lastRenderedPageBreak/>
        <w:t xml:space="preserve">In the first regulatory year of </w:t>
      </w:r>
      <w:r w:rsidR="00991814">
        <w:t xml:space="preserve">the </w:t>
      </w:r>
      <w:r>
        <w:t>transition</w:t>
      </w:r>
      <w:r w:rsidR="00991814">
        <w:t>al period</w:t>
      </w:r>
      <w:r>
        <w:t xml:space="preserve">, the allowed rate of return on debt </w:t>
      </w:r>
      <w:r w:rsidR="006B195C">
        <w:t xml:space="preserve">would </w:t>
      </w:r>
      <w:r>
        <w:t>be based on the estimated prevailing rate of return on debt for that year</w:t>
      </w:r>
      <w:r w:rsidR="005B3594">
        <w:t xml:space="preserve"> (similarly to the 'on the day' approach)</w:t>
      </w:r>
      <w:r>
        <w:t>:</w:t>
      </w:r>
    </w:p>
    <w:p w:rsidR="002C604D" w:rsidRPr="00DB3F92" w:rsidRDefault="002F23AE" w:rsidP="002C604D">
      <m:oMathPara>
        <m:oMath>
          <m:sPre>
            <m:sPrePr>
              <m:ctrlPr>
                <w:rPr>
                  <w:rFonts w:ascii="Cambria Math" w:hAnsi="Cambria Math"/>
                  <w:i/>
                </w:rPr>
              </m:ctrlPr>
            </m:sPrePr>
            <m:sub>
              <m:r>
                <w:rPr>
                  <w:rFonts w:ascii="Cambria Math" w:hAnsi="Cambria Math"/>
                </w:rPr>
                <m:t>0</m:t>
              </m:r>
            </m:sub>
            <m:sup/>
            <m:e>
              <m:sSubSup>
                <m:sSubSupPr>
                  <m:ctrlPr>
                    <w:rPr>
                      <w:rFonts w:ascii="Cambria Math" w:hAnsi="Cambria Math"/>
                      <w:i/>
                    </w:rPr>
                  </m:ctrlPr>
                </m:sSubSupPr>
                <m:e>
                  <m:r>
                    <w:rPr>
                      <w:rFonts w:ascii="Cambria Math" w:hAnsi="Cambria Math"/>
                    </w:rPr>
                    <m:t>kd</m:t>
                  </m:r>
                </m:e>
                <m:sub>
                  <m:r>
                    <w:rPr>
                      <w:rFonts w:ascii="Cambria Math" w:hAnsi="Cambria Math"/>
                    </w:rPr>
                    <m:t>1</m:t>
                  </m:r>
                </m:sub>
                <m:sup/>
              </m:sSubSup>
            </m:e>
          </m:sPre>
          <m:r>
            <w:rPr>
              <w:rFonts w:ascii="Cambria Math" w:hAnsi="Cambria Math"/>
            </w:rPr>
            <m:t>=</m:t>
          </m:r>
          <m:sPre>
            <m:sPrePr>
              <m:ctrlPr>
                <w:rPr>
                  <w:rFonts w:ascii="Cambria Math" w:hAnsi="Cambria Math"/>
                </w:rPr>
              </m:ctrlPr>
            </m:sPrePr>
            <m:sub>
              <m:r>
                <w:rPr>
                  <w:rFonts w:ascii="Cambria Math" w:hAnsi="Cambria Math"/>
                </w:rPr>
                <m:t>0</m:t>
              </m:r>
            </m:sub>
            <m:sup/>
            <m:e>
              <m:sSubSup>
                <m:sSubSupPr>
                  <m:ctrlPr>
                    <w:rPr>
                      <w:rFonts w:ascii="Cambria Math" w:hAnsi="Cambria Math"/>
                    </w:rPr>
                  </m:ctrlPr>
                </m:sSubSupPr>
                <m:e>
                  <m:r>
                    <w:rPr>
                      <w:rFonts w:ascii="Cambria Math" w:hAnsi="Cambria Math"/>
                    </w:rPr>
                    <m:t>R</m:t>
                  </m:r>
                </m:e>
                <m:sub>
                  <m:r>
                    <w:rPr>
                      <w:rFonts w:ascii="Cambria Math" w:hAnsi="Cambria Math"/>
                    </w:rPr>
                    <m:t>7</m:t>
                  </m:r>
                </m:sub>
                <m:sup/>
              </m:sSubSup>
            </m:e>
          </m:sPre>
        </m:oMath>
      </m:oMathPara>
    </w:p>
    <w:p w:rsidR="002C604D" w:rsidRDefault="002C604D" w:rsidP="002C604D">
      <w:r>
        <w:t xml:space="preserve">The allowed rate of return on debt in the second </w:t>
      </w:r>
      <w:r w:rsidR="00991814">
        <w:t xml:space="preserve">regulatory </w:t>
      </w:r>
      <w:r>
        <w:t xml:space="preserve">year </w:t>
      </w:r>
      <w:r w:rsidR="006B195C">
        <w:t xml:space="preserve">would </w:t>
      </w:r>
      <w:r>
        <w:t xml:space="preserve">be the weighted average of the prevailing rates in the first and second </w:t>
      </w:r>
      <w:r w:rsidR="00991814">
        <w:t xml:space="preserve">regulatory </w:t>
      </w:r>
      <w:r>
        <w:t xml:space="preserve">year of </w:t>
      </w:r>
      <w:r w:rsidR="00991814">
        <w:t xml:space="preserve">the </w:t>
      </w:r>
      <w:r>
        <w:t>transition</w:t>
      </w:r>
      <w:r w:rsidR="00991814">
        <w:t>al period</w:t>
      </w:r>
      <w:r>
        <w:t>:</w:t>
      </w:r>
    </w:p>
    <w:p w:rsidR="002C604D" w:rsidRPr="00DB3F92" w:rsidRDefault="002F23AE" w:rsidP="002C604D">
      <m:oMathPara>
        <m:oMath>
          <m:sPre>
            <m:sPrePr>
              <m:ctrlPr>
                <w:rPr>
                  <w:rFonts w:ascii="Cambria Math" w:hAnsi="Cambria Math"/>
                  <w:i/>
                </w:rPr>
              </m:ctrlPr>
            </m:sPrePr>
            <m:sub>
              <m:r>
                <w:rPr>
                  <w:rFonts w:ascii="Cambria Math" w:hAnsi="Cambria Math"/>
                </w:rPr>
                <m:t>1</m:t>
              </m:r>
            </m:sub>
            <m:sup/>
            <m:e>
              <m:sSubSup>
                <m:sSubSupPr>
                  <m:ctrlPr>
                    <w:rPr>
                      <w:rFonts w:ascii="Cambria Math" w:hAnsi="Cambria Math"/>
                      <w:i/>
                    </w:rPr>
                  </m:ctrlPr>
                </m:sSubSupPr>
                <m:e>
                  <m:r>
                    <w:rPr>
                      <w:rFonts w:ascii="Cambria Math" w:hAnsi="Cambria Math"/>
                    </w:rPr>
                    <m:t>kd</m:t>
                  </m:r>
                </m:e>
                <m:sub>
                  <m:r>
                    <w:rPr>
                      <w:rFonts w:ascii="Cambria Math" w:hAnsi="Cambria Math"/>
                    </w:rPr>
                    <m:t>2</m:t>
                  </m:r>
                </m:sub>
                <m:sup/>
              </m:sSubSup>
            </m:e>
          </m:sPre>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7</m:t>
              </m:r>
            </m:den>
          </m:f>
          <m:r>
            <w:rPr>
              <w:rFonts w:ascii="Cambria Math" w:hAnsi="Cambria Math"/>
            </w:rPr>
            <m:t>∙</m:t>
          </m:r>
          <m:sPre>
            <m:sPrePr>
              <m:ctrlPr>
                <w:rPr>
                  <w:rFonts w:ascii="Cambria Math" w:hAnsi="Cambria Math"/>
                </w:rPr>
              </m:ctrlPr>
            </m:sPrePr>
            <m:sub>
              <m:r>
                <w:rPr>
                  <w:rFonts w:ascii="Cambria Math" w:hAnsi="Cambria Math"/>
                </w:rPr>
                <m:t>0</m:t>
              </m:r>
            </m:sub>
            <m:sup/>
            <m:e>
              <m:sSubSup>
                <m:sSubSupPr>
                  <m:ctrlPr>
                    <w:rPr>
                      <w:rFonts w:ascii="Cambria Math" w:hAnsi="Cambria Math"/>
                    </w:rPr>
                  </m:ctrlPr>
                </m:sSubSupPr>
                <m:e>
                  <m:r>
                    <w:rPr>
                      <w:rFonts w:ascii="Cambria Math" w:hAnsi="Cambria Math"/>
                    </w:rPr>
                    <m:t>R</m:t>
                  </m:r>
                </m:e>
                <m:sub>
                  <m:r>
                    <w:rPr>
                      <w:rFonts w:ascii="Cambria Math" w:hAnsi="Cambria Math"/>
                    </w:rPr>
                    <m:t>7</m:t>
                  </m:r>
                </m:sub>
                <m:sup/>
              </m:sSubSup>
            </m:e>
          </m:sPr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m:t>
          </m:r>
          <m:sPre>
            <m:sPrePr>
              <m:ctrlPr>
                <w:rPr>
                  <w:rFonts w:ascii="Cambria Math" w:hAnsi="Cambria Math"/>
                </w:rPr>
              </m:ctrlPr>
            </m:sPrePr>
            <m:sub>
              <m:r>
                <w:rPr>
                  <w:rFonts w:ascii="Cambria Math" w:hAnsi="Cambria Math"/>
                </w:rPr>
                <m:t>1</m:t>
              </m:r>
            </m:sub>
            <m:sup/>
            <m:e>
              <m:sSubSup>
                <m:sSubSupPr>
                  <m:ctrlPr>
                    <w:rPr>
                      <w:rFonts w:ascii="Cambria Math" w:hAnsi="Cambria Math"/>
                    </w:rPr>
                  </m:ctrlPr>
                </m:sSubSupPr>
                <m:e>
                  <m:r>
                    <w:rPr>
                      <w:rFonts w:ascii="Cambria Math" w:hAnsi="Cambria Math"/>
                    </w:rPr>
                    <m:t>R</m:t>
                  </m:r>
                </m:e>
                <m:sub>
                  <m:r>
                    <w:rPr>
                      <w:rFonts w:ascii="Cambria Math" w:hAnsi="Cambria Math"/>
                    </w:rPr>
                    <m:t>8</m:t>
                  </m:r>
                </m:sub>
                <m:sup/>
              </m:sSubSup>
            </m:e>
          </m:sPre>
        </m:oMath>
      </m:oMathPara>
    </w:p>
    <w:p w:rsidR="002C604D" w:rsidRDefault="00991814" w:rsidP="002C604D">
      <w:r>
        <w:t xml:space="preserve">The allowed rate of return on debt in the third regulatory year </w:t>
      </w:r>
      <w:r w:rsidR="006B195C">
        <w:t xml:space="preserve">would </w:t>
      </w:r>
      <w:r>
        <w:t>be the weighted average of the prevailing rates in the first, second</w:t>
      </w:r>
      <w:r w:rsidR="005B3594">
        <w:t>,</w:t>
      </w:r>
      <w:r>
        <w:t xml:space="preserve"> and third regulatory year of the transitional period:  </w:t>
      </w:r>
    </w:p>
    <w:p w:rsidR="002C604D" w:rsidRPr="006B195C" w:rsidRDefault="002F23AE" w:rsidP="002C604D">
      <m:oMathPara>
        <m:oMath>
          <m:sPre>
            <m:sPrePr>
              <m:ctrlPr>
                <w:rPr>
                  <w:rFonts w:ascii="Cambria Math" w:hAnsi="Cambria Math"/>
                  <w:i/>
                </w:rPr>
              </m:ctrlPr>
            </m:sPrePr>
            <m:sub>
              <m:r>
                <w:rPr>
                  <w:rFonts w:ascii="Cambria Math" w:hAnsi="Cambria Math"/>
                </w:rPr>
                <m:t>2</m:t>
              </m:r>
            </m:sub>
            <m:sup/>
            <m:e>
              <m:sSubSup>
                <m:sSubSupPr>
                  <m:ctrlPr>
                    <w:rPr>
                      <w:rFonts w:ascii="Cambria Math" w:hAnsi="Cambria Math"/>
                      <w:i/>
                    </w:rPr>
                  </m:ctrlPr>
                </m:sSubSupPr>
                <m:e>
                  <m:r>
                    <w:rPr>
                      <w:rFonts w:ascii="Cambria Math" w:hAnsi="Cambria Math"/>
                    </w:rPr>
                    <m:t>kd</m:t>
                  </m:r>
                </m:e>
                <m:sub>
                  <m:r>
                    <w:rPr>
                      <w:rFonts w:ascii="Cambria Math" w:hAnsi="Cambria Math"/>
                    </w:rPr>
                    <m:t>3</m:t>
                  </m:r>
                </m:sub>
                <m:sup/>
              </m:sSubSup>
            </m:e>
          </m:sPre>
          <m:r>
            <w:rPr>
              <w:rFonts w:ascii="Cambria Math" w:hAnsi="Cambria Math"/>
            </w:rPr>
            <m:t>=</m:t>
          </m:r>
          <m:f>
            <m:fPr>
              <m:ctrlPr>
                <w:rPr>
                  <w:rFonts w:ascii="Cambria Math" w:hAnsi="Cambria Math"/>
                </w:rPr>
              </m:ctrlPr>
            </m:fPr>
            <m:num>
              <m:r>
                <w:rPr>
                  <w:rFonts w:ascii="Cambria Math" w:hAnsi="Cambria Math"/>
                </w:rPr>
                <m:t>5</m:t>
              </m:r>
            </m:num>
            <m:den>
              <m:r>
                <w:rPr>
                  <w:rFonts w:ascii="Cambria Math" w:hAnsi="Cambria Math"/>
                </w:rPr>
                <m:t>7</m:t>
              </m:r>
            </m:den>
          </m:f>
          <m:r>
            <w:rPr>
              <w:rFonts w:ascii="Cambria Math" w:hAnsi="Cambria Math"/>
            </w:rPr>
            <m:t>∙</m:t>
          </m:r>
          <m:sPre>
            <m:sPrePr>
              <m:ctrlPr>
                <w:rPr>
                  <w:rFonts w:ascii="Cambria Math" w:hAnsi="Cambria Math"/>
                </w:rPr>
              </m:ctrlPr>
            </m:sPrePr>
            <m:sub>
              <m:r>
                <w:rPr>
                  <w:rFonts w:ascii="Cambria Math" w:hAnsi="Cambria Math"/>
                </w:rPr>
                <m:t>0</m:t>
              </m:r>
            </m:sub>
            <m:sup/>
            <m:e>
              <m:sSubSup>
                <m:sSubSupPr>
                  <m:ctrlPr>
                    <w:rPr>
                      <w:rFonts w:ascii="Cambria Math" w:hAnsi="Cambria Math"/>
                    </w:rPr>
                  </m:ctrlPr>
                </m:sSubSupPr>
                <m:e>
                  <m:r>
                    <w:rPr>
                      <w:rFonts w:ascii="Cambria Math" w:hAnsi="Cambria Math"/>
                    </w:rPr>
                    <m:t>R</m:t>
                  </m:r>
                </m:e>
                <m:sub>
                  <m:r>
                    <w:rPr>
                      <w:rFonts w:ascii="Cambria Math" w:hAnsi="Cambria Math"/>
                    </w:rPr>
                    <m:t>7</m:t>
                  </m:r>
                </m:sub>
                <m:sup/>
              </m:sSubSup>
            </m:e>
          </m:sPre>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7</m:t>
              </m:r>
            </m:den>
          </m:f>
          <m:r>
            <w:rPr>
              <w:rFonts w:ascii="Cambria Math" w:hAnsi="Cambria Math"/>
            </w:rPr>
            <m:t>∙</m:t>
          </m:r>
          <m:sPre>
            <m:sPrePr>
              <m:ctrlPr>
                <w:rPr>
                  <w:rFonts w:ascii="Cambria Math" w:hAnsi="Cambria Math"/>
                </w:rPr>
              </m:ctrlPr>
            </m:sPrePr>
            <m:sub>
              <m:r>
                <w:rPr>
                  <w:rFonts w:ascii="Cambria Math" w:hAnsi="Cambria Math"/>
                </w:rPr>
                <m:t>1</m:t>
              </m:r>
            </m:sub>
            <m:sup/>
            <m:e>
              <m:sSubSup>
                <m:sSubSupPr>
                  <m:ctrlPr>
                    <w:rPr>
                      <w:rFonts w:ascii="Cambria Math" w:hAnsi="Cambria Math"/>
                    </w:rPr>
                  </m:ctrlPr>
                </m:sSubSupPr>
                <m:e>
                  <m:r>
                    <w:rPr>
                      <w:rFonts w:ascii="Cambria Math" w:hAnsi="Cambria Math"/>
                    </w:rPr>
                    <m:t>R</m:t>
                  </m:r>
                </m:e>
                <m:sub>
                  <m:r>
                    <w:rPr>
                      <w:rFonts w:ascii="Cambria Math" w:hAnsi="Cambria Math"/>
                    </w:rPr>
                    <m:t>8</m:t>
                  </m:r>
                </m:sub>
                <m:sup/>
              </m:sSubSup>
            </m:e>
          </m:sPre>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7</m:t>
              </m:r>
            </m:den>
          </m:f>
          <m:r>
            <w:rPr>
              <w:rFonts w:ascii="Cambria Math" w:hAnsi="Cambria Math"/>
            </w:rPr>
            <m:t>∙</m:t>
          </m:r>
          <m:sPre>
            <m:sPrePr>
              <m:ctrlPr>
                <w:rPr>
                  <w:rFonts w:ascii="Cambria Math" w:hAnsi="Cambria Math"/>
                </w:rPr>
              </m:ctrlPr>
            </m:sPrePr>
            <m:sub>
              <m:r>
                <w:rPr>
                  <w:rFonts w:ascii="Cambria Math" w:hAnsi="Cambria Math"/>
                </w:rPr>
                <m:t>2</m:t>
              </m:r>
            </m:sub>
            <m:sup/>
            <m:e>
              <m:sSubSup>
                <m:sSubSupPr>
                  <m:ctrlPr>
                    <w:rPr>
                      <w:rFonts w:ascii="Cambria Math" w:hAnsi="Cambria Math"/>
                    </w:rPr>
                  </m:ctrlPr>
                </m:sSubSupPr>
                <m:e>
                  <m:r>
                    <w:rPr>
                      <w:rFonts w:ascii="Cambria Math" w:hAnsi="Cambria Math"/>
                    </w:rPr>
                    <m:t>R</m:t>
                  </m:r>
                </m:e>
                <m:sub>
                  <m:r>
                    <w:rPr>
                      <w:rFonts w:ascii="Cambria Math" w:hAnsi="Cambria Math"/>
                    </w:rPr>
                    <m:t>9</m:t>
                  </m:r>
                </m:sub>
                <m:sup/>
              </m:sSubSup>
            </m:e>
          </m:sPre>
        </m:oMath>
      </m:oMathPara>
    </w:p>
    <w:p w:rsidR="008F3EC2" w:rsidRDefault="006B195C" w:rsidP="002C604D">
      <w:r>
        <w:t>The calculation for all subsequent regulatory years until the transitional period is completed is set out below:</w:t>
      </w:r>
    </w:p>
    <w:p w:rsidR="002C604D" w:rsidRPr="00DB3F92" w:rsidRDefault="002F23AE" w:rsidP="004E079C">
      <w:pPr>
        <w:pStyle w:val="AERbodytextindent1"/>
      </w:pPr>
      <m:oMathPara>
        <m:oMath>
          <m:sPre>
            <m:sPrePr>
              <m:ctrlPr>
                <w:rPr>
                  <w:rFonts w:ascii="Cambria Math" w:hAnsi="Cambria Math"/>
                </w:rPr>
              </m:ctrlPr>
            </m:sPrePr>
            <m:sub>
              <m:r>
                <m:rPr>
                  <m:sty m:val="p"/>
                </m:rPr>
                <w:rPr>
                  <w:rFonts w:ascii="Cambria Math" w:hAnsi="Cambria Math"/>
                </w:rPr>
                <m:t>3</m:t>
              </m:r>
            </m:sub>
            <m:sup/>
            <m:e>
              <m:sSubSup>
                <m:sSubSupPr>
                  <m:ctrlPr>
                    <w:rPr>
                      <w:rFonts w:ascii="Cambria Math" w:hAnsi="Cambria Math"/>
                    </w:rPr>
                  </m:ctrlPr>
                </m:sSubSupPr>
                <m:e>
                  <m:r>
                    <w:rPr>
                      <w:rFonts w:ascii="Cambria Math" w:hAnsi="Cambria Math"/>
                    </w:rPr>
                    <m:t>kd</m:t>
                  </m:r>
                </m:e>
                <m:sub>
                  <m:r>
                    <m:rPr>
                      <m:sty m:val="p"/>
                    </m:rPr>
                    <w:rPr>
                      <w:rFonts w:ascii="Cambria Math" w:hAnsi="Cambria Math"/>
                    </w:rPr>
                    <m:t>4</m:t>
                  </m:r>
                </m:sub>
                <m:sup/>
              </m:sSubSup>
            </m:e>
          </m:sPre>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7</m:t>
              </m:r>
            </m:den>
          </m:f>
          <m:r>
            <m:rPr>
              <m:sty m:val="p"/>
            </m:rPr>
            <w:rPr>
              <w:rFonts w:ascii="Cambria Math" w:hAnsi="Cambria Math"/>
            </w:rPr>
            <m:t>∙</m:t>
          </m:r>
          <m:sPre>
            <m:sPrePr>
              <m:ctrlPr>
                <w:rPr>
                  <w:rFonts w:ascii="Cambria Math" w:hAnsi="Cambria Math"/>
                </w:rPr>
              </m:ctrlPr>
            </m:sPrePr>
            <m:sub>
              <m:r>
                <m:rPr>
                  <m:sty m:val="p"/>
                </m:rPr>
                <w:rPr>
                  <w:rFonts w:ascii="Cambria Math" w:hAnsi="Cambria Math"/>
                </w:rPr>
                <m:t>0</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7</m:t>
                  </m:r>
                </m:sub>
                <m:sup/>
              </m:sSubSup>
            </m:e>
          </m:sPre>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m:t>
          </m:r>
          <m:sPre>
            <m:sPrePr>
              <m:ctrlPr>
                <w:rPr>
                  <w:rFonts w:ascii="Cambria Math" w:hAnsi="Cambria Math"/>
                </w:rPr>
              </m:ctrlPr>
            </m:sPrePr>
            <m:sub>
              <m:r>
                <m:rPr>
                  <m:sty m:val="p"/>
                </m:rPr>
                <w:rPr>
                  <w:rFonts w:ascii="Cambria Math" w:hAnsi="Cambria Math"/>
                </w:rPr>
                <m:t>1</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8</m:t>
                  </m:r>
                </m:sub>
                <m:sup/>
              </m:sSubSup>
            </m:e>
          </m:sPre>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m:t>
          </m:r>
          <m:sPre>
            <m:sPrePr>
              <m:ctrlPr>
                <w:rPr>
                  <w:rFonts w:ascii="Cambria Math" w:hAnsi="Cambria Math"/>
                </w:rPr>
              </m:ctrlPr>
            </m:sPrePr>
            <m:sub>
              <m:r>
                <m:rPr>
                  <m:sty m:val="p"/>
                </m:rPr>
                <w:rPr>
                  <w:rFonts w:ascii="Cambria Math" w:hAnsi="Cambria Math"/>
                </w:rPr>
                <m:t>2</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9</m:t>
                  </m:r>
                </m:sub>
                <m:sup/>
              </m:sSubSup>
            </m:e>
          </m:sPre>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m:t>
          </m:r>
          <m:sPre>
            <m:sPrePr>
              <m:ctrlPr>
                <w:rPr>
                  <w:rFonts w:ascii="Cambria Math" w:hAnsi="Cambria Math"/>
                </w:rPr>
              </m:ctrlPr>
            </m:sPrePr>
            <m:sub>
              <m:r>
                <m:rPr>
                  <m:sty m:val="p"/>
                </m:rPr>
                <w:rPr>
                  <w:rFonts w:ascii="Cambria Math" w:hAnsi="Cambria Math"/>
                </w:rPr>
                <m:t>3</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10</m:t>
                  </m:r>
                </m:sub>
                <m:sup/>
              </m:sSubSup>
            </m:e>
          </m:sPre>
        </m:oMath>
      </m:oMathPara>
    </w:p>
    <w:p w:rsidR="002C604D" w:rsidRPr="00DB3F92" w:rsidRDefault="002F23AE" w:rsidP="004E079C">
      <w:pPr>
        <w:pStyle w:val="AERbodytextindent1"/>
      </w:pPr>
      <m:oMathPara>
        <m:oMath>
          <m:sPre>
            <m:sPrePr>
              <m:ctrlPr>
                <w:rPr>
                  <w:rFonts w:ascii="Cambria Math" w:hAnsi="Cambria Math"/>
                </w:rPr>
              </m:ctrlPr>
            </m:sPrePr>
            <m:sub>
              <m:r>
                <m:rPr>
                  <m:sty m:val="p"/>
                </m:rPr>
                <w:rPr>
                  <w:rFonts w:ascii="Cambria Math" w:hAnsi="Cambria Math"/>
                </w:rPr>
                <m:t>4</m:t>
              </m:r>
            </m:sub>
            <m:sup/>
            <m:e>
              <m:sSubSup>
                <m:sSubSupPr>
                  <m:ctrlPr>
                    <w:rPr>
                      <w:rFonts w:ascii="Cambria Math" w:hAnsi="Cambria Math"/>
                    </w:rPr>
                  </m:ctrlPr>
                </m:sSubSupPr>
                <m:e>
                  <m:r>
                    <w:rPr>
                      <w:rFonts w:ascii="Cambria Math" w:hAnsi="Cambria Math"/>
                    </w:rPr>
                    <m:t>kd</m:t>
                  </m:r>
                </m:e>
                <m:sub>
                  <m:r>
                    <m:rPr>
                      <m:sty m:val="p"/>
                    </m:rPr>
                    <w:rPr>
                      <w:rFonts w:ascii="Cambria Math" w:hAnsi="Cambria Math"/>
                    </w:rPr>
                    <m:t>5</m:t>
                  </m:r>
                </m:sub>
                <m:sup/>
              </m:sSubSup>
            </m:e>
          </m:sPre>
          <m:r>
            <m:rPr>
              <m:sty m:val="p"/>
            </m:rP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7</m:t>
              </m:r>
            </m:den>
          </m:f>
          <m:r>
            <m:rPr>
              <m:sty m:val="p"/>
            </m:rPr>
            <w:rPr>
              <w:rFonts w:ascii="Cambria Math" w:hAnsi="Cambria Math"/>
            </w:rPr>
            <m:t>∙</m:t>
          </m:r>
          <m:sPre>
            <m:sPrePr>
              <m:ctrlPr>
                <w:rPr>
                  <w:rFonts w:ascii="Cambria Math" w:hAnsi="Cambria Math"/>
                </w:rPr>
              </m:ctrlPr>
            </m:sPrePr>
            <m:sub>
              <m:r>
                <m:rPr>
                  <m:sty m:val="p"/>
                </m:rPr>
                <w:rPr>
                  <w:rFonts w:ascii="Cambria Math" w:hAnsi="Cambria Math"/>
                </w:rPr>
                <m:t>0</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7</m:t>
                  </m:r>
                </m:sub>
                <m:sup/>
              </m:sSubSup>
            </m:e>
          </m:sPre>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m:t>
          </m:r>
          <m:sPre>
            <m:sPrePr>
              <m:ctrlPr>
                <w:rPr>
                  <w:rFonts w:ascii="Cambria Math" w:hAnsi="Cambria Math"/>
                </w:rPr>
              </m:ctrlPr>
            </m:sPrePr>
            <m:sub>
              <m:r>
                <m:rPr>
                  <m:sty m:val="p"/>
                </m:rPr>
                <w:rPr>
                  <w:rFonts w:ascii="Cambria Math" w:hAnsi="Cambria Math"/>
                </w:rPr>
                <m:t>1</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8</m:t>
                  </m:r>
                </m:sub>
                <m:sup/>
              </m:sSubSup>
            </m:e>
          </m:sPre>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m:t>
          </m:r>
          <m:sPre>
            <m:sPrePr>
              <m:ctrlPr>
                <w:rPr>
                  <w:rFonts w:ascii="Cambria Math" w:hAnsi="Cambria Math"/>
                </w:rPr>
              </m:ctrlPr>
            </m:sPrePr>
            <m:sub>
              <m:r>
                <m:rPr>
                  <m:sty m:val="p"/>
                </m:rPr>
                <w:rPr>
                  <w:rFonts w:ascii="Cambria Math" w:hAnsi="Cambria Math"/>
                </w:rPr>
                <m:t>2</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9</m:t>
                  </m:r>
                </m:sub>
                <m:sup/>
              </m:sSubSup>
            </m:e>
          </m:sPre>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m:t>
          </m:r>
          <m:sPre>
            <m:sPrePr>
              <m:ctrlPr>
                <w:rPr>
                  <w:rFonts w:ascii="Cambria Math" w:hAnsi="Cambria Math"/>
                </w:rPr>
              </m:ctrlPr>
            </m:sPrePr>
            <m:sub>
              <m:r>
                <m:rPr>
                  <m:sty m:val="p"/>
                </m:rPr>
                <w:rPr>
                  <w:rFonts w:ascii="Cambria Math" w:hAnsi="Cambria Math"/>
                </w:rPr>
                <m:t>3</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10</m:t>
                  </m:r>
                </m:sub>
                <m:sup/>
              </m:sSub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m:t>
              </m:r>
              <m:sPre>
                <m:sPrePr>
                  <m:ctrlPr>
                    <w:rPr>
                      <w:rFonts w:ascii="Cambria Math" w:hAnsi="Cambria Math"/>
                    </w:rPr>
                  </m:ctrlPr>
                </m:sPrePr>
                <m:sub>
                  <m:r>
                    <m:rPr>
                      <m:sty m:val="p"/>
                    </m:rPr>
                    <w:rPr>
                      <w:rFonts w:ascii="Cambria Math" w:hAnsi="Cambria Math"/>
                    </w:rPr>
                    <m:t>4</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11</m:t>
                      </m:r>
                    </m:sub>
                    <m:sup/>
                  </m:sSubSup>
                </m:e>
              </m:sPre>
            </m:e>
          </m:sPre>
        </m:oMath>
      </m:oMathPara>
    </w:p>
    <w:p w:rsidR="002C604D" w:rsidRPr="00DB3F92" w:rsidRDefault="002F23AE" w:rsidP="004E079C">
      <w:pPr>
        <w:pStyle w:val="AERbodytextindent1"/>
      </w:pPr>
      <m:oMathPara>
        <m:oMath>
          <m:sPre>
            <m:sPrePr>
              <m:ctrlPr>
                <w:rPr>
                  <w:rFonts w:ascii="Cambria Math" w:hAnsi="Cambria Math"/>
                </w:rPr>
              </m:ctrlPr>
            </m:sPrePr>
            <m:sub>
              <m:r>
                <m:rPr>
                  <m:sty m:val="p"/>
                </m:rPr>
                <w:rPr>
                  <w:rFonts w:ascii="Cambria Math" w:hAnsi="Cambria Math"/>
                </w:rPr>
                <m:t>5</m:t>
              </m:r>
            </m:sub>
            <m:sup/>
            <m:e>
              <m:sSubSup>
                <m:sSubSupPr>
                  <m:ctrlPr>
                    <w:rPr>
                      <w:rFonts w:ascii="Cambria Math" w:hAnsi="Cambria Math"/>
                    </w:rPr>
                  </m:ctrlPr>
                </m:sSubSupPr>
                <m:e>
                  <m:r>
                    <w:rPr>
                      <w:rFonts w:ascii="Cambria Math" w:hAnsi="Cambria Math"/>
                    </w:rPr>
                    <m:t>kd</m:t>
                  </m:r>
                </m:e>
                <m:sub>
                  <m:r>
                    <m:rPr>
                      <m:sty m:val="p"/>
                    </m:rPr>
                    <w:rPr>
                      <w:rFonts w:ascii="Cambria Math" w:hAnsi="Cambria Math"/>
                    </w:rPr>
                    <m:t>6</m:t>
                  </m:r>
                </m:sub>
                <m:sup/>
              </m:sSubSup>
            </m:e>
          </m:sPre>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7</m:t>
              </m:r>
            </m:den>
          </m:f>
          <m:r>
            <m:rPr>
              <m:sty m:val="p"/>
            </m:rPr>
            <w:rPr>
              <w:rFonts w:ascii="Cambria Math" w:hAnsi="Cambria Math"/>
            </w:rPr>
            <m:t>∙</m:t>
          </m:r>
          <m:sPre>
            <m:sPrePr>
              <m:ctrlPr>
                <w:rPr>
                  <w:rFonts w:ascii="Cambria Math" w:hAnsi="Cambria Math"/>
                </w:rPr>
              </m:ctrlPr>
            </m:sPrePr>
            <m:sub>
              <m:r>
                <m:rPr>
                  <m:sty m:val="p"/>
                </m:rPr>
                <w:rPr>
                  <w:rFonts w:ascii="Cambria Math" w:hAnsi="Cambria Math"/>
                </w:rPr>
                <m:t>0</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7</m:t>
                  </m:r>
                </m:sub>
                <m:sup/>
              </m:sSubSup>
            </m:e>
          </m:sPre>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m:t>
          </m:r>
          <m:sPre>
            <m:sPrePr>
              <m:ctrlPr>
                <w:rPr>
                  <w:rFonts w:ascii="Cambria Math" w:hAnsi="Cambria Math"/>
                </w:rPr>
              </m:ctrlPr>
            </m:sPrePr>
            <m:sub>
              <m:r>
                <m:rPr>
                  <m:sty m:val="p"/>
                </m:rPr>
                <w:rPr>
                  <w:rFonts w:ascii="Cambria Math" w:hAnsi="Cambria Math"/>
                </w:rPr>
                <m:t>1</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8</m:t>
                  </m:r>
                </m:sub>
                <m:sup/>
              </m:sSubSup>
            </m:e>
          </m:sPre>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m:t>
          </m:r>
          <m:sPre>
            <m:sPrePr>
              <m:ctrlPr>
                <w:rPr>
                  <w:rFonts w:ascii="Cambria Math" w:hAnsi="Cambria Math"/>
                </w:rPr>
              </m:ctrlPr>
            </m:sPrePr>
            <m:sub>
              <m:r>
                <m:rPr>
                  <m:sty m:val="p"/>
                </m:rPr>
                <w:rPr>
                  <w:rFonts w:ascii="Cambria Math" w:hAnsi="Cambria Math"/>
                </w:rPr>
                <m:t>2</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9</m:t>
                  </m:r>
                </m:sub>
                <m:sup/>
              </m:sSubSup>
            </m:e>
          </m:sPre>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m:t>
          </m:r>
          <m:sPre>
            <m:sPrePr>
              <m:ctrlPr>
                <w:rPr>
                  <w:rFonts w:ascii="Cambria Math" w:hAnsi="Cambria Math"/>
                </w:rPr>
              </m:ctrlPr>
            </m:sPrePr>
            <m:sub>
              <m:r>
                <m:rPr>
                  <m:sty m:val="p"/>
                </m:rPr>
                <w:rPr>
                  <w:rFonts w:ascii="Cambria Math" w:hAnsi="Cambria Math"/>
                </w:rPr>
                <m:t>3</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10</m:t>
                  </m:r>
                </m:sub>
                <m:sup/>
              </m:sSub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m:t>
              </m:r>
              <m:sPre>
                <m:sPrePr>
                  <m:ctrlPr>
                    <w:rPr>
                      <w:rFonts w:ascii="Cambria Math" w:hAnsi="Cambria Math"/>
                    </w:rPr>
                  </m:ctrlPr>
                </m:sPrePr>
                <m:sub>
                  <m:r>
                    <m:rPr>
                      <m:sty m:val="p"/>
                    </m:rPr>
                    <w:rPr>
                      <w:rFonts w:ascii="Cambria Math" w:hAnsi="Cambria Math"/>
                    </w:rPr>
                    <m:t>4</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11</m:t>
                      </m:r>
                    </m:sub>
                    <m:sup/>
                  </m:sSubSup>
                </m:e>
              </m:sPre>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m:t>
              </m:r>
              <m:sPre>
                <m:sPrePr>
                  <m:ctrlPr>
                    <w:rPr>
                      <w:rFonts w:ascii="Cambria Math" w:hAnsi="Cambria Math"/>
                    </w:rPr>
                  </m:ctrlPr>
                </m:sPrePr>
                <m:sub>
                  <m:r>
                    <m:rPr>
                      <m:sty m:val="p"/>
                    </m:rPr>
                    <w:rPr>
                      <w:rFonts w:ascii="Cambria Math" w:hAnsi="Cambria Math"/>
                    </w:rPr>
                    <m:t>5</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12</m:t>
                      </m:r>
                    </m:sub>
                    <m:sup/>
                  </m:sSubSup>
                </m:e>
              </m:sPre>
            </m:e>
          </m:sPre>
        </m:oMath>
      </m:oMathPara>
    </w:p>
    <w:p w:rsidR="002C604D" w:rsidRDefault="002F23AE" w:rsidP="004E079C">
      <w:pPr>
        <w:pStyle w:val="AERbodytextindent1"/>
      </w:pPr>
      <m:oMathPara>
        <m:oMath>
          <m:sPre>
            <m:sPrePr>
              <m:ctrlPr>
                <w:rPr>
                  <w:rFonts w:ascii="Cambria Math" w:hAnsi="Cambria Math"/>
                </w:rPr>
              </m:ctrlPr>
            </m:sPrePr>
            <m:sub>
              <m:r>
                <m:rPr>
                  <m:sty m:val="p"/>
                </m:rPr>
                <w:rPr>
                  <w:rFonts w:ascii="Cambria Math" w:hAnsi="Cambria Math"/>
                </w:rPr>
                <m:t>6</m:t>
              </m:r>
            </m:sub>
            <m:sup/>
            <m:e>
              <m:sSubSup>
                <m:sSubSupPr>
                  <m:ctrlPr>
                    <w:rPr>
                      <w:rFonts w:ascii="Cambria Math" w:hAnsi="Cambria Math"/>
                    </w:rPr>
                  </m:ctrlPr>
                </m:sSubSupPr>
                <m:e>
                  <m:r>
                    <w:rPr>
                      <w:rFonts w:ascii="Cambria Math" w:hAnsi="Cambria Math"/>
                    </w:rPr>
                    <m:t>kd</m:t>
                  </m:r>
                </m:e>
                <m:sub>
                  <m:r>
                    <m:rPr>
                      <m:sty m:val="p"/>
                    </m:rPr>
                    <w:rPr>
                      <w:rFonts w:ascii="Cambria Math" w:hAnsi="Cambria Math"/>
                    </w:rPr>
                    <m:t>7</m:t>
                  </m:r>
                </m:sub>
                <m:sup/>
              </m:sSubSup>
            </m:e>
          </m:sPre>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m:t>
          </m:r>
          <m:sPre>
            <m:sPrePr>
              <m:ctrlPr>
                <w:rPr>
                  <w:rFonts w:ascii="Cambria Math" w:hAnsi="Cambria Math"/>
                </w:rPr>
              </m:ctrlPr>
            </m:sPrePr>
            <m:sub>
              <m:r>
                <m:rPr>
                  <m:sty m:val="p"/>
                </m:rPr>
                <w:rPr>
                  <w:rFonts w:ascii="Cambria Math" w:hAnsi="Cambria Math"/>
                </w:rPr>
                <m:t>0</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7</m:t>
                  </m:r>
                </m:sub>
                <m:sup/>
              </m:sSubSup>
            </m:e>
          </m:sPre>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m:t>
          </m:r>
          <m:sPre>
            <m:sPrePr>
              <m:ctrlPr>
                <w:rPr>
                  <w:rFonts w:ascii="Cambria Math" w:hAnsi="Cambria Math"/>
                </w:rPr>
              </m:ctrlPr>
            </m:sPrePr>
            <m:sub>
              <m:r>
                <m:rPr>
                  <m:sty m:val="p"/>
                </m:rPr>
                <w:rPr>
                  <w:rFonts w:ascii="Cambria Math" w:hAnsi="Cambria Math"/>
                </w:rPr>
                <m:t>1</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8</m:t>
                  </m:r>
                </m:sub>
                <m:sup/>
              </m:sSubSup>
            </m:e>
          </m:sPre>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m:t>
          </m:r>
          <m:sPre>
            <m:sPrePr>
              <m:ctrlPr>
                <w:rPr>
                  <w:rFonts w:ascii="Cambria Math" w:hAnsi="Cambria Math"/>
                </w:rPr>
              </m:ctrlPr>
            </m:sPrePr>
            <m:sub>
              <m:r>
                <m:rPr>
                  <m:sty m:val="p"/>
                </m:rPr>
                <w:rPr>
                  <w:rFonts w:ascii="Cambria Math" w:hAnsi="Cambria Math"/>
                </w:rPr>
                <m:t>2</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9</m:t>
                  </m:r>
                </m:sub>
                <m:sup/>
              </m:sSubSup>
            </m:e>
          </m:sPre>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m:t>
          </m:r>
          <m:sPre>
            <m:sPrePr>
              <m:ctrlPr>
                <w:rPr>
                  <w:rFonts w:ascii="Cambria Math" w:hAnsi="Cambria Math"/>
                </w:rPr>
              </m:ctrlPr>
            </m:sPrePr>
            <m:sub>
              <m:r>
                <m:rPr>
                  <m:sty m:val="p"/>
                </m:rPr>
                <w:rPr>
                  <w:rFonts w:ascii="Cambria Math" w:hAnsi="Cambria Math"/>
                </w:rPr>
                <m:t>3</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10</m:t>
                  </m:r>
                </m:sub>
                <m:sup/>
              </m:sSub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m:t>
              </m:r>
              <m:sPre>
                <m:sPrePr>
                  <m:ctrlPr>
                    <w:rPr>
                      <w:rFonts w:ascii="Cambria Math" w:hAnsi="Cambria Math"/>
                    </w:rPr>
                  </m:ctrlPr>
                </m:sPrePr>
                <m:sub>
                  <m:r>
                    <m:rPr>
                      <m:sty m:val="p"/>
                    </m:rPr>
                    <w:rPr>
                      <w:rFonts w:ascii="Cambria Math" w:hAnsi="Cambria Math"/>
                    </w:rPr>
                    <m:t>4</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11</m:t>
                      </m:r>
                    </m:sub>
                    <m:sup/>
                  </m:sSubSup>
                </m:e>
              </m:sPre>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m:t>
              </m:r>
              <m:sPre>
                <m:sPrePr>
                  <m:ctrlPr>
                    <w:rPr>
                      <w:rFonts w:ascii="Cambria Math" w:hAnsi="Cambria Math"/>
                    </w:rPr>
                  </m:ctrlPr>
                </m:sPrePr>
                <m:sub>
                  <m:r>
                    <m:rPr>
                      <m:sty m:val="p"/>
                    </m:rPr>
                    <w:rPr>
                      <w:rFonts w:ascii="Cambria Math" w:hAnsi="Cambria Math"/>
                    </w:rPr>
                    <m:t>5</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12</m:t>
                      </m:r>
                    </m:sub>
                    <m:sup/>
                  </m:sSubSup>
                </m:e>
              </m:sPre>
            </m:e>
          </m:sPre>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m:t>
          </m:r>
          <m:sPre>
            <m:sPrePr>
              <m:ctrlPr>
                <w:rPr>
                  <w:rFonts w:ascii="Cambria Math" w:hAnsi="Cambria Math"/>
                </w:rPr>
              </m:ctrlPr>
            </m:sPrePr>
            <m:sub>
              <m:r>
                <m:rPr>
                  <m:sty m:val="p"/>
                </m:rPr>
                <w:rPr>
                  <w:rFonts w:ascii="Cambria Math" w:hAnsi="Cambria Math"/>
                </w:rPr>
                <m:t>6</m:t>
              </m:r>
            </m:sub>
            <m:sup/>
            <m:e>
              <m:sSubSup>
                <m:sSubSupPr>
                  <m:ctrlPr>
                    <w:rPr>
                      <w:rFonts w:ascii="Cambria Math" w:hAnsi="Cambria Math"/>
                    </w:rPr>
                  </m:ctrlPr>
                </m:sSubSupPr>
                <m:e>
                  <m:r>
                    <w:rPr>
                      <w:rFonts w:ascii="Cambria Math" w:hAnsi="Cambria Math"/>
                    </w:rPr>
                    <m:t>R</m:t>
                  </m:r>
                </m:e>
                <m:sub>
                  <m:r>
                    <m:rPr>
                      <m:sty m:val="p"/>
                    </m:rPr>
                    <w:rPr>
                      <w:rFonts w:ascii="Cambria Math" w:hAnsi="Cambria Math"/>
                    </w:rPr>
                    <m:t>13</m:t>
                  </m:r>
                </m:sub>
                <m:sup/>
              </m:sSubSup>
            </m:e>
          </m:sPre>
        </m:oMath>
      </m:oMathPara>
    </w:p>
    <w:p w:rsidR="00A459D8" w:rsidRDefault="001D6D43" w:rsidP="00DC31CC">
      <w:pPr>
        <w:pStyle w:val="Heading3"/>
      </w:pPr>
      <w:bookmarkStart w:id="59" w:name="_Ref365363929"/>
      <w:r>
        <w:t>Estimation procedure</w:t>
      </w:r>
      <w:bookmarkEnd w:id="59"/>
    </w:p>
    <w:p w:rsidR="00BB2D44" w:rsidRDefault="00FE2155" w:rsidP="005B3594">
      <w:pPr>
        <w:pStyle w:val="AERbodytext"/>
        <w:rPr>
          <w:rStyle w:val="AERbody"/>
          <w:rFonts w:eastAsia="Calibri"/>
          <w:szCs w:val="20"/>
        </w:rPr>
      </w:pPr>
      <w:r>
        <w:rPr>
          <w:rStyle w:val="AERbody"/>
        </w:rPr>
        <w:t>The AER</w:t>
      </w:r>
      <w:r w:rsidR="00D747EC">
        <w:rPr>
          <w:rStyle w:val="AERbody"/>
        </w:rPr>
        <w:t xml:space="preserve"> </w:t>
      </w:r>
      <w:r w:rsidR="007D7D13">
        <w:rPr>
          <w:rStyle w:val="AERbody"/>
        </w:rPr>
        <w:t>would apply the</w:t>
      </w:r>
      <w:r w:rsidR="00BB2D44">
        <w:rPr>
          <w:rStyle w:val="AERbody"/>
        </w:rPr>
        <w:t xml:space="preserve"> following </w:t>
      </w:r>
      <w:r w:rsidR="00991814">
        <w:rPr>
          <w:rStyle w:val="AERbody"/>
        </w:rPr>
        <w:t>estimation procedure for estimating the prevailing return on debt</w:t>
      </w:r>
      <w:r w:rsidR="00463C61">
        <w:rPr>
          <w:rStyle w:val="AERbody"/>
        </w:rPr>
        <w:t xml:space="preserve"> for each service provider during the averaging period</w:t>
      </w:r>
      <w:r w:rsidR="00BB2D44">
        <w:rPr>
          <w:rStyle w:val="AERbody"/>
        </w:rPr>
        <w:t>:</w:t>
      </w:r>
    </w:p>
    <w:p w:rsidR="00BB2D44" w:rsidRDefault="00463C61" w:rsidP="006A34F8">
      <w:pPr>
        <w:pStyle w:val="AERbulletlistfirststyle"/>
        <w:rPr>
          <w:rStyle w:val="AERbody"/>
          <w:rFonts w:eastAsia="Calibri"/>
          <w:szCs w:val="20"/>
        </w:rPr>
      </w:pPr>
      <w:r>
        <w:rPr>
          <w:rStyle w:val="AERbody"/>
        </w:rPr>
        <w:t>using</w:t>
      </w:r>
      <w:r w:rsidR="00BB2D44">
        <w:rPr>
          <w:rStyle w:val="AERbody"/>
        </w:rPr>
        <w:t xml:space="preserve"> the published yields from an independent third party data service provider </w:t>
      </w:r>
    </w:p>
    <w:p w:rsidR="00D363D4" w:rsidRPr="00463C61" w:rsidRDefault="00463C61" w:rsidP="006A34F8">
      <w:pPr>
        <w:pStyle w:val="AERbulletlistfirststyle"/>
        <w:rPr>
          <w:rStyle w:val="AERbody"/>
          <w:rFonts w:eastAsia="Calibri"/>
          <w:szCs w:val="20"/>
        </w:rPr>
      </w:pPr>
      <w:r>
        <w:rPr>
          <w:rStyle w:val="AERbody"/>
        </w:rPr>
        <w:t>using</w:t>
      </w:r>
      <w:r w:rsidR="00A027A4">
        <w:rPr>
          <w:rStyle w:val="AERbody"/>
        </w:rPr>
        <w:t xml:space="preserve"> a credit rating of BBB+ </w:t>
      </w:r>
      <w:r w:rsidR="00555940">
        <w:rPr>
          <w:rStyle w:val="AERbody"/>
        </w:rPr>
        <w:t xml:space="preserve">from Standard and Poor's </w:t>
      </w:r>
      <w:r w:rsidR="00A027A4">
        <w:rPr>
          <w:rStyle w:val="AERbody"/>
        </w:rPr>
        <w:t xml:space="preserve">or the equivalent rating from other recognised rating agencies. If </w:t>
      </w:r>
      <w:r w:rsidR="00555940">
        <w:rPr>
          <w:rStyle w:val="AERbody"/>
        </w:rPr>
        <w:t>the published yields do not reflect the assumed credit rating of BBB+ or the equivalent from rating agencies, the AER will apply the published yields that are the closest approxim</w:t>
      </w:r>
      <w:r>
        <w:rPr>
          <w:rStyle w:val="AERbody"/>
        </w:rPr>
        <w:t>ation of the BBB+ credit rating</w:t>
      </w:r>
    </w:p>
    <w:p w:rsidR="00463C61" w:rsidRPr="00463C61" w:rsidRDefault="00463C61" w:rsidP="006A34F8">
      <w:pPr>
        <w:pStyle w:val="AERbulletlistfirststyle"/>
        <w:rPr>
          <w:rStyle w:val="AERbody"/>
          <w:rFonts w:eastAsia="Calibri"/>
          <w:szCs w:val="20"/>
        </w:rPr>
      </w:pPr>
      <w:r>
        <w:rPr>
          <w:rStyle w:val="AERbody"/>
        </w:rPr>
        <w:t>using a term</w:t>
      </w:r>
      <w:r w:rsidR="006C0677">
        <w:rPr>
          <w:rStyle w:val="AERbody"/>
        </w:rPr>
        <w:t xml:space="preserve"> to maturity</w:t>
      </w:r>
      <w:r>
        <w:rPr>
          <w:rStyle w:val="AERbody"/>
        </w:rPr>
        <w:t xml:space="preserve"> of debt of seven years.</w:t>
      </w:r>
    </w:p>
    <w:p w:rsidR="00463C61" w:rsidRPr="005A6536" w:rsidRDefault="00463C61" w:rsidP="00463C61">
      <w:pPr>
        <w:pStyle w:val="AERbodytext"/>
        <w:numPr>
          <w:ilvl w:val="0"/>
          <w:numId w:val="6"/>
        </w:numPr>
        <w:rPr>
          <w:rStyle w:val="AERbody"/>
        </w:rPr>
      </w:pPr>
      <w:r>
        <w:rPr>
          <w:rStyle w:val="AERbody"/>
        </w:rPr>
        <w:t>If the published yields from an independent third party data service provider are quoted on</w:t>
      </w:r>
      <w:r w:rsidR="00A44F20">
        <w:rPr>
          <w:rStyle w:val="AERbody"/>
        </w:rPr>
        <w:t xml:space="preserve"> a</w:t>
      </w:r>
      <w:r>
        <w:rPr>
          <w:rStyle w:val="AERbody"/>
        </w:rPr>
        <w:t xml:space="preserve"> semi-annual basis, then</w:t>
      </w:r>
      <w:r w:rsidRPr="005A6536">
        <w:rPr>
          <w:rStyle w:val="AERbody"/>
        </w:rPr>
        <w:t xml:space="preserve"> </w:t>
      </w:r>
      <w:r w:rsidR="00EE5D5A">
        <w:rPr>
          <w:rStyle w:val="AERbody"/>
        </w:rPr>
        <w:t>the AER</w:t>
      </w:r>
      <w:r w:rsidRPr="005A6536">
        <w:rPr>
          <w:rStyle w:val="AERbody"/>
        </w:rPr>
        <w:t xml:space="preserve"> </w:t>
      </w:r>
      <w:r w:rsidR="00D747EC">
        <w:rPr>
          <w:rStyle w:val="AERbody"/>
        </w:rPr>
        <w:t xml:space="preserve">would </w:t>
      </w:r>
      <w:r w:rsidRPr="005A6536">
        <w:rPr>
          <w:rStyle w:val="AERbody"/>
        </w:rPr>
        <w:t>annualise the yields by applying the following formula:</w:t>
      </w:r>
    </w:p>
    <w:p w:rsidR="00463C61" w:rsidRPr="005A6536" w:rsidRDefault="002F23AE" w:rsidP="004E079C">
      <w:pPr>
        <w:pStyle w:val="AERbodytextindent1"/>
        <w:rPr>
          <w:rStyle w:val="AERbody"/>
        </w:rPr>
      </w:pPr>
      <m:oMathPara>
        <m:oMath>
          <m:sSub>
            <m:sSubPr>
              <m:ctrlPr>
                <w:rPr>
                  <w:rStyle w:val="AERbody"/>
                  <w:rFonts w:ascii="Cambria Math" w:hAnsi="Cambria Math"/>
                  <w:i/>
                </w:rPr>
              </m:ctrlPr>
            </m:sSubPr>
            <m:e>
              <m:r>
                <w:rPr>
                  <w:rStyle w:val="AERbody"/>
                  <w:rFonts w:ascii="Cambria Math" w:hAnsi="Cambria Math"/>
                </w:rPr>
                <m:t>y</m:t>
              </m:r>
            </m:e>
            <m:sub>
              <m:r>
                <w:rPr>
                  <w:rStyle w:val="AERbody"/>
                  <w:rFonts w:ascii="Cambria Math" w:hAnsi="Cambria Math"/>
                </w:rPr>
                <m:t>a</m:t>
              </m:r>
            </m:sub>
          </m:sSub>
          <m:r>
            <w:rPr>
              <w:rStyle w:val="AERbody"/>
              <w:rFonts w:ascii="Cambria Math" w:hAnsi="Cambria Math"/>
            </w:rPr>
            <m:t>=</m:t>
          </m:r>
          <m:sSup>
            <m:sSupPr>
              <m:ctrlPr>
                <w:rPr>
                  <w:rStyle w:val="AERbody"/>
                  <w:rFonts w:ascii="Cambria Math" w:hAnsi="Cambria Math"/>
                  <w:i/>
                </w:rPr>
              </m:ctrlPr>
            </m:sSupPr>
            <m:e>
              <m:d>
                <m:dPr>
                  <m:ctrlPr>
                    <w:rPr>
                      <w:rStyle w:val="AERbody"/>
                      <w:rFonts w:ascii="Cambria Math" w:hAnsi="Cambria Math"/>
                      <w:i/>
                    </w:rPr>
                  </m:ctrlPr>
                </m:dPr>
                <m:e>
                  <m:r>
                    <w:rPr>
                      <w:rStyle w:val="AERbody"/>
                      <w:rFonts w:ascii="Cambria Math" w:hAnsi="Cambria Math"/>
                    </w:rPr>
                    <m:t>1+</m:t>
                  </m:r>
                  <m:f>
                    <m:fPr>
                      <m:ctrlPr>
                        <w:rPr>
                          <w:rStyle w:val="AERbody"/>
                          <w:rFonts w:ascii="Cambria Math" w:hAnsi="Cambria Math"/>
                          <w:i/>
                        </w:rPr>
                      </m:ctrlPr>
                    </m:fPr>
                    <m:num>
                      <m:sSub>
                        <m:sSubPr>
                          <m:ctrlPr>
                            <w:rPr>
                              <w:rStyle w:val="AERbody"/>
                              <w:rFonts w:ascii="Cambria Math" w:hAnsi="Cambria Math"/>
                              <w:i/>
                            </w:rPr>
                          </m:ctrlPr>
                        </m:sSubPr>
                        <m:e>
                          <m:r>
                            <w:rPr>
                              <w:rStyle w:val="AERbody"/>
                              <w:rFonts w:ascii="Cambria Math" w:hAnsi="Cambria Math"/>
                            </w:rPr>
                            <m:t>y</m:t>
                          </m:r>
                        </m:e>
                        <m:sub>
                          <m:r>
                            <w:rPr>
                              <w:rStyle w:val="AERbody"/>
                              <w:rFonts w:ascii="Cambria Math" w:hAnsi="Cambria Math"/>
                            </w:rPr>
                            <m:t>s</m:t>
                          </m:r>
                        </m:sub>
                      </m:sSub>
                    </m:num>
                    <m:den>
                      <m:r>
                        <w:rPr>
                          <w:rStyle w:val="AERbody"/>
                          <w:rFonts w:ascii="Cambria Math" w:hAnsi="Cambria Math"/>
                        </w:rPr>
                        <m:t>2</m:t>
                      </m:r>
                    </m:den>
                  </m:f>
                </m:e>
              </m:d>
            </m:e>
            <m:sup>
              <m:r>
                <w:rPr>
                  <w:rStyle w:val="AERbody"/>
                  <w:rFonts w:ascii="Cambria Math" w:hAnsi="Cambria Math"/>
                </w:rPr>
                <m:t>2</m:t>
              </m:r>
            </m:sup>
          </m:sSup>
          <m:r>
            <w:rPr>
              <w:rStyle w:val="AERbody"/>
              <w:rFonts w:ascii="Cambria Math" w:hAnsi="Cambria Math"/>
            </w:rPr>
            <m:t>-1</m:t>
          </m:r>
        </m:oMath>
      </m:oMathPara>
    </w:p>
    <w:p w:rsidR="00463C61" w:rsidRPr="005A6536" w:rsidRDefault="00BF2C29" w:rsidP="00463C61">
      <w:pPr>
        <w:pStyle w:val="AERbodytext"/>
        <w:numPr>
          <w:ilvl w:val="0"/>
          <w:numId w:val="6"/>
        </w:numPr>
        <w:rPr>
          <w:rStyle w:val="AERbody"/>
        </w:rPr>
      </w:pPr>
      <w:r>
        <w:rPr>
          <w:rStyle w:val="AERbody"/>
        </w:rPr>
        <w:t>w</w:t>
      </w:r>
      <w:r w:rsidR="00463C61" w:rsidRPr="005A6536">
        <w:rPr>
          <w:rStyle w:val="AERbody"/>
        </w:rPr>
        <w:t>here:</w:t>
      </w:r>
    </w:p>
    <w:p w:rsidR="00463C61" w:rsidRPr="005A6536" w:rsidRDefault="002F23AE" w:rsidP="00C279A8">
      <w:pPr>
        <w:pStyle w:val="AERbulletlistfirststyle"/>
        <w:rPr>
          <w:rStyle w:val="AERbody"/>
        </w:rPr>
      </w:pPr>
      <m:oMath>
        <m:sSub>
          <m:sSubPr>
            <m:ctrlPr>
              <w:rPr>
                <w:rStyle w:val="AERbody"/>
                <w:rFonts w:ascii="Cambria Math" w:hAnsi="Cambria Math"/>
              </w:rPr>
            </m:ctrlPr>
          </m:sSubPr>
          <m:e>
            <m:r>
              <w:rPr>
                <w:rStyle w:val="AERbody"/>
                <w:rFonts w:ascii="Cambria Math" w:hAnsi="Cambria Math"/>
              </w:rPr>
              <m:t>y</m:t>
            </m:r>
          </m:e>
          <m:sub>
            <m:r>
              <w:rPr>
                <w:rStyle w:val="AERbody"/>
                <w:rFonts w:ascii="Cambria Math" w:hAnsi="Cambria Math"/>
              </w:rPr>
              <m:t>a</m:t>
            </m:r>
          </m:sub>
        </m:sSub>
      </m:oMath>
      <w:r w:rsidR="00463C61" w:rsidRPr="005A6536">
        <w:rPr>
          <w:rStyle w:val="AERbody"/>
        </w:rPr>
        <w:t xml:space="preserve">is the annualised yield </w:t>
      </w:r>
    </w:p>
    <w:p w:rsidR="00463C61" w:rsidRPr="005A6536" w:rsidRDefault="002F23AE" w:rsidP="00C279A8">
      <w:pPr>
        <w:pStyle w:val="AERbulletlistfirststyle"/>
      </w:pPr>
      <m:oMath>
        <m:sSub>
          <m:sSubPr>
            <m:ctrlPr>
              <w:rPr>
                <w:rStyle w:val="AERbody"/>
                <w:rFonts w:ascii="Cambria Math" w:hAnsi="Cambria Math"/>
              </w:rPr>
            </m:ctrlPr>
          </m:sSubPr>
          <m:e>
            <m:r>
              <w:rPr>
                <w:rStyle w:val="AERbody"/>
                <w:rFonts w:ascii="Cambria Math" w:hAnsi="Cambria Math"/>
              </w:rPr>
              <m:t>y</m:t>
            </m:r>
          </m:e>
          <m:sub>
            <m:r>
              <w:rPr>
                <w:rStyle w:val="AERbody"/>
                <w:rFonts w:ascii="Cambria Math" w:hAnsi="Cambria Math"/>
              </w:rPr>
              <m:t>s</m:t>
            </m:r>
          </m:sub>
        </m:sSub>
      </m:oMath>
      <w:r w:rsidR="00463C61" w:rsidRPr="005A6536">
        <w:rPr>
          <w:rStyle w:val="AERbody"/>
        </w:rPr>
        <w:t xml:space="preserve">is the semi-annual yield published by </w:t>
      </w:r>
      <w:r w:rsidR="00463C61">
        <w:rPr>
          <w:rStyle w:val="AERbody"/>
        </w:rPr>
        <w:t>an independent third party data service provider</w:t>
      </w:r>
      <w:r w:rsidR="00463C61" w:rsidRPr="005A6536">
        <w:rPr>
          <w:rStyle w:val="AERbody"/>
        </w:rPr>
        <w:t>.</w:t>
      </w:r>
    </w:p>
    <w:p w:rsidR="00AF2E6F" w:rsidRDefault="00463C61" w:rsidP="0072305B">
      <w:pPr>
        <w:pStyle w:val="AERbulletlistthirdstyle"/>
        <w:numPr>
          <w:ilvl w:val="0"/>
          <w:numId w:val="0"/>
        </w:numPr>
      </w:pPr>
      <w:r>
        <w:t>T</w:t>
      </w:r>
      <w:r w:rsidR="00555940" w:rsidRPr="00463C61">
        <w:t xml:space="preserve">he AER </w:t>
      </w:r>
      <w:r w:rsidR="00D747EC">
        <w:t>has</w:t>
      </w:r>
      <w:r>
        <w:t xml:space="preserve"> a preference for using </w:t>
      </w:r>
      <w:r w:rsidR="00D363D4" w:rsidRPr="00463C61">
        <w:t>published yields of an independent third party data provider where the method for estimating th</w:t>
      </w:r>
      <w:r>
        <w:t>e return on debt is transparent, if available.</w:t>
      </w:r>
    </w:p>
    <w:p w:rsidR="001A1B6B" w:rsidRDefault="00EE5D5A" w:rsidP="0072305B">
      <w:pPr>
        <w:pStyle w:val="AERbulletlistthirdstyle"/>
        <w:numPr>
          <w:ilvl w:val="0"/>
          <w:numId w:val="0"/>
        </w:numPr>
      </w:pPr>
      <w:r>
        <w:t>The AER</w:t>
      </w:r>
      <w:r w:rsidR="001A1B6B">
        <w:t xml:space="preserve"> propose</w:t>
      </w:r>
      <w:r>
        <w:t>s</w:t>
      </w:r>
      <w:r w:rsidR="001A1B6B">
        <w:t xml:space="preserve"> to specify in a service provider's determination how an automatic update of the trailing average would be applied in circumstances where estimation procedure for calculating the allowed return on debt is no longer available or has been amended during a service provider's regulatory control period. </w:t>
      </w:r>
    </w:p>
    <w:p w:rsidR="00463C61" w:rsidRPr="006643A1" w:rsidRDefault="00463C61" w:rsidP="006643A1">
      <w:pPr>
        <w:pStyle w:val="HeadingBoldBlue"/>
      </w:pPr>
      <w:r w:rsidRPr="006643A1">
        <w:t>Averaging period</w:t>
      </w:r>
    </w:p>
    <w:p w:rsidR="00DE7DC9" w:rsidRDefault="00DE7DC9" w:rsidP="00DE7DC9">
      <w:pPr>
        <w:pStyle w:val="AERbodytext"/>
        <w:numPr>
          <w:ilvl w:val="0"/>
          <w:numId w:val="6"/>
        </w:numPr>
      </w:pPr>
      <w:r>
        <w:t xml:space="preserve">For each regulatory year in the regulatory control period, </w:t>
      </w:r>
      <w:r w:rsidR="00FC2BD7">
        <w:t>the AER</w:t>
      </w:r>
      <w:r>
        <w:t xml:space="preserve"> propose</w:t>
      </w:r>
      <w:r w:rsidR="00FC2BD7">
        <w:t>s</w:t>
      </w:r>
      <w:r>
        <w:t xml:space="preserve"> to estimate the prevailing rate of return on debt as a simple average of the prevailing rates observed over a period of 10 </w:t>
      </w:r>
      <w:r w:rsidR="00F77309">
        <w:t xml:space="preserve">or more </w:t>
      </w:r>
      <w:r>
        <w:t>consecutive business days. Such an averaging period should satisfy the following conditions:</w:t>
      </w:r>
    </w:p>
    <w:p w:rsidR="00DE7DC9" w:rsidRDefault="00191966" w:rsidP="00DE7DC9">
      <w:pPr>
        <w:pStyle w:val="AERbulletlistfirststyle"/>
      </w:pPr>
      <w:r>
        <w:t>It</w:t>
      </w:r>
      <w:r w:rsidR="00DE7DC9">
        <w:t xml:space="preserve"> should be specified prior to the commencement of the regulatory control period. </w:t>
      </w:r>
    </w:p>
    <w:p w:rsidR="00DE7DC9" w:rsidRDefault="00191966" w:rsidP="00DE7DC9">
      <w:pPr>
        <w:pStyle w:val="AERbulletlistfirststyle"/>
      </w:pPr>
      <w:r>
        <w:t>At</w:t>
      </w:r>
      <w:r w:rsidR="00DE7DC9">
        <w:t xml:space="preserve"> the time it is nominated, </w:t>
      </w:r>
      <w:r w:rsidR="002D7600">
        <w:t>the averaging period must all take place in the future</w:t>
      </w:r>
      <w:r w:rsidR="00DE7DC9">
        <w:t>.</w:t>
      </w:r>
    </w:p>
    <w:p w:rsidR="00DE7DC9" w:rsidRDefault="00191966" w:rsidP="00DE7DC9">
      <w:pPr>
        <w:pStyle w:val="AERbulletlistfirststyle"/>
      </w:pPr>
      <w:r>
        <w:t>An</w:t>
      </w:r>
      <w:r w:rsidR="00DE7DC9">
        <w:t xml:space="preserve"> averaging period needs to be specified for each regulatory year within a regulatory control p</w:t>
      </w:r>
      <w:r w:rsidR="00B72C04">
        <w:t>e</w:t>
      </w:r>
      <w:r w:rsidR="00DE7DC9">
        <w:t xml:space="preserve">riod. </w:t>
      </w:r>
    </w:p>
    <w:p w:rsidR="00DE7DC9" w:rsidRDefault="00191966" w:rsidP="00DE7DC9">
      <w:pPr>
        <w:pStyle w:val="AERbulletlistfirststyle"/>
      </w:pPr>
      <w:r>
        <w:t>The</w:t>
      </w:r>
      <w:r w:rsidR="00DE7DC9">
        <w:t xml:space="preserve"> proposed averaging periods for different regulatory years are not required to be identical.</w:t>
      </w:r>
    </w:p>
    <w:p w:rsidR="00221A44" w:rsidRPr="00221A44" w:rsidRDefault="00221A44" w:rsidP="00221A44">
      <w:pPr>
        <w:pStyle w:val="AERbulletlistfirststyle"/>
      </w:pPr>
      <w:r w:rsidRPr="00221A44">
        <w:t xml:space="preserve">The nominal return on debt is to be updated annually using the agreed averaging period for the relevant regulatory year. </w:t>
      </w:r>
    </w:p>
    <w:p w:rsidR="00221A44" w:rsidRDefault="00A44F20" w:rsidP="00221A44">
      <w:pPr>
        <w:pStyle w:val="AERbulletlistfirststyle"/>
      </w:pPr>
      <w:r>
        <w:t>Each</w:t>
      </w:r>
      <w:r w:rsidR="00221A44" w:rsidRPr="00221A44">
        <w:t xml:space="preserve"> agreed averaging period is to be confidential. </w:t>
      </w:r>
    </w:p>
    <w:p w:rsidR="0007545E" w:rsidRDefault="00765856" w:rsidP="00765856">
      <w:pPr>
        <w:pStyle w:val="AERbodytext"/>
      </w:pPr>
      <w:r>
        <w:t>T</w:t>
      </w:r>
      <w:r w:rsidR="0007545E">
        <w:t xml:space="preserve">he starting date of the </w:t>
      </w:r>
      <w:r w:rsidR="0007545E" w:rsidRPr="00C91059">
        <w:t xml:space="preserve">first </w:t>
      </w:r>
      <w:r w:rsidR="0007545E">
        <w:t xml:space="preserve">agreed </w:t>
      </w:r>
      <w:r w:rsidR="0007545E" w:rsidRPr="00C91059">
        <w:t xml:space="preserve">averaging period </w:t>
      </w:r>
      <w:r w:rsidR="0007545E">
        <w:t>should be a period after submission of a service provider's regulatory proposal. The ending date for the first agreed averaging period should be no later than a month before the release of the AER's final decision for that service provider. For service providers subject to "preliminary determination with mandatory re-opener",</w:t>
      </w:r>
      <w:r w:rsidR="00C11C86">
        <w:rPr>
          <w:rStyle w:val="FootnoteReference"/>
        </w:rPr>
        <w:footnoteReference w:id="14"/>
      </w:r>
      <w:r w:rsidR="0007545E">
        <w:t xml:space="preserve"> the ending date for the first agreed averaging period should be no later than a month before the release of the AER's draft decision for those service providers.</w:t>
      </w:r>
    </w:p>
    <w:p w:rsidR="0007545E" w:rsidRPr="00765856" w:rsidRDefault="0007545E" w:rsidP="00765856">
      <w:pPr>
        <w:pStyle w:val="AERbodytext"/>
        <w:rPr>
          <w:rStyle w:val="AERbody"/>
        </w:rPr>
      </w:pPr>
      <w:r w:rsidRPr="00765856">
        <w:rPr>
          <w:rStyle w:val="AERbody"/>
        </w:rPr>
        <w:t>For the subsequent regulatory years in the regulatory control period, the averaging period for service providers on calendar regulatory years can be any</w:t>
      </w:r>
      <w:r w:rsidR="003B2E3D">
        <w:rPr>
          <w:rStyle w:val="AERbody"/>
        </w:rPr>
        <w:t xml:space="preserve"> period of</w:t>
      </w:r>
      <w:r w:rsidRPr="00765856">
        <w:rPr>
          <w:rStyle w:val="AERbody"/>
        </w:rPr>
        <w:t xml:space="preserve"> 10 </w:t>
      </w:r>
      <w:r w:rsidR="00F77309">
        <w:rPr>
          <w:rStyle w:val="AERbody"/>
        </w:rPr>
        <w:t>or more</w:t>
      </w:r>
      <w:r w:rsidR="003B2E3D">
        <w:rPr>
          <w:rStyle w:val="AERbody"/>
        </w:rPr>
        <w:t xml:space="preserve"> consecutive</w:t>
      </w:r>
      <w:r w:rsidR="00F77309">
        <w:rPr>
          <w:rStyle w:val="AERbody"/>
        </w:rPr>
        <w:t xml:space="preserve"> </w:t>
      </w:r>
      <w:r w:rsidR="00914B64">
        <w:rPr>
          <w:rStyle w:val="AERbody"/>
        </w:rPr>
        <w:t xml:space="preserve">business </w:t>
      </w:r>
      <w:r w:rsidRPr="00765856">
        <w:rPr>
          <w:rStyle w:val="AERbody"/>
        </w:rPr>
        <w:t>day</w:t>
      </w:r>
      <w:r w:rsidR="003B2E3D">
        <w:rPr>
          <w:rStyle w:val="AERbody"/>
        </w:rPr>
        <w:t>s</w:t>
      </w:r>
      <w:r w:rsidRPr="00765856">
        <w:rPr>
          <w:rStyle w:val="AERbody"/>
        </w:rPr>
        <w:t xml:space="preserve"> within the </w:t>
      </w:r>
      <w:r w:rsidR="003B2E3D">
        <w:rPr>
          <w:rStyle w:val="AERbody"/>
        </w:rPr>
        <w:t>most recently concluded</w:t>
      </w:r>
      <w:r w:rsidR="003B2E3D" w:rsidRPr="00765856">
        <w:rPr>
          <w:rStyle w:val="AERbody"/>
        </w:rPr>
        <w:t xml:space="preserve"> </w:t>
      </w:r>
      <w:r w:rsidRPr="00765856">
        <w:rPr>
          <w:rStyle w:val="AERbody"/>
        </w:rPr>
        <w:t>1 July to 30 June financial year. For the service providers on financial regulatory years, the averaging period can be any</w:t>
      </w:r>
      <w:r w:rsidR="003B2E3D">
        <w:rPr>
          <w:rStyle w:val="AERbody"/>
        </w:rPr>
        <w:t xml:space="preserve"> period of</w:t>
      </w:r>
      <w:r w:rsidRPr="00765856">
        <w:rPr>
          <w:rStyle w:val="AERbody"/>
        </w:rPr>
        <w:t xml:space="preserve"> 10 </w:t>
      </w:r>
      <w:r w:rsidR="00F77309">
        <w:rPr>
          <w:rStyle w:val="AERbody"/>
        </w:rPr>
        <w:t>or more</w:t>
      </w:r>
      <w:r w:rsidR="003B2E3D">
        <w:rPr>
          <w:rStyle w:val="AERbody"/>
        </w:rPr>
        <w:t xml:space="preserve"> consecutive</w:t>
      </w:r>
      <w:r w:rsidR="00F77309">
        <w:rPr>
          <w:rStyle w:val="AERbody"/>
        </w:rPr>
        <w:t xml:space="preserve"> </w:t>
      </w:r>
      <w:r w:rsidRPr="00765856">
        <w:rPr>
          <w:rStyle w:val="AERbody"/>
        </w:rPr>
        <w:t>business day</w:t>
      </w:r>
      <w:r w:rsidR="003B2E3D">
        <w:rPr>
          <w:rStyle w:val="AERbody"/>
        </w:rPr>
        <w:t xml:space="preserve">s </w:t>
      </w:r>
      <w:r w:rsidRPr="00765856">
        <w:rPr>
          <w:rStyle w:val="AERbody"/>
        </w:rPr>
        <w:t xml:space="preserve">within the </w:t>
      </w:r>
      <w:r w:rsidR="003B2E3D">
        <w:rPr>
          <w:rStyle w:val="AERbody"/>
        </w:rPr>
        <w:t>most recently concluded</w:t>
      </w:r>
      <w:r w:rsidR="003B2E3D" w:rsidRPr="00765856">
        <w:rPr>
          <w:rStyle w:val="AERbody"/>
        </w:rPr>
        <w:t xml:space="preserve"> </w:t>
      </w:r>
      <w:r w:rsidRPr="00765856">
        <w:rPr>
          <w:rStyle w:val="AERbody"/>
        </w:rPr>
        <w:t>1 January to 31 December calendar year.</w:t>
      </w:r>
    </w:p>
    <w:p w:rsidR="00DE7DC9" w:rsidRDefault="00DE7DC9" w:rsidP="00DE7DC9">
      <w:pPr>
        <w:pStyle w:val="AERbodytext"/>
        <w:numPr>
          <w:ilvl w:val="0"/>
          <w:numId w:val="6"/>
        </w:numPr>
      </w:pPr>
      <w:r>
        <w:t xml:space="preserve">The averaging periods can be </w:t>
      </w:r>
      <w:r w:rsidR="00765856">
        <w:t>determined as follows</w:t>
      </w:r>
      <w:r>
        <w:t>:</w:t>
      </w:r>
    </w:p>
    <w:p w:rsidR="00DE7DC9" w:rsidRDefault="00DE7DC9" w:rsidP="00DE7DC9">
      <w:pPr>
        <w:pStyle w:val="AERbulletlistfirststyle"/>
      </w:pPr>
      <w:r>
        <w:t>proposed by the service provider in its initial regulatory proposal and agreed by the AER; or</w:t>
      </w:r>
    </w:p>
    <w:p w:rsidR="00C91059" w:rsidRPr="00C91059" w:rsidRDefault="00765856" w:rsidP="005B3594">
      <w:pPr>
        <w:pStyle w:val="AERbulletlistfirststyle"/>
      </w:pPr>
      <w:r>
        <w:t xml:space="preserve">if the AER does not agree to the averaging periods proposed by a service provider, the averaging period </w:t>
      </w:r>
      <w:r w:rsidR="00D747EC">
        <w:t xml:space="preserve">would </w:t>
      </w:r>
      <w:r>
        <w:t xml:space="preserve">be </w:t>
      </w:r>
      <w:r w:rsidR="00DE7DC9">
        <w:t>determined by the AER, and notified to the service provider within a reasonable time prior to the commencement of the first averaging period</w:t>
      </w:r>
      <w:r w:rsidR="00C11C86">
        <w:t>.</w:t>
      </w:r>
    </w:p>
    <w:p w:rsidR="003906D7" w:rsidRPr="0030610D" w:rsidRDefault="003906D7" w:rsidP="0030610D">
      <w:pPr>
        <w:pStyle w:val="Heading1"/>
      </w:pPr>
      <w:bookmarkStart w:id="60" w:name="_Toc365537056"/>
      <w:r w:rsidRPr="0030610D">
        <w:lastRenderedPageBreak/>
        <w:t>Imputation credits</w:t>
      </w:r>
      <w:bookmarkEnd w:id="60"/>
    </w:p>
    <w:p w:rsidR="003906D7" w:rsidRPr="00755FB1" w:rsidRDefault="003906D7" w:rsidP="003906D7">
      <w:pPr>
        <w:pStyle w:val="AERbodytext"/>
        <w:numPr>
          <w:ilvl w:val="0"/>
          <w:numId w:val="6"/>
        </w:numPr>
      </w:pPr>
      <w:r w:rsidRPr="00755FB1">
        <w:t>This section set</w:t>
      </w:r>
      <w:r w:rsidR="007D7D13">
        <w:t>s</w:t>
      </w:r>
      <w:r w:rsidRPr="00755FB1">
        <w:t xml:space="preserve"> out the AER's approach to estimating the </w:t>
      </w:r>
      <w:r>
        <w:t>value of imputation credits</w:t>
      </w:r>
      <w:r w:rsidRPr="00755FB1">
        <w:t>.</w:t>
      </w:r>
      <w:r>
        <w:t xml:space="preserve"> This primarily </w:t>
      </w:r>
      <w:r w:rsidR="00A640E5">
        <w:t xml:space="preserve">serves as </w:t>
      </w:r>
      <w:r>
        <w:t xml:space="preserve">an </w:t>
      </w:r>
      <w:r w:rsidR="00A640E5">
        <w:t>adjustment</w:t>
      </w:r>
      <w:r>
        <w:t xml:space="preserve"> </w:t>
      </w:r>
      <w:r w:rsidR="00A640E5">
        <w:t>made to the</w:t>
      </w:r>
      <w:r>
        <w:t xml:space="preserve"> cost of company income tax building block allowance.</w:t>
      </w:r>
      <w:r w:rsidRPr="00755FB1">
        <w:t xml:space="preserve">  </w:t>
      </w:r>
    </w:p>
    <w:p w:rsidR="003906D7" w:rsidRPr="00763636" w:rsidRDefault="003906D7" w:rsidP="003906D7">
      <w:pPr>
        <w:pStyle w:val="Heading2"/>
      </w:pPr>
      <w:bookmarkStart w:id="61" w:name="_Toc365537057"/>
      <w:r w:rsidRPr="00763636">
        <w:t>Objective</w:t>
      </w:r>
      <w:bookmarkEnd w:id="61"/>
    </w:p>
    <w:p w:rsidR="00140CEB" w:rsidRPr="00140CEB" w:rsidRDefault="00140CEB" w:rsidP="00140CEB">
      <w:pPr>
        <w:pStyle w:val="AERbodytext"/>
      </w:pPr>
      <w:r w:rsidRPr="00140CEB">
        <w:t xml:space="preserve">The objective of the </w:t>
      </w:r>
      <w:r>
        <w:t>adjustment for the value of imputation credits</w:t>
      </w:r>
      <w:r w:rsidRPr="00140CEB">
        <w:t xml:space="preserve"> is to </w:t>
      </w:r>
      <w:r>
        <w:t>reduce the cost of corporate income tax</w:t>
      </w:r>
      <w:r w:rsidRPr="00140CEB">
        <w:t xml:space="preserve"> </w:t>
      </w:r>
      <w:r w:rsidR="00871917">
        <w:t>such that</w:t>
      </w:r>
      <w:r w:rsidR="00C836D4">
        <w:t xml:space="preserve"> only the proportion of company tax which is actually retained by government</w:t>
      </w:r>
      <w:r w:rsidR="00871917">
        <w:t xml:space="preserve"> is reflected in the corporate income tax</w:t>
      </w:r>
      <w:r w:rsidR="00871917" w:rsidRPr="00140CEB">
        <w:t xml:space="preserve"> </w:t>
      </w:r>
      <w:r w:rsidR="00871917">
        <w:t>building block</w:t>
      </w:r>
      <w:r w:rsidR="00C836D4">
        <w:t>. That is, the adjustment is an estimate of the company tax paid which the government subsequently transfers to investors.</w:t>
      </w:r>
    </w:p>
    <w:p w:rsidR="003906D7" w:rsidRPr="00763636" w:rsidRDefault="003906D7" w:rsidP="003906D7">
      <w:pPr>
        <w:pStyle w:val="Heading2"/>
      </w:pPr>
      <w:bookmarkStart w:id="62" w:name="_Toc365537058"/>
      <w:r w:rsidRPr="00763636">
        <w:t>Rule requirements</w:t>
      </w:r>
      <w:bookmarkEnd w:id="62"/>
    </w:p>
    <w:p w:rsidR="003906D7" w:rsidRPr="00755FB1" w:rsidRDefault="00FE61AD" w:rsidP="003906D7">
      <w:pPr>
        <w:pStyle w:val="AERbodytext"/>
        <w:numPr>
          <w:ilvl w:val="0"/>
          <w:numId w:val="6"/>
        </w:numPr>
      </w:pPr>
      <w:r>
        <w:t>Clauses 6.5.3</w:t>
      </w:r>
      <w:r w:rsidRPr="00FE61AD">
        <w:t xml:space="preserve"> </w:t>
      </w:r>
      <w:r>
        <w:t>and 6A.6.4</w:t>
      </w:r>
      <w:r w:rsidRPr="00FE61AD">
        <w:t xml:space="preserve"> of the NER and rule 87</w:t>
      </w:r>
      <w:r>
        <w:t>A</w:t>
      </w:r>
      <w:r w:rsidRPr="00FE61AD">
        <w:t xml:space="preserve"> of the NGR </w:t>
      </w:r>
      <w:r>
        <w:t>set out the cost of corporate income tax rule. This includes an adjustment for the value of imputation credits as follows</w:t>
      </w:r>
      <w:r w:rsidR="003906D7" w:rsidRPr="00755FB1">
        <w:t>:</w:t>
      </w:r>
    </w:p>
    <w:p w:rsidR="003906D7" w:rsidRPr="00755FB1" w:rsidRDefault="003906D7" w:rsidP="003906D7">
      <w:pPr>
        <w:pStyle w:val="AERquote"/>
      </w:pPr>
      <w:r w:rsidRPr="00755FB1">
        <w:t>The estimated cost of corporate income tax of a Distribution Network Service Provider for each regulatory year (ETC</w:t>
      </w:r>
      <w:r w:rsidRPr="00755FB1">
        <w:rPr>
          <w:rStyle w:val="AERsubscript"/>
        </w:rPr>
        <w:t>t</w:t>
      </w:r>
      <w:r w:rsidRPr="00755FB1">
        <w:t>) must be calculated in accordance with the following formula:</w:t>
      </w:r>
    </w:p>
    <w:p w:rsidR="003906D7" w:rsidRPr="00755FB1" w:rsidRDefault="003906D7" w:rsidP="003906D7">
      <w:pPr>
        <w:pStyle w:val="AERquote"/>
      </w:pPr>
      <w:r w:rsidRPr="00755FB1">
        <w:t>ETC</w:t>
      </w:r>
      <w:r w:rsidRPr="00755FB1">
        <w:rPr>
          <w:rStyle w:val="AERsubscript"/>
        </w:rPr>
        <w:t>t</w:t>
      </w:r>
      <w:r w:rsidRPr="00755FB1">
        <w:t xml:space="preserve"> = (ETI</w:t>
      </w:r>
      <w:r w:rsidRPr="00755FB1">
        <w:rPr>
          <w:rStyle w:val="AERsubscript"/>
        </w:rPr>
        <w:t>t</w:t>
      </w:r>
      <w:r w:rsidRPr="00755FB1">
        <w:t xml:space="preserve"> x r</w:t>
      </w:r>
      <w:r w:rsidRPr="00755FB1">
        <w:rPr>
          <w:rStyle w:val="AERsubscript"/>
        </w:rPr>
        <w:t>t</w:t>
      </w:r>
      <w:r w:rsidRPr="00755FB1">
        <w:t>) (1 – γ)</w:t>
      </w:r>
    </w:p>
    <w:p w:rsidR="003906D7" w:rsidRPr="00755FB1" w:rsidRDefault="003906D7" w:rsidP="003906D7">
      <w:pPr>
        <w:pStyle w:val="AERquote"/>
      </w:pPr>
      <w:r w:rsidRPr="00755FB1">
        <w:t>Where:</w:t>
      </w:r>
    </w:p>
    <w:p w:rsidR="003906D7" w:rsidRPr="00755FB1" w:rsidRDefault="003906D7" w:rsidP="003906D7">
      <w:pPr>
        <w:pStyle w:val="AERquote"/>
      </w:pPr>
      <w:r w:rsidRPr="00755FB1">
        <w:t>ETIt is an estimate of the taxable income for that regulatory year that would be earned by a benchmark efficient entity as a result of the provision of standard control services if such an entity, rather than the Distribution Network Service Provider, operated the business of the Distribution Network Service Provider, such estimate being determined in accordance with the post-tax revenue model.</w:t>
      </w:r>
    </w:p>
    <w:p w:rsidR="003906D7" w:rsidRPr="00755FB1" w:rsidRDefault="003906D7" w:rsidP="003906D7">
      <w:pPr>
        <w:pStyle w:val="AERquote"/>
      </w:pPr>
      <w:r w:rsidRPr="00755FB1">
        <w:t>r</w:t>
      </w:r>
      <w:r w:rsidRPr="0030610D">
        <w:rPr>
          <w:rStyle w:val="AERsubscript"/>
        </w:rPr>
        <w:t>t</w:t>
      </w:r>
      <w:r w:rsidRPr="00755FB1">
        <w:t xml:space="preserve"> is the expected statutory income tax rate for that regulatory year as determined by the AER; and</w:t>
      </w:r>
    </w:p>
    <w:p w:rsidR="003906D7" w:rsidRPr="00755FB1" w:rsidRDefault="003906D7" w:rsidP="003906D7">
      <w:pPr>
        <w:pStyle w:val="AERquote"/>
      </w:pPr>
      <w:r w:rsidRPr="00755FB1">
        <w:t>γ is the value of imputation credits</w:t>
      </w:r>
    </w:p>
    <w:p w:rsidR="003906D7" w:rsidRDefault="003906D7" w:rsidP="003906D7">
      <w:pPr>
        <w:pStyle w:val="Heading2"/>
      </w:pPr>
      <w:bookmarkStart w:id="63" w:name="_Toc365537059"/>
      <w:r w:rsidRPr="00763636">
        <w:t>Application</w:t>
      </w:r>
      <w:bookmarkEnd w:id="63"/>
    </w:p>
    <w:p w:rsidR="00FE61AD" w:rsidRDefault="00FE61AD" w:rsidP="00FE61AD">
      <w:pPr>
        <w:pStyle w:val="AERbodytext"/>
      </w:pPr>
      <w:r w:rsidRPr="00FE61AD">
        <w:t xml:space="preserve">This section sets out the method to be applied by a service provider to </w:t>
      </w:r>
      <w:r>
        <w:t xml:space="preserve">estimate the value of imputation credits. </w:t>
      </w:r>
    </w:p>
    <w:p w:rsidR="00FE61AD" w:rsidRDefault="00FE61AD" w:rsidP="00FE61AD">
      <w:pPr>
        <w:pStyle w:val="AERbodytext"/>
      </w:pPr>
      <w:r>
        <w:t xml:space="preserve">Overall, the value of imputation credits </w:t>
      </w:r>
      <w:r w:rsidR="00766A3A">
        <w:t xml:space="preserve">would </w:t>
      </w:r>
      <w:r>
        <w:t>be estimated as a</w:t>
      </w:r>
      <w:r w:rsidR="00140CEB">
        <w:t xml:space="preserve"> market wide parameter. Specifically, it </w:t>
      </w:r>
      <w:r w:rsidR="00766A3A">
        <w:t xml:space="preserve">would </w:t>
      </w:r>
      <w:r w:rsidR="00140CEB">
        <w:t>be determined as the</w:t>
      </w:r>
      <w:r>
        <w:t xml:space="preserve"> product of:</w:t>
      </w:r>
    </w:p>
    <w:p w:rsidR="00FE61AD" w:rsidRDefault="00FE61AD" w:rsidP="00FE61AD">
      <w:pPr>
        <w:pStyle w:val="AERbulletlistfirststyle"/>
      </w:pPr>
      <w:r>
        <w:t>a payout ratio</w:t>
      </w:r>
    </w:p>
    <w:p w:rsidR="00FE61AD" w:rsidRDefault="00FE61AD" w:rsidP="00FE61AD">
      <w:pPr>
        <w:pStyle w:val="AERbulletlistfirststyle"/>
      </w:pPr>
      <w:r>
        <w:t>a utilisation rate.</w:t>
      </w:r>
    </w:p>
    <w:p w:rsidR="00140CEB" w:rsidRDefault="00140CEB" w:rsidP="00140CEB">
      <w:pPr>
        <w:pStyle w:val="AERbulletlistfirststyle"/>
        <w:numPr>
          <w:ilvl w:val="0"/>
          <w:numId w:val="0"/>
        </w:numPr>
      </w:pPr>
      <w:r>
        <w:t xml:space="preserve">With current evidence, </w:t>
      </w:r>
      <w:r w:rsidR="00BF5C19">
        <w:t xml:space="preserve">the AER </w:t>
      </w:r>
      <w:r>
        <w:t>consider</w:t>
      </w:r>
      <w:r w:rsidR="00BF5C19">
        <w:t>s</w:t>
      </w:r>
      <w:r>
        <w:t xml:space="preserve"> this leads to a value of 0.5, based on a payout ratio of 0.7 and a</w:t>
      </w:r>
      <w:r w:rsidR="00766A3A">
        <w:t>n</w:t>
      </w:r>
      <w:r>
        <w:t xml:space="preserve"> utilisation rate of 0.7.</w:t>
      </w:r>
    </w:p>
    <w:p w:rsidR="00FE61AD" w:rsidRDefault="001E0EFB" w:rsidP="00FE61AD">
      <w:pPr>
        <w:pStyle w:val="Heading3"/>
      </w:pPr>
      <w:r>
        <w:t>Payout ratio</w:t>
      </w:r>
    </w:p>
    <w:p w:rsidR="00B219F4" w:rsidRDefault="00B219F4" w:rsidP="00B219F4">
      <w:pPr>
        <w:pStyle w:val="AERbodytext"/>
      </w:pPr>
      <w:r>
        <w:t xml:space="preserve">The payout ratio </w:t>
      </w:r>
      <w:r w:rsidR="00766A3A">
        <w:t xml:space="preserve">would </w:t>
      </w:r>
      <w:r>
        <w:t xml:space="preserve">be estimated using the cumulative payout ratio approach. </w:t>
      </w:r>
      <w:r w:rsidR="00140CEB">
        <w:t xml:space="preserve">The cumulative payout ratio is an estimate of the average payout rate from 1987, when the imputation system began, to the latest year for which tax data is available. </w:t>
      </w:r>
      <w:r w:rsidR="00A640E5">
        <w:t>Based on current evidence, this leads to an estimate of 0.7.</w:t>
      </w:r>
    </w:p>
    <w:p w:rsidR="00B219F4" w:rsidRDefault="00B219F4" w:rsidP="00B219F4">
      <w:pPr>
        <w:pStyle w:val="Heading3"/>
      </w:pPr>
      <w:r>
        <w:lastRenderedPageBreak/>
        <w:t>Utilisation rate</w:t>
      </w:r>
    </w:p>
    <w:p w:rsidR="00B219F4" w:rsidRDefault="00B219F4" w:rsidP="00B219F4">
      <w:pPr>
        <w:pStyle w:val="AERbodytext"/>
        <w:numPr>
          <w:ilvl w:val="0"/>
          <w:numId w:val="6"/>
        </w:numPr>
      </w:pPr>
      <w:r>
        <w:t xml:space="preserve">The utilisation rate </w:t>
      </w:r>
      <w:r w:rsidR="00766A3A">
        <w:t xml:space="preserve">would </w:t>
      </w:r>
      <w:r>
        <w:t xml:space="preserve">be estimated using the body of relevant evidence with regards to its strengths and weaknesses, checked against a range of supporting evidence. </w:t>
      </w:r>
      <w:r w:rsidR="003A64AB">
        <w:t>With</w:t>
      </w:r>
      <w:r>
        <w:t xml:space="preserve"> current information, </w:t>
      </w:r>
      <w:r w:rsidR="00A83FEF">
        <w:t>this leads to an estimate of 0.7</w:t>
      </w:r>
      <w:r w:rsidR="003A64AB">
        <w:t xml:space="preserve"> based on:</w:t>
      </w:r>
    </w:p>
    <w:p w:rsidR="00B219F4" w:rsidRDefault="00B219F4" w:rsidP="00B219F4">
      <w:pPr>
        <w:pStyle w:val="AERbulletlistfirststyle"/>
      </w:pPr>
      <w:r>
        <w:t>the equity ownership approach</w:t>
      </w:r>
      <w:r w:rsidR="001C47AC">
        <w:t>—</w:t>
      </w:r>
      <w:r>
        <w:t xml:space="preserve"> with current evidence, this suggests an estimate of 0.7</w:t>
      </w:r>
    </w:p>
    <w:p w:rsidR="00B219F4" w:rsidRDefault="00B219F4" w:rsidP="00B219F4">
      <w:pPr>
        <w:pStyle w:val="AERbulletlistfirststyle"/>
      </w:pPr>
      <w:r>
        <w:t>tax statistic estimates</w:t>
      </w:r>
      <w:r w:rsidR="001C47AC">
        <w:t>—</w:t>
      </w:r>
      <w:r>
        <w:t xml:space="preserve"> with current evidence, this suggests an estimate between 0.45 and 0.8</w:t>
      </w:r>
    </w:p>
    <w:p w:rsidR="00B219F4" w:rsidRDefault="00B219F4" w:rsidP="00B219F4">
      <w:pPr>
        <w:pStyle w:val="AERbulletlistfirststyle"/>
      </w:pPr>
      <w:r>
        <w:t>implied market value studies</w:t>
      </w:r>
      <w:r w:rsidR="001C47AC">
        <w:t>—</w:t>
      </w:r>
      <w:r>
        <w:t xml:space="preserve"> with current evidence, this suggests an estimate between 0 and 1</w:t>
      </w:r>
    </w:p>
    <w:p w:rsidR="00B219F4" w:rsidRDefault="00B219F4" w:rsidP="00B219F4">
      <w:pPr>
        <w:pStyle w:val="AERbulletlistfirststyle"/>
      </w:pPr>
      <w:r>
        <w:t>other supporting evidence</w:t>
      </w:r>
      <w:r w:rsidRPr="00B219F4">
        <w:t>—</w:t>
      </w:r>
      <w:r>
        <w:t>including observations about market practice, government tax policy, imputation equity funds etc.</w:t>
      </w:r>
    </w:p>
    <w:p w:rsidR="00B219F4" w:rsidRPr="00B219F4" w:rsidRDefault="00B219F4" w:rsidP="00B219F4">
      <w:pPr>
        <w:pStyle w:val="AERbodytext"/>
      </w:pPr>
    </w:p>
    <w:p w:rsidR="009F747F" w:rsidRDefault="009F747F" w:rsidP="009F747F">
      <w:pPr>
        <w:pStyle w:val="Heading7"/>
        <w:numPr>
          <w:ilvl w:val="0"/>
          <w:numId w:val="0"/>
        </w:numPr>
      </w:pPr>
      <w:bookmarkStart w:id="64" w:name="_Toc365537060"/>
      <w:r>
        <w:lastRenderedPageBreak/>
        <w:t>Glossary</w:t>
      </w:r>
      <w:bookmarkEnd w:id="64"/>
    </w:p>
    <w:p w:rsidR="009E536D" w:rsidRPr="009E536D" w:rsidRDefault="009E536D" w:rsidP="009E536D">
      <w:pPr>
        <w:numPr>
          <w:ilvl w:val="0"/>
          <w:numId w:val="6"/>
        </w:numPr>
      </w:pPr>
      <w:r>
        <w:t>This guideline uses following definitions and acronyms.</w:t>
      </w:r>
    </w:p>
    <w:tbl>
      <w:tblPr>
        <w:tblStyle w:val="AERtable-text"/>
        <w:tblW w:w="0" w:type="auto"/>
        <w:tblLook w:val="04A0" w:firstRow="1" w:lastRow="0" w:firstColumn="1" w:lastColumn="0" w:noHBand="0" w:noVBand="1"/>
      </w:tblPr>
      <w:tblGrid>
        <w:gridCol w:w="3227"/>
        <w:gridCol w:w="6015"/>
      </w:tblGrid>
      <w:tr w:rsidR="009E536D" w:rsidRPr="009E536D" w:rsidTr="009E536D">
        <w:trPr>
          <w:cnfStyle w:val="100000000000" w:firstRow="1" w:lastRow="0" w:firstColumn="0" w:lastColumn="0" w:oddVBand="0" w:evenVBand="0" w:oddHBand="0" w:evenHBand="0" w:firstRowFirstColumn="0" w:firstRowLastColumn="0" w:lastRowFirstColumn="0" w:lastRowLastColumn="0"/>
        </w:trPr>
        <w:tc>
          <w:tcPr>
            <w:tcW w:w="3227" w:type="dxa"/>
          </w:tcPr>
          <w:p w:rsidR="009E536D" w:rsidRPr="009E536D" w:rsidRDefault="009E536D" w:rsidP="009E536D">
            <w:r>
              <w:t>T</w:t>
            </w:r>
            <w:r w:rsidRPr="009E536D">
              <w:t>erm</w:t>
            </w:r>
          </w:p>
        </w:tc>
        <w:tc>
          <w:tcPr>
            <w:tcW w:w="6015" w:type="dxa"/>
          </w:tcPr>
          <w:p w:rsidR="009E536D" w:rsidRPr="009E536D" w:rsidRDefault="009E536D" w:rsidP="009E536D">
            <w:r>
              <w:t>Definition</w:t>
            </w:r>
          </w:p>
        </w:tc>
      </w:tr>
      <w:tr w:rsidR="009E536D" w:rsidRPr="009E536D" w:rsidTr="009E536D">
        <w:tc>
          <w:tcPr>
            <w:tcW w:w="3227" w:type="dxa"/>
          </w:tcPr>
          <w:p w:rsidR="009E536D" w:rsidRPr="009E536D" w:rsidRDefault="009E536D" w:rsidP="009E536D">
            <w:r w:rsidRPr="009E536D">
              <w:t>ACCC</w:t>
            </w:r>
          </w:p>
        </w:tc>
        <w:tc>
          <w:tcPr>
            <w:tcW w:w="6015" w:type="dxa"/>
          </w:tcPr>
          <w:p w:rsidR="009E536D" w:rsidRPr="009E536D" w:rsidRDefault="009E536D" w:rsidP="009E536D">
            <w:r w:rsidRPr="009E536D">
              <w:t>Australian Competition and Consumer Commission</w:t>
            </w:r>
          </w:p>
        </w:tc>
      </w:tr>
      <w:tr w:rsidR="009E536D" w:rsidRPr="009E536D" w:rsidTr="009E536D">
        <w:trPr>
          <w:cnfStyle w:val="000000010000" w:firstRow="0" w:lastRow="0" w:firstColumn="0" w:lastColumn="0" w:oddVBand="0" w:evenVBand="0" w:oddHBand="0" w:evenHBand="1" w:firstRowFirstColumn="0" w:firstRowLastColumn="0" w:lastRowFirstColumn="0" w:lastRowLastColumn="0"/>
        </w:trPr>
        <w:tc>
          <w:tcPr>
            <w:tcW w:w="3227" w:type="dxa"/>
          </w:tcPr>
          <w:p w:rsidR="009E536D" w:rsidRPr="009E536D" w:rsidRDefault="009E536D" w:rsidP="009E536D">
            <w:r w:rsidRPr="009E536D">
              <w:t>AEMC</w:t>
            </w:r>
          </w:p>
        </w:tc>
        <w:tc>
          <w:tcPr>
            <w:tcW w:w="6015" w:type="dxa"/>
          </w:tcPr>
          <w:p w:rsidR="009E536D" w:rsidRPr="009E536D" w:rsidRDefault="009E536D" w:rsidP="009E536D">
            <w:r w:rsidRPr="009E536D">
              <w:t xml:space="preserve">Australian Energy Market Commission </w:t>
            </w:r>
          </w:p>
        </w:tc>
      </w:tr>
      <w:tr w:rsidR="009E536D" w:rsidRPr="009E536D" w:rsidTr="009E536D">
        <w:tc>
          <w:tcPr>
            <w:tcW w:w="3227" w:type="dxa"/>
          </w:tcPr>
          <w:p w:rsidR="009E536D" w:rsidRPr="009E536D" w:rsidRDefault="009E536D" w:rsidP="009E536D">
            <w:r w:rsidRPr="009E536D">
              <w:t>AEMO</w:t>
            </w:r>
          </w:p>
        </w:tc>
        <w:tc>
          <w:tcPr>
            <w:tcW w:w="6015" w:type="dxa"/>
          </w:tcPr>
          <w:p w:rsidR="009E536D" w:rsidRPr="009E536D" w:rsidRDefault="009E536D" w:rsidP="009E536D">
            <w:r w:rsidRPr="009E536D">
              <w:t>Australian Energy Market Operator</w:t>
            </w:r>
          </w:p>
        </w:tc>
      </w:tr>
      <w:tr w:rsidR="009E536D" w:rsidRPr="009E536D" w:rsidTr="009E536D">
        <w:trPr>
          <w:cnfStyle w:val="000000010000" w:firstRow="0" w:lastRow="0" w:firstColumn="0" w:lastColumn="0" w:oddVBand="0" w:evenVBand="0" w:oddHBand="0" w:evenHBand="1" w:firstRowFirstColumn="0" w:firstRowLastColumn="0" w:lastRowFirstColumn="0" w:lastRowLastColumn="0"/>
        </w:trPr>
        <w:tc>
          <w:tcPr>
            <w:tcW w:w="3227" w:type="dxa"/>
          </w:tcPr>
          <w:p w:rsidR="009E536D" w:rsidRPr="009E536D" w:rsidRDefault="009E536D" w:rsidP="009E536D">
            <w:r w:rsidRPr="009E536D">
              <w:t>AER</w:t>
            </w:r>
          </w:p>
        </w:tc>
        <w:tc>
          <w:tcPr>
            <w:tcW w:w="6015" w:type="dxa"/>
          </w:tcPr>
          <w:p w:rsidR="009E536D" w:rsidRPr="009E536D" w:rsidRDefault="009E536D" w:rsidP="009E536D">
            <w:r w:rsidRPr="009E536D">
              <w:t>Australian Energy Regulator</w:t>
            </w:r>
          </w:p>
        </w:tc>
      </w:tr>
      <w:tr w:rsidR="009E536D" w:rsidRPr="009E536D" w:rsidTr="009E536D">
        <w:tc>
          <w:tcPr>
            <w:tcW w:w="3227" w:type="dxa"/>
          </w:tcPr>
          <w:p w:rsidR="009E536D" w:rsidRPr="009E536D" w:rsidRDefault="009E536D" w:rsidP="009E536D">
            <w:r w:rsidRPr="009E536D">
              <w:t>capex</w:t>
            </w:r>
          </w:p>
        </w:tc>
        <w:tc>
          <w:tcPr>
            <w:tcW w:w="6015" w:type="dxa"/>
          </w:tcPr>
          <w:p w:rsidR="009E536D" w:rsidRPr="009E536D" w:rsidRDefault="009E536D" w:rsidP="009E536D">
            <w:r w:rsidRPr="009E536D">
              <w:t>Capital expenditure</w:t>
            </w:r>
          </w:p>
        </w:tc>
      </w:tr>
      <w:tr w:rsidR="009E536D" w:rsidRPr="009E536D" w:rsidTr="009E536D">
        <w:trPr>
          <w:cnfStyle w:val="000000010000" w:firstRow="0" w:lastRow="0" w:firstColumn="0" w:lastColumn="0" w:oddVBand="0" w:evenVBand="0" w:oddHBand="0" w:evenHBand="1" w:firstRowFirstColumn="0" w:firstRowLastColumn="0" w:lastRowFirstColumn="0" w:lastRowLastColumn="0"/>
        </w:trPr>
        <w:tc>
          <w:tcPr>
            <w:tcW w:w="3227" w:type="dxa"/>
          </w:tcPr>
          <w:p w:rsidR="009E536D" w:rsidRPr="009E536D" w:rsidRDefault="009E536D" w:rsidP="009E536D">
            <w:r w:rsidRPr="009E536D">
              <w:t>common framework</w:t>
            </w:r>
          </w:p>
        </w:tc>
        <w:tc>
          <w:tcPr>
            <w:tcW w:w="6015" w:type="dxa"/>
          </w:tcPr>
          <w:p w:rsidR="009E536D" w:rsidRPr="009E536D" w:rsidRDefault="009E536D" w:rsidP="009E536D">
            <w:r w:rsidRPr="009E536D">
              <w:t>Refers to the largely consistent rules framework on the rate of return that applies to gas service providers (NGR), electricity distribution network service providers (NER chapter 6) and electricity transmission service providers (NER chapter 6A).</w:t>
            </w:r>
          </w:p>
        </w:tc>
      </w:tr>
      <w:tr w:rsidR="009E536D" w:rsidRPr="009E536D" w:rsidTr="009E536D">
        <w:tc>
          <w:tcPr>
            <w:tcW w:w="3227" w:type="dxa"/>
          </w:tcPr>
          <w:p w:rsidR="009E536D" w:rsidRPr="009E536D" w:rsidRDefault="009E536D" w:rsidP="009E536D">
            <w:r w:rsidRPr="009E536D">
              <w:t>COSBOA</w:t>
            </w:r>
          </w:p>
        </w:tc>
        <w:tc>
          <w:tcPr>
            <w:tcW w:w="6015" w:type="dxa"/>
          </w:tcPr>
          <w:p w:rsidR="009E536D" w:rsidRPr="009E536D" w:rsidRDefault="009E536D" w:rsidP="009E536D">
            <w:r w:rsidRPr="009E536D">
              <w:t>Council of Small Business Australia</w:t>
            </w:r>
          </w:p>
        </w:tc>
      </w:tr>
      <w:tr w:rsidR="009E536D" w:rsidRPr="009E536D" w:rsidTr="009E536D">
        <w:trPr>
          <w:cnfStyle w:val="000000010000" w:firstRow="0" w:lastRow="0" w:firstColumn="0" w:lastColumn="0" w:oddVBand="0" w:evenVBand="0" w:oddHBand="0" w:evenHBand="1" w:firstRowFirstColumn="0" w:firstRowLastColumn="0" w:lastRowFirstColumn="0" w:lastRowLastColumn="0"/>
        </w:trPr>
        <w:tc>
          <w:tcPr>
            <w:tcW w:w="3227" w:type="dxa"/>
          </w:tcPr>
          <w:p w:rsidR="009E536D" w:rsidRPr="009E536D" w:rsidRDefault="009E536D" w:rsidP="009E536D">
            <w:r w:rsidRPr="009E536D">
              <w:t>CRG</w:t>
            </w:r>
          </w:p>
        </w:tc>
        <w:tc>
          <w:tcPr>
            <w:tcW w:w="6015" w:type="dxa"/>
          </w:tcPr>
          <w:p w:rsidR="009E536D" w:rsidRPr="009E536D" w:rsidRDefault="009E536D" w:rsidP="009E536D">
            <w:r w:rsidRPr="009E536D">
              <w:t>Consumer Reference Group</w:t>
            </w:r>
          </w:p>
        </w:tc>
      </w:tr>
      <w:tr w:rsidR="009E536D" w:rsidRPr="009E536D" w:rsidTr="009E536D">
        <w:tc>
          <w:tcPr>
            <w:tcW w:w="3227" w:type="dxa"/>
          </w:tcPr>
          <w:p w:rsidR="009E536D" w:rsidRPr="009E536D" w:rsidRDefault="009E536D" w:rsidP="009E536D">
            <w:r w:rsidRPr="009E536D">
              <w:t>determination</w:t>
            </w:r>
          </w:p>
        </w:tc>
        <w:tc>
          <w:tcPr>
            <w:tcW w:w="6015" w:type="dxa"/>
          </w:tcPr>
          <w:p w:rsidR="009E536D" w:rsidRPr="009E536D" w:rsidRDefault="009E536D" w:rsidP="009E536D">
            <w:r w:rsidRPr="009E536D">
              <w:t>In this document generally, in the context of the rate of return, the term "determination" refers both to regulatory determinations under the NER and access arrangement determinations under the NGR.</w:t>
            </w:r>
          </w:p>
        </w:tc>
      </w:tr>
      <w:tr w:rsidR="009E536D" w:rsidRPr="009E536D" w:rsidTr="009E536D">
        <w:trPr>
          <w:cnfStyle w:val="000000010000" w:firstRow="0" w:lastRow="0" w:firstColumn="0" w:lastColumn="0" w:oddVBand="0" w:evenVBand="0" w:oddHBand="0" w:evenHBand="1" w:firstRowFirstColumn="0" w:firstRowLastColumn="0" w:lastRowFirstColumn="0" w:lastRowLastColumn="0"/>
        </w:trPr>
        <w:tc>
          <w:tcPr>
            <w:tcW w:w="3227" w:type="dxa"/>
          </w:tcPr>
          <w:p w:rsidR="009E536D" w:rsidRPr="009E536D" w:rsidRDefault="009E536D" w:rsidP="009E536D">
            <w:r w:rsidRPr="009E536D">
              <w:t>DRP</w:t>
            </w:r>
          </w:p>
        </w:tc>
        <w:tc>
          <w:tcPr>
            <w:tcW w:w="6015" w:type="dxa"/>
          </w:tcPr>
          <w:p w:rsidR="009E536D" w:rsidRPr="009E536D" w:rsidRDefault="009E536D" w:rsidP="009E536D">
            <w:r w:rsidRPr="009E536D">
              <w:t>Debt Risk Premium</w:t>
            </w:r>
          </w:p>
        </w:tc>
      </w:tr>
      <w:tr w:rsidR="009E536D" w:rsidRPr="009E536D" w:rsidTr="009E536D">
        <w:tc>
          <w:tcPr>
            <w:tcW w:w="3227" w:type="dxa"/>
          </w:tcPr>
          <w:p w:rsidR="009E536D" w:rsidRPr="009E536D" w:rsidRDefault="009E536D" w:rsidP="009E536D">
            <w:r w:rsidRPr="009E536D">
              <w:t>ENA</w:t>
            </w:r>
          </w:p>
        </w:tc>
        <w:tc>
          <w:tcPr>
            <w:tcW w:w="6015" w:type="dxa"/>
          </w:tcPr>
          <w:p w:rsidR="009E536D" w:rsidRPr="009E536D" w:rsidRDefault="009E536D" w:rsidP="009E536D">
            <w:r w:rsidRPr="009E536D">
              <w:t>Energy Networks Association</w:t>
            </w:r>
          </w:p>
        </w:tc>
      </w:tr>
      <w:tr w:rsidR="009E536D" w:rsidRPr="009E536D" w:rsidTr="009E536D">
        <w:trPr>
          <w:cnfStyle w:val="000000010000" w:firstRow="0" w:lastRow="0" w:firstColumn="0" w:lastColumn="0" w:oddVBand="0" w:evenVBand="0" w:oddHBand="0" w:evenHBand="1" w:firstRowFirstColumn="0" w:firstRowLastColumn="0" w:lastRowFirstColumn="0" w:lastRowLastColumn="0"/>
        </w:trPr>
        <w:tc>
          <w:tcPr>
            <w:tcW w:w="3227" w:type="dxa"/>
          </w:tcPr>
          <w:p w:rsidR="009E536D" w:rsidRPr="009E536D" w:rsidRDefault="009E536D" w:rsidP="009E536D">
            <w:r w:rsidRPr="009E536D">
              <w:t>ERA</w:t>
            </w:r>
          </w:p>
        </w:tc>
        <w:tc>
          <w:tcPr>
            <w:tcW w:w="6015" w:type="dxa"/>
          </w:tcPr>
          <w:p w:rsidR="009E536D" w:rsidRPr="009E536D" w:rsidRDefault="009E536D" w:rsidP="009E536D">
            <w:r w:rsidRPr="009E536D">
              <w:t>Economic Regulation Authority</w:t>
            </w:r>
          </w:p>
        </w:tc>
      </w:tr>
      <w:tr w:rsidR="009E536D" w:rsidRPr="009E536D" w:rsidTr="009E536D">
        <w:tc>
          <w:tcPr>
            <w:tcW w:w="3227" w:type="dxa"/>
          </w:tcPr>
          <w:p w:rsidR="009E536D" w:rsidRPr="009E536D" w:rsidRDefault="009E536D" w:rsidP="009E536D">
            <w:r w:rsidRPr="009E536D">
              <w:t>EUAA</w:t>
            </w:r>
          </w:p>
        </w:tc>
        <w:tc>
          <w:tcPr>
            <w:tcW w:w="6015" w:type="dxa"/>
          </w:tcPr>
          <w:p w:rsidR="009E536D" w:rsidRPr="009E536D" w:rsidRDefault="009E536D" w:rsidP="009E536D">
            <w:r w:rsidRPr="009E536D">
              <w:t>Energy Users Association of Australia</w:t>
            </w:r>
          </w:p>
        </w:tc>
      </w:tr>
      <w:tr w:rsidR="009E536D" w:rsidRPr="009E536D" w:rsidTr="009E536D">
        <w:trPr>
          <w:cnfStyle w:val="000000010000" w:firstRow="0" w:lastRow="0" w:firstColumn="0" w:lastColumn="0" w:oddVBand="0" w:evenVBand="0" w:oddHBand="0" w:evenHBand="1" w:firstRowFirstColumn="0" w:firstRowLastColumn="0" w:lastRowFirstColumn="0" w:lastRowLastColumn="0"/>
        </w:trPr>
        <w:tc>
          <w:tcPr>
            <w:tcW w:w="3227" w:type="dxa"/>
          </w:tcPr>
          <w:p w:rsidR="009E536D" w:rsidRPr="009E536D" w:rsidRDefault="009E536D" w:rsidP="009E536D">
            <w:r w:rsidRPr="009E536D">
              <w:t>EURCC</w:t>
            </w:r>
          </w:p>
        </w:tc>
        <w:tc>
          <w:tcPr>
            <w:tcW w:w="6015" w:type="dxa"/>
          </w:tcPr>
          <w:p w:rsidR="009E536D" w:rsidRPr="009E536D" w:rsidRDefault="009E536D" w:rsidP="009E536D">
            <w:r w:rsidRPr="009E536D">
              <w:t>Energy Users Rule Change Committee</w:t>
            </w:r>
          </w:p>
        </w:tc>
      </w:tr>
      <w:tr w:rsidR="009E536D" w:rsidRPr="009E536D" w:rsidTr="009E536D">
        <w:tc>
          <w:tcPr>
            <w:tcW w:w="3227" w:type="dxa"/>
          </w:tcPr>
          <w:p w:rsidR="009E536D" w:rsidRPr="009E536D" w:rsidRDefault="009E536D" w:rsidP="009E536D">
            <w:r w:rsidRPr="009E536D">
              <w:t>FIG</w:t>
            </w:r>
          </w:p>
        </w:tc>
        <w:tc>
          <w:tcPr>
            <w:tcW w:w="6015" w:type="dxa"/>
          </w:tcPr>
          <w:p w:rsidR="009E536D" w:rsidRPr="009E536D" w:rsidRDefault="009E536D" w:rsidP="009E536D">
            <w:r w:rsidRPr="009E536D">
              <w:t>The Financial Investor Group</w:t>
            </w:r>
          </w:p>
        </w:tc>
      </w:tr>
      <w:tr w:rsidR="009E536D" w:rsidRPr="009E536D" w:rsidTr="009E536D">
        <w:trPr>
          <w:cnfStyle w:val="000000010000" w:firstRow="0" w:lastRow="0" w:firstColumn="0" w:lastColumn="0" w:oddVBand="0" w:evenVBand="0" w:oddHBand="0" w:evenHBand="1" w:firstRowFirstColumn="0" w:firstRowLastColumn="0" w:lastRowFirstColumn="0" w:lastRowLastColumn="0"/>
        </w:trPr>
        <w:tc>
          <w:tcPr>
            <w:tcW w:w="3227" w:type="dxa"/>
          </w:tcPr>
          <w:p w:rsidR="009E536D" w:rsidRPr="009E536D" w:rsidRDefault="009E536D" w:rsidP="009E536D">
            <w:r w:rsidRPr="009E536D">
              <w:t>MRP</w:t>
            </w:r>
          </w:p>
        </w:tc>
        <w:tc>
          <w:tcPr>
            <w:tcW w:w="6015" w:type="dxa"/>
          </w:tcPr>
          <w:p w:rsidR="009E536D" w:rsidRPr="009E536D" w:rsidRDefault="009E536D" w:rsidP="009E536D">
            <w:r w:rsidRPr="009E536D">
              <w:t>Market risk premium</w:t>
            </w:r>
          </w:p>
        </w:tc>
      </w:tr>
      <w:tr w:rsidR="009E536D" w:rsidRPr="009E536D" w:rsidTr="009E536D">
        <w:tc>
          <w:tcPr>
            <w:tcW w:w="3227" w:type="dxa"/>
          </w:tcPr>
          <w:p w:rsidR="009E536D" w:rsidRPr="009E536D" w:rsidRDefault="009E536D" w:rsidP="009E536D">
            <w:r w:rsidRPr="009E536D">
              <w:t>MEU</w:t>
            </w:r>
          </w:p>
        </w:tc>
        <w:tc>
          <w:tcPr>
            <w:tcW w:w="6015" w:type="dxa"/>
          </w:tcPr>
          <w:p w:rsidR="009E536D" w:rsidRPr="009E536D" w:rsidRDefault="009E536D" w:rsidP="009E536D">
            <w:r w:rsidRPr="009E536D">
              <w:t>Major Energy Users Inc</w:t>
            </w:r>
          </w:p>
        </w:tc>
      </w:tr>
      <w:tr w:rsidR="009E536D" w:rsidRPr="009E536D" w:rsidTr="009E536D">
        <w:trPr>
          <w:cnfStyle w:val="000000010000" w:firstRow="0" w:lastRow="0" w:firstColumn="0" w:lastColumn="0" w:oddVBand="0" w:evenVBand="0" w:oddHBand="0" w:evenHBand="1" w:firstRowFirstColumn="0" w:firstRowLastColumn="0" w:lastRowFirstColumn="0" w:lastRowLastColumn="0"/>
        </w:trPr>
        <w:tc>
          <w:tcPr>
            <w:tcW w:w="3227" w:type="dxa"/>
          </w:tcPr>
          <w:p w:rsidR="009E536D" w:rsidRPr="009E536D" w:rsidRDefault="009E536D" w:rsidP="009E536D">
            <w:r w:rsidRPr="009E536D">
              <w:t>NER</w:t>
            </w:r>
          </w:p>
        </w:tc>
        <w:tc>
          <w:tcPr>
            <w:tcW w:w="6015" w:type="dxa"/>
          </w:tcPr>
          <w:p w:rsidR="009E536D" w:rsidRPr="009E536D" w:rsidRDefault="009E536D" w:rsidP="009E536D">
            <w:r w:rsidRPr="009E536D">
              <w:t>National Electricity Rules</w:t>
            </w:r>
          </w:p>
        </w:tc>
      </w:tr>
      <w:tr w:rsidR="009E536D" w:rsidRPr="009E536D" w:rsidTr="009E536D">
        <w:tc>
          <w:tcPr>
            <w:tcW w:w="3227" w:type="dxa"/>
          </w:tcPr>
          <w:p w:rsidR="009E536D" w:rsidRPr="009E536D" w:rsidRDefault="009E536D" w:rsidP="009E536D">
            <w:r w:rsidRPr="009E536D">
              <w:t>NEL</w:t>
            </w:r>
          </w:p>
        </w:tc>
        <w:tc>
          <w:tcPr>
            <w:tcW w:w="6015" w:type="dxa"/>
          </w:tcPr>
          <w:p w:rsidR="009E536D" w:rsidRPr="009E536D" w:rsidRDefault="009E536D" w:rsidP="009E536D">
            <w:r w:rsidRPr="009E536D">
              <w:t>National Electricity Law</w:t>
            </w:r>
          </w:p>
        </w:tc>
      </w:tr>
      <w:tr w:rsidR="009E536D" w:rsidRPr="009E536D" w:rsidTr="009E536D">
        <w:trPr>
          <w:cnfStyle w:val="000000010000" w:firstRow="0" w:lastRow="0" w:firstColumn="0" w:lastColumn="0" w:oddVBand="0" w:evenVBand="0" w:oddHBand="0" w:evenHBand="1" w:firstRowFirstColumn="0" w:firstRowLastColumn="0" w:lastRowFirstColumn="0" w:lastRowLastColumn="0"/>
        </w:trPr>
        <w:tc>
          <w:tcPr>
            <w:tcW w:w="3227" w:type="dxa"/>
          </w:tcPr>
          <w:p w:rsidR="009E536D" w:rsidRPr="009E536D" w:rsidRDefault="009E536D" w:rsidP="009E536D">
            <w:r w:rsidRPr="009E536D">
              <w:lastRenderedPageBreak/>
              <w:t>NEM</w:t>
            </w:r>
          </w:p>
        </w:tc>
        <w:tc>
          <w:tcPr>
            <w:tcW w:w="6015" w:type="dxa"/>
          </w:tcPr>
          <w:p w:rsidR="009E536D" w:rsidRPr="009E536D" w:rsidRDefault="009E536D" w:rsidP="009E536D">
            <w:r w:rsidRPr="009E536D">
              <w:t>National Electricity Market</w:t>
            </w:r>
          </w:p>
        </w:tc>
      </w:tr>
      <w:tr w:rsidR="009E536D" w:rsidRPr="009E536D" w:rsidTr="009E536D">
        <w:tc>
          <w:tcPr>
            <w:tcW w:w="3227" w:type="dxa"/>
          </w:tcPr>
          <w:p w:rsidR="009E536D" w:rsidRPr="009E536D" w:rsidRDefault="009E536D" w:rsidP="009E536D">
            <w:r w:rsidRPr="009E536D">
              <w:t>new rules</w:t>
            </w:r>
          </w:p>
        </w:tc>
        <w:tc>
          <w:tcPr>
            <w:tcW w:w="6015" w:type="dxa"/>
          </w:tcPr>
          <w:p w:rsidR="009E536D" w:rsidRPr="009E536D" w:rsidRDefault="009E536D" w:rsidP="009E536D">
            <w:r w:rsidRPr="009E536D">
              <w:t>The National Electricity Rules and National Gas Rules that were published by the AEMC on 29 November 2012</w:t>
            </w:r>
          </w:p>
        </w:tc>
      </w:tr>
      <w:tr w:rsidR="009E536D" w:rsidRPr="009E536D" w:rsidTr="009E536D">
        <w:trPr>
          <w:cnfStyle w:val="000000010000" w:firstRow="0" w:lastRow="0" w:firstColumn="0" w:lastColumn="0" w:oddVBand="0" w:evenVBand="0" w:oddHBand="0" w:evenHBand="1" w:firstRowFirstColumn="0" w:firstRowLastColumn="0" w:lastRowFirstColumn="0" w:lastRowLastColumn="0"/>
        </w:trPr>
        <w:tc>
          <w:tcPr>
            <w:tcW w:w="3227" w:type="dxa"/>
          </w:tcPr>
          <w:p w:rsidR="009E536D" w:rsidRPr="009E536D" w:rsidRDefault="009E536D" w:rsidP="009E536D">
            <w:r w:rsidRPr="009E536D">
              <w:t>NGL</w:t>
            </w:r>
          </w:p>
        </w:tc>
        <w:tc>
          <w:tcPr>
            <w:tcW w:w="6015" w:type="dxa"/>
          </w:tcPr>
          <w:p w:rsidR="009E536D" w:rsidRPr="009E536D" w:rsidRDefault="009E536D" w:rsidP="009E536D">
            <w:r w:rsidRPr="009E536D">
              <w:t>National Gas Law</w:t>
            </w:r>
          </w:p>
        </w:tc>
      </w:tr>
      <w:tr w:rsidR="009E536D" w:rsidRPr="009E536D" w:rsidTr="009E536D">
        <w:tc>
          <w:tcPr>
            <w:tcW w:w="3227" w:type="dxa"/>
          </w:tcPr>
          <w:p w:rsidR="009E536D" w:rsidRPr="009E536D" w:rsidRDefault="009E536D" w:rsidP="009E536D">
            <w:r w:rsidRPr="009E536D">
              <w:t>NSW T Corp</w:t>
            </w:r>
          </w:p>
        </w:tc>
        <w:tc>
          <w:tcPr>
            <w:tcW w:w="6015" w:type="dxa"/>
          </w:tcPr>
          <w:p w:rsidR="009E536D" w:rsidRPr="009E536D" w:rsidRDefault="009E536D" w:rsidP="009E536D">
            <w:r w:rsidRPr="009E536D">
              <w:t>New South Wales Treasury Corporation</w:t>
            </w:r>
          </w:p>
        </w:tc>
      </w:tr>
      <w:tr w:rsidR="009E536D" w:rsidRPr="009E536D" w:rsidTr="009E536D">
        <w:trPr>
          <w:cnfStyle w:val="000000010000" w:firstRow="0" w:lastRow="0" w:firstColumn="0" w:lastColumn="0" w:oddVBand="0" w:evenVBand="0" w:oddHBand="0" w:evenHBand="1" w:firstRowFirstColumn="0" w:firstRowLastColumn="0" w:lastRowFirstColumn="0" w:lastRowLastColumn="0"/>
        </w:trPr>
        <w:tc>
          <w:tcPr>
            <w:tcW w:w="3227" w:type="dxa"/>
          </w:tcPr>
          <w:p w:rsidR="009E536D" w:rsidRPr="009E536D" w:rsidRDefault="009E536D" w:rsidP="009E536D">
            <w:r w:rsidRPr="009E536D">
              <w:t>opex</w:t>
            </w:r>
          </w:p>
        </w:tc>
        <w:tc>
          <w:tcPr>
            <w:tcW w:w="6015" w:type="dxa"/>
          </w:tcPr>
          <w:p w:rsidR="009E536D" w:rsidRPr="009E536D" w:rsidRDefault="009E536D" w:rsidP="009E536D">
            <w:r w:rsidRPr="009E536D">
              <w:t>Operating expenditure</w:t>
            </w:r>
          </w:p>
        </w:tc>
      </w:tr>
      <w:tr w:rsidR="009E536D" w:rsidRPr="009E536D" w:rsidTr="009E536D">
        <w:tc>
          <w:tcPr>
            <w:tcW w:w="3227" w:type="dxa"/>
          </w:tcPr>
          <w:p w:rsidR="009E536D" w:rsidRPr="009E536D" w:rsidRDefault="009E536D" w:rsidP="009E536D">
            <w:r w:rsidRPr="009E536D">
              <w:t>PIAC</w:t>
            </w:r>
          </w:p>
        </w:tc>
        <w:tc>
          <w:tcPr>
            <w:tcW w:w="6015" w:type="dxa"/>
          </w:tcPr>
          <w:p w:rsidR="009E536D" w:rsidRPr="009E536D" w:rsidRDefault="009E536D" w:rsidP="009E536D">
            <w:r w:rsidRPr="009E536D">
              <w:t>The Public Interest Advocacy Centre</w:t>
            </w:r>
          </w:p>
        </w:tc>
      </w:tr>
      <w:tr w:rsidR="009E536D" w:rsidRPr="009E536D" w:rsidTr="009E536D">
        <w:trPr>
          <w:cnfStyle w:val="000000010000" w:firstRow="0" w:lastRow="0" w:firstColumn="0" w:lastColumn="0" w:oddVBand="0" w:evenVBand="0" w:oddHBand="0" w:evenHBand="1" w:firstRowFirstColumn="0" w:firstRowLastColumn="0" w:lastRowFirstColumn="0" w:lastRowLastColumn="0"/>
        </w:trPr>
        <w:tc>
          <w:tcPr>
            <w:tcW w:w="3227" w:type="dxa"/>
          </w:tcPr>
          <w:p w:rsidR="009E536D" w:rsidRPr="009E536D" w:rsidRDefault="009E536D" w:rsidP="009E536D">
            <w:r w:rsidRPr="009E536D">
              <w:t>QTC</w:t>
            </w:r>
          </w:p>
        </w:tc>
        <w:tc>
          <w:tcPr>
            <w:tcW w:w="6015" w:type="dxa"/>
          </w:tcPr>
          <w:p w:rsidR="009E536D" w:rsidRPr="009E536D" w:rsidRDefault="009E536D" w:rsidP="009E536D">
            <w:r w:rsidRPr="009E536D">
              <w:t>Queensland Treasury Corporation</w:t>
            </w:r>
          </w:p>
        </w:tc>
      </w:tr>
      <w:tr w:rsidR="009E536D" w:rsidRPr="009E536D" w:rsidTr="009E536D">
        <w:tc>
          <w:tcPr>
            <w:tcW w:w="3227" w:type="dxa"/>
          </w:tcPr>
          <w:p w:rsidR="009E536D" w:rsidRPr="009E536D" w:rsidRDefault="009E536D" w:rsidP="009E536D">
            <w:r w:rsidRPr="009E536D">
              <w:t>RAB</w:t>
            </w:r>
          </w:p>
        </w:tc>
        <w:tc>
          <w:tcPr>
            <w:tcW w:w="6015" w:type="dxa"/>
          </w:tcPr>
          <w:p w:rsidR="009E536D" w:rsidRPr="009E536D" w:rsidRDefault="009E536D" w:rsidP="009E536D">
            <w:r w:rsidRPr="009E536D">
              <w:t>Regulatory Asset Base</w:t>
            </w:r>
          </w:p>
        </w:tc>
      </w:tr>
      <w:tr w:rsidR="009E536D" w:rsidRPr="009E536D" w:rsidTr="009E536D">
        <w:trPr>
          <w:cnfStyle w:val="000000010000" w:firstRow="0" w:lastRow="0" w:firstColumn="0" w:lastColumn="0" w:oddVBand="0" w:evenVBand="0" w:oddHBand="0" w:evenHBand="1" w:firstRowFirstColumn="0" w:firstRowLastColumn="0" w:lastRowFirstColumn="0" w:lastRowLastColumn="0"/>
        </w:trPr>
        <w:tc>
          <w:tcPr>
            <w:tcW w:w="3227" w:type="dxa"/>
          </w:tcPr>
          <w:p w:rsidR="009E536D" w:rsidRPr="009E536D" w:rsidRDefault="009E536D" w:rsidP="009E536D">
            <w:r w:rsidRPr="009E536D">
              <w:t>RARE</w:t>
            </w:r>
          </w:p>
        </w:tc>
        <w:tc>
          <w:tcPr>
            <w:tcW w:w="6015" w:type="dxa"/>
          </w:tcPr>
          <w:p w:rsidR="009E536D" w:rsidRPr="009E536D" w:rsidRDefault="009E536D" w:rsidP="009E536D">
            <w:r w:rsidRPr="009E536D">
              <w:t>RARE Infrastructure Limited</w:t>
            </w:r>
          </w:p>
        </w:tc>
      </w:tr>
      <w:tr w:rsidR="009E536D" w:rsidRPr="009E536D" w:rsidTr="009E536D">
        <w:tc>
          <w:tcPr>
            <w:tcW w:w="3227" w:type="dxa"/>
          </w:tcPr>
          <w:p w:rsidR="009E536D" w:rsidRPr="009E536D" w:rsidRDefault="009E536D" w:rsidP="009E536D">
            <w:r w:rsidRPr="009E536D">
              <w:t>RDB</w:t>
            </w:r>
          </w:p>
        </w:tc>
        <w:tc>
          <w:tcPr>
            <w:tcW w:w="6015" w:type="dxa"/>
          </w:tcPr>
          <w:p w:rsidR="009E536D" w:rsidRPr="009E536D" w:rsidRDefault="009E536D" w:rsidP="009E536D">
            <w:r w:rsidRPr="009E536D">
              <w:t>Regulatory Development Branch</w:t>
            </w:r>
          </w:p>
        </w:tc>
      </w:tr>
      <w:tr w:rsidR="006949FC" w:rsidRPr="009E536D" w:rsidTr="009E536D">
        <w:trPr>
          <w:cnfStyle w:val="000000010000" w:firstRow="0" w:lastRow="0" w:firstColumn="0" w:lastColumn="0" w:oddVBand="0" w:evenVBand="0" w:oddHBand="0" w:evenHBand="1" w:firstRowFirstColumn="0" w:firstRowLastColumn="0" w:lastRowFirstColumn="0" w:lastRowLastColumn="0"/>
        </w:trPr>
        <w:tc>
          <w:tcPr>
            <w:tcW w:w="3227" w:type="dxa"/>
          </w:tcPr>
          <w:p w:rsidR="006949FC" w:rsidRPr="009E536D" w:rsidRDefault="00BF2C29" w:rsidP="009E536D">
            <w:r>
              <w:t>r</w:t>
            </w:r>
            <w:r w:rsidR="006949FC">
              <w:t>egulatory control period</w:t>
            </w:r>
          </w:p>
        </w:tc>
        <w:tc>
          <w:tcPr>
            <w:tcW w:w="6015" w:type="dxa"/>
          </w:tcPr>
          <w:p w:rsidR="006949FC" w:rsidRPr="009E536D" w:rsidRDefault="006949FC" w:rsidP="009E536D">
            <w:r>
              <w:t>In this document generally, in the context of the rate of return, the term 'regulatory control period' refers both to regulatory control period under the NER and access arrangement period under the NGR</w:t>
            </w:r>
          </w:p>
        </w:tc>
      </w:tr>
      <w:tr w:rsidR="009E536D" w:rsidRPr="009E536D" w:rsidTr="009E536D">
        <w:tc>
          <w:tcPr>
            <w:tcW w:w="3227" w:type="dxa"/>
          </w:tcPr>
          <w:p w:rsidR="009E536D" w:rsidRPr="009E536D" w:rsidRDefault="009E536D" w:rsidP="009E536D">
            <w:r w:rsidRPr="009E536D">
              <w:t>service providers</w:t>
            </w:r>
          </w:p>
        </w:tc>
        <w:tc>
          <w:tcPr>
            <w:tcW w:w="6015" w:type="dxa"/>
          </w:tcPr>
          <w:p w:rsidR="009E536D" w:rsidRPr="009E536D" w:rsidRDefault="009E536D" w:rsidP="009E536D">
            <w:r w:rsidRPr="009E536D">
              <w:t>Electricity transmission network service provider, electricity distribution network service providers and gas service providers</w:t>
            </w:r>
          </w:p>
        </w:tc>
      </w:tr>
      <w:tr w:rsidR="009E536D" w:rsidRPr="009E536D" w:rsidTr="009E536D">
        <w:trPr>
          <w:cnfStyle w:val="000000010000" w:firstRow="0" w:lastRow="0" w:firstColumn="0" w:lastColumn="0" w:oddVBand="0" w:evenVBand="0" w:oddHBand="0" w:evenHBand="1" w:firstRowFirstColumn="0" w:firstRowLastColumn="0" w:lastRowFirstColumn="0" w:lastRowLastColumn="0"/>
        </w:trPr>
        <w:tc>
          <w:tcPr>
            <w:tcW w:w="3227" w:type="dxa"/>
          </w:tcPr>
          <w:p w:rsidR="009E536D" w:rsidRPr="009E536D" w:rsidRDefault="009E536D" w:rsidP="009E536D">
            <w:r w:rsidRPr="009E536D">
              <w:t>SFG</w:t>
            </w:r>
          </w:p>
        </w:tc>
        <w:tc>
          <w:tcPr>
            <w:tcW w:w="6015" w:type="dxa"/>
          </w:tcPr>
          <w:p w:rsidR="009E536D" w:rsidRPr="009E536D" w:rsidRDefault="009E536D" w:rsidP="009E536D">
            <w:r w:rsidRPr="009E536D">
              <w:t>Strategic Finance Group Consulting</w:t>
            </w:r>
          </w:p>
        </w:tc>
      </w:tr>
      <w:tr w:rsidR="009E536D" w:rsidRPr="009E536D" w:rsidTr="009E536D">
        <w:tc>
          <w:tcPr>
            <w:tcW w:w="3227" w:type="dxa"/>
          </w:tcPr>
          <w:p w:rsidR="009E536D" w:rsidRPr="009E536D" w:rsidRDefault="009E536D" w:rsidP="009E536D">
            <w:r w:rsidRPr="009E536D">
              <w:t>subsequent regulatory control period for service providers</w:t>
            </w:r>
          </w:p>
        </w:tc>
        <w:tc>
          <w:tcPr>
            <w:tcW w:w="6015" w:type="dxa"/>
          </w:tcPr>
          <w:p w:rsidR="009E536D" w:rsidRPr="009E536D" w:rsidRDefault="009E536D" w:rsidP="009E536D">
            <w:r w:rsidRPr="009E536D">
              <w:t>Expected to be 1 July 2015 to 30 June 2019.</w:t>
            </w:r>
          </w:p>
        </w:tc>
      </w:tr>
      <w:tr w:rsidR="009E536D" w:rsidRPr="009E536D" w:rsidTr="009E536D">
        <w:trPr>
          <w:cnfStyle w:val="000000010000" w:firstRow="0" w:lastRow="0" w:firstColumn="0" w:lastColumn="0" w:oddVBand="0" w:evenVBand="0" w:oddHBand="0" w:evenHBand="1" w:firstRowFirstColumn="0" w:firstRowLastColumn="0" w:lastRowFirstColumn="0" w:lastRowLastColumn="0"/>
        </w:trPr>
        <w:tc>
          <w:tcPr>
            <w:tcW w:w="3227" w:type="dxa"/>
          </w:tcPr>
          <w:p w:rsidR="009E536D" w:rsidRPr="009E536D" w:rsidRDefault="009E536D" w:rsidP="009E536D">
            <w:r w:rsidRPr="009E536D">
              <w:t>transitional regulatory control period for service providers</w:t>
            </w:r>
          </w:p>
        </w:tc>
        <w:tc>
          <w:tcPr>
            <w:tcW w:w="6015" w:type="dxa"/>
          </w:tcPr>
          <w:p w:rsidR="009E536D" w:rsidRPr="009E536D" w:rsidRDefault="009E536D" w:rsidP="009E536D">
            <w:r w:rsidRPr="009E536D">
              <w:t>1 July 2014—30 June 2015</w:t>
            </w:r>
          </w:p>
        </w:tc>
      </w:tr>
      <w:tr w:rsidR="009E536D" w:rsidRPr="009E536D" w:rsidTr="009E536D">
        <w:tc>
          <w:tcPr>
            <w:tcW w:w="3227" w:type="dxa"/>
          </w:tcPr>
          <w:p w:rsidR="009E536D" w:rsidRPr="009E536D" w:rsidRDefault="009E536D" w:rsidP="009E536D">
            <w:r w:rsidRPr="009E536D">
              <w:t>transitional rules</w:t>
            </w:r>
          </w:p>
        </w:tc>
        <w:tc>
          <w:tcPr>
            <w:tcW w:w="6015" w:type="dxa"/>
          </w:tcPr>
          <w:p w:rsidR="009E536D" w:rsidRPr="009E536D" w:rsidRDefault="009E536D" w:rsidP="009E536D">
            <w:r w:rsidRPr="009E536D">
              <w:t>Transitional rules contained in the National Electricity Amendment (Economic Regulation of Network Service Providers) Rule 2012 No. 9 (Network Regulation rule change) which the AEMC determined in November 2012. These transitional rules set out the transitional arrangements for the next ACT/NSW electricity distribution determinations.</w:t>
            </w:r>
          </w:p>
        </w:tc>
      </w:tr>
      <w:tr w:rsidR="009E536D" w:rsidRPr="009E536D" w:rsidTr="009E536D">
        <w:trPr>
          <w:cnfStyle w:val="000000010000" w:firstRow="0" w:lastRow="0" w:firstColumn="0" w:lastColumn="0" w:oddVBand="0" w:evenVBand="0" w:oddHBand="0" w:evenHBand="1" w:firstRowFirstColumn="0" w:firstRowLastColumn="0" w:lastRowFirstColumn="0" w:lastRowLastColumn="0"/>
        </w:trPr>
        <w:tc>
          <w:tcPr>
            <w:tcW w:w="3227" w:type="dxa"/>
          </w:tcPr>
          <w:p w:rsidR="009E536D" w:rsidRPr="009E536D" w:rsidRDefault="009E536D" w:rsidP="009E536D">
            <w:r w:rsidRPr="009E536D">
              <w:t xml:space="preserve">the </w:t>
            </w:r>
            <w:r w:rsidR="00984689">
              <w:t>guideline</w:t>
            </w:r>
          </w:p>
        </w:tc>
        <w:tc>
          <w:tcPr>
            <w:tcW w:w="6015" w:type="dxa"/>
          </w:tcPr>
          <w:p w:rsidR="009E536D" w:rsidRPr="009E536D" w:rsidRDefault="009E536D" w:rsidP="009E536D">
            <w:r w:rsidRPr="009E536D">
              <w:t xml:space="preserve">Rate of return </w:t>
            </w:r>
            <w:r w:rsidR="00984689">
              <w:t>guideline</w:t>
            </w:r>
            <w:r w:rsidRPr="009E536D">
              <w:t xml:space="preserve"> </w:t>
            </w:r>
          </w:p>
        </w:tc>
      </w:tr>
      <w:tr w:rsidR="009E536D" w:rsidRPr="009E536D" w:rsidTr="009E536D">
        <w:tc>
          <w:tcPr>
            <w:tcW w:w="3227" w:type="dxa"/>
          </w:tcPr>
          <w:p w:rsidR="009E536D" w:rsidRPr="009E536D" w:rsidRDefault="009E536D" w:rsidP="009E536D">
            <w:r w:rsidRPr="009E536D">
              <w:t>WACC</w:t>
            </w:r>
          </w:p>
        </w:tc>
        <w:tc>
          <w:tcPr>
            <w:tcW w:w="6015" w:type="dxa"/>
          </w:tcPr>
          <w:p w:rsidR="009E536D" w:rsidRPr="009E536D" w:rsidRDefault="009E536D" w:rsidP="009E536D">
            <w:r w:rsidRPr="009E536D">
              <w:t>Weighted average cost of capital</w:t>
            </w:r>
          </w:p>
        </w:tc>
      </w:tr>
      <w:tr w:rsidR="009E536D" w:rsidRPr="009E536D" w:rsidTr="009E536D">
        <w:trPr>
          <w:cnfStyle w:val="000000010000" w:firstRow="0" w:lastRow="0" w:firstColumn="0" w:lastColumn="0" w:oddVBand="0" w:evenVBand="0" w:oddHBand="0" w:evenHBand="1" w:firstRowFirstColumn="0" w:firstRowLastColumn="0" w:lastRowFirstColumn="0" w:lastRowLastColumn="0"/>
        </w:trPr>
        <w:tc>
          <w:tcPr>
            <w:tcW w:w="3227" w:type="dxa"/>
          </w:tcPr>
          <w:p w:rsidR="009E536D" w:rsidRPr="009E536D" w:rsidRDefault="009E536D" w:rsidP="009E536D">
            <w:r w:rsidRPr="009E536D">
              <w:t>2009 WACC review</w:t>
            </w:r>
          </w:p>
        </w:tc>
        <w:tc>
          <w:tcPr>
            <w:tcW w:w="6015" w:type="dxa"/>
          </w:tcPr>
          <w:p w:rsidR="009E536D" w:rsidRPr="009E536D" w:rsidRDefault="009E536D" w:rsidP="009E536D">
            <w:r w:rsidRPr="009E536D">
              <w:t>AER 2009 review of the weighted average cost of capital (WACC) parameters (published in May 2009).</w:t>
            </w:r>
          </w:p>
        </w:tc>
      </w:tr>
    </w:tbl>
    <w:p w:rsidR="009E536D" w:rsidRPr="009E536D" w:rsidRDefault="009E536D" w:rsidP="009E536D">
      <w:pPr>
        <w:numPr>
          <w:ilvl w:val="0"/>
          <w:numId w:val="6"/>
        </w:numPr>
      </w:pPr>
    </w:p>
    <w:p w:rsidR="00307DE1" w:rsidRPr="00307DE1" w:rsidRDefault="00307DE1" w:rsidP="00307DE1">
      <w:pPr>
        <w:pStyle w:val="Heading7"/>
      </w:pPr>
      <w:bookmarkStart w:id="65" w:name="_Toc365537061"/>
      <w:r w:rsidRPr="004F0B41">
        <w:lastRenderedPageBreak/>
        <w:t>Estimation of the return on debt: an example</w:t>
      </w:r>
      <w:bookmarkEnd w:id="65"/>
    </w:p>
    <w:p w:rsidR="00307DE1" w:rsidRPr="004F0B41" w:rsidRDefault="00307DE1" w:rsidP="00307DE1">
      <w:pPr>
        <w:pStyle w:val="AERbodytext"/>
        <w:numPr>
          <w:ilvl w:val="0"/>
          <w:numId w:val="6"/>
        </w:numPr>
      </w:pPr>
      <w:r w:rsidRPr="004F0B41">
        <w:t xml:space="preserve">The purpose of this </w:t>
      </w:r>
      <w:r>
        <w:t>appendix</w:t>
      </w:r>
      <w:r w:rsidRPr="004F0B41">
        <w:t xml:space="preserve"> is to illustrate how </w:t>
      </w:r>
      <w:r w:rsidR="004E079C">
        <w:t>the AER proposes</w:t>
      </w:r>
      <w:r w:rsidR="00766A3A" w:rsidRPr="004F0B41">
        <w:t xml:space="preserve"> </w:t>
      </w:r>
      <w:r w:rsidR="004E079C">
        <w:t xml:space="preserve">to </w:t>
      </w:r>
      <w:r w:rsidRPr="004F0B41">
        <w:t xml:space="preserve">estimate the return on debt under the trailing average portfolio approach and how </w:t>
      </w:r>
      <w:r w:rsidR="004E079C">
        <w:t>the AER proposes</w:t>
      </w:r>
      <w:r w:rsidR="00766A3A" w:rsidRPr="004F0B41">
        <w:t xml:space="preserve"> </w:t>
      </w:r>
      <w:r w:rsidR="004E079C">
        <w:t xml:space="preserve">to </w:t>
      </w:r>
      <w:r w:rsidRPr="004F0B41">
        <w:t>implement the transition.</w:t>
      </w:r>
    </w:p>
    <w:p w:rsidR="00307DE1" w:rsidRPr="004F0B41" w:rsidRDefault="00307DE1" w:rsidP="00B407FA">
      <w:pPr>
        <w:pStyle w:val="AERbodytext"/>
        <w:numPr>
          <w:ilvl w:val="0"/>
          <w:numId w:val="6"/>
        </w:numPr>
      </w:pPr>
      <w:r w:rsidRPr="004F0B41">
        <w:t xml:space="preserve">For the example provided below </w:t>
      </w:r>
      <w:r w:rsidR="00B407FA">
        <w:t>the AER</w:t>
      </w:r>
      <w:r w:rsidR="00B407FA" w:rsidRPr="004F0B41">
        <w:t xml:space="preserve"> </w:t>
      </w:r>
      <w:r w:rsidRPr="004F0B41">
        <w:t xml:space="preserve">simulated monthly yield data using the model suggested in </w:t>
      </w:r>
      <w:r w:rsidR="008E2F58">
        <w:t>a</w:t>
      </w:r>
      <w:r w:rsidR="008E2F58" w:rsidRPr="004F0B41">
        <w:t xml:space="preserve">ppendix </w:t>
      </w:r>
      <w:r w:rsidRPr="004F0B41">
        <w:t>A of the QTC</w:t>
      </w:r>
      <w:r w:rsidR="00766A3A">
        <w:t>'s</w:t>
      </w:r>
      <w:r w:rsidRPr="004F0B41">
        <w:t xml:space="preserve"> submission to the consultation paper.</w:t>
      </w:r>
      <w:r w:rsidR="00B407FA">
        <w:rPr>
          <w:rStyle w:val="FootnoteReference"/>
        </w:rPr>
        <w:footnoteReference w:id="15"/>
      </w:r>
      <w:r w:rsidRPr="004F0B41">
        <w:t xml:space="preserve"> </w:t>
      </w:r>
      <w:r w:rsidR="00B407FA">
        <w:t>The AER</w:t>
      </w:r>
      <w:r w:rsidR="00B407FA" w:rsidRPr="004F0B41">
        <w:t xml:space="preserve"> </w:t>
      </w:r>
      <w:r w:rsidRPr="004F0B41">
        <w:t>emphasise</w:t>
      </w:r>
      <w:r w:rsidR="00B407FA">
        <w:t>s</w:t>
      </w:r>
      <w:r w:rsidRPr="004F0B41">
        <w:t xml:space="preserve"> that the model was chosen purely for illustrative purposes. </w:t>
      </w:r>
      <w:r w:rsidR="00B407FA">
        <w:t xml:space="preserve">The AER </w:t>
      </w:r>
      <w:r w:rsidRPr="004F0B41">
        <w:t>make</w:t>
      </w:r>
      <w:r w:rsidR="00B407FA">
        <w:t>s</w:t>
      </w:r>
      <w:r w:rsidRPr="004F0B41">
        <w:t xml:space="preserve"> no comments on how accurately it describes the short-term movements in the rate of return on debt in Australia under the current market conditions.</w:t>
      </w:r>
    </w:p>
    <w:p w:rsidR="00307DE1" w:rsidRPr="004F0B41" w:rsidRDefault="00307DE1" w:rsidP="00307DE1">
      <w:pPr>
        <w:pStyle w:val="AERbodytext"/>
        <w:numPr>
          <w:ilvl w:val="0"/>
          <w:numId w:val="6"/>
        </w:numPr>
      </w:pPr>
      <w:r w:rsidRPr="004F0B41">
        <w:t>The simulation model specified by the QTC is as follows:</w:t>
      </w:r>
    </w:p>
    <w:p w:rsidR="00307DE1" w:rsidRPr="00307DE1" w:rsidRDefault="002F23AE" w:rsidP="008E2F58">
      <w:pPr>
        <w:pStyle w:val="AERbodytextindent1"/>
        <w:ind w:left="0"/>
        <w:rPr>
          <w:rFonts w:eastAsiaTheme="minorEastAsia"/>
        </w:rPr>
      </w:pPr>
      <m:oMathPara>
        <m:oMath>
          <m:sSub>
            <m:sSubPr>
              <m:ctrlPr>
                <w:rPr>
                  <w:rFonts w:ascii="Cambria Math" w:hAnsi="Cambria Math"/>
                </w:rPr>
              </m:ctrlPr>
            </m:sSubPr>
            <m:e>
              <m:r>
                <w:rPr>
                  <w:rFonts w:ascii="Cambria Math" w:hAnsi="Cambria Math"/>
                </w:rPr>
                <m:t>S</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t</m:t>
              </m:r>
              <m:r>
                <m:rPr>
                  <m:sty m:val="p"/>
                </m:rPr>
                <w:rPr>
                  <w:rFonts w:ascii="Cambria Math" w:hAnsi="Cambria Math"/>
                </w:rPr>
                <m:t>-1</m:t>
              </m:r>
            </m:sub>
          </m:sSub>
          <m:r>
            <m:rPr>
              <m:sty m:val="p"/>
            </m:rPr>
            <w:rPr>
              <w:rFonts w:ascii="Cambria Math" w:hAnsi="Cambria Math"/>
            </w:rPr>
            <m:t>+</m:t>
          </m:r>
          <m:r>
            <w:rPr>
              <w:rFonts w:ascii="Cambria Math" w:hAnsi="Cambria Math"/>
            </w:rPr>
            <m:t>αT</m:t>
          </m:r>
          <m:d>
            <m:dPr>
              <m:ctrlPr>
                <w:rPr>
                  <w:rFonts w:ascii="Cambria Math" w:hAnsi="Cambria Math"/>
                </w:rPr>
              </m:ctrlPr>
            </m:dPr>
            <m:e>
              <m:r>
                <w:rPr>
                  <w:rFonts w:ascii="Cambria Math" w:hAnsi="Cambria Math"/>
                </w:rPr>
                <m:t>θ</m:t>
              </m:r>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t</m:t>
                  </m:r>
                  <m:r>
                    <m:rPr>
                      <m:sty m:val="p"/>
                    </m:rPr>
                    <w:rPr>
                      <w:rFonts w:ascii="Cambria Math" w:hAnsi="Cambria Math"/>
                    </w:rPr>
                    <m:t>-1</m:t>
                  </m:r>
                </m:sub>
              </m:sSub>
            </m:e>
          </m:d>
          <m:r>
            <m:rPr>
              <m:sty m:val="p"/>
            </m:rPr>
            <w:rPr>
              <w:rFonts w:ascii="Cambria Math" w:hAnsi="Cambria Math"/>
            </w:rPr>
            <m:t>+</m:t>
          </m:r>
          <m:r>
            <w:rPr>
              <w:rFonts w:ascii="Cambria Math" w:hAnsi="Cambria Math"/>
            </w:rPr>
            <m:t>σ</m:t>
          </m:r>
          <m:rad>
            <m:radPr>
              <m:degHide m:val="1"/>
              <m:ctrlPr>
                <w:rPr>
                  <w:rFonts w:ascii="Cambria Math" w:hAnsi="Cambria Math"/>
                </w:rPr>
              </m:ctrlPr>
            </m:radPr>
            <m:deg/>
            <m:e>
              <m:r>
                <w:rPr>
                  <w:rFonts w:ascii="Cambria Math" w:hAnsi="Cambria Math"/>
                </w:rPr>
                <m:t>T</m:t>
              </m:r>
            </m:e>
          </m:rad>
          <m:sSub>
            <m:sSubPr>
              <m:ctrlPr>
                <w:rPr>
                  <w:rFonts w:ascii="Cambria Math" w:hAnsi="Cambria Math"/>
                </w:rPr>
              </m:ctrlPr>
            </m:sSubPr>
            <m:e>
              <m:r>
                <w:rPr>
                  <w:rFonts w:ascii="Cambria Math" w:hAnsi="Cambria Math"/>
                </w:rPr>
                <m:t>ε</m:t>
              </m:r>
            </m:e>
            <m:sub>
              <m:r>
                <w:rPr>
                  <w:rFonts w:ascii="Cambria Math" w:hAnsi="Cambria Math"/>
                </w:rPr>
                <m:t>t</m:t>
              </m:r>
            </m:sub>
          </m:sSub>
        </m:oMath>
      </m:oMathPara>
    </w:p>
    <w:p w:rsidR="00307DE1" w:rsidRPr="00307DE1" w:rsidRDefault="00307DE1" w:rsidP="00FE2155">
      <w:pPr>
        <w:pStyle w:val="AERbodytext"/>
        <w:rPr>
          <w:rFonts w:eastAsiaTheme="minorEastAsia"/>
        </w:rPr>
      </w:pPr>
      <w:r w:rsidRPr="00307DE1">
        <w:rPr>
          <w:rFonts w:eastAsiaTheme="minorEastAsia"/>
        </w:rPr>
        <w:t>where:</w:t>
      </w:r>
    </w:p>
    <w:p w:rsidR="00307DE1" w:rsidRPr="004F0B41" w:rsidRDefault="002F23AE" w:rsidP="00BF2C29">
      <w:pPr>
        <w:pStyle w:val="AERbulletlistfirststyle"/>
      </w:pPr>
      <m:oMath>
        <m:sSub>
          <m:sSubPr>
            <m:ctrlPr>
              <w:rPr>
                <w:rFonts w:ascii="Cambria Math" w:hAnsi="Cambria Math"/>
              </w:rPr>
            </m:ctrlPr>
          </m:sSubPr>
          <m:e>
            <m:r>
              <w:rPr>
                <w:rFonts w:ascii="Cambria Math" w:hAnsi="Cambria Math"/>
              </w:rPr>
              <m:t>S</m:t>
            </m:r>
          </m:e>
          <m:sub>
            <m:r>
              <w:rPr>
                <w:rFonts w:ascii="Cambria Math" w:hAnsi="Cambria Math"/>
              </w:rPr>
              <m:t>t</m:t>
            </m:r>
          </m:sub>
        </m:sSub>
      </m:oMath>
      <w:r w:rsidR="00307DE1" w:rsidRPr="004F0B41">
        <w:t xml:space="preserve">  </w:t>
      </w:r>
      <w:r w:rsidR="008E2F58">
        <w:t>is</w:t>
      </w:r>
      <w:r w:rsidR="008E2F58" w:rsidRPr="004F0B41">
        <w:t xml:space="preserve"> </w:t>
      </w:r>
      <w:r w:rsidR="00307DE1" w:rsidRPr="004F0B41">
        <w:t>the randomly generated interest rate at time t</w:t>
      </w:r>
    </w:p>
    <w:p w:rsidR="00307DE1" w:rsidRPr="004F0B41" w:rsidRDefault="002F23AE" w:rsidP="00BF2C29">
      <w:pPr>
        <w:pStyle w:val="AERbulletlistfirststyle"/>
      </w:pPr>
      <m:oMath>
        <m:sSub>
          <m:sSubPr>
            <m:ctrlPr>
              <w:rPr>
                <w:rFonts w:ascii="Cambria Math" w:hAnsi="Cambria Math"/>
              </w:rPr>
            </m:ctrlPr>
          </m:sSubPr>
          <m:e>
            <m:r>
              <w:rPr>
                <w:rFonts w:ascii="Cambria Math" w:hAnsi="Cambria Math"/>
              </w:rPr>
              <m:t>S</m:t>
            </m:r>
          </m:e>
          <m:sub>
            <m:r>
              <w:rPr>
                <w:rFonts w:ascii="Cambria Math" w:hAnsi="Cambria Math"/>
              </w:rPr>
              <m:t>t</m:t>
            </m:r>
            <m:r>
              <m:rPr>
                <m:sty m:val="p"/>
              </m:rPr>
              <w:rPr>
                <w:rFonts w:ascii="Cambria Math" w:hAnsi="Cambria Math"/>
              </w:rPr>
              <m:t>-1</m:t>
            </m:r>
          </m:sub>
        </m:sSub>
      </m:oMath>
      <w:r w:rsidR="00307DE1" w:rsidRPr="004F0B41">
        <w:t xml:space="preserve">  </w:t>
      </w:r>
      <w:r w:rsidR="008E2F58">
        <w:t>is</w:t>
      </w:r>
      <w:r w:rsidR="008E2F58" w:rsidRPr="004F0B41">
        <w:t xml:space="preserve"> </w:t>
      </w:r>
      <w:r w:rsidR="00307DE1" w:rsidRPr="004F0B41">
        <w:t>the randomly generated interest rate at time t-1</w:t>
      </w:r>
    </w:p>
    <w:p w:rsidR="00307DE1" w:rsidRPr="004F0B41" w:rsidRDefault="00307DE1" w:rsidP="00BF2C29">
      <w:pPr>
        <w:pStyle w:val="AERbulletlistfirststyle"/>
      </w:pPr>
      <w:r w:rsidRPr="004F0B41">
        <w:t xml:space="preserve">T  </w:t>
      </w:r>
      <w:r w:rsidR="008E2F58">
        <w:t>is</w:t>
      </w:r>
      <w:r w:rsidR="008E2F58" w:rsidRPr="004F0B41">
        <w:t xml:space="preserve"> </w:t>
      </w:r>
      <w:r w:rsidR="008E2F58">
        <w:t xml:space="preserve">the </w:t>
      </w:r>
      <w:r w:rsidRPr="004F0B41">
        <w:t>time increment in years (T=1/12 to produce monthly observations)</w:t>
      </w:r>
    </w:p>
    <w:p w:rsidR="00307DE1" w:rsidRPr="004F0B41" w:rsidRDefault="00307DE1" w:rsidP="00BF2C29">
      <w:pPr>
        <w:pStyle w:val="AERbulletlistfirststyle"/>
      </w:pPr>
      <w:r w:rsidRPr="004F0B41">
        <w:t xml:space="preserve">α </w:t>
      </w:r>
      <w:r w:rsidR="008E2F58">
        <w:t>is</w:t>
      </w:r>
      <w:r w:rsidR="008E2F58" w:rsidRPr="004F0B41">
        <w:t xml:space="preserve"> </w:t>
      </w:r>
      <w:r w:rsidR="008E2F58">
        <w:t xml:space="preserve">the </w:t>
      </w:r>
      <w:r w:rsidRPr="004F0B41">
        <w:t>parameter characterising annual mean reversion speed (α=0.2)</w:t>
      </w:r>
    </w:p>
    <w:p w:rsidR="00307DE1" w:rsidRPr="004F0B41" w:rsidRDefault="00307DE1" w:rsidP="00BF2C29">
      <w:pPr>
        <w:pStyle w:val="AERbulletlistfirststyle"/>
      </w:pPr>
      <w:r w:rsidRPr="004F0B41">
        <w:t xml:space="preserve">θ </w:t>
      </w:r>
      <w:r w:rsidR="008E2F58">
        <w:t>is</w:t>
      </w:r>
      <w:r w:rsidR="008E2F58" w:rsidRPr="004F0B41">
        <w:t xml:space="preserve"> </w:t>
      </w:r>
      <w:r w:rsidR="008E2F58">
        <w:t xml:space="preserve">the </w:t>
      </w:r>
      <w:r w:rsidRPr="004F0B41">
        <w:t>long-term average interest rate (θ=7.0 per cent)</w:t>
      </w:r>
    </w:p>
    <w:p w:rsidR="00307DE1" w:rsidRPr="004F0B41" w:rsidRDefault="00307DE1" w:rsidP="00BF2C29">
      <w:pPr>
        <w:pStyle w:val="AERbulletlistfirststyle"/>
      </w:pPr>
      <w:r w:rsidRPr="004F0B41">
        <w:t xml:space="preserve">σ </w:t>
      </w:r>
      <w:r w:rsidR="008E2F58">
        <w:t>is</w:t>
      </w:r>
      <w:r w:rsidR="008E2F58" w:rsidRPr="004F0B41">
        <w:t xml:space="preserve"> </w:t>
      </w:r>
      <w:r w:rsidR="008E2F58">
        <w:t xml:space="preserve">the </w:t>
      </w:r>
      <w:r w:rsidRPr="004F0B41">
        <w:t>annualised yield volatility parameter (σ =12.0 per cent)</w:t>
      </w:r>
    </w:p>
    <w:p w:rsidR="00307DE1" w:rsidRPr="004F0B41" w:rsidRDefault="002F23AE" w:rsidP="00BF2C29">
      <w:pPr>
        <w:pStyle w:val="AERbulletlistfirststyle"/>
      </w:pPr>
      <m:oMath>
        <m:sSub>
          <m:sSubPr>
            <m:ctrlPr>
              <w:rPr>
                <w:rFonts w:ascii="Cambria Math" w:hAnsi="Cambria Math"/>
              </w:rPr>
            </m:ctrlPr>
          </m:sSubPr>
          <m:e>
            <m:r>
              <w:rPr>
                <w:rFonts w:ascii="Cambria Math" w:hAnsi="Cambria Math"/>
              </w:rPr>
              <m:t>ε</m:t>
            </m:r>
          </m:e>
          <m:sub>
            <m:r>
              <w:rPr>
                <w:rFonts w:ascii="Cambria Math" w:hAnsi="Cambria Math"/>
              </w:rPr>
              <m:t>t</m:t>
            </m:r>
          </m:sub>
        </m:sSub>
      </m:oMath>
      <w:r w:rsidR="008E2F58">
        <w:t xml:space="preserve"> is</w:t>
      </w:r>
      <w:r w:rsidR="008E2F58" w:rsidRPr="004F0B41">
        <w:t xml:space="preserve"> </w:t>
      </w:r>
      <w:r w:rsidR="008E2F58">
        <w:t xml:space="preserve">the </w:t>
      </w:r>
      <w:r w:rsidR="00307DE1" w:rsidRPr="004F0B41">
        <w:t>independent identically distributed random variables, distributed normally with zero mean and standard deviation of one.</w:t>
      </w:r>
    </w:p>
    <w:p w:rsidR="00307DE1" w:rsidRPr="004F0B41" w:rsidRDefault="00B407FA" w:rsidP="00307DE1">
      <w:pPr>
        <w:pStyle w:val="AERbodytext"/>
        <w:numPr>
          <w:ilvl w:val="0"/>
          <w:numId w:val="6"/>
        </w:numPr>
      </w:pPr>
      <w:r>
        <w:t>The AER</w:t>
      </w:r>
      <w:r w:rsidRPr="004F0B41">
        <w:t xml:space="preserve"> </w:t>
      </w:r>
      <w:r w:rsidR="00307DE1" w:rsidRPr="004F0B41">
        <w:t xml:space="preserve">chose the starting rate of return to be equal to the average of Bloomberg </w:t>
      </w:r>
      <w:r w:rsidR="0030610D">
        <w:t>seven year</w:t>
      </w:r>
      <w:r w:rsidR="00307DE1" w:rsidRPr="004F0B41">
        <w:t xml:space="preserve"> BBB yields for the month of July 2013. </w:t>
      </w:r>
      <w:r>
        <w:t>The AER</w:t>
      </w:r>
      <w:r w:rsidRPr="004F0B41">
        <w:t xml:space="preserve"> </w:t>
      </w:r>
      <w:r w:rsidR="00307DE1" w:rsidRPr="004F0B41">
        <w:t xml:space="preserve">generated 300 monthly observations. For the purposes of this example, </w:t>
      </w:r>
      <w:r>
        <w:t>the AER</w:t>
      </w:r>
      <w:r w:rsidRPr="004F0B41">
        <w:t xml:space="preserve"> </w:t>
      </w:r>
      <w:r w:rsidR="00307DE1" w:rsidRPr="004F0B41">
        <w:t xml:space="preserve">assumed a service provider has </w:t>
      </w:r>
      <w:r w:rsidR="00766A3A">
        <w:t xml:space="preserve">a </w:t>
      </w:r>
      <w:r w:rsidR="00307DE1" w:rsidRPr="004F0B41">
        <w:t>five</w:t>
      </w:r>
      <w:r w:rsidR="008E2F58">
        <w:t xml:space="preserve"> </w:t>
      </w:r>
      <w:r w:rsidR="00307DE1" w:rsidRPr="004F0B41">
        <w:t xml:space="preserve">year regulatory control period, and the next regulatory control period starts on </w:t>
      </w:r>
      <w:r w:rsidR="008E2F58">
        <w:t>1 </w:t>
      </w:r>
      <w:r w:rsidR="00307DE1" w:rsidRPr="004F0B41">
        <w:t xml:space="preserve">January 2016. </w:t>
      </w:r>
      <w:r>
        <w:t>The AER</w:t>
      </w:r>
      <w:r w:rsidRPr="004F0B41">
        <w:t xml:space="preserve"> </w:t>
      </w:r>
      <w:r w:rsidR="00307DE1" w:rsidRPr="004F0B41">
        <w:t>also assumed that the averaging periods for each regulatory year are set to the month of September of the previous year.</w:t>
      </w:r>
    </w:p>
    <w:p w:rsidR="00307DE1" w:rsidRPr="004F0B41" w:rsidRDefault="00766A3A" w:rsidP="00307DE1">
      <w:pPr>
        <w:pStyle w:val="AERbodytext"/>
        <w:numPr>
          <w:ilvl w:val="0"/>
          <w:numId w:val="6"/>
        </w:numPr>
      </w:pPr>
      <w:r>
        <w:fldChar w:fldCharType="begin"/>
      </w:r>
      <w:r>
        <w:instrText xml:space="preserve"> REF _Ref364852150 \h </w:instrText>
      </w:r>
      <w:r>
        <w:fldChar w:fldCharType="separate"/>
      </w:r>
      <w:r w:rsidR="00B105D6" w:rsidRPr="006643A1">
        <w:t xml:space="preserve">Figure </w:t>
      </w:r>
      <w:r w:rsidR="00B105D6">
        <w:rPr>
          <w:noProof/>
        </w:rPr>
        <w:t>2</w:t>
      </w:r>
      <w:r>
        <w:fldChar w:fldCharType="end"/>
      </w:r>
      <w:r w:rsidR="00307DE1" w:rsidRPr="004F0B41">
        <w:t xml:space="preserve"> below illustrates the allowed return on debt during the transitional period of January 2016 </w:t>
      </w:r>
      <w:r>
        <w:t>to</w:t>
      </w:r>
      <w:r w:rsidRPr="004F0B41">
        <w:t xml:space="preserve"> </w:t>
      </w:r>
      <w:r w:rsidR="00307DE1" w:rsidRPr="004F0B41">
        <w:t>December 2022</w:t>
      </w:r>
      <w:r w:rsidR="008E2F58">
        <w:t xml:space="preserve">. It is </w:t>
      </w:r>
      <w:r w:rsidR="00307DE1" w:rsidRPr="004F0B41">
        <w:t>estimated according to the trailing average portfolio approach</w:t>
      </w:r>
      <w:r w:rsidR="00796A24">
        <w:t>,</w:t>
      </w:r>
      <w:r w:rsidR="00307DE1" w:rsidRPr="004F0B41">
        <w:t xml:space="preserve"> following the transitional period (red solid line). Note that the return on debt allowance in the first regulatory year of the transitional period is equal to the ‘on the day’ allowance for the same regulatory year.</w:t>
      </w:r>
    </w:p>
    <w:p w:rsidR="00307DE1" w:rsidRPr="006643A1" w:rsidRDefault="00307DE1" w:rsidP="006643A1">
      <w:pPr>
        <w:pStyle w:val="Caption"/>
      </w:pPr>
      <w:bookmarkStart w:id="66" w:name="_Ref364852150"/>
      <w:r w:rsidRPr="006643A1">
        <w:lastRenderedPageBreak/>
        <w:t xml:space="preserve">Figure </w:t>
      </w:r>
      <w:fldSimple w:instr=" SEQ Figure \* ARABIC ">
        <w:r w:rsidR="00B105D6">
          <w:rPr>
            <w:noProof/>
          </w:rPr>
          <w:t>2</w:t>
        </w:r>
      </w:fldSimple>
      <w:bookmarkEnd w:id="66"/>
      <w:r w:rsidRPr="006643A1">
        <w:t xml:space="preserve"> </w:t>
      </w:r>
      <w:r w:rsidR="00766A3A" w:rsidRPr="006643A1">
        <w:tab/>
      </w:r>
      <w:r w:rsidRPr="006643A1">
        <w:t>An example of estimated allowed rate of return on debt during a transitional period and under the trailing average portfolio approach</w:t>
      </w:r>
    </w:p>
    <w:p w:rsidR="0036773D" w:rsidRDefault="0081040C" w:rsidP="00796A24">
      <w:pPr>
        <w:pStyle w:val="AERtablesource"/>
      </w:pPr>
      <w:r w:rsidRPr="008971BE">
        <w:rPr>
          <w:noProof/>
          <w:lang w:eastAsia="en-AU"/>
        </w:rPr>
        <w:drawing>
          <wp:inline distT="0" distB="0" distL="0" distR="0" wp14:anchorId="3E196FE3" wp14:editId="70E6253D">
            <wp:extent cx="5731510" cy="37387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738708"/>
                    </a:xfrm>
                    <a:prstGeom prst="rect">
                      <a:avLst/>
                    </a:prstGeom>
                    <a:noFill/>
                    <a:ln>
                      <a:noFill/>
                    </a:ln>
                  </pic:spPr>
                </pic:pic>
              </a:graphicData>
            </a:graphic>
          </wp:inline>
        </w:drawing>
      </w:r>
    </w:p>
    <w:p w:rsidR="00307DE1" w:rsidRDefault="00307DE1" w:rsidP="00796A24">
      <w:pPr>
        <w:pStyle w:val="AERtablesource"/>
      </w:pPr>
      <w:r w:rsidRPr="00796A24">
        <w:t>Source</w:t>
      </w:r>
      <w:r>
        <w:t>:</w:t>
      </w:r>
      <w:r w:rsidR="0036773D">
        <w:tab/>
      </w:r>
      <w:r>
        <w:t>AER analysis.</w:t>
      </w:r>
    </w:p>
    <w:p w:rsidR="00307DE1" w:rsidRDefault="00F57967" w:rsidP="00307DE1">
      <w:pPr>
        <w:pStyle w:val="AERbodytext"/>
        <w:numPr>
          <w:ilvl w:val="0"/>
          <w:numId w:val="6"/>
        </w:numPr>
      </w:pPr>
      <w:r>
        <w:t>Table 4</w:t>
      </w:r>
      <w:r w:rsidR="00766A3A">
        <w:t xml:space="preserve"> </w:t>
      </w:r>
      <w:r w:rsidR="00307DE1">
        <w:t>provides details on the estimation of the allowed return on debt for the first eight regulatory years.</w:t>
      </w:r>
    </w:p>
    <w:p w:rsidR="00311F12" w:rsidRDefault="00311F12">
      <w:pPr>
        <w:spacing w:after="0" w:line="240" w:lineRule="auto"/>
        <w:jc w:val="left"/>
        <w:rPr>
          <w:rFonts w:eastAsia="Times New Roman"/>
          <w:b/>
          <w:bCs/>
          <w:szCs w:val="18"/>
        </w:rPr>
      </w:pPr>
      <w:r>
        <w:br w:type="page"/>
      </w:r>
    </w:p>
    <w:p w:rsidR="00307DE1" w:rsidRDefault="00766A3A" w:rsidP="00766A3A">
      <w:pPr>
        <w:pStyle w:val="Caption"/>
      </w:pPr>
      <w:bookmarkStart w:id="67" w:name="_Ref364852392"/>
      <w:r>
        <w:lastRenderedPageBreak/>
        <w:t>Table</w:t>
      </w:r>
      <w:bookmarkEnd w:id="67"/>
      <w:r>
        <w:t xml:space="preserve"> </w:t>
      </w:r>
      <w:fldSimple w:instr=" SEQ Table \* ARABIC ">
        <w:r w:rsidR="00B105D6">
          <w:rPr>
            <w:noProof/>
          </w:rPr>
          <w:t>4</w:t>
        </w:r>
      </w:fldSimple>
      <w:r>
        <w:tab/>
      </w:r>
      <w:r w:rsidR="00307DE1">
        <w:t xml:space="preserve"> Example of the estimated return on debt allowance calculations (per cent)</w:t>
      </w:r>
    </w:p>
    <w:tbl>
      <w:tblPr>
        <w:tblStyle w:val="AERtable-numbers"/>
        <w:tblW w:w="5000" w:type="pct"/>
        <w:tblLook w:val="04A0" w:firstRow="1" w:lastRow="0" w:firstColumn="1" w:lastColumn="0" w:noHBand="0" w:noVBand="1"/>
      </w:tblPr>
      <w:tblGrid>
        <w:gridCol w:w="1185"/>
        <w:gridCol w:w="1617"/>
        <w:gridCol w:w="5244"/>
        <w:gridCol w:w="1196"/>
      </w:tblGrid>
      <w:tr w:rsidR="00307DE1" w:rsidTr="00796A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rsidR="00307DE1" w:rsidRDefault="00307DE1" w:rsidP="00307DE1">
            <w:pPr>
              <w:pStyle w:val="AERbodytext"/>
              <w:numPr>
                <w:ilvl w:val="0"/>
                <w:numId w:val="6"/>
              </w:numPr>
            </w:pPr>
            <w:r>
              <w:t xml:space="preserve">Regulatory </w:t>
            </w:r>
            <w:r w:rsidR="00F46776">
              <w:t>y</w:t>
            </w:r>
            <w:r>
              <w:t>ear</w:t>
            </w:r>
          </w:p>
        </w:tc>
        <w:tc>
          <w:tcPr>
            <w:tcW w:w="875" w:type="pct"/>
          </w:tcPr>
          <w:p w:rsidR="00307DE1" w:rsidRDefault="00307DE1" w:rsidP="00796A24">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t>Prevailing rate during the averaging period</w:t>
            </w:r>
            <w:r w:rsidR="00796A24">
              <w:t xml:space="preserve"> (per cent)</w:t>
            </w:r>
          </w:p>
        </w:tc>
        <w:tc>
          <w:tcPr>
            <w:tcW w:w="2837" w:type="pct"/>
          </w:tcPr>
          <w:p w:rsidR="00307DE1" w:rsidRDefault="00307DE1" w:rsidP="00796A24">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t>Computations</w:t>
            </w:r>
            <w:r w:rsidR="00796A24">
              <w:t xml:space="preserve"> (per cent)</w:t>
            </w:r>
          </w:p>
        </w:tc>
        <w:tc>
          <w:tcPr>
            <w:tcW w:w="647" w:type="pct"/>
          </w:tcPr>
          <w:p w:rsidR="00307DE1" w:rsidRDefault="00307DE1" w:rsidP="00307DE1">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t xml:space="preserve">Return on debt allowance </w:t>
            </w:r>
            <w:r w:rsidR="00796A24">
              <w:t>(</w:t>
            </w:r>
            <w:r>
              <w:t>per cent</w:t>
            </w:r>
            <w:r w:rsidR="00796A24">
              <w:t>)</w:t>
            </w:r>
          </w:p>
        </w:tc>
      </w:tr>
      <w:tr w:rsidR="00307DE1" w:rsidTr="00796A24">
        <w:tc>
          <w:tcPr>
            <w:cnfStyle w:val="001000000000" w:firstRow="0" w:lastRow="0" w:firstColumn="1" w:lastColumn="0" w:oddVBand="0" w:evenVBand="0" w:oddHBand="0" w:evenHBand="0" w:firstRowFirstColumn="0" w:firstRowLastColumn="0" w:lastRowFirstColumn="0" w:lastRowLastColumn="0"/>
            <w:tcW w:w="641" w:type="pct"/>
          </w:tcPr>
          <w:p w:rsidR="00307DE1" w:rsidRDefault="00307DE1" w:rsidP="00307DE1">
            <w:pPr>
              <w:pStyle w:val="AERbodytext"/>
              <w:numPr>
                <w:ilvl w:val="0"/>
                <w:numId w:val="6"/>
              </w:numPr>
            </w:pPr>
            <w:r>
              <w:t>2016</w:t>
            </w:r>
          </w:p>
        </w:tc>
        <w:tc>
          <w:tcPr>
            <w:tcW w:w="875" w:type="pct"/>
          </w:tcPr>
          <w:p w:rsidR="00307DE1" w:rsidRDefault="00307DE1" w:rsidP="00307DE1">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4.94</w:t>
            </w:r>
          </w:p>
        </w:tc>
        <w:tc>
          <w:tcPr>
            <w:tcW w:w="2837" w:type="pct"/>
          </w:tcPr>
          <w:p w:rsidR="00307DE1" w:rsidRDefault="00307DE1" w:rsidP="00307DE1">
            <w:pPr>
              <w:pStyle w:val="AERbodytext"/>
              <w:numPr>
                <w:ilvl w:val="0"/>
                <w:numId w:val="6"/>
              </w:numPr>
              <w:cnfStyle w:val="000000000000" w:firstRow="0" w:lastRow="0" w:firstColumn="0" w:lastColumn="0" w:oddVBand="0" w:evenVBand="0" w:oddHBand="0" w:evenHBand="0" w:firstRowFirstColumn="0" w:firstRowLastColumn="0" w:lastRowFirstColumn="0" w:lastRowLastColumn="0"/>
            </w:pPr>
            <m:oMath>
              <m:r>
                <w:rPr>
                  <w:rFonts w:ascii="Cambria Math" w:hAnsi="Cambria Math"/>
                </w:rPr>
                <m:t>4.94</m:t>
              </m:r>
            </m:oMath>
          </w:p>
        </w:tc>
        <w:tc>
          <w:tcPr>
            <w:tcW w:w="647" w:type="pct"/>
          </w:tcPr>
          <w:p w:rsidR="00307DE1" w:rsidRDefault="00307DE1" w:rsidP="00307DE1">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4.94</w:t>
            </w:r>
          </w:p>
        </w:tc>
      </w:tr>
      <w:tr w:rsidR="00307DE1" w:rsidTr="00796A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rsidR="00307DE1" w:rsidRDefault="00307DE1" w:rsidP="00307DE1">
            <w:pPr>
              <w:pStyle w:val="AERbodytext"/>
              <w:numPr>
                <w:ilvl w:val="0"/>
                <w:numId w:val="6"/>
              </w:numPr>
            </w:pPr>
            <w:r>
              <w:t>2017</w:t>
            </w:r>
          </w:p>
        </w:tc>
        <w:tc>
          <w:tcPr>
            <w:tcW w:w="875" w:type="pct"/>
          </w:tcPr>
          <w:p w:rsidR="00307DE1" w:rsidRDefault="00307DE1" w:rsidP="00307DE1">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5.17</w:t>
            </w:r>
          </w:p>
        </w:tc>
        <w:tc>
          <w:tcPr>
            <w:tcW w:w="2837" w:type="pct"/>
          </w:tcPr>
          <w:p w:rsidR="00307DE1" w:rsidRDefault="002F23AE" w:rsidP="00307DE1">
            <w:pPr>
              <w:pStyle w:val="AERbodytext"/>
              <w:numPr>
                <w:ilvl w:val="0"/>
                <w:numId w:val="6"/>
              </w:numPr>
              <w:cnfStyle w:val="000000010000" w:firstRow="0" w:lastRow="0" w:firstColumn="0" w:lastColumn="0" w:oddVBand="0" w:evenVBand="0" w:oddHBand="0" w:evenHBand="1" w:firstRowFirstColumn="0" w:firstRowLastColumn="0" w:lastRowFirstColumn="0" w:lastRowLastColumn="0"/>
            </w:pPr>
            <m:oMath>
              <m:f>
                <m:fPr>
                  <m:ctrlPr>
                    <w:rPr>
                      <w:rFonts w:ascii="Cambria Math" w:hAnsi="Cambria Math"/>
                      <w:i/>
                    </w:rPr>
                  </m:ctrlPr>
                </m:fPr>
                <m:num>
                  <m:r>
                    <w:rPr>
                      <w:rFonts w:ascii="Cambria Math" w:hAnsi="Cambria Math"/>
                    </w:rPr>
                    <m:t>6</m:t>
                  </m:r>
                </m:num>
                <m:den>
                  <m:r>
                    <w:rPr>
                      <w:rFonts w:ascii="Cambria Math" w:hAnsi="Cambria Math"/>
                    </w:rPr>
                    <m:t>7</m:t>
                  </m:r>
                </m:den>
              </m:f>
              <m:r>
                <w:rPr>
                  <w:rFonts w:ascii="Cambria Math" w:hAnsi="Cambria Math"/>
                </w:rPr>
                <m:t>∙</m:t>
              </m:r>
              <m:r>
                <m:rPr>
                  <m:sty m:val="p"/>
                </m:rPr>
                <w:rPr>
                  <w:rFonts w:ascii="Cambria Math" w:hAnsi="Cambria Math"/>
                </w:rPr>
                <m:t>4.94</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m:t>
              </m:r>
              <m:r>
                <m:rPr>
                  <m:sty m:val="p"/>
                </m:rPr>
                <w:rPr>
                  <w:rFonts w:ascii="Cambria Math" w:hAnsi="Cambria Math"/>
                </w:rPr>
                <m:t>5.17</m:t>
              </m:r>
            </m:oMath>
          </w:p>
        </w:tc>
        <w:tc>
          <w:tcPr>
            <w:tcW w:w="647" w:type="pct"/>
          </w:tcPr>
          <w:p w:rsidR="00307DE1" w:rsidRDefault="00307DE1" w:rsidP="00307DE1">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4.97</w:t>
            </w:r>
          </w:p>
        </w:tc>
      </w:tr>
      <w:tr w:rsidR="00307DE1" w:rsidTr="00796A24">
        <w:tc>
          <w:tcPr>
            <w:cnfStyle w:val="001000000000" w:firstRow="0" w:lastRow="0" w:firstColumn="1" w:lastColumn="0" w:oddVBand="0" w:evenVBand="0" w:oddHBand="0" w:evenHBand="0" w:firstRowFirstColumn="0" w:firstRowLastColumn="0" w:lastRowFirstColumn="0" w:lastRowLastColumn="0"/>
            <w:tcW w:w="641" w:type="pct"/>
          </w:tcPr>
          <w:p w:rsidR="00307DE1" w:rsidRDefault="00307DE1" w:rsidP="00307DE1">
            <w:pPr>
              <w:pStyle w:val="AERbodytext"/>
              <w:numPr>
                <w:ilvl w:val="0"/>
                <w:numId w:val="6"/>
              </w:numPr>
            </w:pPr>
            <w:r>
              <w:t>2018</w:t>
            </w:r>
          </w:p>
        </w:tc>
        <w:tc>
          <w:tcPr>
            <w:tcW w:w="875" w:type="pct"/>
          </w:tcPr>
          <w:p w:rsidR="00307DE1" w:rsidRDefault="00307DE1" w:rsidP="00307DE1">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5.19</w:t>
            </w:r>
          </w:p>
        </w:tc>
        <w:tc>
          <w:tcPr>
            <w:tcW w:w="2837" w:type="pct"/>
          </w:tcPr>
          <w:p w:rsidR="00307DE1" w:rsidRDefault="002F23AE" w:rsidP="00307DE1">
            <w:pPr>
              <w:pStyle w:val="AERbodytext"/>
              <w:numPr>
                <w:ilvl w:val="0"/>
                <w:numId w:val="6"/>
              </w:numPr>
              <w:cnfStyle w:val="000000000000" w:firstRow="0" w:lastRow="0" w:firstColumn="0" w:lastColumn="0" w:oddVBand="0" w:evenVBand="0" w:oddHBand="0" w:evenHBand="0" w:firstRowFirstColumn="0" w:firstRowLastColumn="0" w:lastRowFirstColumn="0" w:lastRowLastColumn="0"/>
            </w:pP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7</m:t>
                  </m:r>
                </m:den>
              </m:f>
              <m:r>
                <m:rPr>
                  <m:sty m:val="p"/>
                </m:rPr>
                <w:rPr>
                  <w:rFonts w:ascii="Cambria Math" w:hAnsi="Cambria Math"/>
                </w:rPr>
                <m:t>∙4.94+</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∙5.17+</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∙5.19</m:t>
              </m:r>
            </m:oMath>
          </w:p>
        </w:tc>
        <w:tc>
          <w:tcPr>
            <w:tcW w:w="647" w:type="pct"/>
          </w:tcPr>
          <w:p w:rsidR="00307DE1" w:rsidRDefault="00307DE1" w:rsidP="00307DE1">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5.01</w:t>
            </w:r>
          </w:p>
        </w:tc>
      </w:tr>
      <w:tr w:rsidR="00307DE1" w:rsidTr="00796A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rsidR="00307DE1" w:rsidRDefault="00307DE1" w:rsidP="00307DE1">
            <w:pPr>
              <w:pStyle w:val="AERbodytext"/>
              <w:numPr>
                <w:ilvl w:val="0"/>
                <w:numId w:val="6"/>
              </w:numPr>
            </w:pPr>
            <w:r>
              <w:t>2019</w:t>
            </w:r>
          </w:p>
        </w:tc>
        <w:tc>
          <w:tcPr>
            <w:tcW w:w="875" w:type="pct"/>
          </w:tcPr>
          <w:p w:rsidR="00307DE1" w:rsidRDefault="00307DE1" w:rsidP="00307DE1">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5.41</w:t>
            </w:r>
          </w:p>
        </w:tc>
        <w:tc>
          <w:tcPr>
            <w:tcW w:w="2837" w:type="pct"/>
          </w:tcPr>
          <w:p w:rsidR="00307DE1" w:rsidRDefault="002F23AE" w:rsidP="00307DE1">
            <w:pPr>
              <w:pStyle w:val="AERbodytext"/>
              <w:numPr>
                <w:ilvl w:val="0"/>
                <w:numId w:val="6"/>
              </w:numPr>
              <w:cnfStyle w:val="000000010000" w:firstRow="0" w:lastRow="0" w:firstColumn="0" w:lastColumn="0" w:oddVBand="0" w:evenVBand="0" w:oddHBand="0" w:evenHBand="1" w:firstRowFirstColumn="0" w:firstRowLastColumn="0" w:lastRowFirstColumn="0" w:lastRowLastColumn="0"/>
            </w:pP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7</m:t>
                  </m:r>
                </m:den>
              </m:f>
              <m:r>
                <m:rPr>
                  <m:sty m:val="p"/>
                </m:rPr>
                <w:rPr>
                  <w:rFonts w:ascii="Cambria Math" w:hAnsi="Cambria Math"/>
                </w:rPr>
                <m:t>∙4.94+</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∙5.17+</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∙5.19+</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∙5.41</m:t>
              </m:r>
            </m:oMath>
          </w:p>
        </w:tc>
        <w:tc>
          <w:tcPr>
            <w:tcW w:w="647" w:type="pct"/>
          </w:tcPr>
          <w:p w:rsidR="00307DE1" w:rsidRDefault="00307DE1" w:rsidP="00307DE1">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5.08</w:t>
            </w:r>
          </w:p>
        </w:tc>
      </w:tr>
      <w:tr w:rsidR="00307DE1" w:rsidTr="00796A24">
        <w:tc>
          <w:tcPr>
            <w:cnfStyle w:val="001000000000" w:firstRow="0" w:lastRow="0" w:firstColumn="1" w:lastColumn="0" w:oddVBand="0" w:evenVBand="0" w:oddHBand="0" w:evenHBand="0" w:firstRowFirstColumn="0" w:firstRowLastColumn="0" w:lastRowFirstColumn="0" w:lastRowLastColumn="0"/>
            <w:tcW w:w="641" w:type="pct"/>
          </w:tcPr>
          <w:p w:rsidR="00307DE1" w:rsidRDefault="00307DE1" w:rsidP="00307DE1">
            <w:pPr>
              <w:pStyle w:val="AERbodytext"/>
              <w:numPr>
                <w:ilvl w:val="0"/>
                <w:numId w:val="6"/>
              </w:numPr>
            </w:pPr>
            <w:r>
              <w:t>2020</w:t>
            </w:r>
          </w:p>
        </w:tc>
        <w:tc>
          <w:tcPr>
            <w:tcW w:w="875" w:type="pct"/>
          </w:tcPr>
          <w:p w:rsidR="00307DE1" w:rsidRDefault="00307DE1" w:rsidP="00307DE1">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5.63</w:t>
            </w:r>
          </w:p>
        </w:tc>
        <w:tc>
          <w:tcPr>
            <w:tcW w:w="2837" w:type="pct"/>
          </w:tcPr>
          <w:p w:rsidR="00307DE1" w:rsidRDefault="002F23AE" w:rsidP="00307DE1">
            <w:pPr>
              <w:pStyle w:val="AERbodytext"/>
              <w:numPr>
                <w:ilvl w:val="0"/>
                <w:numId w:val="6"/>
              </w:numPr>
              <w:cnfStyle w:val="000000000000" w:firstRow="0" w:lastRow="0" w:firstColumn="0" w:lastColumn="0" w:oddVBand="0" w:evenVBand="0" w:oddHBand="0" w:evenHBand="0" w:firstRowFirstColumn="0" w:firstRowLastColumn="0" w:lastRowFirstColumn="0" w:lastRowLastColumn="0"/>
            </w:pP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7</m:t>
                  </m:r>
                </m:den>
              </m:f>
              <m:r>
                <m:rPr>
                  <m:sty m:val="p"/>
                </m:rPr>
                <w:rPr>
                  <w:rFonts w:ascii="Cambria Math" w:hAnsi="Cambria Math"/>
                </w:rPr>
                <m:t>∙4.94+</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∙5.17+</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∙5.19+</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∙5.41+</m:t>
              </m:r>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r>
                <m:rPr>
                  <m:sty m:val="p"/>
                </m:rPr>
                <w:rPr>
                  <w:rFonts w:ascii="Cambria Math" w:hAnsi="Cambria Math"/>
                </w:rPr>
                <m:t>∙5.63</m:t>
              </m:r>
            </m:oMath>
          </w:p>
        </w:tc>
        <w:tc>
          <w:tcPr>
            <w:tcW w:w="647" w:type="pct"/>
          </w:tcPr>
          <w:p w:rsidR="00307DE1" w:rsidRDefault="00307DE1" w:rsidP="00307DE1">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5.17</w:t>
            </w:r>
          </w:p>
        </w:tc>
      </w:tr>
      <w:tr w:rsidR="00307DE1" w:rsidTr="00796A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rsidR="00307DE1" w:rsidRDefault="00307DE1" w:rsidP="00307DE1">
            <w:pPr>
              <w:pStyle w:val="AERbodytext"/>
              <w:numPr>
                <w:ilvl w:val="0"/>
                <w:numId w:val="6"/>
              </w:numPr>
            </w:pPr>
            <w:r>
              <w:t>2021</w:t>
            </w:r>
          </w:p>
        </w:tc>
        <w:tc>
          <w:tcPr>
            <w:tcW w:w="875" w:type="pct"/>
          </w:tcPr>
          <w:p w:rsidR="00307DE1" w:rsidRDefault="00307DE1" w:rsidP="00307DE1">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6.34</w:t>
            </w:r>
          </w:p>
        </w:tc>
        <w:tc>
          <w:tcPr>
            <w:tcW w:w="2837" w:type="pct"/>
          </w:tcPr>
          <w:p w:rsidR="00307DE1" w:rsidRDefault="002F23AE" w:rsidP="00307DE1">
            <w:pPr>
              <w:pStyle w:val="AERbodytext"/>
              <w:numPr>
                <w:ilvl w:val="0"/>
                <w:numId w:val="6"/>
              </w:numPr>
              <w:cnfStyle w:val="000000010000" w:firstRow="0" w:lastRow="0" w:firstColumn="0" w:lastColumn="0" w:oddVBand="0" w:evenVBand="0" w:oddHBand="0" w:evenHBand="1" w:firstRowFirstColumn="0" w:firstRowLastColumn="0" w:lastRowFirstColumn="0" w:lastRowLastColumn="0"/>
            </w:pPr>
            <m:oMath>
              <m:f>
                <m:fPr>
                  <m:ctrlPr>
                    <w:rPr>
                      <w:rFonts w:ascii="Cambria Math" w:hAnsi="Cambria Math"/>
                    </w:rPr>
                  </m:ctrlPr>
                </m:fPr>
                <m:num>
                  <m:r>
                    <w:rPr>
                      <w:rFonts w:ascii="Cambria Math" w:hAnsi="Cambria Math"/>
                    </w:rPr>
                    <m:t>2</m:t>
                  </m:r>
                </m:num>
                <m:den>
                  <m:r>
                    <w:rPr>
                      <w:rFonts w:ascii="Cambria Math" w:hAnsi="Cambria Math"/>
                    </w:rPr>
                    <m:t>7</m:t>
                  </m:r>
                </m:den>
              </m:f>
              <m:r>
                <w:rPr>
                  <w:rFonts w:ascii="Cambria Math" w:hAnsi="Cambria Math"/>
                </w:rPr>
                <m:t>∙</m:t>
              </m:r>
              <m:r>
                <m:rPr>
                  <m:sty m:val="p"/>
                </m:rPr>
                <w:rPr>
                  <w:rFonts w:ascii="Cambria Math" w:hAnsi="Cambria Math"/>
                </w:rPr>
                <m:t>4.94</m:t>
              </m:r>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7</m:t>
                  </m:r>
                </m:den>
              </m:f>
              <m:r>
                <w:rPr>
                  <w:rFonts w:ascii="Cambria Math" w:hAnsi="Cambria Math"/>
                </w:rPr>
                <m:t>∙</m:t>
              </m:r>
              <m:r>
                <m:rPr>
                  <m:sty m:val="p"/>
                </m:rPr>
                <w:rPr>
                  <w:rFonts w:ascii="Cambria Math" w:hAnsi="Cambria Math"/>
                </w:rPr>
                <m:t>5.17</m:t>
              </m:r>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7</m:t>
                  </m:r>
                </m:den>
              </m:f>
              <m:r>
                <w:rPr>
                  <w:rFonts w:ascii="Cambria Math" w:hAnsi="Cambria Math"/>
                </w:rPr>
                <m:t>∙</m:t>
              </m:r>
              <m:r>
                <m:rPr>
                  <m:sty m:val="p"/>
                </m:rPr>
                <w:rPr>
                  <w:rFonts w:ascii="Cambria Math" w:hAnsi="Cambria Math"/>
                </w:rPr>
                <m:t>5.19</m:t>
              </m:r>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7</m:t>
                  </m:r>
                </m:den>
              </m:f>
              <m:r>
                <w:rPr>
                  <w:rFonts w:ascii="Cambria Math" w:hAnsi="Cambria Math"/>
                </w:rPr>
                <m:t>∙5.41+</m:t>
              </m:r>
              <m:f>
                <m:fPr>
                  <m:ctrlPr>
                    <w:rPr>
                      <w:rFonts w:ascii="Cambria Math" w:hAnsi="Cambria Math"/>
                    </w:rPr>
                  </m:ctrlPr>
                </m:fPr>
                <m:num>
                  <m:r>
                    <w:rPr>
                      <w:rFonts w:ascii="Cambria Math" w:hAnsi="Cambria Math"/>
                    </w:rPr>
                    <m:t>1</m:t>
                  </m:r>
                </m:num>
                <m:den>
                  <m:r>
                    <w:rPr>
                      <w:rFonts w:ascii="Cambria Math" w:hAnsi="Cambria Math"/>
                    </w:rPr>
                    <m:t>7</m:t>
                  </m:r>
                </m:den>
              </m:f>
              <m:r>
                <w:rPr>
                  <w:rFonts w:ascii="Cambria Math" w:hAnsi="Cambria Math"/>
                </w:rPr>
                <m:t>∙5.63+</m:t>
              </m:r>
              <m:f>
                <m:fPr>
                  <m:ctrlPr>
                    <w:rPr>
                      <w:rFonts w:ascii="Cambria Math" w:hAnsi="Cambria Math"/>
                    </w:rPr>
                  </m:ctrlPr>
                </m:fPr>
                <m:num>
                  <m:r>
                    <w:rPr>
                      <w:rFonts w:ascii="Cambria Math" w:hAnsi="Cambria Math"/>
                    </w:rPr>
                    <m:t>1</m:t>
                  </m:r>
                </m:num>
                <m:den>
                  <m:r>
                    <w:rPr>
                      <w:rFonts w:ascii="Cambria Math" w:hAnsi="Cambria Math"/>
                    </w:rPr>
                    <m:t>7</m:t>
                  </m:r>
                </m:den>
              </m:f>
              <m:r>
                <w:rPr>
                  <w:rFonts w:ascii="Cambria Math" w:hAnsi="Cambria Math"/>
                </w:rPr>
                <m:t>∙6.34</m:t>
              </m:r>
            </m:oMath>
          </w:p>
        </w:tc>
        <w:tc>
          <w:tcPr>
            <w:tcW w:w="647" w:type="pct"/>
          </w:tcPr>
          <w:p w:rsidR="00307DE1" w:rsidRDefault="00307DE1" w:rsidP="00307DE1">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5.37</w:t>
            </w:r>
          </w:p>
        </w:tc>
      </w:tr>
      <w:tr w:rsidR="00307DE1" w:rsidTr="00796A24">
        <w:tc>
          <w:tcPr>
            <w:cnfStyle w:val="001000000000" w:firstRow="0" w:lastRow="0" w:firstColumn="1" w:lastColumn="0" w:oddVBand="0" w:evenVBand="0" w:oddHBand="0" w:evenHBand="0" w:firstRowFirstColumn="0" w:firstRowLastColumn="0" w:lastRowFirstColumn="0" w:lastRowLastColumn="0"/>
            <w:tcW w:w="641" w:type="pct"/>
          </w:tcPr>
          <w:p w:rsidR="00307DE1" w:rsidRDefault="00307DE1" w:rsidP="00307DE1">
            <w:pPr>
              <w:pStyle w:val="AERbodytext"/>
              <w:numPr>
                <w:ilvl w:val="0"/>
                <w:numId w:val="6"/>
              </w:numPr>
            </w:pPr>
            <w:r>
              <w:t>2022</w:t>
            </w:r>
          </w:p>
        </w:tc>
        <w:tc>
          <w:tcPr>
            <w:tcW w:w="875" w:type="pct"/>
          </w:tcPr>
          <w:p w:rsidR="00307DE1" w:rsidRDefault="00307DE1" w:rsidP="00307DE1">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6.62</w:t>
            </w:r>
          </w:p>
        </w:tc>
        <w:tc>
          <w:tcPr>
            <w:tcW w:w="2837" w:type="pct"/>
          </w:tcPr>
          <w:p w:rsidR="00307DE1" w:rsidRDefault="002F23AE" w:rsidP="00307DE1">
            <w:pPr>
              <w:pStyle w:val="AERbodytext"/>
              <w:numPr>
                <w:ilvl w:val="0"/>
                <w:numId w:val="6"/>
              </w:numPr>
              <w:cnfStyle w:val="000000000000" w:firstRow="0" w:lastRow="0" w:firstColumn="0" w:lastColumn="0" w:oddVBand="0" w:evenVBand="0" w:oddHBand="0" w:evenHBand="0" w:firstRowFirstColumn="0" w:firstRowLastColumn="0" w:lastRowFirstColumn="0" w:lastRowLastColumn="0"/>
            </w:pPr>
            <m:oMath>
              <m:f>
                <m:fPr>
                  <m:ctrlPr>
                    <w:rPr>
                      <w:rFonts w:ascii="Cambria Math" w:hAnsi="Cambria Math"/>
                    </w:rPr>
                  </m:ctrlPr>
                </m:fPr>
                <m:num>
                  <m:r>
                    <w:rPr>
                      <w:rFonts w:ascii="Cambria Math" w:hAnsi="Cambria Math"/>
                    </w:rPr>
                    <m:t>1</m:t>
                  </m:r>
                </m:num>
                <m:den>
                  <m:r>
                    <w:rPr>
                      <w:rFonts w:ascii="Cambria Math" w:hAnsi="Cambria Math"/>
                    </w:rPr>
                    <m:t>7</m:t>
                  </m:r>
                </m:den>
              </m:f>
              <m:r>
                <w:rPr>
                  <w:rFonts w:ascii="Cambria Math" w:hAnsi="Cambria Math"/>
                </w:rPr>
                <m:t>∙</m:t>
              </m:r>
              <m:r>
                <m:rPr>
                  <m:sty m:val="p"/>
                </m:rPr>
                <w:rPr>
                  <w:rFonts w:ascii="Cambria Math" w:hAnsi="Cambria Math"/>
                </w:rPr>
                <m:t>4.94</m:t>
              </m:r>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7</m:t>
                  </m:r>
                </m:den>
              </m:f>
              <m:r>
                <w:rPr>
                  <w:rFonts w:ascii="Cambria Math" w:hAnsi="Cambria Math"/>
                </w:rPr>
                <m:t>∙</m:t>
              </m:r>
              <m:r>
                <m:rPr>
                  <m:sty m:val="p"/>
                </m:rPr>
                <w:rPr>
                  <w:rFonts w:ascii="Cambria Math" w:hAnsi="Cambria Math"/>
                </w:rPr>
                <m:t>5.17</m:t>
              </m:r>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7</m:t>
                  </m:r>
                </m:den>
              </m:f>
              <m:r>
                <w:rPr>
                  <w:rFonts w:ascii="Cambria Math" w:hAnsi="Cambria Math"/>
                </w:rPr>
                <m:t>∙</m:t>
              </m:r>
              <m:r>
                <m:rPr>
                  <m:sty m:val="p"/>
                </m:rPr>
                <w:rPr>
                  <w:rFonts w:ascii="Cambria Math" w:hAnsi="Cambria Math"/>
                </w:rPr>
                <m:t>5.19</m:t>
              </m:r>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7</m:t>
                  </m:r>
                </m:den>
              </m:f>
              <m:r>
                <w:rPr>
                  <w:rFonts w:ascii="Cambria Math" w:hAnsi="Cambria Math"/>
                </w:rPr>
                <m:t>∙5.41+</m:t>
              </m:r>
              <m:f>
                <m:fPr>
                  <m:ctrlPr>
                    <w:rPr>
                      <w:rFonts w:ascii="Cambria Math" w:hAnsi="Cambria Math"/>
                    </w:rPr>
                  </m:ctrlPr>
                </m:fPr>
                <m:num>
                  <m:r>
                    <w:rPr>
                      <w:rFonts w:ascii="Cambria Math" w:hAnsi="Cambria Math"/>
                    </w:rPr>
                    <m:t>1</m:t>
                  </m:r>
                </m:num>
                <m:den>
                  <m:r>
                    <w:rPr>
                      <w:rFonts w:ascii="Cambria Math" w:hAnsi="Cambria Math"/>
                    </w:rPr>
                    <m:t>7</m:t>
                  </m:r>
                </m:den>
              </m:f>
              <m:r>
                <w:rPr>
                  <w:rFonts w:ascii="Cambria Math" w:hAnsi="Cambria Math"/>
                </w:rPr>
                <m:t>∙5.63+</m:t>
              </m:r>
              <m:f>
                <m:fPr>
                  <m:ctrlPr>
                    <w:rPr>
                      <w:rFonts w:ascii="Cambria Math" w:hAnsi="Cambria Math"/>
                    </w:rPr>
                  </m:ctrlPr>
                </m:fPr>
                <m:num>
                  <m:r>
                    <w:rPr>
                      <w:rFonts w:ascii="Cambria Math" w:hAnsi="Cambria Math"/>
                    </w:rPr>
                    <m:t>1</m:t>
                  </m:r>
                </m:num>
                <m:den>
                  <m:r>
                    <w:rPr>
                      <w:rFonts w:ascii="Cambria Math" w:hAnsi="Cambria Math"/>
                    </w:rPr>
                    <m:t>7</m:t>
                  </m:r>
                </m:den>
              </m:f>
              <m:r>
                <w:rPr>
                  <w:rFonts w:ascii="Cambria Math" w:hAnsi="Cambria Math"/>
                </w:rPr>
                <m:t>∙6.34+</m:t>
              </m:r>
              <m:f>
                <m:fPr>
                  <m:ctrlPr>
                    <w:rPr>
                      <w:rFonts w:ascii="Cambria Math" w:hAnsi="Cambria Math"/>
                    </w:rPr>
                  </m:ctrlPr>
                </m:fPr>
                <m:num>
                  <m:r>
                    <w:rPr>
                      <w:rFonts w:ascii="Cambria Math" w:hAnsi="Cambria Math"/>
                    </w:rPr>
                    <m:t>1</m:t>
                  </m:r>
                </m:num>
                <m:den>
                  <m:r>
                    <w:rPr>
                      <w:rFonts w:ascii="Cambria Math" w:hAnsi="Cambria Math"/>
                    </w:rPr>
                    <m:t>7</m:t>
                  </m:r>
                </m:den>
              </m:f>
              <m:r>
                <w:rPr>
                  <w:rFonts w:ascii="Cambria Math" w:hAnsi="Cambria Math"/>
                </w:rPr>
                <m:t>∙6.62</m:t>
              </m:r>
            </m:oMath>
          </w:p>
        </w:tc>
        <w:tc>
          <w:tcPr>
            <w:tcW w:w="647" w:type="pct"/>
          </w:tcPr>
          <w:p w:rsidR="00307DE1" w:rsidRDefault="00307DE1" w:rsidP="00307DE1">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5.61</w:t>
            </w:r>
          </w:p>
        </w:tc>
      </w:tr>
      <w:tr w:rsidR="00307DE1" w:rsidTr="00796A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rsidR="00307DE1" w:rsidRDefault="00307DE1" w:rsidP="00307DE1">
            <w:pPr>
              <w:pStyle w:val="AERbodytext"/>
              <w:numPr>
                <w:ilvl w:val="0"/>
                <w:numId w:val="6"/>
              </w:numPr>
            </w:pPr>
            <w:r>
              <w:t>2023</w:t>
            </w:r>
          </w:p>
        </w:tc>
        <w:tc>
          <w:tcPr>
            <w:tcW w:w="875" w:type="pct"/>
          </w:tcPr>
          <w:p w:rsidR="00307DE1" w:rsidRPr="00AB4F30" w:rsidRDefault="00307DE1" w:rsidP="00307DE1">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7.73</w:t>
            </w:r>
          </w:p>
        </w:tc>
        <w:tc>
          <w:tcPr>
            <w:tcW w:w="2837" w:type="pct"/>
          </w:tcPr>
          <w:p w:rsidR="00307DE1" w:rsidRPr="00E21B4C" w:rsidRDefault="002F23AE" w:rsidP="00307DE1">
            <w:pPr>
              <w:pStyle w:val="AERbodytext"/>
              <w:numPr>
                <w:ilvl w:val="0"/>
                <w:numId w:val="6"/>
              </w:numPr>
              <w:cnfStyle w:val="000000010000" w:firstRow="0" w:lastRow="0" w:firstColumn="0" w:lastColumn="0" w:oddVBand="0" w:evenVBand="0" w:oddHBand="0" w:evenHBand="1" w:firstRowFirstColumn="0" w:firstRowLastColumn="0" w:lastRowFirstColumn="0" w:lastRowLastColumn="0"/>
            </w:pPr>
            <m:oMath>
              <m:f>
                <m:fPr>
                  <m:ctrlPr>
                    <w:rPr>
                      <w:rFonts w:ascii="Cambria Math" w:hAnsi="Cambria Math"/>
                    </w:rPr>
                  </m:ctrlPr>
                </m:fPr>
                <m:num>
                  <m:r>
                    <w:rPr>
                      <w:rFonts w:ascii="Cambria Math" w:hAnsi="Cambria Math"/>
                    </w:rPr>
                    <m:t>1</m:t>
                  </m:r>
                </m:num>
                <m:den>
                  <m:r>
                    <w:rPr>
                      <w:rFonts w:ascii="Cambria Math" w:hAnsi="Cambria Math"/>
                    </w:rPr>
                    <m:t>7</m:t>
                  </m:r>
                </m:den>
              </m:f>
              <m:r>
                <w:rPr>
                  <w:rFonts w:ascii="Cambria Math" w:hAnsi="Cambria Math"/>
                </w:rPr>
                <m:t>∙</m:t>
              </m:r>
              <m:r>
                <m:rPr>
                  <m:sty m:val="p"/>
                </m:rPr>
                <w:rPr>
                  <w:rFonts w:ascii="Cambria Math" w:hAnsi="Cambria Math"/>
                </w:rPr>
                <m:t>5.17</m:t>
              </m:r>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7</m:t>
                  </m:r>
                </m:den>
              </m:f>
              <m:r>
                <w:rPr>
                  <w:rFonts w:ascii="Cambria Math" w:hAnsi="Cambria Math"/>
                </w:rPr>
                <m:t>∙</m:t>
              </m:r>
              <m:r>
                <m:rPr>
                  <m:sty m:val="p"/>
                </m:rPr>
                <w:rPr>
                  <w:rFonts w:ascii="Cambria Math" w:hAnsi="Cambria Math"/>
                </w:rPr>
                <m:t>5.19</m:t>
              </m:r>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7</m:t>
                  </m:r>
                </m:den>
              </m:f>
              <m:r>
                <w:rPr>
                  <w:rFonts w:ascii="Cambria Math" w:hAnsi="Cambria Math"/>
                </w:rPr>
                <m:t>∙5.41+</m:t>
              </m:r>
              <m:f>
                <m:fPr>
                  <m:ctrlPr>
                    <w:rPr>
                      <w:rFonts w:ascii="Cambria Math" w:hAnsi="Cambria Math"/>
                    </w:rPr>
                  </m:ctrlPr>
                </m:fPr>
                <m:num>
                  <m:r>
                    <w:rPr>
                      <w:rFonts w:ascii="Cambria Math" w:hAnsi="Cambria Math"/>
                    </w:rPr>
                    <m:t>1</m:t>
                  </m:r>
                </m:num>
                <m:den>
                  <m:r>
                    <w:rPr>
                      <w:rFonts w:ascii="Cambria Math" w:hAnsi="Cambria Math"/>
                    </w:rPr>
                    <m:t>7</m:t>
                  </m:r>
                </m:den>
              </m:f>
              <m:r>
                <w:rPr>
                  <w:rFonts w:ascii="Cambria Math" w:hAnsi="Cambria Math"/>
                </w:rPr>
                <m:t>∙5.63+</m:t>
              </m:r>
              <m:f>
                <m:fPr>
                  <m:ctrlPr>
                    <w:rPr>
                      <w:rFonts w:ascii="Cambria Math" w:hAnsi="Cambria Math"/>
                    </w:rPr>
                  </m:ctrlPr>
                </m:fPr>
                <m:num>
                  <m:r>
                    <w:rPr>
                      <w:rFonts w:ascii="Cambria Math" w:hAnsi="Cambria Math"/>
                    </w:rPr>
                    <m:t>1</m:t>
                  </m:r>
                </m:num>
                <m:den>
                  <m:r>
                    <w:rPr>
                      <w:rFonts w:ascii="Cambria Math" w:hAnsi="Cambria Math"/>
                    </w:rPr>
                    <m:t>7</m:t>
                  </m:r>
                </m:den>
              </m:f>
              <m:r>
                <w:rPr>
                  <w:rFonts w:ascii="Cambria Math" w:hAnsi="Cambria Math"/>
                </w:rPr>
                <m:t>∙6.34+</m:t>
              </m:r>
              <m:f>
                <m:fPr>
                  <m:ctrlPr>
                    <w:rPr>
                      <w:rFonts w:ascii="Cambria Math" w:hAnsi="Cambria Math"/>
                    </w:rPr>
                  </m:ctrlPr>
                </m:fPr>
                <m:num>
                  <m:r>
                    <w:rPr>
                      <w:rFonts w:ascii="Cambria Math" w:hAnsi="Cambria Math"/>
                    </w:rPr>
                    <m:t>1</m:t>
                  </m:r>
                </m:num>
                <m:den>
                  <m:r>
                    <w:rPr>
                      <w:rFonts w:ascii="Cambria Math" w:hAnsi="Cambria Math"/>
                    </w:rPr>
                    <m:t>7</m:t>
                  </m:r>
                </m:den>
              </m:f>
              <m:r>
                <w:rPr>
                  <w:rFonts w:ascii="Cambria Math" w:hAnsi="Cambria Math"/>
                </w:rPr>
                <m:t>∙6.62+</m:t>
              </m:r>
              <m:f>
                <m:fPr>
                  <m:ctrlPr>
                    <w:rPr>
                      <w:rFonts w:ascii="Cambria Math" w:hAnsi="Cambria Math"/>
                    </w:rPr>
                  </m:ctrlPr>
                </m:fPr>
                <m:num>
                  <m:r>
                    <w:rPr>
                      <w:rFonts w:ascii="Cambria Math" w:hAnsi="Cambria Math"/>
                    </w:rPr>
                    <m:t>1</m:t>
                  </m:r>
                </m:num>
                <m:den>
                  <m:r>
                    <w:rPr>
                      <w:rFonts w:ascii="Cambria Math" w:hAnsi="Cambria Math"/>
                    </w:rPr>
                    <m:t>7</m:t>
                  </m:r>
                </m:den>
              </m:f>
              <m:r>
                <w:rPr>
                  <w:rFonts w:ascii="Cambria Math" w:hAnsi="Cambria Math"/>
                </w:rPr>
                <m:t>∙7.73</m:t>
              </m:r>
            </m:oMath>
          </w:p>
        </w:tc>
        <w:tc>
          <w:tcPr>
            <w:tcW w:w="647" w:type="pct"/>
          </w:tcPr>
          <w:p w:rsidR="00307DE1" w:rsidRDefault="00307DE1" w:rsidP="00307DE1">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6.01</w:t>
            </w:r>
          </w:p>
        </w:tc>
      </w:tr>
    </w:tbl>
    <w:p w:rsidR="00307DE1" w:rsidRPr="00E21B4C" w:rsidRDefault="00307DE1" w:rsidP="00307DE1">
      <w:pPr>
        <w:pStyle w:val="AERtablesource"/>
      </w:pPr>
      <w:r>
        <w:t xml:space="preserve">Source: </w:t>
      </w:r>
      <w:r w:rsidR="0036773D">
        <w:tab/>
      </w:r>
      <w:r>
        <w:t>AER analysis.</w:t>
      </w:r>
    </w:p>
    <w:p w:rsidR="00307DE1" w:rsidRPr="00BB2D44" w:rsidRDefault="00307DE1" w:rsidP="00307DE1">
      <w:pPr>
        <w:pStyle w:val="AERbodytext"/>
        <w:numPr>
          <w:ilvl w:val="0"/>
          <w:numId w:val="6"/>
        </w:numPr>
      </w:pPr>
    </w:p>
    <w:p w:rsidR="00307DE1" w:rsidRDefault="00307DE1" w:rsidP="00307DE1">
      <w:pPr>
        <w:pStyle w:val="AERbodytext"/>
      </w:pPr>
    </w:p>
    <w:p w:rsidR="00763636" w:rsidRPr="00F80A6B" w:rsidRDefault="00763636" w:rsidP="00763636">
      <w:pPr>
        <w:pStyle w:val="AERbodytext"/>
        <w:numPr>
          <w:ilvl w:val="0"/>
          <w:numId w:val="0"/>
        </w:numPr>
      </w:pPr>
    </w:p>
    <w:sectPr w:rsidR="00763636" w:rsidRPr="00F80A6B" w:rsidSect="00456081">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694" w:rsidRPr="00AB4345" w:rsidRDefault="00EA0694" w:rsidP="00AB4345">
      <w:r>
        <w:separator/>
      </w:r>
    </w:p>
  </w:endnote>
  <w:endnote w:type="continuationSeparator" w:id="0">
    <w:p w:rsidR="00EA0694" w:rsidRPr="00AB4345" w:rsidRDefault="00EA0694"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EA0694" w:rsidRDefault="00EA0694" w:rsidP="00BE0DBC">
        <w:pPr>
          <w:pStyle w:val="Footer"/>
        </w:pPr>
        <w:r>
          <w:rPr>
            <w:rStyle w:val="AERtextsize8"/>
          </w:rPr>
          <w:t>Better Regulation |</w:t>
        </w:r>
        <w:r w:rsidRPr="00667F03">
          <w:rPr>
            <w:rStyle w:val="AERtextsize8"/>
          </w:rPr>
          <w:t xml:space="preserve"> </w:t>
        </w:r>
        <w:r>
          <w:rPr>
            <w:rStyle w:val="AERtextsize8"/>
          </w:rPr>
          <w:t>Draft Rate of Return Guideline</w:t>
        </w:r>
        <w:r w:rsidRPr="00BE0DBC">
          <w:rPr>
            <w:rStyle w:val="AERbody"/>
          </w:rPr>
          <w:tab/>
        </w:r>
        <w:r>
          <w:rPr>
            <w:rStyle w:val="AERbody"/>
          </w:rPr>
          <w:tab/>
        </w:r>
        <w:r w:rsidRPr="00BE0DBC">
          <w:rPr>
            <w:rStyle w:val="AERbody"/>
          </w:rPr>
          <w:fldChar w:fldCharType="begin"/>
        </w:r>
        <w:r w:rsidRPr="00BE0DBC">
          <w:rPr>
            <w:rStyle w:val="AERbody"/>
          </w:rPr>
          <w:instrText xml:space="preserve"> PAGE   \* MERGEFORMAT </w:instrText>
        </w:r>
        <w:r w:rsidRPr="00BE0DBC">
          <w:rPr>
            <w:rStyle w:val="AERbody"/>
          </w:rPr>
          <w:fldChar w:fldCharType="separate"/>
        </w:r>
        <w:r w:rsidR="002F23AE">
          <w:rPr>
            <w:rStyle w:val="AERbody"/>
            <w:noProof/>
          </w:rPr>
          <w:t>4</w:t>
        </w:r>
        <w:r w:rsidRPr="00BE0DBC">
          <w:rPr>
            <w:rStyle w:val="AERbody"/>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694" w:rsidRPr="00210880" w:rsidRDefault="00EA0694" w:rsidP="00456081">
    <w:pPr>
      <w:pStyle w:val="Footer"/>
      <w:tabs>
        <w:tab w:val="clear" w:pos="4513"/>
      </w:tabs>
      <w:rPr>
        <w:rStyle w:val="AERbody"/>
      </w:rPr>
    </w:pPr>
    <w:r>
      <w:rPr>
        <w:rStyle w:val="AERtextsize8"/>
      </w:rPr>
      <w:t>Better Regulation |</w:t>
    </w:r>
    <w:r w:rsidRPr="00667F03">
      <w:rPr>
        <w:rStyle w:val="AERtextsize8"/>
      </w:rPr>
      <w:t xml:space="preserve"> </w:t>
    </w:r>
    <w:r w:rsidRPr="002503FE">
      <w:rPr>
        <w:rStyle w:val="AERtextsize8"/>
      </w:rPr>
      <w:t xml:space="preserve">Draft rate of return </w:t>
    </w:r>
    <w:r>
      <w:rPr>
        <w:rStyle w:val="AERtextsize8"/>
      </w:rPr>
      <w:t>guideline</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2F23AE">
      <w:rPr>
        <w:rStyle w:val="AERbody"/>
        <w:noProof/>
      </w:rPr>
      <w:t>3</w:t>
    </w:r>
    <w:r w:rsidRPr="00210880">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694" w:rsidRPr="00AB4345" w:rsidRDefault="00EA0694" w:rsidP="00AB4345">
      <w:r>
        <w:separator/>
      </w:r>
    </w:p>
  </w:footnote>
  <w:footnote w:type="continuationSeparator" w:id="0">
    <w:p w:rsidR="00EA0694" w:rsidRPr="00AB4345" w:rsidRDefault="00EA0694" w:rsidP="00AB4345">
      <w:r>
        <w:continuationSeparator/>
      </w:r>
    </w:p>
  </w:footnote>
  <w:footnote w:id="1">
    <w:p w:rsidR="00EA0694" w:rsidRDefault="00EA0694" w:rsidP="009129D9">
      <w:pPr>
        <w:pStyle w:val="FootnoteText"/>
      </w:pPr>
      <w:r>
        <w:rPr>
          <w:rStyle w:val="FootnoteReference"/>
        </w:rPr>
        <w:footnoteRef/>
      </w:r>
      <w:r>
        <w:t xml:space="preserve"> </w:t>
      </w:r>
      <w:r>
        <w:tab/>
      </w:r>
      <w:r w:rsidRPr="009129D9">
        <w:t>AEMC, Rule determination: National electricity amendment (Economic regulation of network service providers) Rule 2012: National gas amendment (Price and revenue regulation of gas services) Rule 2012, 29 November 2012</w:t>
      </w:r>
      <w:r>
        <w:t xml:space="preserve">, p. 46. </w:t>
      </w:r>
      <w:r w:rsidRPr="009129D9">
        <w:t xml:space="preserve">(AEMC, </w:t>
      </w:r>
      <w:r w:rsidRPr="00C62026">
        <w:rPr>
          <w:rStyle w:val="AERtextitalic"/>
        </w:rPr>
        <w:t xml:space="preserve">Final </w:t>
      </w:r>
      <w:r>
        <w:rPr>
          <w:rStyle w:val="AERtextitalic"/>
        </w:rPr>
        <w:t xml:space="preserve">rule change </w:t>
      </w:r>
      <w:r w:rsidRPr="00C62026">
        <w:rPr>
          <w:rStyle w:val="AERtextitalic"/>
        </w:rPr>
        <w:t>determination</w:t>
      </w:r>
      <w:r w:rsidRPr="009129D9">
        <w:t>, 29 November 2012</w:t>
      </w:r>
      <w:r>
        <w:t>).</w:t>
      </w:r>
    </w:p>
  </w:footnote>
  <w:footnote w:id="2">
    <w:p w:rsidR="00EA0694" w:rsidRDefault="00EA0694">
      <w:pPr>
        <w:pStyle w:val="FootnoteText"/>
      </w:pPr>
      <w:r>
        <w:rPr>
          <w:rStyle w:val="FootnoteReference"/>
        </w:rPr>
        <w:footnoteRef/>
      </w:r>
      <w:r>
        <w:t xml:space="preserve"> </w:t>
      </w:r>
      <w:r>
        <w:tab/>
        <w:t>NER, cl. 6.2.8(e) and cl. 6A,2.3(e); NGR, r. 87(17).</w:t>
      </w:r>
    </w:p>
  </w:footnote>
  <w:footnote w:id="3">
    <w:p w:rsidR="00EA0694" w:rsidRDefault="00EA0694">
      <w:pPr>
        <w:pStyle w:val="FootnoteText"/>
      </w:pPr>
      <w:r>
        <w:rPr>
          <w:rStyle w:val="FootnoteReference"/>
        </w:rPr>
        <w:footnoteRef/>
      </w:r>
      <w:r>
        <w:t xml:space="preserve"> </w:t>
      </w:r>
      <w:r>
        <w:tab/>
        <w:t>NER, cls. 6.5.2(n) and 6A.6.2(n); NGR, r.87(14).</w:t>
      </w:r>
    </w:p>
  </w:footnote>
  <w:footnote w:id="4">
    <w:p w:rsidR="00EA0694" w:rsidRDefault="00EA0694" w:rsidP="00893CE6">
      <w:pPr>
        <w:pStyle w:val="FootnoteText"/>
      </w:pPr>
      <w:r>
        <w:rPr>
          <w:rStyle w:val="FootnoteReference"/>
        </w:rPr>
        <w:footnoteRef/>
      </w:r>
      <w:r>
        <w:t xml:space="preserve"> </w:t>
      </w:r>
      <w:r>
        <w:tab/>
        <w:t>NEL, s. 7; NEL, s. 7A; NGL, s. 23; NGL, s. 24.</w:t>
      </w:r>
    </w:p>
  </w:footnote>
  <w:footnote w:id="5">
    <w:p w:rsidR="00EA0694" w:rsidRDefault="00EA0694" w:rsidP="00BD07B7">
      <w:pPr>
        <w:pStyle w:val="FootnoteText"/>
      </w:pPr>
      <w:r>
        <w:rPr>
          <w:rStyle w:val="FootnoteReference"/>
        </w:rPr>
        <w:footnoteRef/>
      </w:r>
      <w:r>
        <w:t xml:space="preserve"> </w:t>
      </w:r>
      <w:r>
        <w:tab/>
        <w:t>NEL, cl. 7; NGL, s. 23.</w:t>
      </w:r>
    </w:p>
  </w:footnote>
  <w:footnote w:id="6">
    <w:p w:rsidR="00EA0694" w:rsidRDefault="00EA0694" w:rsidP="00BD07B7">
      <w:pPr>
        <w:pStyle w:val="FootnoteText"/>
      </w:pPr>
      <w:r>
        <w:rPr>
          <w:rStyle w:val="FootnoteReference"/>
        </w:rPr>
        <w:footnoteRef/>
      </w:r>
      <w:r>
        <w:t xml:space="preserve"> </w:t>
      </w:r>
      <w:r>
        <w:tab/>
        <w:t>NEL, cl. 7A; NGL, s. 24.</w:t>
      </w:r>
    </w:p>
  </w:footnote>
  <w:footnote w:id="7">
    <w:p w:rsidR="00EA0694" w:rsidRDefault="00EA0694">
      <w:pPr>
        <w:pStyle w:val="FootnoteText"/>
      </w:pPr>
      <w:r>
        <w:rPr>
          <w:rStyle w:val="FootnoteReference"/>
        </w:rPr>
        <w:footnoteRef/>
      </w:r>
      <w:r>
        <w:t xml:space="preserve"> </w:t>
      </w:r>
      <w:r>
        <w:tab/>
        <w:t>NER, cls. 6.5.2(d)(2) and 6A.6.2(d)(2); NGR, r.87(4)(b).</w:t>
      </w:r>
    </w:p>
  </w:footnote>
  <w:footnote w:id="8">
    <w:p w:rsidR="00EA0694" w:rsidRDefault="00EA0694">
      <w:pPr>
        <w:pStyle w:val="FootnoteText"/>
      </w:pPr>
      <w:r>
        <w:rPr>
          <w:rStyle w:val="FootnoteReference"/>
        </w:rPr>
        <w:footnoteRef/>
      </w:r>
      <w:r>
        <w:t xml:space="preserve"> </w:t>
      </w:r>
      <w:r>
        <w:tab/>
        <w:t>NER, cls. 6.5.2(e) and 6A.6.2(e); NGR, r.87(5).</w:t>
      </w:r>
    </w:p>
  </w:footnote>
  <w:footnote w:id="9">
    <w:p w:rsidR="00EA0694" w:rsidRDefault="00EA0694" w:rsidP="00BD07B7">
      <w:pPr>
        <w:pStyle w:val="FootnoteText"/>
      </w:pPr>
      <w:r>
        <w:rPr>
          <w:rStyle w:val="FootnoteReference"/>
        </w:rPr>
        <w:footnoteRef/>
      </w:r>
      <w:r>
        <w:t xml:space="preserve"> </w:t>
      </w:r>
      <w:r>
        <w:tab/>
        <w:t>NER, cl. 6.5.2(d)(2) and 6A.6.2(d)(2); NGR r. 87(2)(b).</w:t>
      </w:r>
    </w:p>
  </w:footnote>
  <w:footnote w:id="10">
    <w:p w:rsidR="00EA0694" w:rsidRDefault="00EA0694" w:rsidP="008971BE">
      <w:pPr>
        <w:pStyle w:val="FootnoteText"/>
      </w:pPr>
      <w:r>
        <w:rPr>
          <w:rStyle w:val="FootnoteReference"/>
        </w:rPr>
        <w:footnoteRef/>
      </w:r>
      <w:r>
        <w:t xml:space="preserve"> </w:t>
      </w:r>
      <w:r>
        <w:tab/>
        <w:t>NER, cl. 6.5.2(c) and 6A.6.2(c); NGR, r. 87(3).</w:t>
      </w:r>
    </w:p>
  </w:footnote>
  <w:footnote w:id="11">
    <w:p w:rsidR="00EA0694" w:rsidRDefault="00EA0694" w:rsidP="008971BE">
      <w:pPr>
        <w:pStyle w:val="FootnoteText"/>
      </w:pPr>
      <w:r>
        <w:rPr>
          <w:rStyle w:val="FootnoteReference"/>
        </w:rPr>
        <w:footnoteRef/>
      </w:r>
      <w:r>
        <w:t xml:space="preserve"> </w:t>
      </w:r>
      <w:r>
        <w:tab/>
        <w:t>NER, cl. 6.5.2(e)(1) and 6A.6.2(e)(1); NGR, r. 87(5)(a).</w:t>
      </w:r>
    </w:p>
  </w:footnote>
  <w:footnote w:id="12">
    <w:p w:rsidR="00EA0694" w:rsidRDefault="00EA0694" w:rsidP="008971BE">
      <w:pPr>
        <w:pStyle w:val="FootnoteText"/>
      </w:pPr>
      <w:r>
        <w:rPr>
          <w:rStyle w:val="FootnoteReference"/>
        </w:rPr>
        <w:footnoteRef/>
      </w:r>
      <w:r>
        <w:t xml:space="preserve"> </w:t>
      </w:r>
      <w:r>
        <w:tab/>
        <w:t>Some of this material may be used to assess the overall rate of return.</w:t>
      </w:r>
    </w:p>
  </w:footnote>
  <w:footnote w:id="13">
    <w:p w:rsidR="00EA0694" w:rsidRDefault="00EA0694">
      <w:pPr>
        <w:pStyle w:val="FootnoteText"/>
      </w:pPr>
      <w:r>
        <w:rPr>
          <w:rStyle w:val="FootnoteReference"/>
        </w:rPr>
        <w:footnoteRef/>
      </w:r>
      <w:r>
        <w:t xml:space="preserve"> </w:t>
      </w:r>
      <w:r>
        <w:tab/>
        <w:t>NER, cls. 6.5.2 and 6A.6.2; NGR, r.87.</w:t>
      </w:r>
    </w:p>
  </w:footnote>
  <w:footnote w:id="14">
    <w:p w:rsidR="00EA0694" w:rsidRDefault="00EA0694">
      <w:pPr>
        <w:pStyle w:val="FootnoteText"/>
      </w:pPr>
      <w:r>
        <w:rPr>
          <w:rStyle w:val="FootnoteReference"/>
        </w:rPr>
        <w:footnoteRef/>
      </w:r>
      <w:r>
        <w:t xml:space="preserve"> </w:t>
      </w:r>
      <w:r>
        <w:tab/>
      </w:r>
      <w:r w:rsidRPr="00C11C86">
        <w:t xml:space="preserve">AEMC, </w:t>
      </w:r>
      <w:r w:rsidRPr="00C62026">
        <w:rPr>
          <w:rStyle w:val="AERtextitalic"/>
        </w:rPr>
        <w:t xml:space="preserve">Final </w:t>
      </w:r>
      <w:r>
        <w:rPr>
          <w:rStyle w:val="AERtextitalic"/>
        </w:rPr>
        <w:t xml:space="preserve">rule change </w:t>
      </w:r>
      <w:r w:rsidRPr="00C62026">
        <w:rPr>
          <w:rStyle w:val="AERtextitalic"/>
        </w:rPr>
        <w:t>determination</w:t>
      </w:r>
      <w:r w:rsidRPr="00C11C86">
        <w:t>, 29 November 2012</w:t>
      </w:r>
      <w:r>
        <w:t>, p. 214.</w:t>
      </w:r>
    </w:p>
  </w:footnote>
  <w:footnote w:id="15">
    <w:p w:rsidR="00EA0694" w:rsidRDefault="00EA0694" w:rsidP="00B407FA">
      <w:pPr>
        <w:pStyle w:val="FootnoteText"/>
      </w:pPr>
      <w:r>
        <w:rPr>
          <w:rStyle w:val="FootnoteReference"/>
        </w:rPr>
        <w:footnoteRef/>
      </w:r>
      <w:r>
        <w:t xml:space="preserve"> </w:t>
      </w:r>
      <w:r>
        <w:tab/>
      </w:r>
      <w:r w:rsidRPr="00B407FA">
        <w:t xml:space="preserve">Queensland Treasury Corporation (QTC), </w:t>
      </w:r>
      <w:r w:rsidRPr="00B407FA">
        <w:rPr>
          <w:rStyle w:val="AERtextitalic"/>
        </w:rPr>
        <w:t>Submission to AER’s rate of return guidelines consultation paper</w:t>
      </w:r>
      <w:r w:rsidRPr="00B407FA">
        <w:t>, 21</w:t>
      </w:r>
      <w:r>
        <w:t> </w:t>
      </w:r>
      <w:r w:rsidRPr="00B407FA">
        <w:t>June</w:t>
      </w:r>
      <w:r>
        <w:t> </w:t>
      </w:r>
      <w:r w:rsidRPr="00B407FA">
        <w:t>2013</w:t>
      </w:r>
      <w:r>
        <w:t>, pp. 29–30.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3E647BE"/>
    <w:multiLevelType w:val="hybridMultilevel"/>
    <w:tmpl w:val="208C1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7D35587"/>
    <w:multiLevelType w:val="hybridMultilevel"/>
    <w:tmpl w:val="FDC28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102140"/>
    <w:multiLevelType w:val="multilevel"/>
    <w:tmpl w:val="B478DFE6"/>
    <w:numStyleLink w:val="AERnumberedlist"/>
  </w:abstractNum>
  <w:abstractNum w:abstractNumId="5">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6">
    <w:nsid w:val="13597CF9"/>
    <w:multiLevelType w:val="multilevel"/>
    <w:tmpl w:val="B478DFE6"/>
    <w:numStyleLink w:val="AERnumberedlist"/>
  </w:abstractNum>
  <w:abstractNum w:abstractNumId="7">
    <w:nsid w:val="176B27A6"/>
    <w:multiLevelType w:val="multilevel"/>
    <w:tmpl w:val="950A1C52"/>
    <w:numStyleLink w:val="AERHeadings"/>
  </w:abstractNum>
  <w:abstractNum w:abstractNumId="8">
    <w:nsid w:val="1972601F"/>
    <w:multiLevelType w:val="multilevel"/>
    <w:tmpl w:val="950A1C52"/>
    <w:numStyleLink w:val="AERHeadings"/>
  </w:abstractNum>
  <w:abstractNum w:abstractNumId="9">
    <w:nsid w:val="1DFA331B"/>
    <w:multiLevelType w:val="multilevel"/>
    <w:tmpl w:val="B478DFE6"/>
    <w:numStyleLink w:val="AERnumberedlist"/>
  </w:abstractNum>
  <w:abstractNum w:abstractNumId="10">
    <w:nsid w:val="233428C7"/>
    <w:multiLevelType w:val="multilevel"/>
    <w:tmpl w:val="B478DFE6"/>
    <w:numStyleLink w:val="AERnumberedlist"/>
  </w:abstractNum>
  <w:abstractNum w:abstractNumId="11">
    <w:nsid w:val="2776270C"/>
    <w:multiLevelType w:val="multilevel"/>
    <w:tmpl w:val="B478DFE6"/>
    <w:numStyleLink w:val="AERnumberedlist"/>
  </w:abstractNum>
  <w:abstractNum w:abstractNumId="12">
    <w:nsid w:val="281977C0"/>
    <w:multiLevelType w:val="multilevel"/>
    <w:tmpl w:val="950A1C52"/>
    <w:numStyleLink w:val="AERHeadings"/>
  </w:abstractNum>
  <w:abstractNum w:abstractNumId="13">
    <w:nsid w:val="295C7239"/>
    <w:multiLevelType w:val="multilevel"/>
    <w:tmpl w:val="950A1C52"/>
    <w:numStyleLink w:val="AERHeadings"/>
  </w:abstractNum>
  <w:abstractNum w:abstractNumId="14">
    <w:nsid w:val="2C2D6B9E"/>
    <w:multiLevelType w:val="multilevel"/>
    <w:tmpl w:val="950A1C52"/>
    <w:numStyleLink w:val="AERHeadings"/>
  </w:abstractNum>
  <w:abstractNum w:abstractNumId="15">
    <w:nsid w:val="2DB12A3A"/>
    <w:multiLevelType w:val="multilevel"/>
    <w:tmpl w:val="950A1C52"/>
    <w:numStyleLink w:val="AERHeadings"/>
  </w:abstractNum>
  <w:abstractNum w:abstractNumId="16">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nsid w:val="333E0E05"/>
    <w:multiLevelType w:val="multilevel"/>
    <w:tmpl w:val="950A1C52"/>
    <w:numStyleLink w:val="AERHeadings"/>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721288"/>
    <w:multiLevelType w:val="multilevel"/>
    <w:tmpl w:val="950A1C52"/>
    <w:numStyleLink w:val="AERHeadings"/>
  </w:abstractNum>
  <w:abstractNum w:abstractNumId="23">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4">
    <w:nsid w:val="4F037C49"/>
    <w:multiLevelType w:val="multilevel"/>
    <w:tmpl w:val="B478DFE6"/>
    <w:numStyleLink w:val="AERnumberedlist"/>
  </w:abstractNum>
  <w:abstractNum w:abstractNumId="25">
    <w:nsid w:val="50E11876"/>
    <w:multiLevelType w:val="hybridMultilevel"/>
    <w:tmpl w:val="2BB4EF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1807103"/>
    <w:multiLevelType w:val="multilevel"/>
    <w:tmpl w:val="B478DFE6"/>
    <w:numStyleLink w:val="AERnumberedlist"/>
  </w:abstractNum>
  <w:abstractNum w:abstractNumId="28">
    <w:nsid w:val="524970A0"/>
    <w:multiLevelType w:val="hybridMultilevel"/>
    <w:tmpl w:val="05C0F9F8"/>
    <w:lvl w:ilvl="0" w:tplc="49B4FD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5AC6B52B"/>
    <w:multiLevelType w:val="hybridMultilevel"/>
    <w:tmpl w:val="F4CDBF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D386EA7"/>
    <w:multiLevelType w:val="multilevel"/>
    <w:tmpl w:val="950A1C52"/>
    <w:numStyleLink w:val="AERHeadings"/>
  </w:abstractNum>
  <w:abstractNum w:abstractNumId="31">
    <w:nsid w:val="5DCC1B18"/>
    <w:multiLevelType w:val="multilevel"/>
    <w:tmpl w:val="B478DFE6"/>
    <w:numStyleLink w:val="AERnumberedlist"/>
  </w:abstractNum>
  <w:abstractNum w:abstractNumId="32">
    <w:nsid w:val="5EA650E5"/>
    <w:multiLevelType w:val="hybridMultilevel"/>
    <w:tmpl w:val="58AC2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8247CF7"/>
    <w:multiLevelType w:val="multilevel"/>
    <w:tmpl w:val="950A1C52"/>
    <w:numStyleLink w:val="AERHeadings"/>
  </w:abstractNum>
  <w:abstractNum w:abstractNumId="34">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AE644FF"/>
    <w:multiLevelType w:val="hybridMultilevel"/>
    <w:tmpl w:val="152808C6"/>
    <w:lvl w:ilvl="0" w:tplc="0C090015">
      <w:start w:val="1"/>
      <w:numFmt w:val="upperLetter"/>
      <w:lvlText w:val="%1."/>
      <w:lvlJc w:val="left"/>
      <w:pPr>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6">
    <w:nsid w:val="74595980"/>
    <w:multiLevelType w:val="multilevel"/>
    <w:tmpl w:val="950A1C52"/>
    <w:numStyleLink w:val="AERHeadings"/>
  </w:abstractNum>
  <w:abstractNum w:abstractNumId="37">
    <w:nsid w:val="74F81DDF"/>
    <w:multiLevelType w:val="multilevel"/>
    <w:tmpl w:val="950A1C52"/>
    <w:numStyleLink w:val="AERHeadings"/>
  </w:abstractNum>
  <w:abstractNum w:abstractNumId="38">
    <w:nsid w:val="787F66A4"/>
    <w:multiLevelType w:val="multilevel"/>
    <w:tmpl w:val="950A1C52"/>
    <w:numStyleLink w:val="AERHeadings"/>
  </w:abstractNum>
  <w:abstractNum w:abstractNumId="39">
    <w:nsid w:val="7AAC6DD7"/>
    <w:multiLevelType w:val="multilevel"/>
    <w:tmpl w:val="950A1C52"/>
    <w:numStyleLink w:val="AERHeadings"/>
  </w:abstractNum>
  <w:abstractNum w:abstractNumId="40">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BE97BF8"/>
    <w:multiLevelType w:val="multilevel"/>
    <w:tmpl w:val="950A1C52"/>
    <w:numStyleLink w:val="AERHeadings"/>
  </w:abstractNum>
  <w:abstractNum w:abstractNumId="42">
    <w:nsid w:val="7CDA0F5F"/>
    <w:multiLevelType w:val="multilevel"/>
    <w:tmpl w:val="950A1C52"/>
    <w:numStyleLink w:val="AERHeadings"/>
  </w:abstractNum>
  <w:num w:numId="1">
    <w:abstractNumId w:val="16"/>
  </w:num>
  <w:num w:numId="2">
    <w:abstractNumId w:val="21"/>
  </w:num>
  <w:num w:numId="3">
    <w:abstractNumId w:val="18"/>
  </w:num>
  <w:num w:numId="4">
    <w:abstractNumId w:val="40"/>
  </w:num>
  <w:num w:numId="5">
    <w:abstractNumId w:val="1"/>
  </w:num>
  <w:num w:numId="6">
    <w:abstractNumId w:val="26"/>
  </w:num>
  <w:num w:numId="7">
    <w:abstractNumId w:val="20"/>
  </w:num>
  <w:num w:numId="8">
    <w:abstractNumId w:val="6"/>
  </w:num>
  <w:num w:numId="9">
    <w:abstractNumId w:val="39"/>
  </w:num>
  <w:num w:numId="10">
    <w:abstractNumId w:val="22"/>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tabs>
            <w:tab w:val="num" w:pos="0"/>
          </w:tabs>
          <w:ind w:left="0" w:hanging="851"/>
        </w:pPr>
        <w:rPr>
          <w:rFonts w:hint="default"/>
        </w:rPr>
      </w:lvl>
    </w:lvlOverride>
  </w:num>
  <w:num w:numId="21">
    <w:abstractNumId w:val="16"/>
    <w:lvlOverride w:ilvl="0">
      <w:lvl w:ilvl="0">
        <w:numFmt w:val="decimal"/>
        <w:pStyle w:val="UnnumberedHeading"/>
        <w:lvlText w:val=""/>
        <w:lvlJc w:val="left"/>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numFmt w:val="decimal"/>
        <w:pStyle w:val="Heading2"/>
        <w:lvlText w:val=""/>
        <w:lvlJc w:val="left"/>
      </w:lvl>
    </w:lvlOverride>
    <w:lvlOverride w:ilvl="3">
      <w:lvl w:ilvl="3">
        <w:numFmt w:val="decimal"/>
        <w:pStyle w:val="Heading3"/>
        <w:lvlText w:val=""/>
        <w:lvlJc w:val="left"/>
      </w:lvl>
    </w:lvlOverride>
    <w:lvlOverride w:ilvl="4">
      <w:lvl w:ilvl="4">
        <w:start w:val="1"/>
        <w:numFmt w:val="upperLetter"/>
        <w:lvlRestart w:val="1"/>
        <w:pStyle w:val="Heading7"/>
        <w:lvlText w:val="%5"/>
        <w:lvlJc w:val="left"/>
        <w:pPr>
          <w:tabs>
            <w:tab w:val="num" w:pos="0"/>
          </w:tabs>
          <w:ind w:left="0" w:hanging="851"/>
        </w:pPr>
        <w:rPr>
          <w:rFonts w:hint="default"/>
        </w:rPr>
      </w:lvl>
    </w:lvlOverride>
  </w:num>
  <w:num w:numId="22">
    <w:abstractNumId w:val="26"/>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lvlOverride w:ilvl="2">
      <w:lvl w:ilvl="2">
        <w:start w:val="1"/>
        <w:numFmt w:val="lowerLetter"/>
        <w:pStyle w:val="AERnumberedlistsecondstyle"/>
        <w:lvlText w:val="%3."/>
        <w:lvlJc w:val="left"/>
        <w:pPr>
          <w:tabs>
            <w:tab w:val="num" w:pos="720"/>
          </w:tabs>
          <w:ind w:left="720" w:hanging="363"/>
        </w:pPr>
        <w:rPr>
          <w:rFonts w:hint="default"/>
        </w:rPr>
      </w:lvl>
    </w:lvlOverride>
    <w:lvlOverride w:ilvl="3">
      <w:lvl w:ilvl="3">
        <w:start w:val="1"/>
        <w:numFmt w:val="lowerRoman"/>
        <w:pStyle w:val="AERnumberedlistthirdstyle"/>
        <w:lvlText w:val="%4."/>
        <w:lvlJc w:val="left"/>
        <w:pPr>
          <w:tabs>
            <w:tab w:val="num" w:pos="1077"/>
          </w:tabs>
          <w:ind w:left="1077" w:hanging="357"/>
        </w:pPr>
        <w:rPr>
          <w:rFonts w:hint="default"/>
        </w:rPr>
      </w:lvl>
    </w:lvlOverride>
    <w:lvlOverride w:ilvl="4">
      <w:lvl w:ilvl="4">
        <w:start w:val="1"/>
        <w:numFmt w:val="decimal"/>
        <w:lvlRestart w:val="1"/>
        <w:pStyle w:val="AERnumberedlist2first"/>
        <w:lvlText w:val="(%5)"/>
        <w:lvlJc w:val="left"/>
        <w:pPr>
          <w:tabs>
            <w:tab w:val="num" w:pos="357"/>
          </w:tabs>
          <w:ind w:left="357" w:hanging="357"/>
        </w:pPr>
        <w:rPr>
          <w:rFonts w:hint="default"/>
        </w:rPr>
      </w:lvl>
    </w:lvlOverride>
    <w:lvlOverride w:ilvl="5">
      <w:lvl w:ilvl="5">
        <w:start w:val="1"/>
        <w:numFmt w:val="lowerLetter"/>
        <w:lvlRestart w:val="2"/>
        <w:pStyle w:val="AERnumberedlist2second"/>
        <w:lvlText w:val="(%6)"/>
        <w:lvlJc w:val="left"/>
        <w:pPr>
          <w:tabs>
            <w:tab w:val="num" w:pos="720"/>
          </w:tabs>
          <w:ind w:left="720" w:hanging="363"/>
        </w:pPr>
        <w:rPr>
          <w:rFonts w:hint="default"/>
        </w:rPr>
      </w:lvl>
    </w:lvlOverride>
    <w:lvlOverride w:ilvl="6">
      <w:lvl w:ilvl="6">
        <w:start w:val="1"/>
        <w:numFmt w:val="lowerRoman"/>
        <w:lvlRestart w:val="3"/>
        <w:pStyle w:val="AERnumberedlist2third"/>
        <w:lvlText w:val="(%7)"/>
        <w:lvlJc w:val="left"/>
        <w:pPr>
          <w:tabs>
            <w:tab w:val="num" w:pos="1077"/>
          </w:tabs>
          <w:ind w:left="1077" w:hanging="357"/>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4"/>
  </w:num>
  <w:num w:numId="29">
    <w:abstractNumId w:val="23"/>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3"/>
    <w:lvlOverride w:ilvl="0">
      <w:startOverride w:val="1"/>
    </w:lvlOverride>
  </w:num>
  <w:num w:numId="33">
    <w:abstractNumId w:val="23"/>
    <w:lvlOverride w:ilvl="0">
      <w:startOverride w:val="1"/>
    </w:lvlOverride>
  </w:num>
  <w:num w:numId="34">
    <w:abstractNumId w:val="23"/>
    <w:lvlOverride w:ilvl="0">
      <w:startOverride w:val="1"/>
    </w:lvlOverride>
  </w:num>
  <w:num w:numId="35">
    <w:abstractNumId w:val="10"/>
  </w:num>
  <w:num w:numId="36">
    <w:abstractNumId w:val="4"/>
  </w:num>
  <w:num w:numId="37">
    <w:abstractNumId w:val="24"/>
  </w:num>
  <w:num w:numId="38">
    <w:abstractNumId w:val="9"/>
  </w:num>
  <w:num w:numId="39">
    <w:abstractNumId w:val="11"/>
  </w:num>
  <w:num w:numId="40">
    <w:abstractNumId w:val="37"/>
  </w:num>
  <w:num w:numId="41">
    <w:abstractNumId w:val="31"/>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42"/>
  </w:num>
  <w:num w:numId="47">
    <w:abstractNumId w:val="19"/>
  </w:num>
  <w:num w:numId="48">
    <w:abstractNumId w:val="12"/>
  </w:num>
  <w:num w:numId="49">
    <w:abstractNumId w:val="7"/>
  </w:num>
  <w:num w:numId="50">
    <w:abstractNumId w:val="0"/>
  </w:num>
  <w:num w:numId="51">
    <w:abstractNumId w:val="8"/>
  </w:num>
  <w:num w:numId="52">
    <w:abstractNumId w:val="38"/>
  </w:num>
  <w:num w:numId="53">
    <w:abstractNumId w:val="33"/>
  </w:num>
  <w:num w:numId="54">
    <w:abstractNumId w:val="36"/>
  </w:num>
  <w:num w:numId="55">
    <w:abstractNumId w:val="41"/>
  </w:num>
  <w:num w:numId="56">
    <w:abstractNumId w:val="30"/>
  </w:num>
  <w:num w:numId="57">
    <w:abstractNumId w:val="14"/>
  </w:num>
  <w:num w:numId="58">
    <w:abstractNumId w:val="15"/>
  </w:num>
  <w:num w:numId="59">
    <w:abstractNumId w:val="27"/>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lvl w:ilvl="0">
        <w:numFmt w:val="decimal"/>
        <w:pStyle w:val="UnnumberedHeading"/>
        <w:lvlText w:val=""/>
        <w:lvlJc w:val="left"/>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numFmt w:val="decimal"/>
        <w:pStyle w:val="Heading2"/>
        <w:lvlText w:val=""/>
        <w:lvlJc w:val="left"/>
      </w:lvl>
    </w:lvlOverride>
    <w:lvlOverride w:ilvl="3">
      <w:lvl w:ilvl="3">
        <w:numFmt w:val="decimal"/>
        <w:pStyle w:val="Heading3"/>
        <w:lvlText w:val=""/>
        <w:lvlJc w:val="left"/>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num>
  <w:num w:numId="62">
    <w:abstractNumId w:val="32"/>
  </w:num>
  <w:num w:numId="63">
    <w:abstractNumId w:val="3"/>
  </w:num>
  <w:num w:numId="64">
    <w:abstractNumId w:val="9"/>
  </w:num>
  <w:num w:numId="65">
    <w:abstractNumId w:val="30"/>
  </w:num>
  <w:num w:numId="66">
    <w:abstractNumId w:val="24"/>
  </w:num>
  <w:num w:numId="67">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num>
  <w:num w:numId="70">
    <w:abstractNumId w:val="16"/>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71">
    <w:abstractNumId w:val="16"/>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numFmt w:val="decimal"/>
        <w:pStyle w:val="Heading3"/>
        <w:lvlText w:val=""/>
        <w:lvlJc w:val="left"/>
      </w:lvl>
    </w:lvlOverride>
    <w:lvlOverride w:ilvl="4">
      <w:lvl w:ilvl="4">
        <w:numFmt w:val="decimal"/>
        <w:pStyle w:val="Heading7"/>
        <w:lvlText w:val=""/>
        <w:lvlJc w:val="left"/>
      </w:lvl>
    </w:lvlOverride>
    <w:lvlOverride w:ilvl="5">
      <w:lvl w:ilvl="5">
        <w:start w:val="1"/>
        <w:numFmt w:val="decimal"/>
        <w:pStyle w:val="Heading8"/>
        <w:lvlText w:val="%5.%6"/>
        <w:lvlJc w:val="left"/>
        <w:pPr>
          <w:tabs>
            <w:tab w:val="num" w:pos="0"/>
          </w:tabs>
          <w:ind w:left="0" w:hanging="851"/>
        </w:pPr>
        <w:rPr>
          <w:rFonts w:hint="default"/>
        </w:rPr>
      </w:lvl>
    </w:lvlOverride>
  </w:num>
  <w:num w:numId="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8"/>
  </w:num>
  <w:num w:numId="78">
    <w:abstractNumId w:val="25"/>
  </w:num>
  <w:num w:numId="79">
    <w:abstractNumId w:val="29"/>
  </w:num>
  <w:num w:numId="80">
    <w:abstractNumId w:val="16"/>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ocumentProtection w:formatting="1" w:enforcement="1"/>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C:\Documents and Settings\asast\Local Settings\Temporary Internet Files\Content.Outlook\VZ6535N4\AER Draft expenditure assessment guideline - distribution - August 2013 .DOCX"/>
  </w:docVars>
  <w:rsids>
    <w:rsidRoot w:val="000C052F"/>
    <w:rsid w:val="00001E1A"/>
    <w:rsid w:val="00004296"/>
    <w:rsid w:val="000045C1"/>
    <w:rsid w:val="0000544A"/>
    <w:rsid w:val="00006660"/>
    <w:rsid w:val="00010E0E"/>
    <w:rsid w:val="00013FE7"/>
    <w:rsid w:val="00014B6A"/>
    <w:rsid w:val="00015019"/>
    <w:rsid w:val="000159DA"/>
    <w:rsid w:val="00016FF6"/>
    <w:rsid w:val="000179D3"/>
    <w:rsid w:val="00020A63"/>
    <w:rsid w:val="00022606"/>
    <w:rsid w:val="000235F6"/>
    <w:rsid w:val="00026763"/>
    <w:rsid w:val="00030853"/>
    <w:rsid w:val="00031891"/>
    <w:rsid w:val="0003305A"/>
    <w:rsid w:val="0003352D"/>
    <w:rsid w:val="00035015"/>
    <w:rsid w:val="0003567A"/>
    <w:rsid w:val="0003659E"/>
    <w:rsid w:val="00036F6E"/>
    <w:rsid w:val="00037194"/>
    <w:rsid w:val="000376C9"/>
    <w:rsid w:val="00040599"/>
    <w:rsid w:val="00040749"/>
    <w:rsid w:val="00042FB4"/>
    <w:rsid w:val="00044D58"/>
    <w:rsid w:val="00047566"/>
    <w:rsid w:val="00047D91"/>
    <w:rsid w:val="00047DC8"/>
    <w:rsid w:val="0005468A"/>
    <w:rsid w:val="00055918"/>
    <w:rsid w:val="00055B72"/>
    <w:rsid w:val="00056572"/>
    <w:rsid w:val="00056653"/>
    <w:rsid w:val="00056AA1"/>
    <w:rsid w:val="00061CC2"/>
    <w:rsid w:val="000622DB"/>
    <w:rsid w:val="00062947"/>
    <w:rsid w:val="000654FC"/>
    <w:rsid w:val="00065BBB"/>
    <w:rsid w:val="0007220C"/>
    <w:rsid w:val="00074231"/>
    <w:rsid w:val="0007545E"/>
    <w:rsid w:val="0007747A"/>
    <w:rsid w:val="0007782C"/>
    <w:rsid w:val="00080575"/>
    <w:rsid w:val="000873D0"/>
    <w:rsid w:val="00091AC8"/>
    <w:rsid w:val="0009224E"/>
    <w:rsid w:val="000928F5"/>
    <w:rsid w:val="00093488"/>
    <w:rsid w:val="0009429F"/>
    <w:rsid w:val="00097AC4"/>
    <w:rsid w:val="000A1243"/>
    <w:rsid w:val="000A128A"/>
    <w:rsid w:val="000A1CC2"/>
    <w:rsid w:val="000A34E2"/>
    <w:rsid w:val="000A5342"/>
    <w:rsid w:val="000A5813"/>
    <w:rsid w:val="000A7612"/>
    <w:rsid w:val="000A7A72"/>
    <w:rsid w:val="000B0F76"/>
    <w:rsid w:val="000B15CA"/>
    <w:rsid w:val="000B17E1"/>
    <w:rsid w:val="000B32D4"/>
    <w:rsid w:val="000B348C"/>
    <w:rsid w:val="000B389C"/>
    <w:rsid w:val="000B5E70"/>
    <w:rsid w:val="000B7094"/>
    <w:rsid w:val="000C002C"/>
    <w:rsid w:val="000C052F"/>
    <w:rsid w:val="000C11F9"/>
    <w:rsid w:val="000C3430"/>
    <w:rsid w:val="000C4350"/>
    <w:rsid w:val="000C4F3C"/>
    <w:rsid w:val="000C4F59"/>
    <w:rsid w:val="000C4FF3"/>
    <w:rsid w:val="000C50EF"/>
    <w:rsid w:val="000C7940"/>
    <w:rsid w:val="000C7A80"/>
    <w:rsid w:val="000D03C2"/>
    <w:rsid w:val="000D04B1"/>
    <w:rsid w:val="000D0DF2"/>
    <w:rsid w:val="000D0E77"/>
    <w:rsid w:val="000D2888"/>
    <w:rsid w:val="000D34B9"/>
    <w:rsid w:val="000D401F"/>
    <w:rsid w:val="000D5239"/>
    <w:rsid w:val="000D59D8"/>
    <w:rsid w:val="000D7192"/>
    <w:rsid w:val="000D7553"/>
    <w:rsid w:val="000E1089"/>
    <w:rsid w:val="000E1A25"/>
    <w:rsid w:val="000E2CEE"/>
    <w:rsid w:val="000E5054"/>
    <w:rsid w:val="000E54CD"/>
    <w:rsid w:val="000E70FB"/>
    <w:rsid w:val="000F11E1"/>
    <w:rsid w:val="000F1358"/>
    <w:rsid w:val="000F19B9"/>
    <w:rsid w:val="000F1FE8"/>
    <w:rsid w:val="000F2727"/>
    <w:rsid w:val="000F27FB"/>
    <w:rsid w:val="000F3A6A"/>
    <w:rsid w:val="000F3D8D"/>
    <w:rsid w:val="000F5EB1"/>
    <w:rsid w:val="000F7382"/>
    <w:rsid w:val="001033B3"/>
    <w:rsid w:val="0010377C"/>
    <w:rsid w:val="0010404C"/>
    <w:rsid w:val="001050F4"/>
    <w:rsid w:val="00105636"/>
    <w:rsid w:val="00106207"/>
    <w:rsid w:val="00106BA7"/>
    <w:rsid w:val="001072C8"/>
    <w:rsid w:val="0011008A"/>
    <w:rsid w:val="00110742"/>
    <w:rsid w:val="001115E9"/>
    <w:rsid w:val="00111D7A"/>
    <w:rsid w:val="0011276A"/>
    <w:rsid w:val="00112858"/>
    <w:rsid w:val="00117FBC"/>
    <w:rsid w:val="00120A8C"/>
    <w:rsid w:val="0012125E"/>
    <w:rsid w:val="00121ABE"/>
    <w:rsid w:val="00122187"/>
    <w:rsid w:val="00123C71"/>
    <w:rsid w:val="00124250"/>
    <w:rsid w:val="00127073"/>
    <w:rsid w:val="001301E2"/>
    <w:rsid w:val="00132D04"/>
    <w:rsid w:val="00133888"/>
    <w:rsid w:val="00134F73"/>
    <w:rsid w:val="001372F7"/>
    <w:rsid w:val="00137E67"/>
    <w:rsid w:val="001409B4"/>
    <w:rsid w:val="00140CEB"/>
    <w:rsid w:val="001425FD"/>
    <w:rsid w:val="00142EC1"/>
    <w:rsid w:val="00144B1E"/>
    <w:rsid w:val="001454F8"/>
    <w:rsid w:val="00145918"/>
    <w:rsid w:val="00147166"/>
    <w:rsid w:val="00147C7B"/>
    <w:rsid w:val="00150EF1"/>
    <w:rsid w:val="00151834"/>
    <w:rsid w:val="001525EF"/>
    <w:rsid w:val="00152697"/>
    <w:rsid w:val="00154100"/>
    <w:rsid w:val="001543D2"/>
    <w:rsid w:val="00154BEB"/>
    <w:rsid w:val="00155425"/>
    <w:rsid w:val="00155F81"/>
    <w:rsid w:val="00157571"/>
    <w:rsid w:val="00157831"/>
    <w:rsid w:val="00161183"/>
    <w:rsid w:val="001619BE"/>
    <w:rsid w:val="00164306"/>
    <w:rsid w:val="001661F3"/>
    <w:rsid w:val="001666F1"/>
    <w:rsid w:val="00166A03"/>
    <w:rsid w:val="001706B8"/>
    <w:rsid w:val="0017092A"/>
    <w:rsid w:val="0017142F"/>
    <w:rsid w:val="00171961"/>
    <w:rsid w:val="00172AD3"/>
    <w:rsid w:val="00174026"/>
    <w:rsid w:val="0017491E"/>
    <w:rsid w:val="00176079"/>
    <w:rsid w:val="001763D1"/>
    <w:rsid w:val="001810BD"/>
    <w:rsid w:val="00181DC6"/>
    <w:rsid w:val="001826B2"/>
    <w:rsid w:val="001832FF"/>
    <w:rsid w:val="0018447A"/>
    <w:rsid w:val="00185234"/>
    <w:rsid w:val="001856EE"/>
    <w:rsid w:val="0018731A"/>
    <w:rsid w:val="00187D03"/>
    <w:rsid w:val="00191966"/>
    <w:rsid w:val="00192288"/>
    <w:rsid w:val="00192624"/>
    <w:rsid w:val="0019461F"/>
    <w:rsid w:val="00194C3C"/>
    <w:rsid w:val="00197112"/>
    <w:rsid w:val="001A005C"/>
    <w:rsid w:val="001A14DF"/>
    <w:rsid w:val="001A1786"/>
    <w:rsid w:val="001A1B6B"/>
    <w:rsid w:val="001A1C80"/>
    <w:rsid w:val="001A2FEE"/>
    <w:rsid w:val="001A3766"/>
    <w:rsid w:val="001A5B40"/>
    <w:rsid w:val="001A75E0"/>
    <w:rsid w:val="001B2E9B"/>
    <w:rsid w:val="001B5DFF"/>
    <w:rsid w:val="001C08C8"/>
    <w:rsid w:val="001C1189"/>
    <w:rsid w:val="001C12E5"/>
    <w:rsid w:val="001C35A4"/>
    <w:rsid w:val="001C3D33"/>
    <w:rsid w:val="001C47AC"/>
    <w:rsid w:val="001C7653"/>
    <w:rsid w:val="001C7C75"/>
    <w:rsid w:val="001D5AAF"/>
    <w:rsid w:val="001D6D43"/>
    <w:rsid w:val="001E0321"/>
    <w:rsid w:val="001E0EFB"/>
    <w:rsid w:val="001E1E84"/>
    <w:rsid w:val="001E2938"/>
    <w:rsid w:val="001E405A"/>
    <w:rsid w:val="001E6C06"/>
    <w:rsid w:val="001F27E9"/>
    <w:rsid w:val="001F2CA8"/>
    <w:rsid w:val="001F60FD"/>
    <w:rsid w:val="00200A55"/>
    <w:rsid w:val="002031DF"/>
    <w:rsid w:val="00203380"/>
    <w:rsid w:val="00203857"/>
    <w:rsid w:val="00205707"/>
    <w:rsid w:val="00206A99"/>
    <w:rsid w:val="0020711E"/>
    <w:rsid w:val="00207FFC"/>
    <w:rsid w:val="00210849"/>
    <w:rsid w:val="00210880"/>
    <w:rsid w:val="002119F5"/>
    <w:rsid w:val="0021274F"/>
    <w:rsid w:val="00212F5D"/>
    <w:rsid w:val="00213319"/>
    <w:rsid w:val="00213C23"/>
    <w:rsid w:val="00213F1D"/>
    <w:rsid w:val="00217329"/>
    <w:rsid w:val="00217FE7"/>
    <w:rsid w:val="00220FEB"/>
    <w:rsid w:val="002215E2"/>
    <w:rsid w:val="00221A44"/>
    <w:rsid w:val="00222708"/>
    <w:rsid w:val="00224FAB"/>
    <w:rsid w:val="002256E1"/>
    <w:rsid w:val="002257B9"/>
    <w:rsid w:val="0023137D"/>
    <w:rsid w:val="002324D2"/>
    <w:rsid w:val="0023289F"/>
    <w:rsid w:val="002342DA"/>
    <w:rsid w:val="0023661E"/>
    <w:rsid w:val="0024201C"/>
    <w:rsid w:val="00242EFF"/>
    <w:rsid w:val="002440C2"/>
    <w:rsid w:val="00246458"/>
    <w:rsid w:val="00247AA1"/>
    <w:rsid w:val="002503FE"/>
    <w:rsid w:val="0025343C"/>
    <w:rsid w:val="002540BA"/>
    <w:rsid w:val="002564B2"/>
    <w:rsid w:val="0025658B"/>
    <w:rsid w:val="0025671D"/>
    <w:rsid w:val="0025697A"/>
    <w:rsid w:val="00256CD3"/>
    <w:rsid w:val="0025751C"/>
    <w:rsid w:val="00260407"/>
    <w:rsid w:val="0026359B"/>
    <w:rsid w:val="00264724"/>
    <w:rsid w:val="0026547A"/>
    <w:rsid w:val="00266710"/>
    <w:rsid w:val="00266E96"/>
    <w:rsid w:val="002671EE"/>
    <w:rsid w:val="0026727B"/>
    <w:rsid w:val="00270B46"/>
    <w:rsid w:val="002713A5"/>
    <w:rsid w:val="00271962"/>
    <w:rsid w:val="00272CFF"/>
    <w:rsid w:val="00272EFF"/>
    <w:rsid w:val="00273CD7"/>
    <w:rsid w:val="00277975"/>
    <w:rsid w:val="002802E9"/>
    <w:rsid w:val="002805B8"/>
    <w:rsid w:val="00282FA9"/>
    <w:rsid w:val="002844CD"/>
    <w:rsid w:val="0028545F"/>
    <w:rsid w:val="00291A13"/>
    <w:rsid w:val="002938CE"/>
    <w:rsid w:val="00296A46"/>
    <w:rsid w:val="00297D58"/>
    <w:rsid w:val="002A0BFB"/>
    <w:rsid w:val="002A32E8"/>
    <w:rsid w:val="002A4C08"/>
    <w:rsid w:val="002B127D"/>
    <w:rsid w:val="002B194C"/>
    <w:rsid w:val="002B2199"/>
    <w:rsid w:val="002B3C16"/>
    <w:rsid w:val="002B3FFD"/>
    <w:rsid w:val="002B5515"/>
    <w:rsid w:val="002B5AA7"/>
    <w:rsid w:val="002B5DE6"/>
    <w:rsid w:val="002B6640"/>
    <w:rsid w:val="002B77D2"/>
    <w:rsid w:val="002B7AB9"/>
    <w:rsid w:val="002B7C19"/>
    <w:rsid w:val="002C1669"/>
    <w:rsid w:val="002C1AC5"/>
    <w:rsid w:val="002C4745"/>
    <w:rsid w:val="002C532D"/>
    <w:rsid w:val="002C5583"/>
    <w:rsid w:val="002C5FCD"/>
    <w:rsid w:val="002C604D"/>
    <w:rsid w:val="002D128B"/>
    <w:rsid w:val="002D4BF6"/>
    <w:rsid w:val="002D61A9"/>
    <w:rsid w:val="002D61AC"/>
    <w:rsid w:val="002D67D1"/>
    <w:rsid w:val="002D7226"/>
    <w:rsid w:val="002D7600"/>
    <w:rsid w:val="002D76FD"/>
    <w:rsid w:val="002E23CD"/>
    <w:rsid w:val="002E3D4A"/>
    <w:rsid w:val="002E3E3D"/>
    <w:rsid w:val="002E3E7E"/>
    <w:rsid w:val="002E4637"/>
    <w:rsid w:val="002F23AE"/>
    <w:rsid w:val="002F2933"/>
    <w:rsid w:val="002F6AF2"/>
    <w:rsid w:val="002F6DB6"/>
    <w:rsid w:val="002F766F"/>
    <w:rsid w:val="003021A0"/>
    <w:rsid w:val="00303452"/>
    <w:rsid w:val="00303C8C"/>
    <w:rsid w:val="00304201"/>
    <w:rsid w:val="00304D07"/>
    <w:rsid w:val="003050F4"/>
    <w:rsid w:val="00305E5F"/>
    <w:rsid w:val="00305F98"/>
    <w:rsid w:val="0030610D"/>
    <w:rsid w:val="0030637D"/>
    <w:rsid w:val="00306C8A"/>
    <w:rsid w:val="00307DE1"/>
    <w:rsid w:val="00310D86"/>
    <w:rsid w:val="00311F12"/>
    <w:rsid w:val="00312E82"/>
    <w:rsid w:val="0031560F"/>
    <w:rsid w:val="0031777B"/>
    <w:rsid w:val="00320EFB"/>
    <w:rsid w:val="00321FDB"/>
    <w:rsid w:val="00323C00"/>
    <w:rsid w:val="00326166"/>
    <w:rsid w:val="0032732E"/>
    <w:rsid w:val="003309DA"/>
    <w:rsid w:val="003324F7"/>
    <w:rsid w:val="00333BA4"/>
    <w:rsid w:val="00334F88"/>
    <w:rsid w:val="00335B9A"/>
    <w:rsid w:val="003360A9"/>
    <w:rsid w:val="003360D2"/>
    <w:rsid w:val="003375BA"/>
    <w:rsid w:val="0034131E"/>
    <w:rsid w:val="00342DEB"/>
    <w:rsid w:val="00344020"/>
    <w:rsid w:val="003454C2"/>
    <w:rsid w:val="00345815"/>
    <w:rsid w:val="003514D2"/>
    <w:rsid w:val="003517E7"/>
    <w:rsid w:val="003556C5"/>
    <w:rsid w:val="003560D9"/>
    <w:rsid w:val="00362ACC"/>
    <w:rsid w:val="0036320B"/>
    <w:rsid w:val="00363816"/>
    <w:rsid w:val="00364398"/>
    <w:rsid w:val="003645FB"/>
    <w:rsid w:val="003651C3"/>
    <w:rsid w:val="0036773D"/>
    <w:rsid w:val="003707DB"/>
    <w:rsid w:val="003708F8"/>
    <w:rsid w:val="003709E3"/>
    <w:rsid w:val="00370C07"/>
    <w:rsid w:val="00371E4A"/>
    <w:rsid w:val="003726EC"/>
    <w:rsid w:val="00373D9C"/>
    <w:rsid w:val="00375AEC"/>
    <w:rsid w:val="00376236"/>
    <w:rsid w:val="0037652C"/>
    <w:rsid w:val="00376698"/>
    <w:rsid w:val="00377D2E"/>
    <w:rsid w:val="00377E39"/>
    <w:rsid w:val="00377FB0"/>
    <w:rsid w:val="00377FE9"/>
    <w:rsid w:val="003800E4"/>
    <w:rsid w:val="003801BD"/>
    <w:rsid w:val="00380FF5"/>
    <w:rsid w:val="00381286"/>
    <w:rsid w:val="00386913"/>
    <w:rsid w:val="0038726E"/>
    <w:rsid w:val="00387D43"/>
    <w:rsid w:val="003906D7"/>
    <w:rsid w:val="003921D8"/>
    <w:rsid w:val="00392660"/>
    <w:rsid w:val="00394420"/>
    <w:rsid w:val="0039513D"/>
    <w:rsid w:val="00395B39"/>
    <w:rsid w:val="00396B8B"/>
    <w:rsid w:val="003A0D8A"/>
    <w:rsid w:val="003A2CF9"/>
    <w:rsid w:val="003A55B1"/>
    <w:rsid w:val="003A59DE"/>
    <w:rsid w:val="003A6174"/>
    <w:rsid w:val="003A64AB"/>
    <w:rsid w:val="003A660E"/>
    <w:rsid w:val="003A6A38"/>
    <w:rsid w:val="003B07F6"/>
    <w:rsid w:val="003B2E3D"/>
    <w:rsid w:val="003B3FCB"/>
    <w:rsid w:val="003B649B"/>
    <w:rsid w:val="003B6ACC"/>
    <w:rsid w:val="003B6DF8"/>
    <w:rsid w:val="003C0732"/>
    <w:rsid w:val="003C1008"/>
    <w:rsid w:val="003C29C6"/>
    <w:rsid w:val="003C3AE7"/>
    <w:rsid w:val="003C3BF3"/>
    <w:rsid w:val="003C6597"/>
    <w:rsid w:val="003C6D79"/>
    <w:rsid w:val="003C6F66"/>
    <w:rsid w:val="003D005B"/>
    <w:rsid w:val="003D0371"/>
    <w:rsid w:val="003D1023"/>
    <w:rsid w:val="003D13F1"/>
    <w:rsid w:val="003D212C"/>
    <w:rsid w:val="003D28E1"/>
    <w:rsid w:val="003D314F"/>
    <w:rsid w:val="003D3433"/>
    <w:rsid w:val="003D5089"/>
    <w:rsid w:val="003D54DF"/>
    <w:rsid w:val="003E052E"/>
    <w:rsid w:val="003E24E4"/>
    <w:rsid w:val="003E5420"/>
    <w:rsid w:val="003E60C6"/>
    <w:rsid w:val="003E7A71"/>
    <w:rsid w:val="003E7BBE"/>
    <w:rsid w:val="003F10B8"/>
    <w:rsid w:val="003F1D8D"/>
    <w:rsid w:val="003F1F2D"/>
    <w:rsid w:val="003F243D"/>
    <w:rsid w:val="003F4032"/>
    <w:rsid w:val="003F4407"/>
    <w:rsid w:val="0040227A"/>
    <w:rsid w:val="004030AB"/>
    <w:rsid w:val="00403BBF"/>
    <w:rsid w:val="00404434"/>
    <w:rsid w:val="00404887"/>
    <w:rsid w:val="00407AB8"/>
    <w:rsid w:val="00410059"/>
    <w:rsid w:val="004117F4"/>
    <w:rsid w:val="00412282"/>
    <w:rsid w:val="004163D9"/>
    <w:rsid w:val="00416EFF"/>
    <w:rsid w:val="00417443"/>
    <w:rsid w:val="00420450"/>
    <w:rsid w:val="004206D5"/>
    <w:rsid w:val="00424ABE"/>
    <w:rsid w:val="004256BA"/>
    <w:rsid w:val="00426A10"/>
    <w:rsid w:val="00427685"/>
    <w:rsid w:val="00431999"/>
    <w:rsid w:val="004322AD"/>
    <w:rsid w:val="00432D31"/>
    <w:rsid w:val="0043519B"/>
    <w:rsid w:val="00435682"/>
    <w:rsid w:val="00436E4A"/>
    <w:rsid w:val="00437FB8"/>
    <w:rsid w:val="00441EB7"/>
    <w:rsid w:val="00443ABC"/>
    <w:rsid w:val="004442AC"/>
    <w:rsid w:val="00446314"/>
    <w:rsid w:val="0044696B"/>
    <w:rsid w:val="00450614"/>
    <w:rsid w:val="004506B8"/>
    <w:rsid w:val="0045178A"/>
    <w:rsid w:val="00452423"/>
    <w:rsid w:val="00453E05"/>
    <w:rsid w:val="00455B53"/>
    <w:rsid w:val="00456081"/>
    <w:rsid w:val="0045733D"/>
    <w:rsid w:val="004614B4"/>
    <w:rsid w:val="00463C61"/>
    <w:rsid w:val="00464C4D"/>
    <w:rsid w:val="00464F5D"/>
    <w:rsid w:val="00467932"/>
    <w:rsid w:val="00467FFD"/>
    <w:rsid w:val="00471D93"/>
    <w:rsid w:val="00474FBD"/>
    <w:rsid w:val="00475BFC"/>
    <w:rsid w:val="004808E8"/>
    <w:rsid w:val="0048149B"/>
    <w:rsid w:val="0049047E"/>
    <w:rsid w:val="00490BCB"/>
    <w:rsid w:val="004911EA"/>
    <w:rsid w:val="004915ED"/>
    <w:rsid w:val="00491918"/>
    <w:rsid w:val="00491D7D"/>
    <w:rsid w:val="00492BF2"/>
    <w:rsid w:val="004937B1"/>
    <w:rsid w:val="00494409"/>
    <w:rsid w:val="00494685"/>
    <w:rsid w:val="00494D15"/>
    <w:rsid w:val="004A2E28"/>
    <w:rsid w:val="004A3036"/>
    <w:rsid w:val="004A64B2"/>
    <w:rsid w:val="004A74D4"/>
    <w:rsid w:val="004A7F08"/>
    <w:rsid w:val="004B12A6"/>
    <w:rsid w:val="004B460A"/>
    <w:rsid w:val="004B57DD"/>
    <w:rsid w:val="004B7124"/>
    <w:rsid w:val="004C0AC0"/>
    <w:rsid w:val="004C1F67"/>
    <w:rsid w:val="004C2701"/>
    <w:rsid w:val="004C3F45"/>
    <w:rsid w:val="004C5597"/>
    <w:rsid w:val="004C7FDD"/>
    <w:rsid w:val="004D44E5"/>
    <w:rsid w:val="004D525B"/>
    <w:rsid w:val="004D6340"/>
    <w:rsid w:val="004D72CA"/>
    <w:rsid w:val="004D77F9"/>
    <w:rsid w:val="004E079C"/>
    <w:rsid w:val="004E1FAB"/>
    <w:rsid w:val="004E27DF"/>
    <w:rsid w:val="004E40EF"/>
    <w:rsid w:val="004E47E8"/>
    <w:rsid w:val="004E5504"/>
    <w:rsid w:val="004E63FF"/>
    <w:rsid w:val="004E73F7"/>
    <w:rsid w:val="004F06BB"/>
    <w:rsid w:val="004F0AA0"/>
    <w:rsid w:val="004F0B41"/>
    <w:rsid w:val="004F468C"/>
    <w:rsid w:val="004F4E3D"/>
    <w:rsid w:val="004F59BF"/>
    <w:rsid w:val="004F5B86"/>
    <w:rsid w:val="004F67D7"/>
    <w:rsid w:val="004F6C0F"/>
    <w:rsid w:val="004F7385"/>
    <w:rsid w:val="004F76A0"/>
    <w:rsid w:val="005005AA"/>
    <w:rsid w:val="00500D00"/>
    <w:rsid w:val="00500E7F"/>
    <w:rsid w:val="00501B56"/>
    <w:rsid w:val="00501C15"/>
    <w:rsid w:val="005024BC"/>
    <w:rsid w:val="00503602"/>
    <w:rsid w:val="005042FD"/>
    <w:rsid w:val="00506C3C"/>
    <w:rsid w:val="00507C25"/>
    <w:rsid w:val="00511E29"/>
    <w:rsid w:val="00512E08"/>
    <w:rsid w:val="00513C27"/>
    <w:rsid w:val="00515365"/>
    <w:rsid w:val="005162A2"/>
    <w:rsid w:val="005202A3"/>
    <w:rsid w:val="0052115E"/>
    <w:rsid w:val="00521164"/>
    <w:rsid w:val="0052179D"/>
    <w:rsid w:val="0052300E"/>
    <w:rsid w:val="00523722"/>
    <w:rsid w:val="00523F20"/>
    <w:rsid w:val="005264E8"/>
    <w:rsid w:val="00526A45"/>
    <w:rsid w:val="005278DF"/>
    <w:rsid w:val="005320D7"/>
    <w:rsid w:val="005324E9"/>
    <w:rsid w:val="00533D2D"/>
    <w:rsid w:val="00533DF9"/>
    <w:rsid w:val="00536037"/>
    <w:rsid w:val="00536772"/>
    <w:rsid w:val="00536803"/>
    <w:rsid w:val="00537065"/>
    <w:rsid w:val="0053724F"/>
    <w:rsid w:val="00537F6F"/>
    <w:rsid w:val="0054191B"/>
    <w:rsid w:val="0054245F"/>
    <w:rsid w:val="00542856"/>
    <w:rsid w:val="005430A5"/>
    <w:rsid w:val="0054498C"/>
    <w:rsid w:val="00544AB0"/>
    <w:rsid w:val="00544CF8"/>
    <w:rsid w:val="0054515B"/>
    <w:rsid w:val="005456A9"/>
    <w:rsid w:val="00546D22"/>
    <w:rsid w:val="00550143"/>
    <w:rsid w:val="00552961"/>
    <w:rsid w:val="00554263"/>
    <w:rsid w:val="0055433A"/>
    <w:rsid w:val="00555761"/>
    <w:rsid w:val="00555940"/>
    <w:rsid w:val="00555AA8"/>
    <w:rsid w:val="00555C78"/>
    <w:rsid w:val="00555D52"/>
    <w:rsid w:val="0055644E"/>
    <w:rsid w:val="005566A5"/>
    <w:rsid w:val="005566D7"/>
    <w:rsid w:val="00557798"/>
    <w:rsid w:val="00561F7F"/>
    <w:rsid w:val="00561F83"/>
    <w:rsid w:val="00562AA2"/>
    <w:rsid w:val="00565CE8"/>
    <w:rsid w:val="00566B35"/>
    <w:rsid w:val="00567A8C"/>
    <w:rsid w:val="005703D2"/>
    <w:rsid w:val="00572F6C"/>
    <w:rsid w:val="005732CC"/>
    <w:rsid w:val="0057345B"/>
    <w:rsid w:val="005738B4"/>
    <w:rsid w:val="00575422"/>
    <w:rsid w:val="00581498"/>
    <w:rsid w:val="00581BE5"/>
    <w:rsid w:val="00585EE7"/>
    <w:rsid w:val="005870C9"/>
    <w:rsid w:val="005902A9"/>
    <w:rsid w:val="005938C6"/>
    <w:rsid w:val="00595108"/>
    <w:rsid w:val="00595D38"/>
    <w:rsid w:val="005965DD"/>
    <w:rsid w:val="00597C0E"/>
    <w:rsid w:val="005A0431"/>
    <w:rsid w:val="005A12F1"/>
    <w:rsid w:val="005A1846"/>
    <w:rsid w:val="005A28AB"/>
    <w:rsid w:val="005A3E58"/>
    <w:rsid w:val="005A4287"/>
    <w:rsid w:val="005A4CC9"/>
    <w:rsid w:val="005A6536"/>
    <w:rsid w:val="005A6685"/>
    <w:rsid w:val="005A73E8"/>
    <w:rsid w:val="005A7636"/>
    <w:rsid w:val="005A7889"/>
    <w:rsid w:val="005B011A"/>
    <w:rsid w:val="005B16BC"/>
    <w:rsid w:val="005B3594"/>
    <w:rsid w:val="005B3752"/>
    <w:rsid w:val="005B3912"/>
    <w:rsid w:val="005B3F57"/>
    <w:rsid w:val="005B61C2"/>
    <w:rsid w:val="005B6A30"/>
    <w:rsid w:val="005C1C77"/>
    <w:rsid w:val="005C2FCD"/>
    <w:rsid w:val="005C4ED6"/>
    <w:rsid w:val="005C5697"/>
    <w:rsid w:val="005C672D"/>
    <w:rsid w:val="005D0C50"/>
    <w:rsid w:val="005D26B7"/>
    <w:rsid w:val="005D2C4A"/>
    <w:rsid w:val="005D3913"/>
    <w:rsid w:val="005D3BF8"/>
    <w:rsid w:val="005D4AA1"/>
    <w:rsid w:val="005D4F55"/>
    <w:rsid w:val="005D5EBE"/>
    <w:rsid w:val="005D68BD"/>
    <w:rsid w:val="005E1063"/>
    <w:rsid w:val="005E4DCC"/>
    <w:rsid w:val="005E5B5C"/>
    <w:rsid w:val="005F0539"/>
    <w:rsid w:val="005F473F"/>
    <w:rsid w:val="005F4770"/>
    <w:rsid w:val="005F4C99"/>
    <w:rsid w:val="005F55E7"/>
    <w:rsid w:val="00600DEC"/>
    <w:rsid w:val="00600F32"/>
    <w:rsid w:val="00601261"/>
    <w:rsid w:val="0060146C"/>
    <w:rsid w:val="00602033"/>
    <w:rsid w:val="0060207D"/>
    <w:rsid w:val="00602673"/>
    <w:rsid w:val="006039F2"/>
    <w:rsid w:val="00604401"/>
    <w:rsid w:val="00604610"/>
    <w:rsid w:val="0060461E"/>
    <w:rsid w:val="006047FC"/>
    <w:rsid w:val="00605327"/>
    <w:rsid w:val="006061B0"/>
    <w:rsid w:val="00606C02"/>
    <w:rsid w:val="0060732E"/>
    <w:rsid w:val="00607455"/>
    <w:rsid w:val="006076A9"/>
    <w:rsid w:val="00610994"/>
    <w:rsid w:val="0061417E"/>
    <w:rsid w:val="006159CF"/>
    <w:rsid w:val="00620B36"/>
    <w:rsid w:val="006218BB"/>
    <w:rsid w:val="00621AA8"/>
    <w:rsid w:val="00621BE7"/>
    <w:rsid w:val="00622B61"/>
    <w:rsid w:val="00622EB4"/>
    <w:rsid w:val="0062404E"/>
    <w:rsid w:val="00627269"/>
    <w:rsid w:val="00627298"/>
    <w:rsid w:val="00631141"/>
    <w:rsid w:val="00634A2A"/>
    <w:rsid w:val="00634DF5"/>
    <w:rsid w:val="0063681C"/>
    <w:rsid w:val="00636C2F"/>
    <w:rsid w:val="006423CF"/>
    <w:rsid w:val="00642DFC"/>
    <w:rsid w:val="00643B69"/>
    <w:rsid w:val="0064512C"/>
    <w:rsid w:val="00645D01"/>
    <w:rsid w:val="00645DE0"/>
    <w:rsid w:val="006463E9"/>
    <w:rsid w:val="00646428"/>
    <w:rsid w:val="0065363F"/>
    <w:rsid w:val="006544EA"/>
    <w:rsid w:val="006557C4"/>
    <w:rsid w:val="0065581A"/>
    <w:rsid w:val="006561FF"/>
    <w:rsid w:val="00656F1D"/>
    <w:rsid w:val="00657522"/>
    <w:rsid w:val="00657D96"/>
    <w:rsid w:val="006601D0"/>
    <w:rsid w:val="00661289"/>
    <w:rsid w:val="00662629"/>
    <w:rsid w:val="0066390A"/>
    <w:rsid w:val="006642F4"/>
    <w:rsid w:val="006643A1"/>
    <w:rsid w:val="0066569F"/>
    <w:rsid w:val="0066573D"/>
    <w:rsid w:val="0066651F"/>
    <w:rsid w:val="00666C8E"/>
    <w:rsid w:val="00671F11"/>
    <w:rsid w:val="00671F70"/>
    <w:rsid w:val="006738AB"/>
    <w:rsid w:val="006755EA"/>
    <w:rsid w:val="00675CFD"/>
    <w:rsid w:val="00675E5E"/>
    <w:rsid w:val="00676D99"/>
    <w:rsid w:val="00682BB5"/>
    <w:rsid w:val="0068777F"/>
    <w:rsid w:val="0069004B"/>
    <w:rsid w:val="006917AB"/>
    <w:rsid w:val="006920E1"/>
    <w:rsid w:val="00694022"/>
    <w:rsid w:val="006949FC"/>
    <w:rsid w:val="00694CB3"/>
    <w:rsid w:val="006952FC"/>
    <w:rsid w:val="00696D9A"/>
    <w:rsid w:val="006A181A"/>
    <w:rsid w:val="006A288C"/>
    <w:rsid w:val="006A34F8"/>
    <w:rsid w:val="006A3C1E"/>
    <w:rsid w:val="006A5F0E"/>
    <w:rsid w:val="006A6159"/>
    <w:rsid w:val="006A783A"/>
    <w:rsid w:val="006B08EB"/>
    <w:rsid w:val="006B1460"/>
    <w:rsid w:val="006B195C"/>
    <w:rsid w:val="006B2317"/>
    <w:rsid w:val="006B25BE"/>
    <w:rsid w:val="006B2AA1"/>
    <w:rsid w:val="006B32E6"/>
    <w:rsid w:val="006B33D0"/>
    <w:rsid w:val="006B481F"/>
    <w:rsid w:val="006B59CA"/>
    <w:rsid w:val="006B5C61"/>
    <w:rsid w:val="006C0677"/>
    <w:rsid w:val="006C1E29"/>
    <w:rsid w:val="006C2029"/>
    <w:rsid w:val="006C2F38"/>
    <w:rsid w:val="006C3684"/>
    <w:rsid w:val="006C52F4"/>
    <w:rsid w:val="006D0F2D"/>
    <w:rsid w:val="006D181B"/>
    <w:rsid w:val="006D760A"/>
    <w:rsid w:val="006D7CA8"/>
    <w:rsid w:val="006D7CC8"/>
    <w:rsid w:val="006E27BE"/>
    <w:rsid w:val="006E326A"/>
    <w:rsid w:val="006E35BF"/>
    <w:rsid w:val="006E4081"/>
    <w:rsid w:val="006E4637"/>
    <w:rsid w:val="006E58C9"/>
    <w:rsid w:val="006E73DA"/>
    <w:rsid w:val="006F11D2"/>
    <w:rsid w:val="006F2273"/>
    <w:rsid w:val="006F2964"/>
    <w:rsid w:val="006F3E98"/>
    <w:rsid w:val="006F638E"/>
    <w:rsid w:val="006F6C6A"/>
    <w:rsid w:val="006F6F99"/>
    <w:rsid w:val="00700684"/>
    <w:rsid w:val="00703E42"/>
    <w:rsid w:val="00705A37"/>
    <w:rsid w:val="0070657A"/>
    <w:rsid w:val="0070795D"/>
    <w:rsid w:val="00707C9F"/>
    <w:rsid w:val="007118EC"/>
    <w:rsid w:val="007122BA"/>
    <w:rsid w:val="00713B5E"/>
    <w:rsid w:val="00713EFB"/>
    <w:rsid w:val="007144BA"/>
    <w:rsid w:val="007159D7"/>
    <w:rsid w:val="00717980"/>
    <w:rsid w:val="00721E09"/>
    <w:rsid w:val="00721E10"/>
    <w:rsid w:val="007224A7"/>
    <w:rsid w:val="0072305B"/>
    <w:rsid w:val="00723610"/>
    <w:rsid w:val="007349AE"/>
    <w:rsid w:val="00735007"/>
    <w:rsid w:val="007368AD"/>
    <w:rsid w:val="00736ED8"/>
    <w:rsid w:val="00740EFE"/>
    <w:rsid w:val="00742FE5"/>
    <w:rsid w:val="007430F2"/>
    <w:rsid w:val="00745861"/>
    <w:rsid w:val="007462C1"/>
    <w:rsid w:val="00747797"/>
    <w:rsid w:val="0075031A"/>
    <w:rsid w:val="007512C4"/>
    <w:rsid w:val="00751D2A"/>
    <w:rsid w:val="0075291B"/>
    <w:rsid w:val="00752CCE"/>
    <w:rsid w:val="00753819"/>
    <w:rsid w:val="007544D4"/>
    <w:rsid w:val="00755095"/>
    <w:rsid w:val="00755FB1"/>
    <w:rsid w:val="0075722C"/>
    <w:rsid w:val="00762241"/>
    <w:rsid w:val="007628A7"/>
    <w:rsid w:val="00763089"/>
    <w:rsid w:val="00763636"/>
    <w:rsid w:val="00763A30"/>
    <w:rsid w:val="0076507D"/>
    <w:rsid w:val="00765856"/>
    <w:rsid w:val="00765925"/>
    <w:rsid w:val="00766A3A"/>
    <w:rsid w:val="00767C94"/>
    <w:rsid w:val="00767E14"/>
    <w:rsid w:val="0077034B"/>
    <w:rsid w:val="00771F6D"/>
    <w:rsid w:val="007730D8"/>
    <w:rsid w:val="00773E44"/>
    <w:rsid w:val="007750C3"/>
    <w:rsid w:val="00780189"/>
    <w:rsid w:val="00780573"/>
    <w:rsid w:val="00780F92"/>
    <w:rsid w:val="00781BC3"/>
    <w:rsid w:val="00782467"/>
    <w:rsid w:val="00783BD3"/>
    <w:rsid w:val="00784096"/>
    <w:rsid w:val="007873CC"/>
    <w:rsid w:val="00792769"/>
    <w:rsid w:val="00792A02"/>
    <w:rsid w:val="00796A07"/>
    <w:rsid w:val="00796A24"/>
    <w:rsid w:val="0079726F"/>
    <w:rsid w:val="007A2336"/>
    <w:rsid w:val="007A2CAA"/>
    <w:rsid w:val="007A5279"/>
    <w:rsid w:val="007A6187"/>
    <w:rsid w:val="007B0375"/>
    <w:rsid w:val="007B044E"/>
    <w:rsid w:val="007B0582"/>
    <w:rsid w:val="007B0C95"/>
    <w:rsid w:val="007B2959"/>
    <w:rsid w:val="007B2D0C"/>
    <w:rsid w:val="007B42A0"/>
    <w:rsid w:val="007B6C98"/>
    <w:rsid w:val="007C0356"/>
    <w:rsid w:val="007C09CC"/>
    <w:rsid w:val="007C1E57"/>
    <w:rsid w:val="007C2365"/>
    <w:rsid w:val="007C2F74"/>
    <w:rsid w:val="007C310A"/>
    <w:rsid w:val="007C40C0"/>
    <w:rsid w:val="007C4D43"/>
    <w:rsid w:val="007C4D5E"/>
    <w:rsid w:val="007C4DE7"/>
    <w:rsid w:val="007C5866"/>
    <w:rsid w:val="007C5CDA"/>
    <w:rsid w:val="007C6B95"/>
    <w:rsid w:val="007C780F"/>
    <w:rsid w:val="007C7EC1"/>
    <w:rsid w:val="007D03DB"/>
    <w:rsid w:val="007D0464"/>
    <w:rsid w:val="007D2359"/>
    <w:rsid w:val="007D239E"/>
    <w:rsid w:val="007D3570"/>
    <w:rsid w:val="007D4891"/>
    <w:rsid w:val="007D5234"/>
    <w:rsid w:val="007D7671"/>
    <w:rsid w:val="007D7D13"/>
    <w:rsid w:val="007E2164"/>
    <w:rsid w:val="007E2E21"/>
    <w:rsid w:val="007E4372"/>
    <w:rsid w:val="007E4792"/>
    <w:rsid w:val="007E509D"/>
    <w:rsid w:val="007E622F"/>
    <w:rsid w:val="007F07E6"/>
    <w:rsid w:val="007F10E3"/>
    <w:rsid w:val="007F24CA"/>
    <w:rsid w:val="007F2C0E"/>
    <w:rsid w:val="007F47A0"/>
    <w:rsid w:val="007F608D"/>
    <w:rsid w:val="008009F4"/>
    <w:rsid w:val="0080201A"/>
    <w:rsid w:val="00802908"/>
    <w:rsid w:val="00803036"/>
    <w:rsid w:val="00804AC1"/>
    <w:rsid w:val="00804AEB"/>
    <w:rsid w:val="00804ECC"/>
    <w:rsid w:val="008050B1"/>
    <w:rsid w:val="008050FA"/>
    <w:rsid w:val="0080618F"/>
    <w:rsid w:val="0081040C"/>
    <w:rsid w:val="00810B97"/>
    <w:rsid w:val="008116BE"/>
    <w:rsid w:val="00811904"/>
    <w:rsid w:val="00811D0F"/>
    <w:rsid w:val="0081361B"/>
    <w:rsid w:val="00823439"/>
    <w:rsid w:val="00823522"/>
    <w:rsid w:val="00823900"/>
    <w:rsid w:val="00824ECC"/>
    <w:rsid w:val="008259AD"/>
    <w:rsid w:val="00830396"/>
    <w:rsid w:val="008304A6"/>
    <w:rsid w:val="00830AFD"/>
    <w:rsid w:val="008325F6"/>
    <w:rsid w:val="008330F5"/>
    <w:rsid w:val="0083338B"/>
    <w:rsid w:val="00834DA1"/>
    <w:rsid w:val="00836D17"/>
    <w:rsid w:val="00836FBA"/>
    <w:rsid w:val="00837A34"/>
    <w:rsid w:val="008408D5"/>
    <w:rsid w:val="00840A39"/>
    <w:rsid w:val="00840A55"/>
    <w:rsid w:val="00841659"/>
    <w:rsid w:val="00841787"/>
    <w:rsid w:val="00841E25"/>
    <w:rsid w:val="00842C3D"/>
    <w:rsid w:val="00844439"/>
    <w:rsid w:val="008464CD"/>
    <w:rsid w:val="00846832"/>
    <w:rsid w:val="00846873"/>
    <w:rsid w:val="00846D54"/>
    <w:rsid w:val="008515EE"/>
    <w:rsid w:val="00851C93"/>
    <w:rsid w:val="008528F9"/>
    <w:rsid w:val="00852ABA"/>
    <w:rsid w:val="008552C6"/>
    <w:rsid w:val="00855EE7"/>
    <w:rsid w:val="0085643F"/>
    <w:rsid w:val="00857B7B"/>
    <w:rsid w:val="008601AA"/>
    <w:rsid w:val="00861AD6"/>
    <w:rsid w:val="00861C4E"/>
    <w:rsid w:val="008629FB"/>
    <w:rsid w:val="00863A6D"/>
    <w:rsid w:val="008648C1"/>
    <w:rsid w:val="00864E7B"/>
    <w:rsid w:val="008657A8"/>
    <w:rsid w:val="00866D21"/>
    <w:rsid w:val="0086734F"/>
    <w:rsid w:val="0087051B"/>
    <w:rsid w:val="00871917"/>
    <w:rsid w:val="00873C65"/>
    <w:rsid w:val="00874997"/>
    <w:rsid w:val="00874BF4"/>
    <w:rsid w:val="00874C5F"/>
    <w:rsid w:val="008752FE"/>
    <w:rsid w:val="00875660"/>
    <w:rsid w:val="00875D5A"/>
    <w:rsid w:val="008811AC"/>
    <w:rsid w:val="008812F9"/>
    <w:rsid w:val="008816D6"/>
    <w:rsid w:val="00882BEC"/>
    <w:rsid w:val="00883DDA"/>
    <w:rsid w:val="008914E8"/>
    <w:rsid w:val="00891FF9"/>
    <w:rsid w:val="00892501"/>
    <w:rsid w:val="00892A73"/>
    <w:rsid w:val="00893367"/>
    <w:rsid w:val="00893CE6"/>
    <w:rsid w:val="00893CF5"/>
    <w:rsid w:val="00893D4A"/>
    <w:rsid w:val="00893F3C"/>
    <w:rsid w:val="008944EC"/>
    <w:rsid w:val="00894EE1"/>
    <w:rsid w:val="00896536"/>
    <w:rsid w:val="00896C66"/>
    <w:rsid w:val="008971BE"/>
    <w:rsid w:val="008A3883"/>
    <w:rsid w:val="008A3D7C"/>
    <w:rsid w:val="008A4F3E"/>
    <w:rsid w:val="008A5DFF"/>
    <w:rsid w:val="008B06C8"/>
    <w:rsid w:val="008B5673"/>
    <w:rsid w:val="008B57E1"/>
    <w:rsid w:val="008B5ED5"/>
    <w:rsid w:val="008B6795"/>
    <w:rsid w:val="008B7003"/>
    <w:rsid w:val="008B7BE1"/>
    <w:rsid w:val="008C11D6"/>
    <w:rsid w:val="008C14C8"/>
    <w:rsid w:val="008C1AD4"/>
    <w:rsid w:val="008C3B67"/>
    <w:rsid w:val="008C3F48"/>
    <w:rsid w:val="008C6A9D"/>
    <w:rsid w:val="008C768F"/>
    <w:rsid w:val="008D03F9"/>
    <w:rsid w:val="008D09C8"/>
    <w:rsid w:val="008D2327"/>
    <w:rsid w:val="008D2AC5"/>
    <w:rsid w:val="008D3319"/>
    <w:rsid w:val="008D49B4"/>
    <w:rsid w:val="008D4B89"/>
    <w:rsid w:val="008D5038"/>
    <w:rsid w:val="008D678B"/>
    <w:rsid w:val="008D73D1"/>
    <w:rsid w:val="008D7498"/>
    <w:rsid w:val="008D78E9"/>
    <w:rsid w:val="008E18FC"/>
    <w:rsid w:val="008E1D13"/>
    <w:rsid w:val="008E280E"/>
    <w:rsid w:val="008E2F58"/>
    <w:rsid w:val="008E6F2D"/>
    <w:rsid w:val="008E7309"/>
    <w:rsid w:val="008F04A4"/>
    <w:rsid w:val="008F1646"/>
    <w:rsid w:val="008F182B"/>
    <w:rsid w:val="008F2300"/>
    <w:rsid w:val="008F267A"/>
    <w:rsid w:val="008F3A12"/>
    <w:rsid w:val="008F3C10"/>
    <w:rsid w:val="008F3EC2"/>
    <w:rsid w:val="008F426F"/>
    <w:rsid w:val="008F4858"/>
    <w:rsid w:val="008F4FE9"/>
    <w:rsid w:val="008F7759"/>
    <w:rsid w:val="00901C1F"/>
    <w:rsid w:val="009020E3"/>
    <w:rsid w:val="00903A7D"/>
    <w:rsid w:val="0090442E"/>
    <w:rsid w:val="00905A5C"/>
    <w:rsid w:val="009107DE"/>
    <w:rsid w:val="00910EDC"/>
    <w:rsid w:val="00911E58"/>
    <w:rsid w:val="00912723"/>
    <w:rsid w:val="009129D9"/>
    <w:rsid w:val="00912ACD"/>
    <w:rsid w:val="0091385A"/>
    <w:rsid w:val="0091420F"/>
    <w:rsid w:val="00914B64"/>
    <w:rsid w:val="00915300"/>
    <w:rsid w:val="009157C6"/>
    <w:rsid w:val="00917E8D"/>
    <w:rsid w:val="009214D5"/>
    <w:rsid w:val="00922BB2"/>
    <w:rsid w:val="009261B3"/>
    <w:rsid w:val="00926807"/>
    <w:rsid w:val="00927485"/>
    <w:rsid w:val="00930AE3"/>
    <w:rsid w:val="00930FBB"/>
    <w:rsid w:val="00932E96"/>
    <w:rsid w:val="009348C6"/>
    <w:rsid w:val="00935EB8"/>
    <w:rsid w:val="00936179"/>
    <w:rsid w:val="00937127"/>
    <w:rsid w:val="009375ED"/>
    <w:rsid w:val="00937D9D"/>
    <w:rsid w:val="009417FA"/>
    <w:rsid w:val="009418E6"/>
    <w:rsid w:val="009419BF"/>
    <w:rsid w:val="00941EE7"/>
    <w:rsid w:val="009422C4"/>
    <w:rsid w:val="0094235F"/>
    <w:rsid w:val="0094279F"/>
    <w:rsid w:val="00942EB1"/>
    <w:rsid w:val="00944452"/>
    <w:rsid w:val="00945491"/>
    <w:rsid w:val="00945F31"/>
    <w:rsid w:val="00946A43"/>
    <w:rsid w:val="00946B98"/>
    <w:rsid w:val="0095052A"/>
    <w:rsid w:val="00950A58"/>
    <w:rsid w:val="00950E46"/>
    <w:rsid w:val="00950F46"/>
    <w:rsid w:val="00951C0C"/>
    <w:rsid w:val="00951DD0"/>
    <w:rsid w:val="00951FDD"/>
    <w:rsid w:val="009531A2"/>
    <w:rsid w:val="009550E6"/>
    <w:rsid w:val="0095548D"/>
    <w:rsid w:val="00957114"/>
    <w:rsid w:val="00957A5D"/>
    <w:rsid w:val="00961502"/>
    <w:rsid w:val="009658F0"/>
    <w:rsid w:val="0096607B"/>
    <w:rsid w:val="00966ABA"/>
    <w:rsid w:val="00966B99"/>
    <w:rsid w:val="00966F2B"/>
    <w:rsid w:val="009716F0"/>
    <w:rsid w:val="009718DE"/>
    <w:rsid w:val="00971C52"/>
    <w:rsid w:val="00971C63"/>
    <w:rsid w:val="00972B16"/>
    <w:rsid w:val="00973572"/>
    <w:rsid w:val="0097603D"/>
    <w:rsid w:val="00977BA7"/>
    <w:rsid w:val="00977CAA"/>
    <w:rsid w:val="00977E9D"/>
    <w:rsid w:val="0098225C"/>
    <w:rsid w:val="00982A6B"/>
    <w:rsid w:val="00982C9C"/>
    <w:rsid w:val="0098337D"/>
    <w:rsid w:val="0098396B"/>
    <w:rsid w:val="00984689"/>
    <w:rsid w:val="00986868"/>
    <w:rsid w:val="00986EF8"/>
    <w:rsid w:val="00990A1E"/>
    <w:rsid w:val="00990D94"/>
    <w:rsid w:val="00991814"/>
    <w:rsid w:val="009932F3"/>
    <w:rsid w:val="009955DF"/>
    <w:rsid w:val="00995621"/>
    <w:rsid w:val="009965FE"/>
    <w:rsid w:val="00996FE4"/>
    <w:rsid w:val="0099715F"/>
    <w:rsid w:val="0099728A"/>
    <w:rsid w:val="009A0797"/>
    <w:rsid w:val="009A2A7F"/>
    <w:rsid w:val="009A4AE9"/>
    <w:rsid w:val="009A599F"/>
    <w:rsid w:val="009A7957"/>
    <w:rsid w:val="009B1CAC"/>
    <w:rsid w:val="009B2CDD"/>
    <w:rsid w:val="009B3DCA"/>
    <w:rsid w:val="009B54B5"/>
    <w:rsid w:val="009B60FB"/>
    <w:rsid w:val="009B6165"/>
    <w:rsid w:val="009B6C18"/>
    <w:rsid w:val="009B717C"/>
    <w:rsid w:val="009B740D"/>
    <w:rsid w:val="009C25FE"/>
    <w:rsid w:val="009C303E"/>
    <w:rsid w:val="009C37C4"/>
    <w:rsid w:val="009C42B9"/>
    <w:rsid w:val="009C5862"/>
    <w:rsid w:val="009C71D5"/>
    <w:rsid w:val="009C72B0"/>
    <w:rsid w:val="009D098C"/>
    <w:rsid w:val="009D2AB2"/>
    <w:rsid w:val="009D42E6"/>
    <w:rsid w:val="009D6D6E"/>
    <w:rsid w:val="009E1ACB"/>
    <w:rsid w:val="009E3027"/>
    <w:rsid w:val="009E536D"/>
    <w:rsid w:val="009E735A"/>
    <w:rsid w:val="009E7441"/>
    <w:rsid w:val="009E7A87"/>
    <w:rsid w:val="009F0B32"/>
    <w:rsid w:val="009F15E5"/>
    <w:rsid w:val="009F1B36"/>
    <w:rsid w:val="009F42F5"/>
    <w:rsid w:val="009F747F"/>
    <w:rsid w:val="009F78DD"/>
    <w:rsid w:val="009F7CE4"/>
    <w:rsid w:val="00A01764"/>
    <w:rsid w:val="00A025E8"/>
    <w:rsid w:val="00A027A4"/>
    <w:rsid w:val="00A03A70"/>
    <w:rsid w:val="00A04FDA"/>
    <w:rsid w:val="00A0572A"/>
    <w:rsid w:val="00A06AE9"/>
    <w:rsid w:val="00A07F86"/>
    <w:rsid w:val="00A11162"/>
    <w:rsid w:val="00A13D6B"/>
    <w:rsid w:val="00A141CF"/>
    <w:rsid w:val="00A15E10"/>
    <w:rsid w:val="00A23343"/>
    <w:rsid w:val="00A26100"/>
    <w:rsid w:val="00A2680A"/>
    <w:rsid w:val="00A2739D"/>
    <w:rsid w:val="00A34D13"/>
    <w:rsid w:val="00A35192"/>
    <w:rsid w:val="00A359C2"/>
    <w:rsid w:val="00A3614C"/>
    <w:rsid w:val="00A365F7"/>
    <w:rsid w:val="00A36E70"/>
    <w:rsid w:val="00A40F8A"/>
    <w:rsid w:val="00A4102D"/>
    <w:rsid w:val="00A41617"/>
    <w:rsid w:val="00A431D2"/>
    <w:rsid w:val="00A43227"/>
    <w:rsid w:val="00A43C08"/>
    <w:rsid w:val="00A44F20"/>
    <w:rsid w:val="00A459D8"/>
    <w:rsid w:val="00A46CCD"/>
    <w:rsid w:val="00A5073A"/>
    <w:rsid w:val="00A51424"/>
    <w:rsid w:val="00A51BBA"/>
    <w:rsid w:val="00A51E3E"/>
    <w:rsid w:val="00A51F8B"/>
    <w:rsid w:val="00A52028"/>
    <w:rsid w:val="00A5247C"/>
    <w:rsid w:val="00A53BFE"/>
    <w:rsid w:val="00A555DD"/>
    <w:rsid w:val="00A56592"/>
    <w:rsid w:val="00A56C90"/>
    <w:rsid w:val="00A630A4"/>
    <w:rsid w:val="00A63296"/>
    <w:rsid w:val="00A640E5"/>
    <w:rsid w:val="00A646B7"/>
    <w:rsid w:val="00A65133"/>
    <w:rsid w:val="00A652C5"/>
    <w:rsid w:val="00A65743"/>
    <w:rsid w:val="00A7144B"/>
    <w:rsid w:val="00A714D1"/>
    <w:rsid w:val="00A71984"/>
    <w:rsid w:val="00A72366"/>
    <w:rsid w:val="00A73532"/>
    <w:rsid w:val="00A737CC"/>
    <w:rsid w:val="00A73ED4"/>
    <w:rsid w:val="00A7451E"/>
    <w:rsid w:val="00A74B39"/>
    <w:rsid w:val="00A7533F"/>
    <w:rsid w:val="00A773AD"/>
    <w:rsid w:val="00A80813"/>
    <w:rsid w:val="00A80D09"/>
    <w:rsid w:val="00A80E08"/>
    <w:rsid w:val="00A81991"/>
    <w:rsid w:val="00A82D24"/>
    <w:rsid w:val="00A82DE9"/>
    <w:rsid w:val="00A83FEF"/>
    <w:rsid w:val="00A85253"/>
    <w:rsid w:val="00A85B6E"/>
    <w:rsid w:val="00A85C5A"/>
    <w:rsid w:val="00A85F2E"/>
    <w:rsid w:val="00A86047"/>
    <w:rsid w:val="00A860B9"/>
    <w:rsid w:val="00A909FD"/>
    <w:rsid w:val="00A90A47"/>
    <w:rsid w:val="00A92EAD"/>
    <w:rsid w:val="00A93E6D"/>
    <w:rsid w:val="00A95FDE"/>
    <w:rsid w:val="00A96A08"/>
    <w:rsid w:val="00AA0161"/>
    <w:rsid w:val="00AA0E44"/>
    <w:rsid w:val="00AA1509"/>
    <w:rsid w:val="00AA2E9D"/>
    <w:rsid w:val="00AA6AE4"/>
    <w:rsid w:val="00AA6B88"/>
    <w:rsid w:val="00AB14C7"/>
    <w:rsid w:val="00AB1D08"/>
    <w:rsid w:val="00AB3A6D"/>
    <w:rsid w:val="00AB4345"/>
    <w:rsid w:val="00AB44F2"/>
    <w:rsid w:val="00AB45E7"/>
    <w:rsid w:val="00AB4F30"/>
    <w:rsid w:val="00AB5BD7"/>
    <w:rsid w:val="00AB75AD"/>
    <w:rsid w:val="00AB7776"/>
    <w:rsid w:val="00AB778F"/>
    <w:rsid w:val="00AC0135"/>
    <w:rsid w:val="00AC070D"/>
    <w:rsid w:val="00AC0CF5"/>
    <w:rsid w:val="00AC2DF5"/>
    <w:rsid w:val="00AC5627"/>
    <w:rsid w:val="00AC5EFD"/>
    <w:rsid w:val="00AC6C2E"/>
    <w:rsid w:val="00AD0616"/>
    <w:rsid w:val="00AD0914"/>
    <w:rsid w:val="00AD0F92"/>
    <w:rsid w:val="00AD1A98"/>
    <w:rsid w:val="00AD34FF"/>
    <w:rsid w:val="00AD3E1E"/>
    <w:rsid w:val="00AD47BF"/>
    <w:rsid w:val="00AD4DE6"/>
    <w:rsid w:val="00AD56FB"/>
    <w:rsid w:val="00AD5F30"/>
    <w:rsid w:val="00AE2DED"/>
    <w:rsid w:val="00AE441B"/>
    <w:rsid w:val="00AE4FD5"/>
    <w:rsid w:val="00AE5A11"/>
    <w:rsid w:val="00AE5D1D"/>
    <w:rsid w:val="00AE6433"/>
    <w:rsid w:val="00AE761A"/>
    <w:rsid w:val="00AF161E"/>
    <w:rsid w:val="00AF2B81"/>
    <w:rsid w:val="00AF2E6F"/>
    <w:rsid w:val="00AF3E95"/>
    <w:rsid w:val="00AF42D2"/>
    <w:rsid w:val="00AF56DF"/>
    <w:rsid w:val="00AF66E7"/>
    <w:rsid w:val="00AF7DFB"/>
    <w:rsid w:val="00B01B84"/>
    <w:rsid w:val="00B0212E"/>
    <w:rsid w:val="00B064AA"/>
    <w:rsid w:val="00B105D6"/>
    <w:rsid w:val="00B10994"/>
    <w:rsid w:val="00B10AA3"/>
    <w:rsid w:val="00B10FDE"/>
    <w:rsid w:val="00B115DA"/>
    <w:rsid w:val="00B11B8F"/>
    <w:rsid w:val="00B136BE"/>
    <w:rsid w:val="00B13816"/>
    <w:rsid w:val="00B14744"/>
    <w:rsid w:val="00B15FE9"/>
    <w:rsid w:val="00B16A04"/>
    <w:rsid w:val="00B16F40"/>
    <w:rsid w:val="00B17E63"/>
    <w:rsid w:val="00B2179B"/>
    <w:rsid w:val="00B219F4"/>
    <w:rsid w:val="00B225A9"/>
    <w:rsid w:val="00B2315A"/>
    <w:rsid w:val="00B25AA6"/>
    <w:rsid w:val="00B267CA"/>
    <w:rsid w:val="00B274A7"/>
    <w:rsid w:val="00B316D7"/>
    <w:rsid w:val="00B31D42"/>
    <w:rsid w:val="00B32EC2"/>
    <w:rsid w:val="00B367ED"/>
    <w:rsid w:val="00B40797"/>
    <w:rsid w:val="00B407FA"/>
    <w:rsid w:val="00B4183E"/>
    <w:rsid w:val="00B433E7"/>
    <w:rsid w:val="00B455B3"/>
    <w:rsid w:val="00B46AAE"/>
    <w:rsid w:val="00B47FA7"/>
    <w:rsid w:val="00B51883"/>
    <w:rsid w:val="00B5519B"/>
    <w:rsid w:val="00B61FD4"/>
    <w:rsid w:val="00B622CB"/>
    <w:rsid w:val="00B62B69"/>
    <w:rsid w:val="00B63475"/>
    <w:rsid w:val="00B63EB1"/>
    <w:rsid w:val="00B66716"/>
    <w:rsid w:val="00B671DA"/>
    <w:rsid w:val="00B67287"/>
    <w:rsid w:val="00B674DB"/>
    <w:rsid w:val="00B67687"/>
    <w:rsid w:val="00B7008B"/>
    <w:rsid w:val="00B70951"/>
    <w:rsid w:val="00B716C6"/>
    <w:rsid w:val="00B72C04"/>
    <w:rsid w:val="00B74F33"/>
    <w:rsid w:val="00B766FA"/>
    <w:rsid w:val="00B778F1"/>
    <w:rsid w:val="00B803B2"/>
    <w:rsid w:val="00B80F54"/>
    <w:rsid w:val="00B811E0"/>
    <w:rsid w:val="00B81660"/>
    <w:rsid w:val="00B8220D"/>
    <w:rsid w:val="00B82E8D"/>
    <w:rsid w:val="00B83022"/>
    <w:rsid w:val="00B84982"/>
    <w:rsid w:val="00B85056"/>
    <w:rsid w:val="00B861A4"/>
    <w:rsid w:val="00B862D0"/>
    <w:rsid w:val="00B91726"/>
    <w:rsid w:val="00B91F94"/>
    <w:rsid w:val="00B92033"/>
    <w:rsid w:val="00B9264D"/>
    <w:rsid w:val="00B93EF7"/>
    <w:rsid w:val="00B95889"/>
    <w:rsid w:val="00B95DC8"/>
    <w:rsid w:val="00B97D93"/>
    <w:rsid w:val="00BA1B99"/>
    <w:rsid w:val="00BA23DC"/>
    <w:rsid w:val="00BA4143"/>
    <w:rsid w:val="00BA46D7"/>
    <w:rsid w:val="00BA62FD"/>
    <w:rsid w:val="00BA6B99"/>
    <w:rsid w:val="00BA6EA7"/>
    <w:rsid w:val="00BA6FEC"/>
    <w:rsid w:val="00BA7BFC"/>
    <w:rsid w:val="00BB047A"/>
    <w:rsid w:val="00BB260C"/>
    <w:rsid w:val="00BB2842"/>
    <w:rsid w:val="00BB2D44"/>
    <w:rsid w:val="00BB3C59"/>
    <w:rsid w:val="00BB3FA1"/>
    <w:rsid w:val="00BB62BB"/>
    <w:rsid w:val="00BC05C5"/>
    <w:rsid w:val="00BC1613"/>
    <w:rsid w:val="00BC1D7A"/>
    <w:rsid w:val="00BC2081"/>
    <w:rsid w:val="00BC2ABD"/>
    <w:rsid w:val="00BC534F"/>
    <w:rsid w:val="00BC5B7C"/>
    <w:rsid w:val="00BC60B5"/>
    <w:rsid w:val="00BC7239"/>
    <w:rsid w:val="00BD04BE"/>
    <w:rsid w:val="00BD07B7"/>
    <w:rsid w:val="00BD346F"/>
    <w:rsid w:val="00BD41EF"/>
    <w:rsid w:val="00BD6E6E"/>
    <w:rsid w:val="00BD7A31"/>
    <w:rsid w:val="00BE0744"/>
    <w:rsid w:val="00BE0983"/>
    <w:rsid w:val="00BE0DBC"/>
    <w:rsid w:val="00BE0FFB"/>
    <w:rsid w:val="00BE2A09"/>
    <w:rsid w:val="00BE34DC"/>
    <w:rsid w:val="00BE370E"/>
    <w:rsid w:val="00BE37F4"/>
    <w:rsid w:val="00BE51E4"/>
    <w:rsid w:val="00BE5208"/>
    <w:rsid w:val="00BE6F28"/>
    <w:rsid w:val="00BE7464"/>
    <w:rsid w:val="00BF29FA"/>
    <w:rsid w:val="00BF2C29"/>
    <w:rsid w:val="00BF47ED"/>
    <w:rsid w:val="00BF4957"/>
    <w:rsid w:val="00BF5C19"/>
    <w:rsid w:val="00BF6581"/>
    <w:rsid w:val="00C0000F"/>
    <w:rsid w:val="00C0010A"/>
    <w:rsid w:val="00C0014B"/>
    <w:rsid w:val="00C009BE"/>
    <w:rsid w:val="00C010DE"/>
    <w:rsid w:val="00C01FB9"/>
    <w:rsid w:val="00C03557"/>
    <w:rsid w:val="00C04675"/>
    <w:rsid w:val="00C04957"/>
    <w:rsid w:val="00C04D2B"/>
    <w:rsid w:val="00C1047F"/>
    <w:rsid w:val="00C11C86"/>
    <w:rsid w:val="00C12E52"/>
    <w:rsid w:val="00C136D0"/>
    <w:rsid w:val="00C14D7B"/>
    <w:rsid w:val="00C16942"/>
    <w:rsid w:val="00C1734E"/>
    <w:rsid w:val="00C201A3"/>
    <w:rsid w:val="00C210F4"/>
    <w:rsid w:val="00C223B9"/>
    <w:rsid w:val="00C24EA8"/>
    <w:rsid w:val="00C2583D"/>
    <w:rsid w:val="00C27807"/>
    <w:rsid w:val="00C279A8"/>
    <w:rsid w:val="00C32A10"/>
    <w:rsid w:val="00C34394"/>
    <w:rsid w:val="00C35E82"/>
    <w:rsid w:val="00C40462"/>
    <w:rsid w:val="00C42D33"/>
    <w:rsid w:val="00C464C6"/>
    <w:rsid w:val="00C5008D"/>
    <w:rsid w:val="00C53F65"/>
    <w:rsid w:val="00C541CA"/>
    <w:rsid w:val="00C5506E"/>
    <w:rsid w:val="00C57FB4"/>
    <w:rsid w:val="00C6104A"/>
    <w:rsid w:val="00C626A4"/>
    <w:rsid w:val="00C65BE2"/>
    <w:rsid w:val="00C66A76"/>
    <w:rsid w:val="00C66C40"/>
    <w:rsid w:val="00C676CA"/>
    <w:rsid w:val="00C701C6"/>
    <w:rsid w:val="00C720AC"/>
    <w:rsid w:val="00C737C5"/>
    <w:rsid w:val="00C73DD9"/>
    <w:rsid w:val="00C74C15"/>
    <w:rsid w:val="00C7548B"/>
    <w:rsid w:val="00C75862"/>
    <w:rsid w:val="00C76451"/>
    <w:rsid w:val="00C80029"/>
    <w:rsid w:val="00C836D4"/>
    <w:rsid w:val="00C83E55"/>
    <w:rsid w:val="00C8614C"/>
    <w:rsid w:val="00C8650E"/>
    <w:rsid w:val="00C868B4"/>
    <w:rsid w:val="00C8727A"/>
    <w:rsid w:val="00C9002B"/>
    <w:rsid w:val="00C90F4A"/>
    <w:rsid w:val="00C90F83"/>
    <w:rsid w:val="00C91059"/>
    <w:rsid w:val="00C970B5"/>
    <w:rsid w:val="00C97624"/>
    <w:rsid w:val="00CA01B4"/>
    <w:rsid w:val="00CA1171"/>
    <w:rsid w:val="00CA1214"/>
    <w:rsid w:val="00CA3540"/>
    <w:rsid w:val="00CA4BFD"/>
    <w:rsid w:val="00CA6171"/>
    <w:rsid w:val="00CA6B65"/>
    <w:rsid w:val="00CA6DED"/>
    <w:rsid w:val="00CB0314"/>
    <w:rsid w:val="00CB0953"/>
    <w:rsid w:val="00CB2E09"/>
    <w:rsid w:val="00CB3465"/>
    <w:rsid w:val="00CB4787"/>
    <w:rsid w:val="00CB7B65"/>
    <w:rsid w:val="00CC014C"/>
    <w:rsid w:val="00CC0C20"/>
    <w:rsid w:val="00CC0FA8"/>
    <w:rsid w:val="00CC20DC"/>
    <w:rsid w:val="00CC2AE6"/>
    <w:rsid w:val="00CC496B"/>
    <w:rsid w:val="00CC49D4"/>
    <w:rsid w:val="00CD175D"/>
    <w:rsid w:val="00CD2296"/>
    <w:rsid w:val="00CD3675"/>
    <w:rsid w:val="00CD7072"/>
    <w:rsid w:val="00CE0C55"/>
    <w:rsid w:val="00CE0D8D"/>
    <w:rsid w:val="00CE6F5A"/>
    <w:rsid w:val="00CE7F0E"/>
    <w:rsid w:val="00CF42CF"/>
    <w:rsid w:val="00CF50C3"/>
    <w:rsid w:val="00CF5E58"/>
    <w:rsid w:val="00D0331E"/>
    <w:rsid w:val="00D04437"/>
    <w:rsid w:val="00D04B7D"/>
    <w:rsid w:val="00D05584"/>
    <w:rsid w:val="00D05E1B"/>
    <w:rsid w:val="00D06AB3"/>
    <w:rsid w:val="00D06CE6"/>
    <w:rsid w:val="00D0782D"/>
    <w:rsid w:val="00D102E9"/>
    <w:rsid w:val="00D114D5"/>
    <w:rsid w:val="00D11CCF"/>
    <w:rsid w:val="00D11DFF"/>
    <w:rsid w:val="00D1219D"/>
    <w:rsid w:val="00D12F1D"/>
    <w:rsid w:val="00D14718"/>
    <w:rsid w:val="00D152BC"/>
    <w:rsid w:val="00D155C6"/>
    <w:rsid w:val="00D15BBD"/>
    <w:rsid w:val="00D16122"/>
    <w:rsid w:val="00D1688F"/>
    <w:rsid w:val="00D2009F"/>
    <w:rsid w:val="00D2117F"/>
    <w:rsid w:val="00D2160C"/>
    <w:rsid w:val="00D21721"/>
    <w:rsid w:val="00D251CD"/>
    <w:rsid w:val="00D25317"/>
    <w:rsid w:val="00D2707F"/>
    <w:rsid w:val="00D27160"/>
    <w:rsid w:val="00D27E32"/>
    <w:rsid w:val="00D34E6C"/>
    <w:rsid w:val="00D363D4"/>
    <w:rsid w:val="00D36D09"/>
    <w:rsid w:val="00D36EEE"/>
    <w:rsid w:val="00D4238B"/>
    <w:rsid w:val="00D44ED2"/>
    <w:rsid w:val="00D45305"/>
    <w:rsid w:val="00D46A24"/>
    <w:rsid w:val="00D51C49"/>
    <w:rsid w:val="00D54791"/>
    <w:rsid w:val="00D614A6"/>
    <w:rsid w:val="00D61F72"/>
    <w:rsid w:val="00D652DB"/>
    <w:rsid w:val="00D6538E"/>
    <w:rsid w:val="00D6593D"/>
    <w:rsid w:val="00D66E8B"/>
    <w:rsid w:val="00D67B7B"/>
    <w:rsid w:val="00D7041E"/>
    <w:rsid w:val="00D712E3"/>
    <w:rsid w:val="00D747EC"/>
    <w:rsid w:val="00D76287"/>
    <w:rsid w:val="00D76E8E"/>
    <w:rsid w:val="00D77487"/>
    <w:rsid w:val="00D80C99"/>
    <w:rsid w:val="00D83129"/>
    <w:rsid w:val="00D83A85"/>
    <w:rsid w:val="00D85715"/>
    <w:rsid w:val="00D8706C"/>
    <w:rsid w:val="00D87C9B"/>
    <w:rsid w:val="00D92741"/>
    <w:rsid w:val="00D93434"/>
    <w:rsid w:val="00D94764"/>
    <w:rsid w:val="00D97528"/>
    <w:rsid w:val="00D97F12"/>
    <w:rsid w:val="00DA0867"/>
    <w:rsid w:val="00DA0A14"/>
    <w:rsid w:val="00DA1BC2"/>
    <w:rsid w:val="00DA2C53"/>
    <w:rsid w:val="00DA3F8B"/>
    <w:rsid w:val="00DA4C62"/>
    <w:rsid w:val="00DA5EB0"/>
    <w:rsid w:val="00DA6C48"/>
    <w:rsid w:val="00DA721C"/>
    <w:rsid w:val="00DB0C62"/>
    <w:rsid w:val="00DB1231"/>
    <w:rsid w:val="00DB167B"/>
    <w:rsid w:val="00DB1B95"/>
    <w:rsid w:val="00DB6A17"/>
    <w:rsid w:val="00DB7C80"/>
    <w:rsid w:val="00DB7CC4"/>
    <w:rsid w:val="00DB7CE2"/>
    <w:rsid w:val="00DC2F66"/>
    <w:rsid w:val="00DC31CC"/>
    <w:rsid w:val="00DC48EB"/>
    <w:rsid w:val="00DC4D39"/>
    <w:rsid w:val="00DC4DCA"/>
    <w:rsid w:val="00DC61D6"/>
    <w:rsid w:val="00DC67AA"/>
    <w:rsid w:val="00DC7BAD"/>
    <w:rsid w:val="00DD07D6"/>
    <w:rsid w:val="00DD0B64"/>
    <w:rsid w:val="00DD1044"/>
    <w:rsid w:val="00DD227B"/>
    <w:rsid w:val="00DD32B7"/>
    <w:rsid w:val="00DD5520"/>
    <w:rsid w:val="00DD598C"/>
    <w:rsid w:val="00DD7793"/>
    <w:rsid w:val="00DE071B"/>
    <w:rsid w:val="00DE42AD"/>
    <w:rsid w:val="00DE79EE"/>
    <w:rsid w:val="00DE7DC9"/>
    <w:rsid w:val="00DF15C4"/>
    <w:rsid w:val="00DF3755"/>
    <w:rsid w:val="00DF7CBA"/>
    <w:rsid w:val="00DF7E1C"/>
    <w:rsid w:val="00E00E2D"/>
    <w:rsid w:val="00E00F76"/>
    <w:rsid w:val="00E01AF6"/>
    <w:rsid w:val="00E026DB"/>
    <w:rsid w:val="00E03513"/>
    <w:rsid w:val="00E05341"/>
    <w:rsid w:val="00E05CD6"/>
    <w:rsid w:val="00E065A2"/>
    <w:rsid w:val="00E072EE"/>
    <w:rsid w:val="00E07496"/>
    <w:rsid w:val="00E10ECF"/>
    <w:rsid w:val="00E11638"/>
    <w:rsid w:val="00E11B34"/>
    <w:rsid w:val="00E124BC"/>
    <w:rsid w:val="00E16416"/>
    <w:rsid w:val="00E167F2"/>
    <w:rsid w:val="00E21B4C"/>
    <w:rsid w:val="00E21E75"/>
    <w:rsid w:val="00E23011"/>
    <w:rsid w:val="00E25DFD"/>
    <w:rsid w:val="00E27205"/>
    <w:rsid w:val="00E32606"/>
    <w:rsid w:val="00E3283F"/>
    <w:rsid w:val="00E35910"/>
    <w:rsid w:val="00E3680F"/>
    <w:rsid w:val="00E370D4"/>
    <w:rsid w:val="00E37E15"/>
    <w:rsid w:val="00E40105"/>
    <w:rsid w:val="00E421B0"/>
    <w:rsid w:val="00E438C4"/>
    <w:rsid w:val="00E43A1F"/>
    <w:rsid w:val="00E45CA7"/>
    <w:rsid w:val="00E47D0B"/>
    <w:rsid w:val="00E5058B"/>
    <w:rsid w:val="00E506C9"/>
    <w:rsid w:val="00E519DC"/>
    <w:rsid w:val="00E52592"/>
    <w:rsid w:val="00E53DFB"/>
    <w:rsid w:val="00E56F8A"/>
    <w:rsid w:val="00E5732F"/>
    <w:rsid w:val="00E61C91"/>
    <w:rsid w:val="00E62341"/>
    <w:rsid w:val="00E62B18"/>
    <w:rsid w:val="00E710F4"/>
    <w:rsid w:val="00E732DD"/>
    <w:rsid w:val="00E7397C"/>
    <w:rsid w:val="00E7520A"/>
    <w:rsid w:val="00E7524B"/>
    <w:rsid w:val="00E7606F"/>
    <w:rsid w:val="00E7750B"/>
    <w:rsid w:val="00E807DA"/>
    <w:rsid w:val="00E832A2"/>
    <w:rsid w:val="00E8369C"/>
    <w:rsid w:val="00E844E0"/>
    <w:rsid w:val="00E84E3A"/>
    <w:rsid w:val="00E84E4E"/>
    <w:rsid w:val="00E853E1"/>
    <w:rsid w:val="00E861B8"/>
    <w:rsid w:val="00E875B1"/>
    <w:rsid w:val="00E93418"/>
    <w:rsid w:val="00E95221"/>
    <w:rsid w:val="00E968C0"/>
    <w:rsid w:val="00EA05AF"/>
    <w:rsid w:val="00EA0694"/>
    <w:rsid w:val="00EA1D9F"/>
    <w:rsid w:val="00EA3B0C"/>
    <w:rsid w:val="00EA3B3F"/>
    <w:rsid w:val="00EA49E2"/>
    <w:rsid w:val="00EA50AC"/>
    <w:rsid w:val="00EA69FF"/>
    <w:rsid w:val="00EA7B1B"/>
    <w:rsid w:val="00EB087A"/>
    <w:rsid w:val="00EB1BDB"/>
    <w:rsid w:val="00EB1F01"/>
    <w:rsid w:val="00EB2D62"/>
    <w:rsid w:val="00EB4606"/>
    <w:rsid w:val="00EB4D69"/>
    <w:rsid w:val="00EB5652"/>
    <w:rsid w:val="00EB60C8"/>
    <w:rsid w:val="00EB6636"/>
    <w:rsid w:val="00EB7B63"/>
    <w:rsid w:val="00EC09B3"/>
    <w:rsid w:val="00EC1E50"/>
    <w:rsid w:val="00EC20C7"/>
    <w:rsid w:val="00EC3ACF"/>
    <w:rsid w:val="00EC43B9"/>
    <w:rsid w:val="00EC44DD"/>
    <w:rsid w:val="00EC69ED"/>
    <w:rsid w:val="00EC6BE5"/>
    <w:rsid w:val="00EC7B71"/>
    <w:rsid w:val="00ED1FF1"/>
    <w:rsid w:val="00ED288F"/>
    <w:rsid w:val="00ED3704"/>
    <w:rsid w:val="00ED4D69"/>
    <w:rsid w:val="00EE02E5"/>
    <w:rsid w:val="00EE254E"/>
    <w:rsid w:val="00EE3083"/>
    <w:rsid w:val="00EE362F"/>
    <w:rsid w:val="00EE3684"/>
    <w:rsid w:val="00EE3DA2"/>
    <w:rsid w:val="00EE4DBF"/>
    <w:rsid w:val="00EE5B3C"/>
    <w:rsid w:val="00EE5D5A"/>
    <w:rsid w:val="00EE6DF8"/>
    <w:rsid w:val="00EE6ED7"/>
    <w:rsid w:val="00EF062D"/>
    <w:rsid w:val="00EF0E19"/>
    <w:rsid w:val="00EF2613"/>
    <w:rsid w:val="00EF3F6E"/>
    <w:rsid w:val="00EF4C6C"/>
    <w:rsid w:val="00EF583E"/>
    <w:rsid w:val="00EF5B79"/>
    <w:rsid w:val="00F06B20"/>
    <w:rsid w:val="00F074E6"/>
    <w:rsid w:val="00F1030D"/>
    <w:rsid w:val="00F1110F"/>
    <w:rsid w:val="00F11464"/>
    <w:rsid w:val="00F114AE"/>
    <w:rsid w:val="00F11A1B"/>
    <w:rsid w:val="00F1326B"/>
    <w:rsid w:val="00F14504"/>
    <w:rsid w:val="00F14977"/>
    <w:rsid w:val="00F16830"/>
    <w:rsid w:val="00F22CF7"/>
    <w:rsid w:val="00F246E6"/>
    <w:rsid w:val="00F263EA"/>
    <w:rsid w:val="00F30540"/>
    <w:rsid w:val="00F30F3B"/>
    <w:rsid w:val="00F33CC5"/>
    <w:rsid w:val="00F3648B"/>
    <w:rsid w:val="00F37328"/>
    <w:rsid w:val="00F425AD"/>
    <w:rsid w:val="00F43CA0"/>
    <w:rsid w:val="00F43E80"/>
    <w:rsid w:val="00F46776"/>
    <w:rsid w:val="00F51AAA"/>
    <w:rsid w:val="00F55030"/>
    <w:rsid w:val="00F57967"/>
    <w:rsid w:val="00F62783"/>
    <w:rsid w:val="00F65BB1"/>
    <w:rsid w:val="00F65F01"/>
    <w:rsid w:val="00F66C0E"/>
    <w:rsid w:val="00F71674"/>
    <w:rsid w:val="00F71ABA"/>
    <w:rsid w:val="00F75E3F"/>
    <w:rsid w:val="00F7696F"/>
    <w:rsid w:val="00F77309"/>
    <w:rsid w:val="00F7765A"/>
    <w:rsid w:val="00F80A6B"/>
    <w:rsid w:val="00F8136F"/>
    <w:rsid w:val="00F81CC4"/>
    <w:rsid w:val="00F8209B"/>
    <w:rsid w:val="00F83846"/>
    <w:rsid w:val="00F860CE"/>
    <w:rsid w:val="00F87C9F"/>
    <w:rsid w:val="00F91943"/>
    <w:rsid w:val="00F91C34"/>
    <w:rsid w:val="00F91F9F"/>
    <w:rsid w:val="00F943FB"/>
    <w:rsid w:val="00F967E9"/>
    <w:rsid w:val="00F97570"/>
    <w:rsid w:val="00FA0576"/>
    <w:rsid w:val="00FA2505"/>
    <w:rsid w:val="00FA2BE9"/>
    <w:rsid w:val="00FA3240"/>
    <w:rsid w:val="00FA420B"/>
    <w:rsid w:val="00FA427A"/>
    <w:rsid w:val="00FA5348"/>
    <w:rsid w:val="00FB0DF5"/>
    <w:rsid w:val="00FB1ADB"/>
    <w:rsid w:val="00FB2225"/>
    <w:rsid w:val="00FB2891"/>
    <w:rsid w:val="00FB32B5"/>
    <w:rsid w:val="00FB50B4"/>
    <w:rsid w:val="00FB6156"/>
    <w:rsid w:val="00FB6407"/>
    <w:rsid w:val="00FB7429"/>
    <w:rsid w:val="00FC1253"/>
    <w:rsid w:val="00FC15CE"/>
    <w:rsid w:val="00FC2BD7"/>
    <w:rsid w:val="00FC2E99"/>
    <w:rsid w:val="00FC4583"/>
    <w:rsid w:val="00FD00A4"/>
    <w:rsid w:val="00FD1136"/>
    <w:rsid w:val="00FD2424"/>
    <w:rsid w:val="00FD3490"/>
    <w:rsid w:val="00FD4B97"/>
    <w:rsid w:val="00FD6B1D"/>
    <w:rsid w:val="00FD710A"/>
    <w:rsid w:val="00FE0EC6"/>
    <w:rsid w:val="00FE2155"/>
    <w:rsid w:val="00FE2AAD"/>
    <w:rsid w:val="00FE38DB"/>
    <w:rsid w:val="00FE427F"/>
    <w:rsid w:val="00FE55EB"/>
    <w:rsid w:val="00FE61AD"/>
    <w:rsid w:val="00FF00E3"/>
    <w:rsid w:val="00FF09F9"/>
    <w:rsid w:val="00FF1357"/>
    <w:rsid w:val="00FF1EF7"/>
    <w:rsid w:val="00FF21E0"/>
    <w:rsid w:val="00FF231C"/>
    <w:rsid w:val="00FF260F"/>
    <w:rsid w:val="00FF446B"/>
    <w:rsid w:val="00FF454E"/>
    <w:rsid w:val="00FF52AE"/>
    <w:rsid w:val="00FF5303"/>
    <w:rsid w:val="00FF5473"/>
    <w:rsid w:val="00FF5E3F"/>
    <w:rsid w:val="00FF5EF6"/>
    <w:rsid w:val="00FF6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qFormat="1"/>
    <w:lsdException w:name="caption" w:locked="0" w:uiPriority="35" w:qFormat="1"/>
    <w:lsdException w:name="footnote reference" w:locked="0" w:uiPriority="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21B4C"/>
    <w:pPr>
      <w:spacing w:after="240" w:line="288" w:lineRule="auto"/>
      <w:jc w:val="both"/>
    </w:pPr>
    <w:rPr>
      <w:lang w:eastAsia="en-US"/>
    </w:rPr>
  </w:style>
  <w:style w:type="paragraph" w:styleId="Heading1">
    <w:name w:val="heading 1"/>
    <w:next w:val="AERbodytext"/>
    <w:link w:val="Heading1Char"/>
    <w:uiPriority w:val="9"/>
    <w:qFormat/>
    <w:rsid w:val="00A36E70"/>
    <w:pPr>
      <w:keepNext/>
      <w:keepLines/>
      <w:pageBreakBefore/>
      <w:numPr>
        <w:ilvl w:val="1"/>
        <w:numId w:val="1"/>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A36E70"/>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8"/>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2,Footnote Text1,(NECG) Footnote Text,(NECG) Footnote Text1,ALTS FOOTNOTE2,Footnote Text11,ALTS FOOTNOTE,Footnote text,AR Footnote Text,AR Footnote Text Char Char Char Char Char Char,AR Footnote Text Char Char Char Char Char,f"/>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2 Char,Footnote Text1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A36E70"/>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A36E70"/>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rPr>
      <w:rFonts w:eastAsia="Times New Roman"/>
      <w:b/>
      <w:color w:val="365F91" w:themeColor="accent1" w:themeShade="BF"/>
      <w:sz w:val="22"/>
      <w:szCs w:val="24"/>
      <w:lang w:eastAsia="en-US"/>
    </w:rPr>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 w:type="paragraph" w:styleId="Revision">
    <w:name w:val="Revision"/>
    <w:hidden/>
    <w:uiPriority w:val="99"/>
    <w:semiHidden/>
    <w:rsid w:val="0087051B"/>
    <w:rPr>
      <w:lang w:eastAsia="en-US"/>
    </w:rPr>
  </w:style>
  <w:style w:type="character" w:styleId="FollowedHyperlink">
    <w:name w:val="FollowedHyperlink"/>
    <w:basedOn w:val="DefaultParagraphFont"/>
    <w:uiPriority w:val="99"/>
    <w:semiHidden/>
    <w:unhideWhenUsed/>
    <w:locked/>
    <w:rsid w:val="00A5247C"/>
    <w:rPr>
      <w:color w:val="800080" w:themeColor="followedHyperlink"/>
      <w:u w:val="single"/>
    </w:rPr>
  </w:style>
  <w:style w:type="character" w:styleId="PlaceholderText">
    <w:name w:val="Placeholder Text"/>
    <w:basedOn w:val="DefaultParagraphFont"/>
    <w:uiPriority w:val="99"/>
    <w:semiHidden/>
    <w:unhideWhenUsed/>
    <w:locked/>
    <w:rsid w:val="001826B2"/>
    <w:rPr>
      <w:color w:val="808080"/>
    </w:rPr>
  </w:style>
  <w:style w:type="paragraph" w:styleId="ListBullet">
    <w:name w:val="List Bullet"/>
    <w:basedOn w:val="Normal"/>
    <w:uiPriority w:val="99"/>
    <w:semiHidden/>
    <w:unhideWhenUsed/>
    <w:locked/>
    <w:rsid w:val="00CD7072"/>
    <w:pPr>
      <w:numPr>
        <w:numId w:val="64"/>
      </w:numPr>
      <w:contextualSpacing/>
    </w:pPr>
  </w:style>
  <w:style w:type="paragraph" w:styleId="Quote">
    <w:name w:val="Quote"/>
    <w:basedOn w:val="Normal"/>
    <w:next w:val="Normal"/>
    <w:link w:val="QuoteChar"/>
    <w:uiPriority w:val="29"/>
    <w:semiHidden/>
    <w:unhideWhenUsed/>
    <w:qFormat/>
    <w:locked/>
    <w:rsid w:val="00CD7072"/>
    <w:rPr>
      <w:i/>
      <w:iCs/>
      <w:color w:val="000000" w:themeColor="text1"/>
    </w:rPr>
  </w:style>
  <w:style w:type="character" w:customStyle="1" w:styleId="QuoteChar">
    <w:name w:val="Quote Char"/>
    <w:basedOn w:val="DefaultParagraphFont"/>
    <w:link w:val="Quote"/>
    <w:uiPriority w:val="29"/>
    <w:semiHidden/>
    <w:rsid w:val="00CD7072"/>
    <w:rPr>
      <w:i/>
      <w:iCs/>
      <w:color w:val="000000" w:themeColor="text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7430">
      <w:bodyDiv w:val="1"/>
      <w:marLeft w:val="0"/>
      <w:marRight w:val="0"/>
      <w:marTop w:val="0"/>
      <w:marBottom w:val="0"/>
      <w:divBdr>
        <w:top w:val="none" w:sz="0" w:space="0" w:color="auto"/>
        <w:left w:val="none" w:sz="0" w:space="0" w:color="auto"/>
        <w:bottom w:val="none" w:sz="0" w:space="0" w:color="auto"/>
        <w:right w:val="none" w:sz="0" w:space="0" w:color="auto"/>
      </w:divBdr>
    </w:div>
    <w:div w:id="867722742">
      <w:bodyDiv w:val="1"/>
      <w:marLeft w:val="0"/>
      <w:marRight w:val="0"/>
      <w:marTop w:val="0"/>
      <w:marBottom w:val="0"/>
      <w:divBdr>
        <w:top w:val="none" w:sz="0" w:space="0" w:color="auto"/>
        <w:left w:val="none" w:sz="0" w:space="0" w:color="auto"/>
        <w:bottom w:val="none" w:sz="0" w:space="0" w:color="auto"/>
        <w:right w:val="none" w:sz="0" w:space="0" w:color="auto"/>
      </w:divBdr>
    </w:div>
    <w:div w:id="869534044">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359550015">
      <w:bodyDiv w:val="1"/>
      <w:marLeft w:val="0"/>
      <w:marRight w:val="0"/>
      <w:marTop w:val="0"/>
      <w:marBottom w:val="0"/>
      <w:divBdr>
        <w:top w:val="none" w:sz="0" w:space="0" w:color="auto"/>
        <w:left w:val="none" w:sz="0" w:space="0" w:color="auto"/>
        <w:bottom w:val="none" w:sz="0" w:space="0" w:color="auto"/>
        <w:right w:val="none" w:sz="0" w:space="0" w:color="auto"/>
      </w:divBdr>
    </w:div>
    <w:div w:id="1367635848">
      <w:bodyDiv w:val="1"/>
      <w:marLeft w:val="0"/>
      <w:marRight w:val="0"/>
      <w:marTop w:val="0"/>
      <w:marBottom w:val="0"/>
      <w:divBdr>
        <w:top w:val="none" w:sz="0" w:space="0" w:color="auto"/>
        <w:left w:val="none" w:sz="0" w:space="0" w:color="auto"/>
        <w:bottom w:val="none" w:sz="0" w:space="0" w:color="auto"/>
        <w:right w:val="none" w:sz="0" w:space="0" w:color="auto"/>
      </w:divBdr>
    </w:div>
    <w:div w:id="199911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6666</Words>
  <Characters>37997</Characters>
  <Application>Microsoft Office Word</Application>
  <DocSecurity>0</DocSecurity>
  <Lines>316</Lines>
  <Paragraphs>89</Paragraphs>
  <ScaleCrop>false</ScaleCrop>
  <Company/>
  <LinksUpToDate>false</LinksUpToDate>
  <CharactersWithSpaces>44574</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2013-08-29T06:13:00Z</dcterms:created>
  <dcterms:modified xsi:type="dcterms:W3CDTF">2013-08-29T06:13:00Z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7979641</vt:lpwstr>
  </property>
</Properties>
</file>