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647708782"/>
        <w:docPartObj>
          <w:docPartGallery w:val="Cover Pages"/>
          <w:docPartUnique/>
        </w:docPartObj>
      </w:sdtPr>
      <w:sdtEndPr>
        <w:rPr>
          <w:noProof/>
          <w:lang w:eastAsia="en-AU"/>
        </w:rPr>
      </w:sdtEndPr>
      <w:sdtContent>
        <w:p w:rsidR="00617405" w:rsidRPr="00617405" w:rsidRDefault="00617405" w:rsidP="00951978">
          <w:r w:rsidRPr="00617405">
            <w:rPr>
              <w:noProof/>
              <w:lang w:eastAsia="zh-CN"/>
            </w:rPr>
            <w:drawing>
              <wp:anchor distT="0" distB="0" distL="114300" distR="114300" simplePos="0" relativeHeight="251659264" behindDoc="1" locked="0" layoutInCell="1" allowOverlap="1" wp14:anchorId="6C6CBF88" wp14:editId="22FCA763">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617405" w:rsidRPr="00617405" w:rsidRDefault="00617405" w:rsidP="00F171E0"/>
        <w:p w:rsidR="00617405" w:rsidRPr="00617405" w:rsidRDefault="00617405" w:rsidP="00F171E0"/>
        <w:p w:rsidR="00617405" w:rsidRPr="00617405" w:rsidRDefault="00617405" w:rsidP="00F171E0"/>
        <w:p w:rsidR="00617405" w:rsidRPr="00617405" w:rsidRDefault="00617405" w:rsidP="00F171E0"/>
        <w:p w:rsidR="00617405" w:rsidRPr="00617405" w:rsidRDefault="00617405" w:rsidP="00F171E0"/>
        <w:p w:rsidR="00617405" w:rsidRPr="00617405" w:rsidRDefault="00617405" w:rsidP="00F171E0"/>
        <w:p w:rsidR="00617405" w:rsidRPr="00617405" w:rsidRDefault="00617405" w:rsidP="00F171E0"/>
        <w:p w:rsidR="00617405" w:rsidRPr="00617405" w:rsidRDefault="00617405" w:rsidP="00F171E0"/>
        <w:p w:rsidR="00617405" w:rsidRDefault="00617405" w:rsidP="00327A1E">
          <w:pPr>
            <w:pStyle w:val="ReportTitle"/>
          </w:pPr>
          <w:r>
            <w:t>Determination</w:t>
          </w:r>
        </w:p>
        <w:p w:rsidR="00617405" w:rsidRPr="00617405" w:rsidRDefault="00617405" w:rsidP="00617405">
          <w:pPr>
            <w:rPr>
              <w:lang w:eastAsia="en-AU"/>
            </w:rPr>
          </w:pPr>
        </w:p>
        <w:p w:rsidR="00617405" w:rsidRDefault="00617405" w:rsidP="00327A1E">
          <w:pPr>
            <w:pStyle w:val="ReportTitle"/>
          </w:pPr>
          <w:r>
            <w:t>Easements tax change event pass-through for</w:t>
          </w:r>
          <w:r w:rsidR="00695DA7">
            <w:t xml:space="preserve"> 201</w:t>
          </w:r>
          <w:r w:rsidR="00F768BC">
            <w:t>7</w:t>
          </w:r>
          <w:r w:rsidR="00695DA7">
            <w:t>-1</w:t>
          </w:r>
          <w:r w:rsidR="00F768BC">
            <w:t>8</w:t>
          </w:r>
          <w:r w:rsidR="00695DA7">
            <w:t xml:space="preserve"> regulatory year</w:t>
          </w:r>
        </w:p>
        <w:p w:rsidR="00617405" w:rsidRPr="00617405" w:rsidRDefault="00617405" w:rsidP="00617405">
          <w:pPr>
            <w:rPr>
              <w:lang w:eastAsia="en-AU"/>
            </w:rPr>
          </w:pPr>
        </w:p>
        <w:p w:rsidR="00617405" w:rsidRDefault="00617405" w:rsidP="00327A1E">
          <w:pPr>
            <w:pStyle w:val="ReportSubtitle"/>
          </w:pPr>
          <w:r>
            <w:t>AusNet Services</w:t>
          </w:r>
        </w:p>
        <w:p w:rsidR="00617405" w:rsidRPr="00617405" w:rsidRDefault="00617405" w:rsidP="00327A1E">
          <w:pPr>
            <w:pStyle w:val="ReportSubtitle"/>
          </w:pPr>
        </w:p>
        <w:p w:rsidR="00617405" w:rsidRPr="00617405" w:rsidRDefault="00E2195F" w:rsidP="00327A1E">
          <w:pPr>
            <w:pStyle w:val="ReportDate"/>
          </w:pPr>
          <w:r>
            <w:t>May</w:t>
          </w:r>
          <w:r w:rsidR="00617405" w:rsidRPr="00617405">
            <w:t xml:space="preserve"> 201</w:t>
          </w:r>
          <w:r w:rsidR="00F768BC">
            <w:t>7</w:t>
          </w:r>
        </w:p>
        <w:p w:rsidR="00617405" w:rsidRPr="00617405" w:rsidRDefault="00617405" w:rsidP="00617405">
          <w:r w:rsidRPr="00617405">
            <w:br w:type="page"/>
          </w:r>
        </w:p>
        <w:p w:rsidR="00617405" w:rsidRDefault="00376741">
          <w:pPr>
            <w:spacing w:line="240" w:lineRule="auto"/>
            <w:rPr>
              <w:noProof/>
              <w:lang w:eastAsia="en-AU"/>
            </w:rPr>
          </w:pPr>
        </w:p>
      </w:sdtContent>
    </w:sdt>
    <w:p w:rsidR="000A6C7B" w:rsidRDefault="000A6C7B" w:rsidP="00327A1E">
      <w:pPr>
        <w:pStyle w:val="Copyright"/>
      </w:pPr>
      <w:r>
        <w:t>© Commonwealth of Australia 201</w:t>
      </w:r>
      <w:r w:rsidR="00F768BC">
        <w:t>7</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185CB9">
      <w:pPr>
        <w:pStyle w:val="StyleCopyrightBefore0pt"/>
        <w:numPr>
          <w:ilvl w:val="0"/>
          <w:numId w:val="27"/>
        </w:numPr>
      </w:pPr>
      <w:r>
        <w:t>the Commonwealth Coat of Arms</w:t>
      </w:r>
    </w:p>
    <w:p w:rsidR="000A6C7B" w:rsidRDefault="000A6C7B" w:rsidP="00185CB9">
      <w:pPr>
        <w:pStyle w:val="StyleCopyrightBefore0pt"/>
        <w:numPr>
          <w:ilvl w:val="0"/>
          <w:numId w:val="27"/>
        </w:numPr>
      </w:pPr>
      <w:r>
        <w:t>the ACCC and AER logos</w:t>
      </w:r>
    </w:p>
    <w:p w:rsidR="000A6C7B" w:rsidRPr="00B927D8" w:rsidRDefault="000A6C7B" w:rsidP="00B927D8">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4141,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0A6C7B">
      <w:pPr>
        <w:pStyle w:val="Copyright"/>
      </w:pPr>
      <w:r>
        <w:t>Tel: (03) 9290 1444</w:t>
      </w:r>
      <w:r w:rsidR="00951978">
        <w:br/>
      </w:r>
      <w:r>
        <w:t>Fax: (03) 9290 1457</w:t>
      </w:r>
    </w:p>
    <w:p w:rsidR="000A6C7B" w:rsidRPr="00951978" w:rsidRDefault="000A6C7B" w:rsidP="000A6C7B">
      <w:pPr>
        <w:pStyle w:val="Copyright"/>
        <w:rPr>
          <w:color w:val="0000FF"/>
          <w:sz w:val="22"/>
          <w:u w:val="single"/>
        </w:rPr>
      </w:pPr>
      <w:r>
        <w:t xml:space="preserve">Email: </w:t>
      </w:r>
      <w:hyperlink r:id="rId11" w:history="1">
        <w:r w:rsidRPr="00D64888">
          <w:rPr>
            <w:rStyle w:val="Hyperlink"/>
          </w:rPr>
          <w:t>AERInquiry@aer.gov.au</w:t>
        </w:r>
      </w:hyperlink>
      <w:r w:rsidR="00951978">
        <w:rPr>
          <w:rStyle w:val="Hyperlink"/>
        </w:rPr>
        <w:br/>
      </w:r>
      <w:r>
        <w:t xml:space="preserve">AER Reference: </w:t>
      </w:r>
      <w:r w:rsidR="00634077">
        <w:t>41789</w:t>
      </w:r>
    </w:p>
    <w:p w:rsidR="000A6C7B" w:rsidRDefault="000A6C7B" w:rsidP="000A6C7B"/>
    <w:p w:rsidR="000A6C7B" w:rsidRDefault="000A6C7B" w:rsidP="009D6B46"/>
    <w:p w:rsidR="002010BC" w:rsidRDefault="002010BC">
      <w:pPr>
        <w:spacing w:line="240" w:lineRule="auto"/>
      </w:pPr>
      <w:r>
        <w:br w:type="page"/>
      </w:r>
    </w:p>
    <w:p w:rsidR="002010BC" w:rsidRDefault="00A75077" w:rsidP="00634077">
      <w:pPr>
        <w:pStyle w:val="TOCHeading"/>
      </w:pPr>
      <w:r>
        <w:lastRenderedPageBreak/>
        <w:t>Contents</w:t>
      </w:r>
    </w:p>
    <w:p w:rsidR="00D37EE2"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80369550" w:history="1">
        <w:r w:rsidR="00D37EE2" w:rsidRPr="009B1A09">
          <w:rPr>
            <w:rStyle w:val="Hyperlink"/>
          </w:rPr>
          <w:t>Overview</w:t>
        </w:r>
        <w:r w:rsidR="00D37EE2">
          <w:rPr>
            <w:webHidden/>
          </w:rPr>
          <w:tab/>
        </w:r>
        <w:r w:rsidR="00D37EE2">
          <w:rPr>
            <w:webHidden/>
          </w:rPr>
          <w:fldChar w:fldCharType="begin"/>
        </w:r>
        <w:r w:rsidR="00D37EE2">
          <w:rPr>
            <w:webHidden/>
          </w:rPr>
          <w:instrText xml:space="preserve"> PAGEREF _Toc480369550 \h </w:instrText>
        </w:r>
        <w:r w:rsidR="00D37EE2">
          <w:rPr>
            <w:webHidden/>
          </w:rPr>
        </w:r>
        <w:r w:rsidR="00D37EE2">
          <w:rPr>
            <w:webHidden/>
          </w:rPr>
          <w:fldChar w:fldCharType="separate"/>
        </w:r>
        <w:r w:rsidR="004F69E8">
          <w:rPr>
            <w:webHidden/>
          </w:rPr>
          <w:t>1</w:t>
        </w:r>
        <w:r w:rsidR="00D37EE2">
          <w:rPr>
            <w:webHidden/>
          </w:rPr>
          <w:fldChar w:fldCharType="end"/>
        </w:r>
      </w:hyperlink>
    </w:p>
    <w:p w:rsidR="00D37EE2" w:rsidRDefault="00376741">
      <w:pPr>
        <w:pStyle w:val="TOC1"/>
        <w:rPr>
          <w:rFonts w:asciiTheme="minorHAnsi" w:eastAsiaTheme="minorEastAsia" w:hAnsiTheme="minorHAnsi"/>
          <w:b w:val="0"/>
          <w:color w:val="auto"/>
          <w:sz w:val="22"/>
          <w:lang w:val="en-AU" w:eastAsia="en-AU"/>
        </w:rPr>
      </w:pPr>
      <w:hyperlink w:anchor="_Toc480369551" w:history="1">
        <w:r w:rsidR="00D37EE2" w:rsidRPr="009B1A09">
          <w:rPr>
            <w:rStyle w:val="Hyperlink"/>
          </w:rPr>
          <w:t>1</w:t>
        </w:r>
        <w:r w:rsidR="00D37EE2">
          <w:rPr>
            <w:rFonts w:asciiTheme="minorHAnsi" w:eastAsiaTheme="minorEastAsia" w:hAnsiTheme="minorHAnsi"/>
            <w:b w:val="0"/>
            <w:color w:val="auto"/>
            <w:sz w:val="22"/>
            <w:lang w:val="en-AU" w:eastAsia="en-AU"/>
          </w:rPr>
          <w:tab/>
        </w:r>
        <w:r w:rsidR="00D37EE2" w:rsidRPr="009B1A09">
          <w:rPr>
            <w:rStyle w:val="Hyperlink"/>
          </w:rPr>
          <w:t>Determination</w:t>
        </w:r>
        <w:r w:rsidR="00D37EE2">
          <w:rPr>
            <w:webHidden/>
          </w:rPr>
          <w:tab/>
        </w:r>
        <w:r w:rsidR="00D37EE2">
          <w:rPr>
            <w:webHidden/>
          </w:rPr>
          <w:fldChar w:fldCharType="begin"/>
        </w:r>
        <w:r w:rsidR="00D37EE2">
          <w:rPr>
            <w:webHidden/>
          </w:rPr>
          <w:instrText xml:space="preserve"> PAGEREF _Toc480369551 \h </w:instrText>
        </w:r>
        <w:r w:rsidR="00D37EE2">
          <w:rPr>
            <w:webHidden/>
          </w:rPr>
        </w:r>
        <w:r w:rsidR="00D37EE2">
          <w:rPr>
            <w:webHidden/>
          </w:rPr>
          <w:fldChar w:fldCharType="separate"/>
        </w:r>
        <w:r w:rsidR="004F69E8">
          <w:rPr>
            <w:webHidden/>
          </w:rPr>
          <w:t>2</w:t>
        </w:r>
        <w:r w:rsidR="00D37EE2">
          <w:rPr>
            <w:webHidden/>
          </w:rPr>
          <w:fldChar w:fldCharType="end"/>
        </w:r>
      </w:hyperlink>
    </w:p>
    <w:p w:rsidR="00D37EE2" w:rsidRDefault="00376741">
      <w:pPr>
        <w:pStyle w:val="TOC1"/>
        <w:rPr>
          <w:rFonts w:asciiTheme="minorHAnsi" w:eastAsiaTheme="minorEastAsia" w:hAnsiTheme="minorHAnsi"/>
          <w:b w:val="0"/>
          <w:color w:val="auto"/>
          <w:sz w:val="22"/>
          <w:lang w:val="en-AU" w:eastAsia="en-AU"/>
        </w:rPr>
      </w:pPr>
      <w:hyperlink w:anchor="_Toc480369552" w:history="1">
        <w:r w:rsidR="00D37EE2" w:rsidRPr="009B1A09">
          <w:rPr>
            <w:rStyle w:val="Hyperlink"/>
          </w:rPr>
          <w:t>2</w:t>
        </w:r>
        <w:r w:rsidR="00D37EE2">
          <w:rPr>
            <w:rFonts w:asciiTheme="minorHAnsi" w:eastAsiaTheme="minorEastAsia" w:hAnsiTheme="minorHAnsi"/>
            <w:b w:val="0"/>
            <w:color w:val="auto"/>
            <w:sz w:val="22"/>
            <w:lang w:val="en-AU" w:eastAsia="en-AU"/>
          </w:rPr>
          <w:tab/>
        </w:r>
        <w:r w:rsidR="00D37EE2" w:rsidRPr="009B1A09">
          <w:rPr>
            <w:rStyle w:val="Hyperlink"/>
          </w:rPr>
          <w:t>AusNet Services' application</w:t>
        </w:r>
        <w:r w:rsidR="00D37EE2">
          <w:rPr>
            <w:webHidden/>
          </w:rPr>
          <w:tab/>
        </w:r>
        <w:r w:rsidR="00D37EE2">
          <w:rPr>
            <w:webHidden/>
          </w:rPr>
          <w:fldChar w:fldCharType="begin"/>
        </w:r>
        <w:r w:rsidR="00D37EE2">
          <w:rPr>
            <w:webHidden/>
          </w:rPr>
          <w:instrText xml:space="preserve"> PAGEREF _Toc480369552 \h </w:instrText>
        </w:r>
        <w:r w:rsidR="00D37EE2">
          <w:rPr>
            <w:webHidden/>
          </w:rPr>
        </w:r>
        <w:r w:rsidR="00D37EE2">
          <w:rPr>
            <w:webHidden/>
          </w:rPr>
          <w:fldChar w:fldCharType="separate"/>
        </w:r>
        <w:r w:rsidR="004F69E8">
          <w:rPr>
            <w:webHidden/>
          </w:rPr>
          <w:t>3</w:t>
        </w:r>
        <w:r w:rsidR="00D37EE2">
          <w:rPr>
            <w:webHidden/>
          </w:rPr>
          <w:fldChar w:fldCharType="end"/>
        </w:r>
      </w:hyperlink>
    </w:p>
    <w:p w:rsidR="00D37EE2" w:rsidRDefault="00376741">
      <w:pPr>
        <w:pStyle w:val="TOC2"/>
        <w:rPr>
          <w:rFonts w:asciiTheme="minorHAnsi" w:eastAsiaTheme="minorEastAsia" w:hAnsiTheme="minorHAnsi"/>
          <w:b w:val="0"/>
          <w:color w:val="auto"/>
          <w:sz w:val="22"/>
          <w:lang w:eastAsia="en-AU"/>
        </w:rPr>
      </w:pPr>
      <w:hyperlink w:anchor="_Toc480369553" w:history="1">
        <w:r w:rsidR="00D37EE2" w:rsidRPr="009B1A09">
          <w:rPr>
            <w:rStyle w:val="Hyperlink"/>
          </w:rPr>
          <w:t>2.1</w:t>
        </w:r>
        <w:r w:rsidR="00D37EE2">
          <w:rPr>
            <w:rFonts w:asciiTheme="minorHAnsi" w:eastAsiaTheme="minorEastAsia" w:hAnsiTheme="minorHAnsi"/>
            <w:b w:val="0"/>
            <w:color w:val="auto"/>
            <w:sz w:val="22"/>
            <w:lang w:eastAsia="en-AU"/>
          </w:rPr>
          <w:tab/>
        </w:r>
        <w:r w:rsidR="00D37EE2" w:rsidRPr="009B1A09">
          <w:rPr>
            <w:rStyle w:val="Hyperlink"/>
          </w:rPr>
          <w:t>Background</w:t>
        </w:r>
        <w:r w:rsidR="00D37EE2">
          <w:rPr>
            <w:webHidden/>
          </w:rPr>
          <w:tab/>
        </w:r>
        <w:r w:rsidR="00D37EE2">
          <w:rPr>
            <w:webHidden/>
          </w:rPr>
          <w:fldChar w:fldCharType="begin"/>
        </w:r>
        <w:r w:rsidR="00D37EE2">
          <w:rPr>
            <w:webHidden/>
          </w:rPr>
          <w:instrText xml:space="preserve"> PAGEREF _Toc480369553 \h </w:instrText>
        </w:r>
        <w:r w:rsidR="00D37EE2">
          <w:rPr>
            <w:webHidden/>
          </w:rPr>
        </w:r>
        <w:r w:rsidR="00D37EE2">
          <w:rPr>
            <w:webHidden/>
          </w:rPr>
          <w:fldChar w:fldCharType="separate"/>
        </w:r>
        <w:r w:rsidR="004F69E8">
          <w:rPr>
            <w:webHidden/>
          </w:rPr>
          <w:t>3</w:t>
        </w:r>
        <w:r w:rsidR="00D37EE2">
          <w:rPr>
            <w:webHidden/>
          </w:rPr>
          <w:fldChar w:fldCharType="end"/>
        </w:r>
      </w:hyperlink>
    </w:p>
    <w:p w:rsidR="00D37EE2" w:rsidRDefault="00376741">
      <w:pPr>
        <w:pStyle w:val="TOC2"/>
        <w:rPr>
          <w:rFonts w:asciiTheme="minorHAnsi" w:eastAsiaTheme="minorEastAsia" w:hAnsiTheme="minorHAnsi"/>
          <w:b w:val="0"/>
          <w:color w:val="auto"/>
          <w:sz w:val="22"/>
          <w:lang w:eastAsia="en-AU"/>
        </w:rPr>
      </w:pPr>
      <w:hyperlink w:anchor="_Toc480369554" w:history="1">
        <w:r w:rsidR="00D37EE2" w:rsidRPr="009B1A09">
          <w:rPr>
            <w:rStyle w:val="Hyperlink"/>
          </w:rPr>
          <w:t>2.2</w:t>
        </w:r>
        <w:r w:rsidR="00D37EE2">
          <w:rPr>
            <w:rFonts w:asciiTheme="minorHAnsi" w:eastAsiaTheme="minorEastAsia" w:hAnsiTheme="minorHAnsi"/>
            <w:b w:val="0"/>
            <w:color w:val="auto"/>
            <w:sz w:val="22"/>
            <w:lang w:eastAsia="en-AU"/>
          </w:rPr>
          <w:tab/>
        </w:r>
        <w:r w:rsidR="00D37EE2" w:rsidRPr="009B1A09">
          <w:rPr>
            <w:rStyle w:val="Hyperlink"/>
          </w:rPr>
          <w:t>Calculation of the pass–through amount</w:t>
        </w:r>
        <w:r w:rsidR="00D37EE2">
          <w:rPr>
            <w:webHidden/>
          </w:rPr>
          <w:tab/>
        </w:r>
        <w:r w:rsidR="00D37EE2">
          <w:rPr>
            <w:webHidden/>
          </w:rPr>
          <w:fldChar w:fldCharType="begin"/>
        </w:r>
        <w:r w:rsidR="00D37EE2">
          <w:rPr>
            <w:webHidden/>
          </w:rPr>
          <w:instrText xml:space="preserve"> PAGEREF _Toc480369554 \h </w:instrText>
        </w:r>
        <w:r w:rsidR="00D37EE2">
          <w:rPr>
            <w:webHidden/>
          </w:rPr>
        </w:r>
        <w:r w:rsidR="00D37EE2">
          <w:rPr>
            <w:webHidden/>
          </w:rPr>
          <w:fldChar w:fldCharType="separate"/>
        </w:r>
        <w:r w:rsidR="004F69E8">
          <w:rPr>
            <w:webHidden/>
          </w:rPr>
          <w:t>4</w:t>
        </w:r>
        <w:r w:rsidR="00D37EE2">
          <w:rPr>
            <w:webHidden/>
          </w:rPr>
          <w:fldChar w:fldCharType="end"/>
        </w:r>
      </w:hyperlink>
    </w:p>
    <w:p w:rsidR="00D37EE2" w:rsidRDefault="00376741">
      <w:pPr>
        <w:pStyle w:val="TOC1"/>
        <w:rPr>
          <w:rFonts w:asciiTheme="minorHAnsi" w:eastAsiaTheme="minorEastAsia" w:hAnsiTheme="minorHAnsi"/>
          <w:b w:val="0"/>
          <w:color w:val="auto"/>
          <w:sz w:val="22"/>
          <w:lang w:val="en-AU" w:eastAsia="en-AU"/>
        </w:rPr>
      </w:pPr>
      <w:hyperlink w:anchor="_Toc480369555" w:history="1">
        <w:r w:rsidR="00D37EE2" w:rsidRPr="009B1A09">
          <w:rPr>
            <w:rStyle w:val="Hyperlink"/>
          </w:rPr>
          <w:t>3</w:t>
        </w:r>
        <w:r w:rsidR="00D37EE2">
          <w:rPr>
            <w:rFonts w:asciiTheme="minorHAnsi" w:eastAsiaTheme="minorEastAsia" w:hAnsiTheme="minorHAnsi"/>
            <w:b w:val="0"/>
            <w:color w:val="auto"/>
            <w:sz w:val="22"/>
            <w:lang w:val="en-AU" w:eastAsia="en-AU"/>
          </w:rPr>
          <w:tab/>
        </w:r>
        <w:r w:rsidR="00D37EE2" w:rsidRPr="009B1A09">
          <w:rPr>
            <w:rStyle w:val="Hyperlink"/>
          </w:rPr>
          <w:t>AER Assessment</w:t>
        </w:r>
        <w:r w:rsidR="00D37EE2">
          <w:rPr>
            <w:webHidden/>
          </w:rPr>
          <w:tab/>
        </w:r>
        <w:r w:rsidR="00D37EE2">
          <w:rPr>
            <w:webHidden/>
          </w:rPr>
          <w:fldChar w:fldCharType="begin"/>
        </w:r>
        <w:r w:rsidR="00D37EE2">
          <w:rPr>
            <w:webHidden/>
          </w:rPr>
          <w:instrText xml:space="preserve"> PAGEREF _Toc480369555 \h </w:instrText>
        </w:r>
        <w:r w:rsidR="00D37EE2">
          <w:rPr>
            <w:webHidden/>
          </w:rPr>
        </w:r>
        <w:r w:rsidR="00D37EE2">
          <w:rPr>
            <w:webHidden/>
          </w:rPr>
          <w:fldChar w:fldCharType="separate"/>
        </w:r>
        <w:r w:rsidR="004F69E8">
          <w:rPr>
            <w:webHidden/>
          </w:rPr>
          <w:t>5</w:t>
        </w:r>
        <w:r w:rsidR="00D37EE2">
          <w:rPr>
            <w:webHidden/>
          </w:rPr>
          <w:fldChar w:fldCharType="end"/>
        </w:r>
      </w:hyperlink>
    </w:p>
    <w:p w:rsidR="00D37EE2" w:rsidRDefault="00376741">
      <w:pPr>
        <w:pStyle w:val="TOC2"/>
        <w:rPr>
          <w:rFonts w:asciiTheme="minorHAnsi" w:eastAsiaTheme="minorEastAsia" w:hAnsiTheme="minorHAnsi"/>
          <w:b w:val="0"/>
          <w:color w:val="auto"/>
          <w:sz w:val="22"/>
          <w:lang w:eastAsia="en-AU"/>
        </w:rPr>
      </w:pPr>
      <w:hyperlink w:anchor="_Toc480369556" w:history="1">
        <w:r w:rsidR="00D37EE2" w:rsidRPr="009B1A09">
          <w:rPr>
            <w:rStyle w:val="Hyperlink"/>
          </w:rPr>
          <w:t>3.1</w:t>
        </w:r>
        <w:r w:rsidR="00D37EE2">
          <w:rPr>
            <w:rFonts w:asciiTheme="minorHAnsi" w:eastAsiaTheme="minorEastAsia" w:hAnsiTheme="minorHAnsi"/>
            <w:b w:val="0"/>
            <w:color w:val="auto"/>
            <w:sz w:val="22"/>
            <w:lang w:eastAsia="en-AU"/>
          </w:rPr>
          <w:tab/>
        </w:r>
        <w:r w:rsidR="00D37EE2" w:rsidRPr="009B1A09">
          <w:rPr>
            <w:rStyle w:val="Hyperlink"/>
          </w:rPr>
          <w:t>Relevant dates</w:t>
        </w:r>
        <w:r w:rsidR="00D37EE2">
          <w:rPr>
            <w:webHidden/>
          </w:rPr>
          <w:tab/>
        </w:r>
        <w:r w:rsidR="00D37EE2">
          <w:rPr>
            <w:webHidden/>
          </w:rPr>
          <w:fldChar w:fldCharType="begin"/>
        </w:r>
        <w:r w:rsidR="00D37EE2">
          <w:rPr>
            <w:webHidden/>
          </w:rPr>
          <w:instrText xml:space="preserve"> PAGEREF _Toc480369556 \h </w:instrText>
        </w:r>
        <w:r w:rsidR="00D37EE2">
          <w:rPr>
            <w:webHidden/>
          </w:rPr>
        </w:r>
        <w:r w:rsidR="00D37EE2">
          <w:rPr>
            <w:webHidden/>
          </w:rPr>
          <w:fldChar w:fldCharType="separate"/>
        </w:r>
        <w:r w:rsidR="004F69E8">
          <w:rPr>
            <w:webHidden/>
          </w:rPr>
          <w:t>5</w:t>
        </w:r>
        <w:r w:rsidR="00D37EE2">
          <w:rPr>
            <w:webHidden/>
          </w:rPr>
          <w:fldChar w:fldCharType="end"/>
        </w:r>
      </w:hyperlink>
    </w:p>
    <w:p w:rsidR="00D37EE2" w:rsidRDefault="00376741">
      <w:pPr>
        <w:pStyle w:val="TOC2"/>
        <w:rPr>
          <w:rFonts w:asciiTheme="minorHAnsi" w:eastAsiaTheme="minorEastAsia" w:hAnsiTheme="minorHAnsi"/>
          <w:b w:val="0"/>
          <w:color w:val="auto"/>
          <w:sz w:val="22"/>
          <w:lang w:eastAsia="en-AU"/>
        </w:rPr>
      </w:pPr>
      <w:hyperlink w:anchor="_Toc480369557" w:history="1">
        <w:r w:rsidR="00D37EE2" w:rsidRPr="009B1A09">
          <w:rPr>
            <w:rStyle w:val="Hyperlink"/>
          </w:rPr>
          <w:t>3.2</w:t>
        </w:r>
        <w:r w:rsidR="00D37EE2">
          <w:rPr>
            <w:rFonts w:asciiTheme="minorHAnsi" w:eastAsiaTheme="minorEastAsia" w:hAnsiTheme="minorHAnsi"/>
            <w:b w:val="0"/>
            <w:color w:val="auto"/>
            <w:sz w:val="22"/>
            <w:lang w:eastAsia="en-AU"/>
          </w:rPr>
          <w:tab/>
        </w:r>
        <w:r w:rsidR="00D37EE2" w:rsidRPr="009B1A09">
          <w:rPr>
            <w:rStyle w:val="Hyperlink"/>
          </w:rPr>
          <w:t>Negative change event</w:t>
        </w:r>
        <w:r w:rsidR="00D37EE2">
          <w:rPr>
            <w:webHidden/>
          </w:rPr>
          <w:tab/>
        </w:r>
        <w:r w:rsidR="00D37EE2">
          <w:rPr>
            <w:webHidden/>
          </w:rPr>
          <w:fldChar w:fldCharType="begin"/>
        </w:r>
        <w:r w:rsidR="00D37EE2">
          <w:rPr>
            <w:webHidden/>
          </w:rPr>
          <w:instrText xml:space="preserve"> PAGEREF _Toc480369557 \h </w:instrText>
        </w:r>
        <w:r w:rsidR="00D37EE2">
          <w:rPr>
            <w:webHidden/>
          </w:rPr>
        </w:r>
        <w:r w:rsidR="00D37EE2">
          <w:rPr>
            <w:webHidden/>
          </w:rPr>
          <w:fldChar w:fldCharType="separate"/>
        </w:r>
        <w:r w:rsidR="004F69E8">
          <w:rPr>
            <w:webHidden/>
          </w:rPr>
          <w:t>5</w:t>
        </w:r>
        <w:r w:rsidR="00D37EE2">
          <w:rPr>
            <w:webHidden/>
          </w:rPr>
          <w:fldChar w:fldCharType="end"/>
        </w:r>
      </w:hyperlink>
    </w:p>
    <w:p w:rsidR="00D37EE2" w:rsidRDefault="00376741">
      <w:pPr>
        <w:pStyle w:val="TOC2"/>
        <w:rPr>
          <w:rFonts w:asciiTheme="minorHAnsi" w:eastAsiaTheme="minorEastAsia" w:hAnsiTheme="minorHAnsi"/>
          <w:b w:val="0"/>
          <w:color w:val="auto"/>
          <w:sz w:val="22"/>
          <w:lang w:eastAsia="en-AU"/>
        </w:rPr>
      </w:pPr>
      <w:hyperlink w:anchor="_Toc480369558" w:history="1">
        <w:r w:rsidR="00D37EE2" w:rsidRPr="009B1A09">
          <w:rPr>
            <w:rStyle w:val="Hyperlink"/>
          </w:rPr>
          <w:t>3.3</w:t>
        </w:r>
        <w:r w:rsidR="00D37EE2">
          <w:rPr>
            <w:rFonts w:asciiTheme="minorHAnsi" w:eastAsiaTheme="minorEastAsia" w:hAnsiTheme="minorHAnsi"/>
            <w:b w:val="0"/>
            <w:color w:val="auto"/>
            <w:sz w:val="22"/>
            <w:lang w:eastAsia="en-AU"/>
          </w:rPr>
          <w:tab/>
        </w:r>
        <w:r w:rsidR="00D37EE2" w:rsidRPr="009B1A09">
          <w:rPr>
            <w:rStyle w:val="Hyperlink"/>
          </w:rPr>
          <w:t>Calculation of the pass–through amount</w:t>
        </w:r>
        <w:r w:rsidR="00D37EE2">
          <w:rPr>
            <w:webHidden/>
          </w:rPr>
          <w:tab/>
        </w:r>
        <w:r w:rsidR="00D37EE2">
          <w:rPr>
            <w:webHidden/>
          </w:rPr>
          <w:fldChar w:fldCharType="begin"/>
        </w:r>
        <w:r w:rsidR="00D37EE2">
          <w:rPr>
            <w:webHidden/>
          </w:rPr>
          <w:instrText xml:space="preserve"> PAGEREF _Toc480369558 \h </w:instrText>
        </w:r>
        <w:r w:rsidR="00D37EE2">
          <w:rPr>
            <w:webHidden/>
          </w:rPr>
        </w:r>
        <w:r w:rsidR="00D37EE2">
          <w:rPr>
            <w:webHidden/>
          </w:rPr>
          <w:fldChar w:fldCharType="separate"/>
        </w:r>
        <w:r w:rsidR="004F69E8">
          <w:rPr>
            <w:webHidden/>
          </w:rPr>
          <w:t>6</w:t>
        </w:r>
        <w:r w:rsidR="00D37EE2">
          <w:rPr>
            <w:webHidden/>
          </w:rPr>
          <w:fldChar w:fldCharType="end"/>
        </w:r>
      </w:hyperlink>
    </w:p>
    <w:p w:rsidR="00D37EE2" w:rsidRDefault="00376741">
      <w:pPr>
        <w:pStyle w:val="TOC2"/>
        <w:rPr>
          <w:rFonts w:asciiTheme="minorHAnsi" w:eastAsiaTheme="minorEastAsia" w:hAnsiTheme="minorHAnsi"/>
          <w:b w:val="0"/>
          <w:color w:val="auto"/>
          <w:sz w:val="22"/>
          <w:lang w:eastAsia="en-AU"/>
        </w:rPr>
      </w:pPr>
      <w:hyperlink w:anchor="_Toc480369559" w:history="1">
        <w:r w:rsidR="00D37EE2" w:rsidRPr="009B1A09">
          <w:rPr>
            <w:rStyle w:val="Hyperlink"/>
          </w:rPr>
          <w:t>3.4</w:t>
        </w:r>
        <w:r w:rsidR="00D37EE2">
          <w:rPr>
            <w:rFonts w:asciiTheme="minorHAnsi" w:eastAsiaTheme="minorEastAsia" w:hAnsiTheme="minorHAnsi"/>
            <w:b w:val="0"/>
            <w:color w:val="auto"/>
            <w:sz w:val="22"/>
            <w:lang w:eastAsia="en-AU"/>
          </w:rPr>
          <w:tab/>
        </w:r>
        <w:r w:rsidR="00D37EE2" w:rsidRPr="009B1A09">
          <w:rPr>
            <w:rStyle w:val="Hyperlink"/>
          </w:rPr>
          <w:t>Other considerations</w:t>
        </w:r>
        <w:r w:rsidR="00D37EE2">
          <w:rPr>
            <w:webHidden/>
          </w:rPr>
          <w:tab/>
        </w:r>
        <w:r w:rsidR="00D37EE2">
          <w:rPr>
            <w:webHidden/>
          </w:rPr>
          <w:fldChar w:fldCharType="begin"/>
        </w:r>
        <w:r w:rsidR="00D37EE2">
          <w:rPr>
            <w:webHidden/>
          </w:rPr>
          <w:instrText xml:space="preserve"> PAGEREF _Toc480369559 \h </w:instrText>
        </w:r>
        <w:r w:rsidR="00D37EE2">
          <w:rPr>
            <w:webHidden/>
          </w:rPr>
        </w:r>
        <w:r w:rsidR="00D37EE2">
          <w:rPr>
            <w:webHidden/>
          </w:rPr>
          <w:fldChar w:fldCharType="separate"/>
        </w:r>
        <w:r w:rsidR="004F69E8">
          <w:rPr>
            <w:webHidden/>
          </w:rPr>
          <w:t>6</w:t>
        </w:r>
        <w:r w:rsidR="00D37EE2">
          <w:rPr>
            <w:webHidden/>
          </w:rPr>
          <w:fldChar w:fldCharType="end"/>
        </w:r>
      </w:hyperlink>
    </w:p>
    <w:p w:rsidR="0020492C" w:rsidRDefault="00A75077" w:rsidP="009F5BA1">
      <w:r>
        <w:fldChar w:fldCharType="end"/>
      </w:r>
      <w:r w:rsidR="0020492C">
        <w:tab/>
      </w:r>
    </w:p>
    <w:p w:rsidR="0020492C" w:rsidRDefault="0020492C" w:rsidP="0020492C">
      <w:bookmarkStart w:id="0" w:name="_Toc213047617"/>
    </w:p>
    <w:p w:rsidR="0020492C" w:rsidRDefault="0020492C" w:rsidP="0020492C">
      <w:pPr>
        <w:sectPr w:rsidR="0020492C" w:rsidSect="00932A53">
          <w:footerReference w:type="default" r:id="rId12"/>
          <w:pgSz w:w="11906" w:h="16838" w:code="9"/>
          <w:pgMar w:top="1440" w:right="1700" w:bottom="1582" w:left="1729" w:header="720" w:footer="1009" w:gutter="0"/>
          <w:pgNumType w:fmt="lowerRoman"/>
          <w:cols w:space="720"/>
          <w:docGrid w:linePitch="326"/>
        </w:sectPr>
      </w:pPr>
    </w:p>
    <w:p w:rsidR="0020492C" w:rsidRDefault="004800D4" w:rsidP="004F1BF9">
      <w:pPr>
        <w:pStyle w:val="Heading1"/>
        <w:numPr>
          <w:ilvl w:val="0"/>
          <w:numId w:val="0"/>
        </w:numPr>
        <w:ind w:left="680" w:hanging="680"/>
      </w:pPr>
      <w:bookmarkStart w:id="1" w:name="_Toc480369550"/>
      <w:bookmarkEnd w:id="0"/>
      <w:r>
        <w:lastRenderedPageBreak/>
        <w:t>Overview</w:t>
      </w:r>
      <w:bookmarkEnd w:id="1"/>
    </w:p>
    <w:p w:rsidR="00F1246E" w:rsidRDefault="00B57473" w:rsidP="00C77282">
      <w:pPr>
        <w:pStyle w:val="BodyText"/>
      </w:pPr>
      <w:proofErr w:type="spellStart"/>
      <w:r>
        <w:t>AusNet</w:t>
      </w:r>
      <w:proofErr w:type="spellEnd"/>
      <w:r>
        <w:t xml:space="preserve"> Services operates </w:t>
      </w:r>
      <w:r w:rsidR="00F1246E">
        <w:t xml:space="preserve">the majority portion </w:t>
      </w:r>
      <w:r>
        <w:t xml:space="preserve">of the </w:t>
      </w:r>
      <w:r w:rsidR="00F1246E">
        <w:t xml:space="preserve">Victorian </w:t>
      </w:r>
      <w:r>
        <w:t xml:space="preserve">electricity transmission </w:t>
      </w:r>
      <w:r w:rsidR="00F1246E">
        <w:t>network</w:t>
      </w:r>
      <w:r>
        <w:t>. Their network is built on a series of easements</w:t>
      </w:r>
      <w:r w:rsidR="00DE756D">
        <w:t>,</w:t>
      </w:r>
      <w:r w:rsidR="0060418D">
        <w:t xml:space="preserve"> which</w:t>
      </w:r>
      <w:r>
        <w:t xml:space="preserve"> are subject </w:t>
      </w:r>
      <w:r w:rsidR="0060418D">
        <w:t>to the</w:t>
      </w:r>
      <w:r>
        <w:t xml:space="preserve"> Victorian Government</w:t>
      </w:r>
      <w:r w:rsidR="00F1246E">
        <w:t>'s</w:t>
      </w:r>
      <w:r>
        <w:t xml:space="preserve"> easements land tax. </w:t>
      </w:r>
      <w:r w:rsidR="004800D4" w:rsidRPr="004800D4">
        <w:t xml:space="preserve">The National Energy Rules (the rules) provides a specific allowance for </w:t>
      </w:r>
      <w:proofErr w:type="spellStart"/>
      <w:r w:rsidR="004800D4" w:rsidRPr="004800D4">
        <w:t>AusNet</w:t>
      </w:r>
      <w:proofErr w:type="spellEnd"/>
      <w:r w:rsidR="004800D4" w:rsidRPr="004800D4">
        <w:t xml:space="preserve"> Services to </w:t>
      </w:r>
      <w:r w:rsidR="005A207E">
        <w:t xml:space="preserve">pass–through </w:t>
      </w:r>
      <w:r w:rsidR="004800D4" w:rsidRPr="004800D4">
        <w:t xml:space="preserve">to its consumers costs related to the payment of land tax on its easements. </w:t>
      </w:r>
    </w:p>
    <w:p w:rsidR="004800D4" w:rsidRPr="004800D4" w:rsidRDefault="004800D4" w:rsidP="00C77282">
      <w:pPr>
        <w:pStyle w:val="BodyText"/>
        <w:rPr>
          <w:rStyle w:val="AERtextsize8"/>
          <w:sz w:val="22"/>
        </w:rPr>
      </w:pPr>
      <w:r w:rsidRPr="004800D4">
        <w:t xml:space="preserve">An easements tax change event occurs when the actual easements land tax paid by </w:t>
      </w:r>
      <w:proofErr w:type="spellStart"/>
      <w:r w:rsidRPr="004800D4">
        <w:t>Au</w:t>
      </w:r>
      <w:r w:rsidR="000078BC">
        <w:t>sNet</w:t>
      </w:r>
      <w:proofErr w:type="spellEnd"/>
      <w:r w:rsidR="000078BC">
        <w:t xml:space="preserve"> Services to the Victorian G</w:t>
      </w:r>
      <w:r w:rsidRPr="004800D4">
        <w:t xml:space="preserve">overnment differs from the regulatory allowance made for those purposes in </w:t>
      </w:r>
      <w:proofErr w:type="spellStart"/>
      <w:r w:rsidRPr="004800D4">
        <w:t>AusNet</w:t>
      </w:r>
      <w:proofErr w:type="spellEnd"/>
      <w:r w:rsidRPr="004800D4">
        <w:t xml:space="preserve"> Services' revenue determination.</w:t>
      </w:r>
      <w:r>
        <w:rPr>
          <w:rStyle w:val="FootnoteReference"/>
        </w:rPr>
        <w:footnoteReference w:id="2"/>
      </w:r>
      <w:r w:rsidRPr="004800D4">
        <w:t xml:space="preserve">  This </w:t>
      </w:r>
      <w:r w:rsidR="005A207E">
        <w:t xml:space="preserve">pass–through </w:t>
      </w:r>
      <w:r w:rsidRPr="004800D4">
        <w:t xml:space="preserve">provision provides assurance that neither </w:t>
      </w:r>
      <w:proofErr w:type="spellStart"/>
      <w:r w:rsidRPr="004800D4">
        <w:t>AusNet</w:t>
      </w:r>
      <w:proofErr w:type="spellEnd"/>
      <w:r w:rsidRPr="004800D4">
        <w:t xml:space="preserve"> Services, nor its customers, will receive a windfall gain (or loss) due to the actual land tax payments required of </w:t>
      </w:r>
      <w:proofErr w:type="spellStart"/>
      <w:r w:rsidRPr="004800D4">
        <w:t>AusNet</w:t>
      </w:r>
      <w:proofErr w:type="spellEnd"/>
      <w:r w:rsidRPr="004800D4">
        <w:t xml:space="preserve"> Services being lower (or higher) than forecast in its revenue determination.</w:t>
      </w:r>
    </w:p>
    <w:p w:rsidR="004800D4" w:rsidRDefault="004800D4" w:rsidP="00C77282">
      <w:pPr>
        <w:pStyle w:val="BodyText"/>
      </w:pPr>
      <w:r w:rsidRPr="004800D4">
        <w:t>On 1</w:t>
      </w:r>
      <w:r w:rsidR="00F768BC">
        <w:t>8</w:t>
      </w:r>
      <w:r w:rsidRPr="004800D4">
        <w:t xml:space="preserve"> </w:t>
      </w:r>
      <w:r w:rsidR="00F768BC">
        <w:t>April</w:t>
      </w:r>
      <w:r w:rsidRPr="004800D4">
        <w:t xml:space="preserve"> 201</w:t>
      </w:r>
      <w:r w:rsidR="00F768BC">
        <w:t>7</w:t>
      </w:r>
      <w:r w:rsidRPr="004800D4">
        <w:t xml:space="preserve"> </w:t>
      </w:r>
      <w:proofErr w:type="spellStart"/>
      <w:r w:rsidRPr="004800D4">
        <w:t>AusNet</w:t>
      </w:r>
      <w:proofErr w:type="spellEnd"/>
      <w:r w:rsidRPr="004800D4">
        <w:t xml:space="preserve"> Services submitted an application to the AER for a </w:t>
      </w:r>
      <w:r w:rsidR="005A207E">
        <w:t xml:space="preserve">pass–through </w:t>
      </w:r>
      <w:r w:rsidRPr="004800D4">
        <w:t>of costs related to a change in easements tax payable to the Victorian Government</w:t>
      </w:r>
      <w:r w:rsidR="00D37EE2">
        <w:t xml:space="preserve"> being lower than the amount forecast in the revenue determination</w:t>
      </w:r>
      <w:r w:rsidRPr="004800D4">
        <w:t xml:space="preserve">. Its application submits that the amount it will </w:t>
      </w:r>
      <w:r w:rsidR="00F768BC">
        <w:t xml:space="preserve">refund (negative </w:t>
      </w:r>
      <w:r w:rsidR="005A207E">
        <w:t>pass–through</w:t>
      </w:r>
      <w:r w:rsidR="00F768BC">
        <w:t>)</w:t>
      </w:r>
      <w:r w:rsidR="005A207E">
        <w:t xml:space="preserve"> </w:t>
      </w:r>
      <w:r w:rsidRPr="004800D4">
        <w:t>to electricity users</w:t>
      </w:r>
      <w:r w:rsidR="00F768BC">
        <w:t xml:space="preserve"> </w:t>
      </w:r>
      <w:r w:rsidRPr="004800D4">
        <w:t xml:space="preserve">through </w:t>
      </w:r>
      <w:r w:rsidR="00F768BC">
        <w:t xml:space="preserve">reduction in </w:t>
      </w:r>
      <w:r w:rsidRPr="004800D4">
        <w:t>transmission prices in 201</w:t>
      </w:r>
      <w:r w:rsidR="00F768BC">
        <w:t>7</w:t>
      </w:r>
      <w:r w:rsidR="006E7B08">
        <w:t>–1</w:t>
      </w:r>
      <w:r w:rsidR="00F768BC">
        <w:t xml:space="preserve">8 </w:t>
      </w:r>
      <w:r w:rsidR="004A1AFD">
        <w:t xml:space="preserve">will be </w:t>
      </w:r>
      <w:r w:rsidRPr="004800D4">
        <w:t>$</w:t>
      </w:r>
      <w:r w:rsidR="00F768BC">
        <w:t>1,894,731</w:t>
      </w:r>
      <w:r w:rsidRPr="004800D4">
        <w:t>.</w:t>
      </w:r>
    </w:p>
    <w:p w:rsidR="004800D4" w:rsidRDefault="004800D4" w:rsidP="00DE0107">
      <w:pPr>
        <w:pStyle w:val="BodyText"/>
      </w:pPr>
      <w:r w:rsidRPr="004800D4">
        <w:t xml:space="preserve">The AER must make a determination on </w:t>
      </w:r>
      <w:proofErr w:type="spellStart"/>
      <w:r w:rsidRPr="004800D4">
        <w:t>AusNet</w:t>
      </w:r>
      <w:proofErr w:type="spellEnd"/>
      <w:r w:rsidRPr="004800D4">
        <w:t xml:space="preserve"> Services' </w:t>
      </w:r>
      <w:r w:rsidR="005A207E">
        <w:t xml:space="preserve">pass–through </w:t>
      </w:r>
      <w:r w:rsidRPr="004800D4">
        <w:t>application. We must consider, with reference to the</w:t>
      </w:r>
      <w:r>
        <w:t xml:space="preserve"> factors specified in the rules</w:t>
      </w:r>
      <w:r w:rsidR="004F1BF9">
        <w:rPr>
          <w:rStyle w:val="FootnoteReference"/>
        </w:rPr>
        <w:footnoteReference w:id="3"/>
      </w:r>
      <w:r w:rsidRPr="004800D4">
        <w:t xml:space="preserve">, whether the </w:t>
      </w:r>
      <w:r w:rsidR="005A207E">
        <w:t xml:space="preserve">pass–through </w:t>
      </w:r>
      <w:r w:rsidRPr="004800D4">
        <w:t>is justified and whether the relevant amounts have been correctly calculated.</w:t>
      </w:r>
      <w:r w:rsidR="004F1BF9">
        <w:rPr>
          <w:rStyle w:val="FootnoteReference"/>
        </w:rPr>
        <w:footnoteReference w:id="4"/>
      </w:r>
    </w:p>
    <w:p w:rsidR="004800D4" w:rsidRDefault="004800D4" w:rsidP="00DE0107">
      <w:pPr>
        <w:pStyle w:val="BodyText"/>
      </w:pPr>
      <w:r w:rsidRPr="004800D4">
        <w:t xml:space="preserve">We have assessed </w:t>
      </w:r>
      <w:proofErr w:type="spellStart"/>
      <w:r w:rsidRPr="004800D4">
        <w:t>AusNet</w:t>
      </w:r>
      <w:proofErr w:type="spellEnd"/>
      <w:r w:rsidRPr="004800D4">
        <w:t xml:space="preserve"> Services' application under the framework provided by the rules. In particular, we have considered:</w:t>
      </w:r>
    </w:p>
    <w:p w:rsidR="004800D4" w:rsidRPr="004800D4" w:rsidRDefault="00F1246E" w:rsidP="004800D4">
      <w:pPr>
        <w:pStyle w:val="Bulletpoint"/>
      </w:pPr>
      <w:r>
        <w:t>t</w:t>
      </w:r>
      <w:r w:rsidR="004800D4" w:rsidRPr="004800D4">
        <w:t>he provisions of NER cl 6A.7.3 and cl 11.6.21</w:t>
      </w:r>
    </w:p>
    <w:p w:rsidR="004800D4" w:rsidRPr="004800D4" w:rsidRDefault="00F1246E" w:rsidP="004800D4">
      <w:pPr>
        <w:pStyle w:val="Bulletpoint"/>
      </w:pPr>
      <w:r>
        <w:t>t</w:t>
      </w:r>
      <w:r w:rsidR="004800D4" w:rsidRPr="004800D4">
        <w:t xml:space="preserve">he material provided in </w:t>
      </w:r>
      <w:proofErr w:type="spellStart"/>
      <w:r w:rsidR="004800D4" w:rsidRPr="004800D4">
        <w:t>AusNet</w:t>
      </w:r>
      <w:proofErr w:type="spellEnd"/>
      <w:r w:rsidR="004800D4" w:rsidRPr="004800D4">
        <w:t xml:space="preserve"> Services' application</w:t>
      </w:r>
    </w:p>
    <w:p w:rsidR="004800D4" w:rsidRPr="004800D4" w:rsidRDefault="004800D4" w:rsidP="004800D4">
      <w:pPr>
        <w:pStyle w:val="Bulletpoint"/>
      </w:pPr>
      <w:proofErr w:type="spellStart"/>
      <w:r w:rsidRPr="004800D4">
        <w:t>AusNet</w:t>
      </w:r>
      <w:proofErr w:type="spellEnd"/>
      <w:r w:rsidRPr="004800D4">
        <w:t xml:space="preserve"> Services' 201</w:t>
      </w:r>
      <w:r w:rsidR="00D37EE2">
        <w:t>7</w:t>
      </w:r>
      <w:r w:rsidRPr="004800D4">
        <w:t>–</w:t>
      </w:r>
      <w:r w:rsidR="00D37EE2">
        <w:t>22</w:t>
      </w:r>
      <w:r>
        <w:t xml:space="preserve"> revenue determination</w:t>
      </w:r>
      <w:r w:rsidR="00B57473">
        <w:t>.</w:t>
      </w:r>
    </w:p>
    <w:p w:rsidR="004800D4" w:rsidRDefault="004800D4" w:rsidP="00C77282">
      <w:pPr>
        <w:pStyle w:val="BodyText"/>
      </w:pPr>
      <w:r w:rsidRPr="004800D4">
        <w:t xml:space="preserve">We determine that </w:t>
      </w:r>
      <w:proofErr w:type="spellStart"/>
      <w:r w:rsidRPr="004800D4">
        <w:t>AusNet</w:t>
      </w:r>
      <w:proofErr w:type="spellEnd"/>
      <w:r w:rsidRPr="004800D4">
        <w:t xml:space="preserve"> Services has correctly identified the </w:t>
      </w:r>
      <w:r w:rsidR="00F768BC">
        <w:t xml:space="preserve">negative </w:t>
      </w:r>
      <w:r w:rsidR="005A207E">
        <w:t xml:space="preserve">pass–through </w:t>
      </w:r>
      <w:r w:rsidR="00F768BC">
        <w:t xml:space="preserve">(refund) </w:t>
      </w:r>
      <w:r w:rsidRPr="004800D4">
        <w:t xml:space="preserve">amount. </w:t>
      </w:r>
      <w:proofErr w:type="spellStart"/>
      <w:r w:rsidRPr="004800D4">
        <w:t>AusNet</w:t>
      </w:r>
      <w:proofErr w:type="spellEnd"/>
      <w:r w:rsidRPr="004800D4">
        <w:t xml:space="preserve"> Services can adjust its maximum allowed revenue in 201</w:t>
      </w:r>
      <w:r w:rsidR="00F768BC">
        <w:t>7</w:t>
      </w:r>
      <w:r w:rsidRPr="004800D4">
        <w:t>–1</w:t>
      </w:r>
      <w:r w:rsidR="00F768BC">
        <w:t>8</w:t>
      </w:r>
      <w:r w:rsidRPr="004800D4">
        <w:t xml:space="preserve"> by this amount in accordance with the revenue determination.</w:t>
      </w:r>
    </w:p>
    <w:p w:rsidR="004F1BF9" w:rsidRDefault="004F1BF9" w:rsidP="004800D4">
      <w:pPr>
        <w:pStyle w:val="Bulletpoint"/>
        <w:numPr>
          <w:ilvl w:val="0"/>
          <w:numId w:val="0"/>
        </w:numPr>
      </w:pPr>
    </w:p>
    <w:p w:rsidR="004F1BF9" w:rsidRPr="004800D4" w:rsidRDefault="004F1BF9" w:rsidP="004800D4">
      <w:pPr>
        <w:pStyle w:val="Bulletpoint"/>
        <w:numPr>
          <w:ilvl w:val="0"/>
          <w:numId w:val="0"/>
        </w:numPr>
      </w:pPr>
    </w:p>
    <w:p w:rsidR="004F1BF9" w:rsidRDefault="004F1BF9" w:rsidP="004F1BF9">
      <w:pPr>
        <w:pStyle w:val="Heading1"/>
      </w:pPr>
      <w:bookmarkStart w:id="2" w:name="_Toc480369551"/>
      <w:bookmarkStart w:id="3" w:name="_Toc213047618"/>
      <w:r>
        <w:lastRenderedPageBreak/>
        <w:t>Determination</w:t>
      </w:r>
      <w:bookmarkEnd w:id="2"/>
    </w:p>
    <w:p w:rsidR="004F1BF9" w:rsidRDefault="004F1BF9" w:rsidP="00DE0107">
      <w:pPr>
        <w:pStyle w:val="BodyText"/>
      </w:pPr>
      <w:r w:rsidRPr="004F1BF9">
        <w:t xml:space="preserve">We consider that </w:t>
      </w:r>
      <w:proofErr w:type="spellStart"/>
      <w:r>
        <w:t>AusNet</w:t>
      </w:r>
      <w:proofErr w:type="spellEnd"/>
      <w:r>
        <w:t xml:space="preserve"> Services</w:t>
      </w:r>
      <w:r w:rsidRPr="004F1BF9">
        <w:t xml:space="preserve"> has established that a </w:t>
      </w:r>
      <w:r w:rsidR="00F768BC">
        <w:t>negative</w:t>
      </w:r>
      <w:r w:rsidRPr="004F1BF9">
        <w:t xml:space="preserve"> change event has occurred. The </w:t>
      </w:r>
      <w:r w:rsidR="00F768BC">
        <w:t>negative</w:t>
      </w:r>
      <w:r w:rsidRPr="004F1BF9">
        <w:t xml:space="preserve"> change event is an easements tax change event, and is a result of the actual land tax payments required to be made by </w:t>
      </w:r>
      <w:proofErr w:type="spellStart"/>
      <w:r>
        <w:t>AusNet</w:t>
      </w:r>
      <w:proofErr w:type="spellEnd"/>
      <w:r>
        <w:t xml:space="preserve"> Services</w:t>
      </w:r>
      <w:r w:rsidR="000078BC">
        <w:t xml:space="preserve"> to the Victorian G</w:t>
      </w:r>
      <w:r w:rsidRPr="004F1BF9">
        <w:t xml:space="preserve">overnment being </w:t>
      </w:r>
      <w:r w:rsidR="00D37EE2">
        <w:t>lower</w:t>
      </w:r>
      <w:r w:rsidRPr="004F1BF9">
        <w:t xml:space="preserve"> than the allowance made for such payments in its revenue determination.</w:t>
      </w:r>
    </w:p>
    <w:p w:rsidR="004F1BF9" w:rsidRDefault="004F1BF9" w:rsidP="00DE0107">
      <w:pPr>
        <w:pStyle w:val="BodyText"/>
      </w:pPr>
      <w:r w:rsidRPr="004F1BF9">
        <w:t>The rules require us to determine the amount that should be passed through to customers.</w:t>
      </w:r>
      <w:r w:rsidR="00EF3DA5">
        <w:rPr>
          <w:rStyle w:val="FootnoteReference"/>
        </w:rPr>
        <w:footnoteReference w:id="5"/>
      </w:r>
      <w:r w:rsidRPr="004F1BF9">
        <w:t xml:space="preserve">  We base our decision on an assessment of the factors set out in cl </w:t>
      </w:r>
      <w:proofErr w:type="gramStart"/>
      <w:r w:rsidRPr="004F1BF9">
        <w:t>6A.7.3(</w:t>
      </w:r>
      <w:proofErr w:type="gramEnd"/>
      <w:r w:rsidRPr="004F1BF9">
        <w:t xml:space="preserve">j) of the rules. We consider that </w:t>
      </w:r>
      <w:proofErr w:type="spellStart"/>
      <w:r w:rsidR="00EF3DA5">
        <w:t>AusNet</w:t>
      </w:r>
      <w:proofErr w:type="spellEnd"/>
      <w:r w:rsidR="00EF3DA5">
        <w:t xml:space="preserve"> Services</w:t>
      </w:r>
      <w:r w:rsidRPr="004F1BF9">
        <w:t xml:space="preserve"> has accurately calculated the effect of the </w:t>
      </w:r>
      <w:r w:rsidR="00F768BC">
        <w:t>negative</w:t>
      </w:r>
      <w:r w:rsidRPr="004F1BF9">
        <w:t xml:space="preserve"> change event on its business</w:t>
      </w:r>
      <w:r w:rsidR="006E7B08">
        <w:t>. Further,</w:t>
      </w:r>
      <w:r w:rsidRPr="004F1BF9">
        <w:t xml:space="preserve"> the </w:t>
      </w:r>
      <w:r w:rsidR="005A207E">
        <w:t xml:space="preserve">pass–through </w:t>
      </w:r>
      <w:r w:rsidRPr="004F1BF9">
        <w:t xml:space="preserve">amount that it proposes to pass on to customers is appropriate and meets the rule requirements. This </w:t>
      </w:r>
      <w:r w:rsidR="005A207E">
        <w:t xml:space="preserve">pass–through </w:t>
      </w:r>
      <w:r w:rsidRPr="004F1BF9">
        <w:t>amount is</w:t>
      </w:r>
      <w:r w:rsidR="00D37EE2">
        <w:t xml:space="preserve">     </w:t>
      </w:r>
      <w:r w:rsidRPr="004F1BF9">
        <w:t xml:space="preserve"> </w:t>
      </w:r>
      <w:r w:rsidR="00D37EE2">
        <w:t>–</w:t>
      </w:r>
      <w:r w:rsidR="00F768BC" w:rsidRPr="004800D4">
        <w:t>$</w:t>
      </w:r>
      <w:r w:rsidR="00F768BC">
        <w:t>1,894,731</w:t>
      </w:r>
      <w:r w:rsidRPr="004F1BF9">
        <w:t>, and wi</w:t>
      </w:r>
      <w:r w:rsidR="00EF3DA5">
        <w:t>ll be passed through in the 201</w:t>
      </w:r>
      <w:r w:rsidR="00F768BC">
        <w:t>7</w:t>
      </w:r>
      <w:r w:rsidR="00EF3DA5">
        <w:t>–1</w:t>
      </w:r>
      <w:r w:rsidR="00F768BC">
        <w:t>8</w:t>
      </w:r>
      <w:r w:rsidRPr="004F1BF9">
        <w:t xml:space="preserve"> regulatory year in accordance with the procedures set out in </w:t>
      </w:r>
      <w:proofErr w:type="spellStart"/>
      <w:r w:rsidR="00EF3DA5">
        <w:t>AusNet</w:t>
      </w:r>
      <w:proofErr w:type="spellEnd"/>
      <w:r w:rsidR="00EF3DA5">
        <w:t xml:space="preserve"> Services' </w:t>
      </w:r>
      <w:r w:rsidR="00595D95">
        <w:t>2017-22</w:t>
      </w:r>
      <w:r w:rsidRPr="004F1BF9">
        <w:t xml:space="preserve"> revenue determination.</w:t>
      </w:r>
      <w:r w:rsidR="00B63CC5">
        <w:rPr>
          <w:rStyle w:val="FootnoteReference"/>
        </w:rPr>
        <w:footnoteReference w:id="6"/>
      </w:r>
      <w:r w:rsidR="00B63CC5">
        <w:t xml:space="preserve"> </w:t>
      </w:r>
    </w:p>
    <w:p w:rsidR="00EF3DA5" w:rsidRDefault="00EF3DA5" w:rsidP="004F1BF9"/>
    <w:p w:rsidR="00EF3DA5" w:rsidRDefault="00EF3DA5" w:rsidP="004F1BF9"/>
    <w:p w:rsidR="00EF3DA5" w:rsidRDefault="00EF3DA5" w:rsidP="00EF3DA5">
      <w:pPr>
        <w:pStyle w:val="Heading1"/>
      </w:pPr>
      <w:bookmarkStart w:id="4" w:name="_Toc480369552"/>
      <w:proofErr w:type="spellStart"/>
      <w:r>
        <w:lastRenderedPageBreak/>
        <w:t>AusNet</w:t>
      </w:r>
      <w:proofErr w:type="spellEnd"/>
      <w:r>
        <w:t xml:space="preserve"> Services' application</w:t>
      </w:r>
      <w:bookmarkEnd w:id="4"/>
    </w:p>
    <w:p w:rsidR="00EF3DA5" w:rsidRPr="00EF3DA5" w:rsidRDefault="00B63CC5" w:rsidP="00C77282">
      <w:pPr>
        <w:pStyle w:val="BodyText"/>
      </w:pPr>
      <w:proofErr w:type="spellStart"/>
      <w:r>
        <w:t>AusNet</w:t>
      </w:r>
      <w:proofErr w:type="spellEnd"/>
      <w:r>
        <w:t xml:space="preserve"> Services'</w:t>
      </w:r>
      <w:r w:rsidR="00EF3DA5" w:rsidRPr="00EF3DA5">
        <w:t xml:space="preserve"> application was submitted on </w:t>
      </w:r>
      <w:r>
        <w:t>1</w:t>
      </w:r>
      <w:r w:rsidR="00B91EF7">
        <w:t>8</w:t>
      </w:r>
      <w:r w:rsidR="00DE0107">
        <w:t xml:space="preserve"> </w:t>
      </w:r>
      <w:r w:rsidR="00B91EF7">
        <w:t>April</w:t>
      </w:r>
      <w:r w:rsidR="00C77282">
        <w:t xml:space="preserve"> 201</w:t>
      </w:r>
      <w:r w:rsidR="00B91EF7">
        <w:t>7</w:t>
      </w:r>
      <w:r w:rsidR="00EF3DA5" w:rsidRPr="00EF3DA5">
        <w:t>. The application and its attachments are available on our website.</w:t>
      </w:r>
      <w:r w:rsidR="00C77282">
        <w:rPr>
          <w:rStyle w:val="FootnoteReference"/>
        </w:rPr>
        <w:footnoteReference w:id="7"/>
      </w:r>
    </w:p>
    <w:p w:rsidR="0020492C" w:rsidRDefault="00C77282" w:rsidP="002E1BE5">
      <w:pPr>
        <w:pStyle w:val="Heading2"/>
      </w:pPr>
      <w:bookmarkStart w:id="5" w:name="_Toc480369553"/>
      <w:bookmarkEnd w:id="3"/>
      <w:r>
        <w:t>Background</w:t>
      </w:r>
      <w:bookmarkEnd w:id="5"/>
    </w:p>
    <w:p w:rsidR="004A1AFD" w:rsidRDefault="004A1AFD" w:rsidP="00C77282">
      <w:pPr>
        <w:pStyle w:val="BodyText"/>
      </w:pPr>
      <w:r>
        <w:t xml:space="preserve">Rule </w:t>
      </w:r>
      <w:proofErr w:type="gramStart"/>
      <w:r>
        <w:t>6A.7.3(</w:t>
      </w:r>
      <w:proofErr w:type="gramEnd"/>
      <w:r>
        <w:t xml:space="preserve">b) requires that, if a </w:t>
      </w:r>
      <w:r w:rsidRPr="004A1AFD">
        <w:t>negative change event</w:t>
      </w:r>
      <w:r>
        <w:t xml:space="preserve"> occurs, the </w:t>
      </w:r>
      <w:r w:rsidRPr="004A1AFD">
        <w:t>AER</w:t>
      </w:r>
      <w:r>
        <w:t xml:space="preserve"> may require the </w:t>
      </w:r>
      <w:r w:rsidRPr="004A1AFD">
        <w:t>Transmission Network Service Provider</w:t>
      </w:r>
      <w:r>
        <w:t xml:space="preserve"> to pass through to </w:t>
      </w:r>
      <w:r w:rsidRPr="004A1AFD">
        <w:t>Transmission Network Users</w:t>
      </w:r>
      <w:r>
        <w:t xml:space="preserve"> a </w:t>
      </w:r>
      <w:r w:rsidRPr="004A1AFD">
        <w:t>negative pass through amount</w:t>
      </w:r>
      <w:r>
        <w:t xml:space="preserve"> as determined by the </w:t>
      </w:r>
      <w:r w:rsidRPr="004A1AFD">
        <w:t>AER</w:t>
      </w:r>
      <w:r>
        <w:t xml:space="preserve"> under subparagraph (g).</w:t>
      </w:r>
    </w:p>
    <w:p w:rsidR="00046CDA" w:rsidRDefault="004A1AFD" w:rsidP="00E93CEA">
      <w:r>
        <w:t xml:space="preserve">Due to the delay in releasing </w:t>
      </w:r>
      <w:r w:rsidR="007B7AAA">
        <w:t>our</w:t>
      </w:r>
      <w:r>
        <w:t xml:space="preserve"> </w:t>
      </w:r>
      <w:r w:rsidR="00B8037F">
        <w:t xml:space="preserve">final </w:t>
      </w:r>
      <w:r w:rsidR="007B7AAA">
        <w:t xml:space="preserve">revenue </w:t>
      </w:r>
      <w:r>
        <w:t xml:space="preserve">determination for </w:t>
      </w:r>
      <w:r w:rsidR="00B8037F">
        <w:t xml:space="preserve">2017–22 for </w:t>
      </w:r>
      <w:proofErr w:type="spellStart"/>
      <w:r>
        <w:t>AusNet</w:t>
      </w:r>
      <w:proofErr w:type="spellEnd"/>
      <w:r>
        <w:t xml:space="preserve"> Services, we now have the latest land tax information</w:t>
      </w:r>
      <w:r w:rsidR="000078BC">
        <w:t>, which was used</w:t>
      </w:r>
      <w:r w:rsidR="00046CDA">
        <w:t xml:space="preserve"> in making </w:t>
      </w:r>
      <w:proofErr w:type="spellStart"/>
      <w:r w:rsidR="00AE30AF">
        <w:t>AusNet</w:t>
      </w:r>
      <w:proofErr w:type="spellEnd"/>
      <w:r w:rsidR="00AE30AF">
        <w:t xml:space="preserve"> Services'</w:t>
      </w:r>
      <w:r w:rsidR="000078BC">
        <w:t xml:space="preserve"> maximum allowable revenue allowance</w:t>
      </w:r>
      <w:r w:rsidR="00D77D4B">
        <w:t xml:space="preserve"> determination</w:t>
      </w:r>
      <w:r w:rsidR="00B8037F">
        <w:t xml:space="preserve">. </w:t>
      </w:r>
    </w:p>
    <w:p w:rsidR="00A85B89" w:rsidRDefault="00AE30AF" w:rsidP="00E93CEA">
      <w:r>
        <w:t>T</w:t>
      </w:r>
      <w:r w:rsidR="00B8037F">
        <w:t>h</w:t>
      </w:r>
      <w:r w:rsidR="00046CDA">
        <w:t>e actual</w:t>
      </w:r>
      <w:r w:rsidR="00B8037F">
        <w:t xml:space="preserve"> </w:t>
      </w:r>
      <w:r w:rsidR="00046CDA">
        <w:t>land tax</w:t>
      </w:r>
      <w:r w:rsidR="00B8037F">
        <w:t xml:space="preserve"> </w:t>
      </w:r>
      <w:r w:rsidR="000078BC">
        <w:t xml:space="preserve">payable </w:t>
      </w:r>
      <w:r w:rsidR="00B8037F">
        <w:t xml:space="preserve">is </w:t>
      </w:r>
      <w:r w:rsidR="004A1AFD" w:rsidRPr="004A1AFD">
        <w:t xml:space="preserve">substantially higher than </w:t>
      </w:r>
      <w:proofErr w:type="spellStart"/>
      <w:r w:rsidR="004A1AFD" w:rsidRPr="004A1AFD">
        <w:t>AusNet</w:t>
      </w:r>
      <w:proofErr w:type="spellEnd"/>
      <w:r w:rsidR="004A1AFD" w:rsidRPr="004A1AFD">
        <w:t xml:space="preserve"> Services’ </w:t>
      </w:r>
      <w:r w:rsidR="00F95C3B">
        <w:t xml:space="preserve">initial forecast in its </w:t>
      </w:r>
      <w:r>
        <w:t>initial</w:t>
      </w:r>
      <w:r w:rsidR="00F95C3B">
        <w:t xml:space="preserve"> regulatory proposal</w:t>
      </w:r>
      <w:r>
        <w:t>.</w:t>
      </w:r>
      <w:r w:rsidR="00046CDA">
        <w:t xml:space="preserve"> </w:t>
      </w:r>
      <w:r>
        <w:t xml:space="preserve">Hence, </w:t>
      </w:r>
      <w:r w:rsidR="00046CDA">
        <w:t>i</w:t>
      </w:r>
      <w:r w:rsidR="004A1AFD">
        <w:t>n the final d</w:t>
      </w:r>
      <w:r w:rsidR="00D12FAD">
        <w:t>etermination for 2017–22</w:t>
      </w:r>
      <w:r w:rsidR="004A1AFD">
        <w:t>, we modified the annual provision for land tax for 2017</w:t>
      </w:r>
      <w:r w:rsidR="000078BC">
        <w:t>–</w:t>
      </w:r>
      <w:r w:rsidR="004A1AFD">
        <w:t>22 to closely match the projected land tax in future years</w:t>
      </w:r>
      <w:r w:rsidR="000078BC">
        <w:t>,</w:t>
      </w:r>
      <w:r w:rsidR="004A1AFD">
        <w:t xml:space="preserve"> to increase the transparency and accuracy of the decision.</w:t>
      </w:r>
    </w:p>
    <w:p w:rsidR="004A1AFD" w:rsidRDefault="004A1AFD" w:rsidP="00E93CEA">
      <w:r>
        <w:t xml:space="preserve">However, the approved land tax </w:t>
      </w:r>
      <w:r w:rsidR="000078BC">
        <w:t xml:space="preserve">amount </w:t>
      </w:r>
      <w:r>
        <w:t>for 2017</w:t>
      </w:r>
      <w:r w:rsidR="000078BC">
        <w:t>–</w:t>
      </w:r>
      <w:r>
        <w:t>18 represents an over-recovery of about $1.9</w:t>
      </w:r>
      <w:r w:rsidR="000078BC">
        <w:t xml:space="preserve"> </w:t>
      </w:r>
      <w:r>
        <w:t>m</w:t>
      </w:r>
      <w:r w:rsidR="000078BC">
        <w:t>illion</w:t>
      </w:r>
      <w:r>
        <w:t xml:space="preserve"> in </w:t>
      </w:r>
      <w:proofErr w:type="spellStart"/>
      <w:r>
        <w:t>AusNet</w:t>
      </w:r>
      <w:proofErr w:type="spellEnd"/>
      <w:r>
        <w:t xml:space="preserve"> Services' revenue requirement for that year. We informed </w:t>
      </w:r>
      <w:proofErr w:type="spellStart"/>
      <w:r>
        <w:t>AusNet</w:t>
      </w:r>
      <w:proofErr w:type="spellEnd"/>
      <w:r>
        <w:t xml:space="preserve"> Services about this effect, because we prefer that</w:t>
      </w:r>
      <w:r w:rsidR="001D28FF">
        <w:t xml:space="preserve"> </w:t>
      </w:r>
      <w:r>
        <w:t>any negative pass through should be processed as quickly as possible</w:t>
      </w:r>
      <w:r w:rsidR="00A85B89">
        <w:t>, to be reflected in transmission tariffs for 2017–18</w:t>
      </w:r>
      <w:r w:rsidR="001D28FF">
        <w:t>.</w:t>
      </w:r>
      <w:r w:rsidR="00D12FAD">
        <w:t xml:space="preserve"> </w:t>
      </w:r>
    </w:p>
    <w:p w:rsidR="000078BC" w:rsidRDefault="004A1AFD" w:rsidP="00E93CEA">
      <w:proofErr w:type="spellStart"/>
      <w:r>
        <w:t>AusNet</w:t>
      </w:r>
      <w:proofErr w:type="spellEnd"/>
      <w:r>
        <w:t xml:space="preserve"> Services must provide its revenue requirements for 2017</w:t>
      </w:r>
      <w:r w:rsidR="000078BC">
        <w:t>–</w:t>
      </w:r>
      <w:r>
        <w:t>18 to the Australian Energy Market Operator (AEMO) by the end of April 2017</w:t>
      </w:r>
      <w:r w:rsidR="000078BC">
        <w:t xml:space="preserve">, </w:t>
      </w:r>
      <w:r>
        <w:t>in order to enable AEMO to publish transmission network charges for 2017</w:t>
      </w:r>
      <w:r w:rsidR="000078BC">
        <w:t>–</w:t>
      </w:r>
      <w:r>
        <w:t xml:space="preserve">18 by </w:t>
      </w:r>
      <w:r w:rsidR="0042706C">
        <w:t>m</w:t>
      </w:r>
      <w:r>
        <w:t>id-May 2017</w:t>
      </w:r>
      <w:r w:rsidR="001D28FF">
        <w:t>.</w:t>
      </w:r>
    </w:p>
    <w:p w:rsidR="004A1AFD" w:rsidRDefault="001D28FF" w:rsidP="00E93CEA">
      <w:r>
        <w:t>W</w:t>
      </w:r>
      <w:r w:rsidR="004A1AFD">
        <w:t>hile the final determination for the 2017</w:t>
      </w:r>
      <w:r w:rsidR="000078BC">
        <w:t>–</w:t>
      </w:r>
      <w:r w:rsidR="004A1AFD">
        <w:t xml:space="preserve">22 </w:t>
      </w:r>
      <w:proofErr w:type="gramStart"/>
      <w:r w:rsidR="004A1AFD">
        <w:t>period</w:t>
      </w:r>
      <w:proofErr w:type="gramEnd"/>
      <w:r w:rsidR="004A1AFD">
        <w:t xml:space="preserve"> is due to be released at the end of April 2017</w:t>
      </w:r>
      <w:r w:rsidR="000078BC">
        <w:t>,</w:t>
      </w:r>
      <w:r>
        <w:t xml:space="preserve"> </w:t>
      </w:r>
      <w:r w:rsidR="004A1AFD">
        <w:t xml:space="preserve">we advised </w:t>
      </w:r>
      <w:proofErr w:type="spellStart"/>
      <w:r w:rsidR="004A1AFD">
        <w:t>AusNet</w:t>
      </w:r>
      <w:proofErr w:type="spellEnd"/>
      <w:r w:rsidR="004A1AFD">
        <w:t xml:space="preserve"> Services on 18 April 2017 of our provisional land tax </w:t>
      </w:r>
      <w:r w:rsidR="00101C7A">
        <w:t>provision</w:t>
      </w:r>
      <w:r w:rsidR="004A1AFD">
        <w:t xml:space="preserve"> for the</w:t>
      </w:r>
      <w:r w:rsidR="000078BC">
        <w:t xml:space="preserve"> </w:t>
      </w:r>
      <w:r w:rsidR="004A1AFD">
        <w:t>2017</w:t>
      </w:r>
      <w:r w:rsidR="000078BC">
        <w:t>–</w:t>
      </w:r>
      <w:r w:rsidR="004A1AFD">
        <w:t>22 period</w:t>
      </w:r>
      <w:r w:rsidR="00A85B89">
        <w:t>.</w:t>
      </w:r>
      <w:r w:rsidR="004A1AFD">
        <w:t xml:space="preserve"> </w:t>
      </w:r>
      <w:r w:rsidR="00A85B89">
        <w:t xml:space="preserve">The reason for doing this was </w:t>
      </w:r>
      <w:r w:rsidR="004A1AFD">
        <w:t>because the decision would result in a negative pass through event occurring for the 2017</w:t>
      </w:r>
      <w:r w:rsidR="00A85B89">
        <w:t>–</w:t>
      </w:r>
      <w:r w:rsidR="004A1AFD">
        <w:t xml:space="preserve">18 regulatory year. Based on our advice, </w:t>
      </w:r>
      <w:proofErr w:type="spellStart"/>
      <w:r w:rsidR="004A1AFD">
        <w:t>AusNet</w:t>
      </w:r>
      <w:proofErr w:type="spellEnd"/>
      <w:r w:rsidR="004A1AFD">
        <w:t xml:space="preserve"> Services</w:t>
      </w:r>
      <w:r w:rsidR="004A1AFD" w:rsidRPr="008E4F3F">
        <w:t xml:space="preserve"> made </w:t>
      </w:r>
      <w:r w:rsidR="004A1AFD">
        <w:t>a</w:t>
      </w:r>
      <w:r w:rsidR="004A1AFD" w:rsidRPr="008E4F3F">
        <w:t xml:space="preserve"> </w:t>
      </w:r>
      <w:r w:rsidR="004A1AFD">
        <w:t xml:space="preserve">negative pass–through </w:t>
      </w:r>
      <w:r w:rsidR="004A1AFD" w:rsidRPr="008E4F3F">
        <w:t xml:space="preserve">application on </w:t>
      </w:r>
      <w:r w:rsidR="004A1AFD">
        <w:t>18 April 2017.</w:t>
      </w:r>
      <w:r w:rsidR="00A85B89">
        <w:t xml:space="preserve"> This would enable us to make a timely decision on the amount of the pass through</w:t>
      </w:r>
      <w:r w:rsidR="00A8040F">
        <w:t>.</w:t>
      </w:r>
      <w:r w:rsidR="00A8040F">
        <w:rPr>
          <w:rStyle w:val="FootnoteReference"/>
        </w:rPr>
        <w:footnoteReference w:id="8"/>
      </w:r>
      <w:r w:rsidR="00A8040F">
        <w:t xml:space="preserve"> In turn, this </w:t>
      </w:r>
      <w:r w:rsidR="00A85B89">
        <w:t>enable</w:t>
      </w:r>
      <w:r w:rsidR="00A8040F">
        <w:t>s</w:t>
      </w:r>
      <w:r w:rsidR="00A85B89">
        <w:t xml:space="preserve"> </w:t>
      </w:r>
      <w:proofErr w:type="spellStart"/>
      <w:r w:rsidR="00A85B89">
        <w:t>AusNet</w:t>
      </w:r>
      <w:proofErr w:type="spellEnd"/>
      <w:r w:rsidR="00A85B89">
        <w:t xml:space="preserve"> Services to advise AEMO of its revenue requirement and have AEMO reflect this in transmission tariffs for 2017–18. </w:t>
      </w:r>
    </w:p>
    <w:p w:rsidR="001D28FF" w:rsidRDefault="001D28FF" w:rsidP="00E93CEA">
      <w:pPr>
        <w:pStyle w:val="Caption"/>
      </w:pPr>
      <w:r>
        <w:t>Easement land tax</w:t>
      </w:r>
    </w:p>
    <w:p w:rsidR="00C77282" w:rsidRDefault="00DE0107" w:rsidP="00C77282">
      <w:pPr>
        <w:pStyle w:val="BodyText"/>
      </w:pPr>
      <w:proofErr w:type="spellStart"/>
      <w:r>
        <w:t>AusNet</w:t>
      </w:r>
      <w:proofErr w:type="spellEnd"/>
      <w:r>
        <w:t xml:space="preserve"> Services'</w:t>
      </w:r>
      <w:r w:rsidR="00C77282" w:rsidRPr="00C77282">
        <w:t xml:space="preserve"> application relates to the payment of land tax on its easements in Victoria. An easement is a section of land over which </w:t>
      </w:r>
      <w:proofErr w:type="spellStart"/>
      <w:r>
        <w:t>AusNet</w:t>
      </w:r>
      <w:proofErr w:type="spellEnd"/>
      <w:r>
        <w:t xml:space="preserve"> Services</w:t>
      </w:r>
      <w:r w:rsidR="00C77282" w:rsidRPr="00C77282">
        <w:t xml:space="preserve"> has certain usage rights for its transmission network. This cost is a significant part of its operating expenditu</w:t>
      </w:r>
      <w:r>
        <w:t>re</w:t>
      </w:r>
      <w:r w:rsidR="006E7B08">
        <w:t>.</w:t>
      </w:r>
      <w:r w:rsidR="00F170E5">
        <w:rPr>
          <w:rStyle w:val="FootnoteReference"/>
        </w:rPr>
        <w:footnoteReference w:id="9"/>
      </w:r>
      <w:r w:rsidR="006E7B08">
        <w:t xml:space="preserve"> A</w:t>
      </w:r>
      <w:r w:rsidR="00C77282" w:rsidRPr="00C77282">
        <w:t xml:space="preserve">n </w:t>
      </w:r>
      <w:r w:rsidR="00C77282" w:rsidRPr="00C77282">
        <w:lastRenderedPageBreak/>
        <w:t>allowance for it is made in the 201</w:t>
      </w:r>
      <w:r w:rsidR="00B91EF7">
        <w:t>7</w:t>
      </w:r>
      <w:r w:rsidR="00C77282" w:rsidRPr="00C77282">
        <w:t>–</w:t>
      </w:r>
      <w:r w:rsidR="00B91EF7">
        <w:t>2</w:t>
      </w:r>
      <w:r w:rsidR="001D28FF">
        <w:t>2</w:t>
      </w:r>
      <w:r w:rsidR="00C77282" w:rsidRPr="00C77282">
        <w:t xml:space="preserve"> revenue determination. The rules contains a transitional provision that allows </w:t>
      </w:r>
      <w:proofErr w:type="spellStart"/>
      <w:r w:rsidR="00F170E5">
        <w:t>AusNet</w:t>
      </w:r>
      <w:proofErr w:type="spellEnd"/>
      <w:r w:rsidR="00F170E5">
        <w:t xml:space="preserve"> Services</w:t>
      </w:r>
      <w:r w:rsidR="00C77282" w:rsidRPr="00C77282">
        <w:t xml:space="preserve"> to </w:t>
      </w:r>
      <w:r w:rsidR="006E7B08">
        <w:t xml:space="preserve">recover </w:t>
      </w:r>
      <w:r w:rsidR="00C77282" w:rsidRPr="00C77282">
        <w:t>any change between the actual amount of land tax payable and the forecast of land tax payable made in the determination to be recovered from consumers.</w:t>
      </w:r>
      <w:r w:rsidR="00F170E5">
        <w:rPr>
          <w:rStyle w:val="FootnoteReference"/>
        </w:rPr>
        <w:footnoteReference w:id="10"/>
      </w:r>
      <w:r w:rsidR="00C77282" w:rsidRPr="00C77282">
        <w:t xml:space="preserve">  This is known as an easements tax change event.</w:t>
      </w:r>
      <w:r w:rsidR="00F170E5">
        <w:rPr>
          <w:rStyle w:val="FootnoteReference"/>
        </w:rPr>
        <w:footnoteReference w:id="11"/>
      </w:r>
      <w:r w:rsidR="00C77282" w:rsidRPr="00C77282">
        <w:t xml:space="preserve"> This is either a positive change event or negative change event for the purposes of the </w:t>
      </w:r>
      <w:r w:rsidR="005A207E">
        <w:t xml:space="preserve">pass–through </w:t>
      </w:r>
      <w:r w:rsidR="00C77282" w:rsidRPr="00C77282">
        <w:t>provisions in the rules.</w:t>
      </w:r>
      <w:r w:rsidR="00F170E5">
        <w:rPr>
          <w:rStyle w:val="FootnoteReference"/>
        </w:rPr>
        <w:footnoteReference w:id="12"/>
      </w:r>
      <w:r w:rsidR="00C77282" w:rsidRPr="00C77282">
        <w:t xml:space="preserve"> The transitional rules provide that the materiality threshold does not apply when considering an easements tax change event.</w:t>
      </w:r>
      <w:r w:rsidR="00F170E5">
        <w:rPr>
          <w:rStyle w:val="FootnoteReference"/>
        </w:rPr>
        <w:footnoteReference w:id="13"/>
      </w:r>
    </w:p>
    <w:p w:rsidR="00F170E5" w:rsidRDefault="00F170E5" w:rsidP="00F170E5">
      <w:pPr>
        <w:pStyle w:val="Heading2"/>
      </w:pPr>
      <w:bookmarkStart w:id="6" w:name="_Toc480369554"/>
      <w:r>
        <w:t xml:space="preserve">Calculation of the </w:t>
      </w:r>
      <w:r w:rsidR="005A207E">
        <w:t xml:space="preserve">pass–through </w:t>
      </w:r>
      <w:r>
        <w:t>amount</w:t>
      </w:r>
      <w:bookmarkEnd w:id="6"/>
    </w:p>
    <w:p w:rsidR="004A7BA1" w:rsidRDefault="000C4AC7" w:rsidP="000C4AC7">
      <w:pPr>
        <w:pStyle w:val="BodyText"/>
      </w:pPr>
      <w:proofErr w:type="spellStart"/>
      <w:r>
        <w:t>AusNet</w:t>
      </w:r>
      <w:proofErr w:type="spellEnd"/>
      <w:r>
        <w:t xml:space="preserve"> Services</w:t>
      </w:r>
      <w:r w:rsidRPr="000C4AC7">
        <w:t xml:space="preserve"> provided the a</w:t>
      </w:r>
      <w:bookmarkStart w:id="7" w:name="_GoBack"/>
      <w:bookmarkEnd w:id="7"/>
      <w:r w:rsidRPr="000C4AC7">
        <w:t xml:space="preserve">ssessment notice from the State Revenue Office which shows tax payable of </w:t>
      </w:r>
      <w:r>
        <w:t>$1</w:t>
      </w:r>
      <w:r w:rsidR="003F5838">
        <w:t>36,365,015</w:t>
      </w:r>
      <w:r w:rsidRPr="000C4AC7">
        <w:t xml:space="preserve"> ($ nominal) </w:t>
      </w:r>
      <w:r w:rsidR="006E7B08">
        <w:t>between May 201</w:t>
      </w:r>
      <w:r w:rsidR="003F5838">
        <w:t>7</w:t>
      </w:r>
      <w:r w:rsidR="006E7B08">
        <w:t xml:space="preserve"> and </w:t>
      </w:r>
      <w:r w:rsidR="004F10DC">
        <w:t>April 201</w:t>
      </w:r>
      <w:r w:rsidR="003F5838">
        <w:t>8</w:t>
      </w:r>
      <w:r w:rsidR="004F10DC">
        <w:t>.</w:t>
      </w:r>
      <w:r w:rsidR="00C164C6">
        <w:rPr>
          <w:rStyle w:val="FootnoteReference"/>
        </w:rPr>
        <w:footnoteReference w:id="14"/>
      </w:r>
      <w:r w:rsidR="004F10DC">
        <w:t xml:space="preserve"> </w:t>
      </w:r>
      <w:r w:rsidRPr="000C4AC7">
        <w:t>Our 201</w:t>
      </w:r>
      <w:r w:rsidR="003F5838">
        <w:t>7</w:t>
      </w:r>
      <w:r w:rsidRPr="000C4AC7">
        <w:t>–</w:t>
      </w:r>
      <w:r w:rsidR="003F5838">
        <w:t>22</w:t>
      </w:r>
      <w:r w:rsidRPr="000C4AC7">
        <w:t xml:space="preserve"> revenue determination for </w:t>
      </w:r>
      <w:proofErr w:type="spellStart"/>
      <w:r w:rsidR="00F21E8C">
        <w:t>AusNet</w:t>
      </w:r>
      <w:proofErr w:type="spellEnd"/>
      <w:r w:rsidR="00F21E8C">
        <w:t xml:space="preserve"> Services</w:t>
      </w:r>
      <w:r w:rsidRPr="000C4AC7">
        <w:t xml:space="preserve"> made an allowance for forecast land tax costs of </w:t>
      </w:r>
      <w:r w:rsidR="00351D2F">
        <w:t>$1</w:t>
      </w:r>
      <w:r w:rsidR="003F5838">
        <w:t>35</w:t>
      </w:r>
      <w:r w:rsidR="0009218B">
        <w:t>,</w:t>
      </w:r>
      <w:r w:rsidR="003F5838">
        <w:t>019</w:t>
      </w:r>
      <w:r w:rsidR="0009218B">
        <w:t>,</w:t>
      </w:r>
      <w:r w:rsidR="003F5838">
        <w:t>541</w:t>
      </w:r>
      <w:r w:rsidR="0009218B">
        <w:t xml:space="preserve"> for</w:t>
      </w:r>
      <w:r w:rsidR="0010657C">
        <w:t xml:space="preserve"> the</w:t>
      </w:r>
      <w:r w:rsidR="0009218B">
        <w:t xml:space="preserve"> 201</w:t>
      </w:r>
      <w:r w:rsidR="003F5838">
        <w:t>7</w:t>
      </w:r>
      <w:r w:rsidR="00F1246E">
        <w:t>–</w:t>
      </w:r>
      <w:r w:rsidR="0009218B">
        <w:t>1</w:t>
      </w:r>
      <w:r w:rsidR="003F5838">
        <w:t>8</w:t>
      </w:r>
      <w:r w:rsidR="0009218B">
        <w:t xml:space="preserve"> regulatory </w:t>
      </w:r>
      <w:proofErr w:type="gramStart"/>
      <w:r w:rsidR="0009218B">
        <w:t>year</w:t>
      </w:r>
      <w:proofErr w:type="gramEnd"/>
      <w:r w:rsidR="00351D2F">
        <w:t xml:space="preserve"> </w:t>
      </w:r>
      <w:r w:rsidR="0009218B">
        <w:t>(</w:t>
      </w:r>
      <w:r w:rsidRPr="000C4AC7">
        <w:t>in real 201</w:t>
      </w:r>
      <w:r w:rsidR="00B91EF7">
        <w:t>6</w:t>
      </w:r>
      <w:r w:rsidRPr="000C4AC7">
        <w:t>–1</w:t>
      </w:r>
      <w:r w:rsidR="00B91EF7">
        <w:t>7</w:t>
      </w:r>
      <w:r w:rsidRPr="000C4AC7">
        <w:t xml:space="preserve"> dollars</w:t>
      </w:r>
      <w:r w:rsidR="0009218B">
        <w:t>)</w:t>
      </w:r>
      <w:r w:rsidRPr="000C4AC7">
        <w:t>. The forecast for land tax made in the determination is escalated from real 201</w:t>
      </w:r>
      <w:r w:rsidR="00B91EF7">
        <w:t>6</w:t>
      </w:r>
      <w:r w:rsidRPr="000C4AC7">
        <w:t>–1</w:t>
      </w:r>
      <w:r w:rsidR="00B91EF7">
        <w:t>7</w:t>
      </w:r>
      <w:r w:rsidRPr="000C4AC7">
        <w:t xml:space="preserve"> dollars to nominal terms in order to be comparable. </w:t>
      </w:r>
      <w:r w:rsidR="004A7BA1">
        <w:t xml:space="preserve">The escalator for </w:t>
      </w:r>
      <w:r w:rsidR="006E7B08">
        <w:t xml:space="preserve">forecast inflation </w:t>
      </w:r>
      <w:r w:rsidR="004A7BA1">
        <w:t>in the 201</w:t>
      </w:r>
      <w:r w:rsidR="00B91EF7">
        <w:t>7</w:t>
      </w:r>
      <w:r w:rsidR="004A7BA1">
        <w:t>–</w:t>
      </w:r>
      <w:r w:rsidR="00A85B89">
        <w:t xml:space="preserve">22 </w:t>
      </w:r>
      <w:r w:rsidR="004A7BA1">
        <w:t xml:space="preserve">revenue determination is </w:t>
      </w:r>
      <w:r w:rsidR="00830385" w:rsidRPr="00830385">
        <w:t>2.399804305</w:t>
      </w:r>
      <w:r w:rsidR="00830385">
        <w:t xml:space="preserve"> per cent (rounded to </w:t>
      </w:r>
      <w:r w:rsidR="004A7BA1">
        <w:t>2.4 per cent</w:t>
      </w:r>
      <w:r w:rsidR="00830385">
        <w:t xml:space="preserve"> as published)</w:t>
      </w:r>
      <w:r w:rsidR="004A7BA1">
        <w:t>.</w:t>
      </w:r>
      <w:r w:rsidR="006E7B08">
        <w:rPr>
          <w:rStyle w:val="FootnoteReference"/>
        </w:rPr>
        <w:footnoteReference w:id="15"/>
      </w:r>
      <w:r w:rsidR="004A7BA1">
        <w:t xml:space="preserve"> </w:t>
      </w:r>
      <w:r w:rsidR="0009218B">
        <w:t xml:space="preserve"> </w:t>
      </w:r>
    </w:p>
    <w:p w:rsidR="000C4AC7" w:rsidRPr="000C4AC7" w:rsidRDefault="004A7BA1" w:rsidP="00BF2A3B">
      <w:r>
        <w:t xml:space="preserve">To calculate the equivalent nominal amount in current dollars </w:t>
      </w:r>
      <w:proofErr w:type="spellStart"/>
      <w:r w:rsidR="004F10DC">
        <w:t>AusNet</w:t>
      </w:r>
      <w:proofErr w:type="spellEnd"/>
      <w:r w:rsidR="004F10DC">
        <w:t xml:space="preserve"> Services</w:t>
      </w:r>
      <w:r w:rsidR="000C4AC7" w:rsidRPr="000C4AC7">
        <w:t xml:space="preserve"> escalates the </w:t>
      </w:r>
      <w:r w:rsidR="00BF2A3B">
        <w:t xml:space="preserve">$135,019,541 </w:t>
      </w:r>
      <w:r>
        <w:t>real 201</w:t>
      </w:r>
      <w:r w:rsidR="00BF2A3B">
        <w:t>6</w:t>
      </w:r>
      <w:r>
        <w:t>–1</w:t>
      </w:r>
      <w:r w:rsidR="00BF2A3B">
        <w:t>7</w:t>
      </w:r>
      <w:r>
        <w:t xml:space="preserve"> dollars</w:t>
      </w:r>
      <w:r w:rsidR="00BF2A3B">
        <w:t xml:space="preserve"> as approved in the revenue determination</w:t>
      </w:r>
      <w:r>
        <w:t xml:space="preserve"> </w:t>
      </w:r>
      <w:r w:rsidR="000C4AC7" w:rsidRPr="000C4AC7">
        <w:t>forecast by</w:t>
      </w:r>
      <w:r w:rsidR="00BF2A3B">
        <w:t xml:space="preserve"> the 2.4</w:t>
      </w:r>
      <w:r w:rsidR="00A85B89">
        <w:t xml:space="preserve"> per cent</w:t>
      </w:r>
      <w:bookmarkStart w:id="8" w:name="_Ref480446549"/>
      <w:r w:rsidR="007F5959">
        <w:rPr>
          <w:rStyle w:val="FootnoteReference"/>
        </w:rPr>
        <w:footnoteReference w:id="16"/>
      </w:r>
      <w:bookmarkEnd w:id="8"/>
      <w:r w:rsidR="00A85B89">
        <w:t xml:space="preserve"> </w:t>
      </w:r>
      <w:r w:rsidR="00BF2A3B">
        <w:t>forecast inflation rate for the regulatory period to arrive at the relevant 2017–18 dollars.</w:t>
      </w:r>
      <w:r w:rsidR="00BF2A3B" w:rsidRPr="000C4AC7">
        <w:t xml:space="preserve"> </w:t>
      </w:r>
      <w:r w:rsidR="000C4AC7" w:rsidRPr="000C4AC7">
        <w:t xml:space="preserve">The difference between the actual land tax payable and the forecast amount allowed for land tax in our determination, escalated to nominal dollars, is the appropriate </w:t>
      </w:r>
      <w:r w:rsidR="005A207E">
        <w:t xml:space="preserve">pass–through </w:t>
      </w:r>
      <w:r w:rsidR="000C4AC7" w:rsidRPr="000C4AC7">
        <w:t>amount. The calculation is as follows:</w:t>
      </w:r>
    </w:p>
    <w:p w:rsidR="000C4AC7" w:rsidRPr="000C4AC7" w:rsidRDefault="000C4AC7" w:rsidP="00DE756D">
      <w:pPr>
        <w:pStyle w:val="ListContinue"/>
      </w:pPr>
      <w:r w:rsidRPr="000C4AC7">
        <w:t>(a)</w:t>
      </w:r>
      <w:r w:rsidRPr="000C4AC7">
        <w:tab/>
      </w:r>
      <w:r w:rsidR="0010657C">
        <w:t>Verify</w:t>
      </w:r>
      <w:r w:rsidRPr="000C4AC7">
        <w:t xml:space="preserve"> the actual land tax payable: </w:t>
      </w:r>
      <w:r w:rsidR="00A85B89">
        <w:t>$</w:t>
      </w:r>
      <w:r w:rsidR="00BF2A3B">
        <w:t>136,365,015</w:t>
      </w:r>
      <w:r w:rsidR="00BF2A3B" w:rsidRPr="000C4AC7">
        <w:t xml:space="preserve"> </w:t>
      </w:r>
      <w:r w:rsidR="004A7BA1">
        <w:t>(in 201</w:t>
      </w:r>
      <w:r w:rsidR="00BF2A3B">
        <w:t>7</w:t>
      </w:r>
      <w:r w:rsidR="004A7BA1">
        <w:t>-1</w:t>
      </w:r>
      <w:r w:rsidR="00BF2A3B">
        <w:t>8</w:t>
      </w:r>
      <w:r w:rsidR="004A7BA1">
        <w:t xml:space="preserve"> dollars</w:t>
      </w:r>
      <w:r w:rsidR="008811D4">
        <w:t>,</w:t>
      </w:r>
      <w:r w:rsidR="0010657C">
        <w:t xml:space="preserve"> as per</w:t>
      </w:r>
      <w:r w:rsidR="008811D4">
        <w:t xml:space="preserve"> the 201</w:t>
      </w:r>
      <w:r w:rsidR="00BF2A3B">
        <w:t>7</w:t>
      </w:r>
      <w:r w:rsidR="008811D4">
        <w:t xml:space="preserve"> Land Tax Assessment Notice</w:t>
      </w:r>
      <w:r w:rsidR="004A7BA1">
        <w:t>)</w:t>
      </w:r>
    </w:p>
    <w:p w:rsidR="000C4AC7" w:rsidRPr="000C4AC7" w:rsidRDefault="000C4AC7" w:rsidP="00DE756D">
      <w:pPr>
        <w:pStyle w:val="ListContinue"/>
      </w:pPr>
      <w:r w:rsidRPr="000C4AC7">
        <w:t>(b)</w:t>
      </w:r>
      <w:r w:rsidRPr="000C4AC7">
        <w:tab/>
        <w:t>Escalate the forecast allowance for land tax into comparable 201</w:t>
      </w:r>
      <w:r w:rsidR="00BF2A3B">
        <w:t>7</w:t>
      </w:r>
      <w:r w:rsidRPr="000C4AC7">
        <w:t>–1</w:t>
      </w:r>
      <w:r w:rsidR="00BF2A3B">
        <w:t>8</w:t>
      </w:r>
      <w:r w:rsidRPr="000C4AC7">
        <w:t xml:space="preserve"> dollars (</w:t>
      </w:r>
      <w:r w:rsidR="00BF2A3B">
        <w:t xml:space="preserve">$135,019,541 </w:t>
      </w:r>
      <w:r w:rsidR="00BD5E55">
        <w:t>multiplied by</w:t>
      </w:r>
      <w:r w:rsidR="00617405" w:rsidRPr="00617405">
        <w:t xml:space="preserve"> 1+</w:t>
      </w:r>
      <w:r w:rsidR="007510AC">
        <w:t xml:space="preserve"> </w:t>
      </w:r>
      <w:r w:rsidR="00830385" w:rsidRPr="00830385">
        <w:t>2.399804305</w:t>
      </w:r>
      <w:r w:rsidR="00830385">
        <w:t xml:space="preserve"> </w:t>
      </w:r>
      <w:r w:rsidR="00617405" w:rsidRPr="00617405">
        <w:t>per cent</w:t>
      </w:r>
      <w:r w:rsidR="007F5959">
        <w:rPr>
          <w:rStyle w:val="FootnoteReference"/>
        </w:rPr>
        <w:footnoteReference w:id="17"/>
      </w:r>
      <w:r w:rsidRPr="000C4AC7">
        <w:t xml:space="preserve">): </w:t>
      </w:r>
      <w:r w:rsidR="00105A54">
        <w:t>$</w:t>
      </w:r>
      <w:r w:rsidR="00105A54" w:rsidRPr="00105A54">
        <w:t>138,2</w:t>
      </w:r>
      <w:r w:rsidR="00830385">
        <w:t>59,746</w:t>
      </w:r>
    </w:p>
    <w:p w:rsidR="000C4AC7" w:rsidRPr="000C4AC7" w:rsidRDefault="000C4AC7" w:rsidP="00DE756D">
      <w:pPr>
        <w:pStyle w:val="ListContinue"/>
      </w:pPr>
      <w:r w:rsidRPr="000C4AC7">
        <w:t>(c)</w:t>
      </w:r>
      <w:r w:rsidRPr="000C4AC7">
        <w:tab/>
        <w:t xml:space="preserve">Determine the difference ((a) subtract (b)): </w:t>
      </w:r>
      <w:r w:rsidR="007510AC">
        <w:t xml:space="preserve">negative </w:t>
      </w:r>
      <w:r w:rsidRPr="000C4AC7">
        <w:t>$</w:t>
      </w:r>
      <w:r w:rsidR="007510AC">
        <w:t>1,894,</w:t>
      </w:r>
      <w:r w:rsidR="00830385">
        <w:t>731</w:t>
      </w:r>
      <w:r w:rsidR="007510AC">
        <w:t>.</w:t>
      </w:r>
    </w:p>
    <w:p w:rsidR="00C164C6" w:rsidRDefault="00BD5E55" w:rsidP="000C4AC7">
      <w:proofErr w:type="spellStart"/>
      <w:r>
        <w:t>AusNet</w:t>
      </w:r>
      <w:proofErr w:type="spellEnd"/>
      <w:r>
        <w:t xml:space="preserve"> Services</w:t>
      </w:r>
      <w:r w:rsidR="000C4AC7" w:rsidRPr="000C4AC7">
        <w:t xml:space="preserve"> submit</w:t>
      </w:r>
      <w:r w:rsidR="00830385">
        <w:t>ted</w:t>
      </w:r>
      <w:r w:rsidR="000C4AC7" w:rsidRPr="000C4AC7">
        <w:t xml:space="preserve"> that the approved </w:t>
      </w:r>
      <w:r w:rsidR="005A207E">
        <w:t xml:space="preserve">pass–through </w:t>
      </w:r>
      <w:r w:rsidR="000C4AC7" w:rsidRPr="000C4AC7">
        <w:t xml:space="preserve">amount will </w:t>
      </w:r>
      <w:r w:rsidR="00830385">
        <w:t xml:space="preserve">represent a reduction of its allowable revenue requirements </w:t>
      </w:r>
      <w:r w:rsidR="000C4AC7" w:rsidRPr="000C4AC7">
        <w:t>for pricing purposes.</w:t>
      </w:r>
      <w:r w:rsidR="00573BA4">
        <w:t xml:space="preserve"> This is a continuation of established practice for </w:t>
      </w:r>
      <w:r w:rsidR="00105A54">
        <w:t>truing</w:t>
      </w:r>
      <w:r w:rsidR="00830385">
        <w:t>-</w:t>
      </w:r>
      <w:r w:rsidR="00105A54">
        <w:t>up</w:t>
      </w:r>
      <w:r w:rsidR="00573BA4">
        <w:t xml:space="preserve"> th</w:t>
      </w:r>
      <w:r w:rsidR="00105A54">
        <w:t>e difference between the actual tax paid and the forecasted</w:t>
      </w:r>
      <w:r w:rsidR="00573BA4">
        <w:t xml:space="preserve"> amount </w:t>
      </w:r>
      <w:r w:rsidR="00D37EE2">
        <w:t>in the revenue determination</w:t>
      </w:r>
      <w:r w:rsidR="00573BA4">
        <w:t>.</w:t>
      </w:r>
    </w:p>
    <w:p w:rsidR="0020492C" w:rsidRDefault="00C164C6" w:rsidP="00562632">
      <w:pPr>
        <w:pStyle w:val="Heading1"/>
      </w:pPr>
      <w:bookmarkStart w:id="9" w:name="_Toc480369555"/>
      <w:r>
        <w:lastRenderedPageBreak/>
        <w:t>AER Assessment</w:t>
      </w:r>
      <w:bookmarkEnd w:id="9"/>
    </w:p>
    <w:p w:rsidR="004E22EC" w:rsidRDefault="00163D50" w:rsidP="00B927D8">
      <w:pPr>
        <w:pStyle w:val="Heading2"/>
      </w:pPr>
      <w:bookmarkStart w:id="10" w:name="_Toc480369556"/>
      <w:r>
        <w:t>Relevant dates</w:t>
      </w:r>
      <w:bookmarkEnd w:id="10"/>
    </w:p>
    <w:p w:rsidR="00163D50" w:rsidRDefault="00163D50" w:rsidP="002D4E33">
      <w:pPr>
        <w:pStyle w:val="BodyText"/>
      </w:pPr>
      <w:r>
        <w:t>The rules provide</w:t>
      </w:r>
      <w:r w:rsidRPr="00163D50">
        <w:t xml:space="preserve"> that, for a </w:t>
      </w:r>
      <w:r w:rsidR="00F768BC">
        <w:t>negative</w:t>
      </w:r>
      <w:r w:rsidRPr="00163D50">
        <w:t xml:space="preserve"> change event, an application to us for a </w:t>
      </w:r>
      <w:r w:rsidR="00F768BC">
        <w:t>negative</w:t>
      </w:r>
      <w:r w:rsidRPr="00163D50">
        <w:t xml:space="preserve"> </w:t>
      </w:r>
      <w:r w:rsidR="005A207E">
        <w:t xml:space="preserve">pass–through </w:t>
      </w:r>
      <w:r w:rsidRPr="00163D50">
        <w:t>amount must be made within 90 business days of the relevant event occurring.</w:t>
      </w:r>
      <w:r>
        <w:rPr>
          <w:rStyle w:val="FootnoteReference"/>
        </w:rPr>
        <w:footnoteReference w:id="18"/>
      </w:r>
      <w:r w:rsidRPr="00163D50">
        <w:t xml:space="preserve">  We must make a determination on the event within 40 business days of the business providing details of the event a</w:t>
      </w:r>
      <w:r>
        <w:t>nd supporting evidence to us.</w:t>
      </w:r>
      <w:r w:rsidR="00E75721">
        <w:rPr>
          <w:rStyle w:val="FootnoteReference"/>
        </w:rPr>
        <w:footnoteReference w:id="19"/>
      </w:r>
    </w:p>
    <w:p w:rsidR="00D37EE2" w:rsidRDefault="00C7730C" w:rsidP="00E75721">
      <w:pPr>
        <w:pStyle w:val="BodyText"/>
      </w:pPr>
      <w:r>
        <w:t>Based on our advice</w:t>
      </w:r>
      <w:r w:rsidR="004F69E8">
        <w:t xml:space="preserve"> on 18 April 2017,</w:t>
      </w:r>
      <w:r w:rsidR="004A1AFD">
        <w:t xml:space="preserve"> as discussed in the </w:t>
      </w:r>
      <w:r w:rsidR="004F69E8">
        <w:t>paragraph 2.1 of the p</w:t>
      </w:r>
      <w:r w:rsidR="004A1AFD">
        <w:t>revious chapter of this paper</w:t>
      </w:r>
      <w:r w:rsidR="00532230">
        <w:t xml:space="preserve">, </w:t>
      </w:r>
      <w:proofErr w:type="spellStart"/>
      <w:r w:rsidR="002D4E33">
        <w:t>AusNet</w:t>
      </w:r>
      <w:proofErr w:type="spellEnd"/>
      <w:r w:rsidR="002D4E33">
        <w:t xml:space="preserve"> Services</w:t>
      </w:r>
      <w:r w:rsidR="002D4E33" w:rsidRPr="008E4F3F">
        <w:t xml:space="preserve"> made its </w:t>
      </w:r>
      <w:r w:rsidR="005A207E">
        <w:t xml:space="preserve">pass–through </w:t>
      </w:r>
      <w:r w:rsidR="002D4E33" w:rsidRPr="008E4F3F">
        <w:t xml:space="preserve">application on </w:t>
      </w:r>
      <w:r w:rsidR="004F69E8">
        <w:t>the same day</w:t>
      </w:r>
      <w:r w:rsidR="002D4E33" w:rsidRPr="008E4F3F">
        <w:t xml:space="preserve">, which is within the </w:t>
      </w:r>
      <w:r w:rsidR="002D4E33" w:rsidRPr="002D4E33">
        <w:t xml:space="preserve">set timeframe. </w:t>
      </w:r>
      <w:r w:rsidR="00A85B89">
        <w:t>This is b</w:t>
      </w:r>
      <w:r w:rsidR="004F69E8">
        <w:t xml:space="preserve">ecause </w:t>
      </w:r>
      <w:proofErr w:type="spellStart"/>
      <w:r w:rsidR="00E75721">
        <w:t>AusNet</w:t>
      </w:r>
      <w:proofErr w:type="spellEnd"/>
      <w:r w:rsidR="00E75721">
        <w:t xml:space="preserve"> Services</w:t>
      </w:r>
      <w:r w:rsidR="002D4E33" w:rsidRPr="002D4E33">
        <w:t xml:space="preserve"> </w:t>
      </w:r>
      <w:r w:rsidR="004F69E8">
        <w:t>became aware of the fact that t</w:t>
      </w:r>
      <w:r w:rsidR="00E75721" w:rsidRPr="00E75721">
        <w:t>he</w:t>
      </w:r>
      <w:r>
        <w:t xml:space="preserve"> actual</w:t>
      </w:r>
      <w:r w:rsidR="00E75721" w:rsidRPr="00E75721">
        <w:t xml:space="preserve"> land tax payable was</w:t>
      </w:r>
      <w:r>
        <w:t xml:space="preserve"> less than the provision included in</w:t>
      </w:r>
      <w:r w:rsidR="00E75721" w:rsidRPr="00E75721">
        <w:t xml:space="preserve"> our revenue determination for </w:t>
      </w:r>
      <w:proofErr w:type="spellStart"/>
      <w:r w:rsidR="00E75721">
        <w:t>AusNet</w:t>
      </w:r>
      <w:proofErr w:type="spellEnd"/>
      <w:r w:rsidR="00E75721">
        <w:t xml:space="preserve"> Services</w:t>
      </w:r>
      <w:r>
        <w:t xml:space="preserve"> for 2017</w:t>
      </w:r>
      <w:r w:rsidR="00A85B89">
        <w:t>–</w:t>
      </w:r>
      <w:r>
        <w:t>18</w:t>
      </w:r>
      <w:r w:rsidR="004F69E8">
        <w:t xml:space="preserve"> on </w:t>
      </w:r>
      <w:r w:rsidR="00A85B89">
        <w:t xml:space="preserve">18 April 2017. We consider that was the date on which the </w:t>
      </w:r>
      <w:r w:rsidR="00101C7A">
        <w:t xml:space="preserve">relevant </w:t>
      </w:r>
      <w:r w:rsidR="001A63ED">
        <w:t xml:space="preserve">negative change </w:t>
      </w:r>
      <w:r w:rsidR="00101C7A">
        <w:t xml:space="preserve">event </w:t>
      </w:r>
      <w:r w:rsidR="007F5959">
        <w:t>occurred</w:t>
      </w:r>
      <w:r>
        <w:t>.</w:t>
      </w:r>
    </w:p>
    <w:p w:rsidR="00E75721" w:rsidRDefault="00F768BC" w:rsidP="00E75721">
      <w:pPr>
        <w:pStyle w:val="Heading2"/>
      </w:pPr>
      <w:bookmarkStart w:id="11" w:name="_Toc480369557"/>
      <w:r>
        <w:t>Negative</w:t>
      </w:r>
      <w:r w:rsidR="00E75817">
        <w:t xml:space="preserve"> change event</w:t>
      </w:r>
      <w:bookmarkEnd w:id="11"/>
    </w:p>
    <w:p w:rsidR="00F820F5" w:rsidRDefault="00F820F5" w:rsidP="00F820F5">
      <w:pPr>
        <w:pStyle w:val="BodyText"/>
      </w:pPr>
      <w:r w:rsidRPr="00F820F5">
        <w:t xml:space="preserve">In order to approve an amount of money to be passed </w:t>
      </w:r>
      <w:r w:rsidR="001A63ED">
        <w:t xml:space="preserve">back </w:t>
      </w:r>
      <w:r w:rsidRPr="00F820F5">
        <w:t xml:space="preserve">to energy consumers, we must determine that a </w:t>
      </w:r>
      <w:r w:rsidR="00F768BC">
        <w:t>negative</w:t>
      </w:r>
      <w:r w:rsidRPr="00F820F5">
        <w:t xml:space="preserve"> change event has occurred. The rules de</w:t>
      </w:r>
      <w:r>
        <w:t xml:space="preserve">fine a </w:t>
      </w:r>
      <w:r w:rsidR="00F768BC">
        <w:t>negative</w:t>
      </w:r>
      <w:r>
        <w:t xml:space="preserve"> change event as</w:t>
      </w:r>
      <w:r>
        <w:rPr>
          <w:rStyle w:val="FootnoteReference"/>
        </w:rPr>
        <w:footnoteReference w:id="20"/>
      </w:r>
      <w:r w:rsidRPr="00F820F5">
        <w:t>:</w:t>
      </w:r>
    </w:p>
    <w:p w:rsidR="001E1499" w:rsidRDefault="001E1499" w:rsidP="00BD7B1E">
      <w:pPr>
        <w:pStyle w:val="Quote"/>
      </w:pPr>
      <w:r w:rsidRPr="001E1499">
        <w:t>…</w:t>
      </w:r>
      <w:r w:rsidR="002431DC" w:rsidRPr="002431DC">
        <w:t xml:space="preserve"> a pass through event which entails the Transmission Network Service Provider incurring materially lower costs in providing prescribed transmission services than it would have incurred but for that event</w:t>
      </w:r>
      <w:r w:rsidR="002431DC">
        <w:t xml:space="preserve">.  </w:t>
      </w:r>
    </w:p>
    <w:p w:rsidR="00F820F5" w:rsidRDefault="00F820F5" w:rsidP="00F820F5">
      <w:pPr>
        <w:pStyle w:val="BodyText"/>
      </w:pPr>
      <w:r w:rsidRPr="00F820F5">
        <w:t xml:space="preserve">Further to this, transitional rule 11.6.21 provides that an easements tax change event is a </w:t>
      </w:r>
      <w:r w:rsidR="00F768BC">
        <w:t>negative</w:t>
      </w:r>
      <w:r w:rsidRPr="00F820F5">
        <w:t xml:space="preserve"> change event, regardless of whether it meets the materiality threshold that would ordinarily form part of the consideration. An easements tax change event</w:t>
      </w:r>
      <w:r>
        <w:t xml:space="preserve"> is defined as follows</w:t>
      </w:r>
      <w:r>
        <w:rPr>
          <w:rStyle w:val="FootnoteReference"/>
        </w:rPr>
        <w:footnoteReference w:id="21"/>
      </w:r>
      <w:r w:rsidRPr="00F820F5">
        <w:t>:</w:t>
      </w:r>
    </w:p>
    <w:p w:rsidR="00F820F5" w:rsidRDefault="00F820F5" w:rsidP="00BD7B1E">
      <w:pPr>
        <w:pStyle w:val="Quote"/>
      </w:pPr>
      <w:r w:rsidRPr="00F820F5">
        <w:t xml:space="preserve">…a change in the amount of land tax that is payable by SPI </w:t>
      </w:r>
      <w:proofErr w:type="spellStart"/>
      <w:r w:rsidRPr="00F820F5">
        <w:t>PowerNet</w:t>
      </w:r>
      <w:proofErr w:type="spellEnd"/>
      <w:r w:rsidRPr="00F820F5">
        <w:t xml:space="preserve"> in respect of the easements which are used for the purposes of SPI </w:t>
      </w:r>
      <w:proofErr w:type="spellStart"/>
      <w:r w:rsidRPr="00F820F5">
        <w:t>PowerNet’s</w:t>
      </w:r>
      <w:proofErr w:type="spellEnd"/>
      <w:r w:rsidRPr="00F820F5">
        <w:t xml:space="preserve"> transmission network. For the purposes of this </w:t>
      </w:r>
      <w:r w:rsidRPr="000B3962">
        <w:t>definition</w:t>
      </w:r>
      <w:r w:rsidRPr="00F820F5">
        <w:t xml:space="preserve">, the change in the amount of land tax that is payable by SPI </w:t>
      </w:r>
      <w:proofErr w:type="spellStart"/>
      <w:r w:rsidRPr="00F820F5">
        <w:t>PowerNet</w:t>
      </w:r>
      <w:proofErr w:type="spellEnd"/>
      <w:r w:rsidRPr="00F820F5">
        <w:t xml:space="preserve"> must be calculated as the difference between:</w:t>
      </w:r>
    </w:p>
    <w:p w:rsidR="000B3962" w:rsidRPr="000B3962" w:rsidRDefault="000B3962" w:rsidP="00BD7B1E">
      <w:pPr>
        <w:pStyle w:val="Quote"/>
      </w:pPr>
      <w:r w:rsidRPr="000B3962">
        <w:t>(1)</w:t>
      </w:r>
      <w:r w:rsidRPr="000B3962">
        <w:tab/>
      </w:r>
      <w:proofErr w:type="gramStart"/>
      <w:r w:rsidRPr="000B3962">
        <w:t>the</w:t>
      </w:r>
      <w:proofErr w:type="gramEnd"/>
      <w:r w:rsidRPr="000B3962">
        <w:t xml:space="preserve"> amount of land tax that is payable in each regulatory year by SPI </w:t>
      </w:r>
      <w:proofErr w:type="spellStart"/>
      <w:r w:rsidRPr="000B3962">
        <w:t>PowerNet</w:t>
      </w:r>
      <w:proofErr w:type="spellEnd"/>
      <w:r w:rsidRPr="000B3962">
        <w:t>, as advised by the Commissioner of State Revenue, Victoria; and</w:t>
      </w:r>
    </w:p>
    <w:p w:rsidR="000B3962" w:rsidRDefault="000B3962" w:rsidP="00BD7B1E">
      <w:pPr>
        <w:pStyle w:val="Quote"/>
      </w:pPr>
      <w:r w:rsidRPr="000B3962">
        <w:t>(2)</w:t>
      </w:r>
      <w:r w:rsidRPr="000B3962">
        <w:tab/>
      </w:r>
      <w:proofErr w:type="gramStart"/>
      <w:r w:rsidRPr="000B3962">
        <w:t>the</w:t>
      </w:r>
      <w:proofErr w:type="gramEnd"/>
      <w:r w:rsidRPr="000B3962">
        <w:t xml:space="preserve"> amount of land tax which is forecast for the purposes of and included in the revenue determination for each regulatory year of the regulatory control period.</w:t>
      </w:r>
    </w:p>
    <w:p w:rsidR="000B3962" w:rsidRDefault="000B3962" w:rsidP="000B3962">
      <w:pPr>
        <w:pStyle w:val="BodyText"/>
      </w:pPr>
      <w:r w:rsidRPr="000B3962">
        <w:t xml:space="preserve">SPI </w:t>
      </w:r>
      <w:proofErr w:type="spellStart"/>
      <w:r w:rsidRPr="000B3962">
        <w:t>PowerNet</w:t>
      </w:r>
      <w:proofErr w:type="spellEnd"/>
      <w:r w:rsidRPr="000B3962">
        <w:t xml:space="preserve"> is the licensed transmission entity of </w:t>
      </w:r>
      <w:proofErr w:type="spellStart"/>
      <w:r>
        <w:t>AusNet</w:t>
      </w:r>
      <w:proofErr w:type="spellEnd"/>
      <w:r>
        <w:t xml:space="preserve"> Services</w:t>
      </w:r>
      <w:r w:rsidRPr="000B3962">
        <w:t>.</w:t>
      </w:r>
    </w:p>
    <w:p w:rsidR="000B3962" w:rsidRDefault="0090076A" w:rsidP="000B3962">
      <w:pPr>
        <w:pStyle w:val="BodyText"/>
      </w:pPr>
      <w:proofErr w:type="spellStart"/>
      <w:r>
        <w:lastRenderedPageBreak/>
        <w:t>AusNet</w:t>
      </w:r>
      <w:proofErr w:type="spellEnd"/>
      <w:r>
        <w:t xml:space="preserve"> Services</w:t>
      </w:r>
      <w:r w:rsidR="000B3962">
        <w:t xml:space="preserve"> has provided the assessment notice from the State Revenue Office showing the land tax payable. This amount differs from the amount forecast for this purpose in the 20</w:t>
      </w:r>
      <w:r w:rsidR="00E03641">
        <w:t>17</w:t>
      </w:r>
      <w:r w:rsidR="000B3962">
        <w:t>–</w:t>
      </w:r>
      <w:r w:rsidR="00E03641">
        <w:t>22</w:t>
      </w:r>
      <w:r w:rsidR="000B3962">
        <w:t xml:space="preserve"> revenue determination, as per the calculation in the section above. Thus</w:t>
      </w:r>
      <w:r w:rsidR="00D37EE2">
        <w:t>,</w:t>
      </w:r>
      <w:r w:rsidR="000B3962">
        <w:t xml:space="preserve"> we are satisfied that an easements tax change event has occurred and that it is a </w:t>
      </w:r>
      <w:r w:rsidR="00F768BC">
        <w:t>negative</w:t>
      </w:r>
      <w:r w:rsidR="000B3962">
        <w:t xml:space="preserve"> change event.</w:t>
      </w:r>
    </w:p>
    <w:p w:rsidR="00455781" w:rsidRDefault="005A207E" w:rsidP="00455781">
      <w:pPr>
        <w:pStyle w:val="Heading2"/>
      </w:pPr>
      <w:bookmarkStart w:id="12" w:name="_Toc480369558"/>
      <w:r>
        <w:t>Calculation of the pass–</w:t>
      </w:r>
      <w:r w:rsidR="00455781">
        <w:t>through amount</w:t>
      </w:r>
      <w:bookmarkEnd w:id="12"/>
    </w:p>
    <w:p w:rsidR="00455781" w:rsidRPr="00455781" w:rsidRDefault="00455781" w:rsidP="00455781">
      <w:pPr>
        <w:pStyle w:val="BodyText"/>
      </w:pPr>
      <w:r w:rsidRPr="00455781">
        <w:t>The details of the calculation are provided in section 2.2 above.</w:t>
      </w:r>
    </w:p>
    <w:p w:rsidR="00455781" w:rsidRPr="00455781" w:rsidRDefault="00455781" w:rsidP="00455781">
      <w:pPr>
        <w:pStyle w:val="BodyText"/>
      </w:pPr>
      <w:r w:rsidRPr="00455781">
        <w:t xml:space="preserve">We consider that </w:t>
      </w:r>
      <w:proofErr w:type="spellStart"/>
      <w:r>
        <w:t>AusNet</w:t>
      </w:r>
      <w:proofErr w:type="spellEnd"/>
      <w:r>
        <w:t xml:space="preserve"> Services</w:t>
      </w:r>
      <w:r w:rsidRPr="00455781">
        <w:t xml:space="preserve"> has correctly calculated the </w:t>
      </w:r>
      <w:r w:rsidR="00E03641">
        <w:t xml:space="preserve">negative </w:t>
      </w:r>
      <w:r w:rsidR="005A207E">
        <w:t xml:space="preserve">pass–through </w:t>
      </w:r>
      <w:r w:rsidRPr="00455781">
        <w:t xml:space="preserve">amount, that is, it has incurred </w:t>
      </w:r>
      <w:r w:rsidR="00E03641">
        <w:t xml:space="preserve">a lower than the forecast </w:t>
      </w:r>
      <w:r w:rsidR="00E03641" w:rsidRPr="00455781">
        <w:t xml:space="preserve">easements tax </w:t>
      </w:r>
      <w:r w:rsidR="00E03641">
        <w:t xml:space="preserve">cost </w:t>
      </w:r>
      <w:r w:rsidRPr="00455781">
        <w:t>in providing transmission services.</w:t>
      </w:r>
    </w:p>
    <w:p w:rsidR="00D37EE2" w:rsidRDefault="00455781" w:rsidP="00455781">
      <w:pPr>
        <w:pStyle w:val="BodyText"/>
      </w:pPr>
      <w:r w:rsidRPr="00455781">
        <w:t xml:space="preserve">We consider that the entire </w:t>
      </w:r>
      <w:r w:rsidR="00E03641">
        <w:t xml:space="preserve">negative </w:t>
      </w:r>
      <w:r w:rsidR="005A207E">
        <w:t xml:space="preserve">pass–through </w:t>
      </w:r>
      <w:r w:rsidRPr="00455781">
        <w:t xml:space="preserve">amount </w:t>
      </w:r>
      <w:r w:rsidR="00E03641">
        <w:t xml:space="preserve">(saving) </w:t>
      </w:r>
      <w:r w:rsidRPr="00455781">
        <w:t xml:space="preserve">should be </w:t>
      </w:r>
      <w:r w:rsidR="00E03641">
        <w:t xml:space="preserve">credited </w:t>
      </w:r>
      <w:r w:rsidRPr="00455781">
        <w:t xml:space="preserve">to </w:t>
      </w:r>
      <w:r w:rsidR="00E03641">
        <w:t xml:space="preserve">the network users. </w:t>
      </w:r>
      <w:r w:rsidRPr="00455781">
        <w:t xml:space="preserve">This </w:t>
      </w:r>
      <w:r w:rsidR="00E03641">
        <w:t xml:space="preserve">adjustment </w:t>
      </w:r>
      <w:r w:rsidRPr="00455781">
        <w:t xml:space="preserve">should </w:t>
      </w:r>
      <w:r w:rsidR="00E03641">
        <w:t xml:space="preserve">occur </w:t>
      </w:r>
      <w:r w:rsidRPr="00455781">
        <w:t xml:space="preserve">in the </w:t>
      </w:r>
      <w:r w:rsidR="00C21409">
        <w:t>201</w:t>
      </w:r>
      <w:r w:rsidR="00E03641">
        <w:t>7</w:t>
      </w:r>
      <w:r w:rsidR="00C21409">
        <w:t>–1</w:t>
      </w:r>
      <w:r w:rsidR="00E03641">
        <w:t>8</w:t>
      </w:r>
      <w:r w:rsidRPr="00455781">
        <w:t xml:space="preserve"> regulatory year, which is the year th</w:t>
      </w:r>
      <w:r w:rsidR="00DE756D">
        <w:t>is</w:t>
      </w:r>
      <w:r w:rsidRPr="00455781">
        <w:t xml:space="preserve"> </w:t>
      </w:r>
      <w:r w:rsidR="00E03641">
        <w:t xml:space="preserve">saving </w:t>
      </w:r>
      <w:r w:rsidR="00F1246E">
        <w:t>amount</w:t>
      </w:r>
      <w:r w:rsidR="00F1246E" w:rsidRPr="00455781">
        <w:t xml:space="preserve"> </w:t>
      </w:r>
      <w:r w:rsidR="00E03641">
        <w:t>will</w:t>
      </w:r>
      <w:r w:rsidRPr="00455781">
        <w:t xml:space="preserve"> </w:t>
      </w:r>
      <w:r w:rsidR="0023245B" w:rsidRPr="00455781">
        <w:t>incur</w:t>
      </w:r>
      <w:r w:rsidRPr="00455781">
        <w:t>.</w:t>
      </w:r>
      <w:r w:rsidR="001A63ED">
        <w:t xml:space="preserve"> For this to happen, </w:t>
      </w:r>
      <w:proofErr w:type="spellStart"/>
      <w:r w:rsidR="001A63ED">
        <w:t>AusNet</w:t>
      </w:r>
      <w:proofErr w:type="spellEnd"/>
      <w:r w:rsidR="001A63ED">
        <w:t xml:space="preserve"> Services needs to advise AEMO of its 2017-18 revenue requirement by end April, for AEMO to publish transmission charges by mid May 2017.</w:t>
      </w:r>
    </w:p>
    <w:p w:rsidR="00C21409" w:rsidRDefault="00C21409" w:rsidP="00C21409">
      <w:pPr>
        <w:pStyle w:val="Heading2"/>
      </w:pPr>
      <w:bookmarkStart w:id="13" w:name="_Toc480369559"/>
      <w:r>
        <w:t>Other considerations</w:t>
      </w:r>
      <w:bookmarkEnd w:id="13"/>
    </w:p>
    <w:p w:rsidR="00BE7057" w:rsidRDefault="00BE7057" w:rsidP="00BE7057">
      <w:pPr>
        <w:pStyle w:val="BodyText"/>
      </w:pPr>
      <w:r w:rsidRPr="00BE7057">
        <w:t xml:space="preserve">Clause </w:t>
      </w:r>
      <w:proofErr w:type="gramStart"/>
      <w:r w:rsidRPr="00BE7057">
        <w:t>6A.7.3(</w:t>
      </w:r>
      <w:proofErr w:type="gramEnd"/>
      <w:r w:rsidRPr="00BE7057">
        <w:t>j) of the rules sets out a number of matters that we are required to take into account when determining:</w:t>
      </w:r>
    </w:p>
    <w:p w:rsidR="00BE7057" w:rsidRDefault="00F1246E" w:rsidP="00BE7057">
      <w:pPr>
        <w:pStyle w:val="Bulletpoint"/>
      </w:pPr>
      <w:r>
        <w:t>w</w:t>
      </w:r>
      <w:r w:rsidR="00BE7057">
        <w:t xml:space="preserve">hether a </w:t>
      </w:r>
      <w:r w:rsidR="00360E41">
        <w:t xml:space="preserve">positive or </w:t>
      </w:r>
      <w:r w:rsidR="00F768BC">
        <w:t>negative</w:t>
      </w:r>
      <w:r w:rsidR="00BE7057">
        <w:t xml:space="preserve"> change event has occurred</w:t>
      </w:r>
    </w:p>
    <w:p w:rsidR="00BE7057" w:rsidRPr="00BE7057" w:rsidRDefault="00BE7057" w:rsidP="00BE7057">
      <w:pPr>
        <w:pStyle w:val="Bulletpoint"/>
      </w:pPr>
      <w:r w:rsidRPr="00BE7057">
        <w:t xml:space="preserve">the approved </w:t>
      </w:r>
      <w:r w:rsidR="005A207E">
        <w:t xml:space="preserve">pass–through </w:t>
      </w:r>
      <w:r w:rsidRPr="00BE7057">
        <w:t>amount</w:t>
      </w:r>
    </w:p>
    <w:p w:rsidR="00B603FD" w:rsidRPr="00B603FD" w:rsidRDefault="00B603FD" w:rsidP="00B603FD">
      <w:pPr>
        <w:pStyle w:val="Bulletpoint"/>
      </w:pPr>
      <w:proofErr w:type="gramStart"/>
      <w:r w:rsidRPr="00B603FD">
        <w:t>the</w:t>
      </w:r>
      <w:proofErr w:type="gramEnd"/>
      <w:r w:rsidRPr="00B603FD">
        <w:t xml:space="preserve"> amount of the approved </w:t>
      </w:r>
      <w:r w:rsidR="005A207E">
        <w:t xml:space="preserve">pass–through </w:t>
      </w:r>
      <w:r w:rsidRPr="00B603FD">
        <w:t>amount that should be passed through to transmission network users.</w:t>
      </w:r>
    </w:p>
    <w:p w:rsidR="00B603FD" w:rsidRDefault="00B603FD" w:rsidP="00B603FD">
      <w:pPr>
        <w:pStyle w:val="BodyText"/>
      </w:pPr>
      <w:r w:rsidRPr="00B603FD">
        <w:t xml:space="preserve">Sections 3.1, 3.2 and 3.3 above set out our considerations of those matters relevant to cl </w:t>
      </w:r>
      <w:proofErr w:type="gramStart"/>
      <w:r w:rsidRPr="00B603FD">
        <w:t>6A.7.3(</w:t>
      </w:r>
      <w:proofErr w:type="gramEnd"/>
      <w:r w:rsidRPr="00B603FD">
        <w:t>j)(1) and (2</w:t>
      </w:r>
      <w:r w:rsidR="00360E41">
        <w:t>A</w:t>
      </w:r>
      <w:r w:rsidRPr="00B603FD">
        <w:t>). We consider the remainder of the matte</w:t>
      </w:r>
      <w:r>
        <w:t xml:space="preserve">rs listed by cl </w:t>
      </w:r>
      <w:proofErr w:type="gramStart"/>
      <w:r>
        <w:t>6A.7.3(</w:t>
      </w:r>
      <w:proofErr w:type="gramEnd"/>
      <w:r>
        <w:t>j) below</w:t>
      </w:r>
      <w:r>
        <w:rPr>
          <w:rStyle w:val="FootnoteReference"/>
        </w:rPr>
        <w:footnoteReference w:id="22"/>
      </w:r>
      <w:r w:rsidRPr="00B603FD">
        <w:t>:</w:t>
      </w:r>
    </w:p>
    <w:p w:rsidR="00B603FD" w:rsidRDefault="00B603FD" w:rsidP="00B603FD">
      <w:pPr>
        <w:pStyle w:val="ListBullet"/>
      </w:pPr>
      <w:r>
        <w:t xml:space="preserve">We consider that </w:t>
      </w:r>
      <w:proofErr w:type="spellStart"/>
      <w:r>
        <w:t>AusNet</w:t>
      </w:r>
      <w:proofErr w:type="spellEnd"/>
      <w:r>
        <w:t xml:space="preserve"> Services has behaved efficiently in its decisions and actions relating to the risk of the </w:t>
      </w:r>
      <w:r w:rsidR="00F768BC">
        <w:t>negative</w:t>
      </w:r>
      <w:r>
        <w:t xml:space="preserve"> change event occurring. As the land tax amount payable is a decision of the Victorian </w:t>
      </w:r>
      <w:r w:rsidR="001A63ED">
        <w:t>G</w:t>
      </w:r>
      <w:r>
        <w:t xml:space="preserve">overnment, we consider that </w:t>
      </w:r>
      <w:proofErr w:type="spellStart"/>
      <w:r>
        <w:t>AusNet</w:t>
      </w:r>
      <w:proofErr w:type="spellEnd"/>
      <w:r>
        <w:t xml:space="preserve"> Services has not taken (or omitted) any action that would be likely to increase (or decrease) the magnitude of the </w:t>
      </w:r>
      <w:r w:rsidR="00F768BC">
        <w:t>negative</w:t>
      </w:r>
      <w:r>
        <w:t xml:space="preserve"> change event.</w:t>
      </w:r>
    </w:p>
    <w:p w:rsidR="00B603FD" w:rsidRDefault="00B603FD" w:rsidP="00B603FD">
      <w:pPr>
        <w:pStyle w:val="ListBullet"/>
      </w:pPr>
      <w:r w:rsidRPr="00B603FD">
        <w:t>We consider that the time cost of money does not need to be taken into account by this decision, as the costs are passed through to users in the regulatory year in which those costs occur.</w:t>
      </w:r>
    </w:p>
    <w:p w:rsidR="00752EAB" w:rsidRDefault="00752EAB" w:rsidP="00B603FD">
      <w:pPr>
        <w:pStyle w:val="ListBullet"/>
      </w:pPr>
      <w:r>
        <w:t xml:space="preserve">We consider that the costs to be recovered by </w:t>
      </w:r>
      <w:proofErr w:type="spellStart"/>
      <w:r>
        <w:t>AusNet</w:t>
      </w:r>
      <w:proofErr w:type="spellEnd"/>
      <w:r>
        <w:t xml:space="preserve"> Services due to this </w:t>
      </w:r>
      <w:r w:rsidR="005A207E">
        <w:t xml:space="preserve">pass–through </w:t>
      </w:r>
      <w:r>
        <w:t>event are solely attributable to the easements tax change event.</w:t>
      </w:r>
    </w:p>
    <w:p w:rsidR="00752EAB" w:rsidRDefault="00752EAB" w:rsidP="00752EAB">
      <w:pPr>
        <w:pStyle w:val="ListBullet"/>
      </w:pPr>
      <w:r w:rsidRPr="00752EAB">
        <w:lastRenderedPageBreak/>
        <w:t>We do not consider there to be any changes in the way other taxes are calculated, or any other taxes that have been removed or imposed which are complementary to this easements tax change event.</w:t>
      </w:r>
    </w:p>
    <w:p w:rsidR="00752EAB" w:rsidRPr="00752EAB" w:rsidRDefault="00752EAB" w:rsidP="00752EAB">
      <w:pPr>
        <w:pStyle w:val="ListBullet"/>
      </w:pPr>
      <w:r w:rsidRPr="00752EAB">
        <w:t xml:space="preserve">We consider that the costs of the </w:t>
      </w:r>
      <w:r w:rsidR="005A207E">
        <w:t xml:space="preserve">pass–through </w:t>
      </w:r>
      <w:r w:rsidRPr="00752EAB">
        <w:t xml:space="preserve">event are established by cl 11.6.21, and are defined as the difference between certain costs for which an allowance is made under the revenue determination, and the actual costs incurred. As such, the costs of the </w:t>
      </w:r>
      <w:r w:rsidR="005A207E">
        <w:t xml:space="preserve">pass–through </w:t>
      </w:r>
      <w:r w:rsidRPr="00752EAB">
        <w:t>event are</w:t>
      </w:r>
      <w:r w:rsidR="005729B9">
        <w:t>,</w:t>
      </w:r>
      <w:r w:rsidRPr="00752EAB">
        <w:t xml:space="preserve"> by definition</w:t>
      </w:r>
      <w:r w:rsidR="005729B9">
        <w:t>,</w:t>
      </w:r>
      <w:r w:rsidRPr="00752EAB">
        <w:t xml:space="preserve"> not factored into </w:t>
      </w:r>
      <w:proofErr w:type="spellStart"/>
      <w:r>
        <w:t>AusNet</w:t>
      </w:r>
      <w:proofErr w:type="spellEnd"/>
      <w:r>
        <w:t xml:space="preserve"> Services' </w:t>
      </w:r>
      <w:r w:rsidR="00634077">
        <w:t>maximum allowed revenue</w:t>
      </w:r>
      <w:r w:rsidRPr="00752EAB">
        <w:t xml:space="preserve"> for the 201</w:t>
      </w:r>
      <w:r w:rsidR="00D37EE2">
        <w:t>7</w:t>
      </w:r>
      <w:r w:rsidRPr="00752EAB">
        <w:t>–</w:t>
      </w:r>
      <w:r w:rsidR="00D37EE2">
        <w:t>22</w:t>
      </w:r>
      <w:r w:rsidRPr="00752EAB">
        <w:t xml:space="preserve"> regulatory control </w:t>
      </w:r>
      <w:proofErr w:type="gramStart"/>
      <w:r w:rsidRPr="00752EAB">
        <w:t>period</w:t>
      </w:r>
      <w:proofErr w:type="gramEnd"/>
      <w:r w:rsidRPr="00752EAB">
        <w:t>.</w:t>
      </w:r>
    </w:p>
    <w:p w:rsidR="00752EAB" w:rsidRPr="00752EAB" w:rsidRDefault="00752EAB" w:rsidP="00752EAB">
      <w:pPr>
        <w:pStyle w:val="ListBullet"/>
      </w:pPr>
      <w:r w:rsidRPr="00752EAB">
        <w:t xml:space="preserve">We consider that the costs incurred relating to the </w:t>
      </w:r>
      <w:r w:rsidR="005A207E">
        <w:t xml:space="preserve">pass–through </w:t>
      </w:r>
      <w:r w:rsidRPr="00752EAB">
        <w:t xml:space="preserve">event under consideration </w:t>
      </w:r>
      <w:proofErr w:type="gramStart"/>
      <w:r w:rsidRPr="00752EAB">
        <w:t>are</w:t>
      </w:r>
      <w:proofErr w:type="gramEnd"/>
      <w:r w:rsidRPr="00752EAB">
        <w:t xml:space="preserve"> not the subject of any previous determination by us under cl 6A.7.3.</w:t>
      </w:r>
    </w:p>
    <w:p w:rsidR="00752EAB" w:rsidRPr="00BE7057" w:rsidRDefault="00752EAB" w:rsidP="00752EAB">
      <w:pPr>
        <w:pStyle w:val="ListBullet"/>
      </w:pPr>
      <w:r w:rsidRPr="00752EAB">
        <w:t>We do not consider any other matters to be relevant.</w:t>
      </w:r>
    </w:p>
    <w:p w:rsidR="00163D50" w:rsidRPr="00163D50" w:rsidRDefault="00163D50" w:rsidP="00163D50">
      <w:pPr>
        <w:pStyle w:val="BodyText"/>
      </w:pPr>
    </w:p>
    <w:p w:rsidR="00185CB9" w:rsidRDefault="00185CB9" w:rsidP="00185CB9"/>
    <w:sectPr w:rsidR="00185CB9" w:rsidSect="00E137FB">
      <w:footerReference w:type="even" r:id="rId13"/>
      <w:footerReference w:type="default" r:id="rId14"/>
      <w:footerReference w:type="first" r:id="rId15"/>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E05" w:rsidRDefault="009C0E05" w:rsidP="004B4412">
      <w:pPr>
        <w:spacing w:before="0"/>
      </w:pPr>
      <w:r>
        <w:separator/>
      </w:r>
    </w:p>
    <w:p w:rsidR="009C0E05" w:rsidRDefault="009C0E05"/>
    <w:p w:rsidR="009C0E05" w:rsidRDefault="009C0E05"/>
  </w:endnote>
  <w:endnote w:type="continuationSeparator" w:id="0">
    <w:p w:rsidR="009C0E05" w:rsidRDefault="009C0E05" w:rsidP="004B4412">
      <w:pPr>
        <w:spacing w:before="0"/>
      </w:pPr>
      <w:r>
        <w:continuationSeparator/>
      </w:r>
    </w:p>
    <w:p w:rsidR="009C0E05" w:rsidRDefault="009C0E05"/>
    <w:p w:rsidR="009C0E05" w:rsidRDefault="009C0E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D1F" w:rsidRPr="007A4D1F" w:rsidRDefault="00DE756D" w:rsidP="00D814C4">
    <w:pPr>
      <w:pStyle w:val="Footer"/>
    </w:pPr>
    <w:r>
      <w:t>201</w:t>
    </w:r>
    <w:r w:rsidR="00AE30AF">
      <w:t>7</w:t>
    </w:r>
    <w:r>
      <w:t xml:space="preserve"> </w:t>
    </w:r>
    <w:r w:rsidR="00932A53">
      <w:t>Easement</w:t>
    </w:r>
    <w:r w:rsidR="00DF52AC">
      <w:t xml:space="preserve"> land</w:t>
    </w:r>
    <w:r w:rsidR="00932A53">
      <w:t xml:space="preserve"> tax change even</w:t>
    </w:r>
    <w:r w:rsidR="00DF52AC">
      <w:t>t</w:t>
    </w:r>
    <w:r w:rsidR="00932A53">
      <w:t xml:space="preserve"> pass</w:t>
    </w:r>
    <w:r w:rsidR="00DF52AC">
      <w:t>–</w:t>
    </w:r>
    <w:r w:rsidR="00932A53">
      <w:t xml:space="preserve">through for </w:t>
    </w:r>
    <w:proofErr w:type="spellStart"/>
    <w:r w:rsidR="00932A53">
      <w:t>AusNet</w:t>
    </w:r>
    <w:proofErr w:type="spellEnd"/>
    <w:r w:rsidR="00932A53">
      <w:t xml:space="preserve"> Services</w:t>
    </w:r>
    <w:r w:rsidR="007A4D1F" w:rsidRPr="007A4D1F">
      <w:tab/>
    </w:r>
    <w:r w:rsidR="007A4D1F" w:rsidRPr="007A4D1F">
      <w:tab/>
    </w:r>
    <w:r w:rsidR="007A4D1F" w:rsidRPr="007A4D1F">
      <w:tab/>
    </w:r>
    <w:r w:rsidR="007A4D1F" w:rsidRPr="007A4D1F">
      <w:fldChar w:fldCharType="begin"/>
    </w:r>
    <w:r w:rsidR="007A4D1F" w:rsidRPr="007A4D1F">
      <w:instrText xml:space="preserve"> PAGE   \* MERGEFORMAT </w:instrText>
    </w:r>
    <w:r w:rsidR="007A4D1F" w:rsidRPr="007A4D1F">
      <w:fldChar w:fldCharType="separate"/>
    </w:r>
    <w:r w:rsidR="00376741">
      <w:rPr>
        <w:noProof/>
      </w:rPr>
      <w:t>i</w:t>
    </w:r>
    <w:r w:rsidR="007A4D1F" w:rsidRPr="007A4D1F">
      <w:rPr>
        <w:noProof/>
      </w:rPr>
      <w:fldChar w:fldCharType="end"/>
    </w:r>
    <w:r w:rsidR="007A4D1F" w:rsidRPr="007A4D1F">
      <w:tab/>
    </w:r>
  </w:p>
  <w:p w:rsidR="007A4D1F" w:rsidRDefault="00A60023" w:rsidP="00A60023">
    <w:pPr>
      <w:pStyle w:val="Footer"/>
      <w:tabs>
        <w:tab w:val="clear" w:pos="4513"/>
        <w:tab w:val="clear" w:pos="9026"/>
        <w:tab w:val="left" w:pos="85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92C" w:rsidRPr="00A91A9E" w:rsidRDefault="0020492C" w:rsidP="00D34063">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sidR="00932A53">
      <w:rPr>
        <w:rStyle w:val="PageNumber"/>
        <w:noProof/>
      </w:rPr>
      <w:t>6</w:t>
    </w:r>
    <w:r w:rsidRPr="00A91A9E">
      <w:rPr>
        <w:rStyle w:val="PageNumber"/>
      </w:rPr>
      <w:fldChar w:fldCharType="end"/>
    </w:r>
    <w:r w:rsidRPr="00A91A9E">
      <w:rPr>
        <w:rStyle w:val="PageNumber"/>
      </w:rPr>
      <w:tab/>
      <w:t>Xxx report—month/year</w:t>
    </w:r>
  </w:p>
  <w:p w:rsidR="00DB1A67" w:rsidRDefault="00DB1A67"/>
  <w:p w:rsidR="0056080A" w:rsidRDefault="0056080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1D" w:rsidRDefault="00CC7F1D" w:rsidP="00CC7F1D">
    <w:pPr>
      <w:pStyle w:val="Footer"/>
      <w:tabs>
        <w:tab w:val="clear" w:pos="9026"/>
        <w:tab w:val="right" w:pos="8505"/>
      </w:tabs>
    </w:pPr>
    <w:r>
      <w:tab/>
    </w:r>
    <w:r>
      <w:fldChar w:fldCharType="begin"/>
    </w:r>
    <w:r>
      <w:instrText xml:space="preserve"> PAGE   \* MERGEFORMAT </w:instrText>
    </w:r>
    <w:r>
      <w:fldChar w:fldCharType="separate"/>
    </w:r>
    <w:r w:rsidR="00376741">
      <w:rPr>
        <w:noProof/>
      </w:rPr>
      <w:t>2</w:t>
    </w:r>
    <w:r>
      <w:rPr>
        <w:noProof/>
      </w:rPr>
      <w:fldChar w:fldCharType="end"/>
    </w:r>
  </w:p>
  <w:p w:rsidR="00DB1A67" w:rsidRDefault="00DB1A67"/>
  <w:p w:rsidR="0056080A" w:rsidRDefault="0056080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1D" w:rsidRDefault="00CC7F1D" w:rsidP="00CC7F1D">
    <w:pPr>
      <w:pStyle w:val="Footer"/>
      <w:tabs>
        <w:tab w:val="clear" w:pos="9026"/>
        <w:tab w:val="right" w:pos="8505"/>
      </w:tabs>
    </w:pPr>
    <w:r>
      <w:tab/>
    </w:r>
    <w:r>
      <w:fldChar w:fldCharType="begin"/>
    </w:r>
    <w:r>
      <w:instrText xml:space="preserve"> PAGE   \* MERGEFORMAT </w:instrText>
    </w:r>
    <w:r>
      <w:fldChar w:fldCharType="separate"/>
    </w:r>
    <w:r w:rsidR="00376741">
      <w:rPr>
        <w:noProof/>
      </w:rPr>
      <w:t>1</w:t>
    </w:r>
    <w:r>
      <w:fldChar w:fldCharType="end"/>
    </w:r>
  </w:p>
  <w:p w:rsidR="00CC7F1D" w:rsidRDefault="00CC7F1D">
    <w:pPr>
      <w:pStyle w:val="Footer"/>
    </w:pPr>
  </w:p>
  <w:p w:rsidR="00DB1A67" w:rsidRDefault="00DB1A67"/>
  <w:p w:rsidR="0056080A" w:rsidRDefault="005608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E05" w:rsidRDefault="009C0E05" w:rsidP="00182906">
      <w:pPr>
        <w:spacing w:before="0"/>
      </w:pPr>
      <w:r>
        <w:separator/>
      </w:r>
    </w:p>
  </w:footnote>
  <w:footnote w:type="continuationSeparator" w:id="0">
    <w:p w:rsidR="009C0E05" w:rsidRDefault="009C0E05" w:rsidP="00182906">
      <w:pPr>
        <w:spacing w:before="0"/>
      </w:pPr>
      <w:r>
        <w:continuationSeparator/>
      </w:r>
    </w:p>
  </w:footnote>
  <w:footnote w:type="continuationNotice" w:id="1">
    <w:p w:rsidR="009C0E05" w:rsidRDefault="009C0E05">
      <w:pPr>
        <w:spacing w:before="0" w:line="240" w:lineRule="auto"/>
      </w:pPr>
    </w:p>
  </w:footnote>
  <w:footnote w:id="2">
    <w:p w:rsidR="004800D4" w:rsidRDefault="004800D4">
      <w:pPr>
        <w:pStyle w:val="FootnoteText"/>
      </w:pPr>
      <w:r w:rsidRPr="004800D4">
        <w:rPr>
          <w:rStyle w:val="FootnoteReference"/>
        </w:rPr>
        <w:footnoteRef/>
      </w:r>
      <w:r>
        <w:t xml:space="preserve"> </w:t>
      </w:r>
      <w:r w:rsidR="00EF3DA5">
        <w:tab/>
      </w:r>
      <w:proofErr w:type="gramStart"/>
      <w:r w:rsidRPr="004800D4">
        <w:t>NER, cl</w:t>
      </w:r>
      <w:r w:rsidR="00BD7B1E">
        <w:t xml:space="preserve"> </w:t>
      </w:r>
      <w:r w:rsidRPr="004800D4">
        <w:t>11.6.21.</w:t>
      </w:r>
      <w:proofErr w:type="gramEnd"/>
    </w:p>
  </w:footnote>
  <w:footnote w:id="3">
    <w:p w:rsidR="004F1BF9" w:rsidRDefault="004F1BF9">
      <w:pPr>
        <w:pStyle w:val="FootnoteText"/>
      </w:pPr>
      <w:r>
        <w:rPr>
          <w:rStyle w:val="FootnoteReference"/>
        </w:rPr>
        <w:footnoteRef/>
      </w:r>
      <w:r>
        <w:t xml:space="preserve"> </w:t>
      </w:r>
      <w:r w:rsidR="00EF3DA5">
        <w:tab/>
      </w:r>
      <w:r w:rsidRPr="004F1BF9">
        <w:t xml:space="preserve">NER cl </w:t>
      </w:r>
      <w:proofErr w:type="gramStart"/>
      <w:r w:rsidRPr="004F1BF9">
        <w:t>6A.7.3(</w:t>
      </w:r>
      <w:proofErr w:type="gramEnd"/>
      <w:r w:rsidRPr="004F1BF9">
        <w:t>j).</w:t>
      </w:r>
    </w:p>
  </w:footnote>
  <w:footnote w:id="4">
    <w:p w:rsidR="004F1BF9" w:rsidRDefault="004F1BF9">
      <w:pPr>
        <w:pStyle w:val="FootnoteText"/>
      </w:pPr>
      <w:r>
        <w:rPr>
          <w:rStyle w:val="FootnoteReference"/>
        </w:rPr>
        <w:footnoteRef/>
      </w:r>
      <w:r>
        <w:t xml:space="preserve"> </w:t>
      </w:r>
      <w:r w:rsidR="00EF3DA5">
        <w:tab/>
      </w:r>
      <w:r>
        <w:t>NER cl</w:t>
      </w:r>
      <w:r w:rsidR="00BD7B1E">
        <w:t xml:space="preserve"> </w:t>
      </w:r>
      <w:proofErr w:type="gramStart"/>
      <w:r>
        <w:t>6A.7.3(</w:t>
      </w:r>
      <w:proofErr w:type="gramEnd"/>
      <w:r>
        <w:t>d).</w:t>
      </w:r>
    </w:p>
  </w:footnote>
  <w:footnote w:id="5">
    <w:p w:rsidR="00B63CC5" w:rsidRDefault="00EF3DA5" w:rsidP="00B63CC5">
      <w:pPr>
        <w:pStyle w:val="FootnoteText"/>
      </w:pPr>
      <w:r>
        <w:rPr>
          <w:rStyle w:val="FootnoteReference"/>
        </w:rPr>
        <w:footnoteRef/>
      </w:r>
      <w:r>
        <w:t xml:space="preserve"> </w:t>
      </w:r>
      <w:r>
        <w:tab/>
        <w:t xml:space="preserve">NER cl </w:t>
      </w:r>
      <w:proofErr w:type="gramStart"/>
      <w:r>
        <w:t>6A.7.3(</w:t>
      </w:r>
      <w:proofErr w:type="gramEnd"/>
      <w:r>
        <w:t>d)(2).</w:t>
      </w:r>
    </w:p>
  </w:footnote>
  <w:footnote w:id="6">
    <w:p w:rsidR="00595D95" w:rsidRPr="00595D95" w:rsidRDefault="00B63CC5" w:rsidP="00595D95">
      <w:pPr>
        <w:pStyle w:val="FootnoteText"/>
        <w:rPr>
          <w:rStyle w:val="Emphasis"/>
        </w:rPr>
      </w:pPr>
      <w:r>
        <w:rPr>
          <w:rStyle w:val="FootnoteReference"/>
        </w:rPr>
        <w:footnoteRef/>
      </w:r>
      <w:r>
        <w:t xml:space="preserve"> </w:t>
      </w:r>
      <w:r>
        <w:tab/>
        <w:t xml:space="preserve">The revenue determination sets out that </w:t>
      </w:r>
      <w:proofErr w:type="spellStart"/>
      <w:r>
        <w:t>AusNet</w:t>
      </w:r>
      <w:proofErr w:type="spellEnd"/>
      <w:r>
        <w:t xml:space="preserve"> Services' maximum allowed revenue is arrived at by adding to or deducting from the allowed revenue the service target performance incentive scheme revenue increment (or decrement) and approved pass through amounts, </w:t>
      </w:r>
      <w:r w:rsidR="00595D95">
        <w:t xml:space="preserve"> AER, </w:t>
      </w:r>
      <w:r w:rsidR="00B91EF7">
        <w:rPr>
          <w:rStyle w:val="Emphasis"/>
        </w:rPr>
        <w:t>Final</w:t>
      </w:r>
      <w:r w:rsidR="00595D95" w:rsidRPr="00B63CC5">
        <w:rPr>
          <w:rStyle w:val="Emphasis"/>
        </w:rPr>
        <w:t xml:space="preserve"> Decision: </w:t>
      </w:r>
      <w:proofErr w:type="spellStart"/>
      <w:r w:rsidR="00595D95">
        <w:rPr>
          <w:rStyle w:val="Emphasis"/>
        </w:rPr>
        <w:t>AusNet</w:t>
      </w:r>
      <w:proofErr w:type="spellEnd"/>
      <w:r w:rsidR="00595D95">
        <w:rPr>
          <w:rStyle w:val="Emphasis"/>
        </w:rPr>
        <w:t xml:space="preserve"> Services</w:t>
      </w:r>
      <w:r w:rsidR="00595D95" w:rsidRPr="00B63CC5">
        <w:rPr>
          <w:rStyle w:val="Emphasis"/>
        </w:rPr>
        <w:t xml:space="preserve"> Transmission Determ</w:t>
      </w:r>
      <w:r w:rsidR="00595D95">
        <w:rPr>
          <w:rStyle w:val="Emphasis"/>
        </w:rPr>
        <w:t xml:space="preserve">ination 2017–18 to 2021–22, </w:t>
      </w:r>
      <w:r w:rsidR="00595D95" w:rsidRPr="00595D95">
        <w:rPr>
          <w:rStyle w:val="Emphasis"/>
        </w:rPr>
        <w:t>A</w:t>
      </w:r>
      <w:r w:rsidR="00595D95">
        <w:rPr>
          <w:rStyle w:val="Emphasis"/>
        </w:rPr>
        <w:t xml:space="preserve">pril </w:t>
      </w:r>
      <w:r w:rsidR="00595D95" w:rsidRPr="00595D95">
        <w:rPr>
          <w:rStyle w:val="Emphasis"/>
        </w:rPr>
        <w:t>201</w:t>
      </w:r>
      <w:r w:rsidR="00595D95">
        <w:rPr>
          <w:rStyle w:val="Emphasis"/>
        </w:rPr>
        <w:t>7</w:t>
      </w:r>
      <w:r w:rsidR="00595D95" w:rsidRPr="00595D95">
        <w:rPr>
          <w:rStyle w:val="Emphasis"/>
        </w:rPr>
        <w:t xml:space="preserve">, </w:t>
      </w:r>
      <w:r w:rsidR="00595D95">
        <w:rPr>
          <w:rStyle w:val="Emphasis"/>
        </w:rPr>
        <w:t xml:space="preserve">Attachment 7, </w:t>
      </w:r>
      <w:r w:rsidR="000078BC">
        <w:rPr>
          <w:rStyle w:val="Emphasis"/>
        </w:rPr>
        <w:t>p</w:t>
      </w:r>
      <w:r w:rsidR="00595D95" w:rsidRPr="00595D95">
        <w:rPr>
          <w:rStyle w:val="Emphasis"/>
        </w:rPr>
        <w:t>p</w:t>
      </w:r>
      <w:r w:rsidR="00595D95">
        <w:rPr>
          <w:rStyle w:val="Emphasis"/>
        </w:rPr>
        <w:t>7-44</w:t>
      </w:r>
      <w:r w:rsidR="00595D95" w:rsidRPr="00595D95">
        <w:rPr>
          <w:rStyle w:val="Emphasis"/>
        </w:rPr>
        <w:t>.</w:t>
      </w:r>
    </w:p>
    <w:p w:rsidR="00B63CC5" w:rsidRPr="00DE0107" w:rsidRDefault="00B63CC5" w:rsidP="00DE0107">
      <w:pPr>
        <w:pStyle w:val="FootnoteText"/>
        <w:rPr>
          <w:rStyle w:val="Emphasis"/>
          <w:i w:val="0"/>
          <w:iCs w:val="0"/>
        </w:rPr>
      </w:pPr>
    </w:p>
  </w:footnote>
  <w:footnote w:id="7">
    <w:p w:rsidR="00C77282" w:rsidRDefault="00C77282" w:rsidP="00F170E5">
      <w:pPr>
        <w:pStyle w:val="FootnoteText"/>
      </w:pPr>
      <w:r>
        <w:rPr>
          <w:rStyle w:val="FootnoteReference"/>
        </w:rPr>
        <w:footnoteRef/>
      </w:r>
      <w:r>
        <w:t xml:space="preserve"> </w:t>
      </w:r>
      <w:r>
        <w:tab/>
      </w:r>
      <w:r w:rsidR="005E4F94" w:rsidRPr="005E4F94">
        <w:t>https://www.aer.gov.au/networks-pipelines/determinations-access-arrangements/cost-pass-throughs/ausnet-services-cost-pass-through-easement-land-tax-2017-18</w:t>
      </w:r>
      <w:r w:rsidR="005E4F94">
        <w:t>.</w:t>
      </w:r>
    </w:p>
  </w:footnote>
  <w:footnote w:id="8">
    <w:p w:rsidR="00A8040F" w:rsidRDefault="00A8040F">
      <w:pPr>
        <w:pStyle w:val="FootnoteText"/>
      </w:pPr>
      <w:r>
        <w:rPr>
          <w:rStyle w:val="FootnoteReference"/>
        </w:rPr>
        <w:footnoteRef/>
      </w:r>
      <w:r>
        <w:t xml:space="preserve"> </w:t>
      </w:r>
      <w:r>
        <w:tab/>
        <w:t>The amount is the subject of this determination.</w:t>
      </w:r>
    </w:p>
  </w:footnote>
  <w:footnote w:id="9">
    <w:p w:rsidR="00F170E5" w:rsidRPr="00F170E5" w:rsidRDefault="00F170E5" w:rsidP="00F170E5">
      <w:pPr>
        <w:pStyle w:val="FootnoteText"/>
      </w:pPr>
      <w:r>
        <w:rPr>
          <w:rStyle w:val="FootnoteReference"/>
        </w:rPr>
        <w:footnoteRef/>
      </w:r>
      <w:r>
        <w:t xml:space="preserve"> </w:t>
      </w:r>
      <w:r>
        <w:tab/>
      </w:r>
      <w:r w:rsidRPr="00F170E5">
        <w:t xml:space="preserve">It comprises </w:t>
      </w:r>
      <w:r w:rsidR="00F1246E">
        <w:t xml:space="preserve">of </w:t>
      </w:r>
      <w:r w:rsidRPr="00F170E5">
        <w:t>approximately 5</w:t>
      </w:r>
      <w:r w:rsidR="001D28FF">
        <w:t>0</w:t>
      </w:r>
      <w:r w:rsidRPr="00F170E5">
        <w:t xml:space="preserve"> per cent of </w:t>
      </w:r>
      <w:proofErr w:type="spellStart"/>
      <w:r>
        <w:t>AusNet</w:t>
      </w:r>
      <w:proofErr w:type="spellEnd"/>
      <w:r>
        <w:t xml:space="preserve"> Services'</w:t>
      </w:r>
      <w:r w:rsidRPr="00F170E5">
        <w:t xml:space="preserve"> forecast operating expenditure.</w:t>
      </w:r>
    </w:p>
  </w:footnote>
  <w:footnote w:id="10">
    <w:p w:rsidR="00F170E5" w:rsidRDefault="00F170E5">
      <w:pPr>
        <w:pStyle w:val="FootnoteText"/>
      </w:pPr>
      <w:r>
        <w:rPr>
          <w:rStyle w:val="FootnoteReference"/>
        </w:rPr>
        <w:footnoteRef/>
      </w:r>
      <w:r>
        <w:t xml:space="preserve"> </w:t>
      </w:r>
      <w:r>
        <w:tab/>
      </w:r>
      <w:proofErr w:type="gramStart"/>
      <w:r>
        <w:t>NER cl 11.6.21.</w:t>
      </w:r>
      <w:proofErr w:type="gramEnd"/>
    </w:p>
  </w:footnote>
  <w:footnote w:id="11">
    <w:p w:rsidR="00F170E5" w:rsidRDefault="00F170E5">
      <w:pPr>
        <w:pStyle w:val="FootnoteText"/>
      </w:pPr>
      <w:r>
        <w:rPr>
          <w:rStyle w:val="FootnoteReference"/>
        </w:rPr>
        <w:footnoteRef/>
      </w:r>
      <w:r>
        <w:t xml:space="preserve"> </w:t>
      </w:r>
      <w:r>
        <w:tab/>
      </w:r>
      <w:proofErr w:type="gramStart"/>
      <w:r>
        <w:t>NER cl 11.6.21(a).</w:t>
      </w:r>
      <w:proofErr w:type="gramEnd"/>
    </w:p>
  </w:footnote>
  <w:footnote w:id="12">
    <w:p w:rsidR="00F170E5" w:rsidRDefault="00F170E5">
      <w:pPr>
        <w:pStyle w:val="FootnoteText"/>
      </w:pPr>
      <w:r>
        <w:rPr>
          <w:rStyle w:val="FootnoteReference"/>
        </w:rPr>
        <w:footnoteRef/>
      </w:r>
      <w:r>
        <w:t xml:space="preserve"> </w:t>
      </w:r>
      <w:r>
        <w:tab/>
      </w:r>
      <w:proofErr w:type="gramStart"/>
      <w:r>
        <w:t>NER cl 6A.7.3.</w:t>
      </w:r>
      <w:proofErr w:type="gramEnd"/>
      <w:r>
        <w:t xml:space="preserve"> See also, NER </w:t>
      </w:r>
      <w:proofErr w:type="spellStart"/>
      <w:r>
        <w:t>ch</w:t>
      </w:r>
      <w:proofErr w:type="spellEnd"/>
      <w:r>
        <w:t xml:space="preserve"> 10 (definition of 'positive change event' and 'negative change event').</w:t>
      </w:r>
    </w:p>
  </w:footnote>
  <w:footnote w:id="13">
    <w:p w:rsidR="00F170E5" w:rsidRDefault="00F170E5">
      <w:pPr>
        <w:pStyle w:val="FootnoteText"/>
      </w:pPr>
      <w:r>
        <w:rPr>
          <w:rStyle w:val="FootnoteReference"/>
        </w:rPr>
        <w:footnoteRef/>
      </w:r>
      <w:r>
        <w:t xml:space="preserve"> </w:t>
      </w:r>
      <w:r>
        <w:tab/>
      </w:r>
      <w:proofErr w:type="gramStart"/>
      <w:r>
        <w:t>NER cl 11.6.21(d).</w:t>
      </w:r>
      <w:proofErr w:type="gramEnd"/>
    </w:p>
  </w:footnote>
  <w:footnote w:id="14">
    <w:p w:rsidR="00C164C6" w:rsidRDefault="00C164C6">
      <w:pPr>
        <w:pStyle w:val="FootnoteText"/>
      </w:pPr>
      <w:r>
        <w:rPr>
          <w:rStyle w:val="FootnoteReference"/>
        </w:rPr>
        <w:footnoteRef/>
      </w:r>
      <w:r>
        <w:t xml:space="preserve"> </w:t>
      </w:r>
      <w:r>
        <w:tab/>
        <w:t>SP </w:t>
      </w:r>
      <w:proofErr w:type="spellStart"/>
      <w:r>
        <w:t>AusNet</w:t>
      </w:r>
      <w:proofErr w:type="spellEnd"/>
      <w:r>
        <w:t xml:space="preserve">, </w:t>
      </w:r>
      <w:r w:rsidRPr="007871F8">
        <w:t>Application for pass-through of easement tax change event</w:t>
      </w:r>
      <w:r>
        <w:t>, Appendix A, 1</w:t>
      </w:r>
      <w:r w:rsidR="00B91EF7">
        <w:t>8</w:t>
      </w:r>
      <w:r>
        <w:t> </w:t>
      </w:r>
      <w:r w:rsidR="00B91EF7">
        <w:t>April</w:t>
      </w:r>
      <w:r>
        <w:t> 201</w:t>
      </w:r>
      <w:r w:rsidR="00B91EF7">
        <w:t>7</w:t>
      </w:r>
      <w:r>
        <w:t>.</w:t>
      </w:r>
    </w:p>
  </w:footnote>
  <w:footnote w:id="15">
    <w:p w:rsidR="006E7B08" w:rsidRDefault="006E7B08">
      <w:pPr>
        <w:pStyle w:val="FootnoteText"/>
      </w:pPr>
      <w:r>
        <w:rPr>
          <w:rStyle w:val="FootnoteReference"/>
        </w:rPr>
        <w:footnoteRef/>
      </w:r>
      <w:r>
        <w:t xml:space="preserve"> </w:t>
      </w:r>
      <w:r>
        <w:tab/>
      </w:r>
      <w:proofErr w:type="gramStart"/>
      <w:r>
        <w:t xml:space="preserve">AER, </w:t>
      </w:r>
      <w:r w:rsidRPr="006E7B08">
        <w:rPr>
          <w:rStyle w:val="Emphasis"/>
        </w:rPr>
        <w:t xml:space="preserve">Final Decision, SP </w:t>
      </w:r>
      <w:proofErr w:type="spellStart"/>
      <w:r w:rsidRPr="006E7B08">
        <w:rPr>
          <w:rStyle w:val="Emphasis"/>
        </w:rPr>
        <w:t>AusNet</w:t>
      </w:r>
      <w:proofErr w:type="spellEnd"/>
      <w:r w:rsidRPr="006E7B08">
        <w:rPr>
          <w:rStyle w:val="Emphasis"/>
        </w:rPr>
        <w:t xml:space="preserve"> 201</w:t>
      </w:r>
      <w:r w:rsidR="00B91EF7">
        <w:rPr>
          <w:rStyle w:val="Emphasis"/>
        </w:rPr>
        <w:t>7</w:t>
      </w:r>
      <w:r w:rsidRPr="006E7B08">
        <w:rPr>
          <w:rStyle w:val="Emphasis"/>
        </w:rPr>
        <w:t>–</w:t>
      </w:r>
      <w:r w:rsidR="00B91EF7">
        <w:rPr>
          <w:rStyle w:val="Emphasis"/>
        </w:rPr>
        <w:t>22</w:t>
      </w:r>
      <w:r>
        <w:t xml:space="preserve">, </w:t>
      </w:r>
      <w:r w:rsidR="003F5838">
        <w:t>Attachment 3</w:t>
      </w:r>
      <w:r>
        <w:t>.</w:t>
      </w:r>
      <w:proofErr w:type="gramEnd"/>
    </w:p>
  </w:footnote>
  <w:footnote w:id="16">
    <w:p w:rsidR="007F5959" w:rsidRDefault="007F5959">
      <w:pPr>
        <w:pStyle w:val="FootnoteText"/>
      </w:pPr>
      <w:r>
        <w:rPr>
          <w:rStyle w:val="FootnoteReference"/>
        </w:rPr>
        <w:footnoteRef/>
      </w:r>
      <w:r>
        <w:t xml:space="preserve"> </w:t>
      </w:r>
      <w:r>
        <w:tab/>
        <w:t xml:space="preserve">The actual value is </w:t>
      </w:r>
      <w:r w:rsidRPr="007F5959">
        <w:t>2.399804305</w:t>
      </w:r>
      <w:r>
        <w:t xml:space="preserve"> per cent, rounded to 2.4 per cent in for presentation in the final determination.</w:t>
      </w:r>
    </w:p>
  </w:footnote>
  <w:footnote w:id="17">
    <w:p w:rsidR="007F5959" w:rsidRDefault="007F5959">
      <w:pPr>
        <w:pStyle w:val="FootnoteText"/>
      </w:pPr>
      <w:r>
        <w:rPr>
          <w:rStyle w:val="FootnoteReference"/>
        </w:rPr>
        <w:footnoteRef/>
      </w:r>
      <w:r>
        <w:t xml:space="preserve"> </w:t>
      </w:r>
      <w:r>
        <w:tab/>
        <w:t xml:space="preserve">See footnote </w:t>
      </w:r>
      <w:r>
        <w:fldChar w:fldCharType="begin"/>
      </w:r>
      <w:r>
        <w:instrText xml:space="preserve"> NOTEREF _Ref480446549 \h </w:instrText>
      </w:r>
      <w:r>
        <w:fldChar w:fldCharType="separate"/>
      </w:r>
      <w:r>
        <w:t>15</w:t>
      </w:r>
      <w:r>
        <w:fldChar w:fldCharType="end"/>
      </w:r>
      <w:r>
        <w:t>.</w:t>
      </w:r>
    </w:p>
  </w:footnote>
  <w:footnote w:id="18">
    <w:p w:rsidR="00163D50" w:rsidRDefault="00163D50">
      <w:pPr>
        <w:pStyle w:val="FootnoteText"/>
      </w:pPr>
      <w:r>
        <w:rPr>
          <w:rStyle w:val="FootnoteReference"/>
        </w:rPr>
        <w:footnoteRef/>
      </w:r>
      <w:r w:rsidR="00830385">
        <w:t xml:space="preserve"> </w:t>
      </w:r>
      <w:r w:rsidR="00830385">
        <w:tab/>
        <w:t>NER cl </w:t>
      </w:r>
      <w:proofErr w:type="gramStart"/>
      <w:r w:rsidR="00830385">
        <w:t>6A.7.3(</w:t>
      </w:r>
      <w:proofErr w:type="gramEnd"/>
      <w:r w:rsidR="00830385">
        <w:t>f</w:t>
      </w:r>
      <w:r>
        <w:t>).</w:t>
      </w:r>
    </w:p>
  </w:footnote>
  <w:footnote w:id="19">
    <w:p w:rsidR="00E75721" w:rsidRDefault="00E75721">
      <w:pPr>
        <w:pStyle w:val="FootnoteText"/>
      </w:pPr>
      <w:r>
        <w:rPr>
          <w:rStyle w:val="FootnoteReference"/>
        </w:rPr>
        <w:footnoteRef/>
      </w:r>
      <w:r>
        <w:t xml:space="preserve"> </w:t>
      </w:r>
      <w:r>
        <w:tab/>
        <w:t xml:space="preserve">NER cl </w:t>
      </w:r>
      <w:proofErr w:type="gramStart"/>
      <w:r>
        <w:t>6A.7.3(</w:t>
      </w:r>
      <w:proofErr w:type="gramEnd"/>
      <w:r>
        <w:t>e).</w:t>
      </w:r>
    </w:p>
  </w:footnote>
  <w:footnote w:id="20">
    <w:p w:rsidR="00F820F5" w:rsidRDefault="00F820F5">
      <w:pPr>
        <w:pStyle w:val="FootnoteText"/>
      </w:pPr>
      <w:r>
        <w:rPr>
          <w:rStyle w:val="FootnoteReference"/>
        </w:rPr>
        <w:footnoteRef/>
      </w:r>
      <w:r>
        <w:t xml:space="preserve"> </w:t>
      </w:r>
      <w:r>
        <w:tab/>
      </w:r>
      <w:proofErr w:type="gramStart"/>
      <w:r>
        <w:t xml:space="preserve">NER, chapter 10 (definition of </w:t>
      </w:r>
      <w:r w:rsidR="002431DC">
        <w:t>negative</w:t>
      </w:r>
      <w:r>
        <w:t xml:space="preserve"> change event').</w:t>
      </w:r>
      <w:proofErr w:type="gramEnd"/>
    </w:p>
  </w:footnote>
  <w:footnote w:id="21">
    <w:p w:rsidR="00F820F5" w:rsidRDefault="00F820F5">
      <w:pPr>
        <w:pStyle w:val="FootnoteText"/>
      </w:pPr>
      <w:r>
        <w:rPr>
          <w:rStyle w:val="FootnoteReference"/>
        </w:rPr>
        <w:footnoteRef/>
      </w:r>
      <w:r>
        <w:t xml:space="preserve"> </w:t>
      </w:r>
      <w:r>
        <w:tab/>
        <w:t>NER, cl 11.6.21(a)</w:t>
      </w:r>
    </w:p>
  </w:footnote>
  <w:footnote w:id="22">
    <w:p w:rsidR="00B603FD" w:rsidRDefault="00B603FD" w:rsidP="00B603FD">
      <w:pPr>
        <w:pStyle w:val="FootnoteText"/>
      </w:pPr>
      <w:r>
        <w:rPr>
          <w:rStyle w:val="FootnoteReference"/>
        </w:rPr>
        <w:footnoteRef/>
      </w:r>
      <w:r>
        <w:t xml:space="preserve"> </w:t>
      </w:r>
      <w:r>
        <w:tab/>
      </w:r>
      <w:r w:rsidRPr="00B603FD">
        <w:t xml:space="preserve">NER cl </w:t>
      </w:r>
      <w:proofErr w:type="gramStart"/>
      <w:r w:rsidRPr="00B603FD">
        <w:t>6A.7.3(</w:t>
      </w:r>
      <w:proofErr w:type="gramEnd"/>
      <w:r w:rsidRPr="00B603FD">
        <w:t>j)(3)-(7).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1">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7">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19"/>
  </w:num>
  <w:num w:numId="14">
    <w:abstractNumId w:val="13"/>
  </w:num>
  <w:num w:numId="15">
    <w:abstractNumId w:val="16"/>
  </w:num>
  <w:num w:numId="16">
    <w:abstractNumId w:val="22"/>
  </w:num>
  <w:num w:numId="17">
    <w:abstractNumId w:val="12"/>
  </w:num>
  <w:num w:numId="18">
    <w:abstractNumId w:val="18"/>
  </w:num>
  <w:num w:numId="19">
    <w:abstractNumId w:val="11"/>
  </w:num>
  <w:num w:numId="20">
    <w:abstractNumId w:val="23"/>
  </w:num>
  <w:num w:numId="21">
    <w:abstractNumId w:val="27"/>
  </w:num>
  <w:num w:numId="22">
    <w:abstractNumId w:val="17"/>
  </w:num>
  <w:num w:numId="23">
    <w:abstractNumId w:val="2"/>
    <w:lvlOverride w:ilvl="0">
      <w:startOverride w:val="1"/>
    </w:lvlOverride>
  </w:num>
  <w:num w:numId="24">
    <w:abstractNumId w:val="18"/>
    <w:lvlOverride w:ilvl="0">
      <w:startOverride w:val="1"/>
    </w:lvlOverride>
  </w:num>
  <w:num w:numId="25">
    <w:abstractNumId w:val="25"/>
  </w:num>
  <w:num w:numId="26">
    <w:abstractNumId w:val="21"/>
  </w:num>
  <w:num w:numId="27">
    <w:abstractNumId w:val="9"/>
  </w:num>
  <w:num w:numId="28">
    <w:abstractNumId w:val="15"/>
  </w:num>
  <w:num w:numId="29">
    <w:abstractNumId w:val="10"/>
  </w:num>
  <w:num w:numId="30">
    <w:abstractNumId w:val="24"/>
  </w:num>
  <w:num w:numId="31">
    <w:abstractNumId w:val="20"/>
  </w:num>
  <w:num w:numId="32">
    <w:abstractNumId w:val="20"/>
    <w:lvlOverride w:ilvl="0">
      <w:startOverride w:val="1"/>
    </w:lvlOverride>
  </w:num>
  <w:num w:numId="33">
    <w:abstractNumId w:val="24"/>
  </w:num>
  <w:num w:numId="34">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hdrShapeDefaults>
    <o:shapedefaults v:ext="edit" spidmax="71681"/>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7044\D17 48944  3.3.1  - Attachment - AER Determination - Easements land tax change event pass through for AusNet Services - April 2017.DOCX"/>
  </w:docVars>
  <w:rsids>
    <w:rsidRoot w:val="009C0E05"/>
    <w:rsid w:val="000078BC"/>
    <w:rsid w:val="00021202"/>
    <w:rsid w:val="0002517F"/>
    <w:rsid w:val="0003578C"/>
    <w:rsid w:val="00046CDA"/>
    <w:rsid w:val="00063247"/>
    <w:rsid w:val="00070F9F"/>
    <w:rsid w:val="0007137B"/>
    <w:rsid w:val="00074341"/>
    <w:rsid w:val="00085663"/>
    <w:rsid w:val="00085EBF"/>
    <w:rsid w:val="0009218B"/>
    <w:rsid w:val="000A6C7B"/>
    <w:rsid w:val="000B3962"/>
    <w:rsid w:val="000C4AC7"/>
    <w:rsid w:val="000D122C"/>
    <w:rsid w:val="000E1819"/>
    <w:rsid w:val="000E6C72"/>
    <w:rsid w:val="00101C7A"/>
    <w:rsid w:val="00105A54"/>
    <w:rsid w:val="0010657C"/>
    <w:rsid w:val="00107CC7"/>
    <w:rsid w:val="00116EB2"/>
    <w:rsid w:val="00124609"/>
    <w:rsid w:val="00130C3C"/>
    <w:rsid w:val="001367BD"/>
    <w:rsid w:val="0014573B"/>
    <w:rsid w:val="001573E4"/>
    <w:rsid w:val="00160756"/>
    <w:rsid w:val="00163D50"/>
    <w:rsid w:val="00170114"/>
    <w:rsid w:val="0017232E"/>
    <w:rsid w:val="00174102"/>
    <w:rsid w:val="00180157"/>
    <w:rsid w:val="00182906"/>
    <w:rsid w:val="00185CB9"/>
    <w:rsid w:val="00186F77"/>
    <w:rsid w:val="001926A4"/>
    <w:rsid w:val="00192AD5"/>
    <w:rsid w:val="001A63ED"/>
    <w:rsid w:val="001B45A0"/>
    <w:rsid w:val="001D055E"/>
    <w:rsid w:val="001D28FF"/>
    <w:rsid w:val="001E1499"/>
    <w:rsid w:val="001F492E"/>
    <w:rsid w:val="001F6DA3"/>
    <w:rsid w:val="002010BC"/>
    <w:rsid w:val="00202E03"/>
    <w:rsid w:val="0020492C"/>
    <w:rsid w:val="00207FDC"/>
    <w:rsid w:val="00224DB9"/>
    <w:rsid w:val="0023245B"/>
    <w:rsid w:val="00233775"/>
    <w:rsid w:val="002431DC"/>
    <w:rsid w:val="00251745"/>
    <w:rsid w:val="00263AC0"/>
    <w:rsid w:val="0026772D"/>
    <w:rsid w:val="00286874"/>
    <w:rsid w:val="00296B65"/>
    <w:rsid w:val="002A7DEF"/>
    <w:rsid w:val="002D4E33"/>
    <w:rsid w:val="002D58CF"/>
    <w:rsid w:val="002E1BE5"/>
    <w:rsid w:val="002E2BFC"/>
    <w:rsid w:val="002E54AE"/>
    <w:rsid w:val="002F7986"/>
    <w:rsid w:val="00301B40"/>
    <w:rsid w:val="00305CC8"/>
    <w:rsid w:val="00307F6D"/>
    <w:rsid w:val="003177A2"/>
    <w:rsid w:val="003271B5"/>
    <w:rsid w:val="00327A1E"/>
    <w:rsid w:val="00331264"/>
    <w:rsid w:val="003345A3"/>
    <w:rsid w:val="00334C8D"/>
    <w:rsid w:val="003518B3"/>
    <w:rsid w:val="00351D2F"/>
    <w:rsid w:val="00360E41"/>
    <w:rsid w:val="00372F3E"/>
    <w:rsid w:val="00376741"/>
    <w:rsid w:val="003846F1"/>
    <w:rsid w:val="003B701E"/>
    <w:rsid w:val="003F5838"/>
    <w:rsid w:val="0042706C"/>
    <w:rsid w:val="00455781"/>
    <w:rsid w:val="00455FD1"/>
    <w:rsid w:val="004800D4"/>
    <w:rsid w:val="00480B4B"/>
    <w:rsid w:val="00485DC4"/>
    <w:rsid w:val="00487F7E"/>
    <w:rsid w:val="004A1AFD"/>
    <w:rsid w:val="004A43D1"/>
    <w:rsid w:val="004A7BA1"/>
    <w:rsid w:val="004B4412"/>
    <w:rsid w:val="004C348C"/>
    <w:rsid w:val="004D55BA"/>
    <w:rsid w:val="004E22EC"/>
    <w:rsid w:val="004E3202"/>
    <w:rsid w:val="004F10DC"/>
    <w:rsid w:val="004F1BF9"/>
    <w:rsid w:val="004F69E8"/>
    <w:rsid w:val="00530128"/>
    <w:rsid w:val="00532230"/>
    <w:rsid w:val="00532467"/>
    <w:rsid w:val="0056080A"/>
    <w:rsid w:val="00562632"/>
    <w:rsid w:val="00564A4D"/>
    <w:rsid w:val="00567BA5"/>
    <w:rsid w:val="00571B35"/>
    <w:rsid w:val="00571D57"/>
    <w:rsid w:val="005729B9"/>
    <w:rsid w:val="00573BA4"/>
    <w:rsid w:val="00577A09"/>
    <w:rsid w:val="005829C2"/>
    <w:rsid w:val="00584D8F"/>
    <w:rsid w:val="00595D95"/>
    <w:rsid w:val="005A207E"/>
    <w:rsid w:val="005A404D"/>
    <w:rsid w:val="005B1E3C"/>
    <w:rsid w:val="005C26CC"/>
    <w:rsid w:val="005C4261"/>
    <w:rsid w:val="005E4F94"/>
    <w:rsid w:val="0060418D"/>
    <w:rsid w:val="00615C6B"/>
    <w:rsid w:val="00617405"/>
    <w:rsid w:val="00632D6D"/>
    <w:rsid w:val="00634077"/>
    <w:rsid w:val="00642C3E"/>
    <w:rsid w:val="00663DAD"/>
    <w:rsid w:val="00670957"/>
    <w:rsid w:val="00676679"/>
    <w:rsid w:val="00695DA7"/>
    <w:rsid w:val="006B4CF9"/>
    <w:rsid w:val="006B7AC8"/>
    <w:rsid w:val="006C1FEB"/>
    <w:rsid w:val="006D550F"/>
    <w:rsid w:val="006E7B08"/>
    <w:rsid w:val="00701CAB"/>
    <w:rsid w:val="00707563"/>
    <w:rsid w:val="0072348C"/>
    <w:rsid w:val="00724A37"/>
    <w:rsid w:val="007303C3"/>
    <w:rsid w:val="00743223"/>
    <w:rsid w:val="00746E01"/>
    <w:rsid w:val="007510AC"/>
    <w:rsid w:val="00752EAB"/>
    <w:rsid w:val="00757BDF"/>
    <w:rsid w:val="00763E5D"/>
    <w:rsid w:val="00767740"/>
    <w:rsid w:val="00777EE6"/>
    <w:rsid w:val="00782EEA"/>
    <w:rsid w:val="007A4D1F"/>
    <w:rsid w:val="007B2C72"/>
    <w:rsid w:val="007B7AAA"/>
    <w:rsid w:val="007C1C53"/>
    <w:rsid w:val="007C74BB"/>
    <w:rsid w:val="007D681E"/>
    <w:rsid w:val="007E4904"/>
    <w:rsid w:val="007E4CB5"/>
    <w:rsid w:val="007F066B"/>
    <w:rsid w:val="007F5959"/>
    <w:rsid w:val="008033C4"/>
    <w:rsid w:val="00806C88"/>
    <w:rsid w:val="0081034E"/>
    <w:rsid w:val="00830385"/>
    <w:rsid w:val="008344F6"/>
    <w:rsid w:val="0083510F"/>
    <w:rsid w:val="00843704"/>
    <w:rsid w:val="00851209"/>
    <w:rsid w:val="00875445"/>
    <w:rsid w:val="008811D4"/>
    <w:rsid w:val="008837AC"/>
    <w:rsid w:val="008A3E3C"/>
    <w:rsid w:val="008A587D"/>
    <w:rsid w:val="008C5486"/>
    <w:rsid w:val="008D1661"/>
    <w:rsid w:val="008D2E41"/>
    <w:rsid w:val="008E7031"/>
    <w:rsid w:val="008F2354"/>
    <w:rsid w:val="0090076A"/>
    <w:rsid w:val="009233EE"/>
    <w:rsid w:val="00932A53"/>
    <w:rsid w:val="009460AA"/>
    <w:rsid w:val="00951978"/>
    <w:rsid w:val="009661DE"/>
    <w:rsid w:val="009856B7"/>
    <w:rsid w:val="009A5FC3"/>
    <w:rsid w:val="009B74B0"/>
    <w:rsid w:val="009C0E05"/>
    <w:rsid w:val="009D6B46"/>
    <w:rsid w:val="009F4940"/>
    <w:rsid w:val="009F5BA1"/>
    <w:rsid w:val="00A02A88"/>
    <w:rsid w:val="00A0562E"/>
    <w:rsid w:val="00A0726D"/>
    <w:rsid w:val="00A22495"/>
    <w:rsid w:val="00A32FBB"/>
    <w:rsid w:val="00A4478A"/>
    <w:rsid w:val="00A44852"/>
    <w:rsid w:val="00A47009"/>
    <w:rsid w:val="00A57D04"/>
    <w:rsid w:val="00A60023"/>
    <w:rsid w:val="00A60A26"/>
    <w:rsid w:val="00A61598"/>
    <w:rsid w:val="00A75077"/>
    <w:rsid w:val="00A8040F"/>
    <w:rsid w:val="00A84F46"/>
    <w:rsid w:val="00A85B89"/>
    <w:rsid w:val="00A871F4"/>
    <w:rsid w:val="00AC1B2C"/>
    <w:rsid w:val="00AC3264"/>
    <w:rsid w:val="00AE1BF1"/>
    <w:rsid w:val="00AE30AF"/>
    <w:rsid w:val="00AF0857"/>
    <w:rsid w:val="00AF0DD2"/>
    <w:rsid w:val="00AF1ED6"/>
    <w:rsid w:val="00B13048"/>
    <w:rsid w:val="00B1716D"/>
    <w:rsid w:val="00B17A1D"/>
    <w:rsid w:val="00B207A0"/>
    <w:rsid w:val="00B37E38"/>
    <w:rsid w:val="00B514DD"/>
    <w:rsid w:val="00B52AF0"/>
    <w:rsid w:val="00B55B1D"/>
    <w:rsid w:val="00B56E03"/>
    <w:rsid w:val="00B57473"/>
    <w:rsid w:val="00B603FD"/>
    <w:rsid w:val="00B63CC5"/>
    <w:rsid w:val="00B8037F"/>
    <w:rsid w:val="00B8080B"/>
    <w:rsid w:val="00B87C39"/>
    <w:rsid w:val="00B91EF7"/>
    <w:rsid w:val="00B927D8"/>
    <w:rsid w:val="00BA3C98"/>
    <w:rsid w:val="00BA4665"/>
    <w:rsid w:val="00BB2FB2"/>
    <w:rsid w:val="00BB3304"/>
    <w:rsid w:val="00BD3446"/>
    <w:rsid w:val="00BD5E55"/>
    <w:rsid w:val="00BD7B1E"/>
    <w:rsid w:val="00BE1F1B"/>
    <w:rsid w:val="00BE47B5"/>
    <w:rsid w:val="00BE7057"/>
    <w:rsid w:val="00BF2A3B"/>
    <w:rsid w:val="00C164C6"/>
    <w:rsid w:val="00C21409"/>
    <w:rsid w:val="00C25FA6"/>
    <w:rsid w:val="00C538A9"/>
    <w:rsid w:val="00C53B5A"/>
    <w:rsid w:val="00C54F5A"/>
    <w:rsid w:val="00C569B4"/>
    <w:rsid w:val="00C67A92"/>
    <w:rsid w:val="00C77282"/>
    <w:rsid w:val="00C7730C"/>
    <w:rsid w:val="00C86679"/>
    <w:rsid w:val="00CA489E"/>
    <w:rsid w:val="00CB666B"/>
    <w:rsid w:val="00CC213C"/>
    <w:rsid w:val="00CC7F1D"/>
    <w:rsid w:val="00CE26A0"/>
    <w:rsid w:val="00CE3839"/>
    <w:rsid w:val="00D01CF0"/>
    <w:rsid w:val="00D0442A"/>
    <w:rsid w:val="00D12FAD"/>
    <w:rsid w:val="00D1752F"/>
    <w:rsid w:val="00D37EE2"/>
    <w:rsid w:val="00D61388"/>
    <w:rsid w:val="00D61A54"/>
    <w:rsid w:val="00D64DEA"/>
    <w:rsid w:val="00D7168E"/>
    <w:rsid w:val="00D71E57"/>
    <w:rsid w:val="00D77D4B"/>
    <w:rsid w:val="00D80893"/>
    <w:rsid w:val="00D814C4"/>
    <w:rsid w:val="00D81EF4"/>
    <w:rsid w:val="00D92CF1"/>
    <w:rsid w:val="00D92D38"/>
    <w:rsid w:val="00D950F5"/>
    <w:rsid w:val="00DB0F93"/>
    <w:rsid w:val="00DB1A67"/>
    <w:rsid w:val="00DB1C30"/>
    <w:rsid w:val="00DB5074"/>
    <w:rsid w:val="00DB723B"/>
    <w:rsid w:val="00DC7981"/>
    <w:rsid w:val="00DE0107"/>
    <w:rsid w:val="00DE4EFA"/>
    <w:rsid w:val="00DE504D"/>
    <w:rsid w:val="00DE5520"/>
    <w:rsid w:val="00DE756D"/>
    <w:rsid w:val="00DF52AC"/>
    <w:rsid w:val="00E03641"/>
    <w:rsid w:val="00E04818"/>
    <w:rsid w:val="00E06442"/>
    <w:rsid w:val="00E137FB"/>
    <w:rsid w:val="00E16751"/>
    <w:rsid w:val="00E2195F"/>
    <w:rsid w:val="00E22820"/>
    <w:rsid w:val="00E23993"/>
    <w:rsid w:val="00E25B8C"/>
    <w:rsid w:val="00E65C85"/>
    <w:rsid w:val="00E66199"/>
    <w:rsid w:val="00E755EC"/>
    <w:rsid w:val="00E75721"/>
    <w:rsid w:val="00E75817"/>
    <w:rsid w:val="00E7624D"/>
    <w:rsid w:val="00E93CEA"/>
    <w:rsid w:val="00EA3D42"/>
    <w:rsid w:val="00EA6B1B"/>
    <w:rsid w:val="00EB505D"/>
    <w:rsid w:val="00EE28F3"/>
    <w:rsid w:val="00EF3DA5"/>
    <w:rsid w:val="00EF5110"/>
    <w:rsid w:val="00F1246E"/>
    <w:rsid w:val="00F15882"/>
    <w:rsid w:val="00F170E5"/>
    <w:rsid w:val="00F171E0"/>
    <w:rsid w:val="00F20BD3"/>
    <w:rsid w:val="00F21E8C"/>
    <w:rsid w:val="00F2463F"/>
    <w:rsid w:val="00F373A5"/>
    <w:rsid w:val="00F47559"/>
    <w:rsid w:val="00F57A8E"/>
    <w:rsid w:val="00F64C7B"/>
    <w:rsid w:val="00F676DD"/>
    <w:rsid w:val="00F71778"/>
    <w:rsid w:val="00F75A26"/>
    <w:rsid w:val="00F768BC"/>
    <w:rsid w:val="00F7783A"/>
    <w:rsid w:val="00F820F5"/>
    <w:rsid w:val="00F835C9"/>
    <w:rsid w:val="00F83FAD"/>
    <w:rsid w:val="00F952A0"/>
    <w:rsid w:val="00F95C3B"/>
    <w:rsid w:val="00FA3C7F"/>
    <w:rsid w:val="00FB74E2"/>
    <w:rsid w:val="00FD5614"/>
    <w:rsid w:val="00FE0BE1"/>
    <w:rsid w:val="00FE1DE9"/>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BodyText">
    <w:name w:val="Body Text"/>
    <w:basedOn w:val="Normal"/>
    <w:link w:val="BodyTextChar"/>
    <w:uiPriority w:val="99"/>
    <w:unhideWhenUsed/>
    <w:rsid w:val="004800D4"/>
    <w:pPr>
      <w:spacing w:after="120"/>
    </w:pPr>
  </w:style>
  <w:style w:type="character" w:customStyle="1" w:styleId="BodyTextChar">
    <w:name w:val="Body Text Char"/>
    <w:basedOn w:val="DefaultParagraphFont"/>
    <w:link w:val="BodyText"/>
    <w:uiPriority w:val="99"/>
    <w:rsid w:val="004800D4"/>
    <w:rPr>
      <w:rFonts w:ascii="Arial" w:hAnsi="Arial"/>
    </w:rPr>
  </w:style>
  <w:style w:type="paragraph" w:styleId="CommentText">
    <w:name w:val="annotation text"/>
    <w:basedOn w:val="Normal"/>
    <w:link w:val="CommentTextChar"/>
    <w:uiPriority w:val="99"/>
    <w:semiHidden/>
    <w:unhideWhenUsed/>
    <w:rsid w:val="004F1BF9"/>
    <w:pPr>
      <w:spacing w:line="240" w:lineRule="auto"/>
    </w:pPr>
    <w:rPr>
      <w:sz w:val="20"/>
      <w:szCs w:val="20"/>
    </w:rPr>
  </w:style>
  <w:style w:type="character" w:customStyle="1" w:styleId="CommentTextChar">
    <w:name w:val="Comment Text Char"/>
    <w:basedOn w:val="DefaultParagraphFont"/>
    <w:link w:val="CommentText"/>
    <w:uiPriority w:val="99"/>
    <w:semiHidden/>
    <w:rsid w:val="004F1BF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F1BF9"/>
    <w:rPr>
      <w:b/>
      <w:bCs/>
    </w:rPr>
  </w:style>
  <w:style w:type="character" w:customStyle="1" w:styleId="CommentSubjectChar">
    <w:name w:val="Comment Subject Char"/>
    <w:basedOn w:val="CommentTextChar"/>
    <w:link w:val="CommentSubject"/>
    <w:uiPriority w:val="99"/>
    <w:semiHidden/>
    <w:rsid w:val="004F1BF9"/>
    <w:rPr>
      <w:rFonts w:ascii="Arial" w:hAnsi="Arial"/>
      <w:b/>
      <w:bCs/>
      <w:sz w:val="20"/>
      <w:szCs w:val="20"/>
    </w:rPr>
  </w:style>
  <w:style w:type="paragraph" w:styleId="BlockText">
    <w:name w:val="Block Text"/>
    <w:basedOn w:val="Normal"/>
    <w:uiPriority w:val="99"/>
    <w:unhideWhenUsed/>
    <w:rsid w:val="00C164C6"/>
    <w:pPr>
      <w:pBdr>
        <w:top w:val="single" w:sz="2" w:space="10" w:color="2F002F" w:themeColor="accent1" w:frame="1"/>
        <w:left w:val="single" w:sz="2" w:space="10" w:color="2F002F" w:themeColor="accent1" w:frame="1"/>
        <w:bottom w:val="single" w:sz="2" w:space="10" w:color="2F002F" w:themeColor="accent1" w:frame="1"/>
        <w:right w:val="single" w:sz="2" w:space="10" w:color="2F002F" w:themeColor="accent1" w:frame="1"/>
      </w:pBdr>
      <w:ind w:left="1152" w:right="1152"/>
    </w:pPr>
    <w:rPr>
      <w:rFonts w:asciiTheme="minorHAnsi" w:eastAsiaTheme="minorEastAsia" w:hAnsiTheme="minorHAnsi"/>
      <w:i/>
      <w:iCs/>
      <w:color w:val="2F002F" w:themeColor="accent1"/>
    </w:rPr>
  </w:style>
  <w:style w:type="paragraph" w:styleId="TOAHeading">
    <w:name w:val="toa heading"/>
    <w:basedOn w:val="Normal"/>
    <w:next w:val="Normal"/>
    <w:uiPriority w:val="99"/>
    <w:unhideWhenUsed/>
    <w:rsid w:val="00634077"/>
    <w:pPr>
      <w:spacing w:before="120"/>
    </w:pPr>
    <w:rPr>
      <w:rFonts w:asciiTheme="majorHAnsi" w:eastAsiaTheme="majorEastAsia" w:hAnsiTheme="majorHAnsi" w:cstheme="majorBidi"/>
      <w:b/>
      <w:bCs/>
      <w:sz w:val="24"/>
      <w:szCs w:val="24"/>
    </w:rPr>
  </w:style>
  <w:style w:type="table" w:styleId="ColorfulList">
    <w:name w:val="Colorful List"/>
    <w:basedOn w:val="TableNormal"/>
    <w:uiPriority w:val="72"/>
    <w:rsid w:val="00D77D4B"/>
    <w:pPr>
      <w:spacing w:before="0"/>
    </w:pPr>
    <w:rPr>
      <w:color w:val="076A92" w:themeColor="text1"/>
    </w:rPr>
    <w:tblPr>
      <w:tblStyleRowBandSize w:val="1"/>
      <w:tblStyleColBandSize w:val="1"/>
      <w:tblInd w:w="0" w:type="dxa"/>
      <w:tblCellMar>
        <w:top w:w="0" w:type="dxa"/>
        <w:left w:w="108" w:type="dxa"/>
        <w:bottom w:w="0" w:type="dxa"/>
        <w:right w:w="108" w:type="dxa"/>
      </w:tblCellMar>
    </w:tblPr>
    <w:tcPr>
      <w:shd w:val="clear" w:color="auto" w:fill="DDF4FD" w:themeFill="text1" w:themeFillTint="19"/>
    </w:tcPr>
    <w:tblStylePr w:type="firstRow">
      <w:rPr>
        <w:b/>
        <w:bCs/>
        <w:color w:val="FFFFFF" w:themeColor="background1"/>
      </w:rPr>
      <w:tblPr/>
      <w:tcPr>
        <w:tcBorders>
          <w:bottom w:val="single" w:sz="12" w:space="0" w:color="FFFFFF" w:themeColor="background1"/>
        </w:tcBorders>
        <w:shd w:val="clear" w:color="auto" w:fill="9A3E00" w:themeFill="accent2" w:themeFillShade="CC"/>
      </w:tcPr>
    </w:tblStylePr>
    <w:tblStylePr w:type="lastRow">
      <w:rPr>
        <w:b/>
        <w:bCs/>
        <w:color w:val="9A3E00" w:themeColor="accent2" w:themeShade="CC"/>
      </w:rPr>
      <w:tblPr/>
      <w:tcPr>
        <w:tcBorders>
          <w:top w:val="single" w:sz="12" w:space="0" w:color="076A9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E3FB" w:themeFill="text1" w:themeFillTint="3F"/>
      </w:tcPr>
    </w:tblStylePr>
    <w:tblStylePr w:type="band1Horz">
      <w:tblPr/>
      <w:tcPr>
        <w:shd w:val="clear" w:color="auto" w:fill="BAE8FB" w:themeFill="tex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BodyText">
    <w:name w:val="Body Text"/>
    <w:basedOn w:val="Normal"/>
    <w:link w:val="BodyTextChar"/>
    <w:uiPriority w:val="99"/>
    <w:unhideWhenUsed/>
    <w:rsid w:val="004800D4"/>
    <w:pPr>
      <w:spacing w:after="120"/>
    </w:pPr>
  </w:style>
  <w:style w:type="character" w:customStyle="1" w:styleId="BodyTextChar">
    <w:name w:val="Body Text Char"/>
    <w:basedOn w:val="DefaultParagraphFont"/>
    <w:link w:val="BodyText"/>
    <w:uiPriority w:val="99"/>
    <w:rsid w:val="004800D4"/>
    <w:rPr>
      <w:rFonts w:ascii="Arial" w:hAnsi="Arial"/>
    </w:rPr>
  </w:style>
  <w:style w:type="paragraph" w:styleId="CommentText">
    <w:name w:val="annotation text"/>
    <w:basedOn w:val="Normal"/>
    <w:link w:val="CommentTextChar"/>
    <w:uiPriority w:val="99"/>
    <w:semiHidden/>
    <w:unhideWhenUsed/>
    <w:rsid w:val="004F1BF9"/>
    <w:pPr>
      <w:spacing w:line="240" w:lineRule="auto"/>
    </w:pPr>
    <w:rPr>
      <w:sz w:val="20"/>
      <w:szCs w:val="20"/>
    </w:rPr>
  </w:style>
  <w:style w:type="character" w:customStyle="1" w:styleId="CommentTextChar">
    <w:name w:val="Comment Text Char"/>
    <w:basedOn w:val="DefaultParagraphFont"/>
    <w:link w:val="CommentText"/>
    <w:uiPriority w:val="99"/>
    <w:semiHidden/>
    <w:rsid w:val="004F1BF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F1BF9"/>
    <w:rPr>
      <w:b/>
      <w:bCs/>
    </w:rPr>
  </w:style>
  <w:style w:type="character" w:customStyle="1" w:styleId="CommentSubjectChar">
    <w:name w:val="Comment Subject Char"/>
    <w:basedOn w:val="CommentTextChar"/>
    <w:link w:val="CommentSubject"/>
    <w:uiPriority w:val="99"/>
    <w:semiHidden/>
    <w:rsid w:val="004F1BF9"/>
    <w:rPr>
      <w:rFonts w:ascii="Arial" w:hAnsi="Arial"/>
      <w:b/>
      <w:bCs/>
      <w:sz w:val="20"/>
      <w:szCs w:val="20"/>
    </w:rPr>
  </w:style>
  <w:style w:type="paragraph" w:styleId="BlockText">
    <w:name w:val="Block Text"/>
    <w:basedOn w:val="Normal"/>
    <w:uiPriority w:val="99"/>
    <w:unhideWhenUsed/>
    <w:rsid w:val="00C164C6"/>
    <w:pPr>
      <w:pBdr>
        <w:top w:val="single" w:sz="2" w:space="10" w:color="2F002F" w:themeColor="accent1" w:frame="1"/>
        <w:left w:val="single" w:sz="2" w:space="10" w:color="2F002F" w:themeColor="accent1" w:frame="1"/>
        <w:bottom w:val="single" w:sz="2" w:space="10" w:color="2F002F" w:themeColor="accent1" w:frame="1"/>
        <w:right w:val="single" w:sz="2" w:space="10" w:color="2F002F" w:themeColor="accent1" w:frame="1"/>
      </w:pBdr>
      <w:ind w:left="1152" w:right="1152"/>
    </w:pPr>
    <w:rPr>
      <w:rFonts w:asciiTheme="minorHAnsi" w:eastAsiaTheme="minorEastAsia" w:hAnsiTheme="minorHAnsi"/>
      <w:i/>
      <w:iCs/>
      <w:color w:val="2F002F" w:themeColor="accent1"/>
    </w:rPr>
  </w:style>
  <w:style w:type="paragraph" w:styleId="TOAHeading">
    <w:name w:val="toa heading"/>
    <w:basedOn w:val="Normal"/>
    <w:next w:val="Normal"/>
    <w:uiPriority w:val="99"/>
    <w:unhideWhenUsed/>
    <w:rsid w:val="00634077"/>
    <w:pPr>
      <w:spacing w:before="120"/>
    </w:pPr>
    <w:rPr>
      <w:rFonts w:asciiTheme="majorHAnsi" w:eastAsiaTheme="majorEastAsia" w:hAnsiTheme="majorHAnsi" w:cstheme="majorBidi"/>
      <w:b/>
      <w:bCs/>
      <w:sz w:val="24"/>
      <w:szCs w:val="24"/>
    </w:rPr>
  </w:style>
  <w:style w:type="table" w:styleId="ColorfulList">
    <w:name w:val="Colorful List"/>
    <w:basedOn w:val="TableNormal"/>
    <w:uiPriority w:val="72"/>
    <w:rsid w:val="00D77D4B"/>
    <w:pPr>
      <w:spacing w:before="0"/>
    </w:pPr>
    <w:rPr>
      <w:color w:val="076A92" w:themeColor="text1"/>
    </w:rPr>
    <w:tblPr>
      <w:tblStyleRowBandSize w:val="1"/>
      <w:tblStyleColBandSize w:val="1"/>
      <w:tblInd w:w="0" w:type="dxa"/>
      <w:tblCellMar>
        <w:top w:w="0" w:type="dxa"/>
        <w:left w:w="108" w:type="dxa"/>
        <w:bottom w:w="0" w:type="dxa"/>
        <w:right w:w="108" w:type="dxa"/>
      </w:tblCellMar>
    </w:tblPr>
    <w:tcPr>
      <w:shd w:val="clear" w:color="auto" w:fill="DDF4FD" w:themeFill="text1" w:themeFillTint="19"/>
    </w:tcPr>
    <w:tblStylePr w:type="firstRow">
      <w:rPr>
        <w:b/>
        <w:bCs/>
        <w:color w:val="FFFFFF" w:themeColor="background1"/>
      </w:rPr>
      <w:tblPr/>
      <w:tcPr>
        <w:tcBorders>
          <w:bottom w:val="single" w:sz="12" w:space="0" w:color="FFFFFF" w:themeColor="background1"/>
        </w:tcBorders>
        <w:shd w:val="clear" w:color="auto" w:fill="9A3E00" w:themeFill="accent2" w:themeFillShade="CC"/>
      </w:tcPr>
    </w:tblStylePr>
    <w:tblStylePr w:type="lastRow">
      <w:rPr>
        <w:b/>
        <w:bCs/>
        <w:color w:val="9A3E00" w:themeColor="accent2" w:themeShade="CC"/>
      </w:rPr>
      <w:tblPr/>
      <w:tcPr>
        <w:tcBorders>
          <w:top w:val="single" w:sz="12" w:space="0" w:color="076A9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E3FB" w:themeFill="text1" w:themeFillTint="3F"/>
      </w:tcPr>
    </w:tblStylePr>
    <w:tblStylePr w:type="band1Horz">
      <w:tblPr/>
      <w:tcPr>
        <w:shd w:val="clear" w:color="auto" w:fill="BAE8FB"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B1A044-E474-490D-BE95-436B72681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718B3C51</Template>
  <TotalTime>1</TotalTime>
  <Pages>10</Pages>
  <Words>2328</Words>
  <Characters>13273</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[Document title]</vt:lpstr>
    </vt:vector>
  </TitlesOfParts>
  <Company>AER</Company>
  <LinksUpToDate>false</LinksUpToDate>
  <CharactersWithSpaces>15570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Abi-Samra, Rami</dc:creator>
  <cp:lastModifiedBy>Wu, Patrick</cp:lastModifiedBy>
  <cp:revision>2</cp:revision>
  <cp:lastPrinted>2017-04-19T05:10:00Z</cp:lastPrinted>
  <dcterms:created xsi:type="dcterms:W3CDTF">2017-05-02T00:56:00Z</dcterms:created>
  <dcterms:modified xsi:type="dcterms:W3CDTF">2017-05-02T00:56:00Z</dcterms:modified>
</cp:coreProperties>
</file>