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9A2BB4" w:rsidRDefault="00753DF7" w:rsidP="00F27ABE">
      <w:pPr>
        <w:pStyle w:val="AERfactsheetsubtitle"/>
        <w:widowControl w:val="0"/>
        <w:rPr>
          <w:sz w:val="22"/>
        </w:rPr>
      </w:pPr>
      <w:bookmarkStart w:id="0" w:name="_GoBack"/>
      <w:bookmarkEnd w:id="0"/>
    </w:p>
    <w:p w:rsidR="00EF1802" w:rsidRDefault="00AC0236" w:rsidP="00F27ABE">
      <w:pPr>
        <w:pStyle w:val="AERfactsheetsubtitle"/>
        <w:widowControl w:val="0"/>
        <w:rPr>
          <w:lang w:val="en"/>
        </w:rPr>
      </w:pPr>
      <w:r w:rsidRPr="00B0183D">
        <w:rPr>
          <w:noProof/>
          <w:sz w:val="18"/>
          <w:lang w:eastAsia="en-AU"/>
        </w:rPr>
        <mc:AlternateContent>
          <mc:Choice Requires="wpg">
            <w:drawing>
              <wp:anchor distT="0" distB="0" distL="114300" distR="114300" simplePos="0" relativeHeight="251657216" behindDoc="0" locked="0" layoutInCell="1" allowOverlap="1" wp14:anchorId="41D6E54A" wp14:editId="6C270F70">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08782C" w:rsidRDefault="00C949E3" w:rsidP="001D49FD">
                              <w:pPr>
                                <w:ind w:left="567"/>
                                <w:rPr>
                                  <w:rFonts w:cs="Calibri"/>
                                  <w:color w:val="FFFFFF"/>
                                  <w:sz w:val="32"/>
                                </w:rPr>
                              </w:pPr>
                            </w:p>
                            <w:p w:rsidR="00C949E3" w:rsidRPr="00225391" w:rsidRDefault="00C949E3" w:rsidP="001D49FD">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Better Regu</w:t>
                              </w:r>
                              <w:r w:rsidRPr="00225391">
                                <w:rPr>
                                  <w:rFonts w:ascii="Trebuchet MS" w:hAnsi="Trebuchet MS" w:cs="Tunga"/>
                                  <w:color w:val="FFFFFF"/>
                                  <w:spacing w:val="10"/>
                                  <w:w w:val="99"/>
                                  <w:kern w:val="44"/>
                                  <w:sz w:val="48"/>
                                </w:rPr>
                                <w:t>l</w:t>
                              </w:r>
                              <w:r w:rsidRPr="00225391">
                                <w:rPr>
                                  <w:rFonts w:ascii="MS Reference Sans Serif" w:hAnsi="MS Reference Sans Serif" w:cs="Tunga"/>
                                  <w:color w:val="FFFFFF"/>
                                  <w:spacing w:val="10"/>
                                  <w:w w:val="99"/>
                                  <w:kern w:val="44"/>
                                  <w:sz w:val="48"/>
                                </w:rPr>
                                <w:t>ation:</w:t>
                              </w:r>
                            </w:p>
                            <w:p w:rsidR="00C949E3" w:rsidRPr="00225391" w:rsidRDefault="00C949E3"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 guideline</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C949E3" w:rsidRPr="0008782C" w:rsidRDefault="00C949E3" w:rsidP="001D49FD">
                        <w:pPr>
                          <w:ind w:left="567"/>
                          <w:rPr>
                            <w:rFonts w:cs="Calibri"/>
                            <w:color w:val="FFFFFF"/>
                            <w:sz w:val="32"/>
                          </w:rPr>
                        </w:pPr>
                      </w:p>
                      <w:p w:rsidR="00C949E3" w:rsidRPr="00225391" w:rsidRDefault="00C949E3" w:rsidP="001D49FD">
                        <w:pPr>
                          <w:ind w:left="567"/>
                          <w:rPr>
                            <w:rFonts w:ascii="MS Reference Sans Serif" w:hAnsi="MS Reference Sans Serif" w:cs="Tunga"/>
                            <w:color w:val="FFFFFF"/>
                            <w:spacing w:val="10"/>
                            <w:w w:val="99"/>
                            <w:kern w:val="44"/>
                            <w:sz w:val="48"/>
                          </w:rPr>
                        </w:pPr>
                        <w:r w:rsidRPr="00225391">
                          <w:rPr>
                            <w:rFonts w:ascii="MS Reference Sans Serif" w:hAnsi="MS Reference Sans Serif" w:cs="Tunga"/>
                            <w:color w:val="FFFFFF"/>
                            <w:spacing w:val="10"/>
                            <w:w w:val="99"/>
                            <w:kern w:val="44"/>
                            <w:sz w:val="48"/>
                          </w:rPr>
                          <w:t>Better Regu</w:t>
                        </w:r>
                        <w:r w:rsidRPr="00225391">
                          <w:rPr>
                            <w:rFonts w:ascii="Trebuchet MS" w:hAnsi="Trebuchet MS" w:cs="Tunga"/>
                            <w:color w:val="FFFFFF"/>
                            <w:spacing w:val="10"/>
                            <w:w w:val="99"/>
                            <w:kern w:val="44"/>
                            <w:sz w:val="48"/>
                          </w:rPr>
                          <w:t>l</w:t>
                        </w:r>
                        <w:r w:rsidRPr="00225391">
                          <w:rPr>
                            <w:rFonts w:ascii="MS Reference Sans Serif" w:hAnsi="MS Reference Sans Serif" w:cs="Tunga"/>
                            <w:color w:val="FFFFFF"/>
                            <w:spacing w:val="10"/>
                            <w:w w:val="99"/>
                            <w:kern w:val="44"/>
                            <w:sz w:val="48"/>
                          </w:rPr>
                          <w:t>ation:</w:t>
                        </w:r>
                      </w:p>
                      <w:p w:rsidR="00C949E3" w:rsidRPr="00225391" w:rsidRDefault="00C949E3"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Rate of return guideline</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A24D5C">
        <w:t>O</w:t>
      </w:r>
      <w:r w:rsidR="00697FF1" w:rsidRPr="00753DF7">
        <w:t xml:space="preserve">ur </w:t>
      </w:r>
      <w:r w:rsidR="00F4505F">
        <w:t xml:space="preserve">rate of return </w:t>
      </w:r>
      <w:r w:rsidR="00AA7208">
        <w:t>guideline</w:t>
      </w:r>
      <w:r w:rsidR="00A24D5C">
        <w:t xml:space="preserve"> </w:t>
      </w:r>
      <w:r w:rsidR="00AA7208" w:rsidRPr="00AA7208">
        <w:rPr>
          <w:lang w:val="en"/>
        </w:rPr>
        <w:t>set</w:t>
      </w:r>
      <w:r w:rsidR="00AA7208">
        <w:rPr>
          <w:lang w:val="en"/>
        </w:rPr>
        <w:t>s</w:t>
      </w:r>
      <w:r w:rsidR="00AA7208" w:rsidRPr="00AA7208">
        <w:rPr>
          <w:lang w:val="en"/>
        </w:rPr>
        <w:t xml:space="preserve"> out </w:t>
      </w:r>
      <w:r w:rsidR="00A24D5C">
        <w:rPr>
          <w:lang w:val="en"/>
        </w:rPr>
        <w:t xml:space="preserve">how we </w:t>
      </w:r>
      <w:r w:rsidR="008C32AF" w:rsidRPr="008C32AF">
        <w:rPr>
          <w:lang w:val="en"/>
        </w:rPr>
        <w:t xml:space="preserve">determine the return </w:t>
      </w:r>
      <w:r w:rsidR="00FC5AB0">
        <w:rPr>
          <w:lang w:val="en"/>
        </w:rPr>
        <w:t xml:space="preserve">that </w:t>
      </w:r>
      <w:r w:rsidR="008C32AF" w:rsidRPr="00AA7208">
        <w:rPr>
          <w:lang w:val="en"/>
        </w:rPr>
        <w:t xml:space="preserve">electricity and gas </w:t>
      </w:r>
      <w:r w:rsidR="008C32AF">
        <w:rPr>
          <w:lang w:val="en"/>
        </w:rPr>
        <w:t xml:space="preserve">network </w:t>
      </w:r>
      <w:r w:rsidR="008C32AF" w:rsidRPr="008C32AF">
        <w:rPr>
          <w:lang w:val="en"/>
        </w:rPr>
        <w:t>businesse</w:t>
      </w:r>
      <w:r w:rsidR="008C32AF">
        <w:rPr>
          <w:lang w:val="en"/>
        </w:rPr>
        <w:t>s can earn on their investments</w:t>
      </w:r>
      <w:r w:rsidR="00A24D5C">
        <w:rPr>
          <w:lang w:val="en"/>
        </w:rPr>
        <w:t xml:space="preserve">. </w:t>
      </w:r>
      <w:r w:rsidR="00EF1802" w:rsidRPr="00EF1802">
        <w:rPr>
          <w:lang w:val="en"/>
        </w:rPr>
        <w:t>Applied consistently over time, the guideline provide</w:t>
      </w:r>
      <w:r w:rsidR="00EF1802">
        <w:rPr>
          <w:lang w:val="en"/>
        </w:rPr>
        <w:t>s</w:t>
      </w:r>
      <w:r w:rsidR="00EF1802" w:rsidRPr="00EF1802">
        <w:rPr>
          <w:lang w:val="en"/>
        </w:rPr>
        <w:t xml:space="preserve"> regulatory stability and increased certainty through greater transparency of the key components of the rate of return and how these are assessed. </w:t>
      </w:r>
      <w:r w:rsidR="004579EB" w:rsidRPr="004579EB">
        <w:rPr>
          <w:lang w:val="en"/>
        </w:rPr>
        <w:t xml:space="preserve">Our approach will balance the interests of stakeholders by providing the opportunity for the recovery of efficient financing costs and more stable returns for the </w:t>
      </w:r>
      <w:proofErr w:type="gramStart"/>
      <w:r w:rsidR="004579EB" w:rsidRPr="004579EB">
        <w:rPr>
          <w:lang w:val="en"/>
        </w:rPr>
        <w:t>businesses,</w:t>
      </w:r>
      <w:proofErr w:type="gramEnd"/>
      <w:r w:rsidR="004579EB" w:rsidRPr="004579EB">
        <w:rPr>
          <w:lang w:val="en"/>
        </w:rPr>
        <w:t xml:space="preserve"> and more stable price movements for consumers.</w:t>
      </w:r>
    </w:p>
    <w:p w:rsidR="00754FD0" w:rsidRPr="004D1DC0" w:rsidRDefault="00754FD0" w:rsidP="00EF1802">
      <w:pPr>
        <w:pStyle w:val="AERfactsheetsubtitle"/>
        <w:widowControl w:val="0"/>
        <w:sectPr w:rsidR="00754FD0" w:rsidRPr="004D1DC0" w:rsidSect="00BE5A7F">
          <w:pgSz w:w="11906" w:h="16838"/>
          <w:pgMar w:top="720" w:right="720" w:bottom="720" w:left="720" w:header="708" w:footer="708" w:gutter="0"/>
          <w:cols w:space="284"/>
          <w:docGrid w:linePitch="360"/>
        </w:sectPr>
      </w:pPr>
    </w:p>
    <w:p w:rsidR="00AC0236" w:rsidRPr="00697FF1" w:rsidRDefault="00FB1910" w:rsidP="00F27ABE">
      <w:pPr>
        <w:pStyle w:val="AERFactsheetHeading1"/>
        <w:keepNext w:val="0"/>
        <w:widowControl w:val="0"/>
      </w:pPr>
      <w:r>
        <w:lastRenderedPageBreak/>
        <w:t xml:space="preserve">What </w:t>
      </w:r>
      <w:r w:rsidR="00AA7208">
        <w:t xml:space="preserve">is the rate of return? </w:t>
      </w:r>
    </w:p>
    <w:p w:rsidR="00F27ABE" w:rsidRDefault="008C32AF" w:rsidP="00F27ABE">
      <w:pPr>
        <w:pStyle w:val="AERfactsheetbodytext"/>
        <w:widowControl w:val="0"/>
      </w:pPr>
      <w:r w:rsidRPr="008C32AF">
        <w:t xml:space="preserve">The allowed rate of return is </w:t>
      </w:r>
      <w:r w:rsidR="00DD5448">
        <w:t xml:space="preserve">the forecast of the cost of funds </w:t>
      </w:r>
      <w:r w:rsidR="00D403E1">
        <w:t>a network business requires</w:t>
      </w:r>
      <w:r w:rsidR="00DD5448">
        <w:t xml:space="preserve"> to </w:t>
      </w:r>
      <w:r w:rsidR="006D137A">
        <w:t xml:space="preserve">attract </w:t>
      </w:r>
      <w:r w:rsidR="00DD5448">
        <w:t>invest</w:t>
      </w:r>
      <w:r w:rsidR="006D137A">
        <w:t>ment</w:t>
      </w:r>
      <w:r w:rsidR="00DD5448">
        <w:t xml:space="preserve"> </w:t>
      </w:r>
      <w:r w:rsidR="00792075">
        <w:t xml:space="preserve">in the network. </w:t>
      </w:r>
    </w:p>
    <w:p w:rsidR="00F27ABE" w:rsidRDefault="00DD5448" w:rsidP="00F27ABE">
      <w:pPr>
        <w:pStyle w:val="AERfactsheetbodytext"/>
        <w:widowControl w:val="0"/>
      </w:pPr>
      <w:r>
        <w:t xml:space="preserve">To estimate this cost, we consider the cost of the two sources of funds for investments—equity and debt. The </w:t>
      </w:r>
      <w:r w:rsidR="001152E2">
        <w:t xml:space="preserve">return on </w:t>
      </w:r>
      <w:r>
        <w:t xml:space="preserve">equity is the return </w:t>
      </w:r>
      <w:r w:rsidR="00C76528">
        <w:t xml:space="preserve">shareholders of the business will require for them to continue to invest. </w:t>
      </w:r>
    </w:p>
    <w:p w:rsidR="00C76528" w:rsidRDefault="00C76528" w:rsidP="00F27ABE">
      <w:pPr>
        <w:pStyle w:val="AERfactsheetbodytext"/>
        <w:widowControl w:val="0"/>
      </w:pPr>
      <w:r>
        <w:t xml:space="preserve">The </w:t>
      </w:r>
      <w:r w:rsidR="001152E2">
        <w:t>return on</w:t>
      </w:r>
      <w:r>
        <w:t xml:space="preserve"> debt is the interest rate the network business pays when it borrows money to invest.</w:t>
      </w:r>
      <w:r w:rsidR="00F27ABE">
        <w:t xml:space="preserve"> </w:t>
      </w:r>
      <w:r>
        <w:t xml:space="preserve">We </w:t>
      </w:r>
      <w:r w:rsidR="00C039EB">
        <w:t>consider that</w:t>
      </w:r>
      <w:r>
        <w:t xml:space="preserve"> efficient network business</w:t>
      </w:r>
      <w:r w:rsidR="00C039EB">
        <w:t>es</w:t>
      </w:r>
      <w:r>
        <w:t xml:space="preserve"> would fund </w:t>
      </w:r>
      <w:r w:rsidR="00C039EB">
        <w:t xml:space="preserve">their </w:t>
      </w:r>
      <w:r>
        <w:t xml:space="preserve">investments by borrowing 60 per cent of the required funds, while raising the remaining 40 per cent from equity. </w:t>
      </w:r>
    </w:p>
    <w:p w:rsidR="001152E2" w:rsidRDefault="00260768" w:rsidP="00F27ABE">
      <w:pPr>
        <w:pStyle w:val="AERfactsheetbodytext"/>
        <w:widowControl w:val="0"/>
      </w:pPr>
      <w:r>
        <w:t xml:space="preserve">When a network business spends money on an asset, for example a new substation, the value of that substation is added to its regulatory asset base. The business’ regulatory asset base is the total value of </w:t>
      </w:r>
      <w:r w:rsidRPr="008C32AF">
        <w:t xml:space="preserve">all </w:t>
      </w:r>
      <w:r>
        <w:t xml:space="preserve">the capital </w:t>
      </w:r>
      <w:r w:rsidRPr="008C32AF">
        <w:t>investments</w:t>
      </w:r>
      <w:r>
        <w:t xml:space="preserve"> it makes to supply consumers with electricity or gas. The value of the regulatory asset base is multiplied by the allowed rate of return to determine the total return on capital the network business can charge energy consumers.</w:t>
      </w:r>
    </w:p>
    <w:p w:rsidR="00F27ABE" w:rsidRDefault="00F27ABE" w:rsidP="00F27ABE">
      <w:pPr>
        <w:pStyle w:val="AERfactsheetbodytext"/>
        <w:widowControl w:val="0"/>
      </w:pPr>
      <w:r w:rsidRPr="00697FF1">
        <w:rPr>
          <w:noProof/>
          <w:lang w:eastAsia="en-AU"/>
        </w:rPr>
        <w:drawing>
          <wp:anchor distT="0" distB="0" distL="114300" distR="114300" simplePos="0" relativeHeight="251671552" behindDoc="0" locked="0" layoutInCell="1" allowOverlap="1" wp14:anchorId="31882770" wp14:editId="4F5DAECE">
            <wp:simplePos x="0" y="0"/>
            <wp:positionH relativeFrom="column">
              <wp:posOffset>-746760</wp:posOffset>
            </wp:positionH>
            <wp:positionV relativeFrom="page">
              <wp:posOffset>10229850</wp:posOffset>
            </wp:positionV>
            <wp:extent cx="8827135" cy="492760"/>
            <wp:effectExtent l="0" t="0" r="0" b="2540"/>
            <wp:wrapNone/>
            <wp:docPr id="31" name="Picture 3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008C32AF" w:rsidRPr="008C32AF">
        <w:t xml:space="preserve">A good estimate of the rate of return is necessary to promote efficient prices in the long term interests of consumers. </w:t>
      </w:r>
      <w:r w:rsidR="00260768">
        <w:t xml:space="preserve">If the rate of return is set too low, the network business may not be able to attract sufficient funds to be able to make the required investments in the network </w:t>
      </w:r>
      <w:r w:rsidR="009462FA">
        <w:t xml:space="preserve">and reliability may decline. </w:t>
      </w:r>
      <w:r w:rsidR="00260768">
        <w:t xml:space="preserve">On the flip side, if the rate of return of return is set too high, the network business may seek to spend too much and consumers will pay inefficiently high prices. </w:t>
      </w:r>
    </w:p>
    <w:p w:rsidR="00F27ABE" w:rsidRPr="00F27ABE" w:rsidRDefault="00F27ABE" w:rsidP="00F27ABE">
      <w:r>
        <w:rPr>
          <w:noProof/>
          <w:lang w:eastAsia="en-AU"/>
        </w:rPr>
        <mc:AlternateContent>
          <mc:Choice Requires="wps">
            <w:drawing>
              <wp:inline distT="0" distB="0" distL="0" distR="0" wp14:anchorId="5807FABD" wp14:editId="452AFFB3">
                <wp:extent cx="3214370" cy="822960"/>
                <wp:effectExtent l="0" t="0" r="24130" b="1524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22960"/>
                        </a:xfrm>
                        <a:prstGeom prst="rect">
                          <a:avLst/>
                        </a:prstGeom>
                        <a:solidFill>
                          <a:srgbClr val="DBE5F1"/>
                        </a:solidFill>
                        <a:ln w="9525">
                          <a:solidFill>
                            <a:srgbClr val="006A99"/>
                          </a:solidFill>
                          <a:miter lim="800000"/>
                          <a:headEnd/>
                          <a:tailEnd/>
                        </a:ln>
                      </wps:spPr>
                      <wps:txbx>
                        <w:txbxContent>
                          <w:p w:rsidR="00C949E3" w:rsidRPr="00916002" w:rsidRDefault="00C949E3" w:rsidP="00F27ABE">
                            <w:pPr>
                              <w:pStyle w:val="AERfactsheetbodytext"/>
                            </w:pPr>
                            <w:r>
                              <w:t xml:space="preserve">Our aim is to set a rate of return that delivers sufficient but not excessive returns to support investment in safe and reliable energy networks. </w:t>
                            </w:r>
                            <w:r w:rsidRPr="00346F63">
                              <w:t>The return on investment can make up approximately 50 per cent of revenue needs for network businesses.</w:t>
                            </w:r>
                          </w:p>
                        </w:txbxContent>
                      </wps:txbx>
                      <wps:bodyPr rot="0" vert="horz" wrap="square" lIns="91440" tIns="45720" rIns="91440" bIns="45720" anchor="t" anchorCtr="0" upright="1">
                        <a:noAutofit/>
                      </wps:bodyPr>
                    </wps:wsp>
                  </a:graphicData>
                </a:graphic>
              </wp:inline>
            </w:drawing>
          </mc:Choice>
          <mc:Fallback>
            <w:pict>
              <v:shape id="Text Box 10" o:spid="_x0000_s1030" type="#_x0000_t202" style="width:253.1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" fillcolor="#dbe5f1" strokecolor="#006a99">
                <v:textbox>
                  <w:txbxContent>
                    <w:p w:rsidR="00C949E3" w:rsidRPr="00916002" w:rsidRDefault="00C949E3" w:rsidP="00F27ABE">
                      <w:pPr>
                        <w:pStyle w:val="AERfactsheetbodytext"/>
                      </w:pPr>
                      <w:r>
                        <w:t xml:space="preserve">Our aim is to set a rate of return that delivers sufficient but not excessive returns to support investment in safe and reliable energy networks. </w:t>
                      </w:r>
                      <w:r w:rsidRPr="00346F63">
                        <w:t>The return on investment can make up approximately 50 per cent of revenue needs for network businesses.</w:t>
                      </w:r>
                    </w:p>
                  </w:txbxContent>
                </v:textbox>
                <w10:anchorlock/>
              </v:shape>
            </w:pict>
          </mc:Fallback>
        </mc:AlternateContent>
      </w:r>
      <w:r w:rsidR="006B1A2B">
        <w:t xml:space="preserve">  </w:t>
      </w:r>
    </w:p>
    <w:p w:rsidR="007101C1" w:rsidRDefault="00F27ABE" w:rsidP="00C5335F">
      <w:pPr>
        <w:pStyle w:val="AERFactsheetHeading1"/>
        <w:keepNext w:val="0"/>
        <w:widowControl w:val="0"/>
      </w:pPr>
      <w:r>
        <w:br w:type="column"/>
      </w:r>
      <w:r w:rsidR="00E43302">
        <w:lastRenderedPageBreak/>
        <w:t>What’</w:t>
      </w:r>
      <w:r w:rsidR="007101C1">
        <w:t xml:space="preserve">s </w:t>
      </w:r>
      <w:r w:rsidR="00E43302">
        <w:t xml:space="preserve">in the rate of return </w:t>
      </w:r>
      <w:r w:rsidR="007101C1">
        <w:t>guideline?</w:t>
      </w:r>
    </w:p>
    <w:p w:rsidR="009462FA" w:rsidRDefault="009462FA" w:rsidP="00F27ABE">
      <w:pPr>
        <w:pStyle w:val="AERfactsheetbodytext"/>
        <w:widowControl w:val="0"/>
      </w:pPr>
      <w:r>
        <w:t xml:space="preserve">The guideline sets </w:t>
      </w:r>
      <w:r w:rsidR="006B1A2B">
        <w:t>out the approach we use to</w:t>
      </w:r>
      <w:r w:rsidR="006246A9">
        <w:t xml:space="preserve"> </w:t>
      </w:r>
      <w:r w:rsidR="006B1A2B">
        <w:t xml:space="preserve">estimate </w:t>
      </w:r>
      <w:r w:rsidR="006246A9">
        <w:t xml:space="preserve">the </w:t>
      </w:r>
      <w:r w:rsidR="006B1A2B">
        <w:t xml:space="preserve">returns on </w:t>
      </w:r>
      <w:r w:rsidR="006246A9">
        <w:t>equity and debt for a benchmark ef</w:t>
      </w:r>
      <w:r w:rsidR="00E674FC">
        <w:t>ficient business. Th</w:t>
      </w:r>
      <w:r w:rsidR="006B1A2B">
        <w:t>is</w:t>
      </w:r>
      <w:r w:rsidR="00E674FC">
        <w:t xml:space="preserve"> </w:t>
      </w:r>
      <w:r w:rsidR="006B1A2B">
        <w:t>approach</w:t>
      </w:r>
      <w:r w:rsidR="00E674FC">
        <w:t xml:space="preserve"> support</w:t>
      </w:r>
      <w:r w:rsidR="00D202AC">
        <w:t>s</w:t>
      </w:r>
      <w:r w:rsidR="00E674FC">
        <w:t xml:space="preserve"> the rate of return objective in the national electricity and gas rules</w:t>
      </w:r>
      <w:r w:rsidR="00D403E1">
        <w:t xml:space="preserve">. This is </w:t>
      </w:r>
      <w:r w:rsidR="0092057B" w:rsidRPr="0092057B">
        <w:t>for the overall rate of return to correspond to the efficient financing costs of a benchmark efficient business.</w:t>
      </w:r>
      <w:r w:rsidR="0092057B">
        <w:t xml:space="preserve"> </w:t>
      </w:r>
    </w:p>
    <w:p w:rsidR="00F27ABE" w:rsidRDefault="00F27ABE" w:rsidP="00F27ABE">
      <w:pPr>
        <w:pStyle w:val="AERfactsheetbodytext"/>
        <w:widowControl w:val="0"/>
      </w:pPr>
      <w:r>
        <w:t xml:space="preserve">By setting a rate of return based on a benchmark, rather than the actual costs of individual businesses, network businesses </w:t>
      </w:r>
      <w:r w:rsidR="00161050">
        <w:t>have incentives to finance their business as efficiently as possible</w:t>
      </w:r>
      <w:r>
        <w:t>.</w:t>
      </w:r>
    </w:p>
    <w:p w:rsidR="009462FA" w:rsidRDefault="009462FA" w:rsidP="00F27ABE">
      <w:pPr>
        <w:pStyle w:val="AERfactsheetbodytext"/>
        <w:widowControl w:val="0"/>
      </w:pPr>
      <w:r>
        <w:t xml:space="preserve">We define the benchmark efficient business as one </w:t>
      </w:r>
      <w:r w:rsidR="00F27ABE">
        <w:t xml:space="preserve">who only provides regulated </w:t>
      </w:r>
      <w:r>
        <w:t>electricity or gas network services</w:t>
      </w:r>
      <w:r w:rsidR="00C5335F">
        <w:t xml:space="preserve">, operating </w:t>
      </w:r>
      <w:r w:rsidR="00F27ABE">
        <w:t xml:space="preserve">within </w:t>
      </w:r>
      <w:r>
        <w:t>Australia. This applies to both electricity and gas as the risks across both industries are sufficiently similar such that a single benchmark is appropriate.</w:t>
      </w:r>
    </w:p>
    <w:p w:rsidR="00346F63" w:rsidRDefault="00346F63" w:rsidP="00F27ABE">
      <w:pPr>
        <w:pStyle w:val="AERfactsheetbodytext"/>
        <w:widowControl w:val="0"/>
      </w:pPr>
      <w:r>
        <w:rPr>
          <w:noProof/>
          <w:lang w:eastAsia="en-AU"/>
        </w:rPr>
        <mc:AlternateContent>
          <mc:Choice Requires="wps">
            <w:drawing>
              <wp:inline distT="0" distB="0" distL="0" distR="0" wp14:anchorId="1DA0441B" wp14:editId="28617DA0">
                <wp:extent cx="3214370" cy="532852"/>
                <wp:effectExtent l="0" t="0" r="24130" b="19685"/>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32852"/>
                        </a:xfrm>
                        <a:prstGeom prst="rect">
                          <a:avLst/>
                        </a:prstGeom>
                        <a:solidFill>
                          <a:srgbClr val="DBE5F1"/>
                        </a:solidFill>
                        <a:ln w="9525">
                          <a:solidFill>
                            <a:srgbClr val="006A99"/>
                          </a:solidFill>
                          <a:miter lim="800000"/>
                          <a:headEnd/>
                          <a:tailEnd/>
                        </a:ln>
                      </wps:spPr>
                      <wps:txbx>
                        <w:txbxContent>
                          <w:p w:rsidR="00C949E3" w:rsidRDefault="00C949E3" w:rsidP="00346F63">
                            <w:pPr>
                              <w:pStyle w:val="AERfactsheetbodytext"/>
                              <w:keepNext/>
                              <w:widowControl w:val="0"/>
                            </w:pPr>
                            <w:r>
                              <w:t xml:space="preserve">Our </w:t>
                            </w:r>
                            <w:r w:rsidRPr="00346F63">
                              <w:t>approach allow</w:t>
                            </w:r>
                            <w:r>
                              <w:t>s</w:t>
                            </w:r>
                            <w:r w:rsidRPr="00346F63">
                              <w:t xml:space="preserve"> us to </w:t>
                            </w:r>
                            <w:r>
                              <w:t xml:space="preserve">determine rates of return over time that reflect </w:t>
                            </w:r>
                            <w:r w:rsidRPr="00346F63">
                              <w:t>market conditions</w:t>
                            </w:r>
                            <w:r>
                              <w:t xml:space="preserve"> and in </w:t>
                            </w:r>
                            <w:r w:rsidRPr="00346F63">
                              <w:t>the long term interest</w:t>
                            </w:r>
                            <w:r>
                              <w:t>s</w:t>
                            </w:r>
                            <w:r w:rsidRPr="00346F63">
                              <w:t xml:space="preserve"> of consumer</w:t>
                            </w:r>
                            <w:r>
                              <w:t>s</w:t>
                            </w:r>
                            <w:r w:rsidRPr="00346F63">
                              <w:t>.</w:t>
                            </w:r>
                          </w:p>
                          <w:p w:rsidR="00C949E3" w:rsidRPr="00916002" w:rsidRDefault="00C949E3" w:rsidP="00346F63">
                            <w:pPr>
                              <w:pStyle w:val="AERfactsheetbodytext"/>
                            </w:pPr>
                          </w:p>
                        </w:txbxContent>
                      </wps:txbx>
                      <wps:bodyPr rot="0" vert="horz" wrap="square" lIns="91440" tIns="45720" rIns="91440" bIns="45720" anchor="t" anchorCtr="0" upright="1">
                        <a:noAutofit/>
                      </wps:bodyPr>
                    </wps:wsp>
                  </a:graphicData>
                </a:graphic>
              </wp:inline>
            </w:drawing>
          </mc:Choice>
          <mc:Fallback>
            <w:pict>
              <v:shape id="Text Box 16" o:spid="_x0000_s1031" type="#_x0000_t202" style="width:253.1pt;height:4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" fillcolor="#dbe5f1" strokecolor="#006a99">
                <v:textbox>
                  <w:txbxContent>
                    <w:p w:rsidR="00C949E3" w:rsidRDefault="00C949E3" w:rsidP="00346F63">
                      <w:pPr>
                        <w:pStyle w:val="AERfactsheetbodytext"/>
                        <w:keepNext/>
                        <w:widowControl w:val="0"/>
                      </w:pPr>
                      <w:r>
                        <w:t xml:space="preserve">Our </w:t>
                      </w:r>
                      <w:r w:rsidRPr="00346F63">
                        <w:t>approach allow</w:t>
                      </w:r>
                      <w:r>
                        <w:t>s</w:t>
                      </w:r>
                      <w:r w:rsidRPr="00346F63">
                        <w:t xml:space="preserve"> us to </w:t>
                      </w:r>
                      <w:r>
                        <w:t xml:space="preserve">determine rates of return over time that reflect </w:t>
                      </w:r>
                      <w:r w:rsidRPr="00346F63">
                        <w:t>market conditions</w:t>
                      </w:r>
                      <w:r>
                        <w:t xml:space="preserve"> and in </w:t>
                      </w:r>
                      <w:r w:rsidRPr="00346F63">
                        <w:t>the long term interest</w:t>
                      </w:r>
                      <w:r>
                        <w:t>s</w:t>
                      </w:r>
                      <w:r w:rsidRPr="00346F63">
                        <w:t xml:space="preserve"> of consumer</w:t>
                      </w:r>
                      <w:r>
                        <w:t>s</w:t>
                      </w:r>
                      <w:r w:rsidRPr="00346F63">
                        <w:t>.</w:t>
                      </w:r>
                    </w:p>
                    <w:p w:rsidR="00C949E3" w:rsidRPr="00916002" w:rsidRDefault="00C949E3" w:rsidP="00346F63">
                      <w:pPr>
                        <w:pStyle w:val="AERfactsheetbodytext"/>
                      </w:pPr>
                    </w:p>
                  </w:txbxContent>
                </v:textbox>
                <w10:anchorlock/>
              </v:shape>
            </w:pict>
          </mc:Fallback>
        </mc:AlternateContent>
      </w:r>
    </w:p>
    <w:p w:rsidR="00117167" w:rsidRDefault="00117167" w:rsidP="00F27ABE">
      <w:pPr>
        <w:pStyle w:val="AERFactsheetHeading1"/>
        <w:keepNext w:val="0"/>
        <w:widowControl w:val="0"/>
      </w:pPr>
      <w:r>
        <w:t xml:space="preserve">How </w:t>
      </w:r>
      <w:r w:rsidR="00E674FC">
        <w:t xml:space="preserve">do </w:t>
      </w:r>
      <w:r>
        <w:t>we estimate the return on equity?</w:t>
      </w:r>
    </w:p>
    <w:p w:rsidR="00E674FC" w:rsidRDefault="00E674FC" w:rsidP="00F27ABE">
      <w:pPr>
        <w:pStyle w:val="AERfactsheetbodytext"/>
        <w:widowControl w:val="0"/>
      </w:pPr>
      <w:r>
        <w:t xml:space="preserve">Recognising there is not one </w:t>
      </w:r>
      <w:r w:rsidR="00117167" w:rsidRPr="00916002">
        <w:t>perfect model</w:t>
      </w:r>
      <w:r w:rsidR="00117167">
        <w:t xml:space="preserve"> to estimate the </w:t>
      </w:r>
      <w:r>
        <w:t>return on equity</w:t>
      </w:r>
      <w:r w:rsidR="00F13827">
        <w:t>,</w:t>
      </w:r>
      <w:r>
        <w:t xml:space="preserve"> our approach draws on a variety of models and information. </w:t>
      </w:r>
      <w:r w:rsidR="00117167">
        <w:t xml:space="preserve">Our starting point </w:t>
      </w:r>
      <w:r w:rsidR="00AA408F">
        <w:t xml:space="preserve">is </w:t>
      </w:r>
      <w:r w:rsidR="00117167" w:rsidRPr="00916002">
        <w:t xml:space="preserve">the </w:t>
      </w:r>
      <w:r w:rsidR="000864DB">
        <w:t>standard</w:t>
      </w:r>
      <w:r w:rsidR="00117167" w:rsidRPr="00916002">
        <w:t xml:space="preserve"> Capital Asset Pricing model</w:t>
      </w:r>
      <w:r w:rsidR="00DF28BC">
        <w:t xml:space="preserve"> (CAPM)</w:t>
      </w:r>
      <w:r>
        <w:t xml:space="preserve">—our </w:t>
      </w:r>
      <w:r w:rsidR="00117167">
        <w:t xml:space="preserve">‘foundation model.’ </w:t>
      </w:r>
    </w:p>
    <w:p w:rsidR="00C5335F" w:rsidRDefault="00117167" w:rsidP="00F27ABE">
      <w:pPr>
        <w:pStyle w:val="AERfactsheetbodytext"/>
        <w:widowControl w:val="0"/>
      </w:pPr>
      <w:r>
        <w:t>W</w:t>
      </w:r>
      <w:r w:rsidRPr="00916002">
        <w:t xml:space="preserve">e then use a range of models, methods, and information to inform our </w:t>
      </w:r>
      <w:r>
        <w:t xml:space="preserve">return on </w:t>
      </w:r>
      <w:r w:rsidRPr="00916002">
        <w:t>equity estimate</w:t>
      </w:r>
      <w:r w:rsidR="00E674FC">
        <w:t>. We use this information to either s</w:t>
      </w:r>
      <w:r w:rsidRPr="009032EB">
        <w:t xml:space="preserve">et the range of inputs into the </w:t>
      </w:r>
      <w:r>
        <w:t xml:space="preserve">CAPM </w:t>
      </w:r>
      <w:r w:rsidRPr="009032EB">
        <w:t>foundat</w:t>
      </w:r>
      <w:r w:rsidR="00E674FC">
        <w:t>ion model or a</w:t>
      </w:r>
      <w:r w:rsidRPr="009032EB">
        <w:t xml:space="preserve">ssist in determining </w:t>
      </w:r>
      <w:r>
        <w:t xml:space="preserve">a </w:t>
      </w:r>
      <w:r w:rsidRPr="009032EB">
        <w:t>point e</w:t>
      </w:r>
      <w:r>
        <w:t xml:space="preserve">stimate within a range of </w:t>
      </w:r>
      <w:r w:rsidRPr="00916002">
        <w:t>estimates</w:t>
      </w:r>
      <w:r>
        <w:t xml:space="preserve"> at the overall return on equity level</w:t>
      </w:r>
      <w:r w:rsidRPr="00916002">
        <w:t>.</w:t>
      </w:r>
    </w:p>
    <w:p w:rsidR="00E674FC" w:rsidRDefault="00F27ABE" w:rsidP="00F27ABE">
      <w:pPr>
        <w:pStyle w:val="AERfactsheetbodytext"/>
        <w:widowControl w:val="0"/>
      </w:pPr>
      <w:r>
        <w:rPr>
          <w:noProof/>
          <w:lang w:eastAsia="en-AU"/>
        </w:rPr>
        <mc:AlternateContent>
          <mc:Choice Requires="wps">
            <w:drawing>
              <wp:inline distT="0" distB="0" distL="0" distR="0" wp14:anchorId="3F1D3758" wp14:editId="5EE10B1A">
                <wp:extent cx="3214370" cy="558800"/>
                <wp:effectExtent l="0" t="0" r="24130" b="127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58800"/>
                        </a:xfrm>
                        <a:prstGeom prst="rect">
                          <a:avLst/>
                        </a:prstGeom>
                        <a:solidFill>
                          <a:srgbClr val="DBE5F1"/>
                        </a:solidFill>
                        <a:ln w="9525">
                          <a:solidFill>
                            <a:srgbClr val="006A99"/>
                          </a:solidFill>
                          <a:miter lim="800000"/>
                          <a:headEnd/>
                          <a:tailEnd/>
                        </a:ln>
                      </wps:spPr>
                      <wps:txbx>
                        <w:txbxContent>
                          <w:p w:rsidR="00C949E3" w:rsidRDefault="00C949E3" w:rsidP="00F27ABE">
                            <w:pPr>
                              <w:pStyle w:val="AERfactsheetbodytext"/>
                            </w:pPr>
                            <w:r>
                              <w:t>Our a</w:t>
                            </w:r>
                            <w:r w:rsidRPr="009032EB">
                              <w:t xml:space="preserve">pproach </w:t>
                            </w:r>
                            <w:r>
                              <w:t xml:space="preserve">to the return on equity balances providing predictability for investors and consumers while incorporating the latest market data. </w:t>
                            </w:r>
                          </w:p>
                          <w:p w:rsidR="00C949E3" w:rsidRDefault="00C949E3" w:rsidP="00F27ABE"/>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32" type="#_x0000_t202" style="width:253.1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" fillcolor="#dbe5f1" strokecolor="#006a99">
                <v:textbox>
                  <w:txbxContent>
                    <w:p w:rsidR="00C949E3" w:rsidRDefault="00C949E3" w:rsidP="00F27ABE">
                      <w:pPr>
                        <w:pStyle w:val="AERfactsheetbodytext"/>
                      </w:pPr>
                      <w:r>
                        <w:t>Our a</w:t>
                      </w:r>
                      <w:r w:rsidRPr="009032EB">
                        <w:t xml:space="preserve">pproach </w:t>
                      </w:r>
                      <w:r>
                        <w:t xml:space="preserve">to the return on equity balances providing predictability for investors and consumers while incorporating the latest market data. </w:t>
                      </w:r>
                    </w:p>
                    <w:p w:rsidR="00C949E3" w:rsidRDefault="00C949E3" w:rsidP="00F27ABE"/>
                  </w:txbxContent>
                </v:textbox>
                <w10:anchorlock/>
              </v:shape>
            </w:pict>
          </mc:Fallback>
        </mc:AlternateContent>
      </w:r>
    </w:p>
    <w:p w:rsidR="00E0500A" w:rsidRPr="00E0500A" w:rsidRDefault="00FA406F" w:rsidP="00F27ABE">
      <w:pPr>
        <w:pStyle w:val="AERfactsheetbulletlist"/>
        <w:widowControl w:val="0"/>
        <w:numPr>
          <w:ilvl w:val="0"/>
          <w:numId w:val="0"/>
        </w:numPr>
        <w:rPr>
          <w:rFonts w:ascii="Tunga" w:hAnsi="Tunga" w:cs="Tunga"/>
          <w:b/>
          <w:iCs/>
          <w:color w:val="006A99"/>
          <w:spacing w:val="0"/>
          <w:kern w:val="24"/>
          <w:sz w:val="24"/>
        </w:rPr>
      </w:pPr>
      <w:r w:rsidRPr="00E0500A">
        <w:rPr>
          <w:rFonts w:ascii="Tunga" w:hAnsi="Tunga" w:cs="Tunga"/>
          <w:b/>
          <w:iCs/>
          <w:noProof/>
          <w:color w:val="006A99"/>
          <w:spacing w:val="0"/>
          <w:kern w:val="24"/>
          <w:sz w:val="24"/>
          <w:lang w:eastAsia="en-AU"/>
        </w:rPr>
        <w:lastRenderedPageBreak/>
        <mc:AlternateContent>
          <mc:Choice Requires="wpc">
            <w:drawing>
              <wp:anchor distT="0" distB="36195" distL="114300" distR="114300" simplePos="0" relativeHeight="251667456" behindDoc="0" locked="0" layoutInCell="1" allowOverlap="1" wp14:anchorId="7A73C001" wp14:editId="4599E538">
                <wp:simplePos x="0" y="0"/>
                <wp:positionH relativeFrom="column">
                  <wp:posOffset>-32385</wp:posOffset>
                </wp:positionH>
                <wp:positionV relativeFrom="page">
                  <wp:posOffset>836295</wp:posOffset>
                </wp:positionV>
                <wp:extent cx="6612890" cy="3274695"/>
                <wp:effectExtent l="0" t="0" r="0" b="0"/>
                <wp:wrapTopAndBottom/>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Rectangle 34"/>
                        <wps:cNvSpPr>
                          <a:spLocks noChangeArrowheads="1"/>
                        </wps:cNvSpPr>
                        <wps:spPr bwMode="auto">
                          <a:xfrm>
                            <a:off x="36005" y="0"/>
                            <a:ext cx="4246435" cy="375285"/>
                          </a:xfrm>
                          <a:prstGeom prst="rect">
                            <a:avLst/>
                          </a:prstGeom>
                          <a:noFill/>
                          <a:ln>
                            <a:noFill/>
                          </a:ln>
                          <a:extLst>
                            <a:ext uri="{909E8E84-426E-40DD-AFC4-6F175D3DCCD1}">
                              <a14:hiddenFill xmlns:a14="http://schemas.microsoft.com/office/drawing/2010/main">
                                <a:solidFill>
                                  <a:srgbClr val="006A99"/>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rsidR="00C949E3" w:rsidRPr="004D1DC0" w:rsidRDefault="00C949E3" w:rsidP="009D246A">
                              <w:pPr>
                                <w:pStyle w:val="NormalWeb"/>
                                <w:spacing w:before="0" w:beforeAutospacing="0" w:after="0" w:afterAutospacing="0" w:line="288" w:lineRule="auto"/>
                                <w:rPr>
                                  <w:color w:val="000000" w:themeColor="text1"/>
                                </w:rPr>
                              </w:pPr>
                              <w:r>
                                <w:rPr>
                                  <w:rFonts w:ascii="Tunga" w:hAnsi="Tunga"/>
                                  <w:b/>
                                  <w:bCs/>
                                  <w:color w:val="000000" w:themeColor="text1"/>
                                  <w:kern w:val="24"/>
                                </w:rPr>
                                <w:t>Overview of the rate of return guideline</w:t>
                              </w:r>
                            </w:p>
                          </w:txbxContent>
                        </wps:txbx>
                        <wps:bodyPr rot="0" vert="horz" wrap="square" lIns="91440" tIns="36000" rIns="91440" bIns="36000" anchor="ctr" anchorCtr="0" upright="1">
                          <a:noAutofit/>
                        </wps:bodyPr>
                      </wps:wsp>
                      <wps:wsp>
                        <wps:cNvPr id="61" name="Rectangle 61"/>
                        <wps:cNvSpPr>
                          <a:spLocks noChangeArrowheads="1"/>
                        </wps:cNvSpPr>
                        <wps:spPr bwMode="auto">
                          <a:xfrm>
                            <a:off x="114949" y="1364300"/>
                            <a:ext cx="1488830" cy="1815970"/>
                          </a:xfrm>
                          <a:prstGeom prst="rect">
                            <a:avLst/>
                          </a:prstGeom>
                          <a:solidFill>
                            <a:srgbClr val="DBE5F1"/>
                          </a:solidFill>
                          <a:ln>
                            <a:noFill/>
                          </a:ln>
                          <a:extLst/>
                        </wps:spPr>
                        <wps:txbx>
                          <w:txbxContent>
                            <w:p w:rsidR="00C949E3" w:rsidRPr="008A7F44" w:rsidRDefault="00C949E3" w:rsidP="005064D7">
                              <w:pPr>
                                <w:pStyle w:val="NormalWeb"/>
                                <w:spacing w:before="0" w:beforeAutospacing="0" w:after="60" w:afterAutospacing="0" w:line="276" w:lineRule="auto"/>
                                <w:rPr>
                                  <w:rFonts w:ascii="Tunga" w:eastAsia="Calibri" w:hAnsi="Tunga" w:cs="Tunga"/>
                                  <w:b/>
                                  <w:sz w:val="16"/>
                                  <w:szCs w:val="16"/>
                                </w:rPr>
                              </w:pPr>
                              <w:r w:rsidRPr="008A7F44">
                                <w:rPr>
                                  <w:rFonts w:ascii="Tunga" w:eastAsia="Calibri" w:hAnsi="Tunga" w:cs="Tunga"/>
                                  <w:b/>
                                  <w:sz w:val="16"/>
                                  <w:szCs w:val="16"/>
                                </w:rPr>
                                <w:t xml:space="preserve">Foundation model </w:t>
                              </w:r>
                            </w:p>
                            <w:p w:rsidR="00C949E3" w:rsidRDefault="00C949E3" w:rsidP="005064D7">
                              <w:pPr>
                                <w:pStyle w:val="NormalWeb"/>
                                <w:spacing w:before="0" w:beforeAutospacing="0" w:after="60" w:afterAutospacing="0" w:line="276" w:lineRule="auto"/>
                                <w:rPr>
                                  <w:rFonts w:ascii="Tunga" w:eastAsia="Calibri" w:hAnsi="Tunga" w:cs="Tunga"/>
                                  <w:sz w:val="16"/>
                                  <w:szCs w:val="16"/>
                                </w:rPr>
                              </w:pPr>
                              <w:r w:rsidRPr="008A7F44">
                                <w:rPr>
                                  <w:rFonts w:ascii="Tunga" w:eastAsia="Calibri" w:hAnsi="Tunga" w:cs="Tunga"/>
                                  <w:sz w:val="16"/>
                                  <w:szCs w:val="16"/>
                                </w:rPr>
                                <w:t>Sharpe-</w:t>
                              </w:r>
                              <w:proofErr w:type="spellStart"/>
                              <w:r w:rsidRPr="008A7F44">
                                <w:rPr>
                                  <w:rFonts w:ascii="Tunga" w:eastAsia="Calibri" w:hAnsi="Tunga" w:cs="Tunga"/>
                                  <w:sz w:val="16"/>
                                  <w:szCs w:val="16"/>
                                </w:rPr>
                                <w:t>Lintner</w:t>
                              </w:r>
                              <w:proofErr w:type="spellEnd"/>
                              <w:r w:rsidRPr="008A7F44">
                                <w:rPr>
                                  <w:rFonts w:ascii="Tunga" w:eastAsia="Calibri" w:hAnsi="Tunga" w:cs="Tunga"/>
                                  <w:sz w:val="16"/>
                                  <w:szCs w:val="16"/>
                                </w:rPr>
                                <w:t xml:space="preserve"> Capital Asset Pricing (CAPM)</w:t>
                              </w:r>
                            </w:p>
                            <w:p w:rsidR="00C949E3" w:rsidRPr="009D246A" w:rsidRDefault="00C949E3" w:rsidP="000C712D">
                              <w:pPr>
                                <w:spacing w:after="60" w:line="276" w:lineRule="auto"/>
                                <w:rPr>
                                  <w:rFonts w:ascii="Tunga" w:hAnsi="Tunga" w:cs="Tunga"/>
                                  <w:b/>
                                  <w:bCs/>
                                  <w:sz w:val="16"/>
                                  <w:szCs w:val="16"/>
                                </w:rPr>
                              </w:pPr>
                              <w:r w:rsidRPr="009D246A">
                                <w:rPr>
                                  <w:rFonts w:ascii="Tunga" w:hAnsi="Tunga" w:cs="Tunga"/>
                                  <w:b/>
                                  <w:bCs/>
                                  <w:sz w:val="16"/>
                                  <w:szCs w:val="16"/>
                                </w:rPr>
                                <w:t xml:space="preserve">Parameters </w:t>
                              </w:r>
                            </w:p>
                            <w:p w:rsidR="00C949E3" w:rsidRPr="00193867" w:rsidRDefault="00C949E3" w:rsidP="000C712D">
                              <w:pPr>
                                <w:pStyle w:val="NormalWeb"/>
                                <w:numPr>
                                  <w:ilvl w:val="0"/>
                                  <w:numId w:val="8"/>
                                </w:numPr>
                                <w:spacing w:before="0" w:beforeAutospacing="0" w:after="0" w:afterAutospacing="0" w:line="276" w:lineRule="auto"/>
                                <w:ind w:left="284" w:hanging="284"/>
                                <w:rPr>
                                  <w:rFonts w:ascii="Tunga" w:eastAsia="Calibri" w:hAnsi="Tunga" w:cs="Tunga"/>
                                  <w:bCs/>
                                  <w:sz w:val="16"/>
                                  <w:szCs w:val="16"/>
                                </w:rPr>
                              </w:pPr>
                              <w:r>
                                <w:rPr>
                                  <w:rFonts w:ascii="Tunga" w:eastAsia="Calibri" w:hAnsi="Tunga" w:cs="Tunga"/>
                                  <w:bCs/>
                                  <w:sz w:val="16"/>
                                  <w:szCs w:val="16"/>
                                </w:rPr>
                                <w:t>Market risk premium (range</w:t>
                              </w:r>
                              <w:r w:rsidRPr="00193867">
                                <w:rPr>
                                  <w:rFonts w:ascii="Tunga" w:eastAsia="Calibri" w:hAnsi="Tunga" w:cs="Tunga"/>
                                  <w:bCs/>
                                  <w:sz w:val="16"/>
                                  <w:szCs w:val="16"/>
                                </w:rPr>
                                <w:t xml:space="preserve"> </w:t>
                              </w:r>
                              <w:r>
                                <w:rPr>
                                  <w:rFonts w:ascii="Tunga" w:eastAsia="Calibri" w:hAnsi="Tunga" w:cs="Tunga"/>
                                  <w:bCs/>
                                  <w:sz w:val="16"/>
                                  <w:szCs w:val="16"/>
                                </w:rPr>
                                <w:t xml:space="preserve">and </w:t>
                              </w:r>
                              <w:r w:rsidRPr="00193867">
                                <w:rPr>
                                  <w:rFonts w:ascii="Tunga" w:eastAsia="Calibri" w:hAnsi="Tunga" w:cs="Tunga"/>
                                  <w:bCs/>
                                  <w:sz w:val="16"/>
                                  <w:szCs w:val="16"/>
                                </w:rPr>
                                <w:t>point estimate</w:t>
                              </w:r>
                              <w:r>
                                <w:rPr>
                                  <w:rFonts w:ascii="Tunga" w:eastAsia="Calibri" w:hAnsi="Tunga" w:cs="Tunga"/>
                                  <w:bCs/>
                                  <w:sz w:val="16"/>
                                  <w:szCs w:val="16"/>
                                </w:rPr>
                                <w:t>)</w:t>
                              </w:r>
                            </w:p>
                            <w:p w:rsidR="00C949E3" w:rsidRPr="00193867" w:rsidRDefault="00C949E3" w:rsidP="000C712D">
                              <w:pPr>
                                <w:pStyle w:val="NormalWeb"/>
                                <w:numPr>
                                  <w:ilvl w:val="0"/>
                                  <w:numId w:val="8"/>
                                </w:numPr>
                                <w:spacing w:before="0" w:beforeAutospacing="0" w:after="0" w:afterAutospacing="0" w:line="276" w:lineRule="auto"/>
                                <w:ind w:left="284" w:hanging="284"/>
                                <w:rPr>
                                  <w:rFonts w:ascii="Tunga" w:eastAsia="Calibri" w:hAnsi="Tunga" w:cs="Tunga"/>
                                  <w:bCs/>
                                  <w:sz w:val="16"/>
                                  <w:szCs w:val="16"/>
                                </w:rPr>
                              </w:pPr>
                              <w:r w:rsidRPr="00193867">
                                <w:rPr>
                                  <w:rFonts w:ascii="Tunga" w:eastAsia="Calibri" w:hAnsi="Tunga" w:cs="Tunga"/>
                                  <w:bCs/>
                                  <w:sz w:val="16"/>
                                  <w:szCs w:val="16"/>
                                </w:rPr>
                                <w:t>Equity beta</w:t>
                              </w:r>
                              <w:r>
                                <w:rPr>
                                  <w:rFonts w:ascii="Tunga" w:eastAsia="Calibri" w:hAnsi="Tunga" w:cs="Tunga"/>
                                  <w:bCs/>
                                  <w:sz w:val="16"/>
                                  <w:szCs w:val="16"/>
                                </w:rPr>
                                <w:t xml:space="preserve"> (range</w:t>
                              </w:r>
                              <w:r w:rsidRPr="00193867">
                                <w:rPr>
                                  <w:rFonts w:ascii="Tunga" w:eastAsia="Calibri" w:hAnsi="Tunga" w:cs="Tunga"/>
                                  <w:bCs/>
                                  <w:sz w:val="16"/>
                                  <w:szCs w:val="16"/>
                                </w:rPr>
                                <w:t xml:space="preserve"> </w:t>
                              </w:r>
                              <w:r>
                                <w:rPr>
                                  <w:rFonts w:ascii="Tunga" w:eastAsia="Calibri" w:hAnsi="Tunga" w:cs="Tunga"/>
                                  <w:bCs/>
                                  <w:sz w:val="16"/>
                                  <w:szCs w:val="16"/>
                                </w:rPr>
                                <w:t xml:space="preserve">and </w:t>
                              </w:r>
                              <w:r w:rsidRPr="00193867">
                                <w:rPr>
                                  <w:rFonts w:ascii="Tunga" w:eastAsia="Calibri" w:hAnsi="Tunga" w:cs="Tunga"/>
                                  <w:bCs/>
                                  <w:sz w:val="16"/>
                                  <w:szCs w:val="16"/>
                                </w:rPr>
                                <w:t>point estimate</w:t>
                              </w:r>
                              <w:r>
                                <w:rPr>
                                  <w:rFonts w:ascii="Tunga" w:eastAsia="Calibri" w:hAnsi="Tunga" w:cs="Tunga"/>
                                  <w:bCs/>
                                  <w:sz w:val="16"/>
                                  <w:szCs w:val="16"/>
                                </w:rPr>
                                <w:t>)</w:t>
                              </w:r>
                            </w:p>
                            <w:p w:rsidR="00C949E3" w:rsidRPr="004C5F9A" w:rsidRDefault="00C949E3" w:rsidP="000C712D">
                              <w:pPr>
                                <w:pStyle w:val="NormalWeb"/>
                                <w:numPr>
                                  <w:ilvl w:val="0"/>
                                  <w:numId w:val="8"/>
                                </w:numPr>
                                <w:spacing w:before="0" w:beforeAutospacing="0" w:after="0" w:afterAutospacing="0" w:line="276" w:lineRule="auto"/>
                                <w:ind w:left="284" w:hanging="284"/>
                                <w:rPr>
                                  <w:sz w:val="16"/>
                                  <w:szCs w:val="16"/>
                                </w:rPr>
                              </w:pPr>
                              <w:r w:rsidRPr="000C025A">
                                <w:rPr>
                                  <w:rFonts w:ascii="Tunga" w:eastAsia="Calibri" w:hAnsi="Tunga" w:cs="Tunga"/>
                                  <w:bCs/>
                                  <w:sz w:val="16"/>
                                  <w:szCs w:val="16"/>
                                </w:rPr>
                                <w:t>Risk free rate</w:t>
                              </w:r>
                              <w:r>
                                <w:rPr>
                                  <w:rFonts w:ascii="Tunga" w:eastAsia="Calibri" w:hAnsi="Tunga" w:cs="Tunga"/>
                                  <w:bCs/>
                                  <w:sz w:val="16"/>
                                  <w:szCs w:val="16"/>
                                </w:rPr>
                                <w:t xml:space="preserve"> (</w:t>
                              </w:r>
                              <w:r w:rsidRPr="000C025A">
                                <w:rPr>
                                  <w:rFonts w:ascii="Tunga" w:eastAsia="Calibri" w:hAnsi="Tunga" w:cs="Tunga"/>
                                  <w:bCs/>
                                  <w:sz w:val="16"/>
                                  <w:szCs w:val="16"/>
                                </w:rPr>
                                <w:t>point estimate</w:t>
                              </w:r>
                              <w:r>
                                <w:rPr>
                                  <w:rFonts w:ascii="Tunga" w:eastAsia="Calibri" w:hAnsi="Tunga" w:cs="Tunga"/>
                                  <w:bCs/>
                                  <w:sz w:val="16"/>
                                  <w:szCs w:val="16"/>
                                </w:rPr>
                                <w:t>)</w:t>
                              </w:r>
                            </w:p>
                            <w:p w:rsidR="00C949E3" w:rsidRPr="000C025A" w:rsidRDefault="00C949E3" w:rsidP="000C712D">
                              <w:pPr>
                                <w:pStyle w:val="NormalWeb"/>
                                <w:numPr>
                                  <w:ilvl w:val="0"/>
                                  <w:numId w:val="8"/>
                                </w:numPr>
                                <w:spacing w:before="0" w:beforeAutospacing="0" w:after="0" w:afterAutospacing="0" w:line="276" w:lineRule="auto"/>
                                <w:ind w:left="284" w:hanging="284"/>
                                <w:rPr>
                                  <w:sz w:val="16"/>
                                  <w:szCs w:val="16"/>
                                </w:rPr>
                              </w:pPr>
                              <w:r>
                                <w:rPr>
                                  <w:rFonts w:ascii="Tunga" w:eastAsia="Calibri" w:hAnsi="Tunga" w:cs="Tunga"/>
                                  <w:bCs/>
                                  <w:sz w:val="16"/>
                                  <w:szCs w:val="16"/>
                                </w:rPr>
                                <w:t>Ten year term</w:t>
                              </w:r>
                            </w:p>
                            <w:p w:rsidR="00C949E3" w:rsidRDefault="00C949E3" w:rsidP="005064D7">
                              <w:pPr>
                                <w:pStyle w:val="NormalWeb"/>
                                <w:spacing w:before="0" w:beforeAutospacing="0" w:after="60" w:afterAutospacing="0" w:line="276" w:lineRule="auto"/>
                              </w:pPr>
                            </w:p>
                          </w:txbxContent>
                        </wps:txbx>
                        <wps:bodyPr rot="0" vert="horz" wrap="square" lIns="91440" tIns="36000" rIns="91440" bIns="36000" anchor="ctr" anchorCtr="0" upright="1">
                          <a:noAutofit/>
                        </wps:bodyPr>
                      </wps:wsp>
                      <wps:wsp>
                        <wps:cNvPr id="47" name="Rectangle 47"/>
                        <wps:cNvSpPr>
                          <a:spLocks noChangeArrowheads="1"/>
                        </wps:cNvSpPr>
                        <wps:spPr bwMode="auto">
                          <a:xfrm>
                            <a:off x="2373002" y="351669"/>
                            <a:ext cx="2255270" cy="281377"/>
                          </a:xfrm>
                          <a:prstGeom prst="rect">
                            <a:avLst/>
                          </a:prstGeom>
                          <a:solidFill>
                            <a:srgbClr val="006C99"/>
                          </a:solidFill>
                          <a:ln w="19050">
                            <a:solidFill>
                              <a:schemeClr val="tx1"/>
                            </a:solidFill>
                          </a:ln>
                          <a:extLst/>
                        </wps:spPr>
                        <wps:txbx>
                          <w:txbxContent>
                            <w:p w:rsidR="00C949E3" w:rsidRPr="00BB6ACB" w:rsidRDefault="00C949E3" w:rsidP="009D246A">
                              <w:pPr>
                                <w:pStyle w:val="NormalWeb"/>
                                <w:spacing w:before="0" w:beforeAutospacing="0" w:after="0" w:afterAutospacing="0" w:line="276" w:lineRule="auto"/>
                                <w:jc w:val="center"/>
                              </w:pPr>
                              <w:r w:rsidRPr="00BB6ACB">
                                <w:rPr>
                                  <w:rFonts w:ascii="Tunga" w:eastAsia="Calibri" w:hAnsi="Tunga" w:cs="Tunga"/>
                                  <w:b/>
                                  <w:color w:val="FFFFFF"/>
                                  <w:sz w:val="16"/>
                                  <w:szCs w:val="16"/>
                                </w:rPr>
                                <w:t xml:space="preserve">Rate of return </w:t>
                              </w:r>
                              <w:r w:rsidRPr="00BB6ACB">
                                <w:rPr>
                                  <w:rFonts w:ascii="Tunga" w:eastAsia="Calibri" w:hAnsi="Tunga" w:cs="Tunga"/>
                                  <w:color w:val="FFFFFF"/>
                                  <w:sz w:val="16"/>
                                  <w:szCs w:val="16"/>
                                </w:rPr>
                                <w:t>(</w:t>
                              </w:r>
                              <w:r>
                                <w:rPr>
                                  <w:rFonts w:ascii="Tunga" w:eastAsia="Calibri" w:hAnsi="Tunga" w:cs="Tunga"/>
                                  <w:color w:val="FFFFFF"/>
                                  <w:sz w:val="16"/>
                                  <w:szCs w:val="16"/>
                                </w:rPr>
                                <w:t>the ‘</w:t>
                              </w:r>
                              <w:r w:rsidRPr="00BB6ACB">
                                <w:rPr>
                                  <w:rFonts w:ascii="Tunga" w:eastAsia="Calibri" w:hAnsi="Tunga" w:cs="Tunga"/>
                                  <w:color w:val="FFFFFF"/>
                                  <w:sz w:val="16"/>
                                  <w:szCs w:val="16"/>
                                </w:rPr>
                                <w:t>nominal vanilla WACC</w:t>
                              </w:r>
                              <w:r>
                                <w:rPr>
                                  <w:rFonts w:ascii="Tunga" w:eastAsia="Calibri" w:hAnsi="Tunga" w:cs="Tunga"/>
                                  <w:color w:val="FFFFFF"/>
                                  <w:sz w:val="16"/>
                                  <w:szCs w:val="16"/>
                                </w:rPr>
                                <w:t>’</w:t>
                              </w:r>
                              <w:r w:rsidRPr="00BB6ACB">
                                <w:rPr>
                                  <w:rFonts w:ascii="Tunga" w:eastAsia="Calibri" w:hAnsi="Tunga" w:cs="Tunga"/>
                                  <w:color w:val="FFFFFF"/>
                                  <w:sz w:val="16"/>
                                  <w:szCs w:val="16"/>
                                </w:rPr>
                                <w:t>)</w:t>
                              </w:r>
                            </w:p>
                          </w:txbxContent>
                        </wps:txbx>
                        <wps:bodyPr rot="0" vert="horz" wrap="square" lIns="91440" tIns="36000" rIns="91440" bIns="36000" anchor="ctr" anchorCtr="0" upright="1">
                          <a:noAutofit/>
                        </wps:bodyPr>
                      </wps:wsp>
                      <wps:wsp>
                        <wps:cNvPr id="49" name="Rounded Rectangle 49"/>
                        <wps:cNvSpPr>
                          <a:spLocks noChangeArrowheads="1"/>
                        </wps:cNvSpPr>
                        <wps:spPr bwMode="auto">
                          <a:xfrm>
                            <a:off x="446343" y="769760"/>
                            <a:ext cx="2010300" cy="426719"/>
                          </a:xfrm>
                          <a:prstGeom prst="roundRect">
                            <a:avLst/>
                          </a:prstGeom>
                          <a:solidFill>
                            <a:srgbClr val="006C99"/>
                          </a:solidFill>
                          <a:ln>
                            <a:noFill/>
                          </a:ln>
                          <a:extLst/>
                        </wps:spPr>
                        <wps:txbx>
                          <w:txbxContent>
                            <w:p w:rsidR="00C949E3" w:rsidRDefault="00C949E3" w:rsidP="0055584F">
                              <w:pPr>
                                <w:pStyle w:val="NormalWeb"/>
                                <w:spacing w:before="0" w:beforeAutospacing="0" w:after="60" w:afterAutospacing="0" w:line="276" w:lineRule="auto"/>
                                <w:jc w:val="center"/>
                                <w:rPr>
                                  <w:rFonts w:ascii="Tunga" w:eastAsia="Calibri" w:hAnsi="Tunga" w:cs="Tunga"/>
                                  <w:color w:val="FFFFFF"/>
                                  <w:sz w:val="16"/>
                                  <w:szCs w:val="16"/>
                                </w:rPr>
                              </w:pPr>
                              <w:r>
                                <w:rPr>
                                  <w:rFonts w:ascii="Tunga" w:eastAsia="Calibri" w:hAnsi="Tunga" w:cs="Tunga"/>
                                  <w:b/>
                                  <w:color w:val="FFFFFF"/>
                                  <w:sz w:val="16"/>
                                  <w:szCs w:val="16"/>
                                </w:rPr>
                                <w:t>Return on</w:t>
                              </w:r>
                              <w:r w:rsidRPr="008A7F44">
                                <w:rPr>
                                  <w:rFonts w:ascii="Tunga" w:eastAsia="Calibri" w:hAnsi="Tunga" w:cs="Tunga"/>
                                  <w:b/>
                                  <w:color w:val="FFFFFF"/>
                                  <w:sz w:val="16"/>
                                  <w:szCs w:val="16"/>
                                </w:rPr>
                                <w:t xml:space="preserve"> equity </w:t>
                              </w:r>
                              <w:r w:rsidRPr="008A7F44">
                                <w:rPr>
                                  <w:rFonts w:ascii="Tunga" w:eastAsia="Calibri" w:hAnsi="Tunga" w:cs="Tunga"/>
                                  <w:color w:val="FFFFFF"/>
                                  <w:sz w:val="16"/>
                                  <w:szCs w:val="16"/>
                                </w:rPr>
                                <w:t>(40%)</w:t>
                              </w:r>
                            </w:p>
                            <w:p w:rsidR="00C949E3" w:rsidRPr="009D246A" w:rsidRDefault="00C949E3" w:rsidP="0055584F">
                              <w:pPr>
                                <w:pStyle w:val="NormalWeb"/>
                                <w:spacing w:before="0" w:beforeAutospacing="0" w:after="60" w:afterAutospacing="0" w:line="276" w:lineRule="auto"/>
                                <w:jc w:val="center"/>
                                <w:rPr>
                                  <w:rFonts w:ascii="Tunga" w:eastAsia="Calibri" w:hAnsi="Tunga" w:cs="Tunga"/>
                                  <w:color w:val="FFFFFF"/>
                                  <w:sz w:val="16"/>
                                  <w:szCs w:val="16"/>
                                </w:rPr>
                              </w:pPr>
                              <w:r>
                                <w:rPr>
                                  <w:rFonts w:ascii="Tunga" w:eastAsia="Calibri" w:hAnsi="Tunga" w:cs="Tunga"/>
                                  <w:color w:val="FFFFFF"/>
                                  <w:sz w:val="16"/>
                                  <w:szCs w:val="16"/>
                                </w:rPr>
                                <w:t xml:space="preserve">Funds </w:t>
                              </w:r>
                              <w:proofErr w:type="gramStart"/>
                              <w:r>
                                <w:rPr>
                                  <w:rFonts w:ascii="Tunga" w:eastAsia="Calibri" w:hAnsi="Tunga" w:cs="Tunga"/>
                                  <w:color w:val="FFFFFF"/>
                                  <w:sz w:val="16"/>
                                  <w:szCs w:val="16"/>
                                </w:rPr>
                                <w:t>raised</w:t>
                              </w:r>
                              <w:proofErr w:type="gramEnd"/>
                              <w:r>
                                <w:rPr>
                                  <w:rFonts w:ascii="Tunga" w:eastAsia="Calibri" w:hAnsi="Tunga" w:cs="Tunga"/>
                                  <w:color w:val="FFFFFF"/>
                                  <w:sz w:val="16"/>
                                  <w:szCs w:val="16"/>
                                </w:rPr>
                                <w:t xml:space="preserve"> from the market/investors</w:t>
                              </w:r>
                            </w:p>
                          </w:txbxContent>
                        </wps:txbx>
                        <wps:bodyPr rot="0" vert="horz" wrap="square" lIns="91440" tIns="36000" rIns="91440" bIns="36000" anchor="ctr" anchorCtr="0" upright="1">
                          <a:noAutofit/>
                        </wps:bodyPr>
                      </wps:wsp>
                      <wps:wsp>
                        <wps:cNvPr id="50" name="Elbow Connector 50"/>
                        <wps:cNvCnPr>
                          <a:stCxn id="49" idx="0"/>
                          <a:endCxn id="47" idx="1"/>
                        </wps:cNvCnPr>
                        <wps:spPr>
                          <a:xfrm rot="5400000" flipH="1" flipV="1">
                            <a:off x="1773546" y="170305"/>
                            <a:ext cx="277402" cy="921509"/>
                          </a:xfrm>
                          <a:prstGeom prst="bentConnector2">
                            <a:avLst/>
                          </a:prstGeom>
                          <a:ln w="12700">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Rectangle 23"/>
                        <wps:cNvSpPr>
                          <a:spLocks noChangeArrowheads="1"/>
                        </wps:cNvSpPr>
                        <wps:spPr bwMode="auto">
                          <a:xfrm>
                            <a:off x="3348215" y="1379128"/>
                            <a:ext cx="1749861" cy="757243"/>
                          </a:xfrm>
                          <a:prstGeom prst="rect">
                            <a:avLst/>
                          </a:prstGeom>
                          <a:solidFill>
                            <a:srgbClr val="DBE5F1"/>
                          </a:solidFill>
                          <a:ln>
                            <a:noFill/>
                          </a:ln>
                          <a:extLst/>
                        </wps:spPr>
                        <wps:txbx>
                          <w:txbxContent>
                            <w:p w:rsidR="00C949E3" w:rsidRDefault="00C949E3" w:rsidP="005064D7">
                              <w:pPr>
                                <w:pStyle w:val="NormalWeb"/>
                                <w:spacing w:before="0" w:beforeAutospacing="0" w:after="60" w:afterAutospacing="0" w:line="276" w:lineRule="auto"/>
                                <w:rPr>
                                  <w:rFonts w:ascii="Tunga" w:eastAsia="Calibri" w:hAnsi="Tunga" w:cs="Tunga"/>
                                  <w:b/>
                                  <w:bCs/>
                                  <w:sz w:val="16"/>
                                  <w:szCs w:val="16"/>
                                </w:rPr>
                              </w:pPr>
                              <w:r>
                                <w:rPr>
                                  <w:rFonts w:ascii="Tunga" w:eastAsia="Calibri" w:hAnsi="Tunga" w:cs="Tunga"/>
                                  <w:b/>
                                  <w:bCs/>
                                  <w:sz w:val="16"/>
                                  <w:szCs w:val="16"/>
                                </w:rPr>
                                <w:t xml:space="preserve">Trailing average portfolio approach </w:t>
                              </w:r>
                            </w:p>
                            <w:p w:rsidR="00C949E3" w:rsidRDefault="00C949E3" w:rsidP="005064D7">
                              <w:pPr>
                                <w:pStyle w:val="NormalWeb"/>
                                <w:spacing w:before="0" w:beforeAutospacing="0" w:after="60" w:afterAutospacing="0" w:line="276" w:lineRule="auto"/>
                              </w:pPr>
                              <w:r w:rsidRPr="004C5F9A">
                                <w:rPr>
                                  <w:rFonts w:ascii="Tunga" w:eastAsia="Calibri" w:hAnsi="Tunga" w:cs="Tunga"/>
                                  <w:bCs/>
                                  <w:sz w:val="16"/>
                                  <w:szCs w:val="16"/>
                                </w:rPr>
                                <w:t>F</w:t>
                              </w:r>
                              <w:r w:rsidRPr="00960E54">
                                <w:rPr>
                                  <w:rFonts w:ascii="Tunga" w:eastAsia="Calibri" w:hAnsi="Tunga" w:cs="Tunga"/>
                                  <w:bCs/>
                                  <w:sz w:val="16"/>
                                  <w:szCs w:val="16"/>
                                </w:rPr>
                                <w:t xml:space="preserve">or a debt portfolio with a proposed benchmark term of debt of </w:t>
                              </w:r>
                              <w:r>
                                <w:rPr>
                                  <w:rFonts w:ascii="Tunga" w:eastAsia="Calibri" w:hAnsi="Tunga" w:cs="Tunga"/>
                                  <w:bCs/>
                                  <w:sz w:val="16"/>
                                  <w:szCs w:val="16"/>
                                </w:rPr>
                                <w:t>ten</w:t>
                              </w:r>
                              <w:r w:rsidRPr="00960E54">
                                <w:rPr>
                                  <w:rFonts w:ascii="Tunga" w:eastAsia="Calibri" w:hAnsi="Tunga" w:cs="Tunga"/>
                                  <w:bCs/>
                                  <w:sz w:val="16"/>
                                  <w:szCs w:val="16"/>
                                </w:rPr>
                                <w:t xml:space="preserve"> years</w:t>
                              </w:r>
                              <w:r w:rsidRPr="00960E54">
                                <w:rPr>
                                  <w:rFonts w:ascii="Tunga" w:eastAsia="Calibri" w:hAnsi="Tunga" w:cs="Tunga"/>
                                  <w:b/>
                                  <w:bCs/>
                                  <w:sz w:val="16"/>
                                  <w:szCs w:val="16"/>
                                </w:rPr>
                                <w:t xml:space="preserve"> </w:t>
                              </w:r>
                            </w:p>
                          </w:txbxContent>
                        </wps:txbx>
                        <wps:bodyPr rot="0" vert="horz" wrap="square" lIns="91440" tIns="36000" rIns="91440" bIns="36000" anchor="ctr" anchorCtr="0" upright="1">
                          <a:noAutofit/>
                        </wps:bodyPr>
                      </wps:wsp>
                      <wps:wsp>
                        <wps:cNvPr id="24" name="Rectangle 24"/>
                        <wps:cNvSpPr>
                          <a:spLocks noChangeArrowheads="1"/>
                        </wps:cNvSpPr>
                        <wps:spPr bwMode="auto">
                          <a:xfrm>
                            <a:off x="5266543" y="1987499"/>
                            <a:ext cx="1253293" cy="668237"/>
                          </a:xfrm>
                          <a:prstGeom prst="rect">
                            <a:avLst/>
                          </a:prstGeom>
                          <a:solidFill>
                            <a:srgbClr val="DBE5F1"/>
                          </a:solidFill>
                          <a:ln>
                            <a:noFill/>
                          </a:ln>
                          <a:extLst/>
                        </wps:spPr>
                        <wps:txbx>
                          <w:txbxContent>
                            <w:p w:rsidR="00C949E3" w:rsidRDefault="00C949E3" w:rsidP="00BA42E7">
                              <w:pPr>
                                <w:pStyle w:val="NormalWeb"/>
                                <w:spacing w:before="0" w:beforeAutospacing="0" w:after="0" w:afterAutospacing="0" w:line="276" w:lineRule="auto"/>
                                <w:jc w:val="center"/>
                              </w:pPr>
                              <w:r>
                                <w:rPr>
                                  <w:rFonts w:ascii="Tunga" w:eastAsia="Calibri" w:hAnsi="Tunga" w:cs="Tunga"/>
                                  <w:b/>
                                  <w:bCs/>
                                  <w:sz w:val="16"/>
                                  <w:szCs w:val="16"/>
                                </w:rPr>
                                <w:t>Consideration of a range of evidence leading to a current point estimate of 0.5</w:t>
                              </w:r>
                            </w:p>
                          </w:txbxContent>
                        </wps:txbx>
                        <wps:bodyPr rot="0" vert="horz" wrap="square" lIns="91440" tIns="36000" rIns="91440" bIns="36000" anchor="ctr" anchorCtr="0" upright="1">
                          <a:noAutofit/>
                        </wps:bodyPr>
                      </wps:wsp>
                      <wps:wsp>
                        <wps:cNvPr id="25" name="Rounded Rectangle 25"/>
                        <wps:cNvSpPr>
                          <a:spLocks noChangeArrowheads="1"/>
                        </wps:cNvSpPr>
                        <wps:spPr bwMode="auto">
                          <a:xfrm>
                            <a:off x="2850887" y="769760"/>
                            <a:ext cx="2008800" cy="428400"/>
                          </a:xfrm>
                          <a:prstGeom prst="roundRect">
                            <a:avLst/>
                          </a:prstGeom>
                          <a:solidFill>
                            <a:srgbClr val="006C99"/>
                          </a:solidFill>
                          <a:ln>
                            <a:noFill/>
                          </a:ln>
                          <a:extLst/>
                        </wps:spPr>
                        <wps:txbx>
                          <w:txbxContent>
                            <w:p w:rsidR="00C949E3" w:rsidRDefault="00C949E3" w:rsidP="0055584F">
                              <w:pPr>
                                <w:pStyle w:val="NormalWeb"/>
                                <w:spacing w:before="0" w:beforeAutospacing="0" w:after="60" w:afterAutospacing="0" w:line="276" w:lineRule="auto"/>
                                <w:jc w:val="center"/>
                              </w:pPr>
                              <w:r>
                                <w:rPr>
                                  <w:rFonts w:ascii="Tunga" w:eastAsia="Calibri" w:hAnsi="Tunga" w:cs="Tunga"/>
                                  <w:b/>
                                  <w:bCs/>
                                  <w:color w:val="FFFFFF"/>
                                  <w:sz w:val="16"/>
                                  <w:szCs w:val="16"/>
                                </w:rPr>
                                <w:t xml:space="preserve">Return on debt </w:t>
                              </w:r>
                              <w:r>
                                <w:rPr>
                                  <w:rFonts w:ascii="Tunga" w:eastAsia="Calibri" w:hAnsi="Tunga" w:cs="Tunga"/>
                                  <w:color w:val="FFFFFF"/>
                                  <w:sz w:val="16"/>
                                  <w:szCs w:val="16"/>
                                </w:rPr>
                                <w:t>(60%)</w:t>
                              </w:r>
                            </w:p>
                            <w:p w:rsidR="00C949E3" w:rsidRDefault="00C949E3" w:rsidP="0055584F">
                              <w:pPr>
                                <w:pStyle w:val="NormalWeb"/>
                                <w:spacing w:before="0" w:beforeAutospacing="0" w:after="60" w:afterAutospacing="0" w:line="276" w:lineRule="auto"/>
                                <w:jc w:val="center"/>
                              </w:pPr>
                              <w:r>
                                <w:rPr>
                                  <w:rFonts w:ascii="Tunga" w:eastAsia="Calibri" w:hAnsi="Tunga" w:cs="Tunga"/>
                                  <w:color w:val="FFFFFF"/>
                                  <w:sz w:val="16"/>
                                  <w:szCs w:val="16"/>
                                </w:rPr>
                                <w:t xml:space="preserve">Funds </w:t>
                              </w:r>
                              <w:proofErr w:type="gramStart"/>
                              <w:r>
                                <w:rPr>
                                  <w:rFonts w:ascii="Tunga" w:eastAsia="Calibri" w:hAnsi="Tunga" w:cs="Tunga"/>
                                  <w:color w:val="FFFFFF"/>
                                  <w:sz w:val="16"/>
                                  <w:szCs w:val="16"/>
                                </w:rPr>
                                <w:t>raised</w:t>
                              </w:r>
                              <w:proofErr w:type="gramEnd"/>
                              <w:r>
                                <w:rPr>
                                  <w:rFonts w:ascii="Tunga" w:eastAsia="Calibri" w:hAnsi="Tunga" w:cs="Tunga"/>
                                  <w:color w:val="FFFFFF"/>
                                  <w:sz w:val="16"/>
                                  <w:szCs w:val="16"/>
                                </w:rPr>
                                <w:t xml:space="preserve"> from borrowing</w:t>
                              </w:r>
                            </w:p>
                          </w:txbxContent>
                        </wps:txbx>
                        <wps:bodyPr rot="0" vert="horz" wrap="square" lIns="91440" tIns="36000" rIns="91440" bIns="36000" anchor="ctr" anchorCtr="0" upright="1">
                          <a:noAutofit/>
                        </wps:bodyPr>
                      </wps:wsp>
                      <wps:wsp>
                        <wps:cNvPr id="30" name="Rounded Rectangle 30"/>
                        <wps:cNvSpPr>
                          <a:spLocks noChangeArrowheads="1"/>
                        </wps:cNvSpPr>
                        <wps:spPr bwMode="auto">
                          <a:xfrm>
                            <a:off x="5243683" y="688898"/>
                            <a:ext cx="1302643" cy="995122"/>
                          </a:xfrm>
                          <a:prstGeom prst="roundRect">
                            <a:avLst/>
                          </a:prstGeom>
                          <a:solidFill>
                            <a:srgbClr val="006C99"/>
                          </a:solidFill>
                          <a:ln>
                            <a:noFill/>
                          </a:ln>
                          <a:extLst/>
                        </wps:spPr>
                        <wps:txbx>
                          <w:txbxContent>
                            <w:p w:rsidR="00C949E3" w:rsidRDefault="00C949E3" w:rsidP="0055584F">
                              <w:pPr>
                                <w:pStyle w:val="NormalWeb"/>
                                <w:spacing w:before="0" w:beforeAutospacing="0" w:after="60" w:afterAutospacing="0" w:line="276" w:lineRule="auto"/>
                                <w:jc w:val="center"/>
                                <w:rPr>
                                  <w:rFonts w:ascii="Tunga" w:eastAsia="Calibri" w:hAnsi="Tunga" w:cs="Tunga"/>
                                  <w:b/>
                                  <w:color w:val="FFFFFF"/>
                                  <w:sz w:val="16"/>
                                  <w:szCs w:val="16"/>
                                </w:rPr>
                              </w:pPr>
                              <w:r w:rsidRPr="0055584F">
                                <w:rPr>
                                  <w:rFonts w:ascii="Tunga" w:eastAsia="Calibri" w:hAnsi="Tunga" w:cs="Tunga"/>
                                  <w:b/>
                                  <w:color w:val="FFFFFF"/>
                                  <w:sz w:val="16"/>
                                  <w:szCs w:val="16"/>
                                </w:rPr>
                                <w:t xml:space="preserve">Imputation credits </w:t>
                              </w:r>
                              <w:r w:rsidRPr="0055584F">
                                <w:rPr>
                                  <w:rFonts w:ascii="Tunga" w:eastAsia="Calibri" w:hAnsi="Tunga" w:cs="Tunga"/>
                                  <w:color w:val="FFFFFF"/>
                                  <w:sz w:val="16"/>
                                  <w:szCs w:val="16"/>
                                </w:rPr>
                                <w:t>(</w:t>
                              </w:r>
                              <w:r>
                                <w:rPr>
                                  <w:rFonts w:ascii="Tunga" w:eastAsia="Calibri" w:hAnsi="Tunga" w:cs="Tunga"/>
                                  <w:color w:val="FFFFFF"/>
                                  <w:sz w:val="16"/>
                                  <w:szCs w:val="16"/>
                                </w:rPr>
                                <w:t>‘</w:t>
                              </w:r>
                              <w:r w:rsidRPr="0055584F">
                                <w:rPr>
                                  <w:rFonts w:ascii="Tunga" w:eastAsia="Calibri" w:hAnsi="Tunga" w:cs="Tunga"/>
                                  <w:color w:val="FFFFFF"/>
                                  <w:sz w:val="16"/>
                                  <w:szCs w:val="16"/>
                                </w:rPr>
                                <w:t>gamma</w:t>
                              </w:r>
                              <w:r>
                                <w:rPr>
                                  <w:rFonts w:ascii="Tunga" w:eastAsia="Calibri" w:hAnsi="Tunga" w:cs="Tunga"/>
                                  <w:color w:val="FFFFFF"/>
                                  <w:sz w:val="16"/>
                                  <w:szCs w:val="16"/>
                                </w:rPr>
                                <w:t>’</w:t>
                              </w:r>
                              <w:r w:rsidRPr="0055584F">
                                <w:rPr>
                                  <w:rFonts w:ascii="Tunga" w:eastAsia="Calibri" w:hAnsi="Tunga" w:cs="Tunga"/>
                                  <w:color w:val="FFFFFF"/>
                                  <w:sz w:val="16"/>
                                  <w:szCs w:val="16"/>
                                </w:rPr>
                                <w:t>)</w:t>
                              </w:r>
                            </w:p>
                            <w:p w:rsidR="00C949E3" w:rsidRPr="0055584F" w:rsidRDefault="00C949E3" w:rsidP="0055584F">
                              <w:pPr>
                                <w:pStyle w:val="NormalWeb"/>
                                <w:spacing w:before="0" w:beforeAutospacing="0" w:after="0" w:afterAutospacing="0" w:line="276" w:lineRule="auto"/>
                                <w:jc w:val="center"/>
                                <w:rPr>
                                  <w:rFonts w:ascii="Tunga" w:eastAsia="Calibri" w:hAnsi="Tunga" w:cs="Tunga"/>
                                  <w:b/>
                                  <w:color w:val="FFFFFF"/>
                                  <w:sz w:val="16"/>
                                  <w:szCs w:val="16"/>
                                </w:rPr>
                              </w:pPr>
                              <w:proofErr w:type="gramStart"/>
                              <w:r>
                                <w:rPr>
                                  <w:rFonts w:ascii="Tunga" w:eastAsia="Calibri" w:hAnsi="Tunga" w:cs="Tunga"/>
                                  <w:color w:val="FFFFFF"/>
                                  <w:sz w:val="16"/>
                                  <w:szCs w:val="16"/>
                                </w:rPr>
                                <w:t>A</w:t>
                              </w:r>
                              <w:r w:rsidRPr="0055584F">
                                <w:rPr>
                                  <w:rFonts w:ascii="Tunga" w:eastAsia="Calibri" w:hAnsi="Tunga" w:cs="Tunga"/>
                                  <w:color w:val="FFFFFF"/>
                                  <w:sz w:val="16"/>
                                  <w:szCs w:val="16"/>
                                </w:rPr>
                                <w:t>ffect</w:t>
                              </w:r>
                              <w:r>
                                <w:rPr>
                                  <w:rFonts w:ascii="Tunga" w:eastAsia="Calibri" w:hAnsi="Tunga" w:cs="Tunga"/>
                                  <w:color w:val="FFFFFF"/>
                                  <w:sz w:val="16"/>
                                  <w:szCs w:val="16"/>
                                </w:rPr>
                                <w:t>s</w:t>
                              </w:r>
                              <w:r w:rsidRPr="0055584F">
                                <w:rPr>
                                  <w:rFonts w:ascii="Tunga" w:eastAsia="Calibri" w:hAnsi="Tunga" w:cs="Tunga"/>
                                  <w:color w:val="FFFFFF"/>
                                  <w:sz w:val="16"/>
                                  <w:szCs w:val="16"/>
                                </w:rPr>
                                <w:t xml:space="preserve"> a business’ revenue through </w:t>
                              </w:r>
                              <w:r>
                                <w:rPr>
                                  <w:rFonts w:ascii="Tunga" w:eastAsia="Calibri" w:hAnsi="Tunga" w:cs="Tunga"/>
                                  <w:color w:val="FFFFFF"/>
                                  <w:sz w:val="16"/>
                                  <w:szCs w:val="16"/>
                                </w:rPr>
                                <w:t xml:space="preserve">adjustments to </w:t>
                              </w:r>
                              <w:r w:rsidRPr="0055584F">
                                <w:rPr>
                                  <w:rFonts w:ascii="Tunga" w:eastAsia="Calibri" w:hAnsi="Tunga" w:cs="Tunga"/>
                                  <w:color w:val="FFFFFF"/>
                                  <w:sz w:val="16"/>
                                  <w:szCs w:val="16"/>
                                </w:rPr>
                                <w:t>its tax liability.</w:t>
                              </w:r>
                              <w:proofErr w:type="gramEnd"/>
                            </w:p>
                            <w:p w:rsidR="00C949E3" w:rsidRDefault="00C949E3" w:rsidP="0055584F">
                              <w:pPr>
                                <w:pStyle w:val="NormalWeb"/>
                                <w:spacing w:before="0" w:beforeAutospacing="0" w:after="60" w:afterAutospacing="0" w:line="276" w:lineRule="auto"/>
                                <w:jc w:val="center"/>
                              </w:pPr>
                            </w:p>
                          </w:txbxContent>
                        </wps:txbx>
                        <wps:bodyPr rot="0" vert="horz" wrap="square" lIns="91440" tIns="36000" rIns="91440" bIns="36000" anchor="ctr" anchorCtr="0" upright="1">
                          <a:noAutofit/>
                        </wps:bodyPr>
                      </wps:wsp>
                      <wps:wsp>
                        <wps:cNvPr id="32" name="Elbow Connector 32"/>
                        <wps:cNvCnPr>
                          <a:stCxn id="24" idx="0"/>
                          <a:endCxn id="30" idx="2"/>
                        </wps:cNvCnPr>
                        <wps:spPr>
                          <a:xfrm rot="5400000" flipH="1" flipV="1">
                            <a:off x="5742358" y="1834853"/>
                            <a:ext cx="303479" cy="1815"/>
                          </a:xfrm>
                          <a:prstGeom prst="bentConnector3">
                            <a:avLst>
                              <a:gd name="adj1" fmla="val 50000"/>
                            </a:avLst>
                          </a:prstGeom>
                          <a:ln w="12700">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Elbow Connector 33"/>
                        <wps:cNvCnPr>
                          <a:stCxn id="47" idx="3"/>
                          <a:endCxn id="30" idx="0"/>
                        </wps:cNvCnPr>
                        <wps:spPr>
                          <a:xfrm>
                            <a:off x="4628272" y="492358"/>
                            <a:ext cx="1266733" cy="196540"/>
                          </a:xfrm>
                          <a:prstGeom prst="bentConnector2">
                            <a:avLst/>
                          </a:prstGeom>
                          <a:ln w="12700">
                            <a:solidFill>
                              <a:srgbClr val="006C99"/>
                            </a:solidFill>
                            <a:prstDash val="dash"/>
                            <a:tailEnd type="none"/>
                          </a:ln>
                        </wps:spPr>
                        <wps:style>
                          <a:lnRef idx="1">
                            <a:schemeClr val="accent1"/>
                          </a:lnRef>
                          <a:fillRef idx="0">
                            <a:schemeClr val="accent1"/>
                          </a:fillRef>
                          <a:effectRef idx="0">
                            <a:schemeClr val="accent1"/>
                          </a:effectRef>
                          <a:fontRef idx="minor">
                            <a:schemeClr val="tx1"/>
                          </a:fontRef>
                        </wps:style>
                        <wps:bodyPr/>
                      </wps:wsp>
                      <wps:wsp>
                        <wps:cNvPr id="35" name="Rectangle 35"/>
                        <wps:cNvSpPr>
                          <a:spLocks noChangeArrowheads="1"/>
                        </wps:cNvSpPr>
                        <wps:spPr bwMode="auto">
                          <a:xfrm>
                            <a:off x="1913993" y="1364301"/>
                            <a:ext cx="1241171" cy="1815970"/>
                          </a:xfrm>
                          <a:prstGeom prst="rect">
                            <a:avLst/>
                          </a:prstGeom>
                          <a:solidFill>
                            <a:srgbClr val="DBE5F1"/>
                          </a:solidFill>
                          <a:ln>
                            <a:noFill/>
                          </a:ln>
                          <a:extLst/>
                        </wps:spPr>
                        <wps:txbx>
                          <w:txbxContent>
                            <w:p w:rsidR="00C949E3" w:rsidRDefault="00C949E3" w:rsidP="00DA03CB">
                              <w:pPr>
                                <w:pStyle w:val="NormalWeb"/>
                                <w:spacing w:before="0" w:beforeAutospacing="0" w:after="60" w:afterAutospacing="0" w:line="276" w:lineRule="auto"/>
                                <w:rPr>
                                  <w:rFonts w:ascii="Tunga" w:eastAsia="Calibri" w:hAnsi="Tunga" w:cs="Tunga"/>
                                  <w:b/>
                                  <w:bCs/>
                                  <w:sz w:val="16"/>
                                  <w:szCs w:val="16"/>
                                </w:rPr>
                              </w:pPr>
                              <w:r w:rsidRPr="004C5F9A">
                                <w:rPr>
                                  <w:rFonts w:ascii="Tunga" w:eastAsia="Calibri" w:hAnsi="Tunga" w:cs="Tunga"/>
                                  <w:b/>
                                  <w:bCs/>
                                  <w:sz w:val="16"/>
                                  <w:szCs w:val="16"/>
                                </w:rPr>
                                <w:t>A range of models, methods, and information</w:t>
                              </w:r>
                            </w:p>
                            <w:p w:rsidR="00C949E3" w:rsidRPr="004C5F9A" w:rsidRDefault="00C949E3">
                              <w:pPr>
                                <w:pStyle w:val="NormalWeb"/>
                                <w:spacing w:before="0" w:beforeAutospacing="0" w:after="60" w:afterAutospacing="0" w:line="276" w:lineRule="auto"/>
                                <w:rPr>
                                  <w:rFonts w:ascii="Tunga" w:eastAsia="Calibri" w:hAnsi="Tunga" w:cs="Tunga"/>
                                  <w:b/>
                                  <w:bCs/>
                                  <w:sz w:val="16"/>
                                  <w:szCs w:val="16"/>
                                </w:rPr>
                              </w:pPr>
                              <w:r>
                                <w:rPr>
                                  <w:rFonts w:ascii="Tunga" w:eastAsia="Calibri" w:hAnsi="Tunga" w:cs="Tunga"/>
                                  <w:bCs/>
                                  <w:sz w:val="16"/>
                                  <w:szCs w:val="16"/>
                                </w:rPr>
                                <w:t>S</w:t>
                              </w:r>
                              <w:r w:rsidRPr="00DA03CB">
                                <w:rPr>
                                  <w:rFonts w:ascii="Tunga" w:eastAsia="Calibri" w:hAnsi="Tunga" w:cs="Tunga"/>
                                  <w:bCs/>
                                  <w:sz w:val="16"/>
                                  <w:szCs w:val="16"/>
                                </w:rPr>
                                <w:t>et the rang</w:t>
                              </w:r>
                              <w:r>
                                <w:rPr>
                                  <w:rFonts w:ascii="Tunga" w:eastAsia="Calibri" w:hAnsi="Tunga" w:cs="Tunga"/>
                                  <w:bCs/>
                                  <w:sz w:val="16"/>
                                  <w:szCs w:val="16"/>
                                </w:rPr>
                                <w:t>e</w:t>
                              </w:r>
                              <w:r w:rsidRPr="00DA03CB">
                                <w:rPr>
                                  <w:rFonts w:ascii="Tunga" w:eastAsia="Calibri" w:hAnsi="Tunga" w:cs="Tunga"/>
                                  <w:bCs/>
                                  <w:sz w:val="16"/>
                                  <w:szCs w:val="16"/>
                                </w:rPr>
                                <w:t xml:space="preserve"> of inputs into the foundation model or assist in determining a point estim</w:t>
                              </w:r>
                              <w:r>
                                <w:rPr>
                                  <w:rFonts w:ascii="Tunga" w:eastAsia="Calibri" w:hAnsi="Tunga" w:cs="Tunga"/>
                                  <w:bCs/>
                                  <w:sz w:val="16"/>
                                  <w:szCs w:val="16"/>
                                </w:rPr>
                                <w:t>ate within a range of estimates</w:t>
                              </w:r>
                            </w:p>
                          </w:txbxContent>
                        </wps:txbx>
                        <wps:bodyPr rot="0" vert="horz" wrap="square" lIns="91440" tIns="36000" rIns="91440" bIns="36000" anchor="ctr" anchorCtr="0" upright="1">
                          <a:noAutofit/>
                        </wps:bodyPr>
                      </wps:wsp>
                      <wps:wsp>
                        <wps:cNvPr id="39" name="Elbow Connector 39"/>
                        <wps:cNvCnPr>
                          <a:stCxn id="61" idx="3"/>
                          <a:endCxn id="35" idx="1"/>
                        </wps:cNvCnPr>
                        <wps:spPr>
                          <a:xfrm>
                            <a:off x="1603779" y="2272285"/>
                            <a:ext cx="310214" cy="1"/>
                          </a:xfrm>
                          <a:prstGeom prst="bentConnector3">
                            <a:avLst>
                              <a:gd name="adj1" fmla="val 50000"/>
                            </a:avLst>
                          </a:prstGeom>
                          <a:ln w="12700">
                            <a:solidFill>
                              <a:srgbClr val="006C99"/>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36"/>
                        <wps:cNvSpPr>
                          <a:spLocks noChangeArrowheads="1"/>
                        </wps:cNvSpPr>
                        <wps:spPr bwMode="auto">
                          <a:xfrm>
                            <a:off x="3365945" y="2351961"/>
                            <a:ext cx="1716969" cy="767026"/>
                          </a:xfrm>
                          <a:prstGeom prst="rect">
                            <a:avLst/>
                          </a:prstGeom>
                          <a:solidFill>
                            <a:srgbClr val="DBE5F1"/>
                          </a:solidFill>
                          <a:ln>
                            <a:noFill/>
                          </a:ln>
                          <a:extLst/>
                        </wps:spPr>
                        <wps:txbx>
                          <w:txbxContent>
                            <w:p w:rsidR="00C949E3" w:rsidRPr="00EA61F6" w:rsidRDefault="00C949E3" w:rsidP="00D94B4D">
                              <w:pPr>
                                <w:pStyle w:val="NormalWeb"/>
                                <w:spacing w:before="0" w:beforeAutospacing="0" w:after="60" w:afterAutospacing="0" w:line="276" w:lineRule="auto"/>
                                <w:rPr>
                                  <w:rFonts w:ascii="Tunga" w:eastAsia="Calibri" w:hAnsi="Tunga" w:cs="Tunga"/>
                                  <w:b/>
                                  <w:sz w:val="16"/>
                                  <w:szCs w:val="16"/>
                                </w:rPr>
                              </w:pPr>
                              <w:r w:rsidRPr="00EA61F6">
                                <w:rPr>
                                  <w:rFonts w:ascii="Tunga" w:eastAsia="Calibri" w:hAnsi="Tunga" w:cs="Tunga"/>
                                  <w:b/>
                                  <w:sz w:val="16"/>
                                  <w:szCs w:val="16"/>
                                </w:rPr>
                                <w:t>Estimation procedure</w:t>
                              </w:r>
                            </w:p>
                            <w:p w:rsidR="00C949E3" w:rsidRDefault="00C949E3" w:rsidP="00D94B4D">
                              <w:pPr>
                                <w:pStyle w:val="NormalWeb"/>
                                <w:spacing w:before="0" w:beforeAutospacing="0" w:after="60" w:afterAutospacing="0" w:line="276" w:lineRule="auto"/>
                              </w:pPr>
                              <w:r>
                                <w:rPr>
                                  <w:rFonts w:ascii="Tunga" w:eastAsia="Calibri" w:hAnsi="Tunga" w:cs="Tunga"/>
                                  <w:sz w:val="16"/>
                                  <w:szCs w:val="16"/>
                                </w:rPr>
                                <w:t>I</w:t>
                              </w:r>
                              <w:r w:rsidRPr="00D94B4D">
                                <w:rPr>
                                  <w:rFonts w:ascii="Tunga" w:eastAsia="Calibri" w:hAnsi="Tunga" w:cs="Tunga"/>
                                  <w:sz w:val="16"/>
                                  <w:szCs w:val="16"/>
                                </w:rPr>
                                <w:t>ndependent third party data provider</w:t>
                              </w:r>
                              <w:r>
                                <w:rPr>
                                  <w:rFonts w:ascii="Tunga" w:eastAsia="Calibri" w:hAnsi="Tunga" w:cs="Tunga"/>
                                  <w:sz w:val="16"/>
                                  <w:szCs w:val="16"/>
                                </w:rPr>
                                <w:t xml:space="preserve"> </w:t>
                              </w:r>
                              <w:r w:rsidRPr="00D94B4D">
                                <w:rPr>
                                  <w:rFonts w:ascii="Tunga" w:eastAsia="Calibri" w:hAnsi="Tunga" w:cs="Tunga"/>
                                  <w:sz w:val="16"/>
                                  <w:szCs w:val="16"/>
                                </w:rPr>
                                <w:t xml:space="preserve">(benchmark debt term of </w:t>
                              </w:r>
                              <w:r>
                                <w:rPr>
                                  <w:rFonts w:ascii="Tunga" w:eastAsia="Calibri" w:hAnsi="Tunga" w:cs="Tunga"/>
                                  <w:sz w:val="16"/>
                                  <w:szCs w:val="16"/>
                                </w:rPr>
                                <w:t>ten</w:t>
                              </w:r>
                              <w:r w:rsidRPr="00D94B4D">
                                <w:rPr>
                                  <w:rFonts w:ascii="Tunga" w:eastAsia="Calibri" w:hAnsi="Tunga" w:cs="Tunga"/>
                                  <w:sz w:val="16"/>
                                  <w:szCs w:val="16"/>
                                </w:rPr>
                                <w:t xml:space="preserve"> years and credit rating of BBB+ or equivalent)</w:t>
                              </w:r>
                            </w:p>
                          </w:txbxContent>
                        </wps:txbx>
                        <wps:bodyPr rot="0" vert="horz" wrap="square" lIns="91440" tIns="36000" rIns="91440" bIns="36000" anchor="ctr" anchorCtr="0" upright="1">
                          <a:noAutofit/>
                        </wps:bodyPr>
                      </wps:wsp>
                      <wps:wsp>
                        <wps:cNvPr id="40" name="Elbow Connector 40"/>
                        <wps:cNvCnPr>
                          <a:stCxn id="36" idx="0"/>
                          <a:endCxn id="23" idx="2"/>
                        </wps:cNvCnPr>
                        <wps:spPr>
                          <a:xfrm rot="16200000" flipV="1">
                            <a:off x="4115980" y="2243511"/>
                            <a:ext cx="215590" cy="1310"/>
                          </a:xfrm>
                          <a:prstGeom prst="bentConnector3">
                            <a:avLst>
                              <a:gd name="adj1" fmla="val 50000"/>
                            </a:avLst>
                          </a:prstGeom>
                          <a:ln w="12700">
                            <a:solidFill>
                              <a:srgbClr val="006C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23" idx="0"/>
                        </wps:cNvCnPr>
                        <wps:spPr>
                          <a:xfrm flipH="1" flipV="1">
                            <a:off x="4223094" y="1206748"/>
                            <a:ext cx="26" cy="172380"/>
                          </a:xfrm>
                          <a:prstGeom prst="straightConnector1">
                            <a:avLst/>
                          </a:prstGeom>
                          <a:ln w="12700">
                            <a:solidFill>
                              <a:srgbClr val="006A99"/>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a:stCxn id="25" idx="0"/>
                        </wps:cNvCnPr>
                        <wps:spPr>
                          <a:xfrm flipV="1">
                            <a:off x="3855287" y="633046"/>
                            <a:ext cx="0" cy="136714"/>
                          </a:xfrm>
                          <a:prstGeom prst="straightConnector1">
                            <a:avLst/>
                          </a:prstGeom>
                          <a:ln w="12700">
                            <a:solidFill>
                              <a:srgbClr val="006A99"/>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Straight Arrow Connector 43"/>
                        <wps:cNvCnPr/>
                        <wps:spPr>
                          <a:xfrm flipV="1">
                            <a:off x="589340" y="1191868"/>
                            <a:ext cx="0" cy="174113"/>
                          </a:xfrm>
                          <a:prstGeom prst="straightConnector1">
                            <a:avLst/>
                          </a:prstGeom>
                          <a:ln w="12700">
                            <a:solidFill>
                              <a:srgbClr val="006A99"/>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4" name="Straight Arrow Connector 44"/>
                        <wps:cNvCnPr/>
                        <wps:spPr>
                          <a:xfrm flipV="1">
                            <a:off x="2319787" y="1190187"/>
                            <a:ext cx="0" cy="172433"/>
                          </a:xfrm>
                          <a:prstGeom prst="straightConnector1">
                            <a:avLst/>
                          </a:prstGeom>
                          <a:ln w="12700">
                            <a:solidFill>
                              <a:srgbClr val="006A99"/>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id="Canvas 7" o:spid="_x0000_s1033" editas="canvas" style="position:absolute;margin-left:-2.55pt;margin-top:65.85pt;width:520.7pt;height:257.85pt;z-index:251667456;mso-wrap-distance-bottom:2.85pt;mso-position-horizontal-relative:text;mso-position-vertical-relative:page" coordsize="66128,3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6128;height:32746;visibility:visible;mso-wrap-style:square">
                  <v:fill o:detectmouseclick="t"/>
                  <v:path o:connecttype="none"/>
                </v:shape>
                <v:rect id="Rectangle 34" o:spid="_x0000_s1035" style="position:absolute;left:360;width:42464;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e5MMA&#10;AADbAAAADwAAAGRycy9kb3ducmV2LnhtbESPT4vCMBTE7wt+h/AEb2vqH0SqUcRFcCke7C7o8dE8&#10;22LzUpKsdr+9EQSPw8z8hlmuO9OIGzlfW1YwGiYgiAuray4V/P7sPucgfEDW2FgmBf/kYb3qfSwx&#10;1fbOR7rloRQRwj5FBVUIbSqlLyoy6Ie2JY7exTqDIUpXSu3wHuGmkeMkmUmDNceFClvaVlRc8z+j&#10;IHO5/N4fateed35+Kigbl1+ZUoN+t1mACNSFd/jV3msFkyk8v8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e5MMAAADbAAAADwAAAAAAAAAAAAAAAACYAgAAZHJzL2Rv&#10;d25yZXYueG1sUEsFBgAAAAAEAAQA9QAAAIgDAAAAAA==&#10;" filled="f" fillcolor="#006a99" stroked="f" strokeweight="2pt">
                  <v:textbox inset=",1mm,,1mm">
                    <w:txbxContent>
                      <w:p w:rsidR="00C949E3" w:rsidRPr="004D1DC0" w:rsidRDefault="00C949E3" w:rsidP="009D246A">
                        <w:pPr>
                          <w:pStyle w:val="NormalWeb"/>
                          <w:spacing w:before="0" w:beforeAutospacing="0" w:after="0" w:afterAutospacing="0" w:line="288" w:lineRule="auto"/>
                          <w:rPr>
                            <w:color w:val="000000" w:themeColor="text1"/>
                          </w:rPr>
                        </w:pPr>
                        <w:r>
                          <w:rPr>
                            <w:rFonts w:ascii="Tunga" w:hAnsi="Tunga"/>
                            <w:b/>
                            <w:bCs/>
                            <w:color w:val="000000" w:themeColor="text1"/>
                            <w:kern w:val="24"/>
                          </w:rPr>
                          <w:t>Overview of the rate of return guideline</w:t>
                        </w:r>
                      </w:p>
                    </w:txbxContent>
                  </v:textbox>
                </v:rect>
                <v:rect id="Rectangle 61" o:spid="_x0000_s1036" style="position:absolute;left:1149;top:13643;width:14888;height:18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nTDb8A&#10;AADbAAAADwAAAGRycy9kb3ducmV2LnhtbESPzQrCMBCE74LvEFbwpqkeRKqpiCiKHsSfB1ib7Q82&#10;m9JErW9vBMHjMDPfMPNFayrxpMaVlhWMhhEI4tTqknMF18tmMAXhPLLGyjIpeJODRdLtzDHW9sUn&#10;ep59LgKEXYwKCu/rWEqXFmTQDW1NHLzMNgZ9kE0udYOvADeVHEfRRBosOSwUWNOqoPR+fhgFh217&#10;HBs8reRufT3k+zVltwsp1e+1yxkIT63/h3/tnVYwGcH3S/gBM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ydMNvwAAANsAAAAPAAAAAAAAAAAAAAAAAJgCAABkcnMvZG93bnJl&#10;di54bWxQSwUGAAAAAAQABAD1AAAAhAMAAAAA&#10;" fillcolor="#dbe5f1" stroked="f">
                  <v:textbox inset=",1mm,,1mm">
                    <w:txbxContent>
                      <w:p w:rsidR="00C949E3" w:rsidRPr="008A7F44" w:rsidRDefault="00C949E3" w:rsidP="005064D7">
                        <w:pPr>
                          <w:pStyle w:val="NormalWeb"/>
                          <w:spacing w:before="0" w:beforeAutospacing="0" w:after="60" w:afterAutospacing="0" w:line="276" w:lineRule="auto"/>
                          <w:rPr>
                            <w:rFonts w:ascii="Tunga" w:eastAsia="Calibri" w:hAnsi="Tunga" w:cs="Tunga"/>
                            <w:b/>
                            <w:sz w:val="16"/>
                            <w:szCs w:val="16"/>
                          </w:rPr>
                        </w:pPr>
                        <w:r w:rsidRPr="008A7F44">
                          <w:rPr>
                            <w:rFonts w:ascii="Tunga" w:eastAsia="Calibri" w:hAnsi="Tunga" w:cs="Tunga"/>
                            <w:b/>
                            <w:sz w:val="16"/>
                            <w:szCs w:val="16"/>
                          </w:rPr>
                          <w:t xml:space="preserve">Foundation model </w:t>
                        </w:r>
                      </w:p>
                      <w:p w:rsidR="00C949E3" w:rsidRDefault="00C949E3" w:rsidP="005064D7">
                        <w:pPr>
                          <w:pStyle w:val="NormalWeb"/>
                          <w:spacing w:before="0" w:beforeAutospacing="0" w:after="60" w:afterAutospacing="0" w:line="276" w:lineRule="auto"/>
                          <w:rPr>
                            <w:rFonts w:ascii="Tunga" w:eastAsia="Calibri" w:hAnsi="Tunga" w:cs="Tunga"/>
                            <w:sz w:val="16"/>
                            <w:szCs w:val="16"/>
                          </w:rPr>
                        </w:pPr>
                        <w:r w:rsidRPr="008A7F44">
                          <w:rPr>
                            <w:rFonts w:ascii="Tunga" w:eastAsia="Calibri" w:hAnsi="Tunga" w:cs="Tunga"/>
                            <w:sz w:val="16"/>
                            <w:szCs w:val="16"/>
                          </w:rPr>
                          <w:t>Sharpe-</w:t>
                        </w:r>
                        <w:proofErr w:type="spellStart"/>
                        <w:r w:rsidRPr="008A7F44">
                          <w:rPr>
                            <w:rFonts w:ascii="Tunga" w:eastAsia="Calibri" w:hAnsi="Tunga" w:cs="Tunga"/>
                            <w:sz w:val="16"/>
                            <w:szCs w:val="16"/>
                          </w:rPr>
                          <w:t>Lintner</w:t>
                        </w:r>
                        <w:proofErr w:type="spellEnd"/>
                        <w:r w:rsidRPr="008A7F44">
                          <w:rPr>
                            <w:rFonts w:ascii="Tunga" w:eastAsia="Calibri" w:hAnsi="Tunga" w:cs="Tunga"/>
                            <w:sz w:val="16"/>
                            <w:szCs w:val="16"/>
                          </w:rPr>
                          <w:t xml:space="preserve"> Capital Asset Pricing (CAPM)</w:t>
                        </w:r>
                      </w:p>
                      <w:p w:rsidR="00C949E3" w:rsidRPr="009D246A" w:rsidRDefault="00C949E3" w:rsidP="000C712D">
                        <w:pPr>
                          <w:spacing w:after="60" w:line="276" w:lineRule="auto"/>
                          <w:rPr>
                            <w:rFonts w:ascii="Tunga" w:hAnsi="Tunga" w:cs="Tunga"/>
                            <w:b/>
                            <w:bCs/>
                            <w:sz w:val="16"/>
                            <w:szCs w:val="16"/>
                          </w:rPr>
                        </w:pPr>
                        <w:r w:rsidRPr="009D246A">
                          <w:rPr>
                            <w:rFonts w:ascii="Tunga" w:hAnsi="Tunga" w:cs="Tunga"/>
                            <w:b/>
                            <w:bCs/>
                            <w:sz w:val="16"/>
                            <w:szCs w:val="16"/>
                          </w:rPr>
                          <w:t xml:space="preserve">Parameters </w:t>
                        </w:r>
                      </w:p>
                      <w:p w:rsidR="00C949E3" w:rsidRPr="00193867" w:rsidRDefault="00C949E3" w:rsidP="000C712D">
                        <w:pPr>
                          <w:pStyle w:val="NormalWeb"/>
                          <w:numPr>
                            <w:ilvl w:val="0"/>
                            <w:numId w:val="8"/>
                          </w:numPr>
                          <w:spacing w:before="0" w:beforeAutospacing="0" w:after="0" w:afterAutospacing="0" w:line="276" w:lineRule="auto"/>
                          <w:ind w:left="284" w:hanging="284"/>
                          <w:rPr>
                            <w:rFonts w:ascii="Tunga" w:eastAsia="Calibri" w:hAnsi="Tunga" w:cs="Tunga"/>
                            <w:bCs/>
                            <w:sz w:val="16"/>
                            <w:szCs w:val="16"/>
                          </w:rPr>
                        </w:pPr>
                        <w:r>
                          <w:rPr>
                            <w:rFonts w:ascii="Tunga" w:eastAsia="Calibri" w:hAnsi="Tunga" w:cs="Tunga"/>
                            <w:bCs/>
                            <w:sz w:val="16"/>
                            <w:szCs w:val="16"/>
                          </w:rPr>
                          <w:t>Market risk premium (range</w:t>
                        </w:r>
                        <w:r w:rsidRPr="00193867">
                          <w:rPr>
                            <w:rFonts w:ascii="Tunga" w:eastAsia="Calibri" w:hAnsi="Tunga" w:cs="Tunga"/>
                            <w:bCs/>
                            <w:sz w:val="16"/>
                            <w:szCs w:val="16"/>
                          </w:rPr>
                          <w:t xml:space="preserve"> </w:t>
                        </w:r>
                        <w:r>
                          <w:rPr>
                            <w:rFonts w:ascii="Tunga" w:eastAsia="Calibri" w:hAnsi="Tunga" w:cs="Tunga"/>
                            <w:bCs/>
                            <w:sz w:val="16"/>
                            <w:szCs w:val="16"/>
                          </w:rPr>
                          <w:t xml:space="preserve">and </w:t>
                        </w:r>
                        <w:r w:rsidRPr="00193867">
                          <w:rPr>
                            <w:rFonts w:ascii="Tunga" w:eastAsia="Calibri" w:hAnsi="Tunga" w:cs="Tunga"/>
                            <w:bCs/>
                            <w:sz w:val="16"/>
                            <w:szCs w:val="16"/>
                          </w:rPr>
                          <w:t>point estimate</w:t>
                        </w:r>
                        <w:r>
                          <w:rPr>
                            <w:rFonts w:ascii="Tunga" w:eastAsia="Calibri" w:hAnsi="Tunga" w:cs="Tunga"/>
                            <w:bCs/>
                            <w:sz w:val="16"/>
                            <w:szCs w:val="16"/>
                          </w:rPr>
                          <w:t>)</w:t>
                        </w:r>
                      </w:p>
                      <w:p w:rsidR="00C949E3" w:rsidRPr="00193867" w:rsidRDefault="00C949E3" w:rsidP="000C712D">
                        <w:pPr>
                          <w:pStyle w:val="NormalWeb"/>
                          <w:numPr>
                            <w:ilvl w:val="0"/>
                            <w:numId w:val="8"/>
                          </w:numPr>
                          <w:spacing w:before="0" w:beforeAutospacing="0" w:after="0" w:afterAutospacing="0" w:line="276" w:lineRule="auto"/>
                          <w:ind w:left="284" w:hanging="284"/>
                          <w:rPr>
                            <w:rFonts w:ascii="Tunga" w:eastAsia="Calibri" w:hAnsi="Tunga" w:cs="Tunga"/>
                            <w:bCs/>
                            <w:sz w:val="16"/>
                            <w:szCs w:val="16"/>
                          </w:rPr>
                        </w:pPr>
                        <w:r w:rsidRPr="00193867">
                          <w:rPr>
                            <w:rFonts w:ascii="Tunga" w:eastAsia="Calibri" w:hAnsi="Tunga" w:cs="Tunga"/>
                            <w:bCs/>
                            <w:sz w:val="16"/>
                            <w:szCs w:val="16"/>
                          </w:rPr>
                          <w:t>Equity beta</w:t>
                        </w:r>
                        <w:r>
                          <w:rPr>
                            <w:rFonts w:ascii="Tunga" w:eastAsia="Calibri" w:hAnsi="Tunga" w:cs="Tunga"/>
                            <w:bCs/>
                            <w:sz w:val="16"/>
                            <w:szCs w:val="16"/>
                          </w:rPr>
                          <w:t xml:space="preserve"> (range</w:t>
                        </w:r>
                        <w:r w:rsidRPr="00193867">
                          <w:rPr>
                            <w:rFonts w:ascii="Tunga" w:eastAsia="Calibri" w:hAnsi="Tunga" w:cs="Tunga"/>
                            <w:bCs/>
                            <w:sz w:val="16"/>
                            <w:szCs w:val="16"/>
                          </w:rPr>
                          <w:t xml:space="preserve"> </w:t>
                        </w:r>
                        <w:r>
                          <w:rPr>
                            <w:rFonts w:ascii="Tunga" w:eastAsia="Calibri" w:hAnsi="Tunga" w:cs="Tunga"/>
                            <w:bCs/>
                            <w:sz w:val="16"/>
                            <w:szCs w:val="16"/>
                          </w:rPr>
                          <w:t xml:space="preserve">and </w:t>
                        </w:r>
                        <w:r w:rsidRPr="00193867">
                          <w:rPr>
                            <w:rFonts w:ascii="Tunga" w:eastAsia="Calibri" w:hAnsi="Tunga" w:cs="Tunga"/>
                            <w:bCs/>
                            <w:sz w:val="16"/>
                            <w:szCs w:val="16"/>
                          </w:rPr>
                          <w:t>point estimate</w:t>
                        </w:r>
                        <w:r>
                          <w:rPr>
                            <w:rFonts w:ascii="Tunga" w:eastAsia="Calibri" w:hAnsi="Tunga" w:cs="Tunga"/>
                            <w:bCs/>
                            <w:sz w:val="16"/>
                            <w:szCs w:val="16"/>
                          </w:rPr>
                          <w:t>)</w:t>
                        </w:r>
                      </w:p>
                      <w:p w:rsidR="00C949E3" w:rsidRPr="004C5F9A" w:rsidRDefault="00C949E3" w:rsidP="000C712D">
                        <w:pPr>
                          <w:pStyle w:val="NormalWeb"/>
                          <w:numPr>
                            <w:ilvl w:val="0"/>
                            <w:numId w:val="8"/>
                          </w:numPr>
                          <w:spacing w:before="0" w:beforeAutospacing="0" w:after="0" w:afterAutospacing="0" w:line="276" w:lineRule="auto"/>
                          <w:ind w:left="284" w:hanging="284"/>
                          <w:rPr>
                            <w:sz w:val="16"/>
                            <w:szCs w:val="16"/>
                          </w:rPr>
                        </w:pPr>
                        <w:r w:rsidRPr="000C025A">
                          <w:rPr>
                            <w:rFonts w:ascii="Tunga" w:eastAsia="Calibri" w:hAnsi="Tunga" w:cs="Tunga"/>
                            <w:bCs/>
                            <w:sz w:val="16"/>
                            <w:szCs w:val="16"/>
                          </w:rPr>
                          <w:t>Risk free rate</w:t>
                        </w:r>
                        <w:r>
                          <w:rPr>
                            <w:rFonts w:ascii="Tunga" w:eastAsia="Calibri" w:hAnsi="Tunga" w:cs="Tunga"/>
                            <w:bCs/>
                            <w:sz w:val="16"/>
                            <w:szCs w:val="16"/>
                          </w:rPr>
                          <w:t xml:space="preserve"> (</w:t>
                        </w:r>
                        <w:r w:rsidRPr="000C025A">
                          <w:rPr>
                            <w:rFonts w:ascii="Tunga" w:eastAsia="Calibri" w:hAnsi="Tunga" w:cs="Tunga"/>
                            <w:bCs/>
                            <w:sz w:val="16"/>
                            <w:szCs w:val="16"/>
                          </w:rPr>
                          <w:t>point estimate</w:t>
                        </w:r>
                        <w:r>
                          <w:rPr>
                            <w:rFonts w:ascii="Tunga" w:eastAsia="Calibri" w:hAnsi="Tunga" w:cs="Tunga"/>
                            <w:bCs/>
                            <w:sz w:val="16"/>
                            <w:szCs w:val="16"/>
                          </w:rPr>
                          <w:t>)</w:t>
                        </w:r>
                      </w:p>
                      <w:p w:rsidR="00C949E3" w:rsidRPr="000C025A" w:rsidRDefault="00C949E3" w:rsidP="000C712D">
                        <w:pPr>
                          <w:pStyle w:val="NormalWeb"/>
                          <w:numPr>
                            <w:ilvl w:val="0"/>
                            <w:numId w:val="8"/>
                          </w:numPr>
                          <w:spacing w:before="0" w:beforeAutospacing="0" w:after="0" w:afterAutospacing="0" w:line="276" w:lineRule="auto"/>
                          <w:ind w:left="284" w:hanging="284"/>
                          <w:rPr>
                            <w:sz w:val="16"/>
                            <w:szCs w:val="16"/>
                          </w:rPr>
                        </w:pPr>
                        <w:r>
                          <w:rPr>
                            <w:rFonts w:ascii="Tunga" w:eastAsia="Calibri" w:hAnsi="Tunga" w:cs="Tunga"/>
                            <w:bCs/>
                            <w:sz w:val="16"/>
                            <w:szCs w:val="16"/>
                          </w:rPr>
                          <w:t>Ten year term</w:t>
                        </w:r>
                      </w:p>
                      <w:p w:rsidR="00C949E3" w:rsidRDefault="00C949E3" w:rsidP="005064D7">
                        <w:pPr>
                          <w:pStyle w:val="NormalWeb"/>
                          <w:spacing w:before="0" w:beforeAutospacing="0" w:after="60" w:afterAutospacing="0" w:line="276" w:lineRule="auto"/>
                        </w:pPr>
                      </w:p>
                    </w:txbxContent>
                  </v:textbox>
                </v:rect>
                <v:rect id="Rectangle 47" o:spid="_x0000_s1037" style="position:absolute;left:23730;top:3516;width:22552;height:2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K0cQA&#10;AADbAAAADwAAAGRycy9kb3ducmV2LnhtbESP3WrCQBSE7wu+w3KE3tWN4h/RVaIglFoKVfH6kD1m&#10;o9mzIbs18e3dQqGXw8x8wyzXna3EnRpfOlYwHCQgiHOnSy4UnI67tzkIH5A1Vo5JwYM8rFe9lyWm&#10;2rX8TfdDKESEsE9RgQmhTqX0uSGLfuBq4uhdXGMxRNkUUjfYRrit5ChJptJiyXHBYE1bQ/nt8GMV&#10;1Fl2a7/cvjx/Zv66kbPN9GNilHrtd9kCRKAu/If/2u9awXgGv1/i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YytHEAAAA2wAAAA8AAAAAAAAAAAAAAAAAmAIAAGRycy9k&#10;b3ducmV2LnhtbFBLBQYAAAAABAAEAPUAAACJAwAAAAA=&#10;" fillcolor="#006c99" strokecolor="black [3213]" strokeweight="1.5pt">
                  <v:textbox inset=",1mm,,1mm">
                    <w:txbxContent>
                      <w:p w:rsidR="00C949E3" w:rsidRPr="00BB6ACB" w:rsidRDefault="00C949E3" w:rsidP="009D246A">
                        <w:pPr>
                          <w:pStyle w:val="NormalWeb"/>
                          <w:spacing w:before="0" w:beforeAutospacing="0" w:after="0" w:afterAutospacing="0" w:line="276" w:lineRule="auto"/>
                          <w:jc w:val="center"/>
                        </w:pPr>
                        <w:r w:rsidRPr="00BB6ACB">
                          <w:rPr>
                            <w:rFonts w:ascii="Tunga" w:eastAsia="Calibri" w:hAnsi="Tunga" w:cs="Tunga"/>
                            <w:b/>
                            <w:color w:val="FFFFFF"/>
                            <w:sz w:val="16"/>
                            <w:szCs w:val="16"/>
                          </w:rPr>
                          <w:t xml:space="preserve">Rate of return </w:t>
                        </w:r>
                        <w:r w:rsidRPr="00BB6ACB">
                          <w:rPr>
                            <w:rFonts w:ascii="Tunga" w:eastAsia="Calibri" w:hAnsi="Tunga" w:cs="Tunga"/>
                            <w:color w:val="FFFFFF"/>
                            <w:sz w:val="16"/>
                            <w:szCs w:val="16"/>
                          </w:rPr>
                          <w:t>(</w:t>
                        </w:r>
                        <w:r>
                          <w:rPr>
                            <w:rFonts w:ascii="Tunga" w:eastAsia="Calibri" w:hAnsi="Tunga" w:cs="Tunga"/>
                            <w:color w:val="FFFFFF"/>
                            <w:sz w:val="16"/>
                            <w:szCs w:val="16"/>
                          </w:rPr>
                          <w:t>the ‘</w:t>
                        </w:r>
                        <w:r w:rsidRPr="00BB6ACB">
                          <w:rPr>
                            <w:rFonts w:ascii="Tunga" w:eastAsia="Calibri" w:hAnsi="Tunga" w:cs="Tunga"/>
                            <w:color w:val="FFFFFF"/>
                            <w:sz w:val="16"/>
                            <w:szCs w:val="16"/>
                          </w:rPr>
                          <w:t>nominal vanilla WACC</w:t>
                        </w:r>
                        <w:r>
                          <w:rPr>
                            <w:rFonts w:ascii="Tunga" w:eastAsia="Calibri" w:hAnsi="Tunga" w:cs="Tunga"/>
                            <w:color w:val="FFFFFF"/>
                            <w:sz w:val="16"/>
                            <w:szCs w:val="16"/>
                          </w:rPr>
                          <w:t>’</w:t>
                        </w:r>
                        <w:r w:rsidRPr="00BB6ACB">
                          <w:rPr>
                            <w:rFonts w:ascii="Tunga" w:eastAsia="Calibri" w:hAnsi="Tunga" w:cs="Tunga"/>
                            <w:color w:val="FFFFFF"/>
                            <w:sz w:val="16"/>
                            <w:szCs w:val="16"/>
                          </w:rPr>
                          <w:t>)</w:t>
                        </w:r>
                      </w:p>
                    </w:txbxContent>
                  </v:textbox>
                </v:rect>
                <v:roundrect id="Rounded Rectangle 49" o:spid="_x0000_s1038" style="position:absolute;left:4463;top:7697;width:20103;height:42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a9+MUA&#10;AADbAAAADwAAAGRycy9kb3ducmV2LnhtbESPQWvCQBSE70L/w/IK3symRSWmWUVKBS89aIu0t0f2&#10;NQnNvk2zT03/vSsIHoeZ+YYpVoNr1Yn60Hg28JSkoIhLbxuuDHx+bCYZqCDIFlvPZOCfAqyWD6MC&#10;c+vPvKPTXioVIRxyNFCLdLnWoazJYUh8Rxy9H987lCj7StsezxHuWv2cpnPtsOG4UGNHrzWVv/uj&#10;MyDfa5/+6UX19n7Yyez4VW4O08yY8eOwfgElNMg9fGtvrYHpAq5f4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r34xQAAANsAAAAPAAAAAAAAAAAAAAAAAJgCAABkcnMv&#10;ZG93bnJldi54bWxQSwUGAAAAAAQABAD1AAAAigMAAAAA&#10;" fillcolor="#006c99" stroked="f">
                  <v:textbox inset=",1mm,,1mm">
                    <w:txbxContent>
                      <w:p w:rsidR="00C949E3" w:rsidRDefault="00C949E3" w:rsidP="0055584F">
                        <w:pPr>
                          <w:pStyle w:val="NormalWeb"/>
                          <w:spacing w:before="0" w:beforeAutospacing="0" w:after="60" w:afterAutospacing="0" w:line="276" w:lineRule="auto"/>
                          <w:jc w:val="center"/>
                          <w:rPr>
                            <w:rFonts w:ascii="Tunga" w:eastAsia="Calibri" w:hAnsi="Tunga" w:cs="Tunga"/>
                            <w:color w:val="FFFFFF"/>
                            <w:sz w:val="16"/>
                            <w:szCs w:val="16"/>
                          </w:rPr>
                        </w:pPr>
                        <w:r>
                          <w:rPr>
                            <w:rFonts w:ascii="Tunga" w:eastAsia="Calibri" w:hAnsi="Tunga" w:cs="Tunga"/>
                            <w:b/>
                            <w:color w:val="FFFFFF"/>
                            <w:sz w:val="16"/>
                            <w:szCs w:val="16"/>
                          </w:rPr>
                          <w:t>Return on</w:t>
                        </w:r>
                        <w:r w:rsidRPr="008A7F44">
                          <w:rPr>
                            <w:rFonts w:ascii="Tunga" w:eastAsia="Calibri" w:hAnsi="Tunga" w:cs="Tunga"/>
                            <w:b/>
                            <w:color w:val="FFFFFF"/>
                            <w:sz w:val="16"/>
                            <w:szCs w:val="16"/>
                          </w:rPr>
                          <w:t xml:space="preserve"> equity </w:t>
                        </w:r>
                        <w:r w:rsidRPr="008A7F44">
                          <w:rPr>
                            <w:rFonts w:ascii="Tunga" w:eastAsia="Calibri" w:hAnsi="Tunga" w:cs="Tunga"/>
                            <w:color w:val="FFFFFF"/>
                            <w:sz w:val="16"/>
                            <w:szCs w:val="16"/>
                          </w:rPr>
                          <w:t>(40%)</w:t>
                        </w:r>
                      </w:p>
                      <w:p w:rsidR="00C949E3" w:rsidRPr="009D246A" w:rsidRDefault="00C949E3" w:rsidP="0055584F">
                        <w:pPr>
                          <w:pStyle w:val="NormalWeb"/>
                          <w:spacing w:before="0" w:beforeAutospacing="0" w:after="60" w:afterAutospacing="0" w:line="276" w:lineRule="auto"/>
                          <w:jc w:val="center"/>
                          <w:rPr>
                            <w:rFonts w:ascii="Tunga" w:eastAsia="Calibri" w:hAnsi="Tunga" w:cs="Tunga"/>
                            <w:color w:val="FFFFFF"/>
                            <w:sz w:val="16"/>
                            <w:szCs w:val="16"/>
                          </w:rPr>
                        </w:pPr>
                        <w:r>
                          <w:rPr>
                            <w:rFonts w:ascii="Tunga" w:eastAsia="Calibri" w:hAnsi="Tunga" w:cs="Tunga"/>
                            <w:color w:val="FFFFFF"/>
                            <w:sz w:val="16"/>
                            <w:szCs w:val="16"/>
                          </w:rPr>
                          <w:t xml:space="preserve">Funds </w:t>
                        </w:r>
                        <w:proofErr w:type="gramStart"/>
                        <w:r>
                          <w:rPr>
                            <w:rFonts w:ascii="Tunga" w:eastAsia="Calibri" w:hAnsi="Tunga" w:cs="Tunga"/>
                            <w:color w:val="FFFFFF"/>
                            <w:sz w:val="16"/>
                            <w:szCs w:val="16"/>
                          </w:rPr>
                          <w:t>raised</w:t>
                        </w:r>
                        <w:proofErr w:type="gramEnd"/>
                        <w:r>
                          <w:rPr>
                            <w:rFonts w:ascii="Tunga" w:eastAsia="Calibri" w:hAnsi="Tunga" w:cs="Tunga"/>
                            <w:color w:val="FFFFFF"/>
                            <w:sz w:val="16"/>
                            <w:szCs w:val="16"/>
                          </w:rPr>
                          <w:t xml:space="preserve"> from the market/investors</w:t>
                        </w:r>
                      </w:p>
                    </w:txbxContent>
                  </v:textbox>
                </v:roundrect>
                <v:shapetype id="_x0000_t33" coordsize="21600,21600" o:spt="33" o:oned="t" path="m,l21600,r,21600e" filled="f">
                  <v:stroke joinstyle="miter"/>
                  <v:path arrowok="t" fillok="f" o:connecttype="none"/>
                  <o:lock v:ext="edit" shapetype="t"/>
                </v:shapetype>
                <v:shape id="Elbow Connector 50" o:spid="_x0000_s1039" type="#_x0000_t33" style="position:absolute;left:17735;top:1702;width:2774;height:921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hi58AAAADbAAAADwAAAGRycy9kb3ducmV2LnhtbERPTYvCMBC9C/6HMAteRFNd7JZqFBXE&#10;9aaueB6asS3bTEoStfvvNwfB4+N9L1adacSDnK8tK5iMExDEhdU1lwouP7tRBsIHZI2NZVLwRx5W&#10;y35vgbm2Tz7R4xxKEUPY56igCqHNpfRFRQb92LbEkbtZZzBE6EqpHT5juGnkNElSabDm2FBhS9uK&#10;it/z3Si4Do/1Vma70/2wT6dfm83+krlPpQYf3XoOIlAX3uKX+1srmMX18Uv8A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PIYufAAAAA2wAAAA8AAAAAAAAAAAAAAAAA&#10;oQIAAGRycy9kb3ducmV2LnhtbFBLBQYAAAAABAAEAPkAAACOAwAAAAA=&#10;" strokecolor="#006c99" strokeweight="1pt">
                  <v:stroke endarrow="block"/>
                </v:shape>
                <v:rect id="Rectangle 23" o:spid="_x0000_s1040" style="position:absolute;left:33482;top:13791;width:17498;height:7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1RIb8A&#10;AADbAAAADwAAAGRycy9kb3ducmV2LnhtbESPzQrCMBCE74LvEFbwpqkVRKpRRBRFD+LPA6zN2hab&#10;TWmi1rc3guBxmJlvmOm8MaV4Uu0KywoG/QgEcWp1wZmCy3ndG4NwHlljaZkUvMnBfNZuTTHR9sVH&#10;ep58JgKEXYIKcu+rREqX5mTQ9W1FHLybrQ36IOtM6hpfAW5KGUfRSBosOCzkWNEyp/R+ehgF+01z&#10;iA0el3K7uuyz3Ypu1zMp1e00iwkIT43/h3/trVYQD+H7Jfw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VEhvwAAANsAAAAPAAAAAAAAAAAAAAAAAJgCAABkcnMvZG93bnJl&#10;di54bWxQSwUGAAAAAAQABAD1AAAAhAMAAAAA&#10;" fillcolor="#dbe5f1" stroked="f">
                  <v:textbox inset=",1mm,,1mm">
                    <w:txbxContent>
                      <w:p w:rsidR="00C949E3" w:rsidRDefault="00C949E3" w:rsidP="005064D7">
                        <w:pPr>
                          <w:pStyle w:val="NormalWeb"/>
                          <w:spacing w:before="0" w:beforeAutospacing="0" w:after="60" w:afterAutospacing="0" w:line="276" w:lineRule="auto"/>
                          <w:rPr>
                            <w:rFonts w:ascii="Tunga" w:eastAsia="Calibri" w:hAnsi="Tunga" w:cs="Tunga"/>
                            <w:b/>
                            <w:bCs/>
                            <w:sz w:val="16"/>
                            <w:szCs w:val="16"/>
                          </w:rPr>
                        </w:pPr>
                        <w:r>
                          <w:rPr>
                            <w:rFonts w:ascii="Tunga" w:eastAsia="Calibri" w:hAnsi="Tunga" w:cs="Tunga"/>
                            <w:b/>
                            <w:bCs/>
                            <w:sz w:val="16"/>
                            <w:szCs w:val="16"/>
                          </w:rPr>
                          <w:t xml:space="preserve">Trailing average portfolio approach </w:t>
                        </w:r>
                      </w:p>
                      <w:p w:rsidR="00C949E3" w:rsidRDefault="00C949E3" w:rsidP="005064D7">
                        <w:pPr>
                          <w:pStyle w:val="NormalWeb"/>
                          <w:spacing w:before="0" w:beforeAutospacing="0" w:after="60" w:afterAutospacing="0" w:line="276" w:lineRule="auto"/>
                        </w:pPr>
                        <w:r w:rsidRPr="004C5F9A">
                          <w:rPr>
                            <w:rFonts w:ascii="Tunga" w:eastAsia="Calibri" w:hAnsi="Tunga" w:cs="Tunga"/>
                            <w:bCs/>
                            <w:sz w:val="16"/>
                            <w:szCs w:val="16"/>
                          </w:rPr>
                          <w:t>F</w:t>
                        </w:r>
                        <w:r w:rsidRPr="00960E54">
                          <w:rPr>
                            <w:rFonts w:ascii="Tunga" w:eastAsia="Calibri" w:hAnsi="Tunga" w:cs="Tunga"/>
                            <w:bCs/>
                            <w:sz w:val="16"/>
                            <w:szCs w:val="16"/>
                          </w:rPr>
                          <w:t xml:space="preserve">or a debt portfolio with a proposed benchmark term of debt of </w:t>
                        </w:r>
                        <w:r>
                          <w:rPr>
                            <w:rFonts w:ascii="Tunga" w:eastAsia="Calibri" w:hAnsi="Tunga" w:cs="Tunga"/>
                            <w:bCs/>
                            <w:sz w:val="16"/>
                            <w:szCs w:val="16"/>
                          </w:rPr>
                          <w:t>ten</w:t>
                        </w:r>
                        <w:r w:rsidRPr="00960E54">
                          <w:rPr>
                            <w:rFonts w:ascii="Tunga" w:eastAsia="Calibri" w:hAnsi="Tunga" w:cs="Tunga"/>
                            <w:bCs/>
                            <w:sz w:val="16"/>
                            <w:szCs w:val="16"/>
                          </w:rPr>
                          <w:t xml:space="preserve"> years</w:t>
                        </w:r>
                        <w:r w:rsidRPr="00960E54">
                          <w:rPr>
                            <w:rFonts w:ascii="Tunga" w:eastAsia="Calibri" w:hAnsi="Tunga" w:cs="Tunga"/>
                            <w:b/>
                            <w:bCs/>
                            <w:sz w:val="16"/>
                            <w:szCs w:val="16"/>
                          </w:rPr>
                          <w:t xml:space="preserve"> </w:t>
                        </w:r>
                      </w:p>
                    </w:txbxContent>
                  </v:textbox>
                </v:rect>
                <v:rect id="Rectangle 24" o:spid="_x0000_s1041" style="position:absolute;left:52665;top:19874;width:12533;height:6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TJVb8A&#10;AADbAAAADwAAAGRycy9kb3ducmV2LnhtbESPzQrCMBCE74LvEFbwpqlFRKpRRBRFD+LPA6zN2hab&#10;TWmi1rc3guBxmJlvmOm8MaV4Uu0KywoG/QgEcWp1wZmCy3ndG4NwHlljaZkUvMnBfNZuTTHR9sVH&#10;ep58JgKEXYIKcu+rREqX5mTQ9W1FHLybrQ36IOtM6hpfAW5KGUfRSBosOCzkWNEyp/R+ehgF+01z&#10;iA0el3K7uuyz3Ypu1zMp1e00iwkIT43/h3/trVYQD+H7JfwA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1MlVvwAAANsAAAAPAAAAAAAAAAAAAAAAAJgCAABkcnMvZG93bnJl&#10;di54bWxQSwUGAAAAAAQABAD1AAAAhAMAAAAA&#10;" fillcolor="#dbe5f1" stroked="f">
                  <v:textbox inset=",1mm,,1mm">
                    <w:txbxContent>
                      <w:p w:rsidR="00C949E3" w:rsidRDefault="00C949E3" w:rsidP="00BA42E7">
                        <w:pPr>
                          <w:pStyle w:val="NormalWeb"/>
                          <w:spacing w:before="0" w:beforeAutospacing="0" w:after="0" w:afterAutospacing="0" w:line="276" w:lineRule="auto"/>
                          <w:jc w:val="center"/>
                        </w:pPr>
                        <w:r>
                          <w:rPr>
                            <w:rFonts w:ascii="Tunga" w:eastAsia="Calibri" w:hAnsi="Tunga" w:cs="Tunga"/>
                            <w:b/>
                            <w:bCs/>
                            <w:sz w:val="16"/>
                            <w:szCs w:val="16"/>
                          </w:rPr>
                          <w:t>Consideration of a range of evidence leading to a current point estimate of 0.5</w:t>
                        </w:r>
                      </w:p>
                    </w:txbxContent>
                  </v:textbox>
                </v:rect>
                <v:roundrect id="Rounded Rectangle 25" o:spid="_x0000_s1042" style="position:absolute;left:28508;top:7697;width:20088;height:42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SXcUA&#10;AADbAAAADwAAAGRycy9kb3ducmV2LnhtbESPT2vCQBTE70K/w/IK3uqmoiVN3QQRBS89+Adpb4/s&#10;axKafZtmnxq/fbdQ8DjMzG+YRTG4Vl2oD41nA8+TBBRx6W3DlYHjYfOUggqCbLH1TAZuFKDIH0YL&#10;zKy/8o4ue6lUhHDI0EAt0mVah7Imh2HiO+LoffneoUTZV9r2eI1w1+ppkrxohw3HhRo7WtVUfu/P&#10;zoB8Ln3yo1+r9ftpJ/PzR7k5zVJjxo/D8g2U0CD38H97aw1M5/D3Jf4An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NFJdxQAAANsAAAAPAAAAAAAAAAAAAAAAAJgCAABkcnMv&#10;ZG93bnJldi54bWxQSwUGAAAAAAQABAD1AAAAigMAAAAA&#10;" fillcolor="#006c99" stroked="f">
                  <v:textbox inset=",1mm,,1mm">
                    <w:txbxContent>
                      <w:p w:rsidR="00C949E3" w:rsidRDefault="00C949E3" w:rsidP="0055584F">
                        <w:pPr>
                          <w:pStyle w:val="NormalWeb"/>
                          <w:spacing w:before="0" w:beforeAutospacing="0" w:after="60" w:afterAutospacing="0" w:line="276" w:lineRule="auto"/>
                          <w:jc w:val="center"/>
                        </w:pPr>
                        <w:r>
                          <w:rPr>
                            <w:rFonts w:ascii="Tunga" w:eastAsia="Calibri" w:hAnsi="Tunga" w:cs="Tunga"/>
                            <w:b/>
                            <w:bCs/>
                            <w:color w:val="FFFFFF"/>
                            <w:sz w:val="16"/>
                            <w:szCs w:val="16"/>
                          </w:rPr>
                          <w:t xml:space="preserve">Return on debt </w:t>
                        </w:r>
                        <w:r>
                          <w:rPr>
                            <w:rFonts w:ascii="Tunga" w:eastAsia="Calibri" w:hAnsi="Tunga" w:cs="Tunga"/>
                            <w:color w:val="FFFFFF"/>
                            <w:sz w:val="16"/>
                            <w:szCs w:val="16"/>
                          </w:rPr>
                          <w:t>(60%)</w:t>
                        </w:r>
                      </w:p>
                      <w:p w:rsidR="00C949E3" w:rsidRDefault="00C949E3" w:rsidP="0055584F">
                        <w:pPr>
                          <w:pStyle w:val="NormalWeb"/>
                          <w:spacing w:before="0" w:beforeAutospacing="0" w:after="60" w:afterAutospacing="0" w:line="276" w:lineRule="auto"/>
                          <w:jc w:val="center"/>
                        </w:pPr>
                        <w:r>
                          <w:rPr>
                            <w:rFonts w:ascii="Tunga" w:eastAsia="Calibri" w:hAnsi="Tunga" w:cs="Tunga"/>
                            <w:color w:val="FFFFFF"/>
                            <w:sz w:val="16"/>
                            <w:szCs w:val="16"/>
                          </w:rPr>
                          <w:t xml:space="preserve">Funds </w:t>
                        </w:r>
                        <w:proofErr w:type="gramStart"/>
                        <w:r>
                          <w:rPr>
                            <w:rFonts w:ascii="Tunga" w:eastAsia="Calibri" w:hAnsi="Tunga" w:cs="Tunga"/>
                            <w:color w:val="FFFFFF"/>
                            <w:sz w:val="16"/>
                            <w:szCs w:val="16"/>
                          </w:rPr>
                          <w:t>raised</w:t>
                        </w:r>
                        <w:proofErr w:type="gramEnd"/>
                        <w:r>
                          <w:rPr>
                            <w:rFonts w:ascii="Tunga" w:eastAsia="Calibri" w:hAnsi="Tunga" w:cs="Tunga"/>
                            <w:color w:val="FFFFFF"/>
                            <w:sz w:val="16"/>
                            <w:szCs w:val="16"/>
                          </w:rPr>
                          <w:t xml:space="preserve"> from borrowing</w:t>
                        </w:r>
                      </w:p>
                    </w:txbxContent>
                  </v:textbox>
                </v:roundrect>
                <v:roundrect id="Rounded Rectangle 30" o:spid="_x0000_s1043" style="position:absolute;left:52436;top:6888;width:13027;height:99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nGMIA&#10;AADbAAAADwAAAGRycy9kb3ducmV2LnhtbERPTWvCQBC9C/0PyxS86aatlhizikgFLz1oi7S3ITtN&#10;QrOzMTvR+O+7B6HHx/vO14Nr1IW6UHs28DRNQBEX3tZcGvj82E1SUEGQLTaeycCNAqxXD6McM+uv&#10;fKDLUUoVQzhkaKASaTOtQ1GRwzD1LXHkfnznUCLsSm07vMZw1+jnJHnVDmuODRW2tK2o+D32zoB8&#10;b3xy1ovy7f10kHn/VexOs9SY8eOwWYISGuRffHfvrYGXuD5+iT9Ar/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mcYwgAAANsAAAAPAAAAAAAAAAAAAAAAAJgCAABkcnMvZG93&#10;bnJldi54bWxQSwUGAAAAAAQABAD1AAAAhwMAAAAA&#10;" fillcolor="#006c99" stroked="f">
                  <v:textbox inset=",1mm,,1mm">
                    <w:txbxContent>
                      <w:p w:rsidR="00C949E3" w:rsidRDefault="00C949E3" w:rsidP="0055584F">
                        <w:pPr>
                          <w:pStyle w:val="NormalWeb"/>
                          <w:spacing w:before="0" w:beforeAutospacing="0" w:after="60" w:afterAutospacing="0" w:line="276" w:lineRule="auto"/>
                          <w:jc w:val="center"/>
                          <w:rPr>
                            <w:rFonts w:ascii="Tunga" w:eastAsia="Calibri" w:hAnsi="Tunga" w:cs="Tunga"/>
                            <w:b/>
                            <w:color w:val="FFFFFF"/>
                            <w:sz w:val="16"/>
                            <w:szCs w:val="16"/>
                          </w:rPr>
                        </w:pPr>
                        <w:r w:rsidRPr="0055584F">
                          <w:rPr>
                            <w:rFonts w:ascii="Tunga" w:eastAsia="Calibri" w:hAnsi="Tunga" w:cs="Tunga"/>
                            <w:b/>
                            <w:color w:val="FFFFFF"/>
                            <w:sz w:val="16"/>
                            <w:szCs w:val="16"/>
                          </w:rPr>
                          <w:t xml:space="preserve">Imputation credits </w:t>
                        </w:r>
                        <w:r w:rsidRPr="0055584F">
                          <w:rPr>
                            <w:rFonts w:ascii="Tunga" w:eastAsia="Calibri" w:hAnsi="Tunga" w:cs="Tunga"/>
                            <w:color w:val="FFFFFF"/>
                            <w:sz w:val="16"/>
                            <w:szCs w:val="16"/>
                          </w:rPr>
                          <w:t>(</w:t>
                        </w:r>
                        <w:r>
                          <w:rPr>
                            <w:rFonts w:ascii="Tunga" w:eastAsia="Calibri" w:hAnsi="Tunga" w:cs="Tunga"/>
                            <w:color w:val="FFFFFF"/>
                            <w:sz w:val="16"/>
                            <w:szCs w:val="16"/>
                          </w:rPr>
                          <w:t>‘</w:t>
                        </w:r>
                        <w:r w:rsidRPr="0055584F">
                          <w:rPr>
                            <w:rFonts w:ascii="Tunga" w:eastAsia="Calibri" w:hAnsi="Tunga" w:cs="Tunga"/>
                            <w:color w:val="FFFFFF"/>
                            <w:sz w:val="16"/>
                            <w:szCs w:val="16"/>
                          </w:rPr>
                          <w:t>gamma</w:t>
                        </w:r>
                        <w:r>
                          <w:rPr>
                            <w:rFonts w:ascii="Tunga" w:eastAsia="Calibri" w:hAnsi="Tunga" w:cs="Tunga"/>
                            <w:color w:val="FFFFFF"/>
                            <w:sz w:val="16"/>
                            <w:szCs w:val="16"/>
                          </w:rPr>
                          <w:t>’</w:t>
                        </w:r>
                        <w:r w:rsidRPr="0055584F">
                          <w:rPr>
                            <w:rFonts w:ascii="Tunga" w:eastAsia="Calibri" w:hAnsi="Tunga" w:cs="Tunga"/>
                            <w:color w:val="FFFFFF"/>
                            <w:sz w:val="16"/>
                            <w:szCs w:val="16"/>
                          </w:rPr>
                          <w:t>)</w:t>
                        </w:r>
                      </w:p>
                      <w:p w:rsidR="00C949E3" w:rsidRPr="0055584F" w:rsidRDefault="00C949E3" w:rsidP="0055584F">
                        <w:pPr>
                          <w:pStyle w:val="NormalWeb"/>
                          <w:spacing w:before="0" w:beforeAutospacing="0" w:after="0" w:afterAutospacing="0" w:line="276" w:lineRule="auto"/>
                          <w:jc w:val="center"/>
                          <w:rPr>
                            <w:rFonts w:ascii="Tunga" w:eastAsia="Calibri" w:hAnsi="Tunga" w:cs="Tunga"/>
                            <w:b/>
                            <w:color w:val="FFFFFF"/>
                            <w:sz w:val="16"/>
                            <w:szCs w:val="16"/>
                          </w:rPr>
                        </w:pPr>
                        <w:proofErr w:type="gramStart"/>
                        <w:r>
                          <w:rPr>
                            <w:rFonts w:ascii="Tunga" w:eastAsia="Calibri" w:hAnsi="Tunga" w:cs="Tunga"/>
                            <w:color w:val="FFFFFF"/>
                            <w:sz w:val="16"/>
                            <w:szCs w:val="16"/>
                          </w:rPr>
                          <w:t>A</w:t>
                        </w:r>
                        <w:r w:rsidRPr="0055584F">
                          <w:rPr>
                            <w:rFonts w:ascii="Tunga" w:eastAsia="Calibri" w:hAnsi="Tunga" w:cs="Tunga"/>
                            <w:color w:val="FFFFFF"/>
                            <w:sz w:val="16"/>
                            <w:szCs w:val="16"/>
                          </w:rPr>
                          <w:t>ffect</w:t>
                        </w:r>
                        <w:r>
                          <w:rPr>
                            <w:rFonts w:ascii="Tunga" w:eastAsia="Calibri" w:hAnsi="Tunga" w:cs="Tunga"/>
                            <w:color w:val="FFFFFF"/>
                            <w:sz w:val="16"/>
                            <w:szCs w:val="16"/>
                          </w:rPr>
                          <w:t>s</w:t>
                        </w:r>
                        <w:r w:rsidRPr="0055584F">
                          <w:rPr>
                            <w:rFonts w:ascii="Tunga" w:eastAsia="Calibri" w:hAnsi="Tunga" w:cs="Tunga"/>
                            <w:color w:val="FFFFFF"/>
                            <w:sz w:val="16"/>
                            <w:szCs w:val="16"/>
                          </w:rPr>
                          <w:t xml:space="preserve"> a business’ revenue through </w:t>
                        </w:r>
                        <w:r>
                          <w:rPr>
                            <w:rFonts w:ascii="Tunga" w:eastAsia="Calibri" w:hAnsi="Tunga" w:cs="Tunga"/>
                            <w:color w:val="FFFFFF"/>
                            <w:sz w:val="16"/>
                            <w:szCs w:val="16"/>
                          </w:rPr>
                          <w:t xml:space="preserve">adjustments to </w:t>
                        </w:r>
                        <w:r w:rsidRPr="0055584F">
                          <w:rPr>
                            <w:rFonts w:ascii="Tunga" w:eastAsia="Calibri" w:hAnsi="Tunga" w:cs="Tunga"/>
                            <w:color w:val="FFFFFF"/>
                            <w:sz w:val="16"/>
                            <w:szCs w:val="16"/>
                          </w:rPr>
                          <w:t>its tax liability.</w:t>
                        </w:r>
                        <w:proofErr w:type="gramEnd"/>
                      </w:p>
                      <w:p w:rsidR="00C949E3" w:rsidRDefault="00C949E3" w:rsidP="0055584F">
                        <w:pPr>
                          <w:pStyle w:val="NormalWeb"/>
                          <w:spacing w:before="0" w:beforeAutospacing="0" w:after="60" w:afterAutospacing="0" w:line="276" w:lineRule="auto"/>
                          <w:jc w:val="center"/>
                        </w:pP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2" o:spid="_x0000_s1044" type="#_x0000_t34" style="position:absolute;left:57423;top:18348;width:3035;height:19;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hRM8UAAADbAAAADwAAAGRycy9kb3ducmV2LnhtbESP3WrCQBSE74W+w3IKvdNNrahEVykV&#10;RaQgxh9yecyeJsHs2ZBdNX37bkHwcpiZb5jpvDWVuFHjSssK3nsRCOLM6pJzBYf9sjsG4Tyyxsoy&#10;KfglB/PZS2eKsbZ33tEt8bkIEHYxKii8r2MpXVaQQdezNXHwfmxj0AfZ5FI3eA9wU8l+FA2lwZLD&#10;QoE1fRWUXZKrUXC8HMvvartJh6d0kQ6SejVy55VSb6/t5wSEp9Y/w4/2Wiv46MP/l/A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5hRM8UAAADbAAAADwAAAAAAAAAA&#10;AAAAAAChAgAAZHJzL2Rvd25yZXYueG1sUEsFBgAAAAAEAAQA+QAAAJMDAAAAAA==&#10;" strokecolor="#006c99" strokeweight="1pt">
                  <v:stroke endarrow="block"/>
                </v:shape>
                <v:shape id="Elbow Connector 33" o:spid="_x0000_s1045" type="#_x0000_t33" style="position:absolute;left:46282;top:4923;width:12668;height:19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WNR8QAAADbAAAADwAAAGRycy9kb3ducmV2LnhtbESPQWvCQBSE70L/w/IK3nSjopToKqXQ&#10;0oMHjSni7ZF9JsHs2yW7NWl/vSsIHoeZ+YZZbXrTiCu1vrasYDJOQBAXVtdcKsgPn6M3ED4ga2ws&#10;k4I/8rBZvwxWmGrb8Z6uWShFhLBPUUEVgkul9EVFBv3YOuLonW1rMETZllK32EW4aeQ0SRbSYM1x&#10;oUJHHxUVl+zXKCh+3G6eTaa07f6Pp/zLnKRzTqnha/++BBGoD8/wo/2tFcxmcP8Sf4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xY1HxAAAANsAAAAPAAAAAAAAAAAA&#10;AAAAAKECAABkcnMvZG93bnJldi54bWxQSwUGAAAAAAQABAD5AAAAkgMAAAAA&#10;" strokecolor="#006c99" strokeweight="1pt">
                  <v:stroke dashstyle="dash"/>
                </v:shape>
                <v:rect id="Rectangle 35" o:spid="_x0000_s1046" style="position:absolute;left:19139;top:13643;width:12412;height:18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6E78A&#10;AADbAAAADwAAAGRycy9kb3ducmV2LnhtbESPzQrCMBCE74LvEFbwpqmKItUoIoqiB/HnAdZmbYvN&#10;pjRR69sbQfA4zMw3zHRem0I8qXK5ZQW9bgSCOLE651TB5bzujEE4j6yxsEwK3uRgPms2phhr++Ij&#10;PU8+FQHCLkYFmfdlLKVLMjLourYkDt7NVgZ9kFUqdYWvADeF7EfRSBrMOSxkWNIyo+R+ehgF+019&#10;6Bs8LuV2ddmnuxXdrmdSqt2qFxMQnmr/D//aW61gMITvl/A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QfoTvwAAANsAAAAPAAAAAAAAAAAAAAAAAJgCAABkcnMvZG93bnJl&#10;di54bWxQSwUGAAAAAAQABAD1AAAAhAMAAAAA&#10;" fillcolor="#dbe5f1" stroked="f">
                  <v:textbox inset=",1mm,,1mm">
                    <w:txbxContent>
                      <w:p w:rsidR="00C949E3" w:rsidRDefault="00C949E3" w:rsidP="00DA03CB">
                        <w:pPr>
                          <w:pStyle w:val="NormalWeb"/>
                          <w:spacing w:before="0" w:beforeAutospacing="0" w:after="60" w:afterAutospacing="0" w:line="276" w:lineRule="auto"/>
                          <w:rPr>
                            <w:rFonts w:ascii="Tunga" w:eastAsia="Calibri" w:hAnsi="Tunga" w:cs="Tunga"/>
                            <w:b/>
                            <w:bCs/>
                            <w:sz w:val="16"/>
                            <w:szCs w:val="16"/>
                          </w:rPr>
                        </w:pPr>
                        <w:r w:rsidRPr="004C5F9A">
                          <w:rPr>
                            <w:rFonts w:ascii="Tunga" w:eastAsia="Calibri" w:hAnsi="Tunga" w:cs="Tunga"/>
                            <w:b/>
                            <w:bCs/>
                            <w:sz w:val="16"/>
                            <w:szCs w:val="16"/>
                          </w:rPr>
                          <w:t>A range of models, methods, and information</w:t>
                        </w:r>
                      </w:p>
                      <w:p w:rsidR="00C949E3" w:rsidRPr="004C5F9A" w:rsidRDefault="00C949E3">
                        <w:pPr>
                          <w:pStyle w:val="NormalWeb"/>
                          <w:spacing w:before="0" w:beforeAutospacing="0" w:after="60" w:afterAutospacing="0" w:line="276" w:lineRule="auto"/>
                          <w:rPr>
                            <w:rFonts w:ascii="Tunga" w:eastAsia="Calibri" w:hAnsi="Tunga" w:cs="Tunga"/>
                            <w:b/>
                            <w:bCs/>
                            <w:sz w:val="16"/>
                            <w:szCs w:val="16"/>
                          </w:rPr>
                        </w:pPr>
                        <w:r>
                          <w:rPr>
                            <w:rFonts w:ascii="Tunga" w:eastAsia="Calibri" w:hAnsi="Tunga" w:cs="Tunga"/>
                            <w:bCs/>
                            <w:sz w:val="16"/>
                            <w:szCs w:val="16"/>
                          </w:rPr>
                          <w:t>S</w:t>
                        </w:r>
                        <w:r w:rsidRPr="00DA03CB">
                          <w:rPr>
                            <w:rFonts w:ascii="Tunga" w:eastAsia="Calibri" w:hAnsi="Tunga" w:cs="Tunga"/>
                            <w:bCs/>
                            <w:sz w:val="16"/>
                            <w:szCs w:val="16"/>
                          </w:rPr>
                          <w:t>et the rang</w:t>
                        </w:r>
                        <w:r>
                          <w:rPr>
                            <w:rFonts w:ascii="Tunga" w:eastAsia="Calibri" w:hAnsi="Tunga" w:cs="Tunga"/>
                            <w:bCs/>
                            <w:sz w:val="16"/>
                            <w:szCs w:val="16"/>
                          </w:rPr>
                          <w:t>e</w:t>
                        </w:r>
                        <w:r w:rsidRPr="00DA03CB">
                          <w:rPr>
                            <w:rFonts w:ascii="Tunga" w:eastAsia="Calibri" w:hAnsi="Tunga" w:cs="Tunga"/>
                            <w:bCs/>
                            <w:sz w:val="16"/>
                            <w:szCs w:val="16"/>
                          </w:rPr>
                          <w:t xml:space="preserve"> of inputs into the foundation model or assist in determining a point estim</w:t>
                        </w:r>
                        <w:r>
                          <w:rPr>
                            <w:rFonts w:ascii="Tunga" w:eastAsia="Calibri" w:hAnsi="Tunga" w:cs="Tunga"/>
                            <w:bCs/>
                            <w:sz w:val="16"/>
                            <w:szCs w:val="16"/>
                          </w:rPr>
                          <w:t>ate within a range of estimates</w:t>
                        </w:r>
                      </w:p>
                    </w:txbxContent>
                  </v:textbox>
                </v:rect>
                <v:shape id="Elbow Connector 39" o:spid="_x0000_s1047" type="#_x0000_t34" style="position:absolute;left:16037;top:22722;width:3102;height: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Ux8QAAADbAAAADwAAAGRycy9kb3ducmV2LnhtbESP3YrCMBSE7wXfIRxh7zRdfxa3GkV0&#10;BRFvVvcBjs3ZpticlCZq+/ZGELwcZuYbZr5sbCluVPvCsYLPQQKCOHO64FzB32nbn4LwAVlj6ZgU&#10;tORhueh25phqd+dfuh1DLiKEfYoKTAhVKqXPDFn0A1cRR+/f1RZDlHUudY33CLelHCbJl7RYcFww&#10;WNHaUHY5Xq2CZDU2+/34cijbdfsznZw32+vwpNRHr1nNQARqwjv8au+0gtE3PL/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iJTHxAAAANsAAAAPAAAAAAAAAAAA&#10;AAAAAKECAABkcnMvZG93bnJldi54bWxQSwUGAAAAAAQABAD5AAAAkgMAAAAA&#10;" strokecolor="#006c99" strokeweight="1pt">
                  <v:stroke startarrow="block" endarrow="block"/>
                </v:shape>
                <v:rect id="Rectangle 36" o:spid="_x0000_s1048" style="position:absolute;left:33659;top:23519;width:17170;height:7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NkZL8A&#10;AADbAAAADwAAAGRycy9kb3ducmV2LnhtbESPwQrCMBBE74L/EFbwpqkKItUoIoqiB7H6AWuztsVm&#10;U5qo9e+NIHgcZuYNM1s0phRPql1hWcGgH4EgTq0uOFNwOW96ExDOI2ssLZOCNzlYzNutGcbavvhE&#10;z8RnIkDYxagg976KpXRpTgZd31bEwbvZ2qAPss6krvEV4KaUwygaS4MFh4UcK1rllN6Th1Fw2DbH&#10;ocHTSu7Wl0O2X9Pteialup1mOQXhqfH/8K+90wpGY/h+C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k2RkvwAAANsAAAAPAAAAAAAAAAAAAAAAAJgCAABkcnMvZG93bnJl&#10;di54bWxQSwUGAAAAAAQABAD1AAAAhAMAAAAA&#10;" fillcolor="#dbe5f1" stroked="f">
                  <v:textbox inset=",1mm,,1mm">
                    <w:txbxContent>
                      <w:p w:rsidR="00C949E3" w:rsidRPr="00EA61F6" w:rsidRDefault="00C949E3" w:rsidP="00D94B4D">
                        <w:pPr>
                          <w:pStyle w:val="NormalWeb"/>
                          <w:spacing w:before="0" w:beforeAutospacing="0" w:after="60" w:afterAutospacing="0" w:line="276" w:lineRule="auto"/>
                          <w:rPr>
                            <w:rFonts w:ascii="Tunga" w:eastAsia="Calibri" w:hAnsi="Tunga" w:cs="Tunga"/>
                            <w:b/>
                            <w:sz w:val="16"/>
                            <w:szCs w:val="16"/>
                          </w:rPr>
                        </w:pPr>
                        <w:r w:rsidRPr="00EA61F6">
                          <w:rPr>
                            <w:rFonts w:ascii="Tunga" w:eastAsia="Calibri" w:hAnsi="Tunga" w:cs="Tunga"/>
                            <w:b/>
                            <w:sz w:val="16"/>
                            <w:szCs w:val="16"/>
                          </w:rPr>
                          <w:t>Estimation procedure</w:t>
                        </w:r>
                      </w:p>
                      <w:p w:rsidR="00C949E3" w:rsidRDefault="00C949E3" w:rsidP="00D94B4D">
                        <w:pPr>
                          <w:pStyle w:val="NormalWeb"/>
                          <w:spacing w:before="0" w:beforeAutospacing="0" w:after="60" w:afterAutospacing="0" w:line="276" w:lineRule="auto"/>
                        </w:pPr>
                        <w:r>
                          <w:rPr>
                            <w:rFonts w:ascii="Tunga" w:eastAsia="Calibri" w:hAnsi="Tunga" w:cs="Tunga"/>
                            <w:sz w:val="16"/>
                            <w:szCs w:val="16"/>
                          </w:rPr>
                          <w:t>I</w:t>
                        </w:r>
                        <w:r w:rsidRPr="00D94B4D">
                          <w:rPr>
                            <w:rFonts w:ascii="Tunga" w:eastAsia="Calibri" w:hAnsi="Tunga" w:cs="Tunga"/>
                            <w:sz w:val="16"/>
                            <w:szCs w:val="16"/>
                          </w:rPr>
                          <w:t>ndependent third party data provider</w:t>
                        </w:r>
                        <w:r>
                          <w:rPr>
                            <w:rFonts w:ascii="Tunga" w:eastAsia="Calibri" w:hAnsi="Tunga" w:cs="Tunga"/>
                            <w:sz w:val="16"/>
                            <w:szCs w:val="16"/>
                          </w:rPr>
                          <w:t xml:space="preserve"> </w:t>
                        </w:r>
                        <w:r w:rsidRPr="00D94B4D">
                          <w:rPr>
                            <w:rFonts w:ascii="Tunga" w:eastAsia="Calibri" w:hAnsi="Tunga" w:cs="Tunga"/>
                            <w:sz w:val="16"/>
                            <w:szCs w:val="16"/>
                          </w:rPr>
                          <w:t xml:space="preserve">(benchmark debt term of </w:t>
                        </w:r>
                        <w:r>
                          <w:rPr>
                            <w:rFonts w:ascii="Tunga" w:eastAsia="Calibri" w:hAnsi="Tunga" w:cs="Tunga"/>
                            <w:sz w:val="16"/>
                            <w:szCs w:val="16"/>
                          </w:rPr>
                          <w:t>ten</w:t>
                        </w:r>
                        <w:r w:rsidRPr="00D94B4D">
                          <w:rPr>
                            <w:rFonts w:ascii="Tunga" w:eastAsia="Calibri" w:hAnsi="Tunga" w:cs="Tunga"/>
                            <w:sz w:val="16"/>
                            <w:szCs w:val="16"/>
                          </w:rPr>
                          <w:t xml:space="preserve"> years and credit rating of BBB+ or equivalent)</w:t>
                        </w:r>
                      </w:p>
                    </w:txbxContent>
                  </v:textbox>
                </v:rect>
                <v:shape id="Elbow Connector 40" o:spid="_x0000_s1049" type="#_x0000_t34" style="position:absolute;left:41160;top:22434;width:2156;height:13;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0G+8AAAADbAAAADwAAAGRycy9kb3ducmV2LnhtbERPzYrCMBC+L/gOYQQvsk0VWdzaKCoo&#10;uqKwrg8wNmNbbCaliVrf3hyEPX58/+msNZW4U+NKywoGUQyCOLO65FzB6W/1OQbhPLLGyjIpeJKD&#10;2bTzkWKi7YN/6X70uQgh7BJUUHhfJ1K6rCCDLrI1ceAutjHoA2xyqRt8hHBTyWEcf0mDJYeGAmta&#10;FpRdjzej4LLTpt7a7/O+b3W8Lg9uvPjJlOp12/kEhKfW/4vf7o1WMArrw5fwA+T0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6tBvvAAAAA2wAAAA8AAAAAAAAAAAAAAAAA&#10;oQIAAGRycy9kb3ducmV2LnhtbFBLBQYAAAAABAAEAPkAAACOAwAAAAA=&#10;" strokecolor="#006c99" strokeweight="1pt">
                  <v:stroke endarrow="block"/>
                </v:shape>
                <v:shapetype id="_x0000_t32" coordsize="21600,21600" o:spt="32" o:oned="t" path="m,l21600,21600e" filled="f">
                  <v:path arrowok="t" fillok="f" o:connecttype="none"/>
                  <o:lock v:ext="edit" shapetype="t"/>
                </v:shapetype>
                <v:shape id="Straight Arrow Connector 14" o:spid="_x0000_s1050" type="#_x0000_t32" style="position:absolute;left:42230;top:12067;width:1;height:17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5uSsEAAADbAAAADwAAAGRycy9kb3ducmV2LnhtbERPzWrCQBC+C32HZYTedKNVKdFViiKR&#10;qoeqDzBmp0no7mzIriZ9+25B8DYf3+8sVp014k6NrxwrGA0TEMS50xUXCi7n7eAdhA/IGo1jUvBL&#10;HlbLl94CU+1a/qL7KRQihrBPUUEZQp1K6fOSLPqhq4kj9+0aiyHCppC6wTaGWyPHSTKTFiuODSXW&#10;tC4p/zndrIKDyz75eHvb6FZPTZfV15nJ9kq99ruPOYhAXXiKH+6djvMn8P9LPEA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5KwQAAANsAAAAPAAAAAAAAAAAAAAAA&#10;AKECAABkcnMvZG93bnJldi54bWxQSwUGAAAAAAQABAD5AAAAjwMAAAAA&#10;" strokecolor="#006a99" strokeweight="1pt">
                  <v:stroke endarrow="block"/>
                </v:shape>
                <v:shape id="Straight Arrow Connector 42" o:spid="_x0000_s1051" type="#_x0000_t32" style="position:absolute;left:38552;top:6330;width:0;height:13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kxLcMAAADbAAAADwAAAGRycy9kb3ducmV2LnhtbESPQWuDQBSE74X8h+UFcmvWSCjFZhVp&#10;EEoutiYEcnu4ryp134q7VfPvu4VCj8PMfMMcssX0YqLRdZYV7LYRCOLa6o4bBZdz8fgMwnlkjb1l&#10;UnAnB1m6ejhgou3MHzRVvhEBwi5BBa33QyKlq1sy6LZ2IA7epx0N+iDHRuoR5wA3vYyj6Eka7Dgs&#10;tDjQa0v1V/VtFEj5Pt18eSy6vIiuuupLPC2TUpv1kr+A8LT4//Bf+00r2Mfw+yX8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ZMS3DAAAA2wAAAA8AAAAAAAAAAAAA&#10;AAAAoQIAAGRycy9kb3ducmV2LnhtbFBLBQYAAAAABAAEAPkAAACRAwAAAAA=&#10;" strokecolor="#006a99" strokeweight="1pt">
                  <v:stroke endarrow="block"/>
                </v:shape>
                <v:shape id="Straight Arrow Connector 43" o:spid="_x0000_s1052" type="#_x0000_t32" style="position:absolute;left:5893;top:11918;width:0;height:17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WUtsIAAADbAAAADwAAAGRycy9kb3ducmV2LnhtbESPQYvCMBSE78L+h/AWvNl0VUSqUWSl&#10;IF5c67Lg7dE822LzUppY6783C4LHYWa+YZbr3tSio9ZVlhV8RTEI4tzqigsFv6d0NAfhPLLG2jIp&#10;eJCD9epjsMRE2zsfqct8IQKEXYIKSu+bREqXl2TQRbYhDt7FtgZ9kG0hdYv3ADe1HMfxTBqsOCyU&#10;2NB3Sfk1uxkFUv50Z3/YptUmjf90Vh9w33dKDT/7zQKEp96/w6/2TiuYTuD/S/gB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WUtsIAAADbAAAADwAAAAAAAAAAAAAA&#10;AAChAgAAZHJzL2Rvd25yZXYueG1sUEsFBgAAAAAEAAQA+QAAAJADAAAAAA==&#10;" strokecolor="#006a99" strokeweight="1pt">
                  <v:stroke endarrow="block"/>
                </v:shape>
                <v:shape id="Straight Arrow Connector 44" o:spid="_x0000_s1053" type="#_x0000_t32" style="position:absolute;left:23197;top:11901;width:0;height:17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wMwsIAAADbAAAADwAAAGRycy9kb3ducmV2LnhtbESPQYvCMBSE78L+h/AWvGm6IiLVtIhL&#10;YdmLWmVhb4/m2Rabl9LEWv+9EQSPw8x8w6zTwTSip87VlhV8TSMQxIXVNZcKTsdssgThPLLGxjIp&#10;uJODNPkYrTHW9sYH6nNfigBhF6OCyvs2ltIVFRl0U9sSB+9sO4M+yK6UusNbgJtGzqJoIQ3WHBYq&#10;bGlbUXHJr0aBlPv+3+++s3qTRX86b3b4O/RKjT+HzQqEp8G/w6/2j1Ywn8PzS/gBMn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wMwsIAAADbAAAADwAAAAAAAAAAAAAA&#10;AAChAgAAZHJzL2Rvd25yZXYueG1sUEsFBgAAAAAEAAQA+QAAAJADAAAAAA==&#10;" strokecolor="#006a99" strokeweight="1pt">
                  <v:stroke endarrow="block"/>
                </v:shape>
                <w10:wrap type="topAndBottom" anchory="page"/>
              </v:group>
            </w:pict>
          </mc:Fallback>
        </mc:AlternateContent>
      </w:r>
      <w:r w:rsidR="00D53ED7" w:rsidRPr="00E0500A">
        <w:rPr>
          <w:rFonts w:ascii="Tunga" w:hAnsi="Tunga" w:cs="Tunga"/>
          <w:b/>
          <w:iCs/>
          <w:noProof/>
          <w:color w:val="006A99"/>
          <w:spacing w:val="0"/>
          <w:kern w:val="24"/>
          <w:sz w:val="24"/>
          <w:lang w:eastAsia="en-AU"/>
        </w:rPr>
        <mc:AlternateContent>
          <mc:Choice Requires="wpg">
            <w:drawing>
              <wp:anchor distT="0" distB="0" distL="114300" distR="114300" simplePos="0" relativeHeight="251661312" behindDoc="0" locked="0" layoutInCell="1" allowOverlap="1" wp14:anchorId="1BF899CE" wp14:editId="2B312285">
                <wp:simplePos x="0" y="0"/>
                <wp:positionH relativeFrom="column">
                  <wp:posOffset>-510540</wp:posOffset>
                </wp:positionH>
                <wp:positionV relativeFrom="page">
                  <wp:posOffset>424815</wp:posOffset>
                </wp:positionV>
                <wp:extent cx="7642225" cy="323850"/>
                <wp:effectExtent l="0" t="0" r="15875" b="38100"/>
                <wp:wrapNone/>
                <wp:docPr id="13" name="Group 13"/>
                <wp:cNvGraphicFramePr/>
                <a:graphic xmlns:a="http://schemas.openxmlformats.org/drawingml/2006/main">
                  <a:graphicData uri="http://schemas.microsoft.com/office/word/2010/wordprocessingGroup">
                    <wpg:wgp>
                      <wpg:cNvGrpSpPr/>
                      <wpg:grpSpPr>
                        <a:xfrm>
                          <a:off x="0" y="0"/>
                          <a:ext cx="7642225" cy="323850"/>
                          <a:chOff x="-15351" y="0"/>
                          <a:chExt cx="7646046" cy="323850"/>
                        </a:xfrm>
                      </wpg:grpSpPr>
                      <wps:wsp>
                        <wps:cNvPr id="11" name="Text Box 2"/>
                        <wps:cNvSpPr txBox="1">
                          <a:spLocks noChangeArrowheads="1"/>
                        </wps:cNvSpPr>
                        <wps:spPr bwMode="auto">
                          <a:xfrm>
                            <a:off x="-15351" y="0"/>
                            <a:ext cx="7635238"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6B1EE6" w:rsidRDefault="00C949E3"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w:t>
                              </w:r>
                              <w:r>
                                <w:rPr>
                                  <w:rFonts w:ascii="Univers 45 Light" w:hAnsi="Univers 45 Light" w:cs="Calibri"/>
                                  <w:b/>
                                  <w:color w:val="FFFFFF"/>
                                  <w:spacing w:val="20"/>
                                  <w:w w:val="80"/>
                                  <w:kern w:val="22"/>
                                </w:rPr>
                                <w:t>RATE OF RETURN GUIDELINE</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54" style="position:absolute;margin-left:-40.2pt;margin-top:33.45pt;width:601.75pt;height:25.5pt;z-index:251661312;mso-position-horizontal-relative:text;mso-position-vertical-relative:page;mso-width-relative:margin;mso-height-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">
                <v:shape id="Text Box 2" o:spid="_x0000_s1055"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C949E3" w:rsidRPr="006B1EE6" w:rsidRDefault="00C949E3" w:rsidP="001D49FD">
                        <w:pPr>
                          <w:ind w:left="567"/>
                          <w:rPr>
                            <w:rFonts w:ascii="Univers 45 Light" w:hAnsi="Univers 45 Light" w:cs="Calibri"/>
                            <w:b/>
                            <w:color w:val="FFFFFF"/>
                            <w:spacing w:val="20"/>
                            <w:w w:val="80"/>
                            <w:kern w:val="22"/>
                          </w:rPr>
                        </w:pPr>
                        <w:r w:rsidRPr="006B1EE6">
                          <w:rPr>
                            <w:rFonts w:ascii="Univers 45 Light" w:hAnsi="Univers 45 Light" w:cs="Calibri"/>
                            <w:b/>
                            <w:color w:val="FFFFFF"/>
                            <w:spacing w:val="20"/>
                            <w:w w:val="80"/>
                            <w:kern w:val="22"/>
                          </w:rPr>
                          <w:t xml:space="preserve">BETTER REGULATION: </w:t>
                        </w:r>
                        <w:r>
                          <w:rPr>
                            <w:rFonts w:ascii="Univers 45 Light" w:hAnsi="Univers 45 Light" w:cs="Calibri"/>
                            <w:b/>
                            <w:color w:val="FFFFFF"/>
                            <w:spacing w:val="20"/>
                            <w:w w:val="80"/>
                            <w:kern w:val="22"/>
                          </w:rPr>
                          <w:t>RATE OF RETURN GUIDELINE</w:t>
                        </w:r>
                      </w:p>
                    </w:txbxContent>
                  </v:textbox>
                </v:shape>
                <v:line id="Straight Connector 6" o:spid="_x0000_s1056"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anchory="page"/>
              </v:group>
            </w:pict>
          </mc:Fallback>
        </mc:AlternateContent>
      </w:r>
      <w:r w:rsidR="00E0500A" w:rsidRPr="00E0500A">
        <w:rPr>
          <w:rFonts w:ascii="Tunga" w:hAnsi="Tunga" w:cs="Tunga"/>
          <w:b/>
          <w:iCs/>
          <w:color w:val="006A99"/>
          <w:spacing w:val="0"/>
          <w:kern w:val="24"/>
          <w:sz w:val="24"/>
        </w:rPr>
        <w:t xml:space="preserve">How </w:t>
      </w:r>
      <w:r w:rsidR="00F13827">
        <w:rPr>
          <w:rFonts w:ascii="Tunga" w:hAnsi="Tunga" w:cs="Tunga"/>
          <w:b/>
          <w:iCs/>
          <w:color w:val="006A99"/>
          <w:spacing w:val="0"/>
          <w:kern w:val="24"/>
          <w:sz w:val="24"/>
        </w:rPr>
        <w:t>do</w:t>
      </w:r>
      <w:r w:rsidR="00E0500A" w:rsidRPr="00E0500A">
        <w:rPr>
          <w:rFonts w:ascii="Tunga" w:hAnsi="Tunga" w:cs="Tunga"/>
          <w:b/>
          <w:iCs/>
          <w:color w:val="006A99"/>
          <w:spacing w:val="0"/>
          <w:kern w:val="24"/>
          <w:sz w:val="24"/>
        </w:rPr>
        <w:t xml:space="preserve"> we estimate the return on debt?</w:t>
      </w:r>
    </w:p>
    <w:p w:rsidR="00877259" w:rsidRDefault="00457E3A" w:rsidP="00F27ABE">
      <w:pPr>
        <w:pStyle w:val="AERfactsheetbodytext"/>
        <w:widowControl w:val="0"/>
      </w:pPr>
      <w:r>
        <w:t>Our approach to the return on debt is to consider the average interest rate that a network business would face if it raised debt</w:t>
      </w:r>
      <w:r w:rsidR="00363D63">
        <w:t xml:space="preserve"> annually </w:t>
      </w:r>
      <w:r>
        <w:t>in ten equal parcels</w:t>
      </w:r>
      <w:r w:rsidR="006D137A">
        <w:t xml:space="preserve">. </w:t>
      </w:r>
      <w:r>
        <w:t xml:space="preserve">This is referred to as the trailing average </w:t>
      </w:r>
      <w:r w:rsidR="006D137A">
        <w:t xml:space="preserve">portfolio </w:t>
      </w:r>
      <w:r>
        <w:t>approach.   This approach assumes that every year, one-tenth of the debt of a n</w:t>
      </w:r>
      <w:r w:rsidR="00877259">
        <w:t>etwork business is re-financed. As the return on debt is an average of the interest rates</w:t>
      </w:r>
      <w:r w:rsidR="006D137A">
        <w:t xml:space="preserve"> over a period of ten years</w:t>
      </w:r>
      <w:r w:rsidR="00877259">
        <w:t xml:space="preserve">, this approach leads to a relatively stable estimate over time. </w:t>
      </w:r>
    </w:p>
    <w:p w:rsidR="00C410E6" w:rsidRDefault="00877259" w:rsidP="00F27ABE">
      <w:pPr>
        <w:pStyle w:val="AERfactsheetbodytext"/>
        <w:widowControl w:val="0"/>
      </w:pPr>
      <w:r w:rsidRPr="00C410E6">
        <w:t>Prior to the publication of this guideline, we had employed a different approach to determining the return on debt.</w:t>
      </w:r>
      <w:r>
        <w:t xml:space="preserve"> </w:t>
      </w:r>
      <w:r w:rsidR="00161050">
        <w:t xml:space="preserve">The previous approach assumed that current interest rates are the best measure of the interest rates that are likely in the future. </w:t>
      </w:r>
    </w:p>
    <w:p w:rsidR="00363D63" w:rsidRDefault="00363D63" w:rsidP="00BF24CD">
      <w:pPr>
        <w:pStyle w:val="AERfactsheetbodytext"/>
      </w:pPr>
      <w:r>
        <w:t xml:space="preserve">To implement </w:t>
      </w:r>
      <w:r w:rsidR="00C97E4C">
        <w:t xml:space="preserve">new approach, </w:t>
      </w:r>
      <w:r>
        <w:t xml:space="preserve">we are transitioning the benchmark business gradually. </w:t>
      </w:r>
      <w:r w:rsidR="00C410E6">
        <w:t>We start the transition by setting the</w:t>
      </w:r>
      <w:r w:rsidR="00C410E6" w:rsidRPr="00327E8A">
        <w:t xml:space="preserve"> return on debt allowance</w:t>
      </w:r>
      <w:r w:rsidR="00C410E6">
        <w:t xml:space="preserve"> </w:t>
      </w:r>
      <w:r w:rsidR="00C410E6" w:rsidRPr="00BF24CD">
        <w:t xml:space="preserve">in a way similar to the previous regime. </w:t>
      </w:r>
      <w:r>
        <w:t xml:space="preserve">From there </w:t>
      </w:r>
      <w:r w:rsidR="00C410E6" w:rsidRPr="00BF24CD">
        <w:t>we update the regulatory allowance every year until it is reflective of the debt financing costs of a benchmark business that refinances one-tenth of its debt portfolio annually.</w:t>
      </w:r>
      <w:r>
        <w:t xml:space="preserve">  </w:t>
      </w:r>
    </w:p>
    <w:p w:rsidR="00E0500A" w:rsidRDefault="00E0500A" w:rsidP="00F27ABE">
      <w:pPr>
        <w:pStyle w:val="AERfactsheetbulletlist"/>
        <w:widowControl w:val="0"/>
        <w:numPr>
          <w:ilvl w:val="0"/>
          <w:numId w:val="0"/>
        </w:numPr>
        <w:rPr>
          <w:rFonts w:ascii="Tunga" w:hAnsi="Tunga" w:cs="Tunga"/>
          <w:b/>
          <w:iCs/>
          <w:color w:val="006A99"/>
          <w:spacing w:val="0"/>
          <w:kern w:val="24"/>
          <w:sz w:val="24"/>
        </w:rPr>
      </w:pPr>
      <w:r>
        <w:rPr>
          <w:noProof/>
          <w:lang w:eastAsia="en-AU"/>
        </w:rPr>
        <mc:AlternateContent>
          <mc:Choice Requires="wps">
            <w:drawing>
              <wp:inline distT="0" distB="0" distL="0" distR="0" wp14:anchorId="05D48B4F" wp14:editId="45F1073A">
                <wp:extent cx="3214370" cy="556953"/>
                <wp:effectExtent l="0" t="0" r="2413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56953"/>
                        </a:xfrm>
                        <a:prstGeom prst="rect">
                          <a:avLst/>
                        </a:prstGeom>
                        <a:solidFill>
                          <a:srgbClr val="DBE5F1"/>
                        </a:solidFill>
                        <a:ln w="9525">
                          <a:solidFill>
                            <a:srgbClr val="006A99"/>
                          </a:solidFill>
                          <a:miter lim="800000"/>
                          <a:headEnd/>
                          <a:tailEnd/>
                        </a:ln>
                      </wps:spPr>
                      <wps:txbx>
                        <w:txbxContent>
                          <w:p w:rsidR="00C949E3" w:rsidRDefault="00C949E3" w:rsidP="00E0500A">
                            <w:pPr>
                              <w:pStyle w:val="AERfactsheetbodytext"/>
                            </w:pPr>
                            <w:r>
                              <w:t xml:space="preserve">Our approach to the return on debt will </w:t>
                            </w:r>
                            <w:r w:rsidRPr="00916002">
                              <w:t xml:space="preserve">closely align with the efficient debt financing practices of regulated businesses. </w:t>
                            </w:r>
                          </w:p>
                          <w:p w:rsidR="00C949E3" w:rsidRDefault="00C949E3" w:rsidP="00E0500A"/>
                        </w:txbxContent>
                      </wps:txbx>
                      <wps:bodyPr rot="0" vert="horz" wrap="square" lIns="91440" tIns="45720" rIns="91440" bIns="45720" anchor="t" anchorCtr="0" upright="1">
                        <a:noAutofit/>
                      </wps:bodyPr>
                    </wps:wsp>
                  </a:graphicData>
                </a:graphic>
              </wp:inline>
            </w:drawing>
          </mc:Choice>
          <mc:Fallback>
            <w:pict>
              <v:shape id="Text Box 1" o:spid="_x0000_s1057" type="#_x0000_t202" style="width:253.1pt;height:4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" fillcolor="#dbe5f1" strokecolor="#006a99">
                <v:textbox>
                  <w:txbxContent>
                    <w:p w:rsidR="00C949E3" w:rsidRDefault="00C949E3" w:rsidP="00E0500A">
                      <w:pPr>
                        <w:pStyle w:val="AERfactsheetbodytext"/>
                      </w:pPr>
                      <w:r>
                        <w:t xml:space="preserve">Our approach to the return on debt will </w:t>
                      </w:r>
                      <w:r w:rsidRPr="00916002">
                        <w:t xml:space="preserve">closely align with the efficient debt financing practices of regulated businesses. </w:t>
                      </w:r>
                    </w:p>
                    <w:p w:rsidR="00C949E3" w:rsidRDefault="00C949E3" w:rsidP="00E0500A"/>
                  </w:txbxContent>
                </v:textbox>
                <w10:anchorlock/>
              </v:shape>
            </w:pict>
          </mc:Fallback>
        </mc:AlternateContent>
      </w:r>
    </w:p>
    <w:p w:rsidR="00117167" w:rsidRPr="00E0500A" w:rsidRDefault="00117167" w:rsidP="00F27ABE">
      <w:pPr>
        <w:pStyle w:val="AERfactsheetbulletlist"/>
        <w:widowControl w:val="0"/>
        <w:numPr>
          <w:ilvl w:val="0"/>
          <w:numId w:val="0"/>
        </w:numPr>
        <w:rPr>
          <w:rFonts w:ascii="Tunga" w:hAnsi="Tunga" w:cs="Tunga"/>
          <w:b/>
          <w:iCs/>
          <w:color w:val="006A99"/>
          <w:spacing w:val="0"/>
          <w:kern w:val="24"/>
          <w:sz w:val="24"/>
        </w:rPr>
      </w:pPr>
      <w:r w:rsidRPr="00E0500A">
        <w:rPr>
          <w:rFonts w:ascii="Tunga" w:hAnsi="Tunga" w:cs="Tunga"/>
          <w:b/>
          <w:iCs/>
          <w:color w:val="006A99"/>
          <w:spacing w:val="0"/>
          <w:kern w:val="24"/>
          <w:sz w:val="24"/>
        </w:rPr>
        <w:t xml:space="preserve">What </w:t>
      </w:r>
      <w:r w:rsidR="00D202AC">
        <w:rPr>
          <w:rFonts w:ascii="Tunga" w:hAnsi="Tunga" w:cs="Tunga"/>
          <w:b/>
          <w:iCs/>
          <w:color w:val="006A99"/>
          <w:spacing w:val="0"/>
          <w:kern w:val="24"/>
          <w:sz w:val="24"/>
        </w:rPr>
        <w:t xml:space="preserve">are the </w:t>
      </w:r>
      <w:r w:rsidRPr="00E0500A">
        <w:rPr>
          <w:rFonts w:ascii="Tunga" w:hAnsi="Tunga" w:cs="Tunga"/>
          <w:b/>
          <w:iCs/>
          <w:color w:val="006A99"/>
          <w:spacing w:val="0"/>
          <w:kern w:val="24"/>
          <w:sz w:val="24"/>
        </w:rPr>
        <w:t>parameters</w:t>
      </w:r>
      <w:r w:rsidR="00D202AC">
        <w:rPr>
          <w:rFonts w:ascii="Tunga" w:hAnsi="Tunga" w:cs="Tunga"/>
          <w:b/>
          <w:iCs/>
          <w:color w:val="006A99"/>
          <w:spacing w:val="0"/>
          <w:kern w:val="24"/>
          <w:sz w:val="24"/>
        </w:rPr>
        <w:t xml:space="preserve"> involved</w:t>
      </w:r>
      <w:r w:rsidRPr="00E0500A">
        <w:rPr>
          <w:rFonts w:ascii="Tunga" w:hAnsi="Tunga" w:cs="Tunga"/>
          <w:b/>
          <w:iCs/>
          <w:color w:val="006A99"/>
          <w:spacing w:val="0"/>
          <w:kern w:val="24"/>
          <w:sz w:val="24"/>
        </w:rPr>
        <w:t>?</w:t>
      </w:r>
    </w:p>
    <w:p w:rsidR="00392D55" w:rsidRDefault="00392D55" w:rsidP="00F27ABE">
      <w:pPr>
        <w:pStyle w:val="AERfactsheetbodytext"/>
        <w:widowControl w:val="0"/>
      </w:pPr>
      <w:r>
        <w:t xml:space="preserve">In order to promote clarity and transparency for our stakeholders, we are providing our current estimate of two inputs into our return on equity foundation model, together with estimates of the value of the imputation credits and the debt credit rating. The estimates we have included are determined </w:t>
      </w:r>
      <w:r w:rsidR="00974FE1">
        <w:t>as at</w:t>
      </w:r>
      <w:r>
        <w:t xml:space="preserve"> December 2013. Over time these estimates may change. </w:t>
      </w:r>
    </w:p>
    <w:p w:rsidR="00161050" w:rsidRDefault="00161050" w:rsidP="00F27ABE">
      <w:pPr>
        <w:pStyle w:val="AERfactsheetbodytext"/>
        <w:widowControl w:val="0"/>
      </w:pPr>
      <w:r w:rsidRPr="00161050">
        <w:t>The return on equity for a network business depends on the</w:t>
      </w:r>
      <w:r>
        <w:t xml:space="preserve"> returns on a risk-free asset (</w:t>
      </w:r>
      <w:r w:rsidRPr="00161050">
        <w:t xml:space="preserve">the risk free rate) the </w:t>
      </w:r>
      <w:r>
        <w:t>returns to the broader market (</w:t>
      </w:r>
      <w:r w:rsidRPr="00161050">
        <w:t>the MRP) and the extent to which returns to equity for network businesses vary with</w:t>
      </w:r>
      <w:r>
        <w:t xml:space="preserve"> market conditions in general (</w:t>
      </w:r>
      <w:r w:rsidRPr="00161050">
        <w:t>the equity beta)</w:t>
      </w:r>
      <w:r>
        <w:t>.</w:t>
      </w:r>
    </w:p>
    <w:p w:rsidR="00DF7134" w:rsidRDefault="00974FE1" w:rsidP="00F27ABE">
      <w:pPr>
        <w:pStyle w:val="AERfactsheetbodytext"/>
        <w:widowControl w:val="0"/>
      </w:pPr>
      <w:r>
        <w:t>A</w:t>
      </w:r>
      <w:r w:rsidR="006B73DD">
        <w:t xml:space="preserve">s at December 2013, </w:t>
      </w:r>
      <w:r w:rsidR="00D202AC">
        <w:t xml:space="preserve">our </w:t>
      </w:r>
      <w:r w:rsidR="00244D7A">
        <w:t xml:space="preserve">market risk premium </w:t>
      </w:r>
      <w:r>
        <w:t xml:space="preserve">(MRP) </w:t>
      </w:r>
      <w:r w:rsidR="00244D7A">
        <w:t>point estimate is 6.5</w:t>
      </w:r>
      <w:r w:rsidR="006B73DD">
        <w:t>, chosen from within a range of 5</w:t>
      </w:r>
      <w:r w:rsidR="00D202AC">
        <w:t xml:space="preserve"> to </w:t>
      </w:r>
      <w:r w:rsidR="006B73DD">
        <w:t>7.5 per cent</w:t>
      </w:r>
      <w:r w:rsidR="00244D7A">
        <w:t xml:space="preserve">. </w:t>
      </w:r>
      <w:r w:rsidR="00DF7134">
        <w:t>Th</w:t>
      </w:r>
      <w:r w:rsidR="00392D55">
        <w:t xml:space="preserve">e MRP </w:t>
      </w:r>
      <w:r w:rsidR="00DF7134">
        <w:t xml:space="preserve">compensates an investor for the systematic risk of investing in </w:t>
      </w:r>
      <w:r w:rsidR="00392D55">
        <w:t>a</w:t>
      </w:r>
      <w:r w:rsidR="00DF7134">
        <w:t xml:space="preserve"> </w:t>
      </w:r>
      <w:r w:rsidR="00392D55">
        <w:t xml:space="preserve">broad </w:t>
      </w:r>
      <w:r w:rsidR="00DF7134">
        <w:t xml:space="preserve">market portfolio. </w:t>
      </w:r>
      <w:r w:rsidR="00266275">
        <w:t xml:space="preserve">Analysis of historical estimates of the MRP show a long term average of about 6 per cent. We </w:t>
      </w:r>
      <w:r w:rsidR="00392D55">
        <w:t>also</w:t>
      </w:r>
      <w:r w:rsidR="00266275">
        <w:t xml:space="preserve"> have regard to another financial model, the dividend growth model, to determine whether we should adopt an estimate above</w:t>
      </w:r>
      <w:r w:rsidR="002F5CD2">
        <w:t xml:space="preserve">, </w:t>
      </w:r>
      <w:r w:rsidR="00266275">
        <w:t xml:space="preserve">below </w:t>
      </w:r>
      <w:r w:rsidR="002F5CD2">
        <w:t>or consistent with t</w:t>
      </w:r>
      <w:r w:rsidR="00266275">
        <w:t>he historic</w:t>
      </w:r>
      <w:r>
        <w:t>al</w:t>
      </w:r>
      <w:r w:rsidR="00266275">
        <w:t xml:space="preserve"> estimate. </w:t>
      </w:r>
      <w:r w:rsidR="00392D55">
        <w:t xml:space="preserve">This is a symmetric consideration. </w:t>
      </w:r>
      <w:r w:rsidR="00266275">
        <w:t>As at December</w:t>
      </w:r>
      <w:r w:rsidR="00392D55">
        <w:t xml:space="preserve"> 2013</w:t>
      </w:r>
      <w:r w:rsidR="00266275">
        <w:t>, the dividend growth model is above the historic</w:t>
      </w:r>
      <w:r>
        <w:t>al</w:t>
      </w:r>
      <w:r w:rsidR="00266275">
        <w:t xml:space="preserve"> average—leading to an estimate above 6 per cent. </w:t>
      </w:r>
    </w:p>
    <w:p w:rsidR="00544345" w:rsidRPr="003A683A" w:rsidRDefault="00DF7134" w:rsidP="003A683A">
      <w:pPr>
        <w:pStyle w:val="AERfactsheetbodytext"/>
      </w:pPr>
      <w:r>
        <w:t>The equity beta we have currently set to 0.7</w:t>
      </w:r>
      <w:r w:rsidR="006B73DD">
        <w:t>, chosen from within a range of 0.4</w:t>
      </w:r>
      <w:r w:rsidR="00D202AC">
        <w:t xml:space="preserve"> to </w:t>
      </w:r>
      <w:r w:rsidR="006B73DD">
        <w:t>0.7</w:t>
      </w:r>
      <w:r>
        <w:t>. This</w:t>
      </w:r>
      <w:r w:rsidR="00A16F47">
        <w:t xml:space="preserve"> implies that returns to </w:t>
      </w:r>
      <w:r w:rsidR="00161050">
        <w:t>network businesses vary less with economic conditions that returns for the market as a whole</w:t>
      </w:r>
      <w:r w:rsidR="00A16F47" w:rsidRPr="003A683A">
        <w:t xml:space="preserve">. </w:t>
      </w:r>
    </w:p>
    <w:p w:rsidR="00547E18" w:rsidRPr="003A683A" w:rsidRDefault="00DF7134" w:rsidP="003A683A">
      <w:pPr>
        <w:pStyle w:val="AERfactsheetbodytext"/>
      </w:pPr>
      <w:r w:rsidRPr="003A683A">
        <w:t xml:space="preserve">The risk free rate is determined by observing the return on ten-year Commonwealth Government Securities over a short period close to the start of the next regulatory period. </w:t>
      </w:r>
    </w:p>
    <w:p w:rsidR="003A683A" w:rsidRPr="003A683A" w:rsidRDefault="003A683A" w:rsidP="003A683A">
      <w:pPr>
        <w:pStyle w:val="AERfactsheetbodytext"/>
      </w:pPr>
      <w:r w:rsidRPr="003A683A">
        <w:t xml:space="preserve">On the debt side, the required return will be estimated by reference to an independent market provider using a credit rating </w:t>
      </w:r>
      <w:r>
        <w:t xml:space="preserve">of </w:t>
      </w:r>
      <w:r w:rsidRPr="003A683A">
        <w:t>BBB+ or its equivalent and a debt term of 10 years</w:t>
      </w:r>
      <w:r w:rsidR="00F27ABE" w:rsidRPr="003A683A">
        <w:rPr>
          <w:noProof/>
          <w:lang w:eastAsia="en-AU"/>
        </w:rPr>
        <w:drawing>
          <wp:anchor distT="0" distB="0" distL="114300" distR="114300" simplePos="0" relativeHeight="251673600" behindDoc="0" locked="0" layoutInCell="1" allowOverlap="1" wp14:anchorId="604164C1" wp14:editId="47C317A1">
            <wp:simplePos x="0" y="0"/>
            <wp:positionH relativeFrom="column">
              <wp:posOffset>-4333875</wp:posOffset>
            </wp:positionH>
            <wp:positionV relativeFrom="page">
              <wp:posOffset>10233025</wp:posOffset>
            </wp:positionV>
            <wp:extent cx="8827135" cy="492760"/>
            <wp:effectExtent l="0" t="0" r="0" b="2540"/>
            <wp:wrapNone/>
            <wp:docPr id="9" name="Picture 9"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7135" cy="492760"/>
                    </a:xfrm>
                    <a:prstGeom prst="rect">
                      <a:avLst/>
                    </a:prstGeom>
                    <a:noFill/>
                  </pic:spPr>
                </pic:pic>
              </a:graphicData>
            </a:graphic>
            <wp14:sizeRelH relativeFrom="page">
              <wp14:pctWidth>0</wp14:pctWidth>
            </wp14:sizeRelH>
            <wp14:sizeRelV relativeFrom="page">
              <wp14:pctHeight>0</wp14:pctHeight>
            </wp14:sizeRelV>
          </wp:anchor>
        </w:drawing>
      </w:r>
      <w:r w:rsidRPr="003A683A">
        <w:t>.</w:t>
      </w:r>
    </w:p>
    <w:p w:rsidR="008A1608" w:rsidRDefault="00392D55" w:rsidP="003A683A">
      <w:pPr>
        <w:pStyle w:val="AERfactsheetbodytext"/>
        <w:rPr>
          <w:b/>
          <w:iCs/>
        </w:rPr>
      </w:pPr>
      <w:r w:rsidRPr="003A683A">
        <w:t xml:space="preserve">Our current estimate </w:t>
      </w:r>
      <w:r w:rsidR="002E3F5B" w:rsidRPr="003A683A">
        <w:t xml:space="preserve">for the </w:t>
      </w:r>
      <w:r w:rsidR="008A1608" w:rsidRPr="003A683A">
        <w:t>value for imputation</w:t>
      </w:r>
      <w:r w:rsidR="00BF5D39" w:rsidRPr="003A683A">
        <w:t xml:space="preserve"> </w:t>
      </w:r>
      <w:r w:rsidR="008A1608" w:rsidRPr="003A683A">
        <w:t xml:space="preserve">credits (also known as ‘gamma’) </w:t>
      </w:r>
      <w:r w:rsidRPr="003A683A">
        <w:t>is</w:t>
      </w:r>
      <w:r w:rsidR="008A1608" w:rsidRPr="003A683A">
        <w:t xml:space="preserve"> 0.5. Imputation credits </w:t>
      </w:r>
      <w:r w:rsidR="008F6C14" w:rsidRPr="003A683A">
        <w:t xml:space="preserve">are </w:t>
      </w:r>
      <w:r w:rsidR="004C1027" w:rsidRPr="003A683A">
        <w:t>not</w:t>
      </w:r>
      <w:r w:rsidR="0064571A" w:rsidRPr="003A683A">
        <w:t xml:space="preserve"> principally </w:t>
      </w:r>
      <w:r w:rsidR="008F6C14" w:rsidRPr="003A683A">
        <w:t>related to the rate of return</w:t>
      </w:r>
      <w:r w:rsidR="008F6C14">
        <w:t xml:space="preserve"> but </w:t>
      </w:r>
      <w:r w:rsidR="008A1608" w:rsidRPr="008A1608">
        <w:t xml:space="preserve">affect a business’ revenue through </w:t>
      </w:r>
      <w:r w:rsidR="004C1027">
        <w:t xml:space="preserve">adjustments to </w:t>
      </w:r>
      <w:r w:rsidR="008A1608" w:rsidRPr="008A1608">
        <w:t>its tax liability.</w:t>
      </w:r>
    </w:p>
    <w:p w:rsidR="00A24D5C" w:rsidRPr="00697FF1" w:rsidRDefault="00A24D5C" w:rsidP="00F27ABE">
      <w:pPr>
        <w:pStyle w:val="AERFactsheetHeading1"/>
        <w:keepNext w:val="0"/>
        <w:widowControl w:val="0"/>
      </w:pPr>
      <w:r>
        <w:t>M</w:t>
      </w:r>
      <w:r w:rsidRPr="00697FF1">
        <w:t>ore information</w:t>
      </w:r>
    </w:p>
    <w:p w:rsidR="00A24D5C" w:rsidRDefault="00A24D5C" w:rsidP="00F27ABE">
      <w:pPr>
        <w:pStyle w:val="AERfactsheetbodytext"/>
        <w:widowControl w:val="0"/>
      </w:pPr>
      <w:r>
        <w:t xml:space="preserve">The rate of return guideline is available on our website at </w:t>
      </w:r>
      <w:hyperlink r:id="rId12" w:history="1">
        <w:r w:rsidRPr="004732B6">
          <w:rPr>
            <w:rStyle w:val="Hyperlink"/>
          </w:rPr>
          <w:t>http://www.aer.gov.au/node/18859</w:t>
        </w:r>
      </w:hyperlink>
      <w:r>
        <w:t xml:space="preserve">. </w:t>
      </w:r>
    </w:p>
    <w:p w:rsidR="00D202AC" w:rsidRPr="009C0978" w:rsidRDefault="00A24D5C" w:rsidP="00392D55">
      <w:pPr>
        <w:pStyle w:val="AERfactsheetbodytext"/>
        <w:widowControl w:val="0"/>
      </w:pPr>
      <w:r>
        <w:t xml:space="preserve">This guideline forms part of the Better Regulation program. We </w:t>
      </w:r>
      <w:r w:rsidRPr="00697FF1">
        <w:t xml:space="preserve">initiated </w:t>
      </w:r>
      <w:r>
        <w:t xml:space="preserve">this </w:t>
      </w:r>
      <w:r w:rsidRPr="00697FF1">
        <w:t xml:space="preserve">program following </w:t>
      </w:r>
      <w:r>
        <w:t xml:space="preserve">changes to the regulatory framework in late 2012. The program includes seven new guidelines that outline our revised approach to determining electricity network revenues and prices, and our establishment of the Consumer Challenge Panel. </w:t>
      </w:r>
      <w:r w:rsidRPr="00697FF1">
        <w:t xml:space="preserve">For more information </w:t>
      </w:r>
      <w:r>
        <w:t xml:space="preserve">on </w:t>
      </w:r>
      <w:r w:rsidRPr="00697FF1">
        <w:t>the Better Regulati</w:t>
      </w:r>
      <w:r>
        <w:t xml:space="preserve">on program </w:t>
      </w:r>
      <w:r w:rsidRPr="00697FF1">
        <w:t xml:space="preserve">please visit our website </w:t>
      </w:r>
      <w:hyperlink r:id="rId13" w:history="1">
        <w:r w:rsidRPr="00D37AAC">
          <w:rPr>
            <w:rStyle w:val="Hyperlink"/>
          </w:rPr>
          <w:t>www.aer.gov.au/better-regulation-reform-program</w:t>
        </w:r>
      </w:hyperlink>
      <w:r>
        <w:t>.</w:t>
      </w:r>
    </w:p>
    <w:sectPr w:rsidR="00D202AC" w:rsidRPr="009C097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E3" w:rsidRDefault="00C949E3" w:rsidP="00A24D2E">
      <w:r>
        <w:separator/>
      </w:r>
    </w:p>
  </w:endnote>
  <w:endnote w:type="continuationSeparator" w:id="0">
    <w:p w:rsidR="00C949E3" w:rsidRDefault="00C949E3"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Univers 45 Light">
    <w:panose1 w:val="020B040302020202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E3" w:rsidRDefault="00C949E3" w:rsidP="00A24D2E">
      <w:r>
        <w:separator/>
      </w:r>
    </w:p>
  </w:footnote>
  <w:footnote w:type="continuationSeparator" w:id="0">
    <w:p w:rsidR="00C949E3" w:rsidRDefault="00C949E3"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trackRevision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F03"/>
    <w:rsid w:val="00012AC9"/>
    <w:rsid w:val="000173D5"/>
    <w:rsid w:val="000175A4"/>
    <w:rsid w:val="00021F03"/>
    <w:rsid w:val="00022077"/>
    <w:rsid w:val="00027076"/>
    <w:rsid w:val="00035993"/>
    <w:rsid w:val="000437AC"/>
    <w:rsid w:val="000454A0"/>
    <w:rsid w:val="000742B2"/>
    <w:rsid w:val="0007657B"/>
    <w:rsid w:val="00084C36"/>
    <w:rsid w:val="000864DB"/>
    <w:rsid w:val="00097937"/>
    <w:rsid w:val="000B05F7"/>
    <w:rsid w:val="000C025A"/>
    <w:rsid w:val="000C07AD"/>
    <w:rsid w:val="000C712D"/>
    <w:rsid w:val="000D4877"/>
    <w:rsid w:val="000E2D55"/>
    <w:rsid w:val="0010059A"/>
    <w:rsid w:val="00113361"/>
    <w:rsid w:val="001152E2"/>
    <w:rsid w:val="00117167"/>
    <w:rsid w:val="00131C78"/>
    <w:rsid w:val="00134644"/>
    <w:rsid w:val="001364E9"/>
    <w:rsid w:val="00140E1A"/>
    <w:rsid w:val="0016071A"/>
    <w:rsid w:val="00161050"/>
    <w:rsid w:val="00161423"/>
    <w:rsid w:val="00163E50"/>
    <w:rsid w:val="00193867"/>
    <w:rsid w:val="00194A45"/>
    <w:rsid w:val="001A231A"/>
    <w:rsid w:val="001A23C5"/>
    <w:rsid w:val="001A3711"/>
    <w:rsid w:val="001A5BC1"/>
    <w:rsid w:val="001B10C7"/>
    <w:rsid w:val="001D3D87"/>
    <w:rsid w:val="001D49FD"/>
    <w:rsid w:val="001E42DA"/>
    <w:rsid w:val="001F15F8"/>
    <w:rsid w:val="001F2550"/>
    <w:rsid w:val="002106B5"/>
    <w:rsid w:val="00211FD6"/>
    <w:rsid w:val="00216967"/>
    <w:rsid w:val="00223084"/>
    <w:rsid w:val="00225391"/>
    <w:rsid w:val="0022594B"/>
    <w:rsid w:val="00235775"/>
    <w:rsid w:val="00235852"/>
    <w:rsid w:val="00236E3C"/>
    <w:rsid w:val="002425E7"/>
    <w:rsid w:val="00244D7A"/>
    <w:rsid w:val="00257B6D"/>
    <w:rsid w:val="00260768"/>
    <w:rsid w:val="00263811"/>
    <w:rsid w:val="00266275"/>
    <w:rsid w:val="00285C21"/>
    <w:rsid w:val="002952EB"/>
    <w:rsid w:val="002A473F"/>
    <w:rsid w:val="002B7BBC"/>
    <w:rsid w:val="002E3F5B"/>
    <w:rsid w:val="002E57B4"/>
    <w:rsid w:val="002E7F4D"/>
    <w:rsid w:val="002F5CD2"/>
    <w:rsid w:val="00305687"/>
    <w:rsid w:val="003118DF"/>
    <w:rsid w:val="0031269F"/>
    <w:rsid w:val="003224AC"/>
    <w:rsid w:val="00327E8A"/>
    <w:rsid w:val="00342DB1"/>
    <w:rsid w:val="00346F63"/>
    <w:rsid w:val="00354991"/>
    <w:rsid w:val="00356833"/>
    <w:rsid w:val="00360C93"/>
    <w:rsid w:val="00363D63"/>
    <w:rsid w:val="003851C0"/>
    <w:rsid w:val="00385BB9"/>
    <w:rsid w:val="003870D8"/>
    <w:rsid w:val="003876E1"/>
    <w:rsid w:val="00391B7D"/>
    <w:rsid w:val="00392D55"/>
    <w:rsid w:val="003A683A"/>
    <w:rsid w:val="003B46EA"/>
    <w:rsid w:val="003F527A"/>
    <w:rsid w:val="00404570"/>
    <w:rsid w:val="0042329B"/>
    <w:rsid w:val="004310E5"/>
    <w:rsid w:val="00446186"/>
    <w:rsid w:val="0045172C"/>
    <w:rsid w:val="004548EF"/>
    <w:rsid w:val="004579EB"/>
    <w:rsid w:val="00457E3A"/>
    <w:rsid w:val="00474754"/>
    <w:rsid w:val="004842F6"/>
    <w:rsid w:val="004971B8"/>
    <w:rsid w:val="004B0368"/>
    <w:rsid w:val="004B40E2"/>
    <w:rsid w:val="004C1027"/>
    <w:rsid w:val="004C19B8"/>
    <w:rsid w:val="004C5F9A"/>
    <w:rsid w:val="004D1DC0"/>
    <w:rsid w:val="004D52BB"/>
    <w:rsid w:val="004E0FF6"/>
    <w:rsid w:val="004E1208"/>
    <w:rsid w:val="004E4F29"/>
    <w:rsid w:val="0050430D"/>
    <w:rsid w:val="005064D7"/>
    <w:rsid w:val="00511B82"/>
    <w:rsid w:val="00513FFD"/>
    <w:rsid w:val="00526C37"/>
    <w:rsid w:val="005324C6"/>
    <w:rsid w:val="00544345"/>
    <w:rsid w:val="00547E18"/>
    <w:rsid w:val="005524C5"/>
    <w:rsid w:val="00554E14"/>
    <w:rsid w:val="0055584F"/>
    <w:rsid w:val="005746F0"/>
    <w:rsid w:val="005A1CBA"/>
    <w:rsid w:val="005A468C"/>
    <w:rsid w:val="005C144C"/>
    <w:rsid w:val="005D2EBB"/>
    <w:rsid w:val="005E0762"/>
    <w:rsid w:val="005E1E92"/>
    <w:rsid w:val="005E4018"/>
    <w:rsid w:val="005F2DC5"/>
    <w:rsid w:val="005F4DFA"/>
    <w:rsid w:val="006030C0"/>
    <w:rsid w:val="0061155D"/>
    <w:rsid w:val="006246A9"/>
    <w:rsid w:val="0064571A"/>
    <w:rsid w:val="00652BED"/>
    <w:rsid w:val="00661A9B"/>
    <w:rsid w:val="00662BB4"/>
    <w:rsid w:val="00664010"/>
    <w:rsid w:val="0066415A"/>
    <w:rsid w:val="006658A5"/>
    <w:rsid w:val="006721DC"/>
    <w:rsid w:val="00697FF1"/>
    <w:rsid w:val="006A07F6"/>
    <w:rsid w:val="006B1A2B"/>
    <w:rsid w:val="006B322A"/>
    <w:rsid w:val="006B39DB"/>
    <w:rsid w:val="006B6050"/>
    <w:rsid w:val="006B73DD"/>
    <w:rsid w:val="006C4CC5"/>
    <w:rsid w:val="006D0E7F"/>
    <w:rsid w:val="006D137A"/>
    <w:rsid w:val="006D5C4C"/>
    <w:rsid w:val="006F2E4F"/>
    <w:rsid w:val="006F47BA"/>
    <w:rsid w:val="00701628"/>
    <w:rsid w:val="00702500"/>
    <w:rsid w:val="00704EDA"/>
    <w:rsid w:val="007101C1"/>
    <w:rsid w:val="00726CCA"/>
    <w:rsid w:val="007325CC"/>
    <w:rsid w:val="00742DF1"/>
    <w:rsid w:val="00753DF7"/>
    <w:rsid w:val="00754FD0"/>
    <w:rsid w:val="00776ACC"/>
    <w:rsid w:val="007853FF"/>
    <w:rsid w:val="00785986"/>
    <w:rsid w:val="00792075"/>
    <w:rsid w:val="007952B3"/>
    <w:rsid w:val="007A0EEB"/>
    <w:rsid w:val="007B591B"/>
    <w:rsid w:val="007B6947"/>
    <w:rsid w:val="007C2B2C"/>
    <w:rsid w:val="007C3C57"/>
    <w:rsid w:val="007C5329"/>
    <w:rsid w:val="007C54FB"/>
    <w:rsid w:val="007F437A"/>
    <w:rsid w:val="00807259"/>
    <w:rsid w:val="008472A8"/>
    <w:rsid w:val="008535C7"/>
    <w:rsid w:val="00856D44"/>
    <w:rsid w:val="008665CD"/>
    <w:rsid w:val="00871903"/>
    <w:rsid w:val="00877259"/>
    <w:rsid w:val="00877A69"/>
    <w:rsid w:val="00893B2B"/>
    <w:rsid w:val="008A1608"/>
    <w:rsid w:val="008A7F44"/>
    <w:rsid w:val="008B28DF"/>
    <w:rsid w:val="008B33C3"/>
    <w:rsid w:val="008B4DBF"/>
    <w:rsid w:val="008C1F3B"/>
    <w:rsid w:val="008C32AF"/>
    <w:rsid w:val="008C5689"/>
    <w:rsid w:val="008D2A86"/>
    <w:rsid w:val="008D722A"/>
    <w:rsid w:val="008F6C14"/>
    <w:rsid w:val="009032EB"/>
    <w:rsid w:val="00916002"/>
    <w:rsid w:val="0092057B"/>
    <w:rsid w:val="00930D72"/>
    <w:rsid w:val="00935936"/>
    <w:rsid w:val="00935CAA"/>
    <w:rsid w:val="009462FA"/>
    <w:rsid w:val="00960E54"/>
    <w:rsid w:val="009612A1"/>
    <w:rsid w:val="00963F5A"/>
    <w:rsid w:val="00974FE1"/>
    <w:rsid w:val="00993D60"/>
    <w:rsid w:val="009A2BB4"/>
    <w:rsid w:val="009A702D"/>
    <w:rsid w:val="009B2454"/>
    <w:rsid w:val="009B4D12"/>
    <w:rsid w:val="009B60B7"/>
    <w:rsid w:val="009C0036"/>
    <w:rsid w:val="009D246A"/>
    <w:rsid w:val="009D3F78"/>
    <w:rsid w:val="009E0E68"/>
    <w:rsid w:val="009E7CD2"/>
    <w:rsid w:val="009F664C"/>
    <w:rsid w:val="009F6F78"/>
    <w:rsid w:val="009F7619"/>
    <w:rsid w:val="00A02437"/>
    <w:rsid w:val="00A0352C"/>
    <w:rsid w:val="00A1351A"/>
    <w:rsid w:val="00A16F47"/>
    <w:rsid w:val="00A20B7E"/>
    <w:rsid w:val="00A24D2E"/>
    <w:rsid w:val="00A24D5C"/>
    <w:rsid w:val="00A2725A"/>
    <w:rsid w:val="00A30414"/>
    <w:rsid w:val="00A32825"/>
    <w:rsid w:val="00A427A5"/>
    <w:rsid w:val="00A43B3F"/>
    <w:rsid w:val="00A43FE2"/>
    <w:rsid w:val="00A45346"/>
    <w:rsid w:val="00A5063D"/>
    <w:rsid w:val="00A50ACB"/>
    <w:rsid w:val="00A95A1E"/>
    <w:rsid w:val="00A95AD6"/>
    <w:rsid w:val="00A964D1"/>
    <w:rsid w:val="00AA408F"/>
    <w:rsid w:val="00AA4694"/>
    <w:rsid w:val="00AA7208"/>
    <w:rsid w:val="00AB2954"/>
    <w:rsid w:val="00AC0236"/>
    <w:rsid w:val="00AC5FBF"/>
    <w:rsid w:val="00AD2EBC"/>
    <w:rsid w:val="00AD53EF"/>
    <w:rsid w:val="00B0183D"/>
    <w:rsid w:val="00B2084F"/>
    <w:rsid w:val="00B221EC"/>
    <w:rsid w:val="00B3667B"/>
    <w:rsid w:val="00B4272E"/>
    <w:rsid w:val="00B54743"/>
    <w:rsid w:val="00B54816"/>
    <w:rsid w:val="00B608C6"/>
    <w:rsid w:val="00B64AAB"/>
    <w:rsid w:val="00B73353"/>
    <w:rsid w:val="00B74064"/>
    <w:rsid w:val="00B74543"/>
    <w:rsid w:val="00B74C3C"/>
    <w:rsid w:val="00B80182"/>
    <w:rsid w:val="00B87130"/>
    <w:rsid w:val="00BA42E7"/>
    <w:rsid w:val="00BB5A5D"/>
    <w:rsid w:val="00BB6ACB"/>
    <w:rsid w:val="00BB7E86"/>
    <w:rsid w:val="00BB7E90"/>
    <w:rsid w:val="00BE5A7F"/>
    <w:rsid w:val="00BF24CD"/>
    <w:rsid w:val="00BF5D39"/>
    <w:rsid w:val="00C034EE"/>
    <w:rsid w:val="00C039EB"/>
    <w:rsid w:val="00C11E06"/>
    <w:rsid w:val="00C12C1F"/>
    <w:rsid w:val="00C13A11"/>
    <w:rsid w:val="00C162C3"/>
    <w:rsid w:val="00C258B0"/>
    <w:rsid w:val="00C410E6"/>
    <w:rsid w:val="00C5335F"/>
    <w:rsid w:val="00C70125"/>
    <w:rsid w:val="00C71947"/>
    <w:rsid w:val="00C73523"/>
    <w:rsid w:val="00C76528"/>
    <w:rsid w:val="00C866CD"/>
    <w:rsid w:val="00C87AC3"/>
    <w:rsid w:val="00C919E6"/>
    <w:rsid w:val="00C92E99"/>
    <w:rsid w:val="00C93D3E"/>
    <w:rsid w:val="00C949E3"/>
    <w:rsid w:val="00C95BF3"/>
    <w:rsid w:val="00C97E4C"/>
    <w:rsid w:val="00CA0863"/>
    <w:rsid w:val="00CA171E"/>
    <w:rsid w:val="00CA4673"/>
    <w:rsid w:val="00CB3718"/>
    <w:rsid w:val="00CD4560"/>
    <w:rsid w:val="00CE16B5"/>
    <w:rsid w:val="00CF228C"/>
    <w:rsid w:val="00D015A2"/>
    <w:rsid w:val="00D0705E"/>
    <w:rsid w:val="00D113E9"/>
    <w:rsid w:val="00D202AC"/>
    <w:rsid w:val="00D23092"/>
    <w:rsid w:val="00D30B52"/>
    <w:rsid w:val="00D403E1"/>
    <w:rsid w:val="00D53ED7"/>
    <w:rsid w:val="00D5558F"/>
    <w:rsid w:val="00D61CE8"/>
    <w:rsid w:val="00D67257"/>
    <w:rsid w:val="00D74296"/>
    <w:rsid w:val="00D94B4D"/>
    <w:rsid w:val="00DA03CB"/>
    <w:rsid w:val="00DA4F7E"/>
    <w:rsid w:val="00DC20AA"/>
    <w:rsid w:val="00DD18BD"/>
    <w:rsid w:val="00DD5448"/>
    <w:rsid w:val="00DE5EEE"/>
    <w:rsid w:val="00DF28BC"/>
    <w:rsid w:val="00DF7134"/>
    <w:rsid w:val="00E0500A"/>
    <w:rsid w:val="00E1275F"/>
    <w:rsid w:val="00E32544"/>
    <w:rsid w:val="00E342E9"/>
    <w:rsid w:val="00E36170"/>
    <w:rsid w:val="00E43302"/>
    <w:rsid w:val="00E54B7A"/>
    <w:rsid w:val="00E55E88"/>
    <w:rsid w:val="00E61AE2"/>
    <w:rsid w:val="00E67143"/>
    <w:rsid w:val="00E674FC"/>
    <w:rsid w:val="00E86ED3"/>
    <w:rsid w:val="00E8783E"/>
    <w:rsid w:val="00E91EBB"/>
    <w:rsid w:val="00EA61F6"/>
    <w:rsid w:val="00ED6886"/>
    <w:rsid w:val="00EF1802"/>
    <w:rsid w:val="00EF2D77"/>
    <w:rsid w:val="00F06A11"/>
    <w:rsid w:val="00F0776A"/>
    <w:rsid w:val="00F12886"/>
    <w:rsid w:val="00F12DB4"/>
    <w:rsid w:val="00F13827"/>
    <w:rsid w:val="00F209E0"/>
    <w:rsid w:val="00F27ABE"/>
    <w:rsid w:val="00F44A65"/>
    <w:rsid w:val="00F4505F"/>
    <w:rsid w:val="00F52FF0"/>
    <w:rsid w:val="00F56BC0"/>
    <w:rsid w:val="00F62290"/>
    <w:rsid w:val="00F675D7"/>
    <w:rsid w:val="00F7252E"/>
    <w:rsid w:val="00F85337"/>
    <w:rsid w:val="00F91200"/>
    <w:rsid w:val="00FA406F"/>
    <w:rsid w:val="00FB1910"/>
    <w:rsid w:val="00FB7D9A"/>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er.gov.au/better-regulation-reform-prog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er.gov.au/node/188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Better Regulation Rate of Return Factsheet</dc:title>
  <dc:subject/>
  <dc:creator/>
  <cp:keywords/>
  <dc:description/>
  <cp:lastModifiedBy/>
  <cp:revision>1</cp:revision>
  <dcterms:created xsi:type="dcterms:W3CDTF">2013-12-16T06:26:00Z</dcterms:created>
  <dcterms:modified xsi:type="dcterms:W3CDTF">2013-12-16T06:27:00Z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8100820</vt:lpwstr>
  </property>
</Properties>
</file>