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753DF7" w:rsidRDefault="00753DF7" w:rsidP="00753DF7">
      <w:pPr>
        <w:pStyle w:val="AERfactsheetsubtitle"/>
        <w:rPr>
          <w:sz w:val="12"/>
        </w:rPr>
      </w:pPr>
      <w:bookmarkStart w:id="0" w:name="_GoBack"/>
      <w:bookmarkEnd w:id="0"/>
    </w:p>
    <w:p w:rsidR="00F51F76" w:rsidRPr="00F51F76" w:rsidRDefault="00AC0236" w:rsidP="00A03E00">
      <w:pPr>
        <w:pStyle w:val="AERfactsheetsubtitle"/>
      </w:pPr>
      <w:r w:rsidRPr="00B0183D">
        <w:rPr>
          <w:noProof/>
          <w:sz w:val="18"/>
          <w:lang w:eastAsia="en-AU"/>
        </w:rPr>
        <mc:AlternateContent>
          <mc:Choice Requires="wpg">
            <w:drawing>
              <wp:anchor distT="0" distB="0" distL="114300" distR="114300" simplePos="0" relativeHeight="251657216" behindDoc="0" locked="0" layoutInCell="1" allowOverlap="1" wp14:anchorId="11B42982" wp14:editId="47A926F5">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5A7" w:rsidRPr="0008782C" w:rsidRDefault="005F35A7" w:rsidP="001D49FD">
                              <w:pPr>
                                <w:ind w:left="567"/>
                                <w:rPr>
                                  <w:rFonts w:cs="Calibri"/>
                                  <w:color w:val="FFFFFF"/>
                                  <w:sz w:val="32"/>
                                </w:rPr>
                              </w:pPr>
                            </w:p>
                            <w:p w:rsidR="005F35A7" w:rsidRPr="00225391" w:rsidRDefault="005F35A7"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5F35A7" w:rsidRPr="00225391" w:rsidRDefault="005F35A7"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E</w:t>
                              </w:r>
                              <w:r w:rsidRPr="00225391">
                                <w:rPr>
                                  <w:rFonts w:ascii="MS Reference Sans Serif" w:hAnsi="MS Reference Sans Serif" w:cs="Tunga"/>
                                  <w:color w:val="FFFFFF"/>
                                  <w:spacing w:val="10"/>
                                  <w:w w:val="99"/>
                                  <w:kern w:val="44"/>
                                  <w:sz w:val="48"/>
                                </w:rPr>
                                <w:t>xpenditure incentives</w:t>
                              </w:r>
                            </w:p>
                            <w:p w:rsidR="005F35A7" w:rsidRPr="00F97D44" w:rsidRDefault="005F35A7" w:rsidP="001D49FD">
                              <w:pPr>
                                <w:ind w:left="567" w:right="681"/>
                                <w:jc w:val="right"/>
                                <w:rPr>
                                  <w:rFonts w:ascii="MS Reference Sans Serif" w:hAnsi="MS Reference Sans Serif" w:cs="Tunga"/>
                                  <w:b/>
                                  <w:color w:val="FFFFFF"/>
                                  <w:w w:val="95"/>
                                  <w:sz w:val="16"/>
                                </w:rPr>
                              </w:pPr>
                            </w:p>
                            <w:p w:rsidR="005F35A7" w:rsidRPr="00E83166" w:rsidRDefault="005F35A7" w:rsidP="001D49FD">
                              <w:pPr>
                                <w:ind w:left="567" w:right="681"/>
                                <w:jc w:val="right"/>
                                <w:rPr>
                                  <w:rFonts w:ascii="MS Reference Sans Serif" w:hAnsi="MS Reference Sans Serif" w:cs="Tunga"/>
                                  <w:color w:val="FFFFFF"/>
                                </w:rPr>
                              </w:pPr>
                            </w:p>
                            <w:p w:rsidR="005F35A7" w:rsidRPr="00390BEB" w:rsidRDefault="005F35A7"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EB0F9D" w:rsidRPr="0008782C" w:rsidRDefault="00EB0F9D" w:rsidP="001D49FD">
                        <w:pPr>
                          <w:ind w:left="567"/>
                          <w:rPr>
                            <w:rFonts w:cs="Calibri"/>
                            <w:color w:val="FFFFFF"/>
                            <w:sz w:val="32"/>
                          </w:rPr>
                        </w:pPr>
                      </w:p>
                      <w:p w:rsidR="00EB0F9D" w:rsidRPr="00225391" w:rsidRDefault="00EB0F9D"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EB0F9D" w:rsidRPr="00225391" w:rsidRDefault="00EB0F9D"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E</w:t>
                        </w:r>
                        <w:r w:rsidRPr="00225391">
                          <w:rPr>
                            <w:rFonts w:ascii="MS Reference Sans Serif" w:hAnsi="MS Reference Sans Serif" w:cs="Tunga"/>
                            <w:color w:val="FFFFFF"/>
                            <w:spacing w:val="10"/>
                            <w:w w:val="99"/>
                            <w:kern w:val="44"/>
                            <w:sz w:val="48"/>
                          </w:rPr>
                          <w:t>xpenditure incentives</w:t>
                        </w:r>
                      </w:p>
                      <w:p w:rsidR="00EB0F9D" w:rsidRPr="00F97D44" w:rsidRDefault="00EB0F9D" w:rsidP="001D49FD">
                        <w:pPr>
                          <w:ind w:left="567" w:right="681"/>
                          <w:jc w:val="right"/>
                          <w:rPr>
                            <w:rFonts w:ascii="MS Reference Sans Serif" w:hAnsi="MS Reference Sans Serif" w:cs="Tunga"/>
                            <w:b/>
                            <w:color w:val="FFFFFF"/>
                            <w:w w:val="95"/>
                            <w:sz w:val="16"/>
                          </w:rPr>
                        </w:pPr>
                      </w:p>
                      <w:p w:rsidR="00EB0F9D" w:rsidRPr="00E83166" w:rsidRDefault="00EB0F9D" w:rsidP="001D49FD">
                        <w:pPr>
                          <w:ind w:left="567" w:right="681"/>
                          <w:jc w:val="right"/>
                          <w:rPr>
                            <w:rFonts w:ascii="MS Reference Sans Serif" w:hAnsi="MS Reference Sans Serif" w:cs="Tunga"/>
                            <w:color w:val="FFFFFF"/>
                          </w:rPr>
                        </w:pPr>
                      </w:p>
                      <w:p w:rsidR="00EB0F9D" w:rsidRPr="00390BEB" w:rsidRDefault="00EB0F9D"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8" o:title=""/>
                  <v:path arrowok="t"/>
                </v:shape>
                <w10:wrap type="topAndBottom"/>
              </v:group>
            </w:pict>
          </mc:Fallback>
        </mc:AlternateContent>
      </w:r>
      <w:r w:rsidR="00C573CA">
        <w:t xml:space="preserve">Our capital expenditure incentives guideline and efficiency benefit sharing scheme give </w:t>
      </w:r>
      <w:r w:rsidR="00292B43">
        <w:t xml:space="preserve">electricity </w:t>
      </w:r>
      <w:r w:rsidR="00BD5F14" w:rsidRPr="00BD5F14">
        <w:t xml:space="preserve">network businesses </w:t>
      </w:r>
      <w:r w:rsidR="00C573CA">
        <w:t xml:space="preserve">incentives </w:t>
      </w:r>
      <w:r w:rsidR="00BD5F14" w:rsidRPr="00BD5F14">
        <w:t xml:space="preserve">to </w:t>
      </w:r>
      <w:r w:rsidR="00A03E00">
        <w:t xml:space="preserve">spend </w:t>
      </w:r>
      <w:r w:rsidR="00C573CA">
        <w:t>efficient</w:t>
      </w:r>
      <w:r w:rsidR="00A03E00">
        <w:t>ly</w:t>
      </w:r>
      <w:r w:rsidR="00BD5F14" w:rsidRPr="00BD5F14">
        <w:t xml:space="preserve"> and share the benefits of efficiencies with consumers.</w:t>
      </w:r>
      <w:r w:rsidR="009238CF">
        <w:t xml:space="preserve"> </w:t>
      </w:r>
      <w:r w:rsidR="00EB0F9D">
        <w:t>Our incentive schemes are integrated with our approach to forecasting to promote efficient spending. T</w:t>
      </w:r>
      <w:r w:rsidR="009238CF">
        <w:t xml:space="preserve">his </w:t>
      </w:r>
      <w:r w:rsidR="00EB0F9D">
        <w:t xml:space="preserve">factsheet </w:t>
      </w:r>
      <w:r w:rsidR="009238CF">
        <w:t xml:space="preserve">should be read </w:t>
      </w:r>
      <w:r w:rsidR="00EB0F9D">
        <w:t xml:space="preserve">alongside </w:t>
      </w:r>
      <w:r w:rsidR="009238CF">
        <w:t xml:space="preserve">our expenditure forecast </w:t>
      </w:r>
      <w:r w:rsidR="00EB0F9D">
        <w:t xml:space="preserve">assessment </w:t>
      </w:r>
      <w:r w:rsidR="009238CF">
        <w:t>factsheet.</w:t>
      </w:r>
    </w:p>
    <w:p w:rsidR="005524C5" w:rsidRPr="00AB2954" w:rsidRDefault="005524C5" w:rsidP="004D1DC0">
      <w:pPr>
        <w:pStyle w:val="AERfactsheetbodytext"/>
        <w:rPr>
          <w:smallCaps/>
          <w:sz w:val="4"/>
        </w:rPr>
      </w:pPr>
    </w:p>
    <w:p w:rsidR="00754FD0" w:rsidRPr="004D1DC0" w:rsidRDefault="00754FD0" w:rsidP="004D1DC0">
      <w:pPr>
        <w:pStyle w:val="AERfactsheetbodytext"/>
        <w:sectPr w:rsidR="00754FD0" w:rsidRPr="004D1DC0" w:rsidSect="00BE5A7F">
          <w:pgSz w:w="11906" w:h="16838"/>
          <w:pgMar w:top="720" w:right="720" w:bottom="720" w:left="720" w:header="708" w:footer="708" w:gutter="0"/>
          <w:cols w:space="284"/>
          <w:docGrid w:linePitch="360"/>
        </w:sectPr>
      </w:pPr>
    </w:p>
    <w:p w:rsidR="00C573CA" w:rsidRPr="00697FF1" w:rsidRDefault="00CA43F6" w:rsidP="00C573CA">
      <w:pPr>
        <w:pStyle w:val="AERFactsheetHeading1"/>
      </w:pPr>
      <w:r>
        <w:lastRenderedPageBreak/>
        <w:t>What is incentive</w:t>
      </w:r>
      <w:r w:rsidR="003D7376">
        <w:t>-</w:t>
      </w:r>
      <w:r>
        <w:t>based regulation</w:t>
      </w:r>
      <w:r w:rsidR="00C573CA">
        <w:t>?</w:t>
      </w:r>
    </w:p>
    <w:p w:rsidR="003D7376" w:rsidRDefault="000963CD" w:rsidP="003D7376">
      <w:pPr>
        <w:pStyle w:val="AERfactsheetbodytext"/>
      </w:pPr>
      <w:r w:rsidRPr="003D7376">
        <w:t xml:space="preserve">Every five years energy network businesses submit to us a proposal forecasting how much they will need to spend over the next five years to provide electricity services, and meet their reliability and service obligations. </w:t>
      </w:r>
    </w:p>
    <w:p w:rsidR="000963CD" w:rsidRPr="003D7376" w:rsidRDefault="000963CD" w:rsidP="003D7376">
      <w:pPr>
        <w:pStyle w:val="AERfactsheetbodytext"/>
      </w:pPr>
      <w:r w:rsidRPr="003D7376">
        <w:t xml:space="preserve">We approve two key types of expenditure forecasts for the five year regulatory period.  </w:t>
      </w:r>
      <w:r w:rsidR="00AB14E5" w:rsidRPr="00AB14E5">
        <w:t xml:space="preserve">Capital expenditure (capex) is the cost of purchasing and installing assets </w:t>
      </w:r>
      <w:r w:rsidR="00AB14E5">
        <w:t xml:space="preserve">like </w:t>
      </w:r>
      <w:r w:rsidR="00AB14E5" w:rsidRPr="00AB14E5">
        <w:t>poles and wires</w:t>
      </w:r>
      <w:r w:rsidR="00AB14E5">
        <w:t>.</w:t>
      </w:r>
      <w:r w:rsidR="00AB14E5" w:rsidRPr="00AB14E5">
        <w:t xml:space="preserve"> </w:t>
      </w:r>
      <w:r w:rsidR="00AB14E5">
        <w:t>O</w:t>
      </w:r>
      <w:r w:rsidR="00AB14E5" w:rsidRPr="00AB14E5">
        <w:t>perating expenditure (opex) is the cost of running an electricity network and maintaining the assets.</w:t>
      </w:r>
      <w:r w:rsidR="00AB14E5">
        <w:t xml:space="preserve"> </w:t>
      </w:r>
      <w:r w:rsidRPr="003D7376">
        <w:t>Our approach to determining these forecasts is outlined in our expenditure forecast assessment guidelines.</w:t>
      </w:r>
    </w:p>
    <w:p w:rsidR="000963CD" w:rsidRPr="003D7376" w:rsidRDefault="000963CD" w:rsidP="003D7376">
      <w:pPr>
        <w:pStyle w:val="AERfactsheetbodytext"/>
      </w:pPr>
      <w:r w:rsidRPr="003D7376">
        <w:t xml:space="preserve">Once the forecasts are set at the start of the regulatory period, the network business has the opportunity to try </w:t>
      </w:r>
      <w:r w:rsidR="00A02B2F">
        <w:t>to</w:t>
      </w:r>
      <w:r w:rsidRPr="003D7376">
        <w:t xml:space="preserve"> provide the required services for less than the forecast and keep the difference. If its spending exceeds the forecast, it must wear the difference itself.  At the end of the period the benefits of </w:t>
      </w:r>
      <w:proofErr w:type="gramStart"/>
      <w:r w:rsidRPr="003D7376">
        <w:t>an underspend</w:t>
      </w:r>
      <w:proofErr w:type="gramEnd"/>
      <w:r w:rsidRPr="003D7376">
        <w:t xml:space="preserve"> (or costs of an overspend) are shared with consumers. </w:t>
      </w:r>
      <w:r w:rsidR="008355C2" w:rsidRPr="008355C2">
        <w:t xml:space="preserve">We call this ‘incentive-based </w:t>
      </w:r>
      <w:proofErr w:type="spellStart"/>
      <w:r w:rsidR="008355C2" w:rsidRPr="008355C2">
        <w:t>regulation’.</w:t>
      </w:r>
      <w:r w:rsidRPr="003D7376">
        <w:t>This</w:t>
      </w:r>
      <w:proofErr w:type="spellEnd"/>
      <w:r w:rsidRPr="003D7376">
        <w:t xml:space="preserve"> is done differently for capex and opex. </w:t>
      </w:r>
    </w:p>
    <w:p w:rsidR="0036672B" w:rsidRDefault="0036672B" w:rsidP="00B11FA5">
      <w:pPr>
        <w:pStyle w:val="AERfactsheetbodytext"/>
      </w:pPr>
      <w:r>
        <w:rPr>
          <w:noProof/>
          <w:lang w:eastAsia="en-AU"/>
        </w:rPr>
        <mc:AlternateContent>
          <mc:Choice Requires="wps">
            <w:drawing>
              <wp:inline distT="0" distB="0" distL="0" distR="0" wp14:anchorId="52E93D64" wp14:editId="58E4FBB8">
                <wp:extent cx="3214370" cy="810883"/>
                <wp:effectExtent l="0" t="0" r="24130" b="279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10883"/>
                        </a:xfrm>
                        <a:prstGeom prst="rect">
                          <a:avLst/>
                        </a:prstGeom>
                        <a:solidFill>
                          <a:srgbClr val="DBE5F1"/>
                        </a:solidFill>
                        <a:ln w="9525">
                          <a:solidFill>
                            <a:srgbClr val="006A99"/>
                          </a:solidFill>
                          <a:miter lim="800000"/>
                          <a:headEnd/>
                          <a:tailEnd/>
                        </a:ln>
                      </wps:spPr>
                      <wps:txbx>
                        <w:txbxContent>
                          <w:p w:rsidR="005F35A7" w:rsidRPr="00697FF1" w:rsidRDefault="005F35A7" w:rsidP="005C0C94">
                            <w:pPr>
                              <w:pStyle w:val="AERfactsheetbodytext"/>
                            </w:pPr>
                            <w:r>
                              <w:t>The two elements to incentive based regulation are how we determine a business’ expenditure forecasts, and the incentives it faces to do better than the forecast. See our expenditure forecast assessment factsheet for more information on how we set forecasts.</w:t>
                            </w:r>
                          </w:p>
                        </w:txbxContent>
                      </wps:txbx>
                      <wps:bodyPr rot="0" vert="horz" wrap="square" lIns="91440" tIns="45720" rIns="91440" bIns="45720" anchor="t" anchorCtr="0" upright="1">
                        <a:noAutofit/>
                      </wps:bodyPr>
                    </wps:wsp>
                  </a:graphicData>
                </a:graphic>
              </wp:inline>
            </w:drawing>
          </mc:Choice>
          <mc:Fallback>
            <w:pict>
              <v:shape id="Text Box 9" o:spid="_x0000_s1030" type="#_x0000_t202" style="width:253.1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" fillcolor="#dbe5f1" strokecolor="#006a99">
                <v:textbox>
                  <w:txbxContent>
                    <w:p w:rsidR="00EB0F9D" w:rsidRPr="00697FF1" w:rsidRDefault="00EB0F9D" w:rsidP="005C0C94">
                      <w:pPr>
                        <w:pStyle w:val="AERfactsheetbodytext"/>
                      </w:pPr>
                      <w:r>
                        <w:t>The two elements to incentive based regulation are how we determine a business’ expenditure forecasts, and the incentives it faces to do better than the forecast. See our expenditure forecast assessment factsheet for more information on how we set forecasts.</w:t>
                      </w:r>
                    </w:p>
                  </w:txbxContent>
                </v:textbox>
                <w10:anchorlock/>
              </v:shape>
            </w:pict>
          </mc:Fallback>
        </mc:AlternateContent>
      </w:r>
    </w:p>
    <w:p w:rsidR="00EB0F9D" w:rsidRDefault="00EB0F9D" w:rsidP="00EB0F9D">
      <w:pPr>
        <w:pStyle w:val="AERFactsheetHeading1"/>
      </w:pPr>
      <w:r>
        <w:t>What are the issues with opex incentives?</w:t>
      </w:r>
    </w:p>
    <w:p w:rsidR="00DE6402" w:rsidRDefault="00177DBE" w:rsidP="00DE6402">
      <w:pPr>
        <w:pStyle w:val="AERfactsheetbodytext"/>
      </w:pPr>
      <w:r>
        <w:t>Our aim is to forecast the efficient costs of building and maintaining the network.</w:t>
      </w:r>
      <w:r w:rsidR="00DD7C2F">
        <w:t xml:space="preserve"> </w:t>
      </w:r>
      <w:r w:rsidR="00EB0F9D" w:rsidRPr="003D7376">
        <w:t>For opex, our approach</w:t>
      </w:r>
      <w:r w:rsidR="00EB0F9D">
        <w:t xml:space="preserve"> to forecasting expenditure</w:t>
      </w:r>
      <w:r w:rsidR="00EB0F9D" w:rsidRPr="003D7376">
        <w:t xml:space="preserve"> and </w:t>
      </w:r>
      <w:r w:rsidR="00EB0F9D">
        <w:t xml:space="preserve">the </w:t>
      </w:r>
      <w:r w:rsidR="00EB0F9D" w:rsidRPr="003D7376">
        <w:t xml:space="preserve">incentive scheme are closely linked. Opex is largely recurrent and predictable. So how much a business spends on opex in one period is </w:t>
      </w:r>
      <w:r w:rsidR="00592FF3">
        <w:t xml:space="preserve">often </w:t>
      </w:r>
      <w:r w:rsidR="00EB0F9D" w:rsidRPr="003D7376">
        <w:t>a good indicator of how much it will need to spend on opex in the next period</w:t>
      </w:r>
      <w:r w:rsidR="00D36FB4">
        <w:t xml:space="preserve">. </w:t>
      </w:r>
    </w:p>
    <w:p w:rsidR="00EB0F9D" w:rsidRDefault="00634D59" w:rsidP="00EB0F9D">
      <w:pPr>
        <w:pStyle w:val="AERfactsheetbodytext"/>
      </w:pPr>
      <w:r w:rsidRPr="00697FF1">
        <w:rPr>
          <w:noProof/>
          <w:lang w:eastAsia="en-AU"/>
        </w:rPr>
        <w:drawing>
          <wp:anchor distT="0" distB="0" distL="114300" distR="114300" simplePos="0" relativeHeight="251673600" behindDoc="1" locked="0" layoutInCell="1" allowOverlap="1" wp14:anchorId="34153FC0" wp14:editId="2E3B78A9">
            <wp:simplePos x="0" y="0"/>
            <wp:positionH relativeFrom="column">
              <wp:posOffset>-551180</wp:posOffset>
            </wp:positionH>
            <wp:positionV relativeFrom="page">
              <wp:posOffset>10200005</wp:posOffset>
            </wp:positionV>
            <wp:extent cx="8827135" cy="492760"/>
            <wp:effectExtent l="0" t="0" r="0" b="2540"/>
            <wp:wrapNone/>
            <wp:docPr id="8" name="Picture 8"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36FB4">
        <w:t>Under o</w:t>
      </w:r>
      <w:r w:rsidR="00EB0F9D" w:rsidRPr="003D7376">
        <w:t xml:space="preserve">ur 'revealed cost' forecasting approach </w:t>
      </w:r>
      <w:r w:rsidR="00D36FB4">
        <w:t>w</w:t>
      </w:r>
      <w:r w:rsidR="00EB0F9D" w:rsidRPr="003D7376">
        <w:t xml:space="preserve">e use the actual opex a business spends (with adjustments if it is found to be inefficient) in one year of the regulatory period to </w:t>
      </w:r>
      <w:r w:rsidR="00EB0F9D" w:rsidRPr="003D7376">
        <w:lastRenderedPageBreak/>
        <w:t>forecast its opex needs for the next regulatory period.</w:t>
      </w:r>
      <w:r w:rsidR="00EB0F9D">
        <w:t xml:space="preserve"> We refer to this year as the ‘base year’.</w:t>
      </w:r>
    </w:p>
    <w:p w:rsidR="00EB0F9D" w:rsidRDefault="00EB0F9D" w:rsidP="00EB0F9D">
      <w:pPr>
        <w:pStyle w:val="AERfactsheetbodytext"/>
      </w:pPr>
      <w:r w:rsidRPr="003D7376">
        <w:t>Under this approach a business</w:t>
      </w:r>
      <w:r w:rsidR="008355C2">
        <w:t xml:space="preserve"> would have</w:t>
      </w:r>
      <w:r w:rsidRPr="003D7376">
        <w:t xml:space="preserve"> an incentive to spend more opex in </w:t>
      </w:r>
      <w:r w:rsidR="0073777F">
        <w:t xml:space="preserve">the </w:t>
      </w:r>
      <w:r w:rsidRPr="003D7376">
        <w:t xml:space="preserve">year </w:t>
      </w:r>
      <w:r w:rsidR="007016BC">
        <w:t xml:space="preserve">that </w:t>
      </w:r>
      <w:r w:rsidRPr="003D7376">
        <w:t xml:space="preserve">it expects we will use for its next forecast. This would make its future opex allowance larger. </w:t>
      </w:r>
    </w:p>
    <w:p w:rsidR="00DE35B3" w:rsidRDefault="00DE35B3" w:rsidP="00EB0F9D">
      <w:pPr>
        <w:pStyle w:val="AERFactsheetHeading1"/>
      </w:pPr>
      <w:r>
        <w:rPr>
          <w:noProof/>
          <w:lang w:eastAsia="en-AU"/>
        </w:rPr>
        <mc:AlternateContent>
          <mc:Choice Requires="wps">
            <w:drawing>
              <wp:inline distT="0" distB="0" distL="0" distR="0" wp14:anchorId="13D3C7EE" wp14:editId="3EA9BE4B">
                <wp:extent cx="3214370" cy="826935"/>
                <wp:effectExtent l="0" t="0" r="24130" b="114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26935"/>
                        </a:xfrm>
                        <a:prstGeom prst="rect">
                          <a:avLst/>
                        </a:prstGeom>
                        <a:solidFill>
                          <a:srgbClr val="DBE5F1"/>
                        </a:solidFill>
                        <a:ln w="9525">
                          <a:solidFill>
                            <a:srgbClr val="006A99"/>
                          </a:solidFill>
                          <a:miter lim="800000"/>
                          <a:headEnd/>
                          <a:tailEnd/>
                        </a:ln>
                      </wps:spPr>
                      <wps:txbx>
                        <w:txbxContent>
                          <w:p w:rsidR="005F35A7" w:rsidRDefault="005F35A7" w:rsidP="00952F2F">
                            <w:pPr>
                              <w:pStyle w:val="AERfactsheetbodytext"/>
                            </w:pPr>
                            <w:r>
                              <w:t>O</w:t>
                            </w:r>
                            <w:r w:rsidRPr="003D7376">
                              <w:t>ur efficiency benefit sharing scheme (EBSS)</w:t>
                            </w:r>
                            <w:r>
                              <w:t xml:space="preserve"> </w:t>
                            </w:r>
                            <w:r w:rsidRPr="003D7376">
                              <w:t>reduce</w:t>
                            </w:r>
                            <w:r>
                              <w:t>s</w:t>
                            </w:r>
                            <w:r w:rsidRPr="003D7376">
                              <w:t xml:space="preserve"> the incentive </w:t>
                            </w:r>
                            <w:r>
                              <w:t xml:space="preserve">that </w:t>
                            </w:r>
                            <w:r w:rsidRPr="003D7376">
                              <w:t>businesses</w:t>
                            </w:r>
                            <w:r>
                              <w:t xml:space="preserve"> have </w:t>
                            </w:r>
                            <w:r w:rsidRPr="003D7376">
                              <w:t xml:space="preserve">to inflate opex in </w:t>
                            </w:r>
                            <w:r>
                              <w:t xml:space="preserve">the base year. </w:t>
                            </w:r>
                            <w:r w:rsidRPr="003D7376">
                              <w:t>This provides a continuous incentive for businesses to achieve efficiency gains in such a way that they will not benefit from inflating opex in any one year</w:t>
                            </w:r>
                            <w: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31" type="#_x0000_t202" style="width:253.1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" fillcolor="#dbe5f1" strokecolor="#006a99">
                <v:textbox>
                  <w:txbxContent>
                    <w:p w:rsidR="005F35A7" w:rsidRDefault="005F35A7" w:rsidP="00952F2F">
                      <w:pPr>
                        <w:pStyle w:val="AERfactsheetbodytext"/>
                      </w:pPr>
                      <w:r>
                        <w:t>O</w:t>
                      </w:r>
                      <w:r w:rsidRPr="003D7376">
                        <w:t>ur efficiency benefit sharing scheme (EBSS)</w:t>
                      </w:r>
                      <w:r>
                        <w:t xml:space="preserve"> </w:t>
                      </w:r>
                      <w:r w:rsidRPr="003D7376">
                        <w:t>reduce</w:t>
                      </w:r>
                      <w:r>
                        <w:t>s</w:t>
                      </w:r>
                      <w:r w:rsidRPr="003D7376">
                        <w:t xml:space="preserve"> the incentive </w:t>
                      </w:r>
                      <w:r>
                        <w:t xml:space="preserve">that </w:t>
                      </w:r>
                      <w:r w:rsidRPr="003D7376">
                        <w:t>businesses</w:t>
                      </w:r>
                      <w:r>
                        <w:t xml:space="preserve"> have </w:t>
                      </w:r>
                      <w:r w:rsidRPr="003D7376">
                        <w:t xml:space="preserve">to inflate </w:t>
                      </w:r>
                      <w:proofErr w:type="spellStart"/>
                      <w:r w:rsidRPr="003D7376">
                        <w:t>opex</w:t>
                      </w:r>
                      <w:proofErr w:type="spellEnd"/>
                      <w:r w:rsidRPr="003D7376">
                        <w:t xml:space="preserve"> in </w:t>
                      </w:r>
                      <w:r>
                        <w:t xml:space="preserve">the base year. </w:t>
                      </w:r>
                      <w:r w:rsidRPr="003D7376">
                        <w:t xml:space="preserve">This provides a continuous incentive for businesses to achieve efficiency gains in such a way that they will not benefit from inflating </w:t>
                      </w:r>
                      <w:proofErr w:type="spellStart"/>
                      <w:r w:rsidRPr="003D7376">
                        <w:t>opex</w:t>
                      </w:r>
                      <w:proofErr w:type="spellEnd"/>
                      <w:r w:rsidRPr="003D7376">
                        <w:t xml:space="preserve"> in any one year</w:t>
                      </w:r>
                      <w:r>
                        <w:rPr>
                          <w:rStyle w:val="CommentReference"/>
                          <w:rFonts w:ascii="Calibri" w:hAnsi="Calibri" w:cs="Times New Roman"/>
                          <w:spacing w:val="0"/>
                        </w:rPr>
                        <w:annotationRef/>
                      </w:r>
                      <w:r>
                        <w:t>.</w:t>
                      </w:r>
                    </w:p>
                  </w:txbxContent>
                </v:textbox>
                <w10:anchorlock/>
              </v:shape>
            </w:pict>
          </mc:Fallback>
        </mc:AlternateContent>
      </w:r>
    </w:p>
    <w:p w:rsidR="00177DBE" w:rsidRDefault="00B43DAF" w:rsidP="00952F2F">
      <w:pPr>
        <w:pStyle w:val="AERfactsheetbodytext"/>
      </w:pPr>
      <w:r>
        <w:t xml:space="preserve">If we consider that past costs are </w:t>
      </w:r>
      <w:r w:rsidR="006B244F">
        <w:t>e</w:t>
      </w:r>
      <w:r w:rsidR="00F1108F">
        <w:t>fficient</w:t>
      </w:r>
      <w:r>
        <w:t>, we will use that as our base for forecasting. If not, we will make an efficiency adjustment to the base expenditure.</w:t>
      </w:r>
      <w:r w:rsidR="005F35A7">
        <w:t xml:space="preserve"> How we make any such efficiency adjustment is covered in our expenditure forecast assessment guidelines.</w:t>
      </w:r>
    </w:p>
    <w:p w:rsidR="00EB0F9D" w:rsidRDefault="00EB0F9D" w:rsidP="00EB0F9D">
      <w:pPr>
        <w:pStyle w:val="AERFactsheetHeading1"/>
      </w:pPr>
      <w:r>
        <w:t>What incentives does the EBSS provide?</w:t>
      </w:r>
    </w:p>
    <w:p w:rsidR="006D5BF2" w:rsidRDefault="006D5BF2" w:rsidP="006D5BF2">
      <w:pPr>
        <w:pStyle w:val="AERfactsheetbodytext"/>
      </w:pPr>
      <w:r w:rsidRPr="003D7376">
        <w:t xml:space="preserve">The EBSS works by allowing network businesses to retain underspends for a total of six years, regardless of the year in which they underspend. Consumers then benefit from lower forecast </w:t>
      </w:r>
      <w:proofErr w:type="gramStart"/>
      <w:r w:rsidRPr="003D7376">
        <w:t xml:space="preserve">opex in future regulatory periods, which </w:t>
      </w:r>
      <w:r>
        <w:t>leads</w:t>
      </w:r>
      <w:proofErr w:type="gramEnd"/>
      <w:r>
        <w:t xml:space="preserve"> to lower prices in</w:t>
      </w:r>
      <w:r w:rsidR="0007034E">
        <w:t xml:space="preserve"> the</w:t>
      </w:r>
      <w:r>
        <w:t xml:space="preserve"> </w:t>
      </w:r>
      <w:r w:rsidRPr="003D7376">
        <w:t>future.</w:t>
      </w:r>
    </w:p>
    <w:p w:rsidR="00EB0F9D" w:rsidRDefault="00EB0F9D" w:rsidP="00EB0F9D">
      <w:pPr>
        <w:pStyle w:val="AERfactsheetbodytext"/>
      </w:pPr>
      <w:r w:rsidRPr="003D7376">
        <w:t>The combined effect of our revealed cost forecasting approach and the EBSS is that opex efficiency savings or losses are shared approximately 30:70 between the network businesses and consumers. For example, for a one dollar saving in opex the network business get</w:t>
      </w:r>
      <w:r w:rsidR="0073777F">
        <w:t>s</w:t>
      </w:r>
      <w:r w:rsidRPr="003D7376">
        <w:t xml:space="preserve"> 30 cents of the benefit while consumers get 70 cents of the benefit.</w:t>
      </w:r>
    </w:p>
    <w:p w:rsidR="003D7376" w:rsidRDefault="004F6CA8" w:rsidP="003D7376">
      <w:pPr>
        <w:pStyle w:val="AERFactsheetHeading1"/>
      </w:pPr>
      <w:r>
        <w:t>What are the issues with capex incentives?</w:t>
      </w:r>
    </w:p>
    <w:p w:rsidR="002D2B5C" w:rsidRDefault="00CB5025" w:rsidP="003D7376">
      <w:pPr>
        <w:pStyle w:val="AERfactsheetbodytext"/>
      </w:pPr>
      <w:r>
        <w:t>F</w:t>
      </w:r>
      <w:r w:rsidR="003D7376" w:rsidRPr="003D7376">
        <w:t>or capex, the sharing of underspends and overspends happens</w:t>
      </w:r>
      <w:r w:rsidR="005C0C94">
        <w:t xml:space="preserve"> </w:t>
      </w:r>
      <w:r w:rsidR="003D7376" w:rsidRPr="003D7376">
        <w:t xml:space="preserve">at the end of each </w:t>
      </w:r>
      <w:r w:rsidR="002D2B5C">
        <w:t xml:space="preserve">regulatory </w:t>
      </w:r>
      <w:r w:rsidR="003D7376" w:rsidRPr="003D7376">
        <w:t>period.</w:t>
      </w:r>
      <w:r w:rsidR="002D2B5C">
        <w:t xml:space="preserve"> This is when </w:t>
      </w:r>
      <w:r w:rsidR="002D2B5C" w:rsidRPr="005C0C94">
        <w:t xml:space="preserve">we update the </w:t>
      </w:r>
      <w:r w:rsidR="0073777F">
        <w:t xml:space="preserve">network </w:t>
      </w:r>
      <w:r w:rsidR="002D2B5C" w:rsidRPr="005C0C94">
        <w:t>business’ regulatory asset base (RAB) to include new capex</w:t>
      </w:r>
      <w:r w:rsidR="002D2B5C">
        <w:t xml:space="preserve"> it invested in during the period. A business’ RAB is made up of its capex investments, which it is allowed to earn</w:t>
      </w:r>
      <w:r w:rsidR="002D2B5C" w:rsidRPr="003D7376">
        <w:t xml:space="preserve"> a return on.</w:t>
      </w:r>
    </w:p>
    <w:p w:rsidR="00DD7C2F" w:rsidRDefault="00DD7C2F" w:rsidP="003D7376">
      <w:pPr>
        <w:pStyle w:val="AERfactsheetbodytext"/>
      </w:pPr>
    </w:p>
    <w:p w:rsidR="00DD7C2F" w:rsidRDefault="00952F2F" w:rsidP="003D7376">
      <w:pPr>
        <w:pStyle w:val="AERfactsheetbodytext"/>
      </w:pPr>
      <w:r>
        <w:rPr>
          <w:noProof/>
          <w:lang w:eastAsia="en-AU"/>
        </w:rPr>
        <w:lastRenderedPageBreak/>
        <mc:AlternateContent>
          <mc:Choice Requires="wpg">
            <w:drawing>
              <wp:anchor distT="0" distB="0" distL="114300" distR="114300" simplePos="0" relativeHeight="251661312" behindDoc="0" locked="0" layoutInCell="1" allowOverlap="1" wp14:anchorId="5AAA173C" wp14:editId="4A4A4807">
                <wp:simplePos x="0" y="0"/>
                <wp:positionH relativeFrom="column">
                  <wp:posOffset>-472440</wp:posOffset>
                </wp:positionH>
                <wp:positionV relativeFrom="page">
                  <wp:posOffset>391795</wp:posOffset>
                </wp:positionV>
                <wp:extent cx="7642225" cy="323850"/>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5A7" w:rsidRPr="006B1EE6" w:rsidRDefault="005F35A7"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EXPENDITURE INCENTIVES</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32" style="position:absolute;margin-left:-37.2pt;margin-top:30.85pt;width:601.75pt;height:25.5pt;z-index:251661312;mso-position-horizontal-relative:text;mso-position-vertical-relative:page;mso-width-relative:margin;mso-height-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">
                <v:shape id="Text Box 2" o:spid="_x0000_s1033"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5F35A7" w:rsidRPr="006B1EE6" w:rsidRDefault="005F35A7"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EXPENDITURE INCENTIVES</w:t>
                        </w:r>
                      </w:p>
                    </w:txbxContent>
                  </v:textbox>
                </v:shape>
                <v:line id="Straight Connector 6" o:spid="_x0000_s1034"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anchory="page"/>
              </v:group>
            </w:pict>
          </mc:Fallback>
        </mc:AlternateContent>
      </w:r>
    </w:p>
    <w:p w:rsidR="00DD7C2F" w:rsidRDefault="00DD7C2F" w:rsidP="003D7376">
      <w:pPr>
        <w:pStyle w:val="AERfactsheetbodytext"/>
      </w:pPr>
    </w:p>
    <w:p w:rsidR="00DD7C2F" w:rsidRDefault="00952F2F" w:rsidP="003D7376">
      <w:pPr>
        <w:pStyle w:val="AERfactsheetbodytext"/>
      </w:pPr>
      <w:r>
        <w:rPr>
          <w:noProof/>
          <w:lang w:eastAsia="en-AU"/>
        </w:rPr>
        <mc:AlternateContent>
          <mc:Choice Requires="wpc">
            <w:drawing>
              <wp:anchor distT="0" distB="0" distL="114300" distR="114300" simplePos="0" relativeHeight="251669504" behindDoc="0" locked="0" layoutInCell="1" allowOverlap="1" wp14:anchorId="2583FE7F" wp14:editId="53C71684">
                <wp:simplePos x="0" y="0"/>
                <wp:positionH relativeFrom="column">
                  <wp:posOffset>10795</wp:posOffset>
                </wp:positionH>
                <wp:positionV relativeFrom="page">
                  <wp:posOffset>973455</wp:posOffset>
                </wp:positionV>
                <wp:extent cx="6612890" cy="306324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Rectangle 34"/>
                        <wps:cNvSpPr>
                          <a:spLocks noChangeArrowheads="1"/>
                        </wps:cNvSpPr>
                        <wps:spPr bwMode="auto">
                          <a:xfrm>
                            <a:off x="13648" y="0"/>
                            <a:ext cx="4246435"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Pr="004D1DC0" w:rsidRDefault="005F35A7" w:rsidP="00591348">
                              <w:pPr>
                                <w:pStyle w:val="NormalWeb"/>
                                <w:spacing w:before="0" w:beforeAutospacing="0" w:after="0" w:afterAutospacing="0" w:line="288" w:lineRule="auto"/>
                                <w:rPr>
                                  <w:color w:val="000000" w:themeColor="text1"/>
                                </w:rPr>
                              </w:pPr>
                              <w:r>
                                <w:rPr>
                                  <w:rFonts w:ascii="Tunga" w:hAnsi="Tunga"/>
                                  <w:b/>
                                  <w:bCs/>
                                  <w:color w:val="000000" w:themeColor="text1"/>
                                  <w:kern w:val="24"/>
                                </w:rPr>
                                <w:t>How the expenditure measures fit together</w:t>
                              </w:r>
                            </w:p>
                          </w:txbxContent>
                        </wps:txbx>
                        <wps:bodyPr rot="0" vert="horz" wrap="square" lIns="91440" tIns="36000" rIns="91440" bIns="36000" anchor="ctr" anchorCtr="0" upright="1">
                          <a:noAutofit/>
                        </wps:bodyPr>
                      </wps:wsp>
                      <wps:wsp>
                        <wps:cNvPr id="35" name="Rectangle 35"/>
                        <wps:cNvSpPr>
                          <a:spLocks noChangeArrowheads="1"/>
                        </wps:cNvSpPr>
                        <wps:spPr bwMode="auto">
                          <a:xfrm>
                            <a:off x="36005" y="1090114"/>
                            <a:ext cx="1056012" cy="695656"/>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Pr="006F2E4F" w:rsidRDefault="005F35A7" w:rsidP="00591348">
                              <w:pPr>
                                <w:pStyle w:val="NormalWeb"/>
                                <w:spacing w:before="0" w:beforeAutospacing="0" w:after="0" w:afterAutospacing="0" w:line="276" w:lineRule="auto"/>
                                <w:jc w:val="center"/>
                                <w:rPr>
                                  <w:b/>
                                </w:rPr>
                              </w:pPr>
                              <w:r w:rsidRPr="006F2E4F">
                                <w:rPr>
                                  <w:rFonts w:ascii="Tunga" w:eastAsia="Calibri" w:hAnsi="Tunga" w:cs="Tunga"/>
                                  <w:b/>
                                  <w:bCs/>
                                  <w:color w:val="FFFFFF"/>
                                  <w:sz w:val="16"/>
                                  <w:szCs w:val="16"/>
                                </w:rPr>
                                <w:t>Expenditur</w:t>
                              </w:r>
                              <w:r>
                                <w:rPr>
                                  <w:rFonts w:ascii="Tunga" w:eastAsia="Calibri" w:hAnsi="Tunga" w:cs="Tunga"/>
                                  <w:b/>
                                  <w:bCs/>
                                  <w:color w:val="FFFFFF"/>
                                  <w:sz w:val="16"/>
                                  <w:szCs w:val="16"/>
                                </w:rPr>
                                <w:t>e forecast assessment guideline</w:t>
                              </w:r>
                            </w:p>
                          </w:txbxContent>
                        </wps:txbx>
                        <wps:bodyPr rot="0" vert="horz" wrap="square" lIns="91440" tIns="36000" rIns="91440" bIns="36000" anchor="ctr" anchorCtr="0" upright="1">
                          <a:noAutofit/>
                        </wps:bodyPr>
                      </wps:wsp>
                      <wps:wsp>
                        <wps:cNvPr id="44" name="Rectangle 44"/>
                        <wps:cNvSpPr>
                          <a:spLocks noChangeArrowheads="1"/>
                        </wps:cNvSpPr>
                        <wps:spPr bwMode="auto">
                          <a:xfrm>
                            <a:off x="1714774" y="1873814"/>
                            <a:ext cx="2376000" cy="943200"/>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Default="005F35A7" w:rsidP="001F307C">
                              <w:pPr>
                                <w:pStyle w:val="NormalWeb"/>
                                <w:spacing w:before="0" w:beforeAutospacing="0" w:after="120" w:afterAutospacing="0" w:line="276" w:lineRule="auto"/>
                                <w:rPr>
                                  <w:rFonts w:ascii="Tunga" w:eastAsia="Calibri" w:hAnsi="Tunga" w:cs="Tunga"/>
                                  <w:bCs/>
                                  <w:color w:val="000000"/>
                                  <w:sz w:val="16"/>
                                  <w:szCs w:val="16"/>
                                </w:rPr>
                              </w:pPr>
                              <w:r w:rsidRPr="006F2E4F">
                                <w:rPr>
                                  <w:rFonts w:ascii="Tunga" w:eastAsia="Calibri" w:hAnsi="Tunga" w:cs="Tunga"/>
                                  <w:bCs/>
                                  <w:color w:val="000000"/>
                                  <w:sz w:val="16"/>
                                  <w:szCs w:val="16"/>
                                </w:rPr>
                                <w:t>General incentive based regulation</w:t>
                              </w:r>
                            </w:p>
                            <w:p w:rsidR="005F35A7" w:rsidRDefault="005F35A7" w:rsidP="001F307C">
                              <w:pPr>
                                <w:pStyle w:val="NormalWeb"/>
                                <w:spacing w:before="0" w:beforeAutospacing="0" w:after="12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Capital expenditure sharing scheme (CESS)</w:t>
                              </w:r>
                            </w:p>
                            <w:p w:rsidR="005F35A7" w:rsidRPr="006F2E4F" w:rsidRDefault="005F35A7" w:rsidP="001F307C">
                              <w:pPr>
                                <w:pStyle w:val="NormalWeb"/>
                                <w:spacing w:before="0" w:beforeAutospacing="0" w:after="0" w:afterAutospacing="0" w:line="276" w:lineRule="auto"/>
                              </w:pPr>
                              <w:r>
                                <w:rPr>
                                  <w:rFonts w:ascii="Tunga" w:eastAsia="Calibri" w:hAnsi="Tunga" w:cs="Tunga"/>
                                  <w:bCs/>
                                  <w:color w:val="000000"/>
                                  <w:sz w:val="16"/>
                                  <w:szCs w:val="16"/>
                                </w:rPr>
                                <w:t>Use of actual or forecast depreciation to roll forward the regulatory asset base</w:t>
                              </w:r>
                            </w:p>
                          </w:txbxContent>
                        </wps:txbx>
                        <wps:bodyPr rot="0" vert="horz" wrap="square" lIns="91440" tIns="36000" rIns="91440" bIns="36000" anchor="t" anchorCtr="0" upright="1">
                          <a:noAutofit/>
                        </wps:bodyPr>
                      </wps:wsp>
                      <wps:wsp>
                        <wps:cNvPr id="47" name="Rectangle 47"/>
                        <wps:cNvSpPr>
                          <a:spLocks noChangeArrowheads="1"/>
                        </wps:cNvSpPr>
                        <wps:spPr bwMode="auto">
                          <a:xfrm>
                            <a:off x="4142092" y="1861200"/>
                            <a:ext cx="2376000" cy="943200"/>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Default="005F35A7" w:rsidP="001F307C">
                              <w:pPr>
                                <w:pStyle w:val="NormalWeb"/>
                                <w:spacing w:before="0" w:beforeAutospacing="0" w:after="120" w:afterAutospacing="0" w:line="276" w:lineRule="auto"/>
                                <w:rPr>
                                  <w:rFonts w:ascii="Tunga" w:eastAsia="Calibri" w:hAnsi="Tunga" w:cs="Tunga"/>
                                  <w:color w:val="000000"/>
                                  <w:sz w:val="16"/>
                                  <w:szCs w:val="16"/>
                                </w:rPr>
                              </w:pPr>
                              <w:r>
                                <w:rPr>
                                  <w:rFonts w:ascii="Tunga" w:eastAsia="Calibri" w:hAnsi="Tunga" w:cs="Tunga"/>
                                  <w:color w:val="000000"/>
                                  <w:sz w:val="16"/>
                                  <w:szCs w:val="16"/>
                                </w:rPr>
                                <w:t>Statement on the efficiency of actual capital expenditure</w:t>
                              </w:r>
                            </w:p>
                            <w:p w:rsidR="005F35A7" w:rsidRPr="006F2E4F" w:rsidRDefault="005F35A7" w:rsidP="001F307C">
                              <w:pPr>
                                <w:pStyle w:val="NormalWeb"/>
                                <w:spacing w:before="0" w:beforeAutospacing="0" w:after="0" w:afterAutospacing="0" w:line="276" w:lineRule="auto"/>
                                <w:rPr>
                                  <w:sz w:val="16"/>
                                  <w:szCs w:val="16"/>
                                </w:rPr>
                              </w:pPr>
                              <w:r>
                                <w:rPr>
                                  <w:rFonts w:ascii="Tunga" w:eastAsia="Calibri" w:hAnsi="Tunga" w:cs="Tunga"/>
                                  <w:color w:val="000000"/>
                                  <w:sz w:val="16"/>
                                  <w:szCs w:val="16"/>
                                </w:rPr>
                                <w:t>Ex post exclusions from the regulatory asset base for i</w:t>
                              </w:r>
                              <w:r w:rsidRPr="006F2E4F">
                                <w:rPr>
                                  <w:rFonts w:ascii="Tunga" w:eastAsia="Calibri" w:hAnsi="Tunga" w:cs="Tunga"/>
                                  <w:color w:val="000000"/>
                                  <w:sz w:val="16"/>
                                  <w:szCs w:val="16"/>
                                </w:rPr>
                                <w:t>nefficient capital overspends</w:t>
                              </w:r>
                              <w:r>
                                <w:rPr>
                                  <w:rFonts w:ascii="Tunga" w:eastAsia="Calibri" w:hAnsi="Tunga" w:cs="Tunga"/>
                                  <w:color w:val="000000"/>
                                  <w:sz w:val="16"/>
                                  <w:szCs w:val="16"/>
                                </w:rPr>
                                <w:t>, i</w:t>
                              </w:r>
                              <w:r w:rsidRPr="006F2E4F">
                                <w:rPr>
                                  <w:rFonts w:ascii="Tunga" w:eastAsia="Calibri" w:hAnsi="Tunga" w:cs="Tunga"/>
                                  <w:color w:val="000000"/>
                                  <w:sz w:val="16"/>
                                  <w:szCs w:val="16"/>
                                </w:rPr>
                                <w:t>nflated related party margins</w:t>
                              </w:r>
                              <w:r>
                                <w:rPr>
                                  <w:rFonts w:ascii="Tunga" w:eastAsia="Calibri" w:hAnsi="Tunga" w:cs="Tunga"/>
                                  <w:color w:val="000000"/>
                                  <w:sz w:val="16"/>
                                  <w:szCs w:val="16"/>
                                </w:rPr>
                                <w:t>, c</w:t>
                              </w:r>
                              <w:r w:rsidRPr="006F2E4F">
                                <w:rPr>
                                  <w:rFonts w:ascii="Tunga" w:eastAsia="Calibri" w:hAnsi="Tunga" w:cs="Tunga"/>
                                  <w:color w:val="000000"/>
                                  <w:sz w:val="16"/>
                                  <w:szCs w:val="16"/>
                                </w:rPr>
                                <w:t>apitalised</w:t>
                              </w:r>
                              <w:r>
                                <w:rPr>
                                  <w:rFonts w:ascii="Tunga" w:eastAsia="Calibri" w:hAnsi="Tunga" w:cs="Tunga"/>
                                  <w:color w:val="000000"/>
                                  <w:sz w:val="16"/>
                                  <w:szCs w:val="16"/>
                                </w:rPr>
                                <w:t xml:space="preserve"> operating expenditure</w:t>
                              </w:r>
                            </w:p>
                          </w:txbxContent>
                        </wps:txbx>
                        <wps:bodyPr rot="0" vert="horz" wrap="square" lIns="91440" tIns="36000" rIns="91440" bIns="36000" anchor="t" anchorCtr="0" upright="1">
                          <a:noAutofit/>
                        </wps:bodyPr>
                      </wps:wsp>
                      <wps:wsp>
                        <wps:cNvPr id="48" name="Rectangle 48"/>
                        <wps:cNvSpPr>
                          <a:spLocks noChangeArrowheads="1"/>
                        </wps:cNvSpPr>
                        <wps:spPr bwMode="auto">
                          <a:xfrm>
                            <a:off x="1719956" y="1459398"/>
                            <a:ext cx="2376000" cy="226800"/>
                          </a:xfrm>
                          <a:prstGeom prst="rect">
                            <a:avLst/>
                          </a:prstGeom>
                          <a:solidFill>
                            <a:srgbClr val="DBE5F1"/>
                          </a:solidFill>
                          <a:ln>
                            <a:noFill/>
                          </a:ln>
                          <a:extLst/>
                        </wps:spPr>
                        <wps:txbx>
                          <w:txbxContent>
                            <w:p w:rsidR="005F35A7" w:rsidRPr="00A427A5" w:rsidRDefault="005F35A7" w:rsidP="00591348">
                              <w:pPr>
                                <w:pStyle w:val="NormalWeb"/>
                                <w:spacing w:before="0" w:beforeAutospacing="0" w:after="0" w:afterAutospacing="0" w:line="276" w:lineRule="auto"/>
                                <w:jc w:val="center"/>
                                <w:rPr>
                                  <w:b/>
                                </w:rPr>
                              </w:pPr>
                              <w:r>
                                <w:rPr>
                                  <w:rFonts w:ascii="Tunga" w:eastAsia="Calibri" w:hAnsi="Tunga" w:cs="Tunga"/>
                                  <w:b/>
                                  <w:bCs/>
                                  <w:sz w:val="16"/>
                                  <w:szCs w:val="16"/>
                                </w:rPr>
                                <w:t xml:space="preserve">Upfront incentives </w:t>
                              </w:r>
                              <w:r w:rsidRPr="00A427A5">
                                <w:rPr>
                                  <w:rFonts w:ascii="Tunga" w:eastAsia="Calibri" w:hAnsi="Tunga" w:cs="Tunga"/>
                                  <w:b/>
                                  <w:bCs/>
                                  <w:sz w:val="16"/>
                                  <w:szCs w:val="16"/>
                                </w:rPr>
                                <w:t>(ex ante measures)</w:t>
                              </w:r>
                            </w:p>
                          </w:txbxContent>
                        </wps:txbx>
                        <wps:bodyPr rot="0" vert="horz" wrap="square" lIns="91440" tIns="36000" rIns="91440" bIns="36000" anchor="ctr" anchorCtr="0" upright="1">
                          <a:noAutofit/>
                        </wps:bodyPr>
                      </wps:wsp>
                      <wps:wsp>
                        <wps:cNvPr id="50" name="Rectangle 50"/>
                        <wps:cNvSpPr>
                          <a:spLocks noChangeArrowheads="1"/>
                        </wps:cNvSpPr>
                        <wps:spPr bwMode="auto">
                          <a:xfrm>
                            <a:off x="1440301" y="862095"/>
                            <a:ext cx="2484000" cy="22680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Pr="00742DF1" w:rsidRDefault="005F35A7" w:rsidP="00591348">
                              <w:pPr>
                                <w:pStyle w:val="NormalWeb"/>
                                <w:spacing w:before="0" w:beforeAutospacing="0" w:after="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Efficiency benefit sharing scheme</w:t>
                              </w:r>
                            </w:p>
                          </w:txbxContent>
                        </wps:txbx>
                        <wps:bodyPr rot="0" vert="horz" wrap="square" lIns="91440" tIns="36000" rIns="91440" bIns="36000" anchor="ctr" anchorCtr="0" upright="1">
                          <a:noAutofit/>
                        </wps:bodyPr>
                      </wps:wsp>
                      <wps:wsp>
                        <wps:cNvPr id="24" name="Rectangle 24"/>
                        <wps:cNvSpPr>
                          <a:spLocks noChangeArrowheads="1"/>
                        </wps:cNvSpPr>
                        <wps:spPr bwMode="auto">
                          <a:xfrm>
                            <a:off x="4142094" y="1456880"/>
                            <a:ext cx="2376000" cy="226800"/>
                          </a:xfrm>
                          <a:prstGeom prst="rect">
                            <a:avLst/>
                          </a:prstGeom>
                          <a:solidFill>
                            <a:srgbClr val="DBE5F1"/>
                          </a:solidFill>
                          <a:ln>
                            <a:noFill/>
                          </a:ln>
                          <a:extLst/>
                        </wps:spPr>
                        <wps:txbx>
                          <w:txbxContent>
                            <w:p w:rsidR="005F35A7" w:rsidRPr="00A427A5" w:rsidRDefault="005F35A7" w:rsidP="00591348">
                              <w:pPr>
                                <w:pStyle w:val="NormalWeb"/>
                                <w:spacing w:before="0" w:beforeAutospacing="0" w:after="0" w:afterAutospacing="0" w:line="276" w:lineRule="auto"/>
                                <w:jc w:val="center"/>
                                <w:rPr>
                                  <w:b/>
                                </w:rPr>
                              </w:pPr>
                              <w:r w:rsidRPr="00A427A5">
                                <w:rPr>
                                  <w:rFonts w:ascii="Tunga" w:eastAsia="Calibri" w:hAnsi="Tunga" w:cs="Tunga"/>
                                  <w:b/>
                                  <w:iCs/>
                                  <w:sz w:val="16"/>
                                  <w:szCs w:val="16"/>
                                </w:rPr>
                                <w:t>Examining past spending (ex post measures)</w:t>
                              </w:r>
                            </w:p>
                          </w:txbxContent>
                        </wps:txbx>
                        <wps:bodyPr rot="0" vert="horz" wrap="square" lIns="91440" tIns="36000" rIns="91440" bIns="36000" anchor="ctr" anchorCtr="0" upright="1">
                          <a:noAutofit/>
                        </wps:bodyPr>
                      </wps:wsp>
                      <wps:wsp>
                        <wps:cNvPr id="27" name="Straight Connector 27"/>
                        <wps:cNvCnPr>
                          <a:stCxn id="44" idx="0"/>
                          <a:endCxn id="48" idx="2"/>
                        </wps:cNvCnPr>
                        <wps:spPr>
                          <a:xfrm flipV="1">
                            <a:off x="2902774" y="1686198"/>
                            <a:ext cx="5182" cy="187616"/>
                          </a:xfrm>
                          <a:prstGeom prst="line">
                            <a:avLst/>
                          </a:prstGeom>
                          <a:ln w="12700">
                            <a:solidFill>
                              <a:srgbClr val="006A99"/>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stCxn id="47" idx="0"/>
                          <a:endCxn id="24" idx="2"/>
                        </wps:cNvCnPr>
                        <wps:spPr>
                          <a:xfrm flipV="1">
                            <a:off x="5330092" y="1683680"/>
                            <a:ext cx="2" cy="177520"/>
                          </a:xfrm>
                          <a:prstGeom prst="line">
                            <a:avLst/>
                          </a:prstGeom>
                          <a:ln w="12700">
                            <a:solidFill>
                              <a:srgbClr val="006A99"/>
                            </a:solidFill>
                            <a:prstDash val="sysDash"/>
                          </a:ln>
                        </wps:spPr>
                        <wps:style>
                          <a:lnRef idx="1">
                            <a:schemeClr val="accent1"/>
                          </a:lnRef>
                          <a:fillRef idx="0">
                            <a:schemeClr val="accent1"/>
                          </a:fillRef>
                          <a:effectRef idx="0">
                            <a:schemeClr val="accent1"/>
                          </a:effectRef>
                          <a:fontRef idx="minor">
                            <a:schemeClr val="tx1"/>
                          </a:fontRef>
                        </wps:style>
                        <wps:bodyPr/>
                      </wps:wsp>
                      <wps:wsp>
                        <wps:cNvPr id="33" name="Rectangle 33"/>
                        <wps:cNvSpPr>
                          <a:spLocks noChangeArrowheads="1"/>
                        </wps:cNvSpPr>
                        <wps:spPr bwMode="auto">
                          <a:xfrm>
                            <a:off x="1440216" y="480607"/>
                            <a:ext cx="5068434" cy="22680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Default="005F35A7" w:rsidP="00591348">
                              <w:pPr>
                                <w:pStyle w:val="NormalWeb"/>
                                <w:spacing w:before="0" w:beforeAutospacing="0" w:after="0" w:afterAutospacing="0" w:line="276" w:lineRule="auto"/>
                                <w:jc w:val="center"/>
                              </w:pPr>
                              <w:r>
                                <w:rPr>
                                  <w:rFonts w:ascii="Tunga" w:eastAsia="Calibri" w:hAnsi="Tunga" w:cs="Tunga"/>
                                  <w:b/>
                                  <w:bCs/>
                                  <w:color w:val="FFFFFF"/>
                                  <w:sz w:val="16"/>
                                  <w:szCs w:val="16"/>
                                </w:rPr>
                                <w:t>Expenditure incentives</w:t>
                              </w:r>
                            </w:p>
                          </w:txbxContent>
                        </wps:txbx>
                        <wps:bodyPr rot="0" vert="horz" wrap="square" lIns="91440" tIns="36000" rIns="91440" bIns="36000" anchor="ctr" anchorCtr="0" upright="1">
                          <a:noAutofit/>
                        </wps:bodyPr>
                      </wps:wsp>
                      <wps:wsp>
                        <wps:cNvPr id="37" name="Rectangle 37"/>
                        <wps:cNvSpPr>
                          <a:spLocks noChangeArrowheads="1"/>
                        </wps:cNvSpPr>
                        <wps:spPr bwMode="auto">
                          <a:xfrm>
                            <a:off x="4022547" y="864125"/>
                            <a:ext cx="2485712" cy="22680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Default="005F35A7" w:rsidP="00591348">
                              <w:pPr>
                                <w:pStyle w:val="NormalWeb"/>
                                <w:spacing w:before="0" w:beforeAutospacing="0" w:after="0" w:afterAutospacing="0" w:line="276" w:lineRule="auto"/>
                                <w:jc w:val="center"/>
                              </w:pPr>
                              <w:r>
                                <w:rPr>
                                  <w:rFonts w:ascii="Tunga" w:eastAsia="Calibri" w:hAnsi="Tunga" w:cs="Tunga"/>
                                  <w:b/>
                                  <w:bCs/>
                                  <w:color w:val="FFFFFF"/>
                                  <w:sz w:val="16"/>
                                  <w:szCs w:val="16"/>
                                </w:rPr>
                                <w:t>Capital expenditure incentive guideline</w:t>
                              </w:r>
                            </w:p>
                          </w:txbxContent>
                        </wps:txbx>
                        <wps:bodyPr rot="0" vert="horz" wrap="square" lIns="91440" tIns="36000" rIns="91440" bIns="36000" anchor="ctr" anchorCtr="0" upright="1">
                          <a:noAutofit/>
                        </wps:bodyPr>
                      </wps:wsp>
                      <wps:wsp>
                        <wps:cNvPr id="17" name="Straight Connector 17"/>
                        <wps:cNvCnPr/>
                        <wps:spPr>
                          <a:xfrm flipH="1" flipV="1">
                            <a:off x="2676381" y="712196"/>
                            <a:ext cx="87" cy="162012"/>
                          </a:xfrm>
                          <a:prstGeom prst="line">
                            <a:avLst/>
                          </a:prstGeom>
                          <a:ln w="12700">
                            <a:solidFill>
                              <a:srgbClr val="006A99"/>
                            </a:solidFill>
                            <a:prstDash val="solid"/>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flipV="1">
                            <a:off x="5266084" y="712192"/>
                            <a:ext cx="115" cy="201609"/>
                          </a:xfrm>
                          <a:prstGeom prst="line">
                            <a:avLst/>
                          </a:prstGeom>
                          <a:ln w="12700">
                            <a:solidFill>
                              <a:srgbClr val="006A99"/>
                            </a:solidFill>
                            <a:prstDash val="solid"/>
                          </a:ln>
                        </wps:spPr>
                        <wps:style>
                          <a:lnRef idx="1">
                            <a:schemeClr val="accent1"/>
                          </a:lnRef>
                          <a:fillRef idx="0">
                            <a:schemeClr val="accent1"/>
                          </a:fillRef>
                          <a:effectRef idx="0">
                            <a:schemeClr val="accent1"/>
                          </a:effectRef>
                          <a:fontRef idx="minor">
                            <a:schemeClr val="tx1"/>
                          </a:fontRef>
                        </wps:style>
                        <wps:bodyPr/>
                      </wps:wsp>
                      <wps:wsp>
                        <wps:cNvPr id="18" name="Elbow Connector 18"/>
                        <wps:cNvCnPr>
                          <a:stCxn id="37" idx="2"/>
                          <a:endCxn id="24" idx="0"/>
                        </wps:cNvCnPr>
                        <wps:spPr>
                          <a:xfrm rot="16200000" flipH="1">
                            <a:off x="5114771" y="1241556"/>
                            <a:ext cx="365955" cy="64691"/>
                          </a:xfrm>
                          <a:prstGeom prst="bentConnector3">
                            <a:avLst/>
                          </a:prstGeom>
                          <a:ln w="12700">
                            <a:solidFill>
                              <a:srgbClr val="006A99"/>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9" name="Elbow Connector 19"/>
                        <wps:cNvCnPr>
                          <a:stCxn id="37" idx="2"/>
                          <a:endCxn id="48" idx="0"/>
                        </wps:cNvCnPr>
                        <wps:spPr>
                          <a:xfrm rot="5400000">
                            <a:off x="3902444" y="96438"/>
                            <a:ext cx="368473" cy="2357447"/>
                          </a:xfrm>
                          <a:prstGeom prst="bentConnector3">
                            <a:avLst/>
                          </a:prstGeom>
                          <a:ln w="12700">
                            <a:solidFill>
                              <a:srgbClr val="006A99"/>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43" name="Elbow Connector 43"/>
                        <wps:cNvCnPr>
                          <a:stCxn id="35" idx="0"/>
                          <a:endCxn id="33" idx="1"/>
                        </wps:cNvCnPr>
                        <wps:spPr>
                          <a:xfrm rot="5400000" flipH="1" flipV="1">
                            <a:off x="754049" y="403948"/>
                            <a:ext cx="496129" cy="876205"/>
                          </a:xfrm>
                          <a:prstGeom prst="bentConnector2">
                            <a:avLst/>
                          </a:prstGeom>
                          <a:ln w="38100">
                            <a:solidFill>
                              <a:srgbClr val="006A99"/>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Rectangle 30"/>
                        <wps:cNvSpPr>
                          <a:spLocks noChangeArrowheads="1"/>
                        </wps:cNvSpPr>
                        <wps:spPr bwMode="auto">
                          <a:xfrm>
                            <a:off x="310628" y="2059016"/>
                            <a:ext cx="1056005" cy="695325"/>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F35A7" w:rsidRDefault="005F35A7" w:rsidP="000D2DFA">
                              <w:pPr>
                                <w:pStyle w:val="NormalWeb"/>
                                <w:spacing w:before="0" w:beforeAutospacing="0" w:after="0" w:afterAutospacing="0" w:line="276" w:lineRule="auto"/>
                                <w:jc w:val="center"/>
                              </w:pPr>
                              <w:r>
                                <w:rPr>
                                  <w:rFonts w:ascii="Tunga" w:eastAsia="Calibri" w:hAnsi="Tunga" w:cs="Tunga"/>
                                  <w:b/>
                                  <w:bCs/>
                                  <w:color w:val="FFFFFF"/>
                                  <w:sz w:val="16"/>
                                  <w:szCs w:val="16"/>
                                </w:rPr>
                                <w:t>Service target performance incentive scheme</w:t>
                              </w:r>
                            </w:p>
                          </w:txbxContent>
                        </wps:txbx>
                        <wps:bodyPr rot="0" vert="horz" wrap="square" lIns="91440" tIns="36000" rIns="91440" bIns="36000" anchor="ctr" anchorCtr="0" upright="1">
                          <a:noAutofit/>
                        </wps:bodyPr>
                      </wps:wsp>
                      <wps:wsp>
                        <wps:cNvPr id="31" name="Elbow Connector 31"/>
                        <wps:cNvCnPr>
                          <a:endCxn id="33" idx="1"/>
                        </wps:cNvCnPr>
                        <wps:spPr>
                          <a:xfrm rot="5400000" flipH="1" flipV="1">
                            <a:off x="591213" y="1210013"/>
                            <a:ext cx="1465009" cy="232998"/>
                          </a:xfrm>
                          <a:prstGeom prst="bentConnector2">
                            <a:avLst/>
                          </a:prstGeom>
                          <a:ln w="38100">
                            <a:solidFill>
                              <a:srgbClr val="006A99"/>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 o:spid="_x0000_s1035" editas="canvas" style="position:absolute;margin-left:.85pt;margin-top:76.65pt;width:520.7pt;height:241.2pt;z-index:251669504;mso-position-horizontal-relative:text;mso-position-vertical-relative:page" coordsize="66128,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6128;height:30632;visibility:visible;mso-wrap-style:square">
                  <v:fill o:detectmouseclick="t"/>
                  <v:path o:connecttype="none"/>
                </v:shape>
                <v:rect id="Rectangle 34" o:spid="_x0000_s1037" style="position:absolute;left:136;width:42464;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5MMA&#10;AADbAAAADwAAAGRycy9kb3ducmV2LnhtbESPT4vCMBTE7wt+h/AEb2vqH0SqUcRFcCke7C7o8dE8&#10;22LzUpKsdr+9EQSPw8z8hlmuO9OIGzlfW1YwGiYgiAuray4V/P7sPucgfEDW2FgmBf/kYb3qfSwx&#10;1fbOR7rloRQRwj5FBVUIbSqlLyoy6Ie2JY7exTqDIUpXSu3wHuGmkeMkmUmDNceFClvaVlRc8z+j&#10;IHO5/N4fateed35+Kigbl1+ZUoN+t1mACNSFd/jV3msFk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5MMAAADbAAAADwAAAAAAAAAAAAAAAACYAgAAZHJzL2Rv&#10;d25yZXYueG1sUEsFBgAAAAAEAAQA9QAAAIgDAAAAAA==&#10;" filled="f" fillcolor="#006a99" stroked="f" strokeweight="2pt">
                  <v:textbox inset=",1mm,,1mm">
                    <w:txbxContent>
                      <w:p w:rsidR="005F35A7" w:rsidRPr="004D1DC0" w:rsidRDefault="005F35A7" w:rsidP="00591348">
                        <w:pPr>
                          <w:pStyle w:val="NormalWeb"/>
                          <w:spacing w:before="0" w:beforeAutospacing="0" w:after="0" w:afterAutospacing="0" w:line="288" w:lineRule="auto"/>
                          <w:rPr>
                            <w:color w:val="000000" w:themeColor="text1"/>
                          </w:rPr>
                        </w:pPr>
                        <w:r>
                          <w:rPr>
                            <w:rFonts w:ascii="Tunga" w:hAnsi="Tunga"/>
                            <w:b/>
                            <w:bCs/>
                            <w:color w:val="000000" w:themeColor="text1"/>
                            <w:kern w:val="24"/>
                          </w:rPr>
                          <w:t>How the expenditure measures fit together</w:t>
                        </w:r>
                      </w:p>
                    </w:txbxContent>
                  </v:textbox>
                </v:rect>
                <v:rect id="Rectangle 35" o:spid="_x0000_s1038" style="position:absolute;left:360;top:10901;width:10560;height:6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7rpMQA&#10;AADbAAAADwAAAGRycy9kb3ducmV2LnhtbESPQWvCQBSE74L/YXlCb3Vji6LRVaSlWApFTUQ8PrLP&#10;JJh9G3ZXTf99t1DwOMzMN8xi1ZlG3Mj52rKC0TABQVxYXXOp4JB/PE9B+ICssbFMCn7Iw2rZ7y0w&#10;1fbOe7ploRQRwj5FBVUIbSqlLyoy6Ie2JY7e2TqDIUpXSu3wHuGmkS9JMpEGa44LFbb0VlFxya5G&#10;wXEzm5Q22+p8/JWcLt8Ht3vPnVJPg249BxGoC4/wf/tTK3gd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66TEAAAA2wAAAA8AAAAAAAAAAAAAAAAAmAIAAGRycy9k&#10;b3ducmV2LnhtbFBLBQYAAAAABAAEAPUAAACJAwAAAAA=&#10;" fillcolor="#006a99" stroked="f" strokeweight="2pt">
                  <v:textbox inset=",1mm,,1mm">
                    <w:txbxContent>
                      <w:p w:rsidR="005F35A7" w:rsidRPr="006F2E4F" w:rsidRDefault="005F35A7" w:rsidP="00591348">
                        <w:pPr>
                          <w:pStyle w:val="NormalWeb"/>
                          <w:spacing w:before="0" w:beforeAutospacing="0" w:after="0" w:afterAutospacing="0" w:line="276" w:lineRule="auto"/>
                          <w:jc w:val="center"/>
                          <w:rPr>
                            <w:b/>
                          </w:rPr>
                        </w:pPr>
                        <w:r w:rsidRPr="006F2E4F">
                          <w:rPr>
                            <w:rFonts w:ascii="Tunga" w:eastAsia="Calibri" w:hAnsi="Tunga" w:cs="Tunga"/>
                            <w:b/>
                            <w:bCs/>
                            <w:color w:val="FFFFFF"/>
                            <w:sz w:val="16"/>
                            <w:szCs w:val="16"/>
                          </w:rPr>
                          <w:t>Expenditur</w:t>
                        </w:r>
                        <w:r>
                          <w:rPr>
                            <w:rFonts w:ascii="Tunga" w:eastAsia="Calibri" w:hAnsi="Tunga" w:cs="Tunga"/>
                            <w:b/>
                            <w:bCs/>
                            <w:color w:val="FFFFFF"/>
                            <w:sz w:val="16"/>
                            <w:szCs w:val="16"/>
                          </w:rPr>
                          <w:t>e forecast assessment guideline</w:t>
                        </w:r>
                      </w:p>
                    </w:txbxContent>
                  </v:textbox>
                </v:rect>
                <v:rect id="Rectangle 44" o:spid="_x0000_s1039" style="position:absolute;left:17147;top:18738;width:23760;height:9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r2MIA&#10;AADbAAAADwAAAGRycy9kb3ducmV2LnhtbESPT4vCMBTE7wt+h/CEva2pIstajSKC/y6CVcHjI3m2&#10;xealNLF2v71ZEPY4zMxvmNmis5VoqfGlYwXDQQKCWDtTcq7gfFp//YDwAdlg5ZgU/JKHxbz3McPU&#10;uCcfqc1CLiKEfYoKihDqVEqvC7LoB64mjt7NNRZDlE0uTYPPCLeVHCXJt7RYclwosKZVQfqePayC&#10;Sbmpdodtpk963xIllytNjlelPvvdcgoiUBf+w+/2zigYj+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avYwgAAANsAAAAPAAAAAAAAAAAAAAAAAJgCAABkcnMvZG93&#10;bnJldi54bWxQSwUGAAAAAAQABAD1AAAAhwMAAAAA&#10;" fillcolor="#dbe5f1" stroked="f" strokeweight="2pt">
                  <v:textbox inset=",1mm,,1mm">
                    <w:txbxContent>
                      <w:p w:rsidR="005F35A7" w:rsidRDefault="005F35A7" w:rsidP="001F307C">
                        <w:pPr>
                          <w:pStyle w:val="NormalWeb"/>
                          <w:spacing w:before="0" w:beforeAutospacing="0" w:after="120" w:afterAutospacing="0" w:line="276" w:lineRule="auto"/>
                          <w:rPr>
                            <w:rFonts w:ascii="Tunga" w:eastAsia="Calibri" w:hAnsi="Tunga" w:cs="Tunga"/>
                            <w:bCs/>
                            <w:color w:val="000000"/>
                            <w:sz w:val="16"/>
                            <w:szCs w:val="16"/>
                          </w:rPr>
                        </w:pPr>
                        <w:r w:rsidRPr="006F2E4F">
                          <w:rPr>
                            <w:rFonts w:ascii="Tunga" w:eastAsia="Calibri" w:hAnsi="Tunga" w:cs="Tunga"/>
                            <w:bCs/>
                            <w:color w:val="000000"/>
                            <w:sz w:val="16"/>
                            <w:szCs w:val="16"/>
                          </w:rPr>
                          <w:t>General incentive based regulation</w:t>
                        </w:r>
                      </w:p>
                      <w:p w:rsidR="005F35A7" w:rsidRDefault="005F35A7" w:rsidP="001F307C">
                        <w:pPr>
                          <w:pStyle w:val="NormalWeb"/>
                          <w:spacing w:before="0" w:beforeAutospacing="0" w:after="12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Capital expenditure sharing scheme (CESS)</w:t>
                        </w:r>
                      </w:p>
                      <w:p w:rsidR="005F35A7" w:rsidRPr="006F2E4F" w:rsidRDefault="005F35A7" w:rsidP="001F307C">
                        <w:pPr>
                          <w:pStyle w:val="NormalWeb"/>
                          <w:spacing w:before="0" w:beforeAutospacing="0" w:after="0" w:afterAutospacing="0" w:line="276" w:lineRule="auto"/>
                        </w:pPr>
                        <w:r>
                          <w:rPr>
                            <w:rFonts w:ascii="Tunga" w:eastAsia="Calibri" w:hAnsi="Tunga" w:cs="Tunga"/>
                            <w:bCs/>
                            <w:color w:val="000000"/>
                            <w:sz w:val="16"/>
                            <w:szCs w:val="16"/>
                          </w:rPr>
                          <w:t>Use of actual or forecast depreciation to roll forward the regulatory asset base</w:t>
                        </w:r>
                      </w:p>
                    </w:txbxContent>
                  </v:textbox>
                </v:rect>
                <v:rect id="Rectangle 47" o:spid="_x0000_s1040" style="position:absolute;left:41420;top:18612;width:23760;height:9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1r8MA&#10;AADbAAAADwAAAGRycy9kb3ducmV2LnhtbESPT4vCMBTE7wv7HcJb8LamK6Jr1yiL4L+LYN0Fj4/k&#10;2Rabl9LEWr+9EQSPw8z8hpnOO1uJlhpfOlbw1U9AEGtnSs4V/B2Wn98gfEA2WDkmBTfyMJ+9v00x&#10;Ne7Ke2qzkIsIYZ+igiKEOpXS64Is+r6riaN3co3FEGWTS9PgNcJtJQdJMpIWS44LBda0KEifs4tV&#10;MClX1Wa3zvRBb1ui5P9Ik/1Rqd5H9/sDIlAXXuFne2MUDMfw+B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1r8MAAADbAAAADwAAAAAAAAAAAAAAAACYAgAAZHJzL2Rv&#10;d25yZXYueG1sUEsFBgAAAAAEAAQA9QAAAIgDAAAAAA==&#10;" fillcolor="#dbe5f1" stroked="f" strokeweight="2pt">
                  <v:textbox inset=",1mm,,1mm">
                    <w:txbxContent>
                      <w:p w:rsidR="005F35A7" w:rsidRDefault="005F35A7" w:rsidP="001F307C">
                        <w:pPr>
                          <w:pStyle w:val="NormalWeb"/>
                          <w:spacing w:before="0" w:beforeAutospacing="0" w:after="120" w:afterAutospacing="0" w:line="276" w:lineRule="auto"/>
                          <w:rPr>
                            <w:rFonts w:ascii="Tunga" w:eastAsia="Calibri" w:hAnsi="Tunga" w:cs="Tunga"/>
                            <w:color w:val="000000"/>
                            <w:sz w:val="16"/>
                            <w:szCs w:val="16"/>
                          </w:rPr>
                        </w:pPr>
                        <w:r>
                          <w:rPr>
                            <w:rFonts w:ascii="Tunga" w:eastAsia="Calibri" w:hAnsi="Tunga" w:cs="Tunga"/>
                            <w:color w:val="000000"/>
                            <w:sz w:val="16"/>
                            <w:szCs w:val="16"/>
                          </w:rPr>
                          <w:t>Statement on the efficiency of actual capital expenditure</w:t>
                        </w:r>
                      </w:p>
                      <w:p w:rsidR="005F35A7" w:rsidRPr="006F2E4F" w:rsidRDefault="005F35A7" w:rsidP="001F307C">
                        <w:pPr>
                          <w:pStyle w:val="NormalWeb"/>
                          <w:spacing w:before="0" w:beforeAutospacing="0" w:after="0" w:afterAutospacing="0" w:line="276" w:lineRule="auto"/>
                          <w:rPr>
                            <w:sz w:val="16"/>
                            <w:szCs w:val="16"/>
                          </w:rPr>
                        </w:pPr>
                        <w:r>
                          <w:rPr>
                            <w:rFonts w:ascii="Tunga" w:eastAsia="Calibri" w:hAnsi="Tunga" w:cs="Tunga"/>
                            <w:color w:val="000000"/>
                            <w:sz w:val="16"/>
                            <w:szCs w:val="16"/>
                          </w:rPr>
                          <w:t>Ex post exclusions from the regulatory asset base for i</w:t>
                        </w:r>
                        <w:r w:rsidRPr="006F2E4F">
                          <w:rPr>
                            <w:rFonts w:ascii="Tunga" w:eastAsia="Calibri" w:hAnsi="Tunga" w:cs="Tunga"/>
                            <w:color w:val="000000"/>
                            <w:sz w:val="16"/>
                            <w:szCs w:val="16"/>
                          </w:rPr>
                          <w:t>nefficient capital overspends</w:t>
                        </w:r>
                        <w:r>
                          <w:rPr>
                            <w:rFonts w:ascii="Tunga" w:eastAsia="Calibri" w:hAnsi="Tunga" w:cs="Tunga"/>
                            <w:color w:val="000000"/>
                            <w:sz w:val="16"/>
                            <w:szCs w:val="16"/>
                          </w:rPr>
                          <w:t>, i</w:t>
                        </w:r>
                        <w:r w:rsidRPr="006F2E4F">
                          <w:rPr>
                            <w:rFonts w:ascii="Tunga" w:eastAsia="Calibri" w:hAnsi="Tunga" w:cs="Tunga"/>
                            <w:color w:val="000000"/>
                            <w:sz w:val="16"/>
                            <w:szCs w:val="16"/>
                          </w:rPr>
                          <w:t>nflated related party margins</w:t>
                        </w:r>
                        <w:r>
                          <w:rPr>
                            <w:rFonts w:ascii="Tunga" w:eastAsia="Calibri" w:hAnsi="Tunga" w:cs="Tunga"/>
                            <w:color w:val="000000"/>
                            <w:sz w:val="16"/>
                            <w:szCs w:val="16"/>
                          </w:rPr>
                          <w:t>, c</w:t>
                        </w:r>
                        <w:r w:rsidRPr="006F2E4F">
                          <w:rPr>
                            <w:rFonts w:ascii="Tunga" w:eastAsia="Calibri" w:hAnsi="Tunga" w:cs="Tunga"/>
                            <w:color w:val="000000"/>
                            <w:sz w:val="16"/>
                            <w:szCs w:val="16"/>
                          </w:rPr>
                          <w:t>apitalised</w:t>
                        </w:r>
                        <w:r>
                          <w:rPr>
                            <w:rFonts w:ascii="Tunga" w:eastAsia="Calibri" w:hAnsi="Tunga" w:cs="Tunga"/>
                            <w:color w:val="000000"/>
                            <w:sz w:val="16"/>
                            <w:szCs w:val="16"/>
                          </w:rPr>
                          <w:t xml:space="preserve"> operating expenditure</w:t>
                        </w:r>
                      </w:p>
                    </w:txbxContent>
                  </v:textbox>
                </v:rect>
                <v:rect id="Rectangle 48" o:spid="_x0000_s1041" style="position:absolute;left:17199;top:14593;width:23760;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m8LwA&#10;AADbAAAADwAAAGRycy9kb3ducmV2LnhtbERPSwrCMBDdC94hjOBOU0VEaqOIKIouxM8Bxmb6wWZS&#10;mqj19mYhuHy8f7JsTSVe1LjSsoLRMAJBnFpdcq7gdt0OZiCcR9ZYWSYFH3KwXHQ7CcbavvlMr4vP&#10;RQhhF6OCwvs6ltKlBRl0Q1sTBy6zjUEfYJNL3eA7hJtKjqNoKg2WHBoKrGldUPq4PI2C4649jQ2e&#10;13K/uR3zw4ay+5WU6vfa1RyEp9b/xT/3XiuYhL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RibwvAAAANsAAAAPAAAAAAAAAAAAAAAAAJgCAABkcnMvZG93bnJldi54&#10;bWxQSwUGAAAAAAQABAD1AAAAgQMAAAAA&#10;" fillcolor="#dbe5f1" stroked="f">
                  <v:textbox inset=",1mm,,1mm">
                    <w:txbxContent>
                      <w:p w:rsidR="005F35A7" w:rsidRPr="00A427A5" w:rsidRDefault="005F35A7" w:rsidP="00591348">
                        <w:pPr>
                          <w:pStyle w:val="NormalWeb"/>
                          <w:spacing w:before="0" w:beforeAutospacing="0" w:after="0" w:afterAutospacing="0" w:line="276" w:lineRule="auto"/>
                          <w:jc w:val="center"/>
                          <w:rPr>
                            <w:b/>
                          </w:rPr>
                        </w:pPr>
                        <w:r>
                          <w:rPr>
                            <w:rFonts w:ascii="Tunga" w:eastAsia="Calibri" w:hAnsi="Tunga" w:cs="Tunga"/>
                            <w:b/>
                            <w:bCs/>
                            <w:sz w:val="16"/>
                            <w:szCs w:val="16"/>
                          </w:rPr>
                          <w:t xml:space="preserve">Upfront incentives </w:t>
                        </w:r>
                        <w:r w:rsidRPr="00A427A5">
                          <w:rPr>
                            <w:rFonts w:ascii="Tunga" w:eastAsia="Calibri" w:hAnsi="Tunga" w:cs="Tunga"/>
                            <w:b/>
                            <w:bCs/>
                            <w:sz w:val="16"/>
                            <w:szCs w:val="16"/>
                          </w:rPr>
                          <w:t>(ex ante measures)</w:t>
                        </w:r>
                      </w:p>
                    </w:txbxContent>
                  </v:textbox>
                </v:rect>
                <v:rect id="Rectangle 50" o:spid="_x0000_s1042" style="position:absolute;left:14403;top:8620;width:24840;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tnMIA&#10;AADbAAAADwAAAGRycy9kb3ducmV2LnhtbERPXWvCMBR9H+w/hDvwbU0nKLMzLWNDHMJQWxk+Xppr&#10;W2xuSpJp/ffLg7DHw/leFqPpxYWc7ywreElSEMS11R03Cg7V6vkVhA/IGnvLpOBGHor88WGJmbZX&#10;3tOlDI2IIewzVNCGMGRS+rolgz6xA3HkTtYZDBG6RmqH1xhuejlN07k02HFsaHGgj5bqc/lrFPys&#10;F/PGlltdzTbp8fx9cLvPyik1eRrf30AEGsO/+O7+0gpmcX38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q2cwgAAANsAAAAPAAAAAAAAAAAAAAAAAJgCAABkcnMvZG93&#10;bnJldi54bWxQSwUGAAAAAAQABAD1AAAAhwMAAAAA&#10;" fillcolor="#006a99" stroked="f" strokeweight="2pt">
                  <v:textbox inset=",1mm,,1mm">
                    <w:txbxContent>
                      <w:p w:rsidR="005F35A7" w:rsidRPr="00742DF1" w:rsidRDefault="005F35A7" w:rsidP="00591348">
                        <w:pPr>
                          <w:pStyle w:val="NormalWeb"/>
                          <w:spacing w:before="0" w:beforeAutospacing="0" w:after="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Efficiency benefit sharing scheme</w:t>
                        </w:r>
                      </w:p>
                    </w:txbxContent>
                  </v:textbox>
                </v:rect>
                <v:rect id="Rectangle 24" o:spid="_x0000_s1043" style="position:absolute;left:41420;top:14568;width:23760;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TJVb8A&#10;AADbAAAADwAAAGRycy9kb3ducmV2LnhtbESPzQrCMBCE74LvEFbwpqlFRKpRRBRFD+LPA6zN2hab&#10;TWmi1rc3guBxmJlvmOm8MaV4Uu0KywoG/QgEcWp1wZmCy3ndG4NwHlljaZkUvMnBfNZuTTHR9sVH&#10;ep58JgKEXYIKcu+rREqX5mTQ9W1FHLybrQ36IOtM6hpfAW5KGUfRSBosOCzkWNEyp/R+ehgF+01z&#10;iA0el3K7uuyz3Ypu1zMp1e00iwkIT43/h3/trVYQD+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1MlVvwAAANsAAAAPAAAAAAAAAAAAAAAAAJgCAABkcnMvZG93bnJl&#10;di54bWxQSwUGAAAAAAQABAD1AAAAhAMAAAAA&#10;" fillcolor="#dbe5f1" stroked="f">
                  <v:textbox inset=",1mm,,1mm">
                    <w:txbxContent>
                      <w:p w:rsidR="005F35A7" w:rsidRPr="00A427A5" w:rsidRDefault="005F35A7" w:rsidP="00591348">
                        <w:pPr>
                          <w:pStyle w:val="NormalWeb"/>
                          <w:spacing w:before="0" w:beforeAutospacing="0" w:after="0" w:afterAutospacing="0" w:line="276" w:lineRule="auto"/>
                          <w:jc w:val="center"/>
                          <w:rPr>
                            <w:b/>
                          </w:rPr>
                        </w:pPr>
                        <w:r w:rsidRPr="00A427A5">
                          <w:rPr>
                            <w:rFonts w:ascii="Tunga" w:eastAsia="Calibri" w:hAnsi="Tunga" w:cs="Tunga"/>
                            <w:b/>
                            <w:iCs/>
                            <w:sz w:val="16"/>
                            <w:szCs w:val="16"/>
                          </w:rPr>
                          <w:t>Examining past spending (ex post measures)</w:t>
                        </w:r>
                      </w:p>
                    </w:txbxContent>
                  </v:textbox>
                </v:rect>
                <v:line id="Straight Connector 27" o:spid="_x0000_s1044" style="position:absolute;flip:y;visibility:visible;mso-wrap-style:square" from="29027,16861" to="2907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kFr0AAADbAAAADwAAAGRycy9kb3ducmV2LnhtbESPzQrCMBCE74LvEFbwZlMF/6pRRBC9&#10;+vMAS7OmxWZTmqjVpzeC4HGYnW92luvWVuJBjS8dKxgmKQji3OmSjYLLeTeYgfABWWPlmBS8yMN6&#10;1e0sMdPuyUd6nIIREcI+QwVFCHUmpc8LsugTVxNH7+oaiyHKxkjd4DPCbSVHaTqRFkuODQXWtC0o&#10;v53uNr6h5Xu8qfapGQa9ZTyYo50bpfq9drMAEagN/+Nf+qAVjKbw3RIB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A+5Ba9AAAA2wAAAA8AAAAAAAAAAAAAAAAAoQIA&#10;AGRycy9kb3ducmV2LnhtbFBLBQYAAAAABAAEAPkAAACLAwAAAAA=&#10;" strokecolor="#006a99" strokeweight="1pt">
                  <v:stroke dashstyle="3 1"/>
                </v:line>
                <v:line id="Straight Connector 28" o:spid="_x0000_s1045" style="position:absolute;flip:y;visibility:visible;mso-wrap-style:square" from="53300,16836" to="53300,18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FwZL8AAADbAAAADwAAAGRycy9kb3ducmV2LnhtbESPwYrCQAyG74LvMETwplMFZbc6liLI&#10;elX3AUInOy12MqUzatenNwfBY/jzf/myLQbfqjv1sQlsYDHPQBFXwTbsDPxeDrMvUDEhW2wDk4F/&#10;ilDsxqMt5jY8+ET3c3JKIBxzNFCn1OVax6omj3EeOmLJ/kLvMcnYO217fAjct3qZZWvtsWG5UGNH&#10;+5qq6/nmRcPq56psfzK3SHbPeHQn/+2MmU6GcgMq0ZA+y+/20RpYiqz8IgDQu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aFwZL8AAADbAAAADwAAAAAAAAAAAAAAAACh&#10;AgAAZHJzL2Rvd25yZXYueG1sUEsFBgAAAAAEAAQA+QAAAI0DAAAAAA==&#10;" strokecolor="#006a99" strokeweight="1pt">
                  <v:stroke dashstyle="3 1"/>
                </v:line>
                <v:rect id="Rectangle 33" o:spid="_x0000_s1046" style="position:absolute;left:14402;top:4806;width:5068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WS8QA&#10;AADbAAAADwAAAGRycy9kb3ducmV2LnhtbESPQWvCQBSE7wX/w/KE3urGiqLRVaSlKIWiJiIeH9ln&#10;Esy+Dbtbjf++Wyj0OMzMN8xi1ZlG3Mj52rKC4SABQVxYXXOp4Jh/vExB+ICssbFMCh7kYbXsPS0w&#10;1fbOB7ploRQRwj5FBVUIbSqlLyoy6Ae2JY7exTqDIUpXSu3wHuGmka9JMpEGa44LFbb0VlFxzb6N&#10;gtNmNiltttP5+DM5X7+Obv+eO6We+916DiJQF/7Df+2tVjAawe+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r1kvEAAAA2wAAAA8AAAAAAAAAAAAAAAAAmAIAAGRycy9k&#10;b3ducmV2LnhtbFBLBQYAAAAABAAEAPUAAACJAwAAAAA=&#10;" fillcolor="#006a99" stroked="f" strokeweight="2pt">
                  <v:textbox inset=",1mm,,1mm">
                    <w:txbxContent>
                      <w:p w:rsidR="005F35A7" w:rsidRDefault="005F35A7" w:rsidP="00591348">
                        <w:pPr>
                          <w:pStyle w:val="NormalWeb"/>
                          <w:spacing w:before="0" w:beforeAutospacing="0" w:after="0" w:afterAutospacing="0" w:line="276" w:lineRule="auto"/>
                          <w:jc w:val="center"/>
                        </w:pPr>
                        <w:r>
                          <w:rPr>
                            <w:rFonts w:ascii="Tunga" w:eastAsia="Calibri" w:hAnsi="Tunga" w:cs="Tunga"/>
                            <w:b/>
                            <w:bCs/>
                            <w:color w:val="FFFFFF"/>
                            <w:sz w:val="16"/>
                            <w:szCs w:val="16"/>
                          </w:rPr>
                          <w:t>Expenditure incentives</w:t>
                        </w:r>
                      </w:p>
                    </w:txbxContent>
                  </v:textbox>
                </v:rect>
                <v:rect id="Rectangle 37" o:spid="_x0000_s1047" style="position:absolute;left:40225;top:8641;width:24857;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QSMUA&#10;AADbAAAADwAAAGRycy9kb3ducmV2LnhtbESPQWvCQBSE74L/YXkFb3VTpVZTVxFFWgRpm4h4fGRf&#10;k2D2bdjdavrvu0LB4zAz3zDzZWcacSHna8sKnoYJCOLC6ppLBYd8+zgF4QOyxsYyKfglD8tFvzfH&#10;VNsrf9ElC6WIEPYpKqhCaFMpfVGRQT+0LXH0vq0zGKJ0pdQOrxFuGjlKkok0WHNcqLCldUXFOfsx&#10;Co5vs0lpsw+dP++S03l/cJ+b3Ck1eOhWryACdeEe/m+/awXjF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NBIxQAAANsAAAAPAAAAAAAAAAAAAAAAAJgCAABkcnMv&#10;ZG93bnJldi54bWxQSwUGAAAAAAQABAD1AAAAigMAAAAA&#10;" fillcolor="#006a99" stroked="f" strokeweight="2pt">
                  <v:textbox inset=",1mm,,1mm">
                    <w:txbxContent>
                      <w:p w:rsidR="005F35A7" w:rsidRDefault="005F35A7" w:rsidP="00591348">
                        <w:pPr>
                          <w:pStyle w:val="NormalWeb"/>
                          <w:spacing w:before="0" w:beforeAutospacing="0" w:after="0" w:afterAutospacing="0" w:line="276" w:lineRule="auto"/>
                          <w:jc w:val="center"/>
                        </w:pPr>
                        <w:r>
                          <w:rPr>
                            <w:rFonts w:ascii="Tunga" w:eastAsia="Calibri" w:hAnsi="Tunga" w:cs="Tunga"/>
                            <w:b/>
                            <w:bCs/>
                            <w:color w:val="FFFFFF"/>
                            <w:sz w:val="16"/>
                            <w:szCs w:val="16"/>
                          </w:rPr>
                          <w:t>Capital expenditure incentive guideline</w:t>
                        </w:r>
                      </w:p>
                    </w:txbxContent>
                  </v:textbox>
                </v:rect>
                <v:line id="Straight Connector 17" o:spid="_x0000_s1048" style="position:absolute;flip:x y;visibility:visible;mso-wrap-style:square" from="26763,7121" to="26764,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OBXr4AAADbAAAADwAAAGRycy9kb3ducmV2LnhtbERPTYvCMBC9L/gfwgje1kSFVaqxiCiI&#10;e5CtgtehGdtiMylNrPXfbxaEvc3jfc4q7W0tOmp95VjDZKxAEOfOVFxouJz3nwsQPiAbrB2Thhd5&#10;SNeDjxUmxj35h7osFCKGsE9QQxlCk0jp85Is+rFriCN3c63FEGFbSNPiM4bbWk6V+pIWK44NJTa0&#10;LSm/Zw+rwfvv4/3EZNRV4ux4IMXzZqf1aNhvliAC9eFf/HYfTJw/h79f4gFy/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U4FevgAAANsAAAAPAAAAAAAAAAAAAAAAAKEC&#10;AABkcnMvZG93bnJldi54bWxQSwUGAAAAAAQABAD5AAAAjAMAAAAA&#10;" strokecolor="#006a99" strokeweight="1pt"/>
                <v:line id="Straight Connector 38" o:spid="_x0000_s1049" style="position:absolute;flip:x y;visibility:visible;mso-wrap-style:square" from="52660,7121" to="52661,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lJTLsAAADbAAAADwAAAGRycy9kb3ducmV2LnhtbERPSwrCMBDdC94hjOBOExVUqlFEFEQX&#10;4gfcDs3YFptJaaLW25uF4PLx/vNlY0vxotoXjjUM+goEcepMwZmG62Xbm4LwAdlg6Zg0fMjDctFu&#10;zTEx7s0nep1DJmII+wQ15CFUiZQ+zcmi77uKOHJ3V1sMEdaZNDW+Y7gt5VCpsbRYcGzIsaJ1Tunj&#10;/LQavD/sH0cmo24SR/sdKZ5UG627nWY1AxGoCX/xz70zGkZxbPwSf4BcfA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XeUlMuwAAANsAAAAPAAAAAAAAAAAAAAAAAKECAABk&#10;cnMvZG93bnJldi54bWxQSwUGAAAAAAQABAD5AAAAiQMAAAAA&#10;" strokecolor="#006a99"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50" type="#_x0000_t34" style="position:absolute;left:51147;top:12416;width:3659;height:6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YpsIAAADbAAAADwAAAGRycy9kb3ducmV2LnhtbESPT2vCQBDF74LfYRmhN934hyDRVYpg&#10;kd5MxfOQHZPU7GzY3Wr67TsHobcZ3pv3frPdD65TDwqx9WxgPstAEVfetlwbuHwdp2tQMSFb7DyT&#10;gV+KsN+NR1ssrH/ymR5lqpWEcCzQQJNSX2gdq4YcxpnviUW7+eAwyRpqbQM+Jdx1epFluXbYsjQ0&#10;2NOhoepe/jgD12VJ15oP+fAZPlZd/n2br+7amLfJ8L4BlWhI/+bX9ckKvsDKLzKA3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VYpsIAAADbAAAADwAAAAAAAAAAAAAA&#10;AAChAgAAZHJzL2Rvd25yZXYueG1sUEsFBgAAAAAEAAQA+QAAAJADAAAAAA==&#10;" strokecolor="#006a99" strokeweight="1pt">
                  <v:stroke dashstyle="3 1"/>
                </v:shape>
                <v:shape id="Elbow Connector 19" o:spid="_x0000_s1051" type="#_x0000_t34" style="position:absolute;left:39025;top:963;width:3684;height:2357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dc28IAAADbAAAADwAAAGRycy9kb3ducmV2LnhtbERP24rCMBB9X/Afwgi+iKa6sNRqFBEE&#10;kV0WLx8wNGNbbCYliW316zcLC/s2h3Od1aY3tWjJ+cqygtk0AUGcW11xoeB62U9SED4ga6wtk4In&#10;edisB28rzLTt+ETtORQihrDPUEEZQpNJ6fOSDPqpbYgjd7POYIjQFVI77GK4qeU8ST6kwYpjQ4kN&#10;7UrK7+eHUXD65HT7PU6OX1f33nZj/5ql95dSo2G/XYII1Id/8Z/7oOP8Bf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dc28IAAADbAAAADwAAAAAAAAAAAAAA&#10;AAChAgAAZHJzL2Rvd25yZXYueG1sUEsFBgAAAAAEAAQA+QAAAJADAAAAAA==&#10;" strokecolor="#006a99" strokeweight="1pt">
                  <v:stroke dashstyle="3 1"/>
                </v:shape>
                <v:shapetype id="_x0000_t33" coordsize="21600,21600" o:spt="33" o:oned="t" path="m,l21600,r,21600e" filled="f">
                  <v:stroke joinstyle="miter"/>
                  <v:path arrowok="t" fillok="f" o:connecttype="none"/>
                  <o:lock v:ext="edit" shapetype="t"/>
                </v:shapetype>
                <v:shape id="Elbow Connector 43" o:spid="_x0000_s1052" type="#_x0000_t33" style="position:absolute;left:7540;top:4039;width:4962;height:876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uM5MMAAADbAAAADwAAAGRycy9kb3ducmV2LnhtbESPUWvCMBSF3wf7D+EOfJvprMjojKUb&#10;iOIQ1I09X5q7pqy5KUnU+u/NQPDxcM75DmdeDrYTJ/KhdazgZZyBIK6dbrlR8P21fH4FESKyxs4x&#10;KbhQgHLx+DDHQrsz7+l0iI1IEA4FKjAx9oWUoTZkMYxdT5y8X+ctxiR9I7XHc4LbTk6ybCYttpwW&#10;DPb0Yaj+OxytAv1T+3UuV9t8V23NZuPe+8+dUWr0NFRvICIN8R6+tddawTSH/y/pB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bjOTDAAAA2wAAAA8AAAAAAAAAAAAA&#10;AAAAoQIAAGRycy9kb3ducmV2LnhtbFBLBQYAAAAABAAEAPkAAACRAwAAAAA=&#10;" strokecolor="#006a99" strokeweight="3pt">
                  <v:stroke startarrow="block" endarrow="block"/>
                </v:shape>
                <v:rect id="Rectangle 30" o:spid="_x0000_s1053" style="position:absolute;left:3106;top:20590;width:10560;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PMEA&#10;AADbAAAADwAAAGRycy9kb3ducmV2LnhtbERPXWvCMBR9F/wP4Qp7m6kbE61GkY3hGIjaivh4aa5t&#10;sbkpSdTu35uHgY+H8z1fdqYRN3K+tqxgNExAEBdW11wqOOTfrxMQPiBrbCyTgj/ysFz0e3NMtb3z&#10;nm5ZKEUMYZ+igiqENpXSFxUZ9EPbEkfubJ3BEKErpXZ4j+GmkW9JMpYGa44NFbb0WVFxya5GwXE9&#10;HZc22+r84zc5XTYHt/vKnVIvg241AxGoC0/xv/tHK3iP6+O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5SDzBAAAA2wAAAA8AAAAAAAAAAAAAAAAAmAIAAGRycy9kb3du&#10;cmV2LnhtbFBLBQYAAAAABAAEAPUAAACGAwAAAAA=&#10;" fillcolor="#006a99" stroked="f" strokeweight="2pt">
                  <v:textbox inset=",1mm,,1mm">
                    <w:txbxContent>
                      <w:p w:rsidR="005F35A7" w:rsidRDefault="005F35A7" w:rsidP="000D2DFA">
                        <w:pPr>
                          <w:pStyle w:val="NormalWeb"/>
                          <w:spacing w:before="0" w:beforeAutospacing="0" w:after="0" w:afterAutospacing="0" w:line="276" w:lineRule="auto"/>
                          <w:jc w:val="center"/>
                        </w:pPr>
                        <w:r>
                          <w:rPr>
                            <w:rFonts w:ascii="Tunga" w:eastAsia="Calibri" w:hAnsi="Tunga" w:cs="Tunga"/>
                            <w:b/>
                            <w:bCs/>
                            <w:color w:val="FFFFFF"/>
                            <w:sz w:val="16"/>
                            <w:szCs w:val="16"/>
                          </w:rPr>
                          <w:t>Service target performance incentive scheme</w:t>
                        </w:r>
                      </w:p>
                    </w:txbxContent>
                  </v:textbox>
                </v:rect>
                <v:shape id="Elbow Connector 31" o:spid="_x0000_s1054" type="#_x0000_t33" style="position:absolute;left:5912;top:12100;width:14650;height:233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PEdcMAAADbAAAADwAAAGRycy9kb3ducmV2LnhtbESPX2vCMBTF34V9h3AHvmnqCmN0pkUH&#10;Y+IQ/DN8vjTXptjclCRq9+0XQdjj4ZzzO5x5NdhOXMmH1rGC2TQDQVw73XKj4OfwOXkDESKyxs4x&#10;KfilAFX5NJpjod2Nd3Tdx0YkCIcCFZgY+0LKUBuyGKauJ07eyXmLMUnfSO3xluC2ky9Z9iottpwW&#10;DPb0Yag+7y9WgT7WfpXLr02+XWzMeu2W/ffWKDV+HhbvICIN8T/8aK+0gnwG9y/pB8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DxHXDAAAA2wAAAA8AAAAAAAAAAAAA&#10;AAAAoQIAAGRycy9kb3ducmV2LnhtbFBLBQYAAAAABAAEAPkAAACRAwAAAAA=&#10;" strokecolor="#006a99" strokeweight="3pt">
                  <v:stroke startarrow="block" endarrow="block"/>
                </v:shape>
                <w10:wrap anchory="page"/>
              </v:group>
            </w:pict>
          </mc:Fallback>
        </mc:AlternateContent>
      </w:r>
    </w:p>
    <w:p w:rsidR="00DD7C2F" w:rsidRDefault="00DD7C2F" w:rsidP="003D7376">
      <w:pPr>
        <w:pStyle w:val="AERfactsheetbodytext"/>
      </w:pPr>
    </w:p>
    <w:p w:rsidR="00DD7C2F" w:rsidRDefault="00DD7C2F" w:rsidP="003D7376">
      <w:pPr>
        <w:pStyle w:val="AERfactsheetbodytext"/>
      </w:pPr>
    </w:p>
    <w:p w:rsidR="00DD7C2F" w:rsidRDefault="00DD7C2F" w:rsidP="003D7376">
      <w:pPr>
        <w:pStyle w:val="AERfactsheetbodytext"/>
      </w:pPr>
    </w:p>
    <w:p w:rsidR="00DD7C2F" w:rsidRDefault="00DD7C2F" w:rsidP="003D7376">
      <w:pPr>
        <w:pStyle w:val="AERfactsheetbodytext"/>
      </w:pPr>
    </w:p>
    <w:p w:rsidR="00DD7C2F" w:rsidRDefault="00DD7C2F" w:rsidP="003D7376">
      <w:pPr>
        <w:pStyle w:val="AERfactsheetbodytext"/>
      </w:pPr>
    </w:p>
    <w:p w:rsidR="00DD7C2F" w:rsidRDefault="00DD7C2F" w:rsidP="003D7376">
      <w:pPr>
        <w:pStyle w:val="AERfactsheetbodytext"/>
      </w:pPr>
    </w:p>
    <w:p w:rsidR="00DD7C2F" w:rsidRDefault="00DD7C2F" w:rsidP="003D7376">
      <w:pPr>
        <w:pStyle w:val="AERfactsheetbodytext"/>
      </w:pPr>
    </w:p>
    <w:p w:rsidR="00952F2F" w:rsidRDefault="00952F2F" w:rsidP="003D7376">
      <w:pPr>
        <w:pStyle w:val="AERfactsheetbodytext"/>
      </w:pPr>
    </w:p>
    <w:p w:rsidR="00952F2F" w:rsidRDefault="00952F2F" w:rsidP="003D7376">
      <w:pPr>
        <w:pStyle w:val="AERfactsheetbodytext"/>
      </w:pPr>
    </w:p>
    <w:p w:rsidR="00952F2F" w:rsidRDefault="00952F2F" w:rsidP="003D7376">
      <w:pPr>
        <w:pStyle w:val="AERfactsheetbodytext"/>
      </w:pPr>
    </w:p>
    <w:p w:rsidR="00952F2F" w:rsidRDefault="00952F2F" w:rsidP="003D7376">
      <w:pPr>
        <w:pStyle w:val="AERfactsheetbodytext"/>
      </w:pPr>
    </w:p>
    <w:p w:rsidR="00952F2F" w:rsidRDefault="00952F2F" w:rsidP="003D7376">
      <w:pPr>
        <w:pStyle w:val="AERfactsheetbodytext"/>
      </w:pPr>
    </w:p>
    <w:p w:rsidR="00B2411C" w:rsidRDefault="00B2411C" w:rsidP="003D7376">
      <w:pPr>
        <w:pStyle w:val="AERfactsheetbodytext"/>
      </w:pPr>
    </w:p>
    <w:p w:rsidR="003D7376" w:rsidRPr="003D7376" w:rsidRDefault="00952F2F" w:rsidP="003D7376">
      <w:pPr>
        <w:pStyle w:val="AERfactsheetbodytext"/>
      </w:pPr>
      <w:r>
        <w:br/>
      </w:r>
      <w:r w:rsidRPr="003D7376">
        <w:t>If a business spent less than its approved forecast, it will benefit during the period. Consumers benefit at the end of the period when the RAB i</w:t>
      </w:r>
      <w:r>
        <w:t xml:space="preserve">s updated to include less capex </w:t>
      </w:r>
      <w:r w:rsidR="003D7376" w:rsidRPr="003D7376">
        <w:t xml:space="preserve">compared to if the business had spent the full amount of the capex forecast. This leads to lower </w:t>
      </w:r>
      <w:r w:rsidR="00AB14E5">
        <w:t xml:space="preserve">prices </w:t>
      </w:r>
      <w:r w:rsidR="003D7376" w:rsidRPr="003D7376">
        <w:t xml:space="preserve">in the future. </w:t>
      </w:r>
    </w:p>
    <w:p w:rsidR="0073777F" w:rsidRDefault="00474B11" w:rsidP="00363F24">
      <w:pPr>
        <w:pStyle w:val="AERfactsheetbodytext"/>
      </w:pPr>
      <w:r>
        <w:t xml:space="preserve">As the end of the regulatory period approaches, the time available for the business to retain any savings gets shorter. </w:t>
      </w:r>
      <w:r w:rsidR="002D2B5C">
        <w:t xml:space="preserve">So the earlier </w:t>
      </w:r>
      <w:r w:rsidR="00B93514">
        <w:t xml:space="preserve">a business incurs </w:t>
      </w:r>
      <w:proofErr w:type="gramStart"/>
      <w:r w:rsidR="00B93514">
        <w:t>an underspend</w:t>
      </w:r>
      <w:proofErr w:type="gramEnd"/>
      <w:r w:rsidR="00B93514">
        <w:t xml:space="preserve"> </w:t>
      </w:r>
      <w:r w:rsidR="002D2B5C">
        <w:t>in the regulatory period</w:t>
      </w:r>
      <w:r w:rsidR="00B93514">
        <w:t>, the greater its reward will be</w:t>
      </w:r>
      <w:r w:rsidR="002D2B5C">
        <w:t xml:space="preserve">. </w:t>
      </w:r>
    </w:p>
    <w:p w:rsidR="00AB14E5" w:rsidRDefault="00474B11" w:rsidP="00363F24">
      <w:pPr>
        <w:pStyle w:val="AERfactsheetbodytext"/>
      </w:pPr>
      <w:r>
        <w:t xml:space="preserve">As a result, the incentive </w:t>
      </w:r>
      <w:r w:rsidR="003D7376" w:rsidRPr="003D7376">
        <w:t>for a business to spend less than its capex forecast declines</w:t>
      </w:r>
      <w:r>
        <w:t xml:space="preserve"> throughout the period.</w:t>
      </w:r>
      <w:r w:rsidR="00334EE5">
        <w:t xml:space="preserve"> </w:t>
      </w:r>
      <w:r w:rsidR="0073777F">
        <w:t xml:space="preserve">So the business </w:t>
      </w:r>
      <w:r w:rsidR="00334EE5">
        <w:t xml:space="preserve">may choose </w:t>
      </w:r>
      <w:r w:rsidR="00AB14E5">
        <w:t xml:space="preserve">to </w:t>
      </w:r>
      <w:r w:rsidR="00D255E1">
        <w:t xml:space="preserve">spend </w:t>
      </w:r>
      <w:r w:rsidR="0073777F">
        <w:t xml:space="preserve">capex </w:t>
      </w:r>
      <w:r w:rsidR="008355C2">
        <w:t>later</w:t>
      </w:r>
      <w:r w:rsidR="0073777F">
        <w:t xml:space="preserve">, or </w:t>
      </w:r>
      <w:r w:rsidR="00D255E1">
        <w:t xml:space="preserve">on </w:t>
      </w:r>
      <w:r w:rsidR="0073777F">
        <w:t>cap</w:t>
      </w:r>
      <w:r w:rsidR="00AB14E5">
        <w:t xml:space="preserve">ex </w:t>
      </w:r>
      <w:r w:rsidR="00363F24">
        <w:t xml:space="preserve">when it may otherwise have spent on </w:t>
      </w:r>
      <w:r w:rsidR="0073777F">
        <w:t>o</w:t>
      </w:r>
      <w:r w:rsidR="00AB14E5">
        <w:t>pex</w:t>
      </w:r>
      <w:r w:rsidR="0073777F">
        <w:t>,</w:t>
      </w:r>
      <w:r w:rsidR="00334EE5">
        <w:t xml:space="preserve"> </w:t>
      </w:r>
      <w:r w:rsidR="00363F24">
        <w:t xml:space="preserve">even if </w:t>
      </w:r>
      <w:r w:rsidR="00AB14E5">
        <w:t>it may not be efficient to do so.</w:t>
      </w:r>
    </w:p>
    <w:p w:rsidR="004F79AA" w:rsidRDefault="004F79AA" w:rsidP="00AB14E5">
      <w:pPr>
        <w:pStyle w:val="AERfactsheetbodytext"/>
      </w:pPr>
      <w:r>
        <w:t>Also, i</w:t>
      </w:r>
      <w:r w:rsidRPr="004F79AA">
        <w:t>n the past, we were required to add all capex to a business' RAB regardless of whether it was efficient, or exceeded the approved forecast.</w:t>
      </w:r>
      <w:r w:rsidR="00B93514">
        <w:t xml:space="preserve"> This meant consumers were paying prices that reflected all a business’ capex </w:t>
      </w:r>
      <w:r w:rsidR="00EB0F9D">
        <w:t>which may have included inefficient capex.</w:t>
      </w:r>
    </w:p>
    <w:p w:rsidR="00CB5025" w:rsidRDefault="00CB5025" w:rsidP="00CB5025">
      <w:pPr>
        <w:pStyle w:val="AERFactsheetHeading1"/>
      </w:pPr>
      <w:r>
        <w:t xml:space="preserve">What capex incentives </w:t>
      </w:r>
      <w:r w:rsidR="0066194E">
        <w:t xml:space="preserve">are </w:t>
      </w:r>
      <w:r>
        <w:t>in the guideline?</w:t>
      </w:r>
    </w:p>
    <w:p w:rsidR="00CB5025" w:rsidRDefault="003D7376" w:rsidP="003D7376">
      <w:pPr>
        <w:pStyle w:val="AERfactsheetbodytext"/>
      </w:pPr>
      <w:r w:rsidRPr="003D7376">
        <w:t xml:space="preserve">The capital expenditure sharing scheme (CESS) provides </w:t>
      </w:r>
      <w:r w:rsidR="000430A7">
        <w:t xml:space="preserve">a </w:t>
      </w:r>
      <w:r w:rsidR="004A2B7F">
        <w:t>network</w:t>
      </w:r>
      <w:r w:rsidR="004A2B7F" w:rsidRPr="00AB14E5">
        <w:t xml:space="preserve"> </w:t>
      </w:r>
      <w:r w:rsidR="00AB14E5" w:rsidRPr="00AB14E5">
        <w:t xml:space="preserve">business with the same reward for </w:t>
      </w:r>
      <w:proofErr w:type="gramStart"/>
      <w:r w:rsidR="00AB14E5" w:rsidRPr="00AB14E5">
        <w:t>an efficiency</w:t>
      </w:r>
      <w:proofErr w:type="gramEnd"/>
      <w:r w:rsidR="00AB14E5" w:rsidRPr="00AB14E5">
        <w:t xml:space="preserve"> saving and same penalty for an efficiency loss </w:t>
      </w:r>
      <w:r w:rsidR="00AB14E5">
        <w:t>regardless of which year they make the saving or loss in</w:t>
      </w:r>
      <w:r w:rsidRPr="003D7376">
        <w:t xml:space="preserve">. </w:t>
      </w:r>
    </w:p>
    <w:p w:rsidR="003D7376" w:rsidRPr="003D7376" w:rsidRDefault="00235602" w:rsidP="003D7376">
      <w:pPr>
        <w:pStyle w:val="AERfactsheetbodytext"/>
      </w:pPr>
      <w:r>
        <w:t xml:space="preserve">When </w:t>
      </w:r>
      <w:r w:rsidRPr="00235602">
        <w:t xml:space="preserve">the CESS is implemented, </w:t>
      </w:r>
      <w:r w:rsidR="000430A7">
        <w:t xml:space="preserve">a </w:t>
      </w:r>
      <w:r w:rsidR="003D7376" w:rsidRPr="003D7376">
        <w:t xml:space="preserve">business will retain 30 per cent of </w:t>
      </w:r>
      <w:proofErr w:type="gramStart"/>
      <w:r w:rsidR="003D7376" w:rsidRPr="003D7376">
        <w:t>an underspend</w:t>
      </w:r>
      <w:proofErr w:type="gramEnd"/>
      <w:r w:rsidR="003D7376" w:rsidRPr="003D7376">
        <w:t xml:space="preserve"> or overspend, while consumers will retain 70 per cent of the underspend or overspend. This means that for a one dollar saving in capex </w:t>
      </w:r>
      <w:r w:rsidR="004A2B7F">
        <w:t>a</w:t>
      </w:r>
      <w:r w:rsidR="004A2B7F" w:rsidRPr="003D7376">
        <w:t xml:space="preserve"> </w:t>
      </w:r>
      <w:r w:rsidR="003D7376" w:rsidRPr="003D7376">
        <w:t>business get</w:t>
      </w:r>
      <w:r w:rsidR="004A2B7F">
        <w:t>s</w:t>
      </w:r>
      <w:r w:rsidR="003D7376" w:rsidRPr="003D7376">
        <w:t xml:space="preserve"> 30 cents of the benefit while consumer</w:t>
      </w:r>
      <w:r w:rsidR="004A2B7F">
        <w:t>s</w:t>
      </w:r>
      <w:r w:rsidR="003D7376" w:rsidRPr="003D7376">
        <w:t xml:space="preserve"> get 70 cents of the benefit. </w:t>
      </w:r>
    </w:p>
    <w:p w:rsidR="00634D59" w:rsidRDefault="00952F2F" w:rsidP="003D7376">
      <w:pPr>
        <w:pStyle w:val="AERfactsheetbodytext"/>
      </w:pPr>
      <w:r w:rsidRPr="00697FF1">
        <w:rPr>
          <w:noProof/>
          <w:lang w:eastAsia="en-AU"/>
        </w:rPr>
        <w:drawing>
          <wp:anchor distT="0" distB="0" distL="114300" distR="114300" simplePos="0" relativeHeight="251671552" behindDoc="0" locked="0" layoutInCell="1" allowOverlap="1" wp14:anchorId="06AF4E09" wp14:editId="0E515843">
            <wp:simplePos x="0" y="0"/>
            <wp:positionH relativeFrom="column">
              <wp:posOffset>-480695</wp:posOffset>
            </wp:positionH>
            <wp:positionV relativeFrom="page">
              <wp:posOffset>10217150</wp:posOffset>
            </wp:positionV>
            <wp:extent cx="8827135" cy="492760"/>
            <wp:effectExtent l="0" t="0" r="0" b="2540"/>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3555E1">
        <w:t>In addition</w:t>
      </w:r>
      <w:r w:rsidR="003D7376" w:rsidRPr="003D7376">
        <w:t>, if a business’ capex exceeds the forecast, we will examine their spending. If we determine all or some of the overspending was inefficient, the business may not be allowed to add the excess spending to its RAB. This means consumers will not fund that expenditure. This is referred to as an ex-post review.</w:t>
      </w: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495C6A" w:rsidRDefault="00495C6A" w:rsidP="003D7376">
      <w:pPr>
        <w:pStyle w:val="AERfactsheetbodytext"/>
      </w:pPr>
    </w:p>
    <w:p w:rsidR="00B2411C" w:rsidRDefault="00B2411C" w:rsidP="003D7376">
      <w:pPr>
        <w:pStyle w:val="AERfactsheetbodytext"/>
      </w:pPr>
      <w:r>
        <w:br/>
      </w:r>
    </w:p>
    <w:p w:rsidR="00952F2F" w:rsidRDefault="00952F2F" w:rsidP="003D7376">
      <w:pPr>
        <w:pStyle w:val="AERfactsheetbodytext"/>
      </w:pPr>
    </w:p>
    <w:p w:rsidR="00A43324" w:rsidRPr="003D7376" w:rsidRDefault="00A43324" w:rsidP="003D7376">
      <w:pPr>
        <w:pStyle w:val="AERfactsheetbodytext"/>
      </w:pPr>
      <w:r>
        <w:rPr>
          <w:noProof/>
          <w:lang w:eastAsia="en-AU"/>
        </w:rPr>
        <mc:AlternateContent>
          <mc:Choice Requires="wps">
            <w:drawing>
              <wp:inline distT="0" distB="0" distL="0" distR="0" wp14:anchorId="51B740E3" wp14:editId="7E411A7B">
                <wp:extent cx="3214370" cy="860961"/>
                <wp:effectExtent l="0" t="0" r="24130" b="158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60961"/>
                        </a:xfrm>
                        <a:prstGeom prst="rect">
                          <a:avLst/>
                        </a:prstGeom>
                        <a:solidFill>
                          <a:srgbClr val="DBE5F1"/>
                        </a:solidFill>
                        <a:ln w="9525">
                          <a:solidFill>
                            <a:srgbClr val="006A99"/>
                          </a:solidFill>
                          <a:miter lim="800000"/>
                          <a:headEnd/>
                          <a:tailEnd/>
                        </a:ln>
                      </wps:spPr>
                      <wps:txbx>
                        <w:txbxContent>
                          <w:p w:rsidR="005F35A7" w:rsidRDefault="005F35A7" w:rsidP="00A43324">
                            <w:pPr>
                              <w:pStyle w:val="AERfactsheetbodytext"/>
                            </w:pPr>
                            <w:r>
                              <w:t xml:space="preserve">Our capex incentive </w:t>
                            </w:r>
                            <w:r w:rsidRPr="003D7376">
                              <w:t xml:space="preserve">measures mean that consumers pay only </w:t>
                            </w:r>
                            <w:r>
                              <w:t xml:space="preserve">a portion of </w:t>
                            </w:r>
                            <w:r w:rsidRPr="003D7376">
                              <w:t>efficient overspends</w:t>
                            </w:r>
                            <w:r>
                              <w:t xml:space="preserve">, pay nothing for </w:t>
                            </w:r>
                            <w:proofErr w:type="spellStart"/>
                            <w:r>
                              <w:t>inefficienct</w:t>
                            </w:r>
                            <w:proofErr w:type="spellEnd"/>
                            <w:r>
                              <w:t xml:space="preserve"> overspends</w:t>
                            </w:r>
                            <w:r w:rsidRPr="003D7376">
                              <w:t xml:space="preserve"> and consumers share in the benefits whe</w:t>
                            </w:r>
                            <w:r>
                              <w:t>n</w:t>
                            </w:r>
                            <w:r w:rsidRPr="003D7376">
                              <w:t xml:space="preserve"> a </w:t>
                            </w:r>
                            <w:r>
                              <w:t>network business</w:t>
                            </w:r>
                            <w:r w:rsidRPr="003D7376">
                              <w:t xml:space="preserve"> is able to spend less than its forecast capex allowance.</w:t>
                            </w:r>
                          </w:p>
                          <w:p w:rsidR="005F35A7" w:rsidRPr="00697FF1" w:rsidRDefault="005F35A7" w:rsidP="00A43324">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0" o:spid="_x0000_s1055" type="#_x0000_t202" style="width:253.1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" fillcolor="#dbe5f1" strokecolor="#006a99">
                <v:textbox>
                  <w:txbxContent>
                    <w:p w:rsidR="005F35A7" w:rsidRDefault="005F35A7" w:rsidP="00A43324">
                      <w:pPr>
                        <w:pStyle w:val="AERfactsheetbodytext"/>
                      </w:pPr>
                      <w:r>
                        <w:t xml:space="preserve">Our </w:t>
                      </w:r>
                      <w:proofErr w:type="spellStart"/>
                      <w:r>
                        <w:t>capex</w:t>
                      </w:r>
                      <w:proofErr w:type="spellEnd"/>
                      <w:r>
                        <w:t xml:space="preserve"> incentive </w:t>
                      </w:r>
                      <w:r w:rsidRPr="003D7376">
                        <w:t xml:space="preserve">measures mean that consumers pay only </w:t>
                      </w:r>
                      <w:r>
                        <w:t xml:space="preserve">a portion of </w:t>
                      </w:r>
                      <w:r w:rsidRPr="003D7376">
                        <w:t>efficient overspends</w:t>
                      </w:r>
                      <w:r>
                        <w:t xml:space="preserve">, pay nothing for </w:t>
                      </w:r>
                      <w:proofErr w:type="spellStart"/>
                      <w:r>
                        <w:t>inefficienct</w:t>
                      </w:r>
                      <w:proofErr w:type="spellEnd"/>
                      <w:r>
                        <w:t xml:space="preserve"> overspends</w:t>
                      </w:r>
                      <w:r w:rsidRPr="003D7376">
                        <w:t xml:space="preserve"> and consumers share in the benefits whe</w:t>
                      </w:r>
                      <w:r>
                        <w:t>n</w:t>
                      </w:r>
                      <w:r w:rsidRPr="003D7376">
                        <w:t xml:space="preserve"> a </w:t>
                      </w:r>
                      <w:r>
                        <w:t>network business</w:t>
                      </w:r>
                      <w:r w:rsidRPr="003D7376">
                        <w:t xml:space="preserve"> is able to spend less than its forecast </w:t>
                      </w:r>
                      <w:proofErr w:type="spellStart"/>
                      <w:r w:rsidRPr="003D7376">
                        <w:t>capex</w:t>
                      </w:r>
                      <w:proofErr w:type="spellEnd"/>
                      <w:r w:rsidRPr="003D7376">
                        <w:t xml:space="preserve"> allowance.</w:t>
                      </w:r>
                    </w:p>
                    <w:p w:rsidR="005F35A7" w:rsidRPr="00697FF1" w:rsidRDefault="005F35A7" w:rsidP="00A43324">
                      <w:pPr>
                        <w:pStyle w:val="AERfactsheetbodytext"/>
                      </w:pPr>
                    </w:p>
                  </w:txbxContent>
                </v:textbox>
                <w10:anchorlock/>
              </v:shape>
            </w:pict>
          </mc:Fallback>
        </mc:AlternateContent>
      </w:r>
    </w:p>
    <w:p w:rsidR="003D7376" w:rsidRPr="003D7376" w:rsidRDefault="003D7376" w:rsidP="003D7376">
      <w:pPr>
        <w:pStyle w:val="AERFactsheetHeading1"/>
      </w:pPr>
      <w:r>
        <w:t>How do our incentive measures work as an overall package?</w:t>
      </w:r>
    </w:p>
    <w:p w:rsidR="003D7376" w:rsidRPr="003D7376" w:rsidRDefault="003D7376" w:rsidP="003D7376">
      <w:pPr>
        <w:pStyle w:val="AERfactsheetbodytext"/>
      </w:pPr>
      <w:r w:rsidRPr="003D7376">
        <w:t xml:space="preserve">Our incentive schemes </w:t>
      </w:r>
      <w:r w:rsidR="00EB0F9D">
        <w:t xml:space="preserve">encourage </w:t>
      </w:r>
      <w:r w:rsidR="00EB0F9D" w:rsidRPr="00235602">
        <w:t>network business</w:t>
      </w:r>
      <w:r w:rsidR="00EB0F9D">
        <w:t>es</w:t>
      </w:r>
      <w:r w:rsidR="00EB0F9D" w:rsidRPr="00235602">
        <w:t xml:space="preserve"> to make efficient decisions.</w:t>
      </w:r>
      <w:r w:rsidR="00EB0F9D">
        <w:t xml:space="preserve"> They </w:t>
      </w:r>
      <w:r w:rsidRPr="003D7376">
        <w:t xml:space="preserve">give network businesses an incentive to pursue efficiency improvements in opex and capex, and to share them with consumers. </w:t>
      </w:r>
    </w:p>
    <w:p w:rsidR="003D7376" w:rsidRPr="003D7376" w:rsidRDefault="003D7376" w:rsidP="003D7376">
      <w:pPr>
        <w:pStyle w:val="AERfactsheetbodytext"/>
      </w:pPr>
      <w:r w:rsidRPr="003D7376">
        <w:t xml:space="preserve">Incentives for opex and capex are balanced (30 per cent) and constant. </w:t>
      </w:r>
      <w:r w:rsidR="00032A4A">
        <w:t xml:space="preserve">They are also balanced with the incentives under our service target performance incentive scheme (STPIS). </w:t>
      </w:r>
      <w:r w:rsidRPr="003D7376">
        <w:t>This encourages businesses to make efficient decisions on when and what type of expenditure to incur</w:t>
      </w:r>
      <w:r w:rsidR="00032A4A">
        <w:t xml:space="preserve">, </w:t>
      </w:r>
      <w:r w:rsidR="005F35A7">
        <w:t>in order to meet</w:t>
      </w:r>
      <w:r w:rsidR="00032A4A">
        <w:t xml:space="preserve"> </w:t>
      </w:r>
      <w:r w:rsidR="00B92307">
        <w:t xml:space="preserve">service </w:t>
      </w:r>
      <w:r w:rsidR="00FE2E75">
        <w:t>reliability</w:t>
      </w:r>
      <w:r w:rsidR="005F35A7">
        <w:t xml:space="preserve"> targets</w:t>
      </w:r>
      <w:r w:rsidR="00B92307">
        <w:t>.</w:t>
      </w:r>
    </w:p>
    <w:p w:rsidR="003D7376" w:rsidRPr="003D7376" w:rsidRDefault="003D7376" w:rsidP="003D7376">
      <w:pPr>
        <w:pStyle w:val="AERfactsheetbodytext"/>
      </w:pPr>
      <w:r w:rsidRPr="003D7376">
        <w:t>The ex post review complement</w:t>
      </w:r>
      <w:r w:rsidR="00E71BA9">
        <w:t>s</w:t>
      </w:r>
      <w:r w:rsidRPr="003D7376">
        <w:t xml:space="preserve"> the CESS to provide network businesses with an additional incentive to help ensure that any overspends are efficient</w:t>
      </w:r>
      <w:r w:rsidR="00F24C9E">
        <w:t xml:space="preserve"> and prudent</w:t>
      </w:r>
      <w:r w:rsidRPr="003D7376">
        <w:t xml:space="preserve">. Under the CESS </w:t>
      </w:r>
      <w:r w:rsidR="000A1E85">
        <w:t xml:space="preserve">a </w:t>
      </w:r>
      <w:r w:rsidRPr="003D7376">
        <w:t>business bear</w:t>
      </w:r>
      <w:r w:rsidR="000A1E85">
        <w:t>s</w:t>
      </w:r>
      <w:r w:rsidRPr="003D7376">
        <w:t xml:space="preserve"> 30 per cent of </w:t>
      </w:r>
      <w:proofErr w:type="gramStart"/>
      <w:r w:rsidRPr="003D7376">
        <w:t>the overspend</w:t>
      </w:r>
      <w:proofErr w:type="gramEnd"/>
      <w:r w:rsidRPr="003D7376">
        <w:t>.  However, if the overspend is found to be inefficient,</w:t>
      </w:r>
      <w:r w:rsidR="00E71BA9">
        <w:t xml:space="preserve"> ex post reviews mean</w:t>
      </w:r>
      <w:r w:rsidRPr="003D7376">
        <w:t xml:space="preserve"> the </w:t>
      </w:r>
      <w:r w:rsidR="00E71BA9">
        <w:t xml:space="preserve">business </w:t>
      </w:r>
      <w:r w:rsidRPr="003D7376">
        <w:t xml:space="preserve">will bear 100 per cent of the inefficient overspend. </w:t>
      </w:r>
    </w:p>
    <w:p w:rsidR="001908E1" w:rsidRPr="00697FF1" w:rsidRDefault="001908E1" w:rsidP="001908E1">
      <w:pPr>
        <w:pStyle w:val="AERFactsheetHeading1"/>
      </w:pPr>
      <w:r>
        <w:t>M</w:t>
      </w:r>
      <w:r w:rsidRPr="00697FF1">
        <w:t>ore information</w:t>
      </w:r>
    </w:p>
    <w:p w:rsidR="001908E1" w:rsidRDefault="001908E1" w:rsidP="001908E1">
      <w:pPr>
        <w:pStyle w:val="AERfactsheetbodytext"/>
      </w:pPr>
      <w:r>
        <w:t xml:space="preserve">The capex incentives guideline and EBSS are available on our website at </w:t>
      </w:r>
      <w:hyperlink r:id="rId10" w:history="1">
        <w:r w:rsidRPr="00D37AAC">
          <w:rPr>
            <w:rStyle w:val="Hyperlink"/>
          </w:rPr>
          <w:t>www.aer.gov.au/node/18869</w:t>
        </w:r>
      </w:hyperlink>
      <w:r>
        <w:t>.</w:t>
      </w:r>
    </w:p>
    <w:p w:rsidR="00A43324" w:rsidRDefault="001908E1" w:rsidP="000D2DFA">
      <w:pPr>
        <w:pStyle w:val="AERfactsheetbodytext"/>
        <w:rPr>
          <w:u w:val="single"/>
        </w:rPr>
      </w:pPr>
      <w:r>
        <w:t xml:space="preserve">This guideline and scheme form part of the Better Regulation program. We </w:t>
      </w:r>
      <w:r w:rsidRPr="00697FF1">
        <w:t xml:space="preserve">initiated </w:t>
      </w:r>
      <w:r>
        <w:t xml:space="preserve">this </w:t>
      </w:r>
      <w:r w:rsidRPr="00697FF1">
        <w:t xml:space="preserve">program following </w:t>
      </w:r>
      <w:r>
        <w:t>changes to the regulatory framework in late 2012. The program includes seven new guidelines that outline our revised approach to determining electricity network revenues and prices, and our establishment of the Consumer Challenge Panel.</w:t>
      </w:r>
      <w:r w:rsidR="00B2411C">
        <w:t xml:space="preserve"> </w:t>
      </w:r>
      <w:r w:rsidRPr="00697FF1">
        <w:t xml:space="preserve">For more information </w:t>
      </w:r>
      <w:r>
        <w:t xml:space="preserve">on </w:t>
      </w:r>
      <w:r w:rsidRPr="00697FF1">
        <w:t>the Better Regulati</w:t>
      </w:r>
      <w:r>
        <w:t xml:space="preserve">on program </w:t>
      </w:r>
      <w:r w:rsidRPr="00697FF1">
        <w:t xml:space="preserve">please visit our website </w:t>
      </w:r>
      <w:hyperlink r:id="rId11" w:history="1">
        <w:r w:rsidRPr="00D37AAC">
          <w:rPr>
            <w:rStyle w:val="Hyperlink"/>
          </w:rPr>
          <w:t>www.aer.gov.au/better-regulation-reform-program</w:t>
        </w:r>
      </w:hyperlink>
      <w:r>
        <w:t>.</w:t>
      </w:r>
    </w:p>
    <w:sectPr w:rsidR="00A43324" w:rsidSect="00B74543">
      <w:type w:val="continuous"/>
      <w:pgSz w:w="11906" w:h="16838"/>
      <w:pgMar w:top="720" w:right="720" w:bottom="851" w:left="720"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mleco\Local Settings\Temporary Internet Files\Content.Outlook\ZAHXWB49\Factsheet - incentives - better regulation - final guideine.DOCX"/>
  </w:docVars>
  <w:rsids>
    <w:rsidRoot w:val="00021F03"/>
    <w:rsid w:val="00012AC9"/>
    <w:rsid w:val="000173D5"/>
    <w:rsid w:val="00021F03"/>
    <w:rsid w:val="00024D9A"/>
    <w:rsid w:val="00032A4A"/>
    <w:rsid w:val="00035993"/>
    <w:rsid w:val="000430A7"/>
    <w:rsid w:val="000437AC"/>
    <w:rsid w:val="000454A0"/>
    <w:rsid w:val="0007034E"/>
    <w:rsid w:val="00073702"/>
    <w:rsid w:val="00081C40"/>
    <w:rsid w:val="00084C36"/>
    <w:rsid w:val="00091AB8"/>
    <w:rsid w:val="000963CD"/>
    <w:rsid w:val="000A1E85"/>
    <w:rsid w:val="000B24A3"/>
    <w:rsid w:val="000C0289"/>
    <w:rsid w:val="000C07AD"/>
    <w:rsid w:val="000D2555"/>
    <w:rsid w:val="000D2DFA"/>
    <w:rsid w:val="000F4187"/>
    <w:rsid w:val="0010059A"/>
    <w:rsid w:val="00113361"/>
    <w:rsid w:val="001364E9"/>
    <w:rsid w:val="00156D6E"/>
    <w:rsid w:val="00161423"/>
    <w:rsid w:val="00171DE0"/>
    <w:rsid w:val="00177DBE"/>
    <w:rsid w:val="00186732"/>
    <w:rsid w:val="001908E1"/>
    <w:rsid w:val="00194A45"/>
    <w:rsid w:val="00195F99"/>
    <w:rsid w:val="00196ED2"/>
    <w:rsid w:val="001A1866"/>
    <w:rsid w:val="001A23C5"/>
    <w:rsid w:val="001A3711"/>
    <w:rsid w:val="001B10C7"/>
    <w:rsid w:val="001B401A"/>
    <w:rsid w:val="001C2100"/>
    <w:rsid w:val="001C5C0A"/>
    <w:rsid w:val="001C6F2F"/>
    <w:rsid w:val="001D3D87"/>
    <w:rsid w:val="001D49FD"/>
    <w:rsid w:val="001E42DA"/>
    <w:rsid w:val="001F307C"/>
    <w:rsid w:val="002106B5"/>
    <w:rsid w:val="00211FD6"/>
    <w:rsid w:val="00216967"/>
    <w:rsid w:val="00223084"/>
    <w:rsid w:val="00225391"/>
    <w:rsid w:val="002337AD"/>
    <w:rsid w:val="00235602"/>
    <w:rsid w:val="00235775"/>
    <w:rsid w:val="00235852"/>
    <w:rsid w:val="002425E7"/>
    <w:rsid w:val="00263811"/>
    <w:rsid w:val="00285EF4"/>
    <w:rsid w:val="00292B43"/>
    <w:rsid w:val="002952EB"/>
    <w:rsid w:val="002A473F"/>
    <w:rsid w:val="002B7BBC"/>
    <w:rsid w:val="002C32A1"/>
    <w:rsid w:val="002C56ED"/>
    <w:rsid w:val="002D2B5C"/>
    <w:rsid w:val="002E57B4"/>
    <w:rsid w:val="002E7F4D"/>
    <w:rsid w:val="003118DF"/>
    <w:rsid w:val="0031269F"/>
    <w:rsid w:val="003136E4"/>
    <w:rsid w:val="003256BD"/>
    <w:rsid w:val="00334EE5"/>
    <w:rsid w:val="00344531"/>
    <w:rsid w:val="00354991"/>
    <w:rsid w:val="003555E1"/>
    <w:rsid w:val="00360C93"/>
    <w:rsid w:val="00362301"/>
    <w:rsid w:val="00363F24"/>
    <w:rsid w:val="0036672B"/>
    <w:rsid w:val="003829B1"/>
    <w:rsid w:val="00385BB9"/>
    <w:rsid w:val="00391B7D"/>
    <w:rsid w:val="003D7376"/>
    <w:rsid w:val="00404570"/>
    <w:rsid w:val="00410B82"/>
    <w:rsid w:val="004128BB"/>
    <w:rsid w:val="0042329B"/>
    <w:rsid w:val="00425DBB"/>
    <w:rsid w:val="004310E5"/>
    <w:rsid w:val="00435E00"/>
    <w:rsid w:val="00442D70"/>
    <w:rsid w:val="004548EF"/>
    <w:rsid w:val="0045622F"/>
    <w:rsid w:val="00470FFD"/>
    <w:rsid w:val="00474754"/>
    <w:rsid w:val="00474B11"/>
    <w:rsid w:val="00495C6A"/>
    <w:rsid w:val="004A2B7F"/>
    <w:rsid w:val="004B40E2"/>
    <w:rsid w:val="004C19B8"/>
    <w:rsid w:val="004C717B"/>
    <w:rsid w:val="004D1DC0"/>
    <w:rsid w:val="004E0FF6"/>
    <w:rsid w:val="004E4F29"/>
    <w:rsid w:val="004F6CA8"/>
    <w:rsid w:val="004F79AA"/>
    <w:rsid w:val="0050430D"/>
    <w:rsid w:val="00526C37"/>
    <w:rsid w:val="00527234"/>
    <w:rsid w:val="005324C6"/>
    <w:rsid w:val="005524C5"/>
    <w:rsid w:val="00555231"/>
    <w:rsid w:val="00564923"/>
    <w:rsid w:val="00576EF4"/>
    <w:rsid w:val="00591348"/>
    <w:rsid w:val="00592FF3"/>
    <w:rsid w:val="005958E6"/>
    <w:rsid w:val="005B32DA"/>
    <w:rsid w:val="005C0C94"/>
    <w:rsid w:val="005C7D68"/>
    <w:rsid w:val="005D2EBB"/>
    <w:rsid w:val="005D342F"/>
    <w:rsid w:val="005D773C"/>
    <w:rsid w:val="005E0E76"/>
    <w:rsid w:val="005E1E92"/>
    <w:rsid w:val="005F2DC5"/>
    <w:rsid w:val="005F35A7"/>
    <w:rsid w:val="005F4904"/>
    <w:rsid w:val="006030C0"/>
    <w:rsid w:val="00616D96"/>
    <w:rsid w:val="00621769"/>
    <w:rsid w:val="006226C7"/>
    <w:rsid w:val="00634D59"/>
    <w:rsid w:val="006510FC"/>
    <w:rsid w:val="0066194E"/>
    <w:rsid w:val="00661A9B"/>
    <w:rsid w:val="00662BB4"/>
    <w:rsid w:val="00664010"/>
    <w:rsid w:val="0066415A"/>
    <w:rsid w:val="00683ED8"/>
    <w:rsid w:val="00697FF1"/>
    <w:rsid w:val="006A07F6"/>
    <w:rsid w:val="006B01BA"/>
    <w:rsid w:val="006B244F"/>
    <w:rsid w:val="006B322A"/>
    <w:rsid w:val="006B3279"/>
    <w:rsid w:val="006B39DB"/>
    <w:rsid w:val="006C4CC5"/>
    <w:rsid w:val="006D0E7F"/>
    <w:rsid w:val="006D5BF2"/>
    <w:rsid w:val="006D5C4C"/>
    <w:rsid w:val="006F1FD9"/>
    <w:rsid w:val="006F2E4F"/>
    <w:rsid w:val="006F47BA"/>
    <w:rsid w:val="007016BC"/>
    <w:rsid w:val="00704EDA"/>
    <w:rsid w:val="007174A0"/>
    <w:rsid w:val="00726CCA"/>
    <w:rsid w:val="00736AD3"/>
    <w:rsid w:val="0073777F"/>
    <w:rsid w:val="00742DF1"/>
    <w:rsid w:val="00747BDF"/>
    <w:rsid w:val="00753DF7"/>
    <w:rsid w:val="00754FD0"/>
    <w:rsid w:val="00767813"/>
    <w:rsid w:val="00776ACC"/>
    <w:rsid w:val="00785B64"/>
    <w:rsid w:val="00791ADE"/>
    <w:rsid w:val="007A0EEB"/>
    <w:rsid w:val="007C3C57"/>
    <w:rsid w:val="007C5329"/>
    <w:rsid w:val="007C54FB"/>
    <w:rsid w:val="007E4A48"/>
    <w:rsid w:val="00806628"/>
    <w:rsid w:val="00807259"/>
    <w:rsid w:val="008355C2"/>
    <w:rsid w:val="008472A8"/>
    <w:rsid w:val="00852153"/>
    <w:rsid w:val="00855EDA"/>
    <w:rsid w:val="00871903"/>
    <w:rsid w:val="00877A69"/>
    <w:rsid w:val="008901F7"/>
    <w:rsid w:val="00893B2B"/>
    <w:rsid w:val="008B28DF"/>
    <w:rsid w:val="008B300E"/>
    <w:rsid w:val="008B32FD"/>
    <w:rsid w:val="008B4DBF"/>
    <w:rsid w:val="008C4B72"/>
    <w:rsid w:val="008C5689"/>
    <w:rsid w:val="008D2A86"/>
    <w:rsid w:val="008D722A"/>
    <w:rsid w:val="008F512F"/>
    <w:rsid w:val="00901C0A"/>
    <w:rsid w:val="00917231"/>
    <w:rsid w:val="009238CF"/>
    <w:rsid w:val="00935CAA"/>
    <w:rsid w:val="009411CB"/>
    <w:rsid w:val="00952F2F"/>
    <w:rsid w:val="009612A1"/>
    <w:rsid w:val="00963F5A"/>
    <w:rsid w:val="0097250F"/>
    <w:rsid w:val="009966F9"/>
    <w:rsid w:val="009A702D"/>
    <w:rsid w:val="009B2454"/>
    <w:rsid w:val="009B4D12"/>
    <w:rsid w:val="009B60B7"/>
    <w:rsid w:val="009D3F78"/>
    <w:rsid w:val="009D6A2B"/>
    <w:rsid w:val="009E0E68"/>
    <w:rsid w:val="009F6F78"/>
    <w:rsid w:val="00A01BBA"/>
    <w:rsid w:val="00A02B2F"/>
    <w:rsid w:val="00A0352C"/>
    <w:rsid w:val="00A03E00"/>
    <w:rsid w:val="00A20B7E"/>
    <w:rsid w:val="00A2725A"/>
    <w:rsid w:val="00A30414"/>
    <w:rsid w:val="00A32825"/>
    <w:rsid w:val="00A427A5"/>
    <w:rsid w:val="00A43324"/>
    <w:rsid w:val="00A43FE2"/>
    <w:rsid w:val="00A45346"/>
    <w:rsid w:val="00A463C8"/>
    <w:rsid w:val="00A727BB"/>
    <w:rsid w:val="00A93855"/>
    <w:rsid w:val="00A95AD6"/>
    <w:rsid w:val="00A964D1"/>
    <w:rsid w:val="00AB14E5"/>
    <w:rsid w:val="00AB2954"/>
    <w:rsid w:val="00AC0236"/>
    <w:rsid w:val="00AC2671"/>
    <w:rsid w:val="00AC734D"/>
    <w:rsid w:val="00AD2EBC"/>
    <w:rsid w:val="00AD4FC1"/>
    <w:rsid w:val="00AD53EF"/>
    <w:rsid w:val="00AD6B92"/>
    <w:rsid w:val="00AF0C86"/>
    <w:rsid w:val="00B013E9"/>
    <w:rsid w:val="00B0183D"/>
    <w:rsid w:val="00B11806"/>
    <w:rsid w:val="00B11FA5"/>
    <w:rsid w:val="00B221EC"/>
    <w:rsid w:val="00B2411C"/>
    <w:rsid w:val="00B3667B"/>
    <w:rsid w:val="00B4272E"/>
    <w:rsid w:val="00B43DAF"/>
    <w:rsid w:val="00B63C84"/>
    <w:rsid w:val="00B65ADC"/>
    <w:rsid w:val="00B74543"/>
    <w:rsid w:val="00B87130"/>
    <w:rsid w:val="00B92307"/>
    <w:rsid w:val="00B93514"/>
    <w:rsid w:val="00BB7E86"/>
    <w:rsid w:val="00BC6B0F"/>
    <w:rsid w:val="00BD4269"/>
    <w:rsid w:val="00BD5F14"/>
    <w:rsid w:val="00BE5A7F"/>
    <w:rsid w:val="00BF2C2B"/>
    <w:rsid w:val="00C028F2"/>
    <w:rsid w:val="00C11E06"/>
    <w:rsid w:val="00C12C1F"/>
    <w:rsid w:val="00C13A11"/>
    <w:rsid w:val="00C162C3"/>
    <w:rsid w:val="00C573CA"/>
    <w:rsid w:val="00C64BBD"/>
    <w:rsid w:val="00C70125"/>
    <w:rsid w:val="00C71947"/>
    <w:rsid w:val="00C73523"/>
    <w:rsid w:val="00C866CD"/>
    <w:rsid w:val="00C87AC3"/>
    <w:rsid w:val="00C92E99"/>
    <w:rsid w:val="00CA07A3"/>
    <w:rsid w:val="00CA0863"/>
    <w:rsid w:val="00CA43F6"/>
    <w:rsid w:val="00CB3718"/>
    <w:rsid w:val="00CB5025"/>
    <w:rsid w:val="00CE0ACC"/>
    <w:rsid w:val="00CE7EDF"/>
    <w:rsid w:val="00CF228C"/>
    <w:rsid w:val="00CF40CA"/>
    <w:rsid w:val="00D015A2"/>
    <w:rsid w:val="00D255E1"/>
    <w:rsid w:val="00D36FB4"/>
    <w:rsid w:val="00D46D7D"/>
    <w:rsid w:val="00D7583B"/>
    <w:rsid w:val="00D76E1E"/>
    <w:rsid w:val="00D90A9A"/>
    <w:rsid w:val="00DA1954"/>
    <w:rsid w:val="00DC20AA"/>
    <w:rsid w:val="00DD7C2F"/>
    <w:rsid w:val="00DE35B3"/>
    <w:rsid w:val="00DE5EEE"/>
    <w:rsid w:val="00DE6402"/>
    <w:rsid w:val="00DF37FA"/>
    <w:rsid w:val="00E1275F"/>
    <w:rsid w:val="00E32544"/>
    <w:rsid w:val="00E342E9"/>
    <w:rsid w:val="00E61AE2"/>
    <w:rsid w:val="00E67143"/>
    <w:rsid w:val="00E71BA9"/>
    <w:rsid w:val="00E8783E"/>
    <w:rsid w:val="00E91EBB"/>
    <w:rsid w:val="00EA401D"/>
    <w:rsid w:val="00EB0F9D"/>
    <w:rsid w:val="00EB1210"/>
    <w:rsid w:val="00ED6886"/>
    <w:rsid w:val="00EF7708"/>
    <w:rsid w:val="00F0776A"/>
    <w:rsid w:val="00F1108F"/>
    <w:rsid w:val="00F12886"/>
    <w:rsid w:val="00F12DB4"/>
    <w:rsid w:val="00F209E0"/>
    <w:rsid w:val="00F2439C"/>
    <w:rsid w:val="00F24587"/>
    <w:rsid w:val="00F24C9E"/>
    <w:rsid w:val="00F31849"/>
    <w:rsid w:val="00F330FA"/>
    <w:rsid w:val="00F40A11"/>
    <w:rsid w:val="00F44A65"/>
    <w:rsid w:val="00F50DA0"/>
    <w:rsid w:val="00F51F76"/>
    <w:rsid w:val="00F52FF0"/>
    <w:rsid w:val="00F56BC0"/>
    <w:rsid w:val="00F7252E"/>
    <w:rsid w:val="00F82D6A"/>
    <w:rsid w:val="00F86BF4"/>
    <w:rsid w:val="00FB1910"/>
    <w:rsid w:val="00FE03E9"/>
    <w:rsid w:val="00FE2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NoSpacing">
    <w:name w:val="No Spacing"/>
    <w:uiPriority w:val="1"/>
    <w:qFormat/>
    <w:rsid w:val="003D7376"/>
    <w:rPr>
      <w:sz w:val="22"/>
      <w:szCs w:val="22"/>
    </w:rPr>
  </w:style>
  <w:style w:type="paragraph" w:styleId="Revision">
    <w:name w:val="Revision"/>
    <w:hidden/>
    <w:uiPriority w:val="99"/>
    <w:semiHidden/>
    <w:rsid w:val="00923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NoSpacing">
    <w:name w:val="No Spacing"/>
    <w:uiPriority w:val="1"/>
    <w:qFormat/>
    <w:rsid w:val="003D7376"/>
    <w:rPr>
      <w:sz w:val="22"/>
      <w:szCs w:val="22"/>
    </w:rPr>
  </w:style>
  <w:style w:type="paragraph" w:styleId="Revision">
    <w:name w:val="Revision"/>
    <w:hidden/>
    <w:uiPriority w:val="99"/>
    <w:semiHidden/>
    <w:rsid w:val="0092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better-regulation-reform-program" TargetMode="External"/><Relationship Id="rId5" Type="http://schemas.openxmlformats.org/officeDocument/2006/relationships/settings" Target="settings.xml"/><Relationship Id="rId10" Type="http://schemas.openxmlformats.org/officeDocument/2006/relationships/hyperlink" Target="http://www.aer.gov.au/node/18869"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D3E0-6D03-4B84-8B9F-B33B7582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factsheet - Expenditure incentives guideline</dc:title>
  <dc:subject/>
  <dc:creator>AER</dc:creator>
  <cp:keywords/>
  <dc:description/>
  <cp:lastModifiedBy>mleco</cp:lastModifiedBy>
  <cp:revision>2</cp:revision>
  <dcterms:created xsi:type="dcterms:W3CDTF">2013-11-28T04:48:00Z</dcterms:created>
  <dcterms:modified xsi:type="dcterms:W3CDTF">2013-11-28T04:48:00Z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Settings\mleco\Local Settings\Temporary Internet Files\Content.Outlook\ZAHXWB49\Factsheet - incentives - better regulation - final guideine.DOCX</vt:lpwstr>
  </property>
</Properties>
</file>